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27A4F2" w14:textId="77777777" w:rsidR="00932BE9" w:rsidRPr="00CF2780" w:rsidRDefault="00932BE9" w:rsidP="00A50356">
      <w:pPr>
        <w:pStyle w:val="Ttulo1"/>
        <w:rPr>
          <w:rFonts w:ascii="Arial" w:eastAsia="Times New Roman" w:hAnsi="Arial" w:cs="Arial"/>
          <w:color w:val="212529"/>
          <w:sz w:val="24"/>
          <w:szCs w:val="24"/>
          <w:lang w:eastAsia="es-MX"/>
        </w:rPr>
      </w:pPr>
      <w:r w:rsidRPr="00CF2780">
        <w:rPr>
          <w:rFonts w:ascii="Arial" w:eastAsia="Times New Roman" w:hAnsi="Arial" w:cs="Arial"/>
          <w:b/>
          <w:bCs/>
          <w:color w:val="212529"/>
          <w:sz w:val="24"/>
          <w:szCs w:val="24"/>
          <w:lang w:eastAsia="es-MX"/>
        </w:rPr>
        <w:t>TEMA: ELECCIONES</w:t>
      </w:r>
    </w:p>
    <w:p w14:paraId="60E8DF47" w14:textId="77777777" w:rsidR="00081697" w:rsidRPr="00CF2780" w:rsidRDefault="00081697">
      <w:pPr>
        <w:rPr>
          <w:rFonts w:ascii="Arial" w:hAnsi="Arial" w:cs="Arial"/>
        </w:rPr>
      </w:pPr>
      <w:bookmarkStart w:id="0" w:name="_GoBack"/>
      <w:bookmarkEnd w:id="0"/>
    </w:p>
    <w:p w14:paraId="4B537FCA" w14:textId="3B90955B" w:rsidR="00081697" w:rsidRPr="00CF2780" w:rsidRDefault="00081697" w:rsidP="00AD58E8">
      <w:pPr>
        <w:pStyle w:val="Ttulo2"/>
        <w:jc w:val="center"/>
        <w:rPr>
          <w:rFonts w:ascii="Arial" w:hAnsi="Arial" w:cs="Arial"/>
          <w:color w:val="C00000"/>
        </w:rPr>
      </w:pPr>
      <w:r w:rsidRPr="00CF2780">
        <w:rPr>
          <w:rFonts w:ascii="Arial" w:eastAsia="Times New Roman" w:hAnsi="Arial" w:cs="Arial"/>
          <w:b/>
          <w:bCs/>
          <w:color w:val="C00000"/>
          <w:sz w:val="24"/>
          <w:szCs w:val="24"/>
          <w:lang w:eastAsia="es-MX"/>
        </w:rPr>
        <w:t>JURISPRUDENCIA 37/2014</w:t>
      </w:r>
    </w:p>
    <w:p w14:paraId="65159253" w14:textId="77777777" w:rsidR="00CF2780" w:rsidRPr="00CF2780" w:rsidRDefault="00CF2780" w:rsidP="00081697">
      <w:pPr>
        <w:shd w:val="clear" w:color="auto" w:fill="FFFFFF"/>
        <w:spacing w:after="0" w:line="240" w:lineRule="auto"/>
        <w:jc w:val="both"/>
        <w:rPr>
          <w:rFonts w:ascii="Arial" w:eastAsia="Times New Roman" w:hAnsi="Arial" w:cs="Arial"/>
          <w:b/>
          <w:bCs/>
          <w:sz w:val="24"/>
          <w:szCs w:val="24"/>
          <w:lang w:eastAsia="es-MX"/>
        </w:rPr>
      </w:pPr>
    </w:p>
    <w:p w14:paraId="6B893EF2" w14:textId="77777777" w:rsidR="00CF2780" w:rsidRPr="00CF2780" w:rsidRDefault="00CF2780" w:rsidP="00081697">
      <w:pPr>
        <w:shd w:val="clear" w:color="auto" w:fill="FFFFFF"/>
        <w:spacing w:after="0" w:line="240" w:lineRule="auto"/>
        <w:jc w:val="both"/>
        <w:rPr>
          <w:rFonts w:ascii="Arial" w:eastAsia="Times New Roman" w:hAnsi="Arial" w:cs="Arial"/>
          <w:b/>
          <w:bCs/>
          <w:sz w:val="24"/>
          <w:szCs w:val="24"/>
          <w:lang w:eastAsia="es-MX"/>
        </w:rPr>
      </w:pPr>
      <w:r w:rsidRPr="00CF2780">
        <w:rPr>
          <w:rFonts w:ascii="Arial" w:eastAsia="Times New Roman" w:hAnsi="Arial" w:cs="Arial"/>
          <w:b/>
          <w:bCs/>
          <w:sz w:val="24"/>
          <w:szCs w:val="24"/>
          <w:lang w:eastAsia="es-MX"/>
        </w:rPr>
        <w:t>Indalecio Martínez Domínguez y otros</w:t>
      </w:r>
    </w:p>
    <w:p w14:paraId="3A0C2EA7" w14:textId="77777777" w:rsidR="00CF2780" w:rsidRPr="00CF2780" w:rsidRDefault="00CF2780" w:rsidP="00081697">
      <w:pPr>
        <w:shd w:val="clear" w:color="auto" w:fill="FFFFFF"/>
        <w:spacing w:after="0" w:line="240" w:lineRule="auto"/>
        <w:jc w:val="both"/>
        <w:rPr>
          <w:rFonts w:ascii="Arial" w:eastAsia="Times New Roman" w:hAnsi="Arial" w:cs="Arial"/>
          <w:b/>
          <w:bCs/>
          <w:sz w:val="24"/>
          <w:szCs w:val="24"/>
          <w:lang w:eastAsia="es-MX"/>
        </w:rPr>
      </w:pPr>
      <w:r w:rsidRPr="00CF2780">
        <w:rPr>
          <w:rFonts w:ascii="Arial" w:eastAsia="Times New Roman" w:hAnsi="Arial" w:cs="Arial"/>
          <w:b/>
          <w:bCs/>
          <w:sz w:val="24"/>
          <w:szCs w:val="24"/>
          <w:lang w:eastAsia="es-MX"/>
        </w:rPr>
        <w:t>vs.</w:t>
      </w:r>
      <w:r w:rsidRPr="00CF2780">
        <w:rPr>
          <w:rFonts w:ascii="Arial" w:eastAsia="Times New Roman" w:hAnsi="Arial" w:cs="Arial"/>
          <w:sz w:val="24"/>
          <w:szCs w:val="24"/>
          <w:lang w:eastAsia="es-MX"/>
        </w:rPr>
        <w:br/>
      </w:r>
      <w:r w:rsidRPr="00CF2780">
        <w:rPr>
          <w:rFonts w:ascii="Arial" w:eastAsia="Times New Roman" w:hAnsi="Arial" w:cs="Arial"/>
          <w:b/>
          <w:bCs/>
          <w:sz w:val="24"/>
          <w:szCs w:val="24"/>
          <w:lang w:eastAsia="es-MX"/>
        </w:rPr>
        <w:t>Congreso del Estado Libre y Soberano de Oaxaca, erigido en Colegio Electoral</w:t>
      </w:r>
      <w:r w:rsidRPr="00CF2780">
        <w:rPr>
          <w:rFonts w:ascii="Arial" w:eastAsia="Times New Roman" w:hAnsi="Arial" w:cs="Arial"/>
          <w:sz w:val="24"/>
          <w:szCs w:val="24"/>
          <w:lang w:eastAsia="es-MX"/>
        </w:rPr>
        <w:br/>
      </w:r>
      <w:r w:rsidRPr="00CF2780">
        <w:rPr>
          <w:rFonts w:ascii="Arial" w:eastAsia="Times New Roman" w:hAnsi="Arial" w:cs="Arial"/>
          <w:sz w:val="24"/>
          <w:szCs w:val="24"/>
          <w:lang w:eastAsia="es-MX"/>
        </w:rPr>
        <w:br/>
      </w:r>
      <w:r w:rsidRPr="00CF2780">
        <w:rPr>
          <w:rFonts w:ascii="Arial" w:eastAsia="Times New Roman" w:hAnsi="Arial" w:cs="Arial"/>
          <w:b/>
          <w:bCs/>
          <w:sz w:val="24"/>
          <w:szCs w:val="24"/>
          <w:lang w:eastAsia="es-MX"/>
        </w:rPr>
        <w:t>Jurisprudencia 37/2014</w:t>
      </w:r>
    </w:p>
    <w:p w14:paraId="7B218577" w14:textId="77777777" w:rsidR="00CF2780" w:rsidRPr="00CF2780" w:rsidRDefault="00CF2780" w:rsidP="00081697">
      <w:pPr>
        <w:shd w:val="clear" w:color="auto" w:fill="FFFFFF"/>
        <w:spacing w:after="0" w:line="240" w:lineRule="auto"/>
        <w:jc w:val="both"/>
        <w:rPr>
          <w:rFonts w:ascii="Arial" w:eastAsia="Times New Roman" w:hAnsi="Arial" w:cs="Arial"/>
          <w:b/>
          <w:bCs/>
          <w:sz w:val="24"/>
          <w:szCs w:val="24"/>
          <w:lang w:eastAsia="es-MX"/>
        </w:rPr>
      </w:pPr>
    </w:p>
    <w:p w14:paraId="1EAC02F7" w14:textId="006699A8" w:rsidR="00081697" w:rsidRPr="00CF2780" w:rsidRDefault="00081697" w:rsidP="00081697">
      <w:pPr>
        <w:shd w:val="clear" w:color="auto" w:fill="FFFFFF"/>
        <w:spacing w:after="0" w:line="240" w:lineRule="auto"/>
        <w:jc w:val="both"/>
        <w:rPr>
          <w:rFonts w:ascii="Arial" w:eastAsia="Times New Roman" w:hAnsi="Arial" w:cs="Arial"/>
          <w:color w:val="000000"/>
          <w:sz w:val="24"/>
          <w:szCs w:val="24"/>
          <w:lang w:eastAsia="es-MX"/>
        </w:rPr>
      </w:pPr>
      <w:r w:rsidRPr="00CF2780">
        <w:rPr>
          <w:rFonts w:ascii="Arial" w:eastAsia="Times New Roman" w:hAnsi="Arial" w:cs="Arial"/>
          <w:b/>
          <w:bCs/>
          <w:color w:val="000000"/>
          <w:sz w:val="24"/>
          <w:szCs w:val="24"/>
          <w:lang w:eastAsia="es-MX"/>
        </w:rPr>
        <w:t>SISTEMAS NORMATIVOS INDÍGENAS. ELECCIONES EFECTUADAS BAJO ESTE RÉGIMEN PUEDEN SER AFECTADAS SI VULNERAN EL PRINCIPIO DE UNIVERSALIDAD DEL SUFRAGIO.- </w:t>
      </w:r>
      <w:r w:rsidRPr="00CF2780">
        <w:rPr>
          <w:rFonts w:ascii="Arial" w:eastAsia="Times New Roman" w:hAnsi="Arial" w:cs="Arial"/>
          <w:color w:val="000000"/>
          <w:sz w:val="24"/>
          <w:szCs w:val="24"/>
          <w:lang w:eastAsia="es-MX"/>
        </w:rPr>
        <w:t xml:space="preserve">Si bien las elecciones por usos y costumbres indígenas no contravienen el principio constitucional de igualdad; cuando impliquen actividades que violenten la universalidad del voto, no serán válidas. En efecto, de la interpretación de los artículos 30, 34, 35, fracción I y 36, fracción III, 115, primer párrafo, fracción I; 116, segundo párrafo, fracción I, párrafo segundo y fracción IV inciso a); así como 122, párrafos cuarto y sexto, apartado C, base primera, fracción I de la Constitución federal, se infiere que el derecho de sufragio constituye la piedra angular del sistema democrático, en tanto que, con su ejercicio, se permite la necesaria conexión entre los ciudadanos y el poder público, legitimando a éste; de ahí que, si se considera que en una elección no se respetó el principio de universalidad del sufragio, ello conduce a establecer que se han infringido los preceptos que lo tutelan y que, además, se ha atentado contra la esencia misma del sistema democrático. Por lo tanto, la característica de universalidad del sufragio implica que, salvo las excepciones expresamente permitidas por los ordenamientos nacional y estatal, toda persona física se encuentra en aptitud de ejercerlo en las elecciones populares que se celebren, para la renovación de los órganos públicos representativos del Estado mexicano, sean estos federales, estatales o municipales ordinarias, o mediante reglas de derecho consuetudinario, sin que para tales efectos sean relevantes cualesquiera otras circunstancias o condiciones sociales o personales, tales como etnia, raza, sexo, dignidad, mérito, experiencia, formación, rendimiento, etcétera. Por ello, es posible afirmar que la universalidad del sufragio, se funda en el principio de un hombre, un voto; con el cual se pretende el máximo ensanchamiento del cuerpo electoral en orden a asegurar la coincidencia del electorado activo con la capacidad de derecho público. Consecuentemente, si en una comunidad indígena no se permitiera votar a los ciudadanos que no residieran en la cabecera municipal, dicha restricción se traduciría en la negación o anulación de su derecho fundamental a sufragar, y ello significaría la transgresión al principio de igualdad, visto desde el punto de vista subjetivo que emana de dicha norma, el derecho a no ser discriminado injustamente; por lo tanto, esta situación violatoria de derechos fundamentales, queda excluida del ámbito de reconocimiento y tutela de los derechos de los pueblos y comunidades indígenas previstos por la Constitución federal, al resultar incompatible con los derechos fundamentales que han quedado </w:t>
      </w:r>
      <w:r w:rsidRPr="00CF2780">
        <w:rPr>
          <w:rFonts w:ascii="Arial" w:eastAsia="Times New Roman" w:hAnsi="Arial" w:cs="Arial"/>
          <w:color w:val="000000"/>
          <w:sz w:val="24"/>
          <w:szCs w:val="24"/>
          <w:lang w:eastAsia="es-MX"/>
        </w:rPr>
        <w:lastRenderedPageBreak/>
        <w:t>precisados; por lo que, en consecuencia, esa práctica o tradición adoptada por una comunidad indígena no tendría el carácter de democrática.</w:t>
      </w:r>
    </w:p>
    <w:p w14:paraId="47FA782D" w14:textId="77777777" w:rsidR="00081697" w:rsidRPr="00CF2780" w:rsidRDefault="00081697" w:rsidP="00081697">
      <w:pPr>
        <w:shd w:val="clear" w:color="auto" w:fill="FFFFFF"/>
        <w:spacing w:after="0" w:line="240" w:lineRule="auto"/>
        <w:jc w:val="both"/>
        <w:rPr>
          <w:rFonts w:ascii="Arial" w:eastAsia="Times New Roman" w:hAnsi="Arial" w:cs="Arial"/>
          <w:color w:val="000000"/>
          <w:sz w:val="24"/>
          <w:szCs w:val="24"/>
          <w:lang w:eastAsia="es-MX"/>
        </w:rPr>
      </w:pPr>
      <w:r w:rsidRPr="00CF2780">
        <w:rPr>
          <w:rFonts w:ascii="Arial" w:eastAsia="Times New Roman" w:hAnsi="Arial" w:cs="Arial"/>
          <w:color w:val="000000"/>
          <w:sz w:val="24"/>
          <w:szCs w:val="24"/>
          <w:lang w:eastAsia="es-MX"/>
        </w:rPr>
        <w:br/>
      </w:r>
      <w:r w:rsidRPr="00CF2780">
        <w:rPr>
          <w:rFonts w:ascii="Arial" w:eastAsia="Times New Roman" w:hAnsi="Arial" w:cs="Arial"/>
          <w:color w:val="000000"/>
          <w:sz w:val="24"/>
          <w:szCs w:val="24"/>
          <w:lang w:eastAsia="es-MX"/>
        </w:rPr>
        <w:br/>
      </w:r>
      <w:r w:rsidRPr="00CF2780">
        <w:rPr>
          <w:rFonts w:ascii="Arial" w:eastAsia="Times New Roman" w:hAnsi="Arial" w:cs="Arial"/>
          <w:b/>
          <w:bCs/>
          <w:color w:val="000000"/>
          <w:sz w:val="24"/>
          <w:szCs w:val="24"/>
          <w:lang w:eastAsia="es-MX"/>
        </w:rPr>
        <w:t>Quinta Época:</w:t>
      </w:r>
    </w:p>
    <w:p w14:paraId="3A4666D3" w14:textId="77777777" w:rsidR="00081697" w:rsidRPr="00CF2780" w:rsidRDefault="00081697" w:rsidP="00081697">
      <w:pPr>
        <w:shd w:val="clear" w:color="auto" w:fill="FFFFFF"/>
        <w:spacing w:after="0" w:line="240" w:lineRule="auto"/>
        <w:jc w:val="both"/>
        <w:rPr>
          <w:rFonts w:ascii="Arial" w:eastAsia="Times New Roman" w:hAnsi="Arial" w:cs="Arial"/>
          <w:i/>
          <w:iCs/>
          <w:color w:val="000000"/>
          <w:sz w:val="24"/>
          <w:szCs w:val="24"/>
          <w:lang w:eastAsia="es-MX"/>
        </w:rPr>
      </w:pPr>
      <w:r w:rsidRPr="00CF2780">
        <w:rPr>
          <w:rFonts w:ascii="Arial" w:eastAsia="Times New Roman" w:hAnsi="Arial" w:cs="Arial"/>
          <w:i/>
          <w:iCs/>
          <w:color w:val="000000"/>
          <w:sz w:val="24"/>
          <w:szCs w:val="24"/>
          <w:lang w:eastAsia="es-MX"/>
        </w:rPr>
        <w:br/>
      </w:r>
      <w:r w:rsidRPr="00CF2780">
        <w:rPr>
          <w:rFonts w:ascii="Arial" w:eastAsia="Times New Roman" w:hAnsi="Arial" w:cs="Arial"/>
          <w:i/>
          <w:iCs/>
          <w:color w:val="000000"/>
          <w:sz w:val="24"/>
          <w:szCs w:val="24"/>
          <w:lang w:eastAsia="es-MX"/>
        </w:rPr>
        <w:br/>
        <w:t>Juicio para la protección de los derechos político-electorales del ciudadano. </w:t>
      </w:r>
      <w:hyperlink r:id="rId7" w:tgtFrame="_blank" w:history="1">
        <w:r w:rsidRPr="00CF2780">
          <w:rPr>
            <w:rFonts w:ascii="Arial" w:eastAsia="Times New Roman" w:hAnsi="Arial" w:cs="Arial"/>
            <w:i/>
            <w:iCs/>
            <w:color w:val="006633"/>
            <w:sz w:val="24"/>
            <w:szCs w:val="24"/>
            <w:u w:val="single"/>
            <w:lang w:eastAsia="es-MX"/>
          </w:rPr>
          <w:t>SUP-JDC-013/2002</w:t>
        </w:r>
      </w:hyperlink>
      <w:r w:rsidRPr="00CF2780">
        <w:rPr>
          <w:rFonts w:ascii="Arial" w:eastAsia="Times New Roman" w:hAnsi="Arial" w:cs="Arial"/>
          <w:i/>
          <w:iCs/>
          <w:color w:val="000000"/>
          <w:sz w:val="24"/>
          <w:szCs w:val="24"/>
          <w:lang w:eastAsia="es-MX"/>
        </w:rPr>
        <w:t>.—Actores: Indalecio Martínez Domínguez y otros.—Autoridad responsable: Congreso del Estado Libre y Soberano de Oaxaca, erigido en Colegio Electoral.—5 de junio de 2002.—Unanimidad de votos.—Ponente: José Luis de la Peza.—Secretario: Marco Antonio Zavala Arredondo.</w:t>
      </w:r>
    </w:p>
    <w:p w14:paraId="68D39FA2" w14:textId="29BD94BC" w:rsidR="00081697" w:rsidRPr="00CF2780" w:rsidRDefault="00081697" w:rsidP="00081697">
      <w:pPr>
        <w:shd w:val="clear" w:color="auto" w:fill="FFFFFF"/>
        <w:spacing w:after="0" w:line="240" w:lineRule="auto"/>
        <w:jc w:val="both"/>
        <w:rPr>
          <w:rFonts w:ascii="Arial" w:eastAsia="Times New Roman" w:hAnsi="Arial" w:cs="Arial"/>
          <w:color w:val="000000"/>
          <w:sz w:val="24"/>
          <w:szCs w:val="24"/>
          <w:lang w:eastAsia="es-MX"/>
        </w:rPr>
      </w:pPr>
      <w:r w:rsidRPr="00CF2780">
        <w:rPr>
          <w:rFonts w:ascii="Arial" w:eastAsia="Times New Roman" w:hAnsi="Arial" w:cs="Arial"/>
          <w:i/>
          <w:iCs/>
          <w:color w:val="000000"/>
          <w:sz w:val="24"/>
          <w:szCs w:val="24"/>
          <w:lang w:eastAsia="es-MX"/>
        </w:rPr>
        <w:br/>
      </w:r>
      <w:r w:rsidRPr="00CF2780">
        <w:rPr>
          <w:rFonts w:ascii="Arial" w:eastAsia="Times New Roman" w:hAnsi="Arial" w:cs="Arial"/>
          <w:i/>
          <w:iCs/>
          <w:color w:val="000000"/>
          <w:sz w:val="24"/>
          <w:szCs w:val="24"/>
          <w:lang w:eastAsia="es-MX"/>
        </w:rPr>
        <w:br/>
        <w:t>Juicio para la protección de los derechos político-electorales del ciudadano. </w:t>
      </w:r>
      <w:hyperlink r:id="rId8" w:tgtFrame="_blank" w:history="1">
        <w:r w:rsidRPr="00CF2780">
          <w:rPr>
            <w:rFonts w:ascii="Arial" w:eastAsia="Times New Roman" w:hAnsi="Arial" w:cs="Arial"/>
            <w:i/>
            <w:iCs/>
            <w:color w:val="006633"/>
            <w:sz w:val="24"/>
            <w:szCs w:val="24"/>
            <w:u w:val="single"/>
            <w:lang w:eastAsia="es-MX"/>
          </w:rPr>
          <w:t>SUP-JDC-9167/2011</w:t>
        </w:r>
      </w:hyperlink>
      <w:r w:rsidRPr="00CF2780">
        <w:rPr>
          <w:rFonts w:ascii="Arial" w:eastAsia="Times New Roman" w:hAnsi="Arial" w:cs="Arial"/>
          <w:i/>
          <w:iCs/>
          <w:color w:val="000000"/>
          <w:sz w:val="24"/>
          <w:szCs w:val="24"/>
          <w:lang w:eastAsia="es-MX"/>
        </w:rPr>
        <w:t>.—Actores: Rosalva Durán Campos y otros.—Autoridad responsable: Consejo General del Instituto Electoral de Michoacán.—2 de noviembre de 2011.—Mayoría de seis votos.—Ponente: José Alejandro Luna Ramos.—Disidente: Flavio Galván Rivera.—Secretario: Fernando Ramírez Barrios.</w:t>
      </w:r>
    </w:p>
    <w:p w14:paraId="4E2B0851" w14:textId="199FF647" w:rsidR="00081697" w:rsidRPr="00CF2780" w:rsidRDefault="00081697" w:rsidP="00081697">
      <w:pPr>
        <w:shd w:val="clear" w:color="auto" w:fill="FFFFFF"/>
        <w:spacing w:after="0" w:line="240" w:lineRule="auto"/>
        <w:jc w:val="both"/>
        <w:rPr>
          <w:rFonts w:ascii="Arial" w:eastAsia="Times New Roman" w:hAnsi="Arial" w:cs="Arial"/>
          <w:color w:val="000000"/>
          <w:sz w:val="24"/>
          <w:szCs w:val="24"/>
          <w:lang w:eastAsia="es-MX"/>
        </w:rPr>
      </w:pPr>
      <w:r w:rsidRPr="00CF2780">
        <w:rPr>
          <w:rFonts w:ascii="Arial" w:eastAsia="Times New Roman" w:hAnsi="Arial" w:cs="Arial"/>
          <w:i/>
          <w:iCs/>
          <w:color w:val="000000"/>
          <w:sz w:val="24"/>
          <w:szCs w:val="24"/>
          <w:lang w:eastAsia="es-MX"/>
        </w:rPr>
        <w:br/>
      </w:r>
      <w:hyperlink r:id="rId9" w:history="1">
        <w:r w:rsidRPr="00CF2780">
          <w:rPr>
            <w:rFonts w:ascii="Arial" w:eastAsia="Times New Roman" w:hAnsi="Arial" w:cs="Arial"/>
            <w:i/>
            <w:iCs/>
            <w:color w:val="0000FF"/>
            <w:sz w:val="24"/>
            <w:szCs w:val="24"/>
            <w:u w:val="single"/>
            <w:lang w:eastAsia="es-MX"/>
          </w:rPr>
          <w:t>Ver casos relacionados</w:t>
        </w:r>
      </w:hyperlink>
    </w:p>
    <w:p w14:paraId="20766D42" w14:textId="77777777" w:rsidR="00081697" w:rsidRPr="00CF2780" w:rsidRDefault="00081697" w:rsidP="00081697">
      <w:pPr>
        <w:shd w:val="clear" w:color="auto" w:fill="FFFFFF"/>
        <w:spacing w:after="0" w:line="240" w:lineRule="auto"/>
        <w:jc w:val="both"/>
        <w:rPr>
          <w:rFonts w:ascii="Arial" w:eastAsia="Times New Roman" w:hAnsi="Arial" w:cs="Arial"/>
          <w:i/>
          <w:iCs/>
          <w:color w:val="000000"/>
          <w:sz w:val="24"/>
          <w:szCs w:val="24"/>
          <w:lang w:eastAsia="es-MX"/>
        </w:rPr>
      </w:pPr>
      <w:r w:rsidRPr="00CF2780">
        <w:rPr>
          <w:rFonts w:ascii="Arial" w:eastAsia="Times New Roman" w:hAnsi="Arial" w:cs="Arial"/>
          <w:i/>
          <w:iCs/>
          <w:color w:val="000000"/>
          <w:sz w:val="24"/>
          <w:szCs w:val="24"/>
          <w:lang w:eastAsia="es-MX"/>
        </w:rPr>
        <w:br/>
      </w:r>
      <w:r w:rsidRPr="00CF2780">
        <w:rPr>
          <w:rFonts w:ascii="Arial" w:eastAsia="Times New Roman" w:hAnsi="Arial" w:cs="Arial"/>
          <w:i/>
          <w:iCs/>
          <w:color w:val="000000"/>
          <w:sz w:val="24"/>
          <w:szCs w:val="24"/>
          <w:lang w:eastAsia="es-MX"/>
        </w:rPr>
        <w:br/>
        <w:t>Juicio para la protección de los derechos político-electorales del ciudadano. </w:t>
      </w:r>
      <w:hyperlink r:id="rId10" w:tgtFrame="_blank" w:history="1">
        <w:r w:rsidRPr="00CF2780">
          <w:rPr>
            <w:rFonts w:ascii="Arial" w:eastAsia="Times New Roman" w:hAnsi="Arial" w:cs="Arial"/>
            <w:i/>
            <w:iCs/>
            <w:color w:val="006633"/>
            <w:sz w:val="24"/>
            <w:szCs w:val="24"/>
            <w:u w:val="single"/>
            <w:lang w:eastAsia="es-MX"/>
          </w:rPr>
          <w:t>SUP-JDC-61/2012</w:t>
        </w:r>
      </w:hyperlink>
      <w:r w:rsidRPr="00CF2780">
        <w:rPr>
          <w:rFonts w:ascii="Arial" w:eastAsia="Times New Roman" w:hAnsi="Arial" w:cs="Arial"/>
          <w:i/>
          <w:iCs/>
          <w:color w:val="000000"/>
          <w:sz w:val="24"/>
          <w:szCs w:val="24"/>
          <w:lang w:eastAsia="es-MX"/>
        </w:rPr>
        <w:t>.—Actor: Juan Fabián Juárez y otros.—Autoridad responsable: Consejo General del Instituto Electoral de Michoacán.—20 de enero de 2012.—Unanimidad de cinco votos.—Ponente: Salvador Olimpo Nava Gomar.—Secretarios: Javier Ortiz Flores, Julio César Cruz Ricárdez y Juan Carlos Silva Adaya.</w:t>
      </w:r>
    </w:p>
    <w:p w14:paraId="12304A1F" w14:textId="10226AEA" w:rsidR="00081697" w:rsidRPr="00CF2780" w:rsidRDefault="00081697" w:rsidP="00081697">
      <w:pPr>
        <w:shd w:val="clear" w:color="auto" w:fill="FFFFFF"/>
        <w:spacing w:after="0" w:line="240" w:lineRule="auto"/>
        <w:jc w:val="both"/>
        <w:rPr>
          <w:rFonts w:ascii="Arial" w:eastAsia="Times New Roman" w:hAnsi="Arial" w:cs="Arial"/>
          <w:color w:val="000000"/>
          <w:sz w:val="24"/>
          <w:szCs w:val="24"/>
          <w:lang w:eastAsia="es-MX"/>
        </w:rPr>
      </w:pPr>
      <w:r w:rsidRPr="00CF2780">
        <w:rPr>
          <w:rFonts w:ascii="Arial" w:eastAsia="Times New Roman" w:hAnsi="Arial" w:cs="Arial"/>
          <w:i/>
          <w:iCs/>
          <w:color w:val="000000"/>
          <w:sz w:val="24"/>
          <w:szCs w:val="24"/>
          <w:lang w:eastAsia="es-MX"/>
        </w:rPr>
        <w:br/>
      </w:r>
      <w:r w:rsidRPr="00CF2780">
        <w:rPr>
          <w:rFonts w:ascii="Arial" w:eastAsia="Times New Roman" w:hAnsi="Arial" w:cs="Arial"/>
          <w:color w:val="000000"/>
          <w:sz w:val="24"/>
          <w:szCs w:val="24"/>
          <w:lang w:eastAsia="es-MX"/>
        </w:rPr>
        <w:br/>
      </w:r>
      <w:r w:rsidRPr="00CF2780">
        <w:rPr>
          <w:rFonts w:ascii="Arial" w:eastAsia="Times New Roman" w:hAnsi="Arial" w:cs="Arial"/>
          <w:b/>
          <w:bCs/>
          <w:color w:val="000000"/>
          <w:sz w:val="24"/>
          <w:szCs w:val="24"/>
          <w:lang w:eastAsia="es-MX"/>
        </w:rPr>
        <w:t>La Sala Superior en sesión pública celebrada el veintinueve de septiembre de dos mil catorce, aprobó por unanimidad de seis votos la jurisprudencia que antecede y la declaró formalmente obligatoria.</w:t>
      </w:r>
    </w:p>
    <w:p w14:paraId="48EB0B06" w14:textId="619843A7" w:rsidR="00081697" w:rsidRPr="00CF2780" w:rsidRDefault="00081697" w:rsidP="00081697">
      <w:pPr>
        <w:shd w:val="clear" w:color="auto" w:fill="FFFFFF"/>
        <w:spacing w:after="0" w:line="240" w:lineRule="auto"/>
        <w:jc w:val="both"/>
        <w:rPr>
          <w:rFonts w:ascii="Arial" w:eastAsia="Times New Roman" w:hAnsi="Arial" w:cs="Arial"/>
          <w:color w:val="000000"/>
          <w:sz w:val="24"/>
          <w:szCs w:val="24"/>
          <w:lang w:eastAsia="es-MX"/>
        </w:rPr>
      </w:pPr>
      <w:r w:rsidRPr="00CF2780">
        <w:rPr>
          <w:rFonts w:ascii="Arial" w:eastAsia="Times New Roman" w:hAnsi="Arial" w:cs="Arial"/>
          <w:color w:val="000000"/>
          <w:sz w:val="24"/>
          <w:szCs w:val="24"/>
          <w:lang w:eastAsia="es-MX"/>
        </w:rPr>
        <w:br/>
      </w:r>
      <w:r w:rsidRPr="00CF2780">
        <w:rPr>
          <w:rFonts w:ascii="Arial" w:eastAsia="Times New Roman" w:hAnsi="Arial" w:cs="Arial"/>
          <w:color w:val="000000"/>
          <w:sz w:val="24"/>
          <w:szCs w:val="24"/>
          <w:lang w:eastAsia="es-MX"/>
        </w:rPr>
        <w:br/>
      </w:r>
      <w:r w:rsidRPr="00CF2780">
        <w:rPr>
          <w:rFonts w:ascii="Arial" w:eastAsia="Times New Roman" w:hAnsi="Arial" w:cs="Arial"/>
          <w:b/>
          <w:bCs/>
          <w:color w:val="000000"/>
          <w:sz w:val="24"/>
          <w:szCs w:val="24"/>
          <w:lang w:eastAsia="es-MX"/>
        </w:rPr>
        <w:t>Gaceta de Jurisprudencia y Tesis en materia electoral, Tribunal Electoral del Poder Judicial de la Federación, Año 7, Número 15, 2014, páginas 64 y 65.</w:t>
      </w:r>
      <w:r w:rsidRPr="00CF2780">
        <w:rPr>
          <w:rFonts w:ascii="Arial" w:eastAsia="Times New Roman" w:hAnsi="Arial" w:cs="Arial"/>
          <w:color w:val="000000"/>
          <w:sz w:val="24"/>
          <w:szCs w:val="24"/>
          <w:lang w:eastAsia="es-MX"/>
        </w:rPr>
        <w:br/>
      </w:r>
    </w:p>
    <w:p w14:paraId="690A8921" w14:textId="6DCB2FA9" w:rsidR="00081697" w:rsidRPr="00CF2780" w:rsidRDefault="00081697">
      <w:pPr>
        <w:rPr>
          <w:rFonts w:ascii="Arial" w:hAnsi="Arial" w:cs="Arial"/>
        </w:rPr>
      </w:pPr>
    </w:p>
    <w:p w14:paraId="26F059F0" w14:textId="6DB70342" w:rsidR="00A50356" w:rsidRPr="00CF2780" w:rsidRDefault="00A50356">
      <w:pPr>
        <w:rPr>
          <w:rFonts w:ascii="Arial" w:hAnsi="Arial" w:cs="Arial"/>
        </w:rPr>
      </w:pPr>
    </w:p>
    <w:p w14:paraId="2104E839" w14:textId="544DA640" w:rsidR="00A50356" w:rsidRPr="00CF2780" w:rsidRDefault="00A50356">
      <w:pPr>
        <w:rPr>
          <w:rFonts w:ascii="Arial" w:hAnsi="Arial" w:cs="Arial"/>
        </w:rPr>
      </w:pPr>
    </w:p>
    <w:p w14:paraId="41EFD365" w14:textId="288DA3FB" w:rsidR="00A50356" w:rsidRPr="00CF2780" w:rsidRDefault="00A50356">
      <w:pPr>
        <w:rPr>
          <w:rFonts w:ascii="Arial" w:hAnsi="Arial" w:cs="Arial"/>
        </w:rPr>
      </w:pPr>
    </w:p>
    <w:p w14:paraId="5CD8A94D" w14:textId="7EE3D5FF" w:rsidR="00A50356" w:rsidRPr="00CF2780" w:rsidRDefault="00A50356">
      <w:pPr>
        <w:rPr>
          <w:rFonts w:ascii="Arial" w:hAnsi="Arial" w:cs="Arial"/>
        </w:rPr>
      </w:pPr>
    </w:p>
    <w:p w14:paraId="05958E7A" w14:textId="55879518" w:rsidR="00A50356" w:rsidRPr="00CF2780" w:rsidRDefault="00A50356">
      <w:pPr>
        <w:rPr>
          <w:rFonts w:ascii="Arial" w:hAnsi="Arial" w:cs="Arial"/>
        </w:rPr>
      </w:pPr>
    </w:p>
    <w:p w14:paraId="4D6F8B17" w14:textId="4B37D53C" w:rsidR="00A50356" w:rsidRPr="00CF2780" w:rsidRDefault="00A50356">
      <w:pPr>
        <w:rPr>
          <w:rFonts w:ascii="Arial" w:hAnsi="Arial" w:cs="Arial"/>
        </w:rPr>
      </w:pPr>
    </w:p>
    <w:p w14:paraId="37FC3D82" w14:textId="62D06E7B" w:rsidR="00A50356" w:rsidRPr="00CF2780" w:rsidRDefault="00A50356">
      <w:pPr>
        <w:rPr>
          <w:rFonts w:ascii="Arial" w:hAnsi="Arial" w:cs="Arial"/>
        </w:rPr>
      </w:pPr>
    </w:p>
    <w:p w14:paraId="712B3EBF" w14:textId="23130BF7" w:rsidR="00A50356" w:rsidRPr="00CF2780" w:rsidRDefault="00A50356">
      <w:pPr>
        <w:rPr>
          <w:rFonts w:ascii="Arial" w:hAnsi="Arial" w:cs="Arial"/>
        </w:rPr>
      </w:pPr>
    </w:p>
    <w:p w14:paraId="2CBECFD5" w14:textId="2F37F4B3" w:rsidR="00A50356" w:rsidRPr="00CF2780" w:rsidRDefault="00A50356">
      <w:pPr>
        <w:rPr>
          <w:rFonts w:ascii="Arial" w:hAnsi="Arial" w:cs="Arial"/>
        </w:rPr>
      </w:pPr>
    </w:p>
    <w:p w14:paraId="10B33419" w14:textId="45E257FB" w:rsidR="00A50356" w:rsidRPr="00CF2780" w:rsidRDefault="00A50356">
      <w:pPr>
        <w:rPr>
          <w:rFonts w:ascii="Arial" w:hAnsi="Arial" w:cs="Arial"/>
        </w:rPr>
      </w:pPr>
    </w:p>
    <w:p w14:paraId="17561B2B" w14:textId="5D5CF213" w:rsidR="00A50356" w:rsidRPr="00CF2780" w:rsidRDefault="00A50356">
      <w:pPr>
        <w:rPr>
          <w:rFonts w:ascii="Arial" w:hAnsi="Arial" w:cs="Arial"/>
        </w:rPr>
      </w:pPr>
    </w:p>
    <w:p w14:paraId="51BF983F" w14:textId="3E407E75" w:rsidR="00A50356" w:rsidRPr="00CF2780" w:rsidRDefault="00A50356">
      <w:pPr>
        <w:rPr>
          <w:rFonts w:ascii="Arial" w:hAnsi="Arial" w:cs="Arial"/>
        </w:rPr>
      </w:pPr>
    </w:p>
    <w:p w14:paraId="4B40129D" w14:textId="7416EF24" w:rsidR="00A50356" w:rsidRPr="00CF2780" w:rsidRDefault="00A50356">
      <w:pPr>
        <w:rPr>
          <w:rFonts w:ascii="Arial" w:hAnsi="Arial" w:cs="Arial"/>
        </w:rPr>
      </w:pPr>
    </w:p>
    <w:p w14:paraId="2EE13DAD" w14:textId="1207EA98" w:rsidR="00A50356" w:rsidRPr="00CF2780" w:rsidRDefault="00A50356">
      <w:pPr>
        <w:rPr>
          <w:rFonts w:ascii="Arial" w:hAnsi="Arial" w:cs="Arial"/>
        </w:rPr>
      </w:pPr>
    </w:p>
    <w:p w14:paraId="54BF8D67" w14:textId="53A08D7F" w:rsidR="00A50356" w:rsidRPr="00CF2780" w:rsidRDefault="00A50356">
      <w:pPr>
        <w:rPr>
          <w:rFonts w:ascii="Arial" w:hAnsi="Arial" w:cs="Arial"/>
        </w:rPr>
      </w:pPr>
    </w:p>
    <w:p w14:paraId="51611C40" w14:textId="1585984C" w:rsidR="00A50356" w:rsidRPr="00CF2780" w:rsidRDefault="00A50356">
      <w:pPr>
        <w:rPr>
          <w:rFonts w:ascii="Arial" w:hAnsi="Arial" w:cs="Arial"/>
        </w:rPr>
      </w:pPr>
    </w:p>
    <w:p w14:paraId="4130554E" w14:textId="764565ED" w:rsidR="00A50356" w:rsidRPr="00CF2780" w:rsidRDefault="00A50356">
      <w:pPr>
        <w:rPr>
          <w:rFonts w:ascii="Arial" w:hAnsi="Arial" w:cs="Arial"/>
        </w:rPr>
      </w:pPr>
    </w:p>
    <w:p w14:paraId="5F643812" w14:textId="22C7F7DD" w:rsidR="00A50356" w:rsidRPr="00CF2780" w:rsidRDefault="00A50356">
      <w:pPr>
        <w:rPr>
          <w:rFonts w:ascii="Arial" w:hAnsi="Arial" w:cs="Arial"/>
        </w:rPr>
      </w:pPr>
    </w:p>
    <w:p w14:paraId="6C7C8D48" w14:textId="0145059C" w:rsidR="00A50356" w:rsidRPr="00CF2780" w:rsidRDefault="00A50356">
      <w:pPr>
        <w:rPr>
          <w:rFonts w:ascii="Arial" w:hAnsi="Arial" w:cs="Arial"/>
        </w:rPr>
      </w:pPr>
    </w:p>
    <w:p w14:paraId="4FF4EE4A" w14:textId="026664B4" w:rsidR="00A50356" w:rsidRPr="00CF2780" w:rsidRDefault="00A50356">
      <w:pPr>
        <w:rPr>
          <w:rFonts w:ascii="Arial" w:hAnsi="Arial" w:cs="Arial"/>
        </w:rPr>
      </w:pPr>
    </w:p>
    <w:p w14:paraId="2D3207D6" w14:textId="73636A4B" w:rsidR="00A50356" w:rsidRPr="00CF2780" w:rsidRDefault="00A50356">
      <w:pPr>
        <w:rPr>
          <w:rFonts w:ascii="Arial" w:hAnsi="Arial" w:cs="Arial"/>
        </w:rPr>
      </w:pPr>
    </w:p>
    <w:p w14:paraId="47F1B003" w14:textId="450A47FF" w:rsidR="00A50356" w:rsidRPr="00CF2780" w:rsidRDefault="00A50356">
      <w:pPr>
        <w:rPr>
          <w:rFonts w:ascii="Arial" w:hAnsi="Arial" w:cs="Arial"/>
        </w:rPr>
      </w:pPr>
    </w:p>
    <w:p w14:paraId="3678CCF1" w14:textId="77777777" w:rsidR="00AD58E8" w:rsidRPr="00CF2780" w:rsidRDefault="00AD58E8">
      <w:pPr>
        <w:rPr>
          <w:rFonts w:ascii="Arial" w:hAnsi="Arial" w:cs="Arial"/>
        </w:rPr>
      </w:pPr>
    </w:p>
    <w:p w14:paraId="121EB0F8" w14:textId="234C49EC" w:rsidR="00A50356" w:rsidRPr="00CF2780" w:rsidRDefault="00AD58E8" w:rsidP="00AD58E8">
      <w:pPr>
        <w:pStyle w:val="Ttulo3"/>
        <w:numPr>
          <w:ilvl w:val="0"/>
          <w:numId w:val="1"/>
        </w:numPr>
        <w:rPr>
          <w:rFonts w:ascii="Arial" w:eastAsia="Times New Roman" w:hAnsi="Arial" w:cs="Arial"/>
          <w:b/>
          <w:bCs/>
          <w:color w:val="C00000"/>
          <w:sz w:val="28"/>
          <w:szCs w:val="28"/>
          <w:lang w:eastAsia="es-MX"/>
        </w:rPr>
      </w:pPr>
      <w:r w:rsidRPr="00CF2780">
        <w:rPr>
          <w:rFonts w:ascii="Arial" w:eastAsia="Times New Roman" w:hAnsi="Arial" w:cs="Arial"/>
          <w:b/>
          <w:bCs/>
          <w:color w:val="auto"/>
          <w:sz w:val="28"/>
          <w:szCs w:val="28"/>
          <w:lang w:eastAsia="es-MX"/>
        </w:rPr>
        <w:t xml:space="preserve">SENTENCIA </w:t>
      </w:r>
      <w:hyperlink r:id="rId11" w:tgtFrame="_blank" w:history="1">
        <w:r w:rsidR="00A50356" w:rsidRPr="00CF2780">
          <w:rPr>
            <w:rFonts w:ascii="Arial" w:eastAsia="Times New Roman" w:hAnsi="Arial" w:cs="Arial"/>
            <w:b/>
            <w:bCs/>
            <w:color w:val="C00000"/>
            <w:sz w:val="28"/>
            <w:szCs w:val="28"/>
            <w:lang w:eastAsia="es-MX"/>
          </w:rPr>
          <w:t>SUP-JDC-013/2002</w:t>
        </w:r>
      </w:hyperlink>
    </w:p>
    <w:p w14:paraId="04A25AB1" w14:textId="4B598271" w:rsidR="00AD58E8" w:rsidRPr="00CF2780" w:rsidRDefault="00AD58E8" w:rsidP="00AD58E8">
      <w:pPr>
        <w:rPr>
          <w:rFonts w:ascii="Arial" w:hAnsi="Arial" w:cs="Arial"/>
          <w:lang w:eastAsia="es-MX"/>
        </w:rPr>
      </w:pPr>
    </w:p>
    <w:p w14:paraId="43EE0AD5" w14:textId="77777777" w:rsidR="00676010" w:rsidRPr="00CF2780" w:rsidRDefault="00676010" w:rsidP="00AD58E8">
      <w:pPr>
        <w:rPr>
          <w:rFonts w:ascii="Arial" w:hAnsi="Arial" w:cs="Arial"/>
          <w:lang w:eastAsia="es-MX"/>
        </w:rPr>
      </w:pPr>
    </w:p>
    <w:p w14:paraId="355B39EC" w14:textId="77777777" w:rsidR="00676010" w:rsidRPr="00CF2780" w:rsidRDefault="00676010" w:rsidP="00676010">
      <w:pPr>
        <w:autoSpaceDE w:val="0"/>
        <w:autoSpaceDN w:val="0"/>
        <w:adjustRightInd w:val="0"/>
        <w:spacing w:after="0" w:line="240" w:lineRule="auto"/>
        <w:ind w:left="3420"/>
        <w:jc w:val="both"/>
        <w:rPr>
          <w:rFonts w:ascii="Arial" w:eastAsia="Times New Roman" w:hAnsi="Arial" w:cs="Arial"/>
          <w:b/>
          <w:bCs/>
          <w:sz w:val="24"/>
          <w:szCs w:val="20"/>
          <w:lang w:val="es-ES" w:eastAsia="es-ES"/>
        </w:rPr>
      </w:pPr>
      <w:r w:rsidRPr="00CF2780">
        <w:rPr>
          <w:rFonts w:ascii="Arial" w:eastAsia="Times New Roman" w:hAnsi="Arial" w:cs="Arial"/>
          <w:b/>
          <w:bCs/>
          <w:sz w:val="24"/>
          <w:szCs w:val="20"/>
          <w:lang w:val="es-ES" w:eastAsia="es-ES"/>
        </w:rPr>
        <w:t xml:space="preserve">JUICIO PARA LA PROTECCIÓN DE LOS DERECHOS POLÍTICO-ELECTORALES DEL CIUDADANO </w:t>
      </w:r>
    </w:p>
    <w:p w14:paraId="07C9E0E3" w14:textId="77777777" w:rsidR="00676010" w:rsidRPr="00CF2780" w:rsidRDefault="00676010" w:rsidP="00676010">
      <w:pPr>
        <w:suppressAutoHyphens/>
        <w:spacing w:after="0" w:line="240" w:lineRule="atLeast"/>
        <w:ind w:left="3420"/>
        <w:jc w:val="both"/>
        <w:rPr>
          <w:rFonts w:ascii="Arial" w:eastAsia="Times New Roman" w:hAnsi="Arial" w:cs="Arial"/>
          <w:b/>
          <w:bCs/>
          <w:spacing w:val="-3"/>
          <w:sz w:val="24"/>
          <w:szCs w:val="28"/>
          <w:lang w:val="es-ES_tradnl" w:eastAsia="es-ES"/>
        </w:rPr>
      </w:pPr>
    </w:p>
    <w:p w14:paraId="66C5293F" w14:textId="77777777" w:rsidR="00676010" w:rsidRPr="00CF2780" w:rsidRDefault="00676010" w:rsidP="00676010">
      <w:pPr>
        <w:suppressAutoHyphens/>
        <w:spacing w:after="0" w:line="240" w:lineRule="atLeast"/>
        <w:ind w:left="3420"/>
        <w:jc w:val="both"/>
        <w:rPr>
          <w:rFonts w:ascii="Arial" w:eastAsia="Times New Roman" w:hAnsi="Arial" w:cs="Arial"/>
          <w:spacing w:val="-3"/>
          <w:sz w:val="24"/>
          <w:szCs w:val="28"/>
          <w:lang w:val="es-ES_tradnl" w:eastAsia="es-ES"/>
        </w:rPr>
      </w:pPr>
      <w:r w:rsidRPr="00CF2780">
        <w:rPr>
          <w:rFonts w:ascii="Arial" w:eastAsia="Times New Roman" w:hAnsi="Arial" w:cs="Arial"/>
          <w:b/>
          <w:bCs/>
          <w:spacing w:val="-3"/>
          <w:sz w:val="24"/>
          <w:szCs w:val="28"/>
          <w:lang w:val="es-ES_tradnl" w:eastAsia="es-ES"/>
        </w:rPr>
        <w:t>EXPEDIENTE:</w:t>
      </w:r>
      <w:r w:rsidRPr="00CF2780">
        <w:rPr>
          <w:rFonts w:ascii="Arial" w:eastAsia="Times New Roman" w:hAnsi="Arial" w:cs="Arial"/>
          <w:spacing w:val="-3"/>
          <w:sz w:val="24"/>
          <w:szCs w:val="28"/>
          <w:lang w:val="es-ES_tradnl" w:eastAsia="es-ES"/>
        </w:rPr>
        <w:t xml:space="preserve"> SUP-JDC-013/2002</w:t>
      </w:r>
    </w:p>
    <w:p w14:paraId="34CC4C59" w14:textId="77777777" w:rsidR="00676010" w:rsidRPr="00CF2780" w:rsidRDefault="00676010" w:rsidP="00676010">
      <w:pPr>
        <w:suppressAutoHyphens/>
        <w:spacing w:after="0" w:line="240" w:lineRule="atLeast"/>
        <w:ind w:left="3420" w:firstLine="3"/>
        <w:jc w:val="both"/>
        <w:rPr>
          <w:rFonts w:ascii="Arial" w:eastAsia="Times New Roman" w:hAnsi="Arial" w:cs="Arial"/>
          <w:b/>
          <w:bCs/>
          <w:spacing w:val="-3"/>
          <w:sz w:val="24"/>
          <w:szCs w:val="28"/>
          <w:lang w:val="es-ES_tradnl" w:eastAsia="es-ES"/>
        </w:rPr>
      </w:pPr>
    </w:p>
    <w:p w14:paraId="1C99D2D8" w14:textId="77777777" w:rsidR="00676010" w:rsidRPr="00CF2780" w:rsidRDefault="00676010" w:rsidP="00676010">
      <w:pPr>
        <w:suppressAutoHyphens/>
        <w:spacing w:after="0" w:line="240" w:lineRule="atLeast"/>
        <w:ind w:left="3420" w:firstLine="3"/>
        <w:jc w:val="both"/>
        <w:rPr>
          <w:rFonts w:ascii="Arial" w:eastAsia="Times New Roman" w:hAnsi="Arial" w:cs="Arial"/>
          <w:spacing w:val="-3"/>
          <w:sz w:val="24"/>
          <w:szCs w:val="28"/>
          <w:lang w:val="es-ES_tradnl" w:eastAsia="es-ES"/>
        </w:rPr>
      </w:pPr>
      <w:r w:rsidRPr="00CF2780">
        <w:rPr>
          <w:rFonts w:ascii="Arial" w:eastAsia="Times New Roman" w:hAnsi="Arial" w:cs="Arial"/>
          <w:b/>
          <w:bCs/>
          <w:spacing w:val="-3"/>
          <w:sz w:val="24"/>
          <w:szCs w:val="28"/>
          <w:lang w:val="es-ES_tradnl" w:eastAsia="es-ES"/>
        </w:rPr>
        <w:t xml:space="preserve">ACTORES: </w:t>
      </w:r>
      <w:r w:rsidRPr="00CF2780">
        <w:rPr>
          <w:rFonts w:ascii="Arial" w:eastAsia="Times New Roman" w:hAnsi="Arial" w:cs="Arial"/>
          <w:spacing w:val="-3"/>
          <w:sz w:val="24"/>
          <w:szCs w:val="28"/>
          <w:lang w:val="es-ES_tradnl" w:eastAsia="es-ES"/>
        </w:rPr>
        <w:t>INDALECIO MARTÍNEZ DOMÍNGUEZ, RAÚL LORENZO HERNÁNDEZ, MIGUEL ORTÍZ PACHECO, ROLANDO BARTOLO LÓPEZ Y EVERGISTO DÍAZ PÉREZ.</w:t>
      </w:r>
    </w:p>
    <w:p w14:paraId="543A5A25" w14:textId="77777777" w:rsidR="00676010" w:rsidRPr="00CF2780" w:rsidRDefault="00676010" w:rsidP="00676010">
      <w:pPr>
        <w:suppressAutoHyphens/>
        <w:spacing w:after="0" w:line="240" w:lineRule="atLeast"/>
        <w:ind w:left="3420" w:firstLine="3"/>
        <w:jc w:val="both"/>
        <w:rPr>
          <w:rFonts w:ascii="Arial" w:eastAsia="Times New Roman" w:hAnsi="Arial" w:cs="Arial"/>
          <w:b/>
          <w:bCs/>
          <w:spacing w:val="-3"/>
          <w:sz w:val="24"/>
          <w:szCs w:val="28"/>
          <w:lang w:val="es-ES_tradnl" w:eastAsia="es-ES"/>
        </w:rPr>
      </w:pPr>
    </w:p>
    <w:p w14:paraId="5DA127B0" w14:textId="77777777" w:rsidR="00676010" w:rsidRPr="00CF2780" w:rsidRDefault="00676010" w:rsidP="00676010">
      <w:pPr>
        <w:suppressAutoHyphens/>
        <w:spacing w:after="0" w:line="240" w:lineRule="atLeast"/>
        <w:ind w:left="3420" w:firstLine="3"/>
        <w:jc w:val="both"/>
        <w:rPr>
          <w:rFonts w:ascii="Arial" w:eastAsia="Times New Roman" w:hAnsi="Arial" w:cs="Arial"/>
          <w:spacing w:val="-3"/>
          <w:sz w:val="24"/>
          <w:szCs w:val="28"/>
          <w:lang w:val="es-ES_tradnl" w:eastAsia="es-ES"/>
        </w:rPr>
      </w:pPr>
      <w:r w:rsidRPr="00CF2780">
        <w:rPr>
          <w:rFonts w:ascii="Arial" w:eastAsia="Times New Roman" w:hAnsi="Arial" w:cs="Arial"/>
          <w:b/>
          <w:bCs/>
          <w:spacing w:val="-3"/>
          <w:sz w:val="24"/>
          <w:szCs w:val="28"/>
          <w:lang w:val="es-ES_tradnl" w:eastAsia="es-ES"/>
        </w:rPr>
        <w:lastRenderedPageBreak/>
        <w:t>AUTORIDAD RESPONSABLE:</w:t>
      </w:r>
      <w:r w:rsidRPr="00CF2780">
        <w:rPr>
          <w:rFonts w:ascii="Arial" w:eastAsia="Times New Roman" w:hAnsi="Arial" w:cs="Arial"/>
          <w:spacing w:val="-3"/>
          <w:sz w:val="24"/>
          <w:szCs w:val="28"/>
          <w:lang w:val="es-ES_tradnl" w:eastAsia="es-ES"/>
        </w:rPr>
        <w:t xml:space="preserve"> CONGRESO DEL ESTADO LIBRE Y SOBERANO DE OAXACA, ERIGIDO EN COLEGIO ELECTORAL. </w:t>
      </w:r>
    </w:p>
    <w:p w14:paraId="0A7C7A82" w14:textId="77777777" w:rsidR="00676010" w:rsidRPr="00CF2780" w:rsidRDefault="00676010" w:rsidP="00676010">
      <w:pPr>
        <w:suppressAutoHyphens/>
        <w:spacing w:after="0" w:line="240" w:lineRule="atLeast"/>
        <w:ind w:left="3420" w:firstLine="3"/>
        <w:jc w:val="both"/>
        <w:rPr>
          <w:rFonts w:ascii="Arial" w:eastAsia="Times New Roman" w:hAnsi="Arial" w:cs="Arial"/>
          <w:spacing w:val="-3"/>
          <w:sz w:val="24"/>
          <w:szCs w:val="28"/>
          <w:lang w:val="es-ES_tradnl" w:eastAsia="es-ES"/>
        </w:rPr>
      </w:pPr>
    </w:p>
    <w:p w14:paraId="64749275" w14:textId="77777777" w:rsidR="00676010" w:rsidRPr="00CF2780" w:rsidRDefault="00676010" w:rsidP="00676010">
      <w:pPr>
        <w:suppressAutoHyphens/>
        <w:spacing w:after="0" w:line="240" w:lineRule="atLeast"/>
        <w:ind w:left="3420" w:firstLine="3"/>
        <w:jc w:val="both"/>
        <w:rPr>
          <w:rFonts w:ascii="Arial" w:eastAsia="Times New Roman" w:hAnsi="Arial" w:cs="Arial"/>
          <w:spacing w:val="-3"/>
          <w:sz w:val="24"/>
          <w:szCs w:val="28"/>
          <w:lang w:val="es-ES_tradnl" w:eastAsia="es-ES"/>
        </w:rPr>
      </w:pPr>
      <w:r w:rsidRPr="00CF2780">
        <w:rPr>
          <w:rFonts w:ascii="Arial" w:eastAsia="Times New Roman" w:hAnsi="Arial" w:cs="Arial"/>
          <w:b/>
          <w:bCs/>
          <w:spacing w:val="-3"/>
          <w:sz w:val="24"/>
          <w:szCs w:val="28"/>
          <w:lang w:val="es-ES_tradnl" w:eastAsia="es-ES"/>
        </w:rPr>
        <w:t xml:space="preserve">TERCEROS INTERESADOS: </w:t>
      </w:r>
      <w:r w:rsidRPr="00CF2780">
        <w:rPr>
          <w:rFonts w:ascii="Arial" w:eastAsia="Times New Roman" w:hAnsi="Arial" w:cs="Arial"/>
          <w:sz w:val="24"/>
          <w:szCs w:val="24"/>
          <w:lang w:eastAsia="es-ES"/>
        </w:rPr>
        <w:t>CELEDONIO CORTÉS LARA, FAUSTO GONZÁLES DE LA ROSA, ALEYDA ALICIA PÉREZ GUIZAR Y DAGOBERTO MIGUEL JUÁREZ.</w:t>
      </w:r>
    </w:p>
    <w:p w14:paraId="67238C69" w14:textId="77777777" w:rsidR="00676010" w:rsidRPr="00CF2780" w:rsidRDefault="00676010" w:rsidP="00676010">
      <w:pPr>
        <w:suppressAutoHyphens/>
        <w:spacing w:after="0" w:line="240" w:lineRule="atLeast"/>
        <w:ind w:left="3420" w:firstLine="3"/>
        <w:jc w:val="both"/>
        <w:rPr>
          <w:rFonts w:ascii="Arial" w:eastAsia="Times New Roman" w:hAnsi="Arial" w:cs="Arial"/>
          <w:spacing w:val="-3"/>
          <w:sz w:val="24"/>
          <w:szCs w:val="28"/>
          <w:lang w:val="es-ES_tradnl" w:eastAsia="es-ES"/>
        </w:rPr>
      </w:pPr>
    </w:p>
    <w:p w14:paraId="59CE864A" w14:textId="77777777" w:rsidR="00676010" w:rsidRPr="00CF2780" w:rsidRDefault="00676010" w:rsidP="00676010">
      <w:pPr>
        <w:suppressAutoHyphens/>
        <w:spacing w:after="0" w:line="240" w:lineRule="atLeast"/>
        <w:ind w:left="3420" w:firstLine="3"/>
        <w:jc w:val="both"/>
        <w:rPr>
          <w:rFonts w:ascii="Arial" w:eastAsia="Times New Roman" w:hAnsi="Arial" w:cs="Arial"/>
          <w:spacing w:val="-3"/>
          <w:sz w:val="24"/>
          <w:szCs w:val="28"/>
          <w:lang w:val="es-ES_tradnl" w:eastAsia="es-ES"/>
        </w:rPr>
      </w:pPr>
      <w:r w:rsidRPr="00CF2780">
        <w:rPr>
          <w:rFonts w:ascii="Arial" w:eastAsia="Times New Roman" w:hAnsi="Arial" w:cs="Arial"/>
          <w:b/>
          <w:bCs/>
          <w:spacing w:val="-3"/>
          <w:sz w:val="24"/>
          <w:szCs w:val="28"/>
          <w:lang w:val="es-ES_tradnl" w:eastAsia="es-ES"/>
        </w:rPr>
        <w:t xml:space="preserve">MAGISTRADO PONENTE: </w:t>
      </w:r>
      <w:r w:rsidRPr="00CF2780">
        <w:rPr>
          <w:rFonts w:ascii="Arial" w:eastAsia="Times New Roman" w:hAnsi="Arial" w:cs="Arial"/>
          <w:spacing w:val="-3"/>
          <w:sz w:val="24"/>
          <w:szCs w:val="28"/>
          <w:lang w:val="es-ES_tradnl" w:eastAsia="es-ES"/>
        </w:rPr>
        <w:t>JOSÉ LUIS DE LA PEZA.</w:t>
      </w:r>
    </w:p>
    <w:p w14:paraId="63029F2B" w14:textId="77777777" w:rsidR="00676010" w:rsidRPr="00CF2780" w:rsidRDefault="00676010" w:rsidP="00676010">
      <w:pPr>
        <w:suppressAutoHyphens/>
        <w:spacing w:after="0" w:line="240" w:lineRule="atLeast"/>
        <w:ind w:left="3420" w:firstLine="3"/>
        <w:jc w:val="both"/>
        <w:rPr>
          <w:rFonts w:ascii="Arial" w:eastAsia="Times New Roman" w:hAnsi="Arial" w:cs="Arial"/>
          <w:spacing w:val="-3"/>
          <w:sz w:val="24"/>
          <w:szCs w:val="28"/>
          <w:lang w:val="es-ES_tradnl" w:eastAsia="es-ES"/>
        </w:rPr>
      </w:pPr>
    </w:p>
    <w:p w14:paraId="76A1301A" w14:textId="77777777" w:rsidR="00676010" w:rsidRPr="00CF2780" w:rsidRDefault="00676010" w:rsidP="00676010">
      <w:pPr>
        <w:spacing w:after="0" w:line="240" w:lineRule="auto"/>
        <w:ind w:left="3402"/>
        <w:rPr>
          <w:rFonts w:ascii="Arial" w:eastAsia="Times New Roman" w:hAnsi="Arial" w:cs="Arial"/>
          <w:spacing w:val="-3"/>
          <w:sz w:val="24"/>
          <w:szCs w:val="28"/>
          <w:lang w:val="es-ES_tradnl" w:eastAsia="es-ES"/>
        </w:rPr>
      </w:pPr>
      <w:r w:rsidRPr="00CF2780">
        <w:rPr>
          <w:rFonts w:ascii="Arial" w:eastAsia="Times New Roman" w:hAnsi="Arial" w:cs="Arial"/>
          <w:b/>
          <w:bCs/>
          <w:spacing w:val="-3"/>
          <w:sz w:val="24"/>
          <w:szCs w:val="28"/>
          <w:lang w:val="es-ES_tradnl" w:eastAsia="es-ES"/>
        </w:rPr>
        <w:t xml:space="preserve">SECRETARIO: </w:t>
      </w:r>
      <w:r w:rsidRPr="00CF2780">
        <w:rPr>
          <w:rFonts w:ascii="Arial" w:eastAsia="Times New Roman" w:hAnsi="Arial" w:cs="Arial"/>
          <w:spacing w:val="-3"/>
          <w:sz w:val="24"/>
          <w:szCs w:val="28"/>
          <w:lang w:val="es-ES_tradnl" w:eastAsia="es-ES"/>
        </w:rPr>
        <w:t>MARCO ANTONIO ZAVALA ARREDONDO.</w:t>
      </w:r>
    </w:p>
    <w:p w14:paraId="20BF3C79" w14:textId="77777777" w:rsidR="00676010" w:rsidRPr="00CF2780" w:rsidRDefault="00676010" w:rsidP="00676010">
      <w:pPr>
        <w:suppressAutoHyphens/>
        <w:spacing w:after="0" w:line="240" w:lineRule="atLeast"/>
        <w:jc w:val="both"/>
        <w:rPr>
          <w:rFonts w:ascii="Arial" w:eastAsia="Times New Roman" w:hAnsi="Arial" w:cs="Arial"/>
          <w:spacing w:val="-3"/>
          <w:sz w:val="28"/>
          <w:szCs w:val="28"/>
          <w:lang w:val="es-ES_tradnl" w:eastAsia="es-ES"/>
        </w:rPr>
      </w:pPr>
    </w:p>
    <w:p w14:paraId="637FBE81" w14:textId="77777777" w:rsidR="00676010" w:rsidRPr="00CF2780" w:rsidRDefault="00676010" w:rsidP="00676010">
      <w:pPr>
        <w:suppressAutoHyphens/>
        <w:spacing w:after="0" w:line="240" w:lineRule="atLeast"/>
        <w:jc w:val="both"/>
        <w:rPr>
          <w:rFonts w:ascii="Arial" w:eastAsia="Times New Roman" w:hAnsi="Arial" w:cs="Arial"/>
          <w:spacing w:val="-3"/>
          <w:sz w:val="28"/>
          <w:szCs w:val="28"/>
          <w:lang w:val="es-ES_tradnl" w:eastAsia="es-ES"/>
        </w:rPr>
      </w:pPr>
    </w:p>
    <w:p w14:paraId="36BC3ED2" w14:textId="77777777" w:rsidR="00676010" w:rsidRPr="00CF2780" w:rsidRDefault="00676010" w:rsidP="00676010">
      <w:pPr>
        <w:spacing w:after="0" w:line="360" w:lineRule="auto"/>
        <w:jc w:val="both"/>
        <w:rPr>
          <w:rFonts w:ascii="Arial" w:eastAsia="Times New Roman" w:hAnsi="Arial" w:cs="Arial"/>
          <w:spacing w:val="-3"/>
          <w:sz w:val="28"/>
          <w:szCs w:val="28"/>
          <w:lang w:val="es-ES_tradnl" w:eastAsia="es-ES"/>
        </w:rPr>
      </w:pPr>
      <w:r w:rsidRPr="00CF2780">
        <w:rPr>
          <w:rFonts w:ascii="Arial" w:eastAsia="Times New Roman" w:hAnsi="Arial" w:cs="Arial"/>
          <w:spacing w:val="-3"/>
          <w:sz w:val="28"/>
          <w:szCs w:val="28"/>
          <w:lang w:val="es-ES_tradnl" w:eastAsia="es-ES"/>
        </w:rPr>
        <w:t xml:space="preserve">México, Distrito Federal, a cinco de junio de dos mil dos. </w:t>
      </w:r>
    </w:p>
    <w:p w14:paraId="6EC2BD9A" w14:textId="77777777" w:rsidR="00676010" w:rsidRPr="00CF2780" w:rsidRDefault="00676010" w:rsidP="00676010">
      <w:pPr>
        <w:spacing w:after="0" w:line="360" w:lineRule="auto"/>
        <w:jc w:val="both"/>
        <w:rPr>
          <w:rFonts w:ascii="Arial" w:eastAsia="Times New Roman" w:hAnsi="Arial" w:cs="Arial"/>
          <w:spacing w:val="-3"/>
          <w:sz w:val="28"/>
          <w:szCs w:val="28"/>
          <w:lang w:val="es-ES_tradnl" w:eastAsia="es-ES"/>
        </w:rPr>
      </w:pPr>
    </w:p>
    <w:p w14:paraId="3FF0A971" w14:textId="77777777" w:rsidR="00676010" w:rsidRPr="00CF2780" w:rsidRDefault="00676010" w:rsidP="00676010">
      <w:pPr>
        <w:tabs>
          <w:tab w:val="left" w:pos="-720"/>
          <w:tab w:val="left" w:pos="4678"/>
        </w:tabs>
        <w:suppressAutoHyphens/>
        <w:spacing w:after="0" w:line="360" w:lineRule="auto"/>
        <w:ind w:right="51"/>
        <w:jc w:val="both"/>
        <w:rPr>
          <w:rFonts w:ascii="Arial" w:eastAsia="Times New Roman" w:hAnsi="Arial" w:cs="Arial"/>
          <w:spacing w:val="-3"/>
          <w:sz w:val="28"/>
          <w:szCs w:val="28"/>
          <w:lang w:val="es-ES_tradnl" w:eastAsia="es-ES"/>
        </w:rPr>
      </w:pPr>
      <w:r w:rsidRPr="00CF2780">
        <w:rPr>
          <w:rFonts w:ascii="Arial" w:eastAsia="Times New Roman" w:hAnsi="Arial" w:cs="Arial"/>
          <w:b/>
          <w:bCs/>
          <w:spacing w:val="-3"/>
          <w:sz w:val="28"/>
          <w:szCs w:val="28"/>
          <w:lang w:val="es-ES_tradnl" w:eastAsia="es-ES"/>
        </w:rPr>
        <w:t xml:space="preserve">VISTOS, </w:t>
      </w:r>
      <w:r w:rsidRPr="00CF2780">
        <w:rPr>
          <w:rFonts w:ascii="Arial" w:eastAsia="Times New Roman" w:hAnsi="Arial" w:cs="Arial"/>
          <w:spacing w:val="-3"/>
          <w:sz w:val="28"/>
          <w:szCs w:val="28"/>
          <w:lang w:val="es-ES_tradnl" w:eastAsia="es-ES"/>
        </w:rPr>
        <w:t>para resolver, los autos del juicio para la protección de los derechos político-electorales del ciudadano con número de expediente SUP-JDC-013/2002, promovido por Indalecio Martínez Domínguez, Raúl Lorenzo Hernández, Miguel Ortíz Pacheco, Rolando Bartolo López y Evergisto Díaz Pérez, en su carácter de concejales electos para el Municipio de Santiago Yaveo, Choápam, Oaxaca, en contra del Decreto número 32 de la Quincuagésima Octava Legislatura del H. Congreso del Estado Libre y Soberano de Oaxaca, erigido en Colegio Electoral, emitido el treinta y uno de diciembre de dos mil uno, y</w:t>
      </w:r>
    </w:p>
    <w:p w14:paraId="0EA12E7E" w14:textId="77777777" w:rsidR="00676010" w:rsidRPr="00CF2780" w:rsidRDefault="00676010" w:rsidP="00676010">
      <w:pPr>
        <w:tabs>
          <w:tab w:val="left" w:pos="-720"/>
          <w:tab w:val="left" w:pos="4678"/>
        </w:tabs>
        <w:suppressAutoHyphens/>
        <w:spacing w:after="0" w:line="360" w:lineRule="auto"/>
        <w:ind w:right="51"/>
        <w:jc w:val="both"/>
        <w:rPr>
          <w:rFonts w:ascii="Arial" w:eastAsia="Times New Roman" w:hAnsi="Arial" w:cs="Arial"/>
          <w:spacing w:val="-3"/>
          <w:sz w:val="28"/>
          <w:szCs w:val="28"/>
          <w:lang w:val="es-ES_tradnl" w:eastAsia="es-ES"/>
        </w:rPr>
      </w:pPr>
    </w:p>
    <w:p w14:paraId="58815477" w14:textId="77777777" w:rsidR="00676010" w:rsidRPr="00CF2780" w:rsidRDefault="00676010" w:rsidP="00676010">
      <w:pPr>
        <w:tabs>
          <w:tab w:val="left" w:pos="-720"/>
          <w:tab w:val="left" w:pos="4678"/>
        </w:tabs>
        <w:suppressAutoHyphens/>
        <w:spacing w:after="0" w:line="360" w:lineRule="auto"/>
        <w:ind w:right="51"/>
        <w:jc w:val="center"/>
        <w:rPr>
          <w:rFonts w:ascii="Arial" w:eastAsia="Times New Roman" w:hAnsi="Arial" w:cs="Arial"/>
          <w:b/>
          <w:bCs/>
          <w:spacing w:val="-3"/>
          <w:sz w:val="28"/>
          <w:szCs w:val="28"/>
          <w:lang w:val="es-ES_tradnl" w:eastAsia="es-ES"/>
        </w:rPr>
      </w:pPr>
      <w:r w:rsidRPr="00CF2780">
        <w:rPr>
          <w:rFonts w:ascii="Arial" w:eastAsia="Times New Roman" w:hAnsi="Arial" w:cs="Arial"/>
          <w:b/>
          <w:bCs/>
          <w:spacing w:val="-3"/>
          <w:sz w:val="28"/>
          <w:szCs w:val="28"/>
          <w:lang w:val="es-ES_tradnl" w:eastAsia="es-ES"/>
        </w:rPr>
        <w:t>R E S U L T A N D O :</w:t>
      </w:r>
    </w:p>
    <w:p w14:paraId="74923803" w14:textId="77777777" w:rsidR="00676010" w:rsidRPr="00CF2780" w:rsidRDefault="00676010" w:rsidP="00676010">
      <w:pPr>
        <w:tabs>
          <w:tab w:val="left" w:pos="-720"/>
          <w:tab w:val="left" w:pos="4678"/>
        </w:tabs>
        <w:suppressAutoHyphens/>
        <w:spacing w:after="0" w:line="360" w:lineRule="auto"/>
        <w:ind w:right="51"/>
        <w:jc w:val="center"/>
        <w:rPr>
          <w:rFonts w:ascii="Arial" w:eastAsia="Times New Roman" w:hAnsi="Arial" w:cs="Arial"/>
          <w:b/>
          <w:bCs/>
          <w:spacing w:val="-3"/>
          <w:sz w:val="28"/>
          <w:szCs w:val="28"/>
          <w:lang w:val="es-ES_tradnl" w:eastAsia="es-ES"/>
        </w:rPr>
      </w:pPr>
    </w:p>
    <w:p w14:paraId="287BC2AD" w14:textId="77777777" w:rsidR="00676010" w:rsidRPr="00CF2780" w:rsidRDefault="00676010" w:rsidP="00676010">
      <w:pPr>
        <w:tabs>
          <w:tab w:val="left" w:pos="-720"/>
          <w:tab w:val="left" w:pos="4678"/>
        </w:tabs>
        <w:suppressAutoHyphens/>
        <w:spacing w:after="0" w:line="360" w:lineRule="auto"/>
        <w:ind w:right="51"/>
        <w:jc w:val="both"/>
        <w:rPr>
          <w:rFonts w:ascii="Arial" w:eastAsia="Times New Roman" w:hAnsi="Arial" w:cs="Arial"/>
          <w:spacing w:val="-3"/>
          <w:sz w:val="28"/>
          <w:szCs w:val="28"/>
          <w:lang w:val="es-ES_tradnl" w:eastAsia="es-ES"/>
        </w:rPr>
      </w:pPr>
      <w:r w:rsidRPr="00CF2780">
        <w:rPr>
          <w:rFonts w:ascii="Arial" w:eastAsia="Times New Roman" w:hAnsi="Arial" w:cs="Arial"/>
          <w:b/>
          <w:bCs/>
          <w:spacing w:val="-3"/>
          <w:sz w:val="28"/>
          <w:szCs w:val="28"/>
          <w:lang w:val="es-ES_tradnl" w:eastAsia="es-ES"/>
        </w:rPr>
        <w:t xml:space="preserve">I. </w:t>
      </w:r>
      <w:r w:rsidRPr="00CF2780">
        <w:rPr>
          <w:rFonts w:ascii="Arial" w:eastAsia="Times New Roman" w:hAnsi="Arial" w:cs="Arial"/>
          <w:spacing w:val="-3"/>
          <w:sz w:val="28"/>
          <w:szCs w:val="28"/>
          <w:lang w:val="es-ES_tradnl" w:eastAsia="es-ES"/>
        </w:rPr>
        <w:t xml:space="preserve">El dos de diciembre de dos mil uno, en el municipio de Santiago Yaveo, Choápam, Oaxaca, se llevó a cabo la asamblea general comunitaria para </w:t>
      </w:r>
      <w:r w:rsidRPr="00CF2780">
        <w:rPr>
          <w:rFonts w:ascii="Arial" w:eastAsia="Times New Roman" w:hAnsi="Arial" w:cs="Arial"/>
          <w:spacing w:val="-3"/>
          <w:sz w:val="28"/>
          <w:szCs w:val="28"/>
          <w:lang w:val="es-ES_tradnl" w:eastAsia="es-ES"/>
        </w:rPr>
        <w:lastRenderedPageBreak/>
        <w:t>elegir a las autoridades municipales para el trienio 2002-2004, resultando concejales electos las siguientes personas:</w:t>
      </w:r>
    </w:p>
    <w:p w14:paraId="2EE83CCB" w14:textId="77777777" w:rsidR="00676010" w:rsidRPr="00CF2780" w:rsidRDefault="00676010" w:rsidP="00676010">
      <w:pPr>
        <w:tabs>
          <w:tab w:val="left" w:pos="-720"/>
          <w:tab w:val="left" w:pos="4678"/>
        </w:tabs>
        <w:suppressAutoHyphens/>
        <w:spacing w:after="0" w:line="360" w:lineRule="auto"/>
        <w:ind w:right="51"/>
        <w:jc w:val="both"/>
        <w:rPr>
          <w:rFonts w:ascii="Arial" w:eastAsia="Times New Roman" w:hAnsi="Arial" w:cs="Arial"/>
          <w:spacing w:val="-3"/>
          <w:sz w:val="28"/>
          <w:szCs w:val="28"/>
          <w:lang w:val="es-ES_tradnl" w:eastAsia="es-E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80"/>
        <w:gridCol w:w="4140"/>
      </w:tblGrid>
      <w:tr w:rsidR="00676010" w:rsidRPr="00CF2780" w14:paraId="18CFB47F" w14:textId="77777777" w:rsidTr="00B05F31">
        <w:tc>
          <w:tcPr>
            <w:tcW w:w="3780" w:type="dxa"/>
            <w:shd w:val="clear" w:color="auto" w:fill="B3B3B3"/>
          </w:tcPr>
          <w:p w14:paraId="1E70F856" w14:textId="77777777" w:rsidR="00676010" w:rsidRPr="00CF2780" w:rsidRDefault="00676010" w:rsidP="00676010">
            <w:pPr>
              <w:keepNext/>
              <w:tabs>
                <w:tab w:val="left" w:pos="-720"/>
                <w:tab w:val="left" w:pos="4678"/>
              </w:tabs>
              <w:suppressAutoHyphens/>
              <w:spacing w:after="0" w:line="240" w:lineRule="auto"/>
              <w:ind w:right="431"/>
              <w:jc w:val="center"/>
              <w:outlineLvl w:val="8"/>
              <w:rPr>
                <w:rFonts w:ascii="Arial" w:eastAsia="Times New Roman" w:hAnsi="Arial" w:cs="Arial"/>
                <w:b/>
                <w:bCs/>
                <w:spacing w:val="-3"/>
                <w:sz w:val="24"/>
                <w:szCs w:val="28"/>
                <w:lang w:val="es-ES_tradnl" w:eastAsia="es-ES"/>
              </w:rPr>
            </w:pPr>
            <w:r w:rsidRPr="00CF2780">
              <w:rPr>
                <w:rFonts w:ascii="Arial" w:eastAsia="Times New Roman" w:hAnsi="Arial" w:cs="Arial"/>
                <w:b/>
                <w:bCs/>
                <w:spacing w:val="-3"/>
                <w:sz w:val="24"/>
                <w:szCs w:val="28"/>
                <w:lang w:val="es-ES_tradnl" w:eastAsia="es-ES"/>
              </w:rPr>
              <w:t>PROPIETARIOS</w:t>
            </w:r>
          </w:p>
        </w:tc>
        <w:tc>
          <w:tcPr>
            <w:tcW w:w="4140" w:type="dxa"/>
            <w:shd w:val="clear" w:color="auto" w:fill="B3B3B3"/>
          </w:tcPr>
          <w:p w14:paraId="6EF3C4BF" w14:textId="77777777" w:rsidR="00676010" w:rsidRPr="00CF2780" w:rsidRDefault="00676010" w:rsidP="00676010">
            <w:pPr>
              <w:tabs>
                <w:tab w:val="left" w:pos="-720"/>
                <w:tab w:val="left" w:pos="4678"/>
              </w:tabs>
              <w:suppressAutoHyphens/>
              <w:spacing w:after="0" w:line="240" w:lineRule="auto"/>
              <w:ind w:right="431"/>
              <w:jc w:val="center"/>
              <w:rPr>
                <w:rFonts w:ascii="Arial" w:eastAsia="Times New Roman" w:hAnsi="Arial" w:cs="Arial"/>
                <w:b/>
                <w:bCs/>
                <w:spacing w:val="-3"/>
                <w:sz w:val="24"/>
                <w:szCs w:val="28"/>
                <w:lang w:val="es-ES_tradnl" w:eastAsia="es-ES"/>
              </w:rPr>
            </w:pPr>
            <w:r w:rsidRPr="00CF2780">
              <w:rPr>
                <w:rFonts w:ascii="Arial" w:eastAsia="Times New Roman" w:hAnsi="Arial" w:cs="Arial"/>
                <w:b/>
                <w:bCs/>
                <w:spacing w:val="-3"/>
                <w:sz w:val="24"/>
                <w:szCs w:val="28"/>
                <w:lang w:val="es-ES_tradnl" w:eastAsia="es-ES"/>
              </w:rPr>
              <w:t>SUPLENTES</w:t>
            </w:r>
          </w:p>
        </w:tc>
      </w:tr>
      <w:tr w:rsidR="00676010" w:rsidRPr="00CF2780" w14:paraId="5049518D" w14:textId="77777777" w:rsidTr="00B05F31">
        <w:tc>
          <w:tcPr>
            <w:tcW w:w="3780" w:type="dxa"/>
          </w:tcPr>
          <w:p w14:paraId="734C2F32" w14:textId="77777777" w:rsidR="00676010" w:rsidRPr="00CF2780" w:rsidRDefault="00676010" w:rsidP="00676010">
            <w:pPr>
              <w:tabs>
                <w:tab w:val="left" w:pos="-720"/>
                <w:tab w:val="left" w:pos="4678"/>
              </w:tabs>
              <w:suppressAutoHyphens/>
              <w:spacing w:after="0" w:line="240" w:lineRule="auto"/>
              <w:ind w:right="431"/>
              <w:jc w:val="both"/>
              <w:rPr>
                <w:rFonts w:ascii="Arial" w:eastAsia="Times New Roman" w:hAnsi="Arial" w:cs="Arial"/>
                <w:spacing w:val="-3"/>
                <w:sz w:val="24"/>
                <w:szCs w:val="28"/>
                <w:lang w:val="es-ES_tradnl" w:eastAsia="es-ES"/>
              </w:rPr>
            </w:pPr>
            <w:r w:rsidRPr="00CF2780">
              <w:rPr>
                <w:rFonts w:ascii="Arial" w:eastAsia="Times New Roman" w:hAnsi="Arial" w:cs="Arial"/>
                <w:spacing w:val="-3"/>
                <w:sz w:val="24"/>
                <w:szCs w:val="28"/>
                <w:lang w:val="es-ES_tradnl" w:eastAsia="es-ES"/>
              </w:rPr>
              <w:t>Indalecio Martínez Domínguez</w:t>
            </w:r>
          </w:p>
        </w:tc>
        <w:tc>
          <w:tcPr>
            <w:tcW w:w="4140" w:type="dxa"/>
          </w:tcPr>
          <w:p w14:paraId="4CBB80CF" w14:textId="77777777" w:rsidR="00676010" w:rsidRPr="00CF2780" w:rsidRDefault="00676010" w:rsidP="00676010">
            <w:pPr>
              <w:tabs>
                <w:tab w:val="left" w:pos="-720"/>
                <w:tab w:val="left" w:pos="4678"/>
              </w:tabs>
              <w:suppressAutoHyphens/>
              <w:spacing w:after="0" w:line="240" w:lineRule="auto"/>
              <w:ind w:right="431"/>
              <w:jc w:val="both"/>
              <w:rPr>
                <w:rFonts w:ascii="Arial" w:eastAsia="Times New Roman" w:hAnsi="Arial" w:cs="Arial"/>
                <w:spacing w:val="-3"/>
                <w:sz w:val="24"/>
                <w:szCs w:val="28"/>
                <w:lang w:val="es-ES_tradnl" w:eastAsia="es-ES"/>
              </w:rPr>
            </w:pPr>
            <w:r w:rsidRPr="00CF2780">
              <w:rPr>
                <w:rFonts w:ascii="Arial" w:eastAsia="Times New Roman" w:hAnsi="Arial" w:cs="Arial"/>
                <w:spacing w:val="-3"/>
                <w:sz w:val="24"/>
                <w:szCs w:val="28"/>
                <w:lang w:val="es-ES_tradnl" w:eastAsia="es-ES"/>
              </w:rPr>
              <w:t>Filemón Ortíz Miguel</w:t>
            </w:r>
          </w:p>
        </w:tc>
      </w:tr>
      <w:tr w:rsidR="00676010" w:rsidRPr="00CF2780" w14:paraId="3571824C" w14:textId="77777777" w:rsidTr="00B05F31">
        <w:tc>
          <w:tcPr>
            <w:tcW w:w="3780" w:type="dxa"/>
          </w:tcPr>
          <w:p w14:paraId="27CA6B96" w14:textId="77777777" w:rsidR="00676010" w:rsidRPr="00CF2780" w:rsidRDefault="00676010" w:rsidP="00676010">
            <w:pPr>
              <w:tabs>
                <w:tab w:val="left" w:pos="-720"/>
                <w:tab w:val="left" w:pos="4678"/>
              </w:tabs>
              <w:suppressAutoHyphens/>
              <w:spacing w:after="0" w:line="240" w:lineRule="auto"/>
              <w:ind w:right="431"/>
              <w:jc w:val="both"/>
              <w:rPr>
                <w:rFonts w:ascii="Arial" w:eastAsia="Times New Roman" w:hAnsi="Arial" w:cs="Arial"/>
                <w:spacing w:val="-3"/>
                <w:sz w:val="24"/>
                <w:szCs w:val="28"/>
                <w:lang w:val="es-ES_tradnl" w:eastAsia="es-ES"/>
              </w:rPr>
            </w:pPr>
            <w:r w:rsidRPr="00CF2780">
              <w:rPr>
                <w:rFonts w:ascii="Arial" w:eastAsia="Times New Roman" w:hAnsi="Arial" w:cs="Arial"/>
                <w:spacing w:val="-3"/>
                <w:sz w:val="24"/>
                <w:szCs w:val="28"/>
                <w:lang w:val="es-ES_tradnl" w:eastAsia="es-ES"/>
              </w:rPr>
              <w:t>Raúl Lorenzo Hernández</w:t>
            </w:r>
          </w:p>
        </w:tc>
        <w:tc>
          <w:tcPr>
            <w:tcW w:w="4140" w:type="dxa"/>
          </w:tcPr>
          <w:p w14:paraId="1B8E1969" w14:textId="77777777" w:rsidR="00676010" w:rsidRPr="00CF2780" w:rsidRDefault="00676010" w:rsidP="00676010">
            <w:pPr>
              <w:tabs>
                <w:tab w:val="left" w:pos="-720"/>
                <w:tab w:val="left" w:pos="4678"/>
              </w:tabs>
              <w:suppressAutoHyphens/>
              <w:spacing w:after="0" w:line="240" w:lineRule="auto"/>
              <w:ind w:right="431"/>
              <w:jc w:val="both"/>
              <w:rPr>
                <w:rFonts w:ascii="Arial" w:eastAsia="Times New Roman" w:hAnsi="Arial" w:cs="Arial"/>
                <w:spacing w:val="-3"/>
                <w:sz w:val="24"/>
                <w:szCs w:val="28"/>
                <w:lang w:val="es-ES_tradnl" w:eastAsia="es-ES"/>
              </w:rPr>
            </w:pPr>
            <w:r w:rsidRPr="00CF2780">
              <w:rPr>
                <w:rFonts w:ascii="Arial" w:eastAsia="Times New Roman" w:hAnsi="Arial" w:cs="Arial"/>
                <w:spacing w:val="-3"/>
                <w:sz w:val="24"/>
                <w:szCs w:val="28"/>
                <w:lang w:val="es-ES_tradnl" w:eastAsia="es-ES"/>
              </w:rPr>
              <w:t>Augusto Narváez Robles</w:t>
            </w:r>
          </w:p>
        </w:tc>
      </w:tr>
      <w:tr w:rsidR="00676010" w:rsidRPr="00CF2780" w14:paraId="6DD0546B" w14:textId="77777777" w:rsidTr="00B05F31">
        <w:tc>
          <w:tcPr>
            <w:tcW w:w="3780" w:type="dxa"/>
          </w:tcPr>
          <w:p w14:paraId="5EA07D71" w14:textId="77777777" w:rsidR="00676010" w:rsidRPr="00CF2780" w:rsidRDefault="00676010" w:rsidP="00676010">
            <w:pPr>
              <w:tabs>
                <w:tab w:val="left" w:pos="-720"/>
                <w:tab w:val="left" w:pos="4678"/>
              </w:tabs>
              <w:suppressAutoHyphens/>
              <w:spacing w:after="0" w:line="240" w:lineRule="auto"/>
              <w:ind w:right="431"/>
              <w:jc w:val="both"/>
              <w:rPr>
                <w:rFonts w:ascii="Arial" w:eastAsia="Times New Roman" w:hAnsi="Arial" w:cs="Arial"/>
                <w:spacing w:val="-3"/>
                <w:sz w:val="24"/>
                <w:szCs w:val="28"/>
                <w:lang w:val="es-ES_tradnl" w:eastAsia="es-ES"/>
              </w:rPr>
            </w:pPr>
            <w:r w:rsidRPr="00CF2780">
              <w:rPr>
                <w:rFonts w:ascii="Arial" w:eastAsia="Times New Roman" w:hAnsi="Arial" w:cs="Arial"/>
                <w:spacing w:val="-3"/>
                <w:sz w:val="24"/>
                <w:szCs w:val="28"/>
                <w:lang w:val="es-ES_tradnl" w:eastAsia="es-ES"/>
              </w:rPr>
              <w:t>Miguel Ortíz Pacheco</w:t>
            </w:r>
          </w:p>
        </w:tc>
        <w:tc>
          <w:tcPr>
            <w:tcW w:w="4140" w:type="dxa"/>
          </w:tcPr>
          <w:p w14:paraId="4DF93E1A" w14:textId="77777777" w:rsidR="00676010" w:rsidRPr="00CF2780" w:rsidRDefault="00676010" w:rsidP="00676010">
            <w:pPr>
              <w:tabs>
                <w:tab w:val="left" w:pos="-720"/>
                <w:tab w:val="left" w:pos="4678"/>
              </w:tabs>
              <w:suppressAutoHyphens/>
              <w:spacing w:after="0" w:line="240" w:lineRule="auto"/>
              <w:ind w:right="431"/>
              <w:jc w:val="both"/>
              <w:rPr>
                <w:rFonts w:ascii="Arial" w:eastAsia="Times New Roman" w:hAnsi="Arial" w:cs="Arial"/>
                <w:spacing w:val="-3"/>
                <w:sz w:val="24"/>
                <w:szCs w:val="28"/>
                <w:lang w:val="es-ES_tradnl" w:eastAsia="es-ES"/>
              </w:rPr>
            </w:pPr>
            <w:r w:rsidRPr="00CF2780">
              <w:rPr>
                <w:rFonts w:ascii="Arial" w:eastAsia="Times New Roman" w:hAnsi="Arial" w:cs="Arial"/>
                <w:spacing w:val="-3"/>
                <w:sz w:val="24"/>
                <w:szCs w:val="28"/>
                <w:lang w:val="es-ES_tradnl" w:eastAsia="es-ES"/>
              </w:rPr>
              <w:t>Bulmaro López Andrés</w:t>
            </w:r>
          </w:p>
        </w:tc>
      </w:tr>
      <w:tr w:rsidR="00676010" w:rsidRPr="00CF2780" w14:paraId="52C1E70F" w14:textId="77777777" w:rsidTr="00B05F31">
        <w:tc>
          <w:tcPr>
            <w:tcW w:w="3780" w:type="dxa"/>
          </w:tcPr>
          <w:p w14:paraId="6C437911" w14:textId="77777777" w:rsidR="00676010" w:rsidRPr="00CF2780" w:rsidRDefault="00676010" w:rsidP="00676010">
            <w:pPr>
              <w:tabs>
                <w:tab w:val="left" w:pos="-720"/>
                <w:tab w:val="left" w:pos="4678"/>
              </w:tabs>
              <w:suppressAutoHyphens/>
              <w:spacing w:after="0" w:line="240" w:lineRule="auto"/>
              <w:ind w:right="431"/>
              <w:jc w:val="both"/>
              <w:rPr>
                <w:rFonts w:ascii="Arial" w:eastAsia="Times New Roman" w:hAnsi="Arial" w:cs="Arial"/>
                <w:spacing w:val="-3"/>
                <w:sz w:val="24"/>
                <w:szCs w:val="28"/>
                <w:lang w:val="es-ES_tradnl" w:eastAsia="es-ES"/>
              </w:rPr>
            </w:pPr>
            <w:r w:rsidRPr="00CF2780">
              <w:rPr>
                <w:rFonts w:ascii="Arial" w:eastAsia="Times New Roman" w:hAnsi="Arial" w:cs="Arial"/>
                <w:spacing w:val="-3"/>
                <w:sz w:val="24"/>
                <w:szCs w:val="28"/>
                <w:lang w:val="es-ES_tradnl" w:eastAsia="es-ES"/>
              </w:rPr>
              <w:t>Rolando Bartolo López</w:t>
            </w:r>
          </w:p>
        </w:tc>
        <w:tc>
          <w:tcPr>
            <w:tcW w:w="4140" w:type="dxa"/>
          </w:tcPr>
          <w:p w14:paraId="7388661A" w14:textId="77777777" w:rsidR="00676010" w:rsidRPr="00CF2780" w:rsidRDefault="00676010" w:rsidP="00676010">
            <w:pPr>
              <w:tabs>
                <w:tab w:val="left" w:pos="-720"/>
                <w:tab w:val="left" w:pos="4678"/>
              </w:tabs>
              <w:suppressAutoHyphens/>
              <w:spacing w:after="0" w:line="240" w:lineRule="auto"/>
              <w:ind w:right="431"/>
              <w:jc w:val="both"/>
              <w:rPr>
                <w:rFonts w:ascii="Arial" w:eastAsia="Times New Roman" w:hAnsi="Arial" w:cs="Arial"/>
                <w:spacing w:val="-3"/>
                <w:sz w:val="24"/>
                <w:szCs w:val="28"/>
                <w:lang w:val="es-ES_tradnl" w:eastAsia="es-ES"/>
              </w:rPr>
            </w:pPr>
            <w:r w:rsidRPr="00CF2780">
              <w:rPr>
                <w:rFonts w:ascii="Arial" w:eastAsia="Times New Roman" w:hAnsi="Arial" w:cs="Arial"/>
                <w:spacing w:val="-3"/>
                <w:sz w:val="24"/>
                <w:szCs w:val="28"/>
                <w:lang w:val="es-ES_tradnl" w:eastAsia="es-ES"/>
              </w:rPr>
              <w:t>Leonardo Domínguez Sánchez</w:t>
            </w:r>
          </w:p>
        </w:tc>
      </w:tr>
      <w:tr w:rsidR="00676010" w:rsidRPr="00CF2780" w14:paraId="585475D1" w14:textId="77777777" w:rsidTr="00B05F31">
        <w:tc>
          <w:tcPr>
            <w:tcW w:w="3780" w:type="dxa"/>
          </w:tcPr>
          <w:p w14:paraId="73CA0EC6" w14:textId="77777777" w:rsidR="00676010" w:rsidRPr="00CF2780" w:rsidRDefault="00676010" w:rsidP="00676010">
            <w:pPr>
              <w:tabs>
                <w:tab w:val="left" w:pos="-720"/>
                <w:tab w:val="left" w:pos="4678"/>
              </w:tabs>
              <w:suppressAutoHyphens/>
              <w:spacing w:after="0" w:line="240" w:lineRule="auto"/>
              <w:ind w:right="431"/>
              <w:jc w:val="both"/>
              <w:rPr>
                <w:rFonts w:ascii="Arial" w:eastAsia="Times New Roman" w:hAnsi="Arial" w:cs="Arial"/>
                <w:spacing w:val="-3"/>
                <w:sz w:val="24"/>
                <w:szCs w:val="28"/>
                <w:lang w:val="es-ES_tradnl" w:eastAsia="es-ES"/>
              </w:rPr>
            </w:pPr>
            <w:r w:rsidRPr="00CF2780">
              <w:rPr>
                <w:rFonts w:ascii="Arial" w:eastAsia="Times New Roman" w:hAnsi="Arial" w:cs="Arial"/>
                <w:spacing w:val="-3"/>
                <w:sz w:val="24"/>
                <w:szCs w:val="28"/>
                <w:lang w:val="es-ES_tradnl" w:eastAsia="es-ES"/>
              </w:rPr>
              <w:t>Evergisto Díaz Pérez</w:t>
            </w:r>
          </w:p>
        </w:tc>
        <w:tc>
          <w:tcPr>
            <w:tcW w:w="4140" w:type="dxa"/>
          </w:tcPr>
          <w:p w14:paraId="29A5CA73" w14:textId="77777777" w:rsidR="00676010" w:rsidRPr="00CF2780" w:rsidRDefault="00676010" w:rsidP="00676010">
            <w:pPr>
              <w:tabs>
                <w:tab w:val="left" w:pos="-720"/>
                <w:tab w:val="left" w:pos="4678"/>
              </w:tabs>
              <w:suppressAutoHyphens/>
              <w:spacing w:after="0" w:line="240" w:lineRule="auto"/>
              <w:ind w:right="431"/>
              <w:jc w:val="both"/>
              <w:rPr>
                <w:rFonts w:ascii="Arial" w:eastAsia="Times New Roman" w:hAnsi="Arial" w:cs="Arial"/>
                <w:spacing w:val="-3"/>
                <w:sz w:val="24"/>
                <w:szCs w:val="28"/>
                <w:lang w:val="es-ES_tradnl" w:eastAsia="es-ES"/>
              </w:rPr>
            </w:pPr>
            <w:r w:rsidRPr="00CF2780">
              <w:rPr>
                <w:rFonts w:ascii="Arial" w:eastAsia="Times New Roman" w:hAnsi="Arial" w:cs="Arial"/>
                <w:spacing w:val="-3"/>
                <w:sz w:val="24"/>
                <w:szCs w:val="28"/>
                <w:lang w:val="es-ES_tradnl" w:eastAsia="es-ES"/>
              </w:rPr>
              <w:t>Alberto Vicente Vargas</w:t>
            </w:r>
          </w:p>
        </w:tc>
      </w:tr>
    </w:tbl>
    <w:p w14:paraId="3B38BD2D" w14:textId="77777777" w:rsidR="00676010" w:rsidRPr="00CF2780" w:rsidRDefault="00676010" w:rsidP="00676010">
      <w:pPr>
        <w:tabs>
          <w:tab w:val="left" w:pos="-720"/>
          <w:tab w:val="left" w:pos="4678"/>
        </w:tabs>
        <w:suppressAutoHyphens/>
        <w:spacing w:after="0" w:line="360" w:lineRule="auto"/>
        <w:ind w:right="51"/>
        <w:jc w:val="both"/>
        <w:rPr>
          <w:rFonts w:ascii="Arial" w:eastAsia="Times New Roman" w:hAnsi="Arial" w:cs="Arial"/>
          <w:b/>
          <w:bCs/>
          <w:spacing w:val="-3"/>
          <w:sz w:val="28"/>
          <w:szCs w:val="28"/>
          <w:lang w:val="es-ES_tradnl" w:eastAsia="es-ES"/>
        </w:rPr>
      </w:pPr>
    </w:p>
    <w:p w14:paraId="0ABE308E" w14:textId="77777777" w:rsidR="00676010" w:rsidRPr="00CF2780" w:rsidRDefault="00676010" w:rsidP="00676010">
      <w:pPr>
        <w:tabs>
          <w:tab w:val="left" w:pos="-720"/>
          <w:tab w:val="left" w:pos="4678"/>
        </w:tabs>
        <w:suppressAutoHyphens/>
        <w:spacing w:after="0" w:line="360" w:lineRule="auto"/>
        <w:ind w:right="51"/>
        <w:jc w:val="both"/>
        <w:rPr>
          <w:rFonts w:ascii="Arial" w:eastAsia="Times New Roman" w:hAnsi="Arial" w:cs="Arial"/>
          <w:spacing w:val="-3"/>
          <w:sz w:val="28"/>
          <w:szCs w:val="28"/>
          <w:lang w:val="es-ES_tradnl" w:eastAsia="es-ES"/>
        </w:rPr>
      </w:pPr>
      <w:r w:rsidRPr="00CF2780">
        <w:rPr>
          <w:rFonts w:ascii="Arial" w:eastAsia="Times New Roman" w:hAnsi="Arial" w:cs="Arial"/>
          <w:b/>
          <w:bCs/>
          <w:spacing w:val="-3"/>
          <w:sz w:val="28"/>
          <w:szCs w:val="28"/>
          <w:lang w:val="es-ES_tradnl" w:eastAsia="es-ES"/>
        </w:rPr>
        <w:t xml:space="preserve">II. </w:t>
      </w:r>
      <w:r w:rsidRPr="00CF2780">
        <w:rPr>
          <w:rFonts w:ascii="Arial" w:eastAsia="Times New Roman" w:hAnsi="Arial" w:cs="Arial"/>
          <w:spacing w:val="-3"/>
          <w:sz w:val="28"/>
          <w:szCs w:val="28"/>
          <w:lang w:val="es-ES_tradnl" w:eastAsia="es-ES"/>
        </w:rPr>
        <w:t>El veinte de diciembre siguiente, el Consejo General del Instituto Estatal Electoral del Estado de Oaxaca declaró la validez de la elección y expidió la constancia de mayoría de la elección por el sistema de usos y costumbres en el municipio de Santiago Yaveo a las personas señaladas en el párrafo que antecede.</w:t>
      </w:r>
    </w:p>
    <w:p w14:paraId="3D597CD2" w14:textId="77777777" w:rsidR="00676010" w:rsidRPr="00CF2780" w:rsidRDefault="00676010" w:rsidP="00676010">
      <w:pPr>
        <w:tabs>
          <w:tab w:val="left" w:pos="-720"/>
          <w:tab w:val="left" w:pos="4678"/>
        </w:tabs>
        <w:suppressAutoHyphens/>
        <w:spacing w:after="0" w:line="360" w:lineRule="auto"/>
        <w:ind w:right="51"/>
        <w:jc w:val="both"/>
        <w:rPr>
          <w:rFonts w:ascii="Arial" w:eastAsia="Times New Roman" w:hAnsi="Arial" w:cs="Arial"/>
          <w:spacing w:val="-3"/>
          <w:sz w:val="28"/>
          <w:szCs w:val="28"/>
          <w:lang w:val="es-ES_tradnl" w:eastAsia="es-ES"/>
        </w:rPr>
      </w:pPr>
    </w:p>
    <w:p w14:paraId="2D1657D6" w14:textId="77777777" w:rsidR="00676010" w:rsidRPr="00CF2780" w:rsidRDefault="00676010" w:rsidP="00676010">
      <w:pPr>
        <w:tabs>
          <w:tab w:val="left" w:pos="-720"/>
          <w:tab w:val="left" w:pos="4678"/>
        </w:tabs>
        <w:suppressAutoHyphens/>
        <w:spacing w:after="0" w:line="360" w:lineRule="auto"/>
        <w:ind w:right="51"/>
        <w:jc w:val="both"/>
        <w:rPr>
          <w:rFonts w:ascii="Arial" w:eastAsia="Times New Roman" w:hAnsi="Arial" w:cs="Arial"/>
          <w:spacing w:val="-3"/>
          <w:sz w:val="28"/>
          <w:szCs w:val="28"/>
          <w:lang w:val="es-ES_tradnl" w:eastAsia="es-ES"/>
        </w:rPr>
      </w:pPr>
      <w:r w:rsidRPr="00CF2780">
        <w:rPr>
          <w:rFonts w:ascii="Arial" w:eastAsia="Times New Roman" w:hAnsi="Arial" w:cs="Arial"/>
          <w:b/>
          <w:bCs/>
          <w:spacing w:val="-3"/>
          <w:sz w:val="28"/>
          <w:szCs w:val="28"/>
          <w:lang w:val="es-ES_tradnl" w:eastAsia="es-ES"/>
        </w:rPr>
        <w:t>III.</w:t>
      </w:r>
      <w:r w:rsidRPr="00CF2780">
        <w:rPr>
          <w:rFonts w:ascii="Arial" w:eastAsia="Times New Roman" w:hAnsi="Arial" w:cs="Arial"/>
          <w:spacing w:val="-3"/>
          <w:sz w:val="28"/>
          <w:szCs w:val="28"/>
          <w:lang w:val="es-ES_tradnl" w:eastAsia="es-ES"/>
        </w:rPr>
        <w:t xml:space="preserve"> El treinta y uno de diciembre del dos mil uno, el Congreso del Estado de Oaxaca, erigido en Colegio Electoral, emitió el Decreto número 32, en el que precisó:</w:t>
      </w:r>
    </w:p>
    <w:p w14:paraId="4D347486" w14:textId="77777777" w:rsidR="00676010" w:rsidRPr="00CF2780" w:rsidRDefault="00676010" w:rsidP="00676010">
      <w:pPr>
        <w:tabs>
          <w:tab w:val="left" w:pos="-720"/>
          <w:tab w:val="left" w:pos="4678"/>
        </w:tabs>
        <w:suppressAutoHyphens/>
        <w:spacing w:after="0" w:line="360" w:lineRule="auto"/>
        <w:ind w:right="51"/>
        <w:jc w:val="both"/>
        <w:rPr>
          <w:rFonts w:ascii="Arial" w:eastAsia="Times New Roman" w:hAnsi="Arial" w:cs="Arial"/>
          <w:spacing w:val="-3"/>
          <w:sz w:val="28"/>
          <w:szCs w:val="28"/>
          <w:lang w:val="es-ES_tradnl" w:eastAsia="es-ES"/>
        </w:rPr>
      </w:pPr>
    </w:p>
    <w:p w14:paraId="706712F7" w14:textId="77777777" w:rsidR="00676010" w:rsidRPr="00CF2780" w:rsidRDefault="00676010" w:rsidP="00676010">
      <w:pPr>
        <w:spacing w:after="0" w:line="240" w:lineRule="auto"/>
        <w:ind w:left="540" w:right="720"/>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“LA QUINCUAGÉSIMA OCTAVA LEGISLATURA CONSTITUCIONAL DEL ESTADO LIBRE Y SOBERANO DE OAXACA, ERIGIDA EN COLEGIO ELECTORAL,</w:t>
      </w:r>
    </w:p>
    <w:p w14:paraId="3D4F8936" w14:textId="77777777" w:rsidR="00676010" w:rsidRPr="00CF2780" w:rsidRDefault="00676010" w:rsidP="00676010">
      <w:pPr>
        <w:tabs>
          <w:tab w:val="left" w:pos="-720"/>
        </w:tabs>
        <w:suppressAutoHyphens/>
        <w:spacing w:after="0" w:line="240" w:lineRule="auto"/>
        <w:ind w:left="539" w:right="607"/>
        <w:jc w:val="center"/>
        <w:rPr>
          <w:rFonts w:ascii="Arial" w:eastAsia="Times New Roman" w:hAnsi="Arial" w:cs="Arial"/>
          <w:b/>
          <w:bCs/>
          <w:spacing w:val="-3"/>
          <w:sz w:val="24"/>
          <w:szCs w:val="28"/>
          <w:lang w:val="es-ES_tradnl" w:eastAsia="es-ES"/>
        </w:rPr>
      </w:pPr>
    </w:p>
    <w:p w14:paraId="2F4FC3A5" w14:textId="77777777" w:rsidR="00676010" w:rsidRPr="00CF2780" w:rsidRDefault="00676010" w:rsidP="00676010">
      <w:pPr>
        <w:tabs>
          <w:tab w:val="left" w:pos="-720"/>
        </w:tabs>
        <w:suppressAutoHyphens/>
        <w:spacing w:after="0" w:line="240" w:lineRule="auto"/>
        <w:ind w:left="539" w:right="607"/>
        <w:jc w:val="center"/>
        <w:rPr>
          <w:rFonts w:ascii="Arial" w:eastAsia="Times New Roman" w:hAnsi="Arial" w:cs="Arial"/>
          <w:b/>
          <w:bCs/>
          <w:spacing w:val="-3"/>
          <w:sz w:val="24"/>
          <w:szCs w:val="28"/>
          <w:lang w:val="es-ES_tradnl" w:eastAsia="es-ES"/>
        </w:rPr>
      </w:pPr>
      <w:r w:rsidRPr="00CF2780">
        <w:rPr>
          <w:rFonts w:ascii="Arial" w:eastAsia="Times New Roman" w:hAnsi="Arial" w:cs="Arial"/>
          <w:b/>
          <w:bCs/>
          <w:spacing w:val="-3"/>
          <w:sz w:val="24"/>
          <w:szCs w:val="28"/>
          <w:lang w:val="es-ES_tradnl" w:eastAsia="es-ES"/>
        </w:rPr>
        <w:t>DECRETA:</w:t>
      </w:r>
    </w:p>
    <w:p w14:paraId="2211616B" w14:textId="77777777" w:rsidR="00676010" w:rsidRPr="00CF2780" w:rsidRDefault="00676010" w:rsidP="00676010">
      <w:pPr>
        <w:tabs>
          <w:tab w:val="left" w:pos="-720"/>
        </w:tabs>
        <w:suppressAutoHyphens/>
        <w:spacing w:after="0" w:line="240" w:lineRule="auto"/>
        <w:ind w:left="539" w:right="607"/>
        <w:jc w:val="both"/>
        <w:rPr>
          <w:rFonts w:ascii="Arial" w:eastAsia="Times New Roman" w:hAnsi="Arial" w:cs="Arial"/>
          <w:spacing w:val="-3"/>
          <w:sz w:val="24"/>
          <w:szCs w:val="28"/>
          <w:lang w:val="es-ES_tradnl" w:eastAsia="es-ES"/>
        </w:rPr>
      </w:pPr>
    </w:p>
    <w:p w14:paraId="0FD2FC7F" w14:textId="77777777" w:rsidR="00676010" w:rsidRPr="00CF2780" w:rsidRDefault="00676010" w:rsidP="00676010">
      <w:pPr>
        <w:tabs>
          <w:tab w:val="left" w:pos="-720"/>
        </w:tabs>
        <w:suppressAutoHyphens/>
        <w:spacing w:after="0" w:line="240" w:lineRule="auto"/>
        <w:ind w:left="539" w:right="607"/>
        <w:jc w:val="both"/>
        <w:rPr>
          <w:rFonts w:ascii="Arial" w:eastAsia="Times New Roman" w:hAnsi="Arial" w:cs="Arial"/>
          <w:spacing w:val="-3"/>
          <w:sz w:val="24"/>
          <w:szCs w:val="28"/>
          <w:lang w:val="es-ES_tradnl" w:eastAsia="es-ES"/>
        </w:rPr>
      </w:pPr>
      <w:r w:rsidRPr="00CF2780">
        <w:rPr>
          <w:rFonts w:ascii="Arial" w:eastAsia="Times New Roman" w:hAnsi="Arial" w:cs="Arial"/>
          <w:b/>
          <w:bCs/>
          <w:spacing w:val="-3"/>
          <w:sz w:val="24"/>
          <w:szCs w:val="28"/>
          <w:lang w:val="es-ES_tradnl" w:eastAsia="es-ES"/>
        </w:rPr>
        <w:t>ARTÍCULO PRIMERO</w:t>
      </w:r>
      <w:r w:rsidRPr="00CF2780">
        <w:rPr>
          <w:rFonts w:ascii="Arial" w:eastAsia="Times New Roman" w:hAnsi="Arial" w:cs="Arial"/>
          <w:spacing w:val="-3"/>
          <w:sz w:val="24"/>
          <w:szCs w:val="28"/>
          <w:lang w:val="es-ES_tradnl" w:eastAsia="es-ES"/>
        </w:rPr>
        <w:t xml:space="preserve">.- No se valida ninguna de las asambleas para la elección de Concejales efectuadas en los Municipios de </w:t>
      </w:r>
      <w:r w:rsidRPr="00CF2780">
        <w:rPr>
          <w:rFonts w:ascii="Arial" w:eastAsia="Times New Roman" w:hAnsi="Arial" w:cs="Arial"/>
          <w:b/>
          <w:bCs/>
          <w:spacing w:val="-3"/>
          <w:sz w:val="24"/>
          <w:szCs w:val="28"/>
          <w:lang w:val="es-ES_tradnl" w:eastAsia="es-ES"/>
        </w:rPr>
        <w:t xml:space="preserve">SANTA INÉS DEL MONTE, </w:t>
      </w:r>
      <w:r w:rsidRPr="00CF2780">
        <w:rPr>
          <w:rFonts w:ascii="Arial" w:eastAsia="Times New Roman" w:hAnsi="Arial" w:cs="Arial"/>
          <w:spacing w:val="-3"/>
          <w:sz w:val="24"/>
          <w:szCs w:val="28"/>
          <w:lang w:val="es-ES_tradnl" w:eastAsia="es-ES"/>
        </w:rPr>
        <w:t xml:space="preserve">Zaach., </w:t>
      </w:r>
      <w:r w:rsidRPr="00CF2780">
        <w:rPr>
          <w:rFonts w:ascii="Arial" w:eastAsia="Times New Roman" w:hAnsi="Arial" w:cs="Arial"/>
          <w:b/>
          <w:bCs/>
          <w:spacing w:val="-3"/>
          <w:sz w:val="24"/>
          <w:szCs w:val="28"/>
          <w:lang w:val="es-ES_tradnl" w:eastAsia="es-ES"/>
        </w:rPr>
        <w:t xml:space="preserve">SAN MELCHOR BETAZA, </w:t>
      </w:r>
      <w:r w:rsidRPr="00CF2780">
        <w:rPr>
          <w:rFonts w:ascii="Arial" w:eastAsia="Times New Roman" w:hAnsi="Arial" w:cs="Arial"/>
          <w:spacing w:val="-3"/>
          <w:sz w:val="24"/>
          <w:szCs w:val="28"/>
          <w:lang w:val="es-ES_tradnl" w:eastAsia="es-ES"/>
        </w:rPr>
        <w:t xml:space="preserve">Villa Alta, </w:t>
      </w:r>
      <w:r w:rsidRPr="00CF2780">
        <w:rPr>
          <w:rFonts w:ascii="Arial" w:eastAsia="Times New Roman" w:hAnsi="Arial" w:cs="Arial"/>
          <w:b/>
          <w:bCs/>
          <w:spacing w:val="-3"/>
          <w:sz w:val="24"/>
          <w:szCs w:val="28"/>
          <w:lang w:val="es-ES_tradnl" w:eastAsia="es-ES"/>
        </w:rPr>
        <w:t>SAN MIGUEL TENANGO,</w:t>
      </w:r>
      <w:r w:rsidRPr="00CF2780">
        <w:rPr>
          <w:rFonts w:ascii="Arial" w:eastAsia="Times New Roman" w:hAnsi="Arial" w:cs="Arial"/>
          <w:spacing w:val="-3"/>
          <w:sz w:val="24"/>
          <w:szCs w:val="28"/>
          <w:lang w:val="es-ES_tradnl" w:eastAsia="es-ES"/>
        </w:rPr>
        <w:t xml:space="preserve"> Teh., </w:t>
      </w:r>
      <w:r w:rsidRPr="00CF2780">
        <w:rPr>
          <w:rFonts w:ascii="Arial" w:eastAsia="Times New Roman" w:hAnsi="Arial" w:cs="Arial"/>
          <w:b/>
          <w:bCs/>
          <w:spacing w:val="-3"/>
          <w:sz w:val="24"/>
          <w:szCs w:val="28"/>
          <w:lang w:val="es-ES_tradnl" w:eastAsia="es-ES"/>
        </w:rPr>
        <w:t>SAN MATEO PIÑAS,</w:t>
      </w:r>
      <w:r w:rsidRPr="00CF2780">
        <w:rPr>
          <w:rFonts w:ascii="Arial" w:eastAsia="Times New Roman" w:hAnsi="Arial" w:cs="Arial"/>
          <w:spacing w:val="-3"/>
          <w:sz w:val="24"/>
          <w:szCs w:val="28"/>
          <w:lang w:val="es-ES_tradnl" w:eastAsia="es-ES"/>
        </w:rPr>
        <w:t xml:space="preserve"> Poch., </w:t>
      </w:r>
      <w:r w:rsidRPr="00CF2780">
        <w:rPr>
          <w:rFonts w:ascii="Arial" w:eastAsia="Times New Roman" w:hAnsi="Arial" w:cs="Arial"/>
          <w:b/>
          <w:bCs/>
          <w:spacing w:val="-3"/>
          <w:sz w:val="24"/>
          <w:szCs w:val="28"/>
          <w:lang w:val="es-ES_tradnl" w:eastAsia="es-ES"/>
        </w:rPr>
        <w:t xml:space="preserve">SAN MIGUEL CHICAHUA, </w:t>
      </w:r>
      <w:r w:rsidRPr="00CF2780">
        <w:rPr>
          <w:rFonts w:ascii="Arial" w:eastAsia="Times New Roman" w:hAnsi="Arial" w:cs="Arial"/>
          <w:spacing w:val="-3"/>
          <w:sz w:val="24"/>
          <w:szCs w:val="28"/>
          <w:lang w:val="es-ES_tradnl" w:eastAsia="es-ES"/>
        </w:rPr>
        <w:t xml:space="preserve">Noch., </w:t>
      </w:r>
      <w:r w:rsidRPr="00CF2780">
        <w:rPr>
          <w:rFonts w:ascii="Arial" w:eastAsia="Times New Roman" w:hAnsi="Arial" w:cs="Arial"/>
          <w:b/>
          <w:bCs/>
          <w:spacing w:val="-3"/>
          <w:sz w:val="24"/>
          <w:szCs w:val="28"/>
          <w:lang w:val="es-ES_tradnl" w:eastAsia="es-ES"/>
        </w:rPr>
        <w:t xml:space="preserve">SAN TIAGO APOALA, </w:t>
      </w:r>
      <w:r w:rsidRPr="00CF2780">
        <w:rPr>
          <w:rFonts w:ascii="Arial" w:eastAsia="Times New Roman" w:hAnsi="Arial" w:cs="Arial"/>
          <w:spacing w:val="-3"/>
          <w:sz w:val="24"/>
          <w:szCs w:val="28"/>
          <w:lang w:val="es-ES_tradnl" w:eastAsia="es-ES"/>
        </w:rPr>
        <w:t xml:space="preserve">Noch., </w:t>
      </w:r>
      <w:r w:rsidRPr="00CF2780">
        <w:rPr>
          <w:rFonts w:ascii="Arial" w:eastAsia="Times New Roman" w:hAnsi="Arial" w:cs="Arial"/>
          <w:b/>
          <w:bCs/>
          <w:spacing w:val="-3"/>
          <w:sz w:val="24"/>
          <w:szCs w:val="28"/>
          <w:lang w:val="es-ES_tradnl" w:eastAsia="es-ES"/>
        </w:rPr>
        <w:t xml:space="preserve">SAN JOSÉ AYUQUILA, </w:t>
      </w:r>
      <w:r w:rsidRPr="00CF2780">
        <w:rPr>
          <w:rFonts w:ascii="Arial" w:eastAsia="Times New Roman" w:hAnsi="Arial" w:cs="Arial"/>
          <w:spacing w:val="-3"/>
          <w:sz w:val="24"/>
          <w:szCs w:val="28"/>
          <w:lang w:val="es-ES_tradnl" w:eastAsia="es-ES"/>
        </w:rPr>
        <w:t xml:space="preserve">Huaj., </w:t>
      </w:r>
      <w:r w:rsidRPr="00CF2780">
        <w:rPr>
          <w:rFonts w:ascii="Arial" w:eastAsia="Times New Roman" w:hAnsi="Arial" w:cs="Arial"/>
          <w:b/>
          <w:bCs/>
          <w:spacing w:val="-3"/>
          <w:sz w:val="24"/>
          <w:szCs w:val="28"/>
          <w:lang w:val="es-ES_tradnl" w:eastAsia="es-ES"/>
        </w:rPr>
        <w:t xml:space="preserve">SAN ANDRÉS TEOTILALPAM, </w:t>
      </w:r>
      <w:r w:rsidRPr="00CF2780">
        <w:rPr>
          <w:rFonts w:ascii="Arial" w:eastAsia="Times New Roman" w:hAnsi="Arial" w:cs="Arial"/>
          <w:spacing w:val="-3"/>
          <w:sz w:val="24"/>
          <w:szCs w:val="28"/>
          <w:lang w:val="es-ES_tradnl" w:eastAsia="es-ES"/>
        </w:rPr>
        <w:t xml:space="preserve">Cuic., </w:t>
      </w:r>
      <w:r w:rsidRPr="00CF2780">
        <w:rPr>
          <w:rFonts w:ascii="Arial" w:eastAsia="Times New Roman" w:hAnsi="Arial" w:cs="Arial"/>
          <w:b/>
          <w:bCs/>
          <w:spacing w:val="-3"/>
          <w:sz w:val="24"/>
          <w:szCs w:val="28"/>
          <w:lang w:val="es-ES_tradnl" w:eastAsia="es-ES"/>
        </w:rPr>
        <w:t>SAN PEDRO IXTLAHUACA</w:t>
      </w:r>
      <w:r w:rsidRPr="00CF2780">
        <w:rPr>
          <w:rFonts w:ascii="Arial" w:eastAsia="Times New Roman" w:hAnsi="Arial" w:cs="Arial"/>
          <w:spacing w:val="-3"/>
          <w:sz w:val="24"/>
          <w:szCs w:val="28"/>
          <w:lang w:val="es-ES_tradnl" w:eastAsia="es-ES"/>
        </w:rPr>
        <w:t xml:space="preserve">, Centro y </w:t>
      </w:r>
      <w:r w:rsidRPr="00CF2780">
        <w:rPr>
          <w:rFonts w:ascii="Arial" w:eastAsia="Times New Roman" w:hAnsi="Arial" w:cs="Arial"/>
          <w:b/>
          <w:bCs/>
          <w:spacing w:val="-3"/>
          <w:sz w:val="24"/>
          <w:szCs w:val="28"/>
          <w:lang w:val="es-ES_tradnl" w:eastAsia="es-ES"/>
        </w:rPr>
        <w:t xml:space="preserve">SANTIAGO MATATLAN, </w:t>
      </w:r>
      <w:r w:rsidRPr="00CF2780">
        <w:rPr>
          <w:rFonts w:ascii="Arial" w:eastAsia="Times New Roman" w:hAnsi="Arial" w:cs="Arial"/>
          <w:spacing w:val="-3"/>
          <w:sz w:val="24"/>
          <w:szCs w:val="28"/>
          <w:lang w:val="es-ES_tradnl" w:eastAsia="es-ES"/>
        </w:rPr>
        <w:t xml:space="preserve">Tlac., Oax., para elegir a los Concejales Municipales bajo el Régimen de Derecho Consuetudinario, ratificándose la determinación y declaratoria de invalidez emitida por el Consejo General </w:t>
      </w:r>
      <w:r w:rsidRPr="00CF2780">
        <w:rPr>
          <w:rFonts w:ascii="Arial" w:eastAsia="Times New Roman" w:hAnsi="Arial" w:cs="Arial"/>
          <w:spacing w:val="-3"/>
          <w:sz w:val="24"/>
          <w:szCs w:val="28"/>
          <w:lang w:val="es-ES_tradnl" w:eastAsia="es-ES"/>
        </w:rPr>
        <w:lastRenderedPageBreak/>
        <w:t>del Instituto Estatal Electoral por acuerdo de fecha 21 de diciembre del año 2001.</w:t>
      </w:r>
    </w:p>
    <w:p w14:paraId="2C2D5793" w14:textId="77777777" w:rsidR="00676010" w:rsidRPr="00CF2780" w:rsidRDefault="00676010" w:rsidP="00676010">
      <w:pPr>
        <w:tabs>
          <w:tab w:val="left" w:pos="-720"/>
        </w:tabs>
        <w:suppressAutoHyphens/>
        <w:spacing w:after="0" w:line="240" w:lineRule="auto"/>
        <w:ind w:left="539" w:right="607"/>
        <w:jc w:val="both"/>
        <w:rPr>
          <w:rFonts w:ascii="Arial" w:eastAsia="Times New Roman" w:hAnsi="Arial" w:cs="Arial"/>
          <w:spacing w:val="-3"/>
          <w:sz w:val="24"/>
          <w:szCs w:val="28"/>
          <w:lang w:val="es-ES_tradnl" w:eastAsia="es-ES"/>
        </w:rPr>
      </w:pPr>
    </w:p>
    <w:p w14:paraId="62856829" w14:textId="77777777" w:rsidR="00676010" w:rsidRPr="00CF2780" w:rsidRDefault="00676010" w:rsidP="00676010">
      <w:pPr>
        <w:tabs>
          <w:tab w:val="left" w:pos="-720"/>
        </w:tabs>
        <w:suppressAutoHyphens/>
        <w:spacing w:after="0" w:line="240" w:lineRule="auto"/>
        <w:ind w:left="539" w:right="607"/>
        <w:jc w:val="both"/>
        <w:rPr>
          <w:rFonts w:ascii="Arial" w:eastAsia="Times New Roman" w:hAnsi="Arial" w:cs="Arial"/>
          <w:b/>
          <w:bCs/>
          <w:spacing w:val="-3"/>
          <w:sz w:val="24"/>
          <w:szCs w:val="28"/>
          <w:lang w:val="es-ES_tradnl" w:eastAsia="es-ES"/>
        </w:rPr>
      </w:pPr>
      <w:r w:rsidRPr="00CF2780">
        <w:rPr>
          <w:rFonts w:ascii="Arial" w:eastAsia="Times New Roman" w:hAnsi="Arial" w:cs="Arial"/>
          <w:b/>
          <w:bCs/>
          <w:spacing w:val="-3"/>
          <w:sz w:val="24"/>
          <w:szCs w:val="28"/>
          <w:lang w:val="es-ES_tradnl" w:eastAsia="es-ES"/>
        </w:rPr>
        <w:t>ARTÍCULO SEGUNDO</w:t>
      </w:r>
      <w:r w:rsidRPr="00CF2780">
        <w:rPr>
          <w:rFonts w:ascii="Arial" w:eastAsia="Times New Roman" w:hAnsi="Arial" w:cs="Arial"/>
          <w:spacing w:val="-3"/>
          <w:sz w:val="24"/>
          <w:szCs w:val="28"/>
          <w:lang w:val="es-ES_tradnl" w:eastAsia="es-ES"/>
        </w:rPr>
        <w:t xml:space="preserve">.- Se revocan los acuerdos del Consejo General del Instituto Estatal Electoral que declararon la validez de las elecciones municipales efectuadas en el año 2001 bajo el régimen de derecho consuetudinario en los Municipios de </w:t>
      </w:r>
      <w:r w:rsidRPr="00CF2780">
        <w:rPr>
          <w:rFonts w:ascii="Arial" w:eastAsia="Times New Roman" w:hAnsi="Arial" w:cs="Arial"/>
          <w:b/>
          <w:bCs/>
          <w:spacing w:val="-3"/>
          <w:sz w:val="24"/>
          <w:szCs w:val="28"/>
          <w:lang w:val="es-ES_tradnl" w:eastAsia="es-ES"/>
        </w:rPr>
        <w:t>ZAPOTITLAN DEL RÍO</w:t>
      </w:r>
      <w:r w:rsidRPr="00CF2780">
        <w:rPr>
          <w:rFonts w:ascii="Arial" w:eastAsia="Times New Roman" w:hAnsi="Arial" w:cs="Arial"/>
          <w:spacing w:val="-3"/>
          <w:sz w:val="24"/>
          <w:szCs w:val="28"/>
          <w:lang w:val="es-ES_tradnl" w:eastAsia="es-ES"/>
        </w:rPr>
        <w:t xml:space="preserve">, Sola de Vega, </w:t>
      </w:r>
      <w:r w:rsidRPr="00CF2780">
        <w:rPr>
          <w:rFonts w:ascii="Arial" w:eastAsia="Times New Roman" w:hAnsi="Arial" w:cs="Arial"/>
          <w:b/>
          <w:bCs/>
          <w:spacing w:val="-3"/>
          <w:sz w:val="24"/>
          <w:szCs w:val="28"/>
          <w:lang w:val="es-ES_tradnl" w:eastAsia="es-ES"/>
        </w:rPr>
        <w:t>AYOQUEZCO DE ALDAMA,</w:t>
      </w:r>
      <w:r w:rsidRPr="00CF2780">
        <w:rPr>
          <w:rFonts w:ascii="Arial" w:eastAsia="Times New Roman" w:hAnsi="Arial" w:cs="Arial"/>
          <w:spacing w:val="-3"/>
          <w:sz w:val="24"/>
          <w:szCs w:val="28"/>
          <w:lang w:val="es-ES_tradnl" w:eastAsia="es-ES"/>
        </w:rPr>
        <w:t xml:space="preserve"> Zim., </w:t>
      </w:r>
      <w:r w:rsidRPr="00CF2780">
        <w:rPr>
          <w:rFonts w:ascii="Arial" w:eastAsia="Times New Roman" w:hAnsi="Arial" w:cs="Arial"/>
          <w:b/>
          <w:bCs/>
          <w:spacing w:val="-3"/>
          <w:sz w:val="24"/>
          <w:szCs w:val="28"/>
          <w:lang w:val="es-ES_tradnl" w:eastAsia="es-ES"/>
        </w:rPr>
        <w:t xml:space="preserve">SANTA MARÍA OZOLOTEPEC, </w:t>
      </w:r>
      <w:r w:rsidRPr="00CF2780">
        <w:rPr>
          <w:rFonts w:ascii="Arial" w:eastAsia="Times New Roman" w:hAnsi="Arial" w:cs="Arial"/>
          <w:spacing w:val="-3"/>
          <w:sz w:val="24"/>
          <w:szCs w:val="28"/>
          <w:lang w:val="es-ES_tradnl" w:eastAsia="es-ES"/>
        </w:rPr>
        <w:t xml:space="preserve">Miah., </w:t>
      </w:r>
      <w:r w:rsidRPr="00CF2780">
        <w:rPr>
          <w:rFonts w:ascii="Arial" w:eastAsia="Times New Roman" w:hAnsi="Arial" w:cs="Arial"/>
          <w:b/>
          <w:bCs/>
          <w:spacing w:val="-3"/>
          <w:sz w:val="24"/>
          <w:szCs w:val="28"/>
          <w:lang w:val="es-ES_tradnl" w:eastAsia="es-ES"/>
        </w:rPr>
        <w:t>PLUMA HIDALGO,</w:t>
      </w:r>
      <w:r w:rsidRPr="00CF2780">
        <w:rPr>
          <w:rFonts w:ascii="Arial" w:eastAsia="Times New Roman" w:hAnsi="Arial" w:cs="Arial"/>
          <w:spacing w:val="-3"/>
          <w:sz w:val="24"/>
          <w:szCs w:val="28"/>
          <w:lang w:val="es-ES_tradnl" w:eastAsia="es-ES"/>
        </w:rPr>
        <w:t xml:space="preserve"> Poch., </w:t>
      </w:r>
      <w:r w:rsidRPr="00CF2780">
        <w:rPr>
          <w:rFonts w:ascii="Arial" w:eastAsia="Times New Roman" w:hAnsi="Arial" w:cs="Arial"/>
          <w:b/>
          <w:bCs/>
          <w:spacing w:val="-3"/>
          <w:sz w:val="24"/>
          <w:szCs w:val="28"/>
          <w:lang w:val="es-ES_tradnl" w:eastAsia="es-ES"/>
        </w:rPr>
        <w:t xml:space="preserve">SANTIAGO YAVEO, </w:t>
      </w:r>
      <w:r w:rsidRPr="00CF2780">
        <w:rPr>
          <w:rFonts w:ascii="Arial" w:eastAsia="Times New Roman" w:hAnsi="Arial" w:cs="Arial"/>
          <w:spacing w:val="-3"/>
          <w:sz w:val="24"/>
          <w:szCs w:val="28"/>
          <w:lang w:val="es-ES_tradnl" w:eastAsia="es-ES"/>
        </w:rPr>
        <w:t xml:space="preserve">Choápam, y </w:t>
      </w:r>
      <w:r w:rsidRPr="00CF2780">
        <w:rPr>
          <w:rFonts w:ascii="Arial" w:eastAsia="Times New Roman" w:hAnsi="Arial" w:cs="Arial"/>
          <w:b/>
          <w:bCs/>
          <w:spacing w:val="-3"/>
          <w:sz w:val="24"/>
          <w:szCs w:val="28"/>
          <w:lang w:val="es-ES_tradnl" w:eastAsia="es-ES"/>
        </w:rPr>
        <w:t>SANTA CATARINA ZAPOQUILA,</w:t>
      </w:r>
      <w:r w:rsidRPr="00CF2780">
        <w:rPr>
          <w:rFonts w:ascii="Arial" w:eastAsia="Times New Roman" w:hAnsi="Arial" w:cs="Arial"/>
          <w:spacing w:val="-3"/>
          <w:sz w:val="24"/>
          <w:szCs w:val="28"/>
          <w:lang w:val="es-ES_tradnl" w:eastAsia="es-ES"/>
        </w:rPr>
        <w:t xml:space="preserve"> Huaj., Oax., y se decreta la invalidez de las mismas, revocándose las constancias de declaratoria de validez y de mayoría.</w:t>
      </w:r>
    </w:p>
    <w:p w14:paraId="32F9CADB" w14:textId="77777777" w:rsidR="00676010" w:rsidRPr="00CF2780" w:rsidRDefault="00676010" w:rsidP="00676010">
      <w:pPr>
        <w:tabs>
          <w:tab w:val="left" w:pos="-720"/>
        </w:tabs>
        <w:suppressAutoHyphens/>
        <w:spacing w:after="0" w:line="240" w:lineRule="auto"/>
        <w:ind w:left="539" w:right="607"/>
        <w:jc w:val="both"/>
        <w:rPr>
          <w:rFonts w:ascii="Arial" w:eastAsia="Times New Roman" w:hAnsi="Arial" w:cs="Arial"/>
          <w:spacing w:val="-3"/>
          <w:sz w:val="24"/>
          <w:szCs w:val="28"/>
          <w:lang w:val="es-ES_tradnl" w:eastAsia="es-ES"/>
        </w:rPr>
      </w:pPr>
    </w:p>
    <w:p w14:paraId="33E804DB" w14:textId="77777777" w:rsidR="00676010" w:rsidRPr="00CF2780" w:rsidRDefault="00676010" w:rsidP="00676010">
      <w:pPr>
        <w:tabs>
          <w:tab w:val="left" w:pos="-720"/>
        </w:tabs>
        <w:suppressAutoHyphens/>
        <w:spacing w:after="0" w:line="240" w:lineRule="auto"/>
        <w:ind w:left="539" w:right="607"/>
        <w:jc w:val="both"/>
        <w:rPr>
          <w:rFonts w:ascii="Arial" w:eastAsia="Times New Roman" w:hAnsi="Arial" w:cs="Arial"/>
          <w:spacing w:val="-3"/>
          <w:sz w:val="24"/>
          <w:szCs w:val="28"/>
          <w:lang w:val="es-ES_tradnl" w:eastAsia="es-ES"/>
        </w:rPr>
      </w:pPr>
      <w:r w:rsidRPr="00CF2780">
        <w:rPr>
          <w:rFonts w:ascii="Arial" w:eastAsia="Times New Roman" w:hAnsi="Arial" w:cs="Arial"/>
          <w:b/>
          <w:bCs/>
          <w:spacing w:val="-3"/>
          <w:sz w:val="24"/>
          <w:szCs w:val="28"/>
          <w:lang w:val="es-ES_tradnl" w:eastAsia="es-ES"/>
        </w:rPr>
        <w:t>ARTÍCULO TERCERO</w:t>
      </w:r>
      <w:r w:rsidRPr="00CF2780">
        <w:rPr>
          <w:rFonts w:ascii="Arial" w:eastAsia="Times New Roman" w:hAnsi="Arial" w:cs="Arial"/>
          <w:spacing w:val="-3"/>
          <w:sz w:val="24"/>
          <w:szCs w:val="28"/>
          <w:lang w:val="es-ES_tradnl" w:eastAsia="es-ES"/>
        </w:rPr>
        <w:t>.- Con fundamento en el artículo 59, fracción XXVII de la Constitución Política del Estado, se faculta al Instituto Estatal Electoral, para que convoque a los ciudadanos oaxaqueños a participar en las elecciones extraordinarias del 2002, para elegir Concejales a los Ayuntamientos Municipales por el Régimen de Normas de derecho Consuetudinario, en los Municipios que se mencionan en los artículos anteriores; que deberán celebrarse en la fecha, hora y lugar que al efecto se determine, dentro del término que señala el artículo 22 del citado Código Electoral. Las autoridades que resulten electas cumplirán con su cargo durante el tiempo que sus tradiciones y prácticas democráticas determinen, mismo que en ningún caso podrá exceder del 31 de diciembre del 2004.</w:t>
      </w:r>
    </w:p>
    <w:p w14:paraId="670F2278" w14:textId="77777777" w:rsidR="00676010" w:rsidRPr="00CF2780" w:rsidRDefault="00676010" w:rsidP="00676010">
      <w:pPr>
        <w:tabs>
          <w:tab w:val="left" w:pos="-720"/>
        </w:tabs>
        <w:suppressAutoHyphens/>
        <w:spacing w:after="0" w:line="240" w:lineRule="auto"/>
        <w:ind w:left="539" w:right="607"/>
        <w:jc w:val="both"/>
        <w:rPr>
          <w:rFonts w:ascii="Arial" w:eastAsia="Times New Roman" w:hAnsi="Arial" w:cs="Arial"/>
          <w:spacing w:val="-3"/>
          <w:sz w:val="24"/>
          <w:szCs w:val="28"/>
          <w:lang w:val="es-ES_tradnl" w:eastAsia="es-ES"/>
        </w:rPr>
      </w:pPr>
    </w:p>
    <w:p w14:paraId="4AAA386D" w14:textId="77777777" w:rsidR="00676010" w:rsidRPr="00CF2780" w:rsidRDefault="00676010" w:rsidP="00676010">
      <w:pPr>
        <w:tabs>
          <w:tab w:val="left" w:pos="-720"/>
        </w:tabs>
        <w:suppressAutoHyphens/>
        <w:spacing w:after="0" w:line="240" w:lineRule="auto"/>
        <w:ind w:left="539" w:right="607"/>
        <w:jc w:val="both"/>
        <w:rPr>
          <w:rFonts w:ascii="Arial" w:eastAsia="Times New Roman" w:hAnsi="Arial" w:cs="Arial"/>
          <w:spacing w:val="-3"/>
          <w:sz w:val="24"/>
          <w:szCs w:val="28"/>
          <w:lang w:val="es-ES_tradnl" w:eastAsia="es-ES"/>
        </w:rPr>
      </w:pPr>
      <w:r w:rsidRPr="00CF2780">
        <w:rPr>
          <w:rFonts w:ascii="Arial" w:eastAsia="Times New Roman" w:hAnsi="Arial" w:cs="Arial"/>
          <w:spacing w:val="-3"/>
          <w:sz w:val="24"/>
          <w:szCs w:val="28"/>
          <w:lang w:val="es-ES_tradnl" w:eastAsia="es-ES"/>
        </w:rPr>
        <w:t>Las elecciones a que se refiere el párrafo anterior, deberán organizarse y desarrollarse en los términos que dispone el Código de Instituciones Políticas y Procedimientos Electorales de Oaxaca.”</w:t>
      </w:r>
    </w:p>
    <w:p w14:paraId="7F437779" w14:textId="77777777" w:rsidR="00676010" w:rsidRPr="00CF2780" w:rsidRDefault="00676010" w:rsidP="00676010">
      <w:pPr>
        <w:tabs>
          <w:tab w:val="left" w:pos="-720"/>
          <w:tab w:val="left" w:pos="4678"/>
        </w:tabs>
        <w:suppressAutoHyphens/>
        <w:spacing w:after="0" w:line="360" w:lineRule="auto"/>
        <w:ind w:right="51"/>
        <w:jc w:val="both"/>
        <w:rPr>
          <w:rFonts w:ascii="Arial" w:eastAsia="Times New Roman" w:hAnsi="Arial" w:cs="Arial"/>
          <w:spacing w:val="-3"/>
          <w:sz w:val="28"/>
          <w:szCs w:val="28"/>
          <w:lang w:val="es-ES_tradnl" w:eastAsia="es-ES"/>
        </w:rPr>
      </w:pPr>
    </w:p>
    <w:p w14:paraId="5A4B60E8" w14:textId="77777777" w:rsidR="00676010" w:rsidRPr="00CF2780" w:rsidRDefault="00676010" w:rsidP="00676010">
      <w:pPr>
        <w:tabs>
          <w:tab w:val="left" w:pos="-720"/>
          <w:tab w:val="left" w:pos="4678"/>
        </w:tabs>
        <w:suppressAutoHyphens/>
        <w:spacing w:after="0" w:line="360" w:lineRule="auto"/>
        <w:ind w:right="51"/>
        <w:jc w:val="both"/>
        <w:rPr>
          <w:rFonts w:ascii="Arial" w:eastAsia="Times New Roman" w:hAnsi="Arial" w:cs="Arial"/>
          <w:spacing w:val="-3"/>
          <w:sz w:val="28"/>
          <w:szCs w:val="28"/>
          <w:lang w:val="es-ES_tradnl" w:eastAsia="es-ES"/>
        </w:rPr>
      </w:pPr>
      <w:r w:rsidRPr="00CF2780">
        <w:rPr>
          <w:rFonts w:ascii="Arial" w:eastAsia="Times New Roman" w:hAnsi="Arial" w:cs="Arial"/>
          <w:b/>
          <w:bCs/>
          <w:spacing w:val="-3"/>
          <w:sz w:val="28"/>
          <w:szCs w:val="28"/>
          <w:lang w:val="es-ES_tradnl" w:eastAsia="es-ES"/>
        </w:rPr>
        <w:t xml:space="preserve">IV. </w:t>
      </w:r>
      <w:r w:rsidRPr="00CF2780">
        <w:rPr>
          <w:rFonts w:ascii="Arial" w:eastAsia="Times New Roman" w:hAnsi="Arial" w:cs="Arial"/>
          <w:spacing w:val="-3"/>
          <w:sz w:val="28"/>
          <w:szCs w:val="28"/>
          <w:lang w:val="es-ES_tradnl" w:eastAsia="es-ES"/>
        </w:rPr>
        <w:t xml:space="preserve">Inconformes con dicha determinación, Indalecio Martínez Domínguez, Raúl Lorenzo Hernández, Miguel Ortíz Pacheco, Rolando Bartolo López y Evergisto Díaz Pérez, en su carácter de concejales electos para el Municipio de Santiago Yaveo, Choápam, Oaxaca, promovieron juicio de revisión constitucional electoral en contra del Decreto número 32 de la Quincuagésima Octava Legislatura Constitucional del Estado Libre y Soberano de Oaxaca, erigida en Colegio Electoral, emitido el treinta y uno de diciembre de dos mil uno, expresando al efecto que les fue flagrantemente conculcado su derecho a ser votados para ocupar cargos </w:t>
      </w:r>
      <w:r w:rsidRPr="00CF2780">
        <w:rPr>
          <w:rFonts w:ascii="Arial" w:eastAsia="Times New Roman" w:hAnsi="Arial" w:cs="Arial"/>
          <w:spacing w:val="-3"/>
          <w:sz w:val="28"/>
          <w:szCs w:val="28"/>
          <w:lang w:val="es-ES_tradnl" w:eastAsia="es-ES"/>
        </w:rPr>
        <w:lastRenderedPageBreak/>
        <w:t>públicos. En su escrito inicial de demanda, los ciudadanos actores hicieron valer los hechos y agravios siguientes:</w:t>
      </w:r>
    </w:p>
    <w:p w14:paraId="18D1792D" w14:textId="77777777" w:rsidR="00676010" w:rsidRPr="00CF2780" w:rsidRDefault="00676010" w:rsidP="00676010">
      <w:pPr>
        <w:tabs>
          <w:tab w:val="left" w:pos="-720"/>
          <w:tab w:val="left" w:pos="4678"/>
        </w:tabs>
        <w:suppressAutoHyphens/>
        <w:spacing w:after="0" w:line="360" w:lineRule="auto"/>
        <w:ind w:right="51"/>
        <w:jc w:val="both"/>
        <w:rPr>
          <w:rFonts w:ascii="Arial" w:eastAsia="Times New Roman" w:hAnsi="Arial" w:cs="Arial"/>
          <w:spacing w:val="-3"/>
          <w:sz w:val="28"/>
          <w:szCs w:val="28"/>
          <w:lang w:val="es-ES_tradnl" w:eastAsia="es-ES"/>
        </w:rPr>
      </w:pPr>
    </w:p>
    <w:p w14:paraId="37228578" w14:textId="77777777" w:rsidR="00676010" w:rsidRPr="00CF2780" w:rsidRDefault="00676010" w:rsidP="00676010">
      <w:pPr>
        <w:spacing w:after="0" w:line="240" w:lineRule="auto"/>
        <w:jc w:val="center"/>
        <w:rPr>
          <w:rFonts w:ascii="Arial" w:eastAsia="Times New Roman" w:hAnsi="Arial" w:cs="Arial"/>
          <w:b/>
          <w:bCs/>
          <w:sz w:val="24"/>
          <w:szCs w:val="24"/>
          <w:lang w:eastAsia="es-ES"/>
        </w:rPr>
      </w:pPr>
      <w:r w:rsidRPr="00CF2780">
        <w:rPr>
          <w:rFonts w:ascii="Arial" w:eastAsia="Times New Roman" w:hAnsi="Arial" w:cs="Arial"/>
          <w:b/>
          <w:bCs/>
          <w:sz w:val="24"/>
          <w:szCs w:val="24"/>
          <w:lang w:eastAsia="es-ES"/>
        </w:rPr>
        <w:t>H E C H O S</w:t>
      </w:r>
    </w:p>
    <w:p w14:paraId="4267296E" w14:textId="77777777" w:rsidR="00676010" w:rsidRPr="00CF2780" w:rsidRDefault="00676010" w:rsidP="001C6A89">
      <w:pPr>
        <w:numPr>
          <w:ilvl w:val="0"/>
          <w:numId w:val="6"/>
        </w:numPr>
        <w:tabs>
          <w:tab w:val="num" w:pos="1080"/>
        </w:tabs>
        <w:spacing w:after="0" w:line="240" w:lineRule="auto"/>
        <w:ind w:right="609"/>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Con fecha dieciocho de noviembre de dos mil uno, los señores Fortino Jiménez Ortíz, César Ortíz Díaz, Artemio López Ortega, Bulmaro Fuentes Bta y David Pérez López, en su respectivo carácter de Presidente Municipal Constitucional, Síndico Municipal, Regidor de Hacienda, Regidor de Salud y Regidor de Educación, se convocó a todos los ciudadanos de la cabecera municipal de Santiago Yaveo, Oax., para que asistieran a la Asamblea General con la finalidad de nombrar a las autoridades municipales de Presidente Municipal, Síndico Municipal y Regidores, para el trienio 2002-2004, señalándose que tendría verificativo a las diez horas del dos de diciembre del año próximo pasado.</w:t>
      </w:r>
    </w:p>
    <w:p w14:paraId="0AAD3CD4" w14:textId="77777777" w:rsidR="00676010" w:rsidRPr="00CF2780" w:rsidRDefault="00676010" w:rsidP="001C6A89">
      <w:pPr>
        <w:numPr>
          <w:ilvl w:val="0"/>
          <w:numId w:val="6"/>
        </w:numPr>
        <w:tabs>
          <w:tab w:val="num" w:pos="1080"/>
        </w:tabs>
        <w:spacing w:after="0" w:line="240" w:lineRule="auto"/>
        <w:ind w:left="567" w:right="609"/>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La convocatoria a que se hace mérito en el numeral que antecede, se fundamentó en que el Municipio de Santiago Yaveo, Choápam, Oax., elige a sus autoridades por virtud de sus usos y costumbres.</w:t>
      </w:r>
    </w:p>
    <w:p w14:paraId="330338A7" w14:textId="77777777" w:rsidR="00676010" w:rsidRPr="00CF2780" w:rsidRDefault="00676010" w:rsidP="00676010">
      <w:pPr>
        <w:tabs>
          <w:tab w:val="num" w:pos="360"/>
        </w:tabs>
        <w:spacing w:after="0" w:line="240" w:lineRule="auto"/>
        <w:ind w:left="567" w:right="609" w:hanging="360"/>
        <w:jc w:val="both"/>
        <w:rPr>
          <w:rFonts w:ascii="Arial" w:eastAsia="Times New Roman" w:hAnsi="Arial" w:cs="Arial"/>
          <w:sz w:val="24"/>
          <w:szCs w:val="24"/>
          <w:lang w:eastAsia="es-ES"/>
        </w:rPr>
      </w:pPr>
      <w:r w:rsidRPr="00CF2780">
        <w:rPr>
          <w:rFonts w:ascii="Arial" w:eastAsia="Times New Roman" w:hAnsi="Arial" w:cs="Arial"/>
          <w:b/>
          <w:bCs/>
          <w:sz w:val="24"/>
          <w:szCs w:val="24"/>
          <w:lang w:eastAsia="es-ES"/>
        </w:rPr>
        <w:t>3.</w:t>
      </w:r>
      <w:r w:rsidRPr="00CF2780">
        <w:rPr>
          <w:rFonts w:ascii="Arial" w:eastAsia="Times New Roman" w:hAnsi="Arial" w:cs="Arial"/>
          <w:sz w:val="24"/>
          <w:szCs w:val="24"/>
          <w:lang w:eastAsia="es-ES"/>
        </w:rPr>
        <w:tab/>
        <w:t>Inconstitucional e ilegalmente, en escrito sin fecha, los Agentes Municipales y de Policía (de los Pueblos de Santiago Yaveo, Choápam, Oax., San Juan Jaltepec, Santa María, La Trinidad Campo Nuevo, General Francisco Villa, Dolores Hidalgo, Nuevo Ocotlán, Llano Grande, Zapotitancillo de Juárez y la Agente de Policía SPTE. De Bella Vista, Yaveo, Choápam, Oax.), convocaron a ciudadanos y ciudadanas de las comunidades que integran el Municipio de Santiago Yaveo a Asamblea General con el objeto de nombrar a las autoridades municipales para el trienio 2002-2004, que se llevaría a cabo a las once horas del veinticinco de noviembre último.</w:t>
      </w:r>
    </w:p>
    <w:p w14:paraId="1DA13BE2" w14:textId="77777777" w:rsidR="00676010" w:rsidRPr="00CF2780" w:rsidRDefault="00676010" w:rsidP="00676010">
      <w:pPr>
        <w:tabs>
          <w:tab w:val="num" w:pos="360"/>
        </w:tabs>
        <w:spacing w:after="0" w:line="240" w:lineRule="auto"/>
        <w:ind w:left="567" w:right="609" w:hanging="360"/>
        <w:jc w:val="both"/>
        <w:rPr>
          <w:rFonts w:ascii="Arial" w:eastAsia="Times New Roman" w:hAnsi="Arial" w:cs="Arial"/>
          <w:i/>
          <w:iCs/>
          <w:sz w:val="24"/>
          <w:szCs w:val="24"/>
          <w:lang w:eastAsia="es-ES"/>
        </w:rPr>
      </w:pPr>
      <w:r w:rsidRPr="00CF2780">
        <w:rPr>
          <w:rFonts w:ascii="Arial" w:eastAsia="Times New Roman" w:hAnsi="Arial" w:cs="Arial"/>
          <w:b/>
          <w:bCs/>
          <w:sz w:val="24"/>
          <w:szCs w:val="24"/>
          <w:lang w:eastAsia="es-ES"/>
        </w:rPr>
        <w:t>4.</w:t>
      </w:r>
      <w:r w:rsidRPr="00CF2780">
        <w:rPr>
          <w:rFonts w:ascii="Arial" w:eastAsia="Times New Roman" w:hAnsi="Arial" w:cs="Arial"/>
          <w:sz w:val="24"/>
          <w:szCs w:val="24"/>
          <w:lang w:eastAsia="es-ES"/>
        </w:rPr>
        <w:tab/>
        <w:t>A las doce horas del veinticinco de noviembre de dos mil uno, en acatamiento a la convocatoria inconstitucional e ilegal a que me refiero en el apartado inmediato anterior, se reunieron diversos agentes municipales y diversos representantes comunitarios a los efectos de nombrar a las autoridades municipales para el trienio mencionado, asistiendo, incluso, como invitado especial el licenciado Cipriano Flores Cruz en su carácter de Consejero Presidente del Consejo General del Instituto Federal Electoral y el Coordinador de la Dirección de Elección por Usos y Costumbres, Rodrigo Cruz Iriarte. De esa reunión, también de manera inconstitucional e ilegal quedó asentado que: ‘</w:t>
      </w:r>
      <w:r w:rsidRPr="00CF2780">
        <w:rPr>
          <w:rFonts w:ascii="Arial" w:eastAsia="Times New Roman" w:hAnsi="Arial" w:cs="Arial"/>
          <w:i/>
          <w:iCs/>
          <w:sz w:val="24"/>
          <w:szCs w:val="24"/>
          <w:lang w:eastAsia="es-ES"/>
        </w:rPr>
        <w:t xml:space="preserve">Para el nombramiento del presidente Municipal se propusieron a los ciudadanos Bulmaro Pérez Patricio, Rufino Reyes Rivera y Abel Aparicio Hernández, resultando electo Bulmaro Pérez Patricio con mil ciento veinte votos; Rufino Reyes Rivera dos votos y Abel Aparicio Hernández dos votos. Después la asamblea eligió a Francisco Jara Celis como segundo concejal. Más adelante se nombró al tercer concejal Eugenio San Juan </w:t>
      </w:r>
      <w:r w:rsidRPr="00CF2780">
        <w:rPr>
          <w:rFonts w:ascii="Arial" w:eastAsia="Times New Roman" w:hAnsi="Arial" w:cs="Arial"/>
          <w:i/>
          <w:iCs/>
          <w:sz w:val="24"/>
          <w:szCs w:val="24"/>
          <w:lang w:eastAsia="es-ES"/>
        </w:rPr>
        <w:lastRenderedPageBreak/>
        <w:t>Cruz. Posteriormente se eligió a Cesario Medina Silva como cuarto concejal. Estas elecciones se presentaron (sic) sólo un candidato. Enseguida se eligió entre Alfonso Julián y Rufino Reyes Rivera resultando como quinto concejal Alfonso Julian con setecientos veinticinco votos, en tanto que Rufino Reyes Rivera con noventa votos. El sexto concejal resultó José Irieneo Pérez Leonardo. El Séptimo concejal fue electo entre Rufino Reyes Rivera y Norberto Almendra Suárez, resultando electo Norberto Almendra con seiscientos setenta y cinco y Rufino Reyes Rivera obtuvo cincuenta y cinco sufragios. El octavo concejal fue electo entre Rufino Reyes Rivera y Odilón García, resultando electo Odilón García con setecientos cinco votos, mientras que Rufino Reyes Rivera cuatrocientos veintiocho. Posteriormente fueron electos de manera directa como concejales suplentes... Siendo las trece horas con cuarenta y cinco minutos concluyó la asamblea comunitaria firmando de acuerdo los que en ella participaron.’</w:t>
      </w:r>
    </w:p>
    <w:p w14:paraId="4D82FF14" w14:textId="77777777" w:rsidR="00676010" w:rsidRPr="00CF2780" w:rsidRDefault="00676010" w:rsidP="00676010">
      <w:pPr>
        <w:tabs>
          <w:tab w:val="left" w:pos="360"/>
        </w:tabs>
        <w:spacing w:after="0" w:line="240" w:lineRule="auto"/>
        <w:ind w:left="567" w:right="609" w:hanging="360"/>
        <w:jc w:val="both"/>
        <w:rPr>
          <w:rFonts w:ascii="Arial" w:eastAsia="Times New Roman" w:hAnsi="Arial" w:cs="Arial"/>
          <w:sz w:val="24"/>
          <w:szCs w:val="24"/>
          <w:lang w:eastAsia="es-ES"/>
        </w:rPr>
      </w:pPr>
      <w:r w:rsidRPr="00CF2780">
        <w:rPr>
          <w:rFonts w:ascii="Arial" w:eastAsia="Times New Roman" w:hAnsi="Arial" w:cs="Arial"/>
          <w:b/>
          <w:bCs/>
          <w:sz w:val="24"/>
          <w:szCs w:val="24"/>
          <w:lang w:eastAsia="es-ES"/>
        </w:rPr>
        <w:t>5.</w:t>
      </w:r>
      <w:r w:rsidRPr="00CF2780">
        <w:rPr>
          <w:rFonts w:ascii="Arial" w:eastAsia="Times New Roman" w:hAnsi="Arial" w:cs="Arial"/>
          <w:sz w:val="24"/>
          <w:szCs w:val="24"/>
          <w:lang w:eastAsia="es-ES"/>
        </w:rPr>
        <w:tab/>
        <w:t>Por escrito fechado el veintiséis de noviembre de dos mil uno, dirigido al licenciado Cipriano Flores Cruz, Presidente del Consejo General del Instituto Estatal Electoral de Oaxaca, suscrito por el Presidente Municipal del Municipio de Santiago Yaveo, Choápam, Oax., le informó que el domingo dos de diciembre de dos mil uno, a las diez horas, en el salón de usos múltiples de ese municipio, se había convocado a los ciudadanos de la cabecera municipal de acuerdo a lo que establece el Catálogo Municipal para la Renovación de los H. Ayuntamientos de Oaxaca, a efecto de realizar la elección de las autoridades municipales para el período 2002-2004.</w:t>
      </w:r>
    </w:p>
    <w:p w14:paraId="35808206" w14:textId="77777777" w:rsidR="00676010" w:rsidRPr="00CF2780" w:rsidRDefault="00676010" w:rsidP="00676010">
      <w:pPr>
        <w:tabs>
          <w:tab w:val="left" w:pos="360"/>
        </w:tabs>
        <w:spacing w:after="0" w:line="240" w:lineRule="auto"/>
        <w:ind w:left="567" w:right="609" w:hanging="360"/>
        <w:jc w:val="both"/>
        <w:rPr>
          <w:rFonts w:ascii="Arial" w:eastAsia="Times New Roman" w:hAnsi="Arial" w:cs="Arial"/>
          <w:sz w:val="24"/>
          <w:szCs w:val="24"/>
          <w:lang w:eastAsia="es-ES"/>
        </w:rPr>
      </w:pPr>
      <w:r w:rsidRPr="00CF2780">
        <w:rPr>
          <w:rFonts w:ascii="Arial" w:eastAsia="Times New Roman" w:hAnsi="Arial" w:cs="Arial"/>
          <w:b/>
          <w:bCs/>
          <w:sz w:val="24"/>
          <w:szCs w:val="24"/>
          <w:lang w:eastAsia="es-ES"/>
        </w:rPr>
        <w:t>6.</w:t>
      </w:r>
      <w:r w:rsidRPr="00CF2780">
        <w:rPr>
          <w:rFonts w:ascii="Arial" w:eastAsia="Times New Roman" w:hAnsi="Arial" w:cs="Arial"/>
          <w:sz w:val="24"/>
          <w:szCs w:val="24"/>
          <w:lang w:eastAsia="es-ES"/>
        </w:rPr>
        <w:tab/>
        <w:t>Por escrito de veintisiete de noviembre de dos mil uno, ingresado el día veintiocho al Instituto Estatal Electoral del Estado y al Poder Legislativo y el día veintinueve ante la Secretaría General de Gobierno, los ciudadanos Tomás Martínez Toledo, Amado Refugio Pacheco, Everardo Martínez Pérez, Ageo Orozco Sánchez, Gustavo Fuentes Bautista, Virgilio Martínez Domínguez, Rolando Bartolo López, Cándido Martínez Toledo y Pedro Martínez Martínez, actuando en representación de todos los ciudadanos de la Cabecera Municipal de Santiago Yaveo, Choápam, Oax., impugnaron la elección convocada y realizada por algunas agencias municipales y el Instituto Estatal Electoral de Oaxaca, en los siguientes términos:</w:t>
      </w:r>
    </w:p>
    <w:p w14:paraId="1E08FF44" w14:textId="77777777" w:rsidR="00676010" w:rsidRPr="00CF2780" w:rsidRDefault="00676010" w:rsidP="00676010">
      <w:pPr>
        <w:tabs>
          <w:tab w:val="left" w:pos="180"/>
        </w:tabs>
        <w:spacing w:after="0" w:line="240" w:lineRule="auto"/>
        <w:ind w:left="567" w:right="609"/>
        <w:jc w:val="both"/>
        <w:rPr>
          <w:rFonts w:ascii="Arial" w:eastAsia="Times New Roman" w:hAnsi="Arial" w:cs="Arial"/>
          <w:i/>
          <w:iCs/>
          <w:sz w:val="24"/>
          <w:szCs w:val="24"/>
          <w:lang w:eastAsia="es-ES"/>
        </w:rPr>
      </w:pPr>
      <w:r w:rsidRPr="00CF2780">
        <w:rPr>
          <w:rFonts w:ascii="Arial" w:eastAsia="Times New Roman" w:hAnsi="Arial" w:cs="Arial"/>
          <w:i/>
          <w:iCs/>
          <w:sz w:val="24"/>
          <w:szCs w:val="24"/>
          <w:lang w:eastAsia="es-ES"/>
        </w:rPr>
        <w:t>‘... CC. Integrantes del Consejo General del Instituto Estatal Electoral de Oaxaca...</w:t>
      </w:r>
    </w:p>
    <w:p w14:paraId="5A359A6F" w14:textId="77777777" w:rsidR="00676010" w:rsidRPr="00CF2780" w:rsidRDefault="00676010" w:rsidP="00676010">
      <w:pPr>
        <w:tabs>
          <w:tab w:val="left" w:pos="900"/>
        </w:tabs>
        <w:autoSpaceDE w:val="0"/>
        <w:autoSpaceDN w:val="0"/>
        <w:adjustRightInd w:val="0"/>
        <w:spacing w:after="0" w:line="240" w:lineRule="auto"/>
        <w:ind w:left="567" w:right="609" w:hanging="360"/>
        <w:jc w:val="both"/>
        <w:rPr>
          <w:rFonts w:ascii="Arial" w:eastAsia="Times New Roman" w:hAnsi="Arial" w:cs="Arial"/>
          <w:b/>
          <w:bCs/>
          <w:i/>
          <w:iCs/>
          <w:sz w:val="24"/>
          <w:szCs w:val="20"/>
          <w:lang w:val="es-ES" w:eastAsia="es-ES"/>
        </w:rPr>
      </w:pPr>
      <w:r w:rsidRPr="00CF2780">
        <w:rPr>
          <w:rFonts w:ascii="Arial" w:eastAsia="Times New Roman" w:hAnsi="Arial" w:cs="Arial"/>
          <w:i/>
          <w:iCs/>
          <w:szCs w:val="20"/>
          <w:lang w:val="es-ES" w:eastAsia="es-ES"/>
        </w:rPr>
        <w:t>1.</w:t>
      </w:r>
      <w:r w:rsidRPr="00CF2780">
        <w:rPr>
          <w:rFonts w:ascii="Arial" w:eastAsia="Times New Roman" w:hAnsi="Arial" w:cs="Arial"/>
          <w:b/>
          <w:bCs/>
          <w:i/>
          <w:iCs/>
          <w:szCs w:val="20"/>
          <w:lang w:val="es-ES" w:eastAsia="es-ES"/>
        </w:rPr>
        <w:tab/>
      </w:r>
      <w:r w:rsidRPr="00CF2780">
        <w:rPr>
          <w:rFonts w:ascii="Arial" w:eastAsia="Times New Roman" w:hAnsi="Arial" w:cs="Arial"/>
          <w:b/>
          <w:bCs/>
          <w:i/>
          <w:iCs/>
          <w:sz w:val="24"/>
          <w:szCs w:val="20"/>
          <w:lang w:val="es-ES" w:eastAsia="es-ES"/>
        </w:rPr>
        <w:t xml:space="preserve">A través de una convocatoria sin fecha e insertado el escudo del Instituto Estatal Electoral, algunas agencias municipales y dicho instituto, convocaron a todos los ciudadanos y ciudadanas de todas las comunidades que integran el Municipio de Santiago Yaveo, para que asistan a la asamblea general que tendrá por objeto el nombramiento de las autoridades municipales (presidente, síndico y regidores) que fungirán para el trienio 2002-2004. Es preciso mencionar que carece de facultades para convocar a una elección de concejales violentando gravemente la ley, y </w:t>
      </w:r>
      <w:r w:rsidRPr="00CF2780">
        <w:rPr>
          <w:rFonts w:ascii="Arial" w:eastAsia="Times New Roman" w:hAnsi="Arial" w:cs="Arial"/>
          <w:b/>
          <w:bCs/>
          <w:i/>
          <w:iCs/>
          <w:sz w:val="24"/>
          <w:szCs w:val="20"/>
          <w:lang w:val="es-ES" w:eastAsia="es-ES"/>
        </w:rPr>
        <w:lastRenderedPageBreak/>
        <w:t>trastocando el estado de derecho que rige a nuestro país, ya que el único facultado para convocar a elecciones es la autoridad municipal, como lo establece el artículo 115 del Código de Instituciones Políticas y Procedimientos Electorales de Oaxaca y que a la letra dice ‘las autoridades competentes del municipio, encargados de la renovación de los ayuntamientos en la comunidad, informará oportunamente y por escrito al Instituto de la fecha, hora y lugar de la celebración del acto de renovación de concejales del ayuntamiento’.</w:t>
      </w:r>
    </w:p>
    <w:p w14:paraId="55728025" w14:textId="77777777" w:rsidR="00676010" w:rsidRPr="00CF2780" w:rsidRDefault="00676010" w:rsidP="00676010">
      <w:pPr>
        <w:tabs>
          <w:tab w:val="left" w:pos="1260"/>
        </w:tabs>
        <w:spacing w:after="0" w:line="240" w:lineRule="auto"/>
        <w:ind w:left="1080" w:right="609" w:hanging="360"/>
        <w:jc w:val="both"/>
        <w:rPr>
          <w:rFonts w:ascii="Arial" w:eastAsia="Times New Roman" w:hAnsi="Arial" w:cs="Arial"/>
          <w:i/>
          <w:iCs/>
          <w:sz w:val="24"/>
          <w:szCs w:val="24"/>
          <w:lang w:eastAsia="es-ES"/>
        </w:rPr>
      </w:pPr>
      <w:r w:rsidRPr="00CF2780">
        <w:rPr>
          <w:rFonts w:ascii="Arial" w:eastAsia="Times New Roman" w:hAnsi="Arial" w:cs="Arial"/>
          <w:i/>
          <w:iCs/>
          <w:sz w:val="24"/>
          <w:szCs w:val="24"/>
          <w:lang w:eastAsia="es-ES"/>
        </w:rPr>
        <w:t>a)</w:t>
      </w:r>
      <w:r w:rsidRPr="00CF2780">
        <w:rPr>
          <w:rFonts w:ascii="Arial" w:eastAsia="Times New Roman" w:hAnsi="Arial" w:cs="Arial"/>
          <w:i/>
          <w:iCs/>
          <w:sz w:val="24"/>
          <w:szCs w:val="24"/>
          <w:lang w:eastAsia="es-ES"/>
        </w:rPr>
        <w:tab/>
        <w:t>Es preocupante que el Instituto que es el responsable de la función estatal de organizar y desarrollar las elecciones en forma pacífica y ordenada esté propiciando esta confusión y violación a la ley en perjuicio de los ciudadanos de nuestro municipio, quienes se sienten despojados de la facultad que les corresponde de nombrar a sus autoridades municipales como lo han venido realizando desde tiempos inmemoriales, situación que pone en peligro la paz social...</w:t>
      </w:r>
    </w:p>
    <w:p w14:paraId="24AAF3E5" w14:textId="77777777" w:rsidR="00676010" w:rsidRPr="00CF2780" w:rsidRDefault="00676010" w:rsidP="00676010">
      <w:pPr>
        <w:tabs>
          <w:tab w:val="left" w:pos="1260"/>
        </w:tabs>
        <w:spacing w:after="0" w:line="240" w:lineRule="auto"/>
        <w:ind w:left="1080" w:right="609" w:hanging="360"/>
        <w:jc w:val="both"/>
        <w:rPr>
          <w:rFonts w:ascii="Arial" w:eastAsia="Times New Roman" w:hAnsi="Arial" w:cs="Arial"/>
          <w:i/>
          <w:iCs/>
          <w:sz w:val="24"/>
          <w:szCs w:val="24"/>
          <w:lang w:eastAsia="es-ES"/>
        </w:rPr>
      </w:pPr>
      <w:r w:rsidRPr="00CF2780">
        <w:rPr>
          <w:rFonts w:ascii="Arial" w:eastAsia="Times New Roman" w:hAnsi="Arial" w:cs="Arial"/>
          <w:i/>
          <w:iCs/>
          <w:sz w:val="24"/>
          <w:szCs w:val="24"/>
          <w:lang w:eastAsia="es-ES"/>
        </w:rPr>
        <w:t>b)</w:t>
      </w:r>
      <w:r w:rsidRPr="00CF2780">
        <w:rPr>
          <w:rFonts w:ascii="Arial" w:eastAsia="Times New Roman" w:hAnsi="Arial" w:cs="Arial"/>
          <w:i/>
          <w:iCs/>
          <w:sz w:val="24"/>
          <w:szCs w:val="24"/>
          <w:lang w:eastAsia="es-ES"/>
        </w:rPr>
        <w:tab/>
        <w:t>Con fecha veinticinco de noviembre del dos mil uno, en el salón general de la Agencia de Policía Francisco Villa a las doce horas careciendo de toda facultad para llevar a cabo dicha elección, eligieron a sus autoridades municipales y lo preocupante es que dicha acta se encuentra signada por el licenciado Cipriano Flores Cruz, Presidente del Instituto Estatal Electoral...</w:t>
      </w:r>
    </w:p>
    <w:p w14:paraId="4D5B539C" w14:textId="77777777" w:rsidR="00676010" w:rsidRPr="00CF2780" w:rsidRDefault="00676010" w:rsidP="00676010">
      <w:pPr>
        <w:tabs>
          <w:tab w:val="left" w:pos="1260"/>
        </w:tabs>
        <w:spacing w:after="0" w:line="240" w:lineRule="auto"/>
        <w:ind w:left="1080" w:right="609" w:hanging="360"/>
        <w:jc w:val="both"/>
        <w:rPr>
          <w:rFonts w:ascii="Arial" w:eastAsia="Times New Roman" w:hAnsi="Arial" w:cs="Arial"/>
          <w:i/>
          <w:iCs/>
          <w:sz w:val="24"/>
          <w:szCs w:val="24"/>
          <w:lang w:eastAsia="es-ES"/>
        </w:rPr>
      </w:pPr>
      <w:r w:rsidRPr="00CF2780">
        <w:rPr>
          <w:rFonts w:ascii="Arial" w:eastAsia="Times New Roman" w:hAnsi="Arial" w:cs="Arial"/>
          <w:i/>
          <w:iCs/>
          <w:sz w:val="24"/>
          <w:szCs w:val="24"/>
          <w:lang w:eastAsia="es-ES"/>
        </w:rPr>
        <w:t>c)</w:t>
      </w:r>
      <w:r w:rsidRPr="00CF2780">
        <w:rPr>
          <w:rFonts w:ascii="Arial" w:eastAsia="Times New Roman" w:hAnsi="Arial" w:cs="Arial"/>
          <w:i/>
          <w:iCs/>
          <w:sz w:val="24"/>
          <w:szCs w:val="24"/>
          <w:lang w:eastAsia="es-ES"/>
        </w:rPr>
        <w:tab/>
        <w:t>Respecto de los documentos mencionados en los incisos anteriores se puede observar que se convocó para el veinticinco de noviembre del 2001, y ésta fue celebrada el veinticinco de noviembre de dos mil uno, por lo que la convocatoria emitida no corresponde a la asamblea que se llevó a cabo.</w:t>
      </w:r>
    </w:p>
    <w:p w14:paraId="43A36316" w14:textId="77777777" w:rsidR="00676010" w:rsidRPr="00CF2780" w:rsidRDefault="00676010" w:rsidP="00676010">
      <w:pPr>
        <w:tabs>
          <w:tab w:val="left" w:pos="1260"/>
        </w:tabs>
        <w:spacing w:after="0" w:line="240" w:lineRule="auto"/>
        <w:ind w:left="1080" w:right="609" w:hanging="360"/>
        <w:jc w:val="both"/>
        <w:rPr>
          <w:rFonts w:ascii="Arial" w:eastAsia="Times New Roman" w:hAnsi="Arial" w:cs="Arial"/>
          <w:i/>
          <w:iCs/>
          <w:sz w:val="24"/>
          <w:szCs w:val="24"/>
          <w:lang w:eastAsia="es-ES"/>
        </w:rPr>
      </w:pPr>
      <w:r w:rsidRPr="00CF2780">
        <w:rPr>
          <w:rFonts w:ascii="Arial" w:eastAsia="Times New Roman" w:hAnsi="Arial" w:cs="Arial"/>
          <w:i/>
          <w:iCs/>
          <w:sz w:val="24"/>
          <w:szCs w:val="24"/>
          <w:lang w:eastAsia="es-ES"/>
        </w:rPr>
        <w:t>d)</w:t>
      </w:r>
      <w:r w:rsidRPr="00CF2780">
        <w:rPr>
          <w:rFonts w:ascii="Arial" w:eastAsia="Times New Roman" w:hAnsi="Arial" w:cs="Arial"/>
          <w:i/>
          <w:iCs/>
          <w:sz w:val="24"/>
          <w:szCs w:val="24"/>
          <w:lang w:eastAsia="es-ES"/>
        </w:rPr>
        <w:tab/>
        <w:t>Es de conocimiento de toda la ciudadanía que en la asamblea que antes menciona estuvo manipulada dolosamente por las siguientes personas, Jacobo Sánchez López, Simón Juárez Estrada y Salustiano Jarquín López, quienes se ostentaron con los siguientes cargos: Diputado de la Región, Representante enviado personal del señor Gobernador, y Delegado Especial de la C.N.C., cargo que en la actualidad no ocupa y que a toda costa pretenden imponer a sus condicionales, para continuar con sus cacicazgos políticos e intereses oscuros sorprendiendo a la ciudadanía.</w:t>
      </w:r>
    </w:p>
    <w:p w14:paraId="6E1D0D8B" w14:textId="77777777" w:rsidR="00676010" w:rsidRPr="00CF2780" w:rsidRDefault="00676010" w:rsidP="00676010">
      <w:pPr>
        <w:tabs>
          <w:tab w:val="left" w:pos="900"/>
        </w:tabs>
        <w:spacing w:after="0" w:line="240" w:lineRule="auto"/>
        <w:ind w:left="567" w:right="609" w:hanging="360"/>
        <w:jc w:val="both"/>
        <w:rPr>
          <w:rFonts w:ascii="Arial" w:eastAsia="Times New Roman" w:hAnsi="Arial" w:cs="Arial"/>
          <w:i/>
          <w:iCs/>
          <w:sz w:val="24"/>
          <w:szCs w:val="24"/>
          <w:lang w:eastAsia="es-ES"/>
        </w:rPr>
      </w:pPr>
      <w:r w:rsidRPr="00CF2780">
        <w:rPr>
          <w:rFonts w:ascii="Arial" w:eastAsia="Times New Roman" w:hAnsi="Arial" w:cs="Arial"/>
          <w:i/>
          <w:iCs/>
          <w:sz w:val="24"/>
          <w:szCs w:val="24"/>
          <w:lang w:eastAsia="es-ES"/>
        </w:rPr>
        <w:t>2.</w:t>
      </w:r>
      <w:r w:rsidRPr="00CF2780">
        <w:rPr>
          <w:rFonts w:ascii="Arial" w:eastAsia="Times New Roman" w:hAnsi="Arial" w:cs="Arial"/>
          <w:i/>
          <w:iCs/>
          <w:sz w:val="24"/>
          <w:szCs w:val="24"/>
          <w:lang w:eastAsia="es-ES"/>
        </w:rPr>
        <w:tab/>
        <w:t>Tales hechos tienen repercusiones de carácter jurídico por una parte las autoridades sólo pueden realizar los actos que les faculta la ley por lo tanto estamos en presencia de actos ilegales que violentan el marco electoral que rigen nuestro Estado, por otra parte se actualizan responsabilidades de carácter penal al usurpar funciones que no les corresponden y usar un logotipo de carácter oficial, pero en su momento recurriremos ante las instancias competentes.</w:t>
      </w:r>
    </w:p>
    <w:p w14:paraId="6B9D836E" w14:textId="77777777" w:rsidR="00676010" w:rsidRPr="00CF2780" w:rsidRDefault="00676010" w:rsidP="00676010">
      <w:pPr>
        <w:tabs>
          <w:tab w:val="left" w:pos="360"/>
        </w:tabs>
        <w:spacing w:after="0" w:line="240" w:lineRule="auto"/>
        <w:ind w:left="567" w:right="609"/>
        <w:jc w:val="both"/>
        <w:rPr>
          <w:rFonts w:ascii="Arial" w:eastAsia="Times New Roman" w:hAnsi="Arial" w:cs="Arial"/>
          <w:i/>
          <w:iCs/>
          <w:sz w:val="24"/>
          <w:szCs w:val="24"/>
          <w:lang w:eastAsia="es-ES"/>
        </w:rPr>
      </w:pPr>
      <w:r w:rsidRPr="00CF2780">
        <w:rPr>
          <w:rFonts w:ascii="Arial" w:eastAsia="Times New Roman" w:hAnsi="Arial" w:cs="Arial"/>
          <w:i/>
          <w:iCs/>
          <w:sz w:val="24"/>
          <w:szCs w:val="24"/>
          <w:lang w:eastAsia="es-ES"/>
        </w:rPr>
        <w:t>A ustedes ciudadanos integrantes del Consejo General del Instituto Estatal Electoral, atentamente pedimos:</w:t>
      </w:r>
    </w:p>
    <w:p w14:paraId="14C80F92" w14:textId="77777777" w:rsidR="00676010" w:rsidRPr="00CF2780" w:rsidRDefault="00676010" w:rsidP="00676010">
      <w:pPr>
        <w:tabs>
          <w:tab w:val="left" w:pos="540"/>
        </w:tabs>
        <w:spacing w:after="0" w:line="240" w:lineRule="auto"/>
        <w:ind w:left="567" w:right="609"/>
        <w:jc w:val="both"/>
        <w:rPr>
          <w:rFonts w:ascii="Arial" w:eastAsia="Times New Roman" w:hAnsi="Arial" w:cs="Arial"/>
          <w:i/>
          <w:iCs/>
          <w:sz w:val="24"/>
          <w:szCs w:val="24"/>
          <w:lang w:eastAsia="es-ES"/>
        </w:rPr>
      </w:pPr>
      <w:r w:rsidRPr="00CF2780">
        <w:rPr>
          <w:rFonts w:ascii="Arial" w:eastAsia="Times New Roman" w:hAnsi="Arial" w:cs="Arial"/>
          <w:i/>
          <w:iCs/>
          <w:sz w:val="24"/>
          <w:szCs w:val="24"/>
          <w:lang w:eastAsia="es-ES"/>
        </w:rPr>
        <w:t xml:space="preserve">Único.- Como órgano máximo en nuestro Estado para resolver las controversias que se den respecto de las elecciones, a nombre y </w:t>
      </w:r>
      <w:r w:rsidRPr="00CF2780">
        <w:rPr>
          <w:rFonts w:ascii="Arial" w:eastAsia="Times New Roman" w:hAnsi="Arial" w:cs="Arial"/>
          <w:i/>
          <w:iCs/>
          <w:sz w:val="24"/>
          <w:szCs w:val="24"/>
          <w:lang w:eastAsia="es-ES"/>
        </w:rPr>
        <w:lastRenderedPageBreak/>
        <w:t>representación de los ciudadanos al Municipio de Santiago Yaveo, Choápam, Oax., y para evitar que se suscite hechos violentas, se declare inválida la supuesta elección celebrada por los agentes municipales, ya que desde su origen y fin carece de fundamento legal, para convocar y realizarlas...’</w:t>
      </w:r>
    </w:p>
    <w:p w14:paraId="5A0A0A36" w14:textId="77777777" w:rsidR="00676010" w:rsidRPr="00CF2780" w:rsidRDefault="00676010" w:rsidP="00676010">
      <w:pPr>
        <w:tabs>
          <w:tab w:val="left" w:pos="720"/>
        </w:tabs>
        <w:spacing w:after="0" w:line="240" w:lineRule="auto"/>
        <w:ind w:left="567" w:right="609" w:hanging="360"/>
        <w:jc w:val="both"/>
        <w:rPr>
          <w:rFonts w:ascii="Arial" w:eastAsia="Times New Roman" w:hAnsi="Arial" w:cs="Arial"/>
          <w:sz w:val="24"/>
          <w:szCs w:val="24"/>
          <w:lang w:eastAsia="es-ES"/>
        </w:rPr>
      </w:pPr>
      <w:r w:rsidRPr="00CF2780">
        <w:rPr>
          <w:rFonts w:ascii="Arial" w:eastAsia="Times New Roman" w:hAnsi="Arial" w:cs="Arial"/>
          <w:b/>
          <w:bCs/>
          <w:sz w:val="24"/>
          <w:szCs w:val="24"/>
          <w:lang w:eastAsia="es-ES"/>
        </w:rPr>
        <w:t>7.</w:t>
      </w:r>
      <w:r w:rsidRPr="00CF2780">
        <w:rPr>
          <w:rFonts w:ascii="Arial" w:eastAsia="Times New Roman" w:hAnsi="Arial" w:cs="Arial"/>
          <w:sz w:val="24"/>
          <w:szCs w:val="24"/>
          <w:lang w:eastAsia="es-ES"/>
        </w:rPr>
        <w:tab/>
        <w:t>En el Municipio de Santiago Yaveo, Distrito de Choápam Estado de Oaxaca, a las diez horas del dos de diciembre de dos mil uno, reunidos en el salón de usos múltiples que se ubica en esa cabecera municipal, los ciudadanos Fortino Jiménez Ortíz, César Ortíz Díaz, Artemio López Ortega, Bulmaro Fuentes Bautista y Adelfo Víctor Sánchez, en su carácter de Presidente Municipal, Síndico Municipal, Regidor de Hacienda, Regidor de Salud y Secretario Municipal, respectivamente, del ayuntamiento constitucional en funciones, así como la licenciada Elizabeth Sánchez González y Contador Jonás González Ayuso, Coordinadores de la Dirección del Instituto Estatal Electoral por Usos y Costumbres de la Ciudad de Oaxaca, en calidad de Observadores, y obviamente la mayoría de los ciudadanos de esa población, en acatamiento a la convocatoria a que nos referimos en el numeral 1 de esta denuncia, llevaron a cabo la Asamblea General Comunitaria para elegir a los concejales que deberían integrar el cuerpo edilicio para el trienio 2002-2004 de esa cabecera municipal, de acuerdo a nuestros sistemas de usos y costumbres y con fundamento en los artículos 110, 115, 116 y 117 del Código de Instituciones Políticas y Procedimientos Electorales de Oaxaca. Y una vez propuestas las ternas de candidatos, depositando sus votos los asambleístas en el pizarrón por medio de lista, se eligieron a las siguientes personas, como Propietarios: Indalecio Martínez Domínguez como Presidente Municipal, con ciento dieciocho votos; Raúl Lorenzo Hernández como Síndico Municipal, con noventa y dos votos; Miguel Ortíz Pacheco como Regidor de Hacienda, con ochenta y siete votos; Rolando Bartolo López como Regidor Segundo y/o de Salud, con ochenta y un votos; y Evergisto Díaz Pérez, como Regidor Tercero y/o de Educación, con ochenta y dos votos. Como suplentes: Filemón Ortíz Miguel como Presidente Municipal, con sesenta y ocho votos; Augusto Narváez Robles, como Síndico Municipal, con sesenta y ocho votos; Bulmaro López Andrés como Regidor de Hacienda, con sesenta y cuatro votos; Leonardo Domínguez Sánchez como Regidor Segundo y/o de Salud, con treinta y nueve votos; y Alberto Vicente Vargas como Regidor Tercero y/o de Educación, con cincuenta y siete votos. En tal virtud, pasada que fue la lista de los ciudadanos electos con que quedaron integradas las planillas de Concejales, Propietarios y Suplentes, sin registrarse incidente alguno, se dio por terminada la Asamblea a las dieciocho horas con treinta minutos de la fecha de su inicio, firmando al calce los que en ella intervinieron y con el acuerdo de enviar copias certificadas a las dependencias oficiales para los asuntos legales correspondientes.</w:t>
      </w:r>
    </w:p>
    <w:p w14:paraId="4E369FF8" w14:textId="77777777" w:rsidR="00676010" w:rsidRPr="00CF2780" w:rsidRDefault="00676010" w:rsidP="00676010">
      <w:pPr>
        <w:spacing w:after="0" w:line="240" w:lineRule="auto"/>
        <w:ind w:left="567" w:right="609"/>
        <w:jc w:val="both"/>
        <w:rPr>
          <w:rFonts w:ascii="Arial" w:eastAsia="Times New Roman" w:hAnsi="Arial" w:cs="Arial"/>
          <w:b/>
          <w:bCs/>
          <w:sz w:val="24"/>
          <w:szCs w:val="24"/>
          <w:lang w:eastAsia="es-ES"/>
        </w:rPr>
      </w:pPr>
      <w:r w:rsidRPr="00CF2780">
        <w:rPr>
          <w:rFonts w:ascii="Arial" w:eastAsia="Times New Roman" w:hAnsi="Arial" w:cs="Arial"/>
          <w:b/>
          <w:bCs/>
          <w:sz w:val="24"/>
          <w:szCs w:val="24"/>
          <w:lang w:eastAsia="es-ES"/>
        </w:rPr>
        <w:t xml:space="preserve">Es importante establecer que cada uno de los concejales electos acompañaron sus respectivas constancias de residencia, de buena </w:t>
      </w:r>
      <w:r w:rsidRPr="00CF2780">
        <w:rPr>
          <w:rFonts w:ascii="Arial" w:eastAsia="Times New Roman" w:hAnsi="Arial" w:cs="Arial"/>
          <w:b/>
          <w:bCs/>
          <w:sz w:val="24"/>
          <w:szCs w:val="24"/>
          <w:lang w:eastAsia="es-ES"/>
        </w:rPr>
        <w:lastRenderedPageBreak/>
        <w:t>conducta y de antecedentes penales, así como sus credenciales de elector y las cuales obran, junto con el acta levantada con motivo de la Asamblea en copia certificada en el instrumento número cinco mil setecientos ochenta y cinco ante la fe del licenciado Flavio Arturo Torres Pérez, titular de la Notaría Pública No. 62 del Estado de Oaxaca, con residencia en la ciudad de Tuxtepec de la misma entidad.</w:t>
      </w:r>
    </w:p>
    <w:p w14:paraId="20A3CB95" w14:textId="77777777" w:rsidR="00676010" w:rsidRPr="00CF2780" w:rsidRDefault="00676010" w:rsidP="00676010">
      <w:pPr>
        <w:tabs>
          <w:tab w:val="left" w:pos="900"/>
        </w:tabs>
        <w:spacing w:after="0" w:line="240" w:lineRule="auto"/>
        <w:ind w:left="567" w:right="609" w:hanging="360"/>
        <w:jc w:val="both"/>
        <w:rPr>
          <w:rFonts w:ascii="Arial" w:eastAsia="Times New Roman" w:hAnsi="Arial" w:cs="Arial"/>
          <w:sz w:val="24"/>
          <w:szCs w:val="24"/>
          <w:lang w:eastAsia="es-ES"/>
        </w:rPr>
      </w:pPr>
      <w:r w:rsidRPr="00CF2780">
        <w:rPr>
          <w:rFonts w:ascii="Arial" w:eastAsia="Times New Roman" w:hAnsi="Arial" w:cs="Arial"/>
          <w:b/>
          <w:bCs/>
          <w:sz w:val="24"/>
          <w:szCs w:val="24"/>
          <w:lang w:eastAsia="es-ES"/>
        </w:rPr>
        <w:t>8.</w:t>
      </w:r>
      <w:r w:rsidRPr="00CF2780">
        <w:rPr>
          <w:rFonts w:ascii="Arial" w:eastAsia="Times New Roman" w:hAnsi="Arial" w:cs="Arial"/>
          <w:sz w:val="24"/>
          <w:szCs w:val="24"/>
          <w:lang w:eastAsia="es-ES"/>
        </w:rPr>
        <w:tab/>
        <w:t>Por acuerdo del Consejo General del Instituto Estatal Electoral de Oaxaca, dado en sesión especial de fecha veinte de diciembre de dos mil uno, respecto de la elección de concejales en el Municipio de Santiago Yaveo, que se rige bajo el régimen de Normas de Derecho Consuetudinario, se tomó el acuerdo de declarar válida la elección de concejales celebrada el dos de diciembre último y, dada su importancia, transcribo literalmente el mismo:</w:t>
      </w:r>
    </w:p>
    <w:p w14:paraId="46C5C87A" w14:textId="77777777" w:rsidR="00676010" w:rsidRPr="00CF2780" w:rsidRDefault="00676010" w:rsidP="00676010">
      <w:pPr>
        <w:spacing w:after="0" w:line="240" w:lineRule="auto"/>
        <w:ind w:left="567" w:right="609"/>
        <w:jc w:val="both"/>
        <w:rPr>
          <w:rFonts w:ascii="Arial" w:eastAsia="Times New Roman" w:hAnsi="Arial" w:cs="Arial"/>
          <w:b/>
          <w:bCs/>
          <w:i/>
          <w:iCs/>
          <w:sz w:val="24"/>
          <w:szCs w:val="24"/>
          <w:lang w:eastAsia="es-ES"/>
        </w:rPr>
      </w:pPr>
      <w:r w:rsidRPr="00CF2780">
        <w:rPr>
          <w:rFonts w:ascii="Arial" w:eastAsia="Times New Roman" w:hAnsi="Arial" w:cs="Arial"/>
          <w:b/>
          <w:bCs/>
          <w:i/>
          <w:iCs/>
          <w:sz w:val="24"/>
          <w:szCs w:val="24"/>
          <w:lang w:eastAsia="es-ES"/>
        </w:rPr>
        <w:t>‘Antecedentes:</w:t>
      </w:r>
    </w:p>
    <w:p w14:paraId="2CA8D6C0" w14:textId="77777777" w:rsidR="00676010" w:rsidRPr="00CF2780" w:rsidRDefault="00676010" w:rsidP="00676010">
      <w:pPr>
        <w:tabs>
          <w:tab w:val="left" w:pos="900"/>
        </w:tabs>
        <w:spacing w:after="0" w:line="240" w:lineRule="auto"/>
        <w:ind w:left="567" w:right="609" w:hanging="360"/>
        <w:jc w:val="both"/>
        <w:rPr>
          <w:rFonts w:ascii="Arial" w:eastAsia="Times New Roman" w:hAnsi="Arial" w:cs="Arial"/>
          <w:b/>
          <w:bCs/>
          <w:i/>
          <w:iCs/>
          <w:sz w:val="24"/>
          <w:szCs w:val="24"/>
          <w:lang w:eastAsia="es-ES"/>
        </w:rPr>
      </w:pPr>
      <w:r w:rsidRPr="00CF2780">
        <w:rPr>
          <w:rFonts w:ascii="Arial" w:eastAsia="Times New Roman" w:hAnsi="Arial" w:cs="Arial"/>
          <w:b/>
          <w:bCs/>
          <w:i/>
          <w:iCs/>
          <w:sz w:val="24"/>
          <w:szCs w:val="24"/>
          <w:lang w:eastAsia="es-ES"/>
        </w:rPr>
        <w:t>1.</w:t>
      </w:r>
      <w:r w:rsidRPr="00CF2780">
        <w:rPr>
          <w:rFonts w:ascii="Arial" w:eastAsia="Times New Roman" w:hAnsi="Arial" w:cs="Arial"/>
          <w:b/>
          <w:bCs/>
          <w:i/>
          <w:iCs/>
          <w:sz w:val="24"/>
          <w:szCs w:val="24"/>
          <w:lang w:eastAsia="es-ES"/>
        </w:rPr>
        <w:tab/>
        <w:t>De conformidad con lo dispuesto en el artículo 114 del Código de Instituciones Políticas y Procedimientos Electorales de Oaxaca, este Consejo General, en sesión ordinaria de fecha veintiocho de marzo del año en curso, aprobó el Catálogo de Municipios que renovarán sus ayuntamientos bajo el régimen de Normas de Derecho Consuetudinario, en el que se incluyó el Municipio de Santiago Yaveo.</w:t>
      </w:r>
    </w:p>
    <w:p w14:paraId="644342D6" w14:textId="77777777" w:rsidR="00676010" w:rsidRPr="00CF2780" w:rsidRDefault="00676010" w:rsidP="00676010">
      <w:pPr>
        <w:tabs>
          <w:tab w:val="left" w:pos="900"/>
        </w:tabs>
        <w:spacing w:after="0" w:line="240" w:lineRule="auto"/>
        <w:ind w:left="567" w:right="609" w:hanging="360"/>
        <w:jc w:val="both"/>
        <w:rPr>
          <w:rFonts w:ascii="Arial" w:eastAsia="Times New Roman" w:hAnsi="Arial" w:cs="Arial"/>
          <w:b/>
          <w:bCs/>
          <w:i/>
          <w:iCs/>
          <w:sz w:val="24"/>
          <w:szCs w:val="24"/>
          <w:lang w:eastAsia="es-ES"/>
        </w:rPr>
      </w:pPr>
      <w:r w:rsidRPr="00CF2780">
        <w:rPr>
          <w:rFonts w:ascii="Arial" w:eastAsia="Times New Roman" w:hAnsi="Arial" w:cs="Arial"/>
          <w:b/>
          <w:bCs/>
          <w:i/>
          <w:iCs/>
          <w:sz w:val="24"/>
          <w:szCs w:val="24"/>
          <w:lang w:eastAsia="es-ES"/>
        </w:rPr>
        <w:t>2.</w:t>
      </w:r>
      <w:r w:rsidRPr="00CF2780">
        <w:rPr>
          <w:rFonts w:ascii="Arial" w:eastAsia="Times New Roman" w:hAnsi="Arial" w:cs="Arial"/>
          <w:b/>
          <w:bCs/>
          <w:i/>
          <w:iCs/>
          <w:sz w:val="24"/>
          <w:szCs w:val="24"/>
          <w:lang w:eastAsia="es-ES"/>
        </w:rPr>
        <w:tab/>
        <w:t>La Asamblea de Elección de Concejales en el Municipio de Santiago Yaveo, se efectuó el día dos de diciembre del año dos mil uno, recibiéndose la documentación correspondiente en la Dirección de Usos y Costumbres.</w:t>
      </w:r>
    </w:p>
    <w:p w14:paraId="036809B3" w14:textId="77777777" w:rsidR="00676010" w:rsidRPr="00CF2780" w:rsidRDefault="00676010" w:rsidP="00676010">
      <w:pPr>
        <w:tabs>
          <w:tab w:val="left" w:pos="900"/>
        </w:tabs>
        <w:spacing w:after="0" w:line="240" w:lineRule="auto"/>
        <w:ind w:left="567" w:right="609" w:hanging="360"/>
        <w:jc w:val="both"/>
        <w:rPr>
          <w:rFonts w:ascii="Arial" w:eastAsia="Times New Roman" w:hAnsi="Arial" w:cs="Arial"/>
          <w:b/>
          <w:bCs/>
          <w:i/>
          <w:iCs/>
          <w:sz w:val="24"/>
          <w:szCs w:val="24"/>
          <w:lang w:eastAsia="es-ES"/>
        </w:rPr>
      </w:pPr>
      <w:r w:rsidRPr="00CF2780">
        <w:rPr>
          <w:rFonts w:ascii="Arial" w:eastAsia="Times New Roman" w:hAnsi="Arial" w:cs="Arial"/>
          <w:b/>
          <w:bCs/>
          <w:i/>
          <w:iCs/>
          <w:sz w:val="24"/>
          <w:szCs w:val="24"/>
          <w:lang w:eastAsia="es-ES"/>
        </w:rPr>
        <w:t>3.</w:t>
      </w:r>
      <w:r w:rsidRPr="00CF2780">
        <w:rPr>
          <w:rFonts w:ascii="Arial" w:eastAsia="Times New Roman" w:hAnsi="Arial" w:cs="Arial"/>
          <w:b/>
          <w:bCs/>
          <w:i/>
          <w:iCs/>
          <w:sz w:val="24"/>
          <w:szCs w:val="24"/>
          <w:lang w:eastAsia="es-ES"/>
        </w:rPr>
        <w:tab/>
        <w:t>De la misma forma se recibió en este instituto un escrito de inconformidad, signado por ciudadanos del municipio de referencia, inconformes con el procedimiento de elección.</w:t>
      </w:r>
    </w:p>
    <w:p w14:paraId="4948D877" w14:textId="77777777" w:rsidR="00676010" w:rsidRPr="00CF2780" w:rsidRDefault="00676010" w:rsidP="00676010">
      <w:pPr>
        <w:tabs>
          <w:tab w:val="left" w:pos="900"/>
        </w:tabs>
        <w:spacing w:after="0" w:line="240" w:lineRule="auto"/>
        <w:ind w:left="567" w:right="609" w:hanging="360"/>
        <w:jc w:val="both"/>
        <w:rPr>
          <w:rFonts w:ascii="Arial" w:eastAsia="Times New Roman" w:hAnsi="Arial" w:cs="Arial"/>
          <w:b/>
          <w:bCs/>
          <w:i/>
          <w:iCs/>
          <w:sz w:val="24"/>
          <w:szCs w:val="24"/>
          <w:lang w:eastAsia="es-ES"/>
        </w:rPr>
      </w:pPr>
      <w:r w:rsidRPr="00CF2780">
        <w:rPr>
          <w:rFonts w:ascii="Arial" w:eastAsia="Times New Roman" w:hAnsi="Arial" w:cs="Arial"/>
          <w:b/>
          <w:bCs/>
          <w:i/>
          <w:iCs/>
          <w:sz w:val="24"/>
          <w:szCs w:val="24"/>
          <w:lang w:eastAsia="es-ES"/>
        </w:rPr>
        <w:t>4.</w:t>
      </w:r>
      <w:r w:rsidRPr="00CF2780">
        <w:rPr>
          <w:rFonts w:ascii="Arial" w:eastAsia="Times New Roman" w:hAnsi="Arial" w:cs="Arial"/>
          <w:b/>
          <w:bCs/>
          <w:i/>
          <w:iCs/>
          <w:sz w:val="24"/>
          <w:szCs w:val="24"/>
          <w:lang w:eastAsia="es-ES"/>
        </w:rPr>
        <w:tab/>
        <w:t>En cumplimiento al artículo 125 del Código de Instituciones Políticas y Procedimientos Electorales de Oaxaca los Consejeros Electorales, se reunieron con las partes en conflicto para llevar a cabo pláticas conciliatorias.</w:t>
      </w:r>
    </w:p>
    <w:p w14:paraId="0AA52F2A" w14:textId="77777777" w:rsidR="00676010" w:rsidRPr="00CF2780" w:rsidRDefault="00676010" w:rsidP="00676010">
      <w:pPr>
        <w:spacing w:after="0" w:line="240" w:lineRule="auto"/>
        <w:ind w:left="567" w:right="609"/>
        <w:jc w:val="center"/>
        <w:rPr>
          <w:rFonts w:ascii="Arial" w:eastAsia="Times New Roman" w:hAnsi="Arial" w:cs="Arial"/>
          <w:i/>
          <w:iCs/>
          <w:sz w:val="24"/>
          <w:szCs w:val="24"/>
          <w:lang w:eastAsia="es-ES"/>
        </w:rPr>
      </w:pPr>
      <w:r w:rsidRPr="00CF2780">
        <w:rPr>
          <w:rFonts w:ascii="Arial" w:eastAsia="Times New Roman" w:hAnsi="Arial" w:cs="Arial"/>
          <w:i/>
          <w:iCs/>
          <w:sz w:val="24"/>
          <w:szCs w:val="24"/>
          <w:lang w:eastAsia="es-ES"/>
        </w:rPr>
        <w:t>Considerando:</w:t>
      </w:r>
    </w:p>
    <w:p w14:paraId="7E0F213E" w14:textId="77777777" w:rsidR="00676010" w:rsidRPr="00CF2780" w:rsidRDefault="00676010" w:rsidP="00676010">
      <w:pPr>
        <w:tabs>
          <w:tab w:val="left" w:pos="1440"/>
        </w:tabs>
        <w:spacing w:after="0" w:line="240" w:lineRule="auto"/>
        <w:ind w:left="1260" w:right="1149" w:hanging="360"/>
        <w:jc w:val="both"/>
        <w:rPr>
          <w:rFonts w:ascii="Arial" w:eastAsia="Times New Roman" w:hAnsi="Arial" w:cs="Arial"/>
          <w:i/>
          <w:iCs/>
          <w:sz w:val="24"/>
          <w:szCs w:val="24"/>
          <w:lang w:eastAsia="es-ES"/>
        </w:rPr>
      </w:pPr>
      <w:r w:rsidRPr="00CF2780">
        <w:rPr>
          <w:rFonts w:ascii="Arial" w:eastAsia="Times New Roman" w:hAnsi="Arial" w:cs="Arial"/>
          <w:i/>
          <w:iCs/>
          <w:sz w:val="24"/>
          <w:szCs w:val="24"/>
          <w:lang w:eastAsia="es-ES"/>
        </w:rPr>
        <w:t>I.</w:t>
      </w:r>
      <w:r w:rsidRPr="00CF2780">
        <w:rPr>
          <w:rFonts w:ascii="Arial" w:eastAsia="Times New Roman" w:hAnsi="Arial" w:cs="Arial"/>
          <w:i/>
          <w:iCs/>
          <w:sz w:val="24"/>
          <w:szCs w:val="24"/>
          <w:lang w:eastAsia="es-ES"/>
        </w:rPr>
        <w:tab/>
        <w:t>Que como lo dispone el artículo 25 de la Constitución Política del Estado y el artículo 62 del Código de Instituciones Políticas y Procedimientos Electorales de Oaxaca es facultad de este Consejo General vigilar el cumplimiento de las disposiciones constitucionales y legales en materia electoral y, en consecuencia, garantizar que se respeten y protejan las tradiciones y prácticas democráticas de las comunidades que así lo determinen.</w:t>
      </w:r>
    </w:p>
    <w:p w14:paraId="257B3033" w14:textId="77777777" w:rsidR="00676010" w:rsidRPr="00CF2780" w:rsidRDefault="00676010" w:rsidP="00676010">
      <w:pPr>
        <w:tabs>
          <w:tab w:val="left" w:pos="1440"/>
        </w:tabs>
        <w:spacing w:after="0" w:line="240" w:lineRule="auto"/>
        <w:ind w:left="1260" w:right="1149" w:hanging="360"/>
        <w:jc w:val="both"/>
        <w:rPr>
          <w:rFonts w:ascii="Arial" w:eastAsia="Times New Roman" w:hAnsi="Arial" w:cs="Arial"/>
          <w:b/>
          <w:bCs/>
          <w:i/>
          <w:iCs/>
          <w:sz w:val="24"/>
          <w:szCs w:val="24"/>
          <w:lang w:eastAsia="es-ES"/>
        </w:rPr>
      </w:pPr>
      <w:r w:rsidRPr="00CF2780">
        <w:rPr>
          <w:rFonts w:ascii="Arial" w:eastAsia="Times New Roman" w:hAnsi="Arial" w:cs="Arial"/>
          <w:b/>
          <w:bCs/>
          <w:i/>
          <w:iCs/>
          <w:sz w:val="24"/>
          <w:szCs w:val="24"/>
          <w:lang w:eastAsia="es-ES"/>
        </w:rPr>
        <w:t>II.</w:t>
      </w:r>
      <w:r w:rsidRPr="00CF2780">
        <w:rPr>
          <w:rFonts w:ascii="Arial" w:eastAsia="Times New Roman" w:hAnsi="Arial" w:cs="Arial"/>
          <w:b/>
          <w:bCs/>
          <w:i/>
          <w:iCs/>
          <w:sz w:val="24"/>
          <w:szCs w:val="24"/>
          <w:lang w:eastAsia="es-ES"/>
        </w:rPr>
        <w:tab/>
        <w:t xml:space="preserve">Que la Asamblea de Elección de Consejales celebrada el dos de diciembre de dos mil uno en el Municipio de Santiago Yaveo Oaxaca, satisface las disposiciones previstas en el Capítulo Tercero del Libro Cuarto del </w:t>
      </w:r>
      <w:r w:rsidRPr="00CF2780">
        <w:rPr>
          <w:rFonts w:ascii="Arial" w:eastAsia="Times New Roman" w:hAnsi="Arial" w:cs="Arial"/>
          <w:b/>
          <w:bCs/>
          <w:i/>
          <w:iCs/>
          <w:sz w:val="24"/>
          <w:szCs w:val="24"/>
          <w:lang w:eastAsia="es-ES"/>
        </w:rPr>
        <w:lastRenderedPageBreak/>
        <w:t>Código de Instituciones Políticas y Procedimientos Electorales de Oaxaca.</w:t>
      </w:r>
    </w:p>
    <w:p w14:paraId="01F4E4EE" w14:textId="77777777" w:rsidR="00676010" w:rsidRPr="00CF2780" w:rsidRDefault="00676010" w:rsidP="00676010">
      <w:pPr>
        <w:tabs>
          <w:tab w:val="left" w:pos="1440"/>
        </w:tabs>
        <w:spacing w:after="0" w:line="240" w:lineRule="auto"/>
        <w:ind w:left="1260" w:right="1149" w:hanging="360"/>
        <w:jc w:val="both"/>
        <w:rPr>
          <w:rFonts w:ascii="Arial" w:eastAsia="Times New Roman" w:hAnsi="Arial" w:cs="Arial"/>
          <w:b/>
          <w:bCs/>
          <w:i/>
          <w:iCs/>
          <w:sz w:val="24"/>
          <w:szCs w:val="24"/>
          <w:lang w:eastAsia="es-ES"/>
        </w:rPr>
      </w:pPr>
      <w:r w:rsidRPr="00CF2780">
        <w:rPr>
          <w:rFonts w:ascii="Arial" w:eastAsia="Times New Roman" w:hAnsi="Arial" w:cs="Arial"/>
          <w:b/>
          <w:bCs/>
          <w:i/>
          <w:iCs/>
          <w:sz w:val="24"/>
          <w:szCs w:val="24"/>
          <w:lang w:eastAsia="es-ES"/>
        </w:rPr>
        <w:t>III.</w:t>
      </w:r>
      <w:r w:rsidRPr="00CF2780">
        <w:rPr>
          <w:rFonts w:ascii="Arial" w:eastAsia="Times New Roman" w:hAnsi="Arial" w:cs="Arial"/>
          <w:b/>
          <w:bCs/>
          <w:i/>
          <w:iCs/>
          <w:sz w:val="24"/>
          <w:szCs w:val="24"/>
          <w:lang w:eastAsia="es-ES"/>
        </w:rPr>
        <w:tab/>
        <w:t>Que los ciudadanos electos cumplen con los requisitos previstos por los artículos 112 y 113 del Código de Instituciones Políticas y Procedimientos Electorales.</w:t>
      </w:r>
    </w:p>
    <w:p w14:paraId="2AFF2E1E" w14:textId="77777777" w:rsidR="00676010" w:rsidRPr="00CF2780" w:rsidRDefault="00676010" w:rsidP="00676010">
      <w:pPr>
        <w:tabs>
          <w:tab w:val="left" w:pos="1440"/>
        </w:tabs>
        <w:spacing w:after="0" w:line="240" w:lineRule="auto"/>
        <w:ind w:left="1260" w:right="1149" w:hanging="360"/>
        <w:jc w:val="both"/>
        <w:rPr>
          <w:rFonts w:ascii="Arial" w:eastAsia="Times New Roman" w:hAnsi="Arial" w:cs="Arial"/>
          <w:b/>
          <w:bCs/>
          <w:i/>
          <w:iCs/>
          <w:sz w:val="24"/>
          <w:szCs w:val="24"/>
          <w:lang w:eastAsia="es-ES"/>
        </w:rPr>
      </w:pPr>
      <w:r w:rsidRPr="00CF2780">
        <w:rPr>
          <w:rFonts w:ascii="Arial" w:eastAsia="Times New Roman" w:hAnsi="Arial" w:cs="Arial"/>
          <w:b/>
          <w:bCs/>
          <w:i/>
          <w:iCs/>
          <w:sz w:val="24"/>
          <w:szCs w:val="24"/>
          <w:lang w:eastAsia="es-ES"/>
        </w:rPr>
        <w:t>IV.</w:t>
      </w:r>
      <w:r w:rsidRPr="00CF2780">
        <w:rPr>
          <w:rFonts w:ascii="Arial" w:eastAsia="Times New Roman" w:hAnsi="Arial" w:cs="Arial"/>
          <w:b/>
          <w:bCs/>
          <w:i/>
          <w:iCs/>
          <w:sz w:val="24"/>
          <w:szCs w:val="24"/>
          <w:lang w:eastAsia="es-ES"/>
        </w:rPr>
        <w:tab/>
        <w:t>Tomando como base los (sic) manifestado por las partes en las pláticas conciliatorias, y con el propósito de garantizar la gobernabilidad en el municipio, se considera conveniente proceder a la integración de una representación de los ciudadanos de las agencias inconformes, al ayuntamiento.</w:t>
      </w:r>
    </w:p>
    <w:p w14:paraId="1A98FC76" w14:textId="77777777" w:rsidR="00676010" w:rsidRPr="00CF2780" w:rsidRDefault="00676010" w:rsidP="00676010">
      <w:pPr>
        <w:tabs>
          <w:tab w:val="left" w:pos="1440"/>
        </w:tabs>
        <w:spacing w:after="0" w:line="240" w:lineRule="auto"/>
        <w:ind w:left="1260" w:right="1149" w:hanging="360"/>
        <w:jc w:val="both"/>
        <w:rPr>
          <w:rFonts w:ascii="Arial" w:eastAsia="Times New Roman" w:hAnsi="Arial" w:cs="Arial"/>
          <w:b/>
          <w:bCs/>
          <w:i/>
          <w:iCs/>
          <w:sz w:val="24"/>
          <w:szCs w:val="24"/>
          <w:lang w:eastAsia="es-ES"/>
        </w:rPr>
      </w:pPr>
      <w:r w:rsidRPr="00CF2780">
        <w:rPr>
          <w:rFonts w:ascii="Arial" w:eastAsia="Times New Roman" w:hAnsi="Arial" w:cs="Arial"/>
          <w:b/>
          <w:bCs/>
          <w:i/>
          <w:iCs/>
          <w:sz w:val="24"/>
          <w:szCs w:val="24"/>
          <w:lang w:eastAsia="es-ES"/>
        </w:rPr>
        <w:t>V.</w:t>
      </w:r>
      <w:r w:rsidRPr="00CF2780">
        <w:rPr>
          <w:rFonts w:ascii="Arial" w:eastAsia="Times New Roman" w:hAnsi="Arial" w:cs="Arial"/>
          <w:b/>
          <w:bCs/>
          <w:i/>
          <w:iCs/>
          <w:sz w:val="24"/>
          <w:szCs w:val="24"/>
          <w:lang w:eastAsia="es-ES"/>
        </w:rPr>
        <w:tab/>
        <w:t>Que conforme al artículo 120 del Código de Instituciones Políticas y Procedimientos Electorales de Oaxaca, es facultad de este Consejo General declarar la validez de la elección del Municipio de Santiago Yaveo, y expedir la constancia de mayoría respectiva.</w:t>
      </w:r>
    </w:p>
    <w:p w14:paraId="7A19F0E3" w14:textId="77777777" w:rsidR="00676010" w:rsidRPr="00CF2780" w:rsidRDefault="00676010" w:rsidP="00676010">
      <w:pPr>
        <w:tabs>
          <w:tab w:val="left" w:pos="-180"/>
        </w:tabs>
        <w:spacing w:after="0" w:line="240" w:lineRule="auto"/>
        <w:ind w:left="1260" w:right="1149"/>
        <w:jc w:val="both"/>
        <w:rPr>
          <w:rFonts w:ascii="Arial" w:eastAsia="Times New Roman" w:hAnsi="Arial" w:cs="Arial"/>
          <w:b/>
          <w:bCs/>
          <w:i/>
          <w:iCs/>
          <w:sz w:val="24"/>
          <w:szCs w:val="24"/>
          <w:lang w:eastAsia="es-ES"/>
        </w:rPr>
      </w:pPr>
      <w:r w:rsidRPr="00CF2780">
        <w:rPr>
          <w:rFonts w:ascii="Arial" w:eastAsia="Times New Roman" w:hAnsi="Arial" w:cs="Arial"/>
          <w:b/>
          <w:bCs/>
          <w:i/>
          <w:iCs/>
          <w:sz w:val="24"/>
          <w:szCs w:val="24"/>
          <w:lang w:eastAsia="es-ES"/>
        </w:rPr>
        <w:t>Por lo expuesto en los antecedentes y considerandos previos y con fundamento en lo dispuesto por los artículos 71 fracción XXXIII y 120 del Código de Instituciones Políticas y Procedimientos Electorales de Oaxaca, este Consejo General,</w:t>
      </w:r>
    </w:p>
    <w:p w14:paraId="503B333E" w14:textId="77777777" w:rsidR="00676010" w:rsidRPr="00CF2780" w:rsidRDefault="00676010" w:rsidP="00676010">
      <w:pPr>
        <w:tabs>
          <w:tab w:val="left" w:pos="2160"/>
        </w:tabs>
        <w:spacing w:after="0" w:line="240" w:lineRule="auto"/>
        <w:ind w:left="1260" w:right="1149"/>
        <w:jc w:val="both"/>
        <w:rPr>
          <w:rFonts w:ascii="Arial" w:eastAsia="Times New Roman" w:hAnsi="Arial" w:cs="Arial"/>
          <w:i/>
          <w:iCs/>
          <w:sz w:val="24"/>
          <w:szCs w:val="24"/>
          <w:lang w:eastAsia="es-ES"/>
        </w:rPr>
      </w:pPr>
      <w:r w:rsidRPr="00CF2780">
        <w:rPr>
          <w:rFonts w:ascii="Arial" w:eastAsia="Times New Roman" w:hAnsi="Arial" w:cs="Arial"/>
          <w:i/>
          <w:iCs/>
          <w:sz w:val="24"/>
          <w:szCs w:val="24"/>
          <w:lang w:eastAsia="es-ES"/>
        </w:rPr>
        <w:t>Acuerda:</w:t>
      </w:r>
    </w:p>
    <w:p w14:paraId="0A29B841" w14:textId="77777777" w:rsidR="00676010" w:rsidRPr="00CF2780" w:rsidRDefault="00676010" w:rsidP="00676010">
      <w:pPr>
        <w:tabs>
          <w:tab w:val="left" w:pos="2160"/>
        </w:tabs>
        <w:spacing w:after="0" w:line="240" w:lineRule="auto"/>
        <w:ind w:left="1260" w:right="1149"/>
        <w:jc w:val="both"/>
        <w:rPr>
          <w:rFonts w:ascii="Arial" w:eastAsia="Times New Roman" w:hAnsi="Arial" w:cs="Arial"/>
          <w:b/>
          <w:bCs/>
          <w:i/>
          <w:iCs/>
          <w:sz w:val="24"/>
          <w:szCs w:val="24"/>
          <w:lang w:eastAsia="es-ES"/>
        </w:rPr>
      </w:pPr>
      <w:r w:rsidRPr="00CF2780">
        <w:rPr>
          <w:rFonts w:ascii="Arial" w:eastAsia="Times New Roman" w:hAnsi="Arial" w:cs="Arial"/>
          <w:b/>
          <w:bCs/>
          <w:i/>
          <w:iCs/>
          <w:sz w:val="24"/>
          <w:szCs w:val="24"/>
          <w:lang w:eastAsia="es-ES"/>
        </w:rPr>
        <w:t>Primero. Se declara válida la elección de concejales en el Municipio de Santiago Yaveo, celebrada el dos de diciembre de dos mil uno.</w:t>
      </w:r>
    </w:p>
    <w:p w14:paraId="7D8E4A36" w14:textId="77777777" w:rsidR="00676010" w:rsidRPr="00CF2780" w:rsidRDefault="00676010" w:rsidP="00676010">
      <w:pPr>
        <w:tabs>
          <w:tab w:val="left" w:pos="2160"/>
        </w:tabs>
        <w:spacing w:after="0" w:line="240" w:lineRule="auto"/>
        <w:ind w:left="1260" w:right="1149"/>
        <w:jc w:val="both"/>
        <w:rPr>
          <w:rFonts w:ascii="Arial" w:eastAsia="Times New Roman" w:hAnsi="Arial" w:cs="Arial"/>
          <w:b/>
          <w:bCs/>
          <w:i/>
          <w:iCs/>
          <w:sz w:val="24"/>
          <w:szCs w:val="24"/>
          <w:lang w:eastAsia="es-ES"/>
        </w:rPr>
      </w:pPr>
      <w:r w:rsidRPr="00CF2780">
        <w:rPr>
          <w:rFonts w:ascii="Arial" w:eastAsia="Times New Roman" w:hAnsi="Arial" w:cs="Arial"/>
          <w:b/>
          <w:bCs/>
          <w:i/>
          <w:iCs/>
          <w:sz w:val="24"/>
          <w:szCs w:val="24"/>
          <w:lang w:eastAsia="es-ES"/>
        </w:rPr>
        <w:t>Segundo. Para la integración del Ayuntamiento de Santiago Yaveo, se estará a lo establecido por el considerando cuarto del presente acuerdo.</w:t>
      </w:r>
    </w:p>
    <w:p w14:paraId="56C1E716" w14:textId="77777777" w:rsidR="00676010" w:rsidRPr="00CF2780" w:rsidRDefault="00676010" w:rsidP="00676010">
      <w:pPr>
        <w:tabs>
          <w:tab w:val="left" w:pos="2160"/>
        </w:tabs>
        <w:spacing w:after="0" w:line="240" w:lineRule="auto"/>
        <w:ind w:left="1260" w:right="1149"/>
        <w:jc w:val="both"/>
        <w:rPr>
          <w:rFonts w:ascii="Arial" w:eastAsia="Times New Roman" w:hAnsi="Arial" w:cs="Arial"/>
          <w:b/>
          <w:bCs/>
          <w:i/>
          <w:iCs/>
          <w:sz w:val="24"/>
          <w:szCs w:val="24"/>
          <w:lang w:eastAsia="es-ES"/>
        </w:rPr>
      </w:pPr>
      <w:r w:rsidRPr="00CF2780">
        <w:rPr>
          <w:rFonts w:ascii="Arial" w:eastAsia="Times New Roman" w:hAnsi="Arial" w:cs="Arial"/>
          <w:b/>
          <w:bCs/>
          <w:i/>
          <w:iCs/>
          <w:sz w:val="24"/>
          <w:szCs w:val="24"/>
          <w:lang w:eastAsia="es-ES"/>
        </w:rPr>
        <w:t>Tercero. Publíquese en el Periódico Oficial del Gobierno del Estado, en cumplimiento a lo dispuesto por el artículo 70 del Código de Instituciones Políticas y Procedimientos Electorales de Oaxaca y en forma prevista por el artículo 73 inciso j) del mismo ordenamiento legal.</w:t>
      </w:r>
    </w:p>
    <w:p w14:paraId="67CB1F5D" w14:textId="77777777" w:rsidR="00676010" w:rsidRPr="00CF2780" w:rsidRDefault="00676010" w:rsidP="00676010">
      <w:pPr>
        <w:tabs>
          <w:tab w:val="left" w:pos="2160"/>
        </w:tabs>
        <w:spacing w:after="0" w:line="240" w:lineRule="auto"/>
        <w:ind w:left="1260" w:right="1149"/>
        <w:jc w:val="both"/>
        <w:rPr>
          <w:rFonts w:ascii="Arial" w:eastAsia="Times New Roman" w:hAnsi="Arial" w:cs="Arial"/>
          <w:sz w:val="24"/>
          <w:szCs w:val="24"/>
          <w:lang w:eastAsia="es-ES"/>
        </w:rPr>
      </w:pPr>
      <w:r w:rsidRPr="00CF2780">
        <w:rPr>
          <w:rFonts w:ascii="Arial" w:eastAsia="Times New Roman" w:hAnsi="Arial" w:cs="Arial"/>
          <w:b/>
          <w:bCs/>
          <w:i/>
          <w:iCs/>
          <w:sz w:val="24"/>
          <w:szCs w:val="24"/>
          <w:lang w:eastAsia="es-ES"/>
        </w:rPr>
        <w:t>Oaxaca de Juárez Oax., diciembre veintiuno de dos mil uno...’</w:t>
      </w:r>
    </w:p>
    <w:p w14:paraId="767F33F5" w14:textId="77777777" w:rsidR="00676010" w:rsidRPr="00CF2780" w:rsidRDefault="00676010" w:rsidP="00676010">
      <w:pPr>
        <w:tabs>
          <w:tab w:val="left" w:pos="2160"/>
        </w:tabs>
        <w:spacing w:after="0" w:line="240" w:lineRule="auto"/>
        <w:ind w:left="567" w:right="609"/>
        <w:jc w:val="both"/>
        <w:rPr>
          <w:rFonts w:ascii="Arial" w:eastAsia="Times New Roman" w:hAnsi="Arial" w:cs="Arial"/>
          <w:sz w:val="24"/>
          <w:szCs w:val="24"/>
          <w:lang w:eastAsia="es-ES"/>
        </w:rPr>
      </w:pPr>
    </w:p>
    <w:p w14:paraId="08F943E8" w14:textId="77777777" w:rsidR="00676010" w:rsidRPr="00CF2780" w:rsidRDefault="00676010" w:rsidP="00676010">
      <w:pPr>
        <w:spacing w:after="0" w:line="240" w:lineRule="auto"/>
        <w:ind w:left="540" w:right="609" w:hanging="333"/>
        <w:jc w:val="both"/>
        <w:rPr>
          <w:rFonts w:ascii="Arial" w:eastAsia="Times New Roman" w:hAnsi="Arial" w:cs="Arial"/>
          <w:sz w:val="24"/>
          <w:szCs w:val="24"/>
          <w:lang w:eastAsia="es-ES"/>
        </w:rPr>
      </w:pPr>
      <w:r w:rsidRPr="00CF2780">
        <w:rPr>
          <w:rFonts w:ascii="Arial" w:eastAsia="Times New Roman" w:hAnsi="Arial" w:cs="Arial"/>
          <w:b/>
          <w:bCs/>
          <w:sz w:val="24"/>
          <w:szCs w:val="24"/>
          <w:lang w:eastAsia="es-ES"/>
        </w:rPr>
        <w:t>9.</w:t>
      </w:r>
      <w:r w:rsidRPr="00CF2780">
        <w:rPr>
          <w:rFonts w:ascii="Arial" w:eastAsia="Times New Roman" w:hAnsi="Arial" w:cs="Arial"/>
          <w:sz w:val="24"/>
          <w:szCs w:val="24"/>
          <w:lang w:eastAsia="es-ES"/>
        </w:rPr>
        <w:t xml:space="preserve"> El propio veintiuno de diciembre último, independientemente de lo estatuido en el Considerando IV y Resolutivo Segundo del Acuerdo (por cuanto el Consejo General del Instituto Estatal Electoral de Oaxaca consideró conveniente proceder a la integración de una representación de los ciudadanos de las agencias inconformes al ayuntamiento y que para la integración del ayuntamiento se estaría a lo ahí establecido), a los suscritos nos fue expedida la Constancia de Mayoría, que a la letra dice:</w:t>
      </w:r>
    </w:p>
    <w:p w14:paraId="5DAEBF2C" w14:textId="77777777" w:rsidR="00676010" w:rsidRPr="00CF2780" w:rsidRDefault="00676010" w:rsidP="00676010">
      <w:pPr>
        <w:tabs>
          <w:tab w:val="left" w:pos="540"/>
        </w:tabs>
        <w:spacing w:after="0" w:line="240" w:lineRule="auto"/>
        <w:ind w:left="567" w:right="609"/>
        <w:jc w:val="both"/>
        <w:rPr>
          <w:rFonts w:ascii="Arial" w:eastAsia="Times New Roman" w:hAnsi="Arial" w:cs="Arial"/>
          <w:sz w:val="24"/>
          <w:szCs w:val="24"/>
          <w:lang w:eastAsia="es-ES"/>
        </w:rPr>
      </w:pPr>
    </w:p>
    <w:tbl>
      <w:tblPr>
        <w:tblW w:w="0" w:type="auto"/>
        <w:tblInd w:w="610" w:type="dxa"/>
        <w:tblCellMar>
          <w:left w:w="70" w:type="dxa"/>
          <w:right w:w="70" w:type="dxa"/>
        </w:tblCellMar>
        <w:tblLook w:val="0000" w:firstRow="0" w:lastRow="0" w:firstColumn="0" w:lastColumn="0" w:noHBand="0" w:noVBand="0"/>
      </w:tblPr>
      <w:tblGrid>
        <w:gridCol w:w="3420"/>
        <w:gridCol w:w="3420"/>
      </w:tblGrid>
      <w:tr w:rsidR="00676010" w:rsidRPr="00CF2780" w14:paraId="77CC2C54" w14:textId="77777777" w:rsidTr="00B05F31">
        <w:tc>
          <w:tcPr>
            <w:tcW w:w="3420" w:type="dxa"/>
          </w:tcPr>
          <w:p w14:paraId="13E8D50D" w14:textId="77777777" w:rsidR="00676010" w:rsidRPr="00CF2780" w:rsidRDefault="00676010" w:rsidP="00676010">
            <w:pPr>
              <w:tabs>
                <w:tab w:val="left" w:pos="180"/>
              </w:tabs>
              <w:spacing w:after="0" w:line="240" w:lineRule="auto"/>
              <w:ind w:left="110" w:right="830"/>
              <w:jc w:val="both"/>
              <w:rPr>
                <w:rFonts w:ascii="Arial" w:eastAsia="Times New Roman" w:hAnsi="Arial" w:cs="Arial"/>
                <w:b/>
                <w:bCs/>
                <w:szCs w:val="24"/>
                <w:lang w:eastAsia="es-ES"/>
              </w:rPr>
            </w:pPr>
            <w:r w:rsidRPr="00CF2780">
              <w:rPr>
                <w:rFonts w:ascii="Arial" w:eastAsia="Times New Roman" w:hAnsi="Arial" w:cs="Arial"/>
                <w:b/>
                <w:bCs/>
                <w:szCs w:val="24"/>
                <w:lang w:eastAsia="es-ES"/>
              </w:rPr>
              <w:lastRenderedPageBreak/>
              <w:t>‘Instituto Estatal Electoral de Oaxaca</w:t>
            </w:r>
          </w:p>
        </w:tc>
        <w:tc>
          <w:tcPr>
            <w:tcW w:w="3420" w:type="dxa"/>
          </w:tcPr>
          <w:p w14:paraId="664213EF" w14:textId="77777777" w:rsidR="00676010" w:rsidRPr="00CF2780" w:rsidRDefault="00676010" w:rsidP="00676010">
            <w:pPr>
              <w:keepNext/>
              <w:tabs>
                <w:tab w:val="left" w:pos="203"/>
                <w:tab w:val="left" w:pos="4680"/>
              </w:tabs>
              <w:autoSpaceDE w:val="0"/>
              <w:autoSpaceDN w:val="0"/>
              <w:adjustRightInd w:val="0"/>
              <w:spacing w:after="0" w:line="240" w:lineRule="auto"/>
              <w:ind w:left="290"/>
              <w:jc w:val="center"/>
              <w:outlineLvl w:val="0"/>
              <w:rPr>
                <w:rFonts w:ascii="Arial" w:eastAsia="Times New Roman" w:hAnsi="Arial" w:cs="Arial"/>
                <w:b/>
                <w:bCs/>
                <w:szCs w:val="20"/>
                <w:lang w:val="es-ES" w:eastAsia="es-ES"/>
              </w:rPr>
            </w:pPr>
            <w:r w:rsidRPr="00CF2780">
              <w:rPr>
                <w:rFonts w:ascii="Arial" w:eastAsia="Times New Roman" w:hAnsi="Arial" w:cs="Arial"/>
                <w:b/>
                <w:bCs/>
                <w:szCs w:val="20"/>
                <w:lang w:val="es-ES" w:eastAsia="es-ES"/>
              </w:rPr>
              <w:t>Proceso Electoral Ordinario 2001</w:t>
            </w:r>
          </w:p>
          <w:p w14:paraId="1003AB38" w14:textId="77777777" w:rsidR="00676010" w:rsidRPr="00CF2780" w:rsidRDefault="00676010" w:rsidP="00676010">
            <w:pPr>
              <w:tabs>
                <w:tab w:val="left" w:pos="203"/>
              </w:tabs>
              <w:spacing w:after="0" w:line="240" w:lineRule="auto"/>
              <w:ind w:left="290" w:right="609"/>
              <w:jc w:val="both"/>
              <w:rPr>
                <w:rFonts w:ascii="Arial" w:eastAsia="Times New Roman" w:hAnsi="Arial" w:cs="Arial"/>
                <w:b/>
                <w:bCs/>
                <w:szCs w:val="24"/>
                <w:lang w:eastAsia="es-ES"/>
              </w:rPr>
            </w:pPr>
          </w:p>
        </w:tc>
      </w:tr>
      <w:tr w:rsidR="00676010" w:rsidRPr="00CF2780" w14:paraId="47F57A23" w14:textId="77777777" w:rsidTr="00B05F31">
        <w:tc>
          <w:tcPr>
            <w:tcW w:w="3420" w:type="dxa"/>
          </w:tcPr>
          <w:p w14:paraId="6ECD7A10" w14:textId="77777777" w:rsidR="00676010" w:rsidRPr="00CF2780" w:rsidRDefault="00676010" w:rsidP="00676010">
            <w:pPr>
              <w:tabs>
                <w:tab w:val="left" w:pos="180"/>
              </w:tabs>
              <w:spacing w:after="0" w:line="240" w:lineRule="auto"/>
              <w:ind w:right="830"/>
              <w:jc w:val="both"/>
              <w:rPr>
                <w:rFonts w:ascii="Arial" w:eastAsia="Times New Roman" w:hAnsi="Arial" w:cs="Arial"/>
                <w:i/>
                <w:iCs/>
                <w:szCs w:val="24"/>
                <w:lang w:eastAsia="es-ES"/>
              </w:rPr>
            </w:pPr>
            <w:r w:rsidRPr="00CF2780">
              <w:rPr>
                <w:rFonts w:ascii="Arial" w:eastAsia="Times New Roman" w:hAnsi="Arial" w:cs="Arial"/>
                <w:i/>
                <w:iCs/>
                <w:szCs w:val="24"/>
                <w:lang w:eastAsia="es-ES"/>
              </w:rPr>
              <w:t>Constancia de Mayoría</w:t>
            </w:r>
          </w:p>
        </w:tc>
        <w:tc>
          <w:tcPr>
            <w:tcW w:w="3420" w:type="dxa"/>
          </w:tcPr>
          <w:p w14:paraId="5BD0B936" w14:textId="77777777" w:rsidR="00676010" w:rsidRPr="00CF2780" w:rsidRDefault="00676010" w:rsidP="00676010">
            <w:pPr>
              <w:tabs>
                <w:tab w:val="left" w:pos="184"/>
              </w:tabs>
              <w:spacing w:after="0" w:line="240" w:lineRule="auto"/>
              <w:ind w:left="290"/>
              <w:jc w:val="both"/>
              <w:rPr>
                <w:rFonts w:ascii="Arial" w:eastAsia="Times New Roman" w:hAnsi="Arial" w:cs="Arial"/>
                <w:i/>
                <w:iCs/>
                <w:szCs w:val="24"/>
                <w:lang w:eastAsia="es-ES"/>
              </w:rPr>
            </w:pPr>
            <w:r w:rsidRPr="00CF2780">
              <w:rPr>
                <w:rFonts w:ascii="Arial" w:eastAsia="Times New Roman" w:hAnsi="Arial" w:cs="Arial"/>
                <w:i/>
                <w:iCs/>
                <w:szCs w:val="24"/>
                <w:lang w:eastAsia="es-ES"/>
              </w:rPr>
              <w:t>Elección por el sistema de Usos y Costumbres</w:t>
            </w:r>
          </w:p>
          <w:p w14:paraId="715E4121" w14:textId="77777777" w:rsidR="00676010" w:rsidRPr="00CF2780" w:rsidRDefault="00676010" w:rsidP="00676010">
            <w:pPr>
              <w:tabs>
                <w:tab w:val="left" w:pos="540"/>
              </w:tabs>
              <w:spacing w:after="0" w:line="240" w:lineRule="auto"/>
              <w:ind w:left="290" w:right="609"/>
              <w:jc w:val="both"/>
              <w:rPr>
                <w:rFonts w:ascii="Arial" w:eastAsia="Times New Roman" w:hAnsi="Arial" w:cs="Arial"/>
                <w:i/>
                <w:iCs/>
                <w:szCs w:val="24"/>
                <w:lang w:eastAsia="es-ES"/>
              </w:rPr>
            </w:pPr>
          </w:p>
        </w:tc>
      </w:tr>
    </w:tbl>
    <w:p w14:paraId="2F5B60F7" w14:textId="77777777" w:rsidR="00676010" w:rsidRPr="00CF2780" w:rsidRDefault="00676010" w:rsidP="00676010">
      <w:pPr>
        <w:tabs>
          <w:tab w:val="left" w:pos="540"/>
        </w:tabs>
        <w:spacing w:after="0" w:line="240" w:lineRule="auto"/>
        <w:ind w:left="567" w:right="609"/>
        <w:jc w:val="both"/>
        <w:rPr>
          <w:rFonts w:ascii="Arial" w:eastAsia="Times New Roman" w:hAnsi="Arial" w:cs="Arial"/>
          <w:sz w:val="24"/>
          <w:szCs w:val="24"/>
          <w:lang w:eastAsia="es-ES"/>
        </w:rPr>
      </w:pPr>
    </w:p>
    <w:p w14:paraId="5FA3ABCF" w14:textId="77777777" w:rsidR="00676010" w:rsidRPr="00CF2780" w:rsidRDefault="00676010" w:rsidP="00676010">
      <w:pPr>
        <w:spacing w:after="0" w:line="240" w:lineRule="auto"/>
        <w:ind w:left="567" w:right="609"/>
        <w:jc w:val="both"/>
        <w:rPr>
          <w:rFonts w:ascii="Arial" w:eastAsia="Times New Roman" w:hAnsi="Arial" w:cs="Arial"/>
          <w:i/>
          <w:iCs/>
          <w:sz w:val="24"/>
          <w:szCs w:val="24"/>
          <w:lang w:eastAsia="es-ES"/>
        </w:rPr>
      </w:pPr>
      <w:r w:rsidRPr="00CF2780">
        <w:rPr>
          <w:rFonts w:ascii="Arial" w:eastAsia="Times New Roman" w:hAnsi="Arial" w:cs="Arial"/>
          <w:i/>
          <w:iCs/>
          <w:sz w:val="24"/>
          <w:szCs w:val="24"/>
          <w:lang w:eastAsia="es-ES"/>
        </w:rPr>
        <w:t>En cumplimiento al Acuerdo del Consejo General de fecha veintiuno de diciembre de dos mil uno, y con fundamento por lo establecido por el artículo 120 del Código de Instituciones Políticas y Procedimientos Electorales de Oaxaca, se expide la presente a quienes obtuvieron mayoría de votos en la Asamblea General Comunitaria celebrada el dos de diciembre de dos mil uno declarándolos Concejales Electos al Ayuntamiento de Santiago Yaveo...</w:t>
      </w:r>
    </w:p>
    <w:p w14:paraId="25031A5D" w14:textId="77777777" w:rsidR="00676010" w:rsidRPr="00CF2780" w:rsidRDefault="00676010" w:rsidP="00676010">
      <w:pPr>
        <w:spacing w:after="0" w:line="240" w:lineRule="auto"/>
        <w:ind w:left="567" w:right="609"/>
        <w:jc w:val="both"/>
        <w:rPr>
          <w:rFonts w:ascii="Arial" w:eastAsia="Times New Roman" w:hAnsi="Arial" w:cs="Arial"/>
          <w:sz w:val="24"/>
          <w:szCs w:val="24"/>
          <w:lang w:eastAsia="es-ES"/>
        </w:rPr>
      </w:pPr>
      <w:r w:rsidRPr="00CF2780">
        <w:rPr>
          <w:rFonts w:ascii="Arial" w:eastAsia="Times New Roman" w:hAnsi="Arial" w:cs="Arial"/>
          <w:i/>
          <w:iCs/>
          <w:sz w:val="24"/>
          <w:szCs w:val="24"/>
          <w:lang w:eastAsia="es-ES"/>
        </w:rPr>
        <w:t>Mismos que tomarán posesión de su cargo a partir del primero de enero de dos mil dos y se desempeñarán durante el tiempo que sus tradiciones y prácticas democráticas determinen...”</w:t>
      </w:r>
    </w:p>
    <w:p w14:paraId="0317266C" w14:textId="77777777" w:rsidR="00676010" w:rsidRPr="00CF2780" w:rsidRDefault="00676010" w:rsidP="00676010">
      <w:pPr>
        <w:tabs>
          <w:tab w:val="left" w:pos="540"/>
        </w:tabs>
        <w:spacing w:after="0" w:line="240" w:lineRule="auto"/>
        <w:ind w:left="567" w:right="609"/>
        <w:jc w:val="both"/>
        <w:rPr>
          <w:rFonts w:ascii="Arial" w:eastAsia="Times New Roman" w:hAnsi="Arial" w:cs="Arial"/>
          <w:i/>
          <w:iCs/>
          <w:sz w:val="24"/>
          <w:szCs w:val="24"/>
          <w:lang w:eastAsia="es-ES"/>
        </w:rPr>
      </w:pPr>
    </w:p>
    <w:p w14:paraId="2A29BF66" w14:textId="77777777" w:rsidR="00676010" w:rsidRPr="00CF2780" w:rsidRDefault="00676010" w:rsidP="00676010">
      <w:pPr>
        <w:tabs>
          <w:tab w:val="left" w:pos="900"/>
        </w:tabs>
        <w:spacing w:after="0" w:line="240" w:lineRule="auto"/>
        <w:ind w:left="567" w:right="609" w:hanging="360"/>
        <w:jc w:val="both"/>
        <w:rPr>
          <w:rFonts w:ascii="Arial" w:eastAsia="Times New Roman" w:hAnsi="Arial" w:cs="Arial"/>
          <w:sz w:val="24"/>
          <w:szCs w:val="24"/>
          <w:lang w:eastAsia="es-ES"/>
        </w:rPr>
      </w:pPr>
      <w:r w:rsidRPr="00CF2780">
        <w:rPr>
          <w:rFonts w:ascii="Arial" w:eastAsia="Times New Roman" w:hAnsi="Arial" w:cs="Arial"/>
          <w:b/>
          <w:bCs/>
          <w:sz w:val="24"/>
          <w:szCs w:val="24"/>
          <w:lang w:eastAsia="es-ES"/>
        </w:rPr>
        <w:t>10.</w:t>
      </w:r>
      <w:r w:rsidRPr="00CF2780">
        <w:rPr>
          <w:rFonts w:ascii="Arial" w:eastAsia="Times New Roman" w:hAnsi="Arial" w:cs="Arial"/>
          <w:b/>
          <w:bCs/>
          <w:sz w:val="24"/>
          <w:szCs w:val="24"/>
          <w:lang w:eastAsia="es-ES"/>
        </w:rPr>
        <w:tab/>
      </w:r>
      <w:r w:rsidRPr="00CF2780">
        <w:rPr>
          <w:rFonts w:ascii="Arial" w:eastAsia="Times New Roman" w:hAnsi="Arial" w:cs="Arial"/>
          <w:sz w:val="24"/>
          <w:szCs w:val="24"/>
          <w:lang w:eastAsia="es-ES"/>
        </w:rPr>
        <w:t>El acuerdo a que se ha hecho mérito, en cumplimiento a su Resolutivo Tercero fue publicado en el Periódico Oficial del Estado Libre y Soberano de Oaxaca, correspondiente al veintiséis de diciembre de dos mil uno.</w:t>
      </w:r>
    </w:p>
    <w:p w14:paraId="1EA06E72" w14:textId="77777777" w:rsidR="00676010" w:rsidRPr="00CF2780" w:rsidRDefault="00676010" w:rsidP="00676010">
      <w:pPr>
        <w:tabs>
          <w:tab w:val="left" w:pos="900"/>
        </w:tabs>
        <w:spacing w:after="0" w:line="240" w:lineRule="auto"/>
        <w:ind w:left="567" w:right="609" w:hanging="360"/>
        <w:jc w:val="both"/>
        <w:rPr>
          <w:rFonts w:ascii="Arial" w:eastAsia="Times New Roman" w:hAnsi="Arial" w:cs="Arial"/>
          <w:sz w:val="24"/>
          <w:szCs w:val="24"/>
          <w:lang w:eastAsia="es-ES"/>
        </w:rPr>
      </w:pPr>
      <w:r w:rsidRPr="00CF2780">
        <w:rPr>
          <w:rFonts w:ascii="Arial" w:eastAsia="Times New Roman" w:hAnsi="Arial" w:cs="Arial"/>
          <w:b/>
          <w:bCs/>
          <w:sz w:val="24"/>
          <w:szCs w:val="24"/>
          <w:lang w:eastAsia="es-ES"/>
        </w:rPr>
        <w:t>11.</w:t>
      </w:r>
      <w:r w:rsidRPr="00CF2780">
        <w:rPr>
          <w:rFonts w:ascii="Arial" w:eastAsia="Times New Roman" w:hAnsi="Arial" w:cs="Arial"/>
          <w:sz w:val="24"/>
          <w:szCs w:val="24"/>
          <w:lang w:eastAsia="es-ES"/>
        </w:rPr>
        <w:t xml:space="preserve"> El día primero de enero del año en curso, habida cuenta de que a los suscritos les fue expedida la constancia de mayoría y toda vez que en esa fecha tendría que asumirse el cargo por virtud de lo mandado en la propia constancia y en la ley, efectivamente asumimos los cargos de elección a que hemos hecho mérito.</w:t>
      </w:r>
    </w:p>
    <w:p w14:paraId="0BB9D359" w14:textId="77777777" w:rsidR="00676010" w:rsidRPr="00CF2780" w:rsidRDefault="00676010" w:rsidP="00676010">
      <w:pPr>
        <w:tabs>
          <w:tab w:val="left" w:pos="900"/>
        </w:tabs>
        <w:spacing w:after="0" w:line="240" w:lineRule="auto"/>
        <w:ind w:left="567" w:right="609" w:hanging="360"/>
        <w:jc w:val="both"/>
        <w:rPr>
          <w:rFonts w:ascii="Arial" w:eastAsia="Times New Roman" w:hAnsi="Arial" w:cs="Arial"/>
          <w:sz w:val="24"/>
          <w:szCs w:val="24"/>
          <w:lang w:eastAsia="es-ES"/>
        </w:rPr>
      </w:pPr>
      <w:r w:rsidRPr="00CF2780">
        <w:rPr>
          <w:rFonts w:ascii="Arial" w:eastAsia="Times New Roman" w:hAnsi="Arial" w:cs="Arial"/>
          <w:b/>
          <w:bCs/>
          <w:sz w:val="24"/>
          <w:szCs w:val="24"/>
          <w:lang w:eastAsia="es-ES"/>
        </w:rPr>
        <w:t>12.</w:t>
      </w:r>
      <w:r w:rsidRPr="00CF2780">
        <w:rPr>
          <w:rFonts w:ascii="Arial" w:eastAsia="Times New Roman" w:hAnsi="Arial" w:cs="Arial"/>
          <w:sz w:val="24"/>
          <w:szCs w:val="24"/>
          <w:lang w:eastAsia="es-ES"/>
        </w:rPr>
        <w:tab/>
        <w:t xml:space="preserve">Con fecha nueve de enero del presente año, se publicó un Periódico Oficial </w:t>
      </w:r>
      <w:r w:rsidRPr="00CF2780">
        <w:rPr>
          <w:rFonts w:ascii="Arial" w:eastAsia="Times New Roman" w:hAnsi="Arial" w:cs="Arial"/>
          <w:b/>
          <w:bCs/>
          <w:sz w:val="24"/>
          <w:szCs w:val="24"/>
          <w:lang w:eastAsia="es-ES"/>
        </w:rPr>
        <w:t>haciéndolo aparecer como de publicación del treinta y uno de diciembre del año próximo pasado</w:t>
      </w:r>
      <w:r w:rsidRPr="00CF2780">
        <w:rPr>
          <w:rFonts w:ascii="Arial" w:eastAsia="Times New Roman" w:hAnsi="Arial" w:cs="Arial"/>
          <w:sz w:val="24"/>
          <w:szCs w:val="24"/>
          <w:lang w:eastAsia="es-ES"/>
        </w:rPr>
        <w:t>, el Decreto número 32 de la Quincuagésima Octava Legislatura Constitucional del Estado Libre y Soberano de Oaxaca, erigida en Colegio Electoral, cuyos artículos segundo y tercero son del tenor siguiente:</w:t>
      </w:r>
    </w:p>
    <w:p w14:paraId="72EDBF31" w14:textId="77777777" w:rsidR="00676010" w:rsidRPr="00CF2780" w:rsidRDefault="00676010" w:rsidP="00676010">
      <w:pPr>
        <w:tabs>
          <w:tab w:val="left" w:pos="900"/>
        </w:tabs>
        <w:spacing w:after="0" w:line="240" w:lineRule="auto"/>
        <w:ind w:left="567" w:right="609"/>
        <w:jc w:val="both"/>
        <w:rPr>
          <w:rFonts w:ascii="Arial" w:eastAsia="Times New Roman" w:hAnsi="Arial" w:cs="Arial"/>
          <w:i/>
          <w:iCs/>
          <w:sz w:val="24"/>
          <w:szCs w:val="24"/>
          <w:lang w:eastAsia="es-ES"/>
        </w:rPr>
      </w:pPr>
      <w:r w:rsidRPr="00CF2780">
        <w:rPr>
          <w:rFonts w:ascii="Arial" w:eastAsia="Times New Roman" w:hAnsi="Arial" w:cs="Arial"/>
          <w:i/>
          <w:iCs/>
          <w:sz w:val="24"/>
          <w:szCs w:val="24"/>
          <w:lang w:eastAsia="es-ES"/>
        </w:rPr>
        <w:t xml:space="preserve">‘Artículo Segundo.- Se revocan los acuerdos del Consejo General del Instituto Estatal Electoral que declararon la validez de las elecciones municipales efectuados en el año dos mil uno bajo el régimen de Derecho Consuetudinario en los Municipios de Zapotitlán del Río, Sola de Vega, Ayoquezco de Aldama, Sim; Santa María Ozolotepec, Miah., Pluma Hidalgo, Poch; Santiago Yaveo, Choápam y Santa Catarina Zapoquila, Huaj., Oax., y se decreta la invalidez de las mismas, revocándose las constancias de declaratoria de validez y de mayoría.- Artículo Tercero.- Con fundamento en el artículo 59 fracción XXVII de la Constitución Política del Estado, se faculta al Instituto Estatal Electoral, para que convoque a los ciudadanos oaxaqueños a participar en las elecciones extraordinarias del 2002, para elegir Concejales a los Ayuntamientos Municipales por el Régimen de Normas de Derecho Consuetudinario, en los Municipios que se mencionan en los artículos anteriores; que deberán celebrarse en la fecha, hora y lugar que al efecto </w:t>
      </w:r>
      <w:r w:rsidRPr="00CF2780">
        <w:rPr>
          <w:rFonts w:ascii="Arial" w:eastAsia="Times New Roman" w:hAnsi="Arial" w:cs="Arial"/>
          <w:i/>
          <w:iCs/>
          <w:sz w:val="24"/>
          <w:szCs w:val="24"/>
          <w:lang w:eastAsia="es-ES"/>
        </w:rPr>
        <w:lastRenderedPageBreak/>
        <w:t xml:space="preserve">se determine, dentro del término que señala el artículo 22 del citado código electoral. Las autoridades que resulten electas cumplirán con su cargo durante el tiempo que sus tradiciones y prácticas democráticas determinen, mismo que ningún caso podrá exceder del 31 de diciembre de 2004. Las elecciones a que se refiere el párrafo anterior, deberán organizarse y desarrollarse en los términos que dispone el Código de Instituciones Políticas y Procedimientos Electorales de Oaxaca. Transitorios: Primero.- Comuníquese esta determinación al Poder Ejecutivo del Estado para los efectos del cumplimiento a lo dispuesto por el artículo 31 de la Ley Orgánica Municipal del Estado de Oaxaca. Segundo.- </w:t>
      </w:r>
      <w:r w:rsidRPr="00CF2780">
        <w:rPr>
          <w:rFonts w:ascii="Arial" w:eastAsia="Times New Roman" w:hAnsi="Arial" w:cs="Arial"/>
          <w:b/>
          <w:bCs/>
          <w:i/>
          <w:iCs/>
          <w:sz w:val="24"/>
          <w:szCs w:val="24"/>
          <w:lang w:eastAsia="es-ES"/>
        </w:rPr>
        <w:t>El presente decreto surtirá sus efectos a partir del día de su publicación en el Periódico Oficial del Gobierno del Estado. Lo tendrá entendido el Gobernador del Estado y hará que se publique y se cumpla. Dado en el Salón de Sesiones del H. Congreso del Estado. Oaxaca de Juárez, Oax., a 31 de diciembre de 2001’.</w:t>
      </w:r>
    </w:p>
    <w:p w14:paraId="25CCAE0B" w14:textId="77777777" w:rsidR="00676010" w:rsidRPr="00CF2780" w:rsidRDefault="00676010" w:rsidP="00676010">
      <w:pPr>
        <w:spacing w:after="0" w:line="240" w:lineRule="auto"/>
        <w:ind w:left="567" w:right="609"/>
        <w:jc w:val="both"/>
        <w:rPr>
          <w:rFonts w:ascii="Arial" w:eastAsia="Times New Roman" w:hAnsi="Arial" w:cs="Arial"/>
          <w:b/>
          <w:bCs/>
          <w:sz w:val="24"/>
          <w:szCs w:val="24"/>
          <w:lang w:eastAsia="es-ES"/>
        </w:rPr>
      </w:pPr>
      <w:r w:rsidRPr="00CF2780">
        <w:rPr>
          <w:rFonts w:ascii="Arial" w:eastAsia="Times New Roman" w:hAnsi="Arial" w:cs="Arial"/>
          <w:b/>
          <w:bCs/>
          <w:sz w:val="24"/>
          <w:szCs w:val="24"/>
          <w:lang w:eastAsia="es-ES"/>
        </w:rPr>
        <w:t>Como se aprecia del propio decreto, fue suscrito por Reyna Gloria Vega Hernández, en su carácter de Diputada Presidente; por Genaro Sosa Gómez, Diputado Secretario; y por Luis de Guadalupe Martínez Ramírez, también como Diputado Secretario.</w:t>
      </w:r>
    </w:p>
    <w:p w14:paraId="383D9D8F" w14:textId="77777777" w:rsidR="00676010" w:rsidRPr="00CF2780" w:rsidRDefault="00676010" w:rsidP="00676010">
      <w:pPr>
        <w:tabs>
          <w:tab w:val="left" w:pos="540"/>
        </w:tabs>
        <w:spacing w:after="0" w:line="240" w:lineRule="auto"/>
        <w:ind w:left="567" w:right="609"/>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El Gobernador constitucional del Estado Libre y Soberano de Oaxaca ordenó que se imprimiera, publicara, circulara y se le diera el debido cumplimiento al decreto 32 en cita, con la apariencia de que dicha orden la dio el treinta y uno de diciembre de dos mil uno, suscribiendo, presuntamente en esa misma fecha el decreto en cuestión para su publicación el Secretario General de Gobierno.</w:t>
      </w:r>
    </w:p>
    <w:p w14:paraId="2ED24E51" w14:textId="77777777" w:rsidR="00676010" w:rsidRPr="00CF2780" w:rsidRDefault="00676010" w:rsidP="00676010">
      <w:pPr>
        <w:tabs>
          <w:tab w:val="left" w:pos="900"/>
        </w:tabs>
        <w:spacing w:after="0" w:line="240" w:lineRule="auto"/>
        <w:ind w:left="567" w:right="609" w:hanging="360"/>
        <w:jc w:val="both"/>
        <w:rPr>
          <w:rFonts w:ascii="Arial" w:eastAsia="Times New Roman" w:hAnsi="Arial" w:cs="Arial"/>
          <w:sz w:val="24"/>
          <w:szCs w:val="24"/>
          <w:lang w:eastAsia="es-ES"/>
        </w:rPr>
      </w:pPr>
      <w:r w:rsidRPr="00CF2780">
        <w:rPr>
          <w:rFonts w:ascii="Arial" w:eastAsia="Times New Roman" w:hAnsi="Arial" w:cs="Arial"/>
          <w:b/>
          <w:bCs/>
          <w:sz w:val="24"/>
          <w:szCs w:val="24"/>
          <w:lang w:eastAsia="es-ES"/>
        </w:rPr>
        <w:t>13.</w:t>
      </w:r>
      <w:r w:rsidRPr="00CF2780">
        <w:rPr>
          <w:rFonts w:ascii="Arial" w:eastAsia="Times New Roman" w:hAnsi="Arial" w:cs="Arial"/>
          <w:sz w:val="24"/>
          <w:szCs w:val="24"/>
          <w:lang w:eastAsia="es-ES"/>
        </w:rPr>
        <w:tab/>
        <w:t>De la lectura del Decreto Número 32 a que nos hemos referido, se desprende, esencialmente, que la Quincuagésima Octava Legislatura constitucional del Estado Libre y Soberano de Oaxaca, sin fundar ni motivar, se limitó a revocar el Acuerdo del Consejo General del Instituto Estatal Electoral que declaró la validez de la elección a concejales del Municipio de Santiago Yaveo, Choápam, decretando la invalidez de las mismas y revocándose las constancias de validez y mayoría.</w:t>
      </w:r>
    </w:p>
    <w:p w14:paraId="55134B52" w14:textId="77777777" w:rsidR="00676010" w:rsidRPr="00CF2780" w:rsidRDefault="00676010" w:rsidP="00676010">
      <w:pPr>
        <w:tabs>
          <w:tab w:val="left" w:pos="540"/>
        </w:tabs>
        <w:spacing w:after="0" w:line="240" w:lineRule="auto"/>
        <w:ind w:left="567" w:right="609"/>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Sin embargo, como se desprende del Segundo Transitorio, el Decreto surtiría sus efectos a partir del día de su publicación en el Periódico Oficial del Gobierno del estado, e insistimos en que fue dado a conocer hasta el día nueve del mes y año en curso, trampeando, con violación a la Constitución General de la República y la Constitución local del Estado, así como a diversas disposiciones de carácter legal, la fecha en que debía surtir sus efectos.</w:t>
      </w:r>
    </w:p>
    <w:p w14:paraId="603D7715" w14:textId="77777777" w:rsidR="00676010" w:rsidRPr="00CF2780" w:rsidRDefault="00676010" w:rsidP="00676010">
      <w:pPr>
        <w:tabs>
          <w:tab w:val="left" w:pos="900"/>
        </w:tabs>
        <w:spacing w:after="0" w:line="240" w:lineRule="auto"/>
        <w:ind w:left="567" w:right="609" w:hanging="360"/>
        <w:jc w:val="both"/>
        <w:rPr>
          <w:rFonts w:ascii="Arial" w:eastAsia="Times New Roman" w:hAnsi="Arial" w:cs="Arial"/>
          <w:sz w:val="24"/>
          <w:szCs w:val="24"/>
          <w:lang w:eastAsia="es-ES"/>
        </w:rPr>
      </w:pPr>
      <w:r w:rsidRPr="00CF2780">
        <w:rPr>
          <w:rFonts w:ascii="Arial" w:eastAsia="Times New Roman" w:hAnsi="Arial" w:cs="Arial"/>
          <w:b/>
          <w:bCs/>
          <w:sz w:val="24"/>
          <w:szCs w:val="24"/>
          <w:lang w:eastAsia="es-ES"/>
        </w:rPr>
        <w:t>14.</w:t>
      </w:r>
      <w:r w:rsidRPr="00CF2780">
        <w:rPr>
          <w:rFonts w:ascii="Arial" w:eastAsia="Times New Roman" w:hAnsi="Arial" w:cs="Arial"/>
          <w:sz w:val="24"/>
          <w:szCs w:val="24"/>
          <w:lang w:eastAsia="es-ES"/>
        </w:rPr>
        <w:tab/>
        <w:t xml:space="preserve">Como acreditaremos con la certificación notarial correspondiente, el Periódico Oficial donde se publicó el Decreto Número 32, en realidad, así lo reiteramos, fue publicado el día nueve de enero último y con la pretensión de que, fechándolo como aparecido el día treinta y uno de diciembre del año próximo pasado, conculcar los derechos de los suscritos y haciendo nugatorios los medios de impugnación en contra de la determinación de la Legislatura del Estado que revocó el Acuerdo del Consejo General del Instituto Estatal Electoral que declaró la validez de </w:t>
      </w:r>
      <w:r w:rsidRPr="00CF2780">
        <w:rPr>
          <w:rFonts w:ascii="Arial" w:eastAsia="Times New Roman" w:hAnsi="Arial" w:cs="Arial"/>
          <w:sz w:val="24"/>
          <w:szCs w:val="24"/>
          <w:lang w:eastAsia="es-ES"/>
        </w:rPr>
        <w:lastRenderedPageBreak/>
        <w:t>las elecciones municipales, celebradas el dos de diciembre pasado, en el Municipio de Santiago Yaveo, Choápam, decretando la invalidez de las mismas y revocándose las constancias de declaratoria de validez y de mayoría.</w:t>
      </w:r>
    </w:p>
    <w:p w14:paraId="310E48DB" w14:textId="77777777" w:rsidR="00676010" w:rsidRPr="00CF2780" w:rsidRDefault="00676010" w:rsidP="00676010">
      <w:pPr>
        <w:spacing w:after="0" w:line="240" w:lineRule="auto"/>
        <w:jc w:val="center"/>
        <w:rPr>
          <w:rFonts w:ascii="Arial" w:eastAsia="Times New Roman" w:hAnsi="Arial" w:cs="Arial"/>
          <w:b/>
          <w:bCs/>
          <w:sz w:val="24"/>
          <w:szCs w:val="24"/>
          <w:lang w:val="en-US" w:eastAsia="es-ES"/>
        </w:rPr>
      </w:pPr>
      <w:r w:rsidRPr="00CF2780">
        <w:rPr>
          <w:rFonts w:ascii="Arial" w:eastAsia="Times New Roman" w:hAnsi="Arial" w:cs="Arial"/>
          <w:b/>
          <w:bCs/>
          <w:sz w:val="24"/>
          <w:szCs w:val="24"/>
          <w:lang w:val="en-US" w:eastAsia="es-ES"/>
        </w:rPr>
        <w:t>A G R A V I O S</w:t>
      </w:r>
    </w:p>
    <w:p w14:paraId="0C0DC670" w14:textId="77777777" w:rsidR="00676010" w:rsidRPr="00CF2780" w:rsidRDefault="00676010" w:rsidP="00676010">
      <w:pPr>
        <w:spacing w:after="0" w:line="240" w:lineRule="auto"/>
        <w:jc w:val="both"/>
        <w:rPr>
          <w:rFonts w:ascii="Arial" w:eastAsia="Times New Roman" w:hAnsi="Arial" w:cs="Arial"/>
          <w:sz w:val="24"/>
          <w:szCs w:val="24"/>
          <w:lang w:eastAsia="es-ES"/>
        </w:rPr>
      </w:pPr>
      <w:r w:rsidRPr="00CF2780">
        <w:rPr>
          <w:rFonts w:ascii="Arial" w:eastAsia="Times New Roman" w:hAnsi="Arial" w:cs="Arial"/>
          <w:b/>
          <w:bCs/>
          <w:sz w:val="24"/>
          <w:szCs w:val="24"/>
          <w:lang w:eastAsia="es-ES"/>
        </w:rPr>
        <w:t>Primero.-</w:t>
      </w:r>
      <w:r w:rsidRPr="00CF2780">
        <w:rPr>
          <w:rFonts w:ascii="Arial" w:eastAsia="Times New Roman" w:hAnsi="Arial" w:cs="Arial"/>
          <w:sz w:val="24"/>
          <w:szCs w:val="24"/>
          <w:lang w:eastAsia="es-ES"/>
        </w:rPr>
        <w:t xml:space="preserve"> La Quincuagésima Octava Legislatura Constitucional del Estado Libre y Soberano de Oaxaca, en el Decreto Número 32 de treinta y uno de diciembre de dos mil uno, por virtud del cual revocó el acuerdo del Consejo General del Instituto Estatal Electoral de Oaxaca que declaró la validez de las elecciones municipales celebradas el dos de diciembre de dos mil uno en el Municipio de Santiago Yaveo, Choápam, Oax., bajo el régimen de derecho consuetudinario, decretando la invalidez de la misma y revocando a los suscritos las constancias de declaratoria de validez y de mayoría, facultando al Instituto Estatal Electoral para que convoque a elecciones extraordinarias en el año en curso, violenta en nuestro perjuicio los artículos 1, 14, 16, 35 fracción II, 41 fracción IV y 115 de la Constitución Política de los Estados Unidos Mexicanos y otros diversos de la Constitución local, amén de dispositivos legales correspondientes al Código de Instituciones Políticas y Procedimientos Electorales de Oaxaca, todo ello por los siguientes motivos:</w:t>
      </w:r>
    </w:p>
    <w:p w14:paraId="0782781B" w14:textId="77777777" w:rsidR="00676010" w:rsidRPr="00CF2780" w:rsidRDefault="00676010" w:rsidP="00676010">
      <w:pPr>
        <w:spacing w:after="0" w:line="240" w:lineRule="auto"/>
        <w:ind w:left="567" w:right="609"/>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El concepto de justicia electoral posee varias connotaciones. En su acepción más difundida alude a los diversos medios jurídicos y técnicos de control, para garantizar la regularidad de las elecciones al efecto de corregir errores o infracciones electorales. La finalidad esencial ha sido la protección auténtica o tutela eficaz del derecho a elegir o bien, a ser elegido para desempeñar un cargo público, mediante un conjunto de derechos establecidos a favor de los ciudadanos, candidatos o partidos políticos, para impedir o enmendar cualquier violación que afecta la libre expresión de la voluntad ciudadana manifestada a través del voto.</w:t>
      </w:r>
    </w:p>
    <w:p w14:paraId="334646E0" w14:textId="77777777" w:rsidR="00676010" w:rsidRPr="00CF2780" w:rsidRDefault="00676010" w:rsidP="00676010">
      <w:pPr>
        <w:spacing w:after="0" w:line="240" w:lineRule="auto"/>
        <w:ind w:left="567" w:right="609"/>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De ahí deriva que el proceso de juridicidad del derecho no es ajeno a la expectativa liberal de limitación del poder, sometiéndolo al derecho. No basta, para completar el panorama de la nueva legitimación liberal del poder, con que su ejercicio quedara sometido al derecho, es necesario igualmente que el propio acceso al poder se realice mediante un procedimiento reglado. Por ello es que la Constitución Federal y Local ha establecido el imperativo de que existan medios de impugnación para que los partidos políticos o ciudadanos en general que se vean afectados por actos de las autoridades electorales, puedan ser resarcidos en los derechos conculcados.</w:t>
      </w:r>
    </w:p>
    <w:p w14:paraId="2A19D984" w14:textId="77777777" w:rsidR="00676010" w:rsidRPr="00CF2780" w:rsidRDefault="00676010" w:rsidP="00676010">
      <w:pPr>
        <w:spacing w:after="0" w:line="240" w:lineRule="auto"/>
        <w:ind w:left="567" w:right="609"/>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En esta tesitura, de conformidad con el artículo 1 del Pacto Federal, todo individuo goza de las garantías que en él se consignan, salvo los casos de excepción y con las condiciones establecidas de manera expresa.</w:t>
      </w:r>
    </w:p>
    <w:p w14:paraId="3CBA6423" w14:textId="77777777" w:rsidR="00676010" w:rsidRPr="00CF2780" w:rsidRDefault="00676010" w:rsidP="00676010">
      <w:pPr>
        <w:spacing w:after="0" w:line="240" w:lineRule="auto"/>
        <w:ind w:left="567" w:right="609"/>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El artículo 14 constitucional, establece la garantía de legalidad por cuanto impone dicho numeral que todo acto de molestia debe sujetarse a formalidades esenciales del procedimiento y estar conforme a leyes expedidas con anterioridad al hecho fáctico materia de estudio, controversia o jurisdicción.</w:t>
      </w:r>
    </w:p>
    <w:p w14:paraId="55A05B9E" w14:textId="77777777" w:rsidR="00676010" w:rsidRPr="00CF2780" w:rsidRDefault="00676010" w:rsidP="00676010">
      <w:pPr>
        <w:spacing w:after="0" w:line="240" w:lineRule="auto"/>
        <w:ind w:left="567" w:right="609"/>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lastRenderedPageBreak/>
        <w:t>El artículo 16, por su parte, mandata que todo acto de autoridad debe provenir de autoridad competente con la fundamentación y motivación legal del procedimiento.</w:t>
      </w:r>
    </w:p>
    <w:p w14:paraId="03E7B27D" w14:textId="77777777" w:rsidR="00676010" w:rsidRPr="00CF2780" w:rsidRDefault="00676010" w:rsidP="00676010">
      <w:pPr>
        <w:spacing w:after="0" w:line="240" w:lineRule="auto"/>
        <w:ind w:left="567" w:right="609"/>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Del texto de los artículos constitucionales comentados, se llega a la indubitable conclusión de que son el sostén del estado de derecho y que, por consecuencia, ningún acto de autoridad puede quedar exento del control constitucional a través de los medios administrativos, políticos y jurisdiccionales que la propia Carta Magna establece.</w:t>
      </w:r>
    </w:p>
    <w:p w14:paraId="6AB72313" w14:textId="77777777" w:rsidR="00676010" w:rsidRPr="00CF2780" w:rsidRDefault="00676010" w:rsidP="00676010">
      <w:pPr>
        <w:spacing w:after="0" w:line="240" w:lineRule="auto"/>
        <w:ind w:left="567" w:right="609"/>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Pero además, los ciudadanos mexicanos, en términos de lo dispuesto por el artículo 35 fracción II, tienen la prerrogativa o derecho de ser votados para ocupar cargos públicos, cuando cumplan con los requisitos exigidos por la Constitución y la ley para cada caso en particular.</w:t>
      </w:r>
    </w:p>
    <w:p w14:paraId="0EC97C8D" w14:textId="77777777" w:rsidR="00676010" w:rsidRPr="00CF2780" w:rsidRDefault="00676010" w:rsidP="00676010">
      <w:pPr>
        <w:spacing w:after="0" w:line="240" w:lineRule="auto"/>
        <w:ind w:left="567" w:right="609"/>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Las garantías individuales a que se ha hecho mérito, asociadas con el derecho político a que nos referimos en el párrafo inmediato anterior, fueron flagrantemente conculcadas por el Congreso del Estado Libre y Soberano de Oaxaca, pues como se advierte de la lectura del Decreto Número 32, solamente contiene tres artículos ordinarios y dos que corresponden a su derecho transitorio. Pero no existen ni la fundamentación y motivación exigida por el artículo 16 constitucional para concluir en que las elecciones para el Municipio de Santiago Yaveo, Choápam, Oax., a que se ha hecho mérito, resultaran inválidas.</w:t>
      </w:r>
    </w:p>
    <w:p w14:paraId="62BBEF3C" w14:textId="77777777" w:rsidR="00676010" w:rsidRPr="00CF2780" w:rsidRDefault="00676010" w:rsidP="00676010">
      <w:pPr>
        <w:spacing w:after="0" w:line="240" w:lineRule="auto"/>
        <w:ind w:left="567" w:right="609"/>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El decreto en cuestión, con su articulado ordinario y transitorio, al carecer de la fundamentación y motivación, que como acto de autoridad precisa constitucionalmente, resulta además arbitrario porque no se invocó ningún artículo constitucional o legal en que se fundamente y en cuyos supuestos jurídicos encuadraran causales de invalidez.</w:t>
      </w:r>
    </w:p>
    <w:p w14:paraId="5ED5AB9C" w14:textId="77777777" w:rsidR="00676010" w:rsidRPr="00CF2780" w:rsidRDefault="00676010" w:rsidP="00676010">
      <w:pPr>
        <w:spacing w:after="0" w:line="240" w:lineRule="auto"/>
        <w:ind w:left="567" w:right="609"/>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Para subsidiar el anterior argumento de inconstitucionalidad del decreto, es necesario precisar que de conformidad con su artículo segundo transitorio, se ordenó que se publicara para que surtiera sus efectos en el mismo día de su publicación en el Periódico Oficial, sin que nos fueran proporcionados documentos en los cuales se encontrara la justificación de su sentido, dejándonos por consecuencia en estado de plena indefensión.</w:t>
      </w:r>
    </w:p>
    <w:p w14:paraId="46255F35" w14:textId="77777777" w:rsidR="00676010" w:rsidRPr="00CF2780" w:rsidRDefault="00676010" w:rsidP="00676010">
      <w:pPr>
        <w:spacing w:after="0" w:line="240" w:lineRule="auto"/>
        <w:ind w:left="567" w:right="609"/>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La fundamentación y motivación es materia esencial de todo acto de autoridad, como así se ha sostenido en jurisprudencia definida, visible en el Tomo VI, agosto de 1997, página 538, Semanario Judicial de la Federación y su Gaceta, Novena Época, Segundo Tribunal Colegiado del Décimo Cuarto Circuito, bajo el rubro de “FUNDAMENTACIÓN Y MOTIVACIÓN. EL CUMPLIMIENTO DE TALES REQUISITOS NO SE LIMITA A LAS RESOLUCIONES DEFINITIVAS O QUE PONGAN FIN AL PROCEDIMIENTO”, que a la letra dice:</w:t>
      </w:r>
    </w:p>
    <w:p w14:paraId="22C23E6F" w14:textId="77777777" w:rsidR="00676010" w:rsidRPr="00CF2780" w:rsidRDefault="00676010" w:rsidP="00676010">
      <w:pPr>
        <w:spacing w:after="0" w:line="240" w:lineRule="auto"/>
        <w:ind w:left="567" w:right="609"/>
        <w:jc w:val="both"/>
        <w:rPr>
          <w:rFonts w:ascii="Arial" w:eastAsia="Times New Roman" w:hAnsi="Arial" w:cs="Arial"/>
          <w:i/>
          <w:iCs/>
          <w:sz w:val="24"/>
          <w:szCs w:val="24"/>
          <w:lang w:eastAsia="es-ES"/>
        </w:rPr>
      </w:pPr>
      <w:r w:rsidRPr="00CF2780">
        <w:rPr>
          <w:rFonts w:ascii="Arial" w:eastAsia="Times New Roman" w:hAnsi="Arial" w:cs="Arial"/>
          <w:i/>
          <w:iCs/>
          <w:sz w:val="24"/>
          <w:szCs w:val="24"/>
          <w:lang w:eastAsia="es-ES"/>
        </w:rPr>
        <w:t xml:space="preserve">‘Al establecer el artículo 16 de nuestra Carta Magna que nadie puede ser molestado en su persona, familia, domicilio, papeles o posesiones, sino en virtud de un mandamiento escrito de la autoridad competente que funde y motive la causa legal del procedimiento, no alude únicamente a las resoluciones definitivas o que pongan fin a un procedimiento, sino que se refiere, en sentido amplio, a cualquier acto de autoridad en </w:t>
      </w:r>
      <w:r w:rsidRPr="00CF2780">
        <w:rPr>
          <w:rFonts w:ascii="Arial" w:eastAsia="Times New Roman" w:hAnsi="Arial" w:cs="Arial"/>
          <w:i/>
          <w:iCs/>
          <w:sz w:val="24"/>
          <w:szCs w:val="24"/>
          <w:lang w:eastAsia="es-ES"/>
        </w:rPr>
        <w:lastRenderedPageBreak/>
        <w:t>ejercicio de sus funciones, como sería, por ejemplo la simple contestación recaída a cualquier solicitud del gobernado, a la cual la ley no exime de cumplir con los requisitos de fundamentación y motivación contenidos en tal precepto constitucional’.</w:t>
      </w:r>
    </w:p>
    <w:p w14:paraId="10E1FB6C" w14:textId="77777777" w:rsidR="00676010" w:rsidRPr="00CF2780" w:rsidRDefault="00676010" w:rsidP="00676010">
      <w:pPr>
        <w:spacing w:after="0" w:line="240" w:lineRule="auto"/>
        <w:ind w:left="567" w:right="609"/>
        <w:jc w:val="both"/>
        <w:rPr>
          <w:rFonts w:ascii="Arial" w:eastAsia="Times New Roman" w:hAnsi="Arial" w:cs="Arial"/>
          <w:b/>
          <w:bCs/>
          <w:sz w:val="24"/>
          <w:szCs w:val="24"/>
          <w:lang w:eastAsia="es-ES"/>
        </w:rPr>
      </w:pPr>
      <w:r w:rsidRPr="00CF2780">
        <w:rPr>
          <w:rFonts w:ascii="Arial" w:eastAsia="Times New Roman" w:hAnsi="Arial" w:cs="Arial"/>
          <w:b/>
          <w:bCs/>
          <w:sz w:val="24"/>
          <w:szCs w:val="24"/>
          <w:lang w:eastAsia="es-ES"/>
        </w:rPr>
        <w:t>Si lo anterior es así y con motivo de ello se exige fundamentar y motivar cualquier acto de autoridad, mucho más es exigible tratándose de resoluciones definitivas o que ponen fin a un procedimiento, como en el caso que nos ocupa.</w:t>
      </w:r>
    </w:p>
    <w:p w14:paraId="48772292" w14:textId="77777777" w:rsidR="00676010" w:rsidRPr="00CF2780" w:rsidRDefault="00676010" w:rsidP="00676010">
      <w:pPr>
        <w:spacing w:after="0" w:line="240" w:lineRule="auto"/>
        <w:ind w:left="567" w:right="609"/>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En esa medida, si la Constitución Federal de manera imperativa establece que los suscritos, como mexicanos y como ciudadanos mexicanos, somos titulares de las garantías individuales contenidas en la parte dogmática de la Constitución, así como del derecho político de ser votado para cargos de elección popular, cuando no se fundamenta ni motiva, como en este caso concreto, la invalidez de la elección por la que resultamos electos concejales del Municipio de Santiago Yaveo, Choápam, Oax., existe la consiguiente violación en nuestro perjuicio.</w:t>
      </w:r>
    </w:p>
    <w:p w14:paraId="1D7607B1" w14:textId="77777777" w:rsidR="00676010" w:rsidRPr="00CF2780" w:rsidRDefault="00676010" w:rsidP="00676010">
      <w:pPr>
        <w:spacing w:after="0" w:line="240" w:lineRule="auto"/>
        <w:ind w:left="567" w:right="609"/>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Más aún, la falta de fundamentación y motivación a que se ha hecho mérito, no solamente arremete nuestros derechos individuales y políticos, sino que afecta a todo el régimen de derecho del estado mexicano, esencialmente en aquellos numerales que regulan las elecciones que, siendo actos de interés público, en su calificación por el Congreso del Estado Libre y Soberano de Oaxaca, debió imperar la certeza, legalidad, independencia, imparcialidad y objetividad, que son sus principios rectores.</w:t>
      </w:r>
    </w:p>
    <w:p w14:paraId="5411E42C" w14:textId="77777777" w:rsidR="00676010" w:rsidRPr="00CF2780" w:rsidRDefault="00676010" w:rsidP="00676010">
      <w:pPr>
        <w:spacing w:after="0" w:line="240" w:lineRule="auto"/>
        <w:ind w:left="567" w:right="609"/>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Por otro lado, si en términos del artículo 41 fracción IV de la Constitución federal, se establece que para garantizar los principios de constitucionalidad y legalidad de los actos y resoluciones electorales, debe establecerse un sistema de medios de impugnación, este principio de materia federal, necesariamente que debió reflejarse en la Constitución local del Estado de Oaxaca y tan es así que en su artículo 25, quinto párrafo, se preceptúa que la ley establecerá un sistema de medios de impugnación de los que conocerán tanto el Instituto Estatal Electoral, el Tribunal Estatal Electoral y el Congreso de dicho Estado.</w:t>
      </w:r>
    </w:p>
    <w:p w14:paraId="4D6B41C7" w14:textId="77777777" w:rsidR="00676010" w:rsidRPr="00CF2780" w:rsidRDefault="00676010" w:rsidP="00676010">
      <w:pPr>
        <w:spacing w:after="0" w:line="240" w:lineRule="auto"/>
        <w:ind w:left="567" w:right="609"/>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Es decir, que tanto la Constitución federal como la local en cita, ordenaron la existencia de un sistema de medios de impugnación y con el propósito, marcadamente relevante, para que ningún acto de autoridad en materia electoral fuera arbitrario y, por consecuencia, contrario a nuestras normas fundamentales y legales.</w:t>
      </w:r>
    </w:p>
    <w:p w14:paraId="26C7484F" w14:textId="77777777" w:rsidR="00676010" w:rsidRPr="00CF2780" w:rsidRDefault="00676010" w:rsidP="00676010">
      <w:pPr>
        <w:spacing w:after="0" w:line="240" w:lineRule="auto"/>
        <w:ind w:left="567" w:right="609"/>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Y es por ello que, dada la falta de fundamentación y motivación, pero también tomando en cuenta la falta de un medio de impugnación específico contra los actos electorales del Congreso, que el Decreto 32 que se le reclama, en primer término, no puede quedar fuera de los medios de control constitucional ni mucho menos exento en lo que hace a fundar y motivar.</w:t>
      </w:r>
    </w:p>
    <w:p w14:paraId="462DD072" w14:textId="77777777" w:rsidR="00676010" w:rsidRPr="00CF2780" w:rsidRDefault="00676010" w:rsidP="00676010">
      <w:pPr>
        <w:spacing w:after="0" w:line="240" w:lineRule="auto"/>
        <w:ind w:left="567" w:right="609"/>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 xml:space="preserve">Esa violación directa a los artículos 1, 14, 16, 35 fracción II y 45 fracción IV, hace procedente que ese tribunal revoque el decreto en cuestión y </w:t>
      </w:r>
      <w:r w:rsidRPr="00CF2780">
        <w:rPr>
          <w:rFonts w:ascii="Arial" w:eastAsia="Times New Roman" w:hAnsi="Arial" w:cs="Arial"/>
          <w:sz w:val="24"/>
          <w:szCs w:val="24"/>
          <w:lang w:eastAsia="es-ES"/>
        </w:rPr>
        <w:lastRenderedPageBreak/>
        <w:t>quede validada la elección de los suscritos como legítimos concejales del Municipio de Santiago Yaveo, Choápam, Oax.</w:t>
      </w:r>
    </w:p>
    <w:p w14:paraId="66A285C5" w14:textId="77777777" w:rsidR="00676010" w:rsidRPr="00CF2780" w:rsidRDefault="00676010" w:rsidP="00676010">
      <w:pPr>
        <w:spacing w:after="0" w:line="240" w:lineRule="auto"/>
        <w:ind w:left="567" w:right="609"/>
        <w:jc w:val="both"/>
        <w:rPr>
          <w:rFonts w:ascii="Arial" w:eastAsia="Times New Roman" w:hAnsi="Arial" w:cs="Arial"/>
          <w:sz w:val="24"/>
          <w:szCs w:val="24"/>
          <w:lang w:eastAsia="es-ES"/>
        </w:rPr>
      </w:pPr>
      <w:r w:rsidRPr="00CF2780">
        <w:rPr>
          <w:rFonts w:ascii="Arial" w:eastAsia="Times New Roman" w:hAnsi="Arial" w:cs="Arial"/>
          <w:b/>
          <w:bCs/>
          <w:sz w:val="24"/>
          <w:szCs w:val="24"/>
          <w:lang w:eastAsia="es-ES"/>
        </w:rPr>
        <w:t>Segundo.-</w:t>
      </w:r>
      <w:r w:rsidRPr="00CF2780">
        <w:rPr>
          <w:rFonts w:ascii="Arial" w:eastAsia="Times New Roman" w:hAnsi="Arial" w:cs="Arial"/>
          <w:sz w:val="24"/>
          <w:szCs w:val="24"/>
          <w:lang w:eastAsia="es-ES"/>
        </w:rPr>
        <w:t xml:space="preserve"> Como lo ha sostenido este tribunal en diversas resoluciones, es competente para conocer de las violaciones indirectas a los dispositivos de la Constitución federal y por ello es que el Decreto 32 resulta inconstitucional por la inexacta interpretación y aplicación de los diversos numerales, a que nos referimos en apartados específicos del Código de Instituciones Políticas y Procedimientos Electorales de Oaxaca.</w:t>
      </w:r>
    </w:p>
    <w:p w14:paraId="03F2C70A" w14:textId="77777777" w:rsidR="00676010" w:rsidRPr="00CF2780" w:rsidRDefault="00676010" w:rsidP="00676010">
      <w:pPr>
        <w:spacing w:after="0" w:line="240" w:lineRule="auto"/>
        <w:ind w:left="567" w:right="609"/>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En efecto, como quedó establecido, los artículos 1, 14 y 16 de la Constitución Política de los Estados Unidos Mexicanos, contienen las garantías de legalidad y de seguridad jurídica, manifestándose la primera de ellas en la aplicación de dispositivos legales exactamente aplicables a un caso concreto y la segunda por cuanto a que todo acto debe provenir de autoridad competente y estar fundado y motivado.</w:t>
      </w:r>
    </w:p>
    <w:p w14:paraId="13CA7066" w14:textId="77777777" w:rsidR="00676010" w:rsidRPr="00CF2780" w:rsidRDefault="00676010" w:rsidP="00676010">
      <w:pPr>
        <w:spacing w:after="0" w:line="240" w:lineRule="auto"/>
        <w:ind w:left="567" w:right="609"/>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Partiendo de esa premisa constitucional, el Congreso del estado de Oaxaca, dejó de aplicar, con quebranto a las garantías referidas, el artículo 25, penúltimo párrafo, de la Constitución de dicha entidad, donde queda establecido que la ley protegerá las tradiciones y prácticas democráticas de las comunidades indígenas, que se han utilizado para la elección de sus ayuntamientos. Así, si como se desprende del acuerdo del Consejo General del Instituto Estatal Electoral de Oaxaca, se declararon válidas las elecciones, se desprende razonablemente que se cumplieron todos los requisitos constitucionales y legales a que se encuentra sujeta dicha elección.</w:t>
      </w:r>
    </w:p>
    <w:p w14:paraId="5846C182" w14:textId="77777777" w:rsidR="00676010" w:rsidRPr="00CF2780" w:rsidRDefault="00676010" w:rsidP="00676010">
      <w:pPr>
        <w:spacing w:after="0" w:line="240" w:lineRule="auto"/>
        <w:ind w:left="567" w:right="609"/>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El Congreso del Estado de Oaxaca, también dejó de aplicar los artículos 114, 115, 116, 117, 118, 119, 120, 121, 122, 123, 124 y 125 del Código de Instituciones Políticas y Procedimientos Electorales de Oaxaca, por los siguientes motivos:</w:t>
      </w:r>
    </w:p>
    <w:p w14:paraId="2D7A8ADE" w14:textId="77777777" w:rsidR="00676010" w:rsidRPr="00CF2780" w:rsidRDefault="00676010" w:rsidP="00676010">
      <w:pPr>
        <w:spacing w:after="0" w:line="240" w:lineRule="auto"/>
        <w:ind w:left="567" w:right="609"/>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De conformidad con los numerales a que se ha hecho mérito, el Consejo General del Instituto Estatal Electoral de Oaxaca, en su primera sesión del año electoral, precisará qué municipios harán el renuevo de concejales bajo el régimen de normas de derecho consuetudinario, publicando el acuerdo de referencia en el Periódico Oficial, en cuyo catálogo está contenido el Municipio de Santiago Yaveo, Choápam, Oax.</w:t>
      </w:r>
    </w:p>
    <w:p w14:paraId="512E3D0A" w14:textId="77777777" w:rsidR="00676010" w:rsidRPr="00CF2780" w:rsidRDefault="00676010" w:rsidP="00676010">
      <w:pPr>
        <w:spacing w:after="0" w:line="240" w:lineRule="auto"/>
        <w:ind w:left="567" w:right="609"/>
        <w:jc w:val="both"/>
        <w:rPr>
          <w:rFonts w:ascii="Arial" w:eastAsia="Times New Roman" w:hAnsi="Arial" w:cs="Arial"/>
          <w:b/>
          <w:bCs/>
          <w:sz w:val="24"/>
          <w:szCs w:val="24"/>
          <w:lang w:eastAsia="es-ES"/>
        </w:rPr>
      </w:pPr>
      <w:r w:rsidRPr="00CF2780">
        <w:rPr>
          <w:rFonts w:ascii="Arial" w:eastAsia="Times New Roman" w:hAnsi="Arial" w:cs="Arial"/>
          <w:b/>
          <w:bCs/>
          <w:sz w:val="24"/>
          <w:szCs w:val="24"/>
          <w:lang w:eastAsia="es-ES"/>
        </w:rPr>
        <w:t>Las autoridades competentes del Municipio de Santiago Yaveo, Choápam, Oax., en donde el procedimiento de elección se regula por el derecho consuetudinario electoral, encargadas de la renovación de los ayuntamientos, informará con oportunidad y por escrito al Instituto Estatal Electoral de la fecha, hora y lugar de la celebración del acto de renovación de concejales, como efectivamente se cumplió.</w:t>
      </w:r>
    </w:p>
    <w:p w14:paraId="75E89307" w14:textId="77777777" w:rsidR="00676010" w:rsidRPr="00CF2780" w:rsidRDefault="00676010" w:rsidP="00676010">
      <w:pPr>
        <w:spacing w:after="0" w:line="240" w:lineRule="auto"/>
        <w:ind w:left="567" w:right="609"/>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Que la asamblea general comunitaria del municipio debe decidir libremente la integración del órgano encargado de nombrar a la nueva autoridad, con base en su tradición, como efectivamente se cumplió.</w:t>
      </w:r>
    </w:p>
    <w:p w14:paraId="765D710B" w14:textId="77777777" w:rsidR="00676010" w:rsidRPr="00CF2780" w:rsidRDefault="00676010" w:rsidP="00676010">
      <w:pPr>
        <w:spacing w:after="0" w:line="240" w:lineRule="auto"/>
        <w:ind w:left="567" w:right="609"/>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 xml:space="preserve">Que en la jornada electoral debe observarse las disposiciones definidas por la comunidad en las formas y procedimientos generales para el </w:t>
      </w:r>
      <w:r w:rsidRPr="00CF2780">
        <w:rPr>
          <w:rFonts w:ascii="Arial" w:eastAsia="Times New Roman" w:hAnsi="Arial" w:cs="Arial"/>
          <w:sz w:val="24"/>
          <w:szCs w:val="24"/>
          <w:lang w:eastAsia="es-ES"/>
        </w:rPr>
        <w:lastRenderedPageBreak/>
        <w:t>desarrollo de la elección; que se respetarán fechas, horarios y lugares que tradicionalmente acostumbra la mayoría de ciudadanos para el procedimiento de elección de las autoridades locales; y que al final de la elección se elaborará un acta en la que deberán firmar, invariablemente, la autoridad municipal en funciones, los integrantes del órgano que presidió el procedimiento de elección, las personas de la comunidad que por costumbre deban hacerlo, así como los ciudadanos que en ella intervinieron y quienes se considere pertinente. Todo ello que efectivamente se cumplió.</w:t>
      </w:r>
    </w:p>
    <w:p w14:paraId="79C6BCC9" w14:textId="77777777" w:rsidR="00676010" w:rsidRPr="00CF2780" w:rsidRDefault="00676010" w:rsidP="00676010">
      <w:pPr>
        <w:spacing w:after="0" w:line="240" w:lineRule="auto"/>
        <w:ind w:left="567" w:right="609"/>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Que los ayuntamientos electos bajo normas de derecho consuetudinario no tendrán filiación partidista, requisito también cumplimentado.</w:t>
      </w:r>
    </w:p>
    <w:p w14:paraId="58456CB8" w14:textId="77777777" w:rsidR="00676010" w:rsidRPr="00CF2780" w:rsidRDefault="00676010" w:rsidP="00676010">
      <w:pPr>
        <w:spacing w:after="0" w:line="240" w:lineRule="auto"/>
        <w:ind w:left="567" w:right="609"/>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Que los órganos y personas que presidieron el procedimiento de elección, con toda brevedad harán llegar al Instituto Estatal Electoral el resultado de la elección, requisito también cumplimentado;</w:t>
      </w:r>
    </w:p>
    <w:p w14:paraId="7A68B8DD" w14:textId="77777777" w:rsidR="00676010" w:rsidRPr="00CF2780" w:rsidRDefault="00676010" w:rsidP="00676010">
      <w:pPr>
        <w:spacing w:after="0" w:line="240" w:lineRule="auto"/>
        <w:ind w:left="567" w:right="609"/>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Que el Consejo General del Instituto Estatal Electoral de Oaxaca deberá sesionar con el único objeto de declarar la validez de la elección y expedir las constancias de mayoría de los concejales electos, las que serán firmadas por el presidente y secretario de dicho consejo, requisito también cumplimentado;</w:t>
      </w:r>
    </w:p>
    <w:p w14:paraId="1E88F750" w14:textId="77777777" w:rsidR="00676010" w:rsidRPr="00CF2780" w:rsidRDefault="00676010" w:rsidP="00676010">
      <w:pPr>
        <w:spacing w:after="0" w:line="240" w:lineRule="auto"/>
        <w:ind w:left="567" w:right="609"/>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Que el Director General del Instituto Estatal Electoral dispondrá las medidas necesarias para remitir las copias de las constancias de validez a la Cámara de Diputados para los efectos legales correspondientes, lo que efectivamente sucedió.</w:t>
      </w:r>
    </w:p>
    <w:p w14:paraId="078489D0" w14:textId="77777777" w:rsidR="00676010" w:rsidRPr="00CF2780" w:rsidRDefault="00676010" w:rsidP="00676010">
      <w:pPr>
        <w:spacing w:after="0" w:line="240" w:lineRule="auto"/>
        <w:ind w:left="567" w:right="609"/>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 xml:space="preserve">Que el Consejo General del Instituto Estatal Electoral de Oaxaca conocerá en su oportunidad de los casos de controversias que surjan respecto del renuevo de ayuntamientos bajo las normas de derecho consuetudinario y que previamente a cualquier resolución debe buscar la conciliación de las partes y, en todo caso, estar a lo dispuesto por lo que mandata bien sea el artículo 110 de dicho ordenamiento o al </w:t>
      </w:r>
      <w:r w:rsidRPr="00CF2780">
        <w:rPr>
          <w:rFonts w:ascii="Arial" w:eastAsia="Times New Roman" w:hAnsi="Arial" w:cs="Arial"/>
          <w:i/>
          <w:iCs/>
          <w:sz w:val="24"/>
          <w:szCs w:val="24"/>
          <w:lang w:eastAsia="es-ES"/>
        </w:rPr>
        <w:t>Catálogo General de Municipios de Usos y Costumbres</w:t>
      </w:r>
      <w:r w:rsidRPr="00CF2780">
        <w:rPr>
          <w:rFonts w:ascii="Arial" w:eastAsia="Times New Roman" w:hAnsi="Arial" w:cs="Arial"/>
          <w:sz w:val="24"/>
          <w:szCs w:val="24"/>
          <w:lang w:eastAsia="es-ES"/>
        </w:rPr>
        <w:t>, o a una consulta con la comunidad, lo que también se cumplió.</w:t>
      </w:r>
    </w:p>
    <w:p w14:paraId="02A7AA90" w14:textId="77777777" w:rsidR="00676010" w:rsidRPr="00CF2780" w:rsidRDefault="00676010" w:rsidP="00676010">
      <w:pPr>
        <w:spacing w:after="0" w:line="240" w:lineRule="auto"/>
        <w:ind w:left="567" w:right="609"/>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Consecuentemente con lo anterior, si en la especie fuimos electos reuniendo todos los requisitos constitucionales y legales, el Congreso del Estado debió validar el Acuerdo del Consejo General del Instituto Estatal Electoral de Oaxaca que declaró legítimas las elecciones del dos de diciembre del año próximo pasado.</w:t>
      </w:r>
    </w:p>
    <w:p w14:paraId="7546FA0D" w14:textId="77777777" w:rsidR="00676010" w:rsidRPr="00CF2780" w:rsidRDefault="00676010" w:rsidP="00676010">
      <w:pPr>
        <w:spacing w:after="0" w:line="240" w:lineRule="auto"/>
        <w:ind w:left="567" w:right="609"/>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Pero lejos de concluir así, sin fundar ni motivar, con desprecio de los numerales del Código de Instituciones Políticas y Procedimientos Electorales de Oaxaca, emitió el decreto a que se ha hecho mérito y con los resultados también ya referidos, por lo que se violentan en nuestro perjuicio, debidamente asociados, los derechos constitucionales y políticos que han quedado precisados, con el menoscabo, incluso, de las instituciones políticas fundamentales que en materia electoral establece la Constitución General de la República.</w:t>
      </w:r>
    </w:p>
    <w:p w14:paraId="3EF3B737" w14:textId="77777777" w:rsidR="00676010" w:rsidRPr="00CF2780" w:rsidRDefault="00676010" w:rsidP="00676010">
      <w:pPr>
        <w:spacing w:after="0" w:line="240" w:lineRule="auto"/>
        <w:ind w:left="567" w:right="609"/>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 xml:space="preserve">Mención a parte merece precisar que la falta de fundamentación y motivación, así como la falta de inaplicación de los numerales del Código de Instituciones Políticas y Procedimientos Electorales de Oaxaca, </w:t>
      </w:r>
      <w:r w:rsidRPr="00CF2780">
        <w:rPr>
          <w:rFonts w:ascii="Arial" w:eastAsia="Times New Roman" w:hAnsi="Arial" w:cs="Arial"/>
          <w:sz w:val="24"/>
          <w:szCs w:val="24"/>
          <w:lang w:eastAsia="es-ES"/>
        </w:rPr>
        <w:lastRenderedPageBreak/>
        <w:t>violentan también el artículo 115 de la Constitución Federal, en la medida en que cada Estado de la República, teniendo el municipio libre como base de su división territorial y de su organización política y administrativa, deslegitima a los suscritos como concejales constitucional y legalmente electos en el Municipio de Santiago Yaveo, Choápam, Oax.</w:t>
      </w:r>
    </w:p>
    <w:p w14:paraId="26C89884" w14:textId="77777777" w:rsidR="00676010" w:rsidRPr="00CF2780" w:rsidRDefault="00676010" w:rsidP="00676010">
      <w:pPr>
        <w:spacing w:after="0" w:line="240" w:lineRule="auto"/>
        <w:ind w:left="567" w:right="609"/>
        <w:jc w:val="both"/>
        <w:rPr>
          <w:rFonts w:ascii="Arial" w:eastAsia="Times New Roman" w:hAnsi="Arial" w:cs="Arial"/>
          <w:sz w:val="24"/>
          <w:szCs w:val="24"/>
          <w:lang w:eastAsia="es-ES"/>
        </w:rPr>
      </w:pPr>
      <w:r w:rsidRPr="00CF2780">
        <w:rPr>
          <w:rFonts w:ascii="Arial" w:eastAsia="Times New Roman" w:hAnsi="Arial" w:cs="Arial"/>
          <w:b/>
          <w:bCs/>
          <w:sz w:val="24"/>
          <w:szCs w:val="24"/>
          <w:lang w:eastAsia="es-ES"/>
        </w:rPr>
        <w:t>Tercero.-</w:t>
      </w:r>
      <w:r w:rsidRPr="00CF2780">
        <w:rPr>
          <w:rFonts w:ascii="Arial" w:eastAsia="Times New Roman" w:hAnsi="Arial" w:cs="Arial"/>
          <w:sz w:val="24"/>
          <w:szCs w:val="24"/>
          <w:lang w:eastAsia="es-ES"/>
        </w:rPr>
        <w:t xml:space="preserve"> El Congreso del Estado de Oaxaca, violenta los artículos 1, 14 y 16 de la Constitución Política de los Estados Unidos Mexicanos por la inaplicación de los artículos 239 y 242 del Código de Instituciones Políticas y Procedimientos Electorales de Oaxaca, por el siguiente motivo:</w:t>
      </w:r>
    </w:p>
    <w:p w14:paraId="788FCA21" w14:textId="77777777" w:rsidR="00676010" w:rsidRPr="00CF2780" w:rsidRDefault="00676010" w:rsidP="00676010">
      <w:pPr>
        <w:spacing w:after="0" w:line="240" w:lineRule="auto"/>
        <w:ind w:left="567" w:right="609"/>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Hemos concluido en que la inaplicación de las disposiciones legales que resultan aplicables a un caso concreto, su aplicación indebida o su incorrecta interpretación, violentan de manera indirecta garantías individuales y derechos políticos, en la asociación que guardan aquéllas con éstos.</w:t>
      </w:r>
    </w:p>
    <w:p w14:paraId="3F4A4D73" w14:textId="77777777" w:rsidR="00676010" w:rsidRPr="00CF2780" w:rsidRDefault="00676010" w:rsidP="00676010">
      <w:pPr>
        <w:spacing w:after="0" w:line="240" w:lineRule="auto"/>
        <w:ind w:left="567" w:right="609"/>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Ahora bien, el artículo 239 del Código de Instituciones Políticas y Procedimientos Electorales de Oaxaca, en su párrafo segundo, establece literalmente que: ‘Cuando la elección hubiera sido impugnada, la legislatura se estará a la resolución del Tribunal Estatal Electoral, salvo que existieren causas supervenientes de inelegibilidad, en cuyo caso tendrá las facultades que le concede el párrafo que antecede’.</w:t>
      </w:r>
    </w:p>
    <w:p w14:paraId="2089F930" w14:textId="77777777" w:rsidR="00676010" w:rsidRPr="00CF2780" w:rsidRDefault="00676010" w:rsidP="00676010">
      <w:pPr>
        <w:spacing w:after="0" w:line="240" w:lineRule="auto"/>
        <w:ind w:left="567" w:right="609"/>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De lo dispuesto por el artículo a comento, claramente se desprende que si bien la legislatura, con amplitud, constituida o erigida en colegio electoral, debe examinar la elegibilidad de los candidatos y la validez de las elecciones, no tiene dichas atribuciones o facultades cuando el Tribunal Estatal Electoral ya se ha pronunciado en un determinado sentido, salvo que se trate de causas supervenientes de inelegibilidad.</w:t>
      </w:r>
    </w:p>
    <w:p w14:paraId="68297A0E" w14:textId="77777777" w:rsidR="00676010" w:rsidRPr="00CF2780" w:rsidRDefault="00676010" w:rsidP="00676010">
      <w:pPr>
        <w:spacing w:after="0" w:line="240" w:lineRule="auto"/>
        <w:ind w:left="567" w:right="609"/>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En este tenor, como se desprende de los hechos que constituyen los antecedentes, el Consejo General del Instituto Estatal Electoral de Oaxaca, conoció de una inconformidad planteada en contra de la elección de los suscritos, trató de avenir a las partes contendientes, en términos de lo dispuesto por el artículo 125 del código en cita, y pronunció la resolución correspondiente.</w:t>
      </w:r>
    </w:p>
    <w:p w14:paraId="1A3C6034" w14:textId="77777777" w:rsidR="00676010" w:rsidRPr="00CF2780" w:rsidRDefault="00676010" w:rsidP="00676010">
      <w:pPr>
        <w:spacing w:after="0" w:line="240" w:lineRule="auto"/>
        <w:ind w:left="567" w:right="609"/>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Ahora bien, en una interpretación sistemática y funcional del artículo 239 y del artículo 125 del Código de Instituciones Políticas y Procedimientos Electorales de Oaxaca, necesariamente se concluye que la legislatura local, por extensión, tratándose de elecciones que se regulan a través del derecho consuetudinario por cuanto hace al renuevo de sus concejales, no tiene la facultad o atribución de declarar la invalidez de las mismas cuando el Consejo General del Instituto Estatal Electoral de Oaxaca ya se ha pronunciado al respecto y que solamente podrá hacerlo cuando se trate de causas de inelegibilidad que sean supervenientes.</w:t>
      </w:r>
    </w:p>
    <w:p w14:paraId="19435AB3" w14:textId="77777777" w:rsidR="00676010" w:rsidRPr="00CF2780" w:rsidRDefault="00676010" w:rsidP="00676010">
      <w:pPr>
        <w:spacing w:after="0" w:line="240" w:lineRule="auto"/>
        <w:ind w:left="567" w:right="609"/>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Y como en el caso concreto, no surgieron ni han surgido causas supervenientes de inelegibilidad, el decreto en cuestión resulta marcadamente violatorio de la Constitución y la ley.</w:t>
      </w:r>
    </w:p>
    <w:p w14:paraId="47FB3428" w14:textId="77777777" w:rsidR="00676010" w:rsidRPr="00CF2780" w:rsidRDefault="00676010" w:rsidP="00676010">
      <w:pPr>
        <w:spacing w:after="0" w:line="240" w:lineRule="auto"/>
        <w:ind w:left="567" w:right="609"/>
        <w:jc w:val="both"/>
        <w:rPr>
          <w:rFonts w:ascii="Arial" w:eastAsia="Times New Roman" w:hAnsi="Arial" w:cs="Arial"/>
          <w:sz w:val="24"/>
          <w:szCs w:val="24"/>
          <w:lang w:eastAsia="es-ES"/>
        </w:rPr>
      </w:pPr>
      <w:r w:rsidRPr="00CF2780">
        <w:rPr>
          <w:rFonts w:ascii="Arial" w:eastAsia="Times New Roman" w:hAnsi="Arial" w:cs="Arial"/>
          <w:b/>
          <w:bCs/>
          <w:sz w:val="24"/>
          <w:szCs w:val="24"/>
          <w:lang w:eastAsia="es-ES"/>
        </w:rPr>
        <w:lastRenderedPageBreak/>
        <w:t xml:space="preserve">Cuarto.- </w:t>
      </w:r>
      <w:r w:rsidRPr="00CF2780">
        <w:rPr>
          <w:rFonts w:ascii="Arial" w:eastAsia="Times New Roman" w:hAnsi="Arial" w:cs="Arial"/>
          <w:sz w:val="24"/>
          <w:szCs w:val="24"/>
          <w:lang w:eastAsia="es-ES"/>
        </w:rPr>
        <w:t>El Congreso del Estado, al consentir el Decreto 32 que se le imputa se publicara en el Periódico Oficial, en una edición extra, hasta el día nueve del mes y año en curso, pero conteniendo la fecha de treinta y uno de diciembre último y con el mandato de que surtiera efectos el día de su publicación, quebranta flagrantemente los artículos 35 fracción ll, 41 fracción lV, y 115 y 116 fracción lV inciso b) de la Constitución Política de los Estados Unidos Mexicanos, a virtud de lo siguiente.</w:t>
      </w:r>
    </w:p>
    <w:p w14:paraId="0B0CC60A" w14:textId="77777777" w:rsidR="00676010" w:rsidRPr="00CF2780" w:rsidRDefault="00676010" w:rsidP="00676010">
      <w:pPr>
        <w:spacing w:after="0" w:line="240" w:lineRule="auto"/>
        <w:ind w:left="567" w:right="609"/>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Ha quedado precisado que el artículo 35 fracción ll otorga a los ciudadanos de la república la prerrogativa de ser votados para cargos de elección popular; que el artículo 41 fracción lV, mandata que la ley debe establecer un sistema de medios de impugnación en materia electoral; que el 115 tiene al municipio libre como base de su división territorial, de su organización política y administrativa; y debe quedar establecido que el 116 en su fracción lV inciso b) establece que las constitucionales y leyes de los estados en materia electoral deben garantizar que el ejercicio de la función electoral a cargo de las autoridades electorales de los estados sean principios rectores los de legalidad, imparcialidad, objetividad, certeza e independencia.</w:t>
      </w:r>
    </w:p>
    <w:p w14:paraId="04162981" w14:textId="77777777" w:rsidR="00676010" w:rsidRPr="00CF2780" w:rsidRDefault="00676010" w:rsidP="00676010">
      <w:pPr>
        <w:spacing w:after="0" w:line="240" w:lineRule="auto"/>
        <w:ind w:left="567" w:right="609"/>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Así pues, la publicación del decreto el día nueve de enero del año en curso, en un periódico oficial que contiene la fecha treinta y uno de diciembre y el mandato de que surta efectos el día de su publicación, es un acto fraudulento y que, dada esa naturaleza, es esencialmente doloso, que atenta en contra de los principios rectores en materia electoral a que se ha hecho expresa referencia, porque con ese procedimiento tramposo se viola en nuestro perjuicio el derecho de ser votados y, por haber resultado vencedores, a ser concejales del Municipio de Santiago Yaveo, Choápam, Oax.</w:t>
      </w:r>
    </w:p>
    <w:p w14:paraId="6142F25C" w14:textId="77777777" w:rsidR="00676010" w:rsidRPr="00CF2780" w:rsidRDefault="00676010" w:rsidP="00676010">
      <w:pPr>
        <w:spacing w:after="0" w:line="240" w:lineRule="auto"/>
        <w:ind w:left="567" w:right="609"/>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Por los motivos expresados, procede que, una vez sustanciado el procedimiento, se revoque el decreto que se le imputa al Congreso del Estado de Oaxaca.”</w:t>
      </w:r>
    </w:p>
    <w:p w14:paraId="60588B9C" w14:textId="77777777" w:rsidR="00676010" w:rsidRPr="00CF2780" w:rsidRDefault="00676010" w:rsidP="00676010">
      <w:pPr>
        <w:spacing w:after="0" w:line="240" w:lineRule="auto"/>
        <w:ind w:left="540" w:right="720"/>
        <w:jc w:val="both"/>
        <w:rPr>
          <w:rFonts w:ascii="Arial" w:eastAsia="Times New Roman" w:hAnsi="Arial" w:cs="Arial"/>
          <w:sz w:val="24"/>
          <w:szCs w:val="24"/>
          <w:lang w:eastAsia="es-ES"/>
        </w:rPr>
      </w:pPr>
    </w:p>
    <w:p w14:paraId="3FF0D7DB" w14:textId="77777777" w:rsidR="00676010" w:rsidRPr="00CF2780" w:rsidRDefault="00676010" w:rsidP="00676010">
      <w:pPr>
        <w:tabs>
          <w:tab w:val="left" w:pos="-720"/>
        </w:tabs>
        <w:suppressAutoHyphens/>
        <w:spacing w:after="0" w:line="360" w:lineRule="auto"/>
        <w:ind w:right="51"/>
        <w:jc w:val="both"/>
        <w:rPr>
          <w:rFonts w:ascii="Arial" w:eastAsia="Times New Roman" w:hAnsi="Arial" w:cs="Arial"/>
          <w:b/>
          <w:bCs/>
          <w:spacing w:val="-3"/>
          <w:sz w:val="28"/>
          <w:szCs w:val="28"/>
          <w:lang w:val="es-ES_tradnl" w:eastAsia="es-ES"/>
        </w:rPr>
      </w:pPr>
    </w:p>
    <w:p w14:paraId="1595D3E3" w14:textId="77777777" w:rsidR="00676010" w:rsidRPr="00CF2780" w:rsidRDefault="00676010" w:rsidP="00676010">
      <w:pPr>
        <w:tabs>
          <w:tab w:val="left" w:pos="-720"/>
        </w:tabs>
        <w:suppressAutoHyphens/>
        <w:spacing w:after="0" w:line="360" w:lineRule="auto"/>
        <w:ind w:right="51"/>
        <w:jc w:val="both"/>
        <w:rPr>
          <w:rFonts w:ascii="Arial" w:eastAsia="Times New Roman" w:hAnsi="Arial" w:cs="Arial"/>
          <w:spacing w:val="-3"/>
          <w:sz w:val="28"/>
          <w:szCs w:val="28"/>
          <w:lang w:val="es-ES_tradnl" w:eastAsia="es-ES"/>
        </w:rPr>
      </w:pPr>
      <w:r w:rsidRPr="00CF2780">
        <w:rPr>
          <w:rFonts w:ascii="Arial" w:eastAsia="Times New Roman" w:hAnsi="Arial" w:cs="Arial"/>
          <w:b/>
          <w:bCs/>
          <w:spacing w:val="-3"/>
          <w:sz w:val="28"/>
          <w:szCs w:val="28"/>
          <w:lang w:val="es-ES_tradnl" w:eastAsia="es-ES"/>
        </w:rPr>
        <w:t xml:space="preserve">V. </w:t>
      </w:r>
      <w:r w:rsidRPr="00CF2780">
        <w:rPr>
          <w:rFonts w:ascii="Arial" w:eastAsia="Times New Roman" w:hAnsi="Arial" w:cs="Arial"/>
          <w:spacing w:val="-3"/>
          <w:sz w:val="28"/>
          <w:szCs w:val="28"/>
          <w:lang w:val="es-ES_tradnl" w:eastAsia="es-ES"/>
        </w:rPr>
        <w:t xml:space="preserve"> Mediante oficio sin número, de diecisiete de enero del dos mil dos, suscrito por el Diputado Juan Ramón Díaz Pimentel, Presidente de la Gran Comisión de la LVIII Legislatura del H. Congreso del Estado y representante del H. Congreso del Estado Libre y Soberano de Oaxaca, y presentado ante la Oficialía de Partes de esta Sala Superior, el veinticuatro de enero del mismo año, se remitió, entre otras constancias, el original del escrito que contiene el juicio de revisión constitucional electoral aludido, así como el informe circunstanciado de ley.</w:t>
      </w:r>
    </w:p>
    <w:p w14:paraId="2FEE7173" w14:textId="77777777" w:rsidR="00676010" w:rsidRPr="00CF2780" w:rsidRDefault="00676010" w:rsidP="00676010">
      <w:pPr>
        <w:tabs>
          <w:tab w:val="left" w:pos="-720"/>
          <w:tab w:val="left" w:pos="4678"/>
        </w:tabs>
        <w:suppressAutoHyphens/>
        <w:spacing w:after="0" w:line="360" w:lineRule="auto"/>
        <w:ind w:right="51"/>
        <w:jc w:val="both"/>
        <w:rPr>
          <w:rFonts w:ascii="Arial" w:eastAsia="Times New Roman" w:hAnsi="Arial" w:cs="Arial"/>
          <w:spacing w:val="-3"/>
          <w:sz w:val="28"/>
          <w:szCs w:val="28"/>
          <w:lang w:val="es-ES_tradnl" w:eastAsia="es-ES"/>
        </w:rPr>
      </w:pPr>
    </w:p>
    <w:p w14:paraId="69831547" w14:textId="77777777" w:rsidR="00676010" w:rsidRPr="00CF2780" w:rsidRDefault="00676010" w:rsidP="00676010">
      <w:pPr>
        <w:tabs>
          <w:tab w:val="left" w:pos="-720"/>
          <w:tab w:val="left" w:pos="4678"/>
        </w:tabs>
        <w:suppressAutoHyphens/>
        <w:spacing w:after="0" w:line="360" w:lineRule="auto"/>
        <w:ind w:right="51"/>
        <w:jc w:val="both"/>
        <w:rPr>
          <w:rFonts w:ascii="Arial" w:eastAsia="Times New Roman" w:hAnsi="Arial" w:cs="Arial"/>
          <w:sz w:val="28"/>
          <w:szCs w:val="29"/>
          <w:lang w:eastAsia="es-ES"/>
        </w:rPr>
      </w:pPr>
      <w:r w:rsidRPr="00CF2780">
        <w:rPr>
          <w:rFonts w:ascii="Arial" w:eastAsia="Times New Roman" w:hAnsi="Arial" w:cs="Arial"/>
          <w:b/>
          <w:bCs/>
          <w:spacing w:val="-3"/>
          <w:sz w:val="28"/>
          <w:szCs w:val="28"/>
          <w:lang w:val="es-ES_tradnl" w:eastAsia="es-ES"/>
        </w:rPr>
        <w:t xml:space="preserve">VI. </w:t>
      </w:r>
      <w:r w:rsidRPr="00CF2780">
        <w:rPr>
          <w:rFonts w:ascii="Arial" w:eastAsia="Times New Roman" w:hAnsi="Arial" w:cs="Arial"/>
          <w:spacing w:val="-3"/>
          <w:sz w:val="28"/>
          <w:szCs w:val="28"/>
          <w:lang w:val="es-ES_tradnl" w:eastAsia="es-ES"/>
        </w:rPr>
        <w:t xml:space="preserve">Por proveído del veinticuatro de enero del año en curso, el Magistrado Presidente de la Sala Superior del Tribunal Electoral del Poder Judicial de la Federación, </w:t>
      </w:r>
      <w:r w:rsidRPr="00CF2780">
        <w:rPr>
          <w:rFonts w:ascii="Arial" w:eastAsia="Times New Roman" w:hAnsi="Arial" w:cs="Arial"/>
          <w:sz w:val="28"/>
          <w:szCs w:val="29"/>
          <w:lang w:eastAsia="es-ES"/>
        </w:rPr>
        <w:t>integró el expediente SUP-JRC-025/2002</w:t>
      </w:r>
      <w:r w:rsidRPr="00CF2780">
        <w:rPr>
          <w:rFonts w:ascii="Arial" w:eastAsia="Times New Roman" w:hAnsi="Arial" w:cs="Arial"/>
          <w:spacing w:val="-3"/>
          <w:sz w:val="28"/>
          <w:szCs w:val="28"/>
          <w:lang w:val="es-ES_tradnl" w:eastAsia="es-ES"/>
        </w:rPr>
        <w:t xml:space="preserve"> y, conforme a las reglas de turno, ordenó remitir los autos a la ponencia del Magistrado José Luis de la Peza, para los efectos </w:t>
      </w:r>
      <w:r w:rsidRPr="00CF2780">
        <w:rPr>
          <w:rFonts w:ascii="Arial" w:eastAsia="Times New Roman" w:hAnsi="Arial" w:cs="Arial"/>
          <w:sz w:val="28"/>
          <w:szCs w:val="29"/>
          <w:lang w:eastAsia="es-ES"/>
        </w:rPr>
        <w:t xml:space="preserve">previstos en los artículos 19 y 92 de la Ley General del Sistema de Medios de Impugnación en Materia Electoral; </w:t>
      </w:r>
      <w:r w:rsidRPr="00CF2780">
        <w:rPr>
          <w:rFonts w:ascii="Arial" w:eastAsia="Times New Roman" w:hAnsi="Arial" w:cs="Arial"/>
          <w:spacing w:val="-3"/>
          <w:sz w:val="28"/>
          <w:szCs w:val="28"/>
          <w:lang w:val="es-ES_tradnl" w:eastAsia="es-ES"/>
        </w:rPr>
        <w:t>turno que se cumplimentó mediante oficio</w:t>
      </w:r>
      <w:r w:rsidRPr="00CF2780">
        <w:rPr>
          <w:rFonts w:ascii="Arial" w:eastAsia="Times New Roman" w:hAnsi="Arial" w:cs="Arial"/>
          <w:sz w:val="28"/>
          <w:szCs w:val="29"/>
          <w:lang w:eastAsia="es-ES"/>
        </w:rPr>
        <w:t xml:space="preserve"> TEPJF-SGA-092/02, signado por el Secretario General de Acuerdos de esta Sala.</w:t>
      </w:r>
    </w:p>
    <w:p w14:paraId="64D43017" w14:textId="77777777" w:rsidR="00676010" w:rsidRPr="00CF2780" w:rsidRDefault="00676010" w:rsidP="00676010">
      <w:pPr>
        <w:tabs>
          <w:tab w:val="left" w:pos="-720"/>
          <w:tab w:val="left" w:pos="4678"/>
        </w:tabs>
        <w:suppressAutoHyphens/>
        <w:spacing w:after="0" w:line="360" w:lineRule="auto"/>
        <w:ind w:right="51"/>
        <w:jc w:val="both"/>
        <w:rPr>
          <w:rFonts w:ascii="Arial" w:eastAsia="Times New Roman" w:hAnsi="Arial" w:cs="Arial"/>
          <w:sz w:val="28"/>
          <w:szCs w:val="29"/>
          <w:lang w:eastAsia="es-ES"/>
        </w:rPr>
      </w:pPr>
    </w:p>
    <w:p w14:paraId="3B45C064"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9"/>
          <w:szCs w:val="29"/>
          <w:lang w:eastAsia="es-ES"/>
        </w:rPr>
      </w:pPr>
      <w:r w:rsidRPr="00CF2780">
        <w:rPr>
          <w:rFonts w:ascii="Arial" w:eastAsia="Times New Roman" w:hAnsi="Arial" w:cs="Arial"/>
          <w:b/>
          <w:bCs/>
          <w:spacing w:val="-3"/>
          <w:sz w:val="28"/>
          <w:szCs w:val="28"/>
          <w:lang w:val="es-ES_tradnl" w:eastAsia="es-ES"/>
        </w:rPr>
        <w:t xml:space="preserve">VII. </w:t>
      </w:r>
      <w:r w:rsidRPr="00CF2780">
        <w:rPr>
          <w:rFonts w:ascii="Arial" w:eastAsia="Times New Roman" w:hAnsi="Arial" w:cs="Arial"/>
          <w:sz w:val="29"/>
          <w:szCs w:val="29"/>
          <w:lang w:eastAsia="es-ES"/>
        </w:rPr>
        <w:t>El treinta de enero de este año, el Magistrado instructor requirió al Titular del Periódico Oficial del Estado de Oaxaca, información relacionada con la fecha de distribución y venta al público, de los ejemplares del periódico oficial de fecha treinta y uno de diciembre del dos mil uno.</w:t>
      </w:r>
    </w:p>
    <w:p w14:paraId="7DF29497" w14:textId="77777777" w:rsidR="00676010" w:rsidRPr="00CF2780" w:rsidRDefault="00676010" w:rsidP="00676010">
      <w:pPr>
        <w:autoSpaceDE w:val="0"/>
        <w:autoSpaceDN w:val="0"/>
        <w:adjustRightInd w:val="0"/>
        <w:spacing w:after="0" w:line="360" w:lineRule="auto"/>
        <w:jc w:val="both"/>
        <w:rPr>
          <w:rFonts w:ascii="Arial" w:eastAsia="Times New Roman" w:hAnsi="Arial" w:cs="Arial"/>
          <w:b/>
          <w:bCs/>
          <w:sz w:val="29"/>
          <w:szCs w:val="29"/>
          <w:lang w:eastAsia="es-ES"/>
        </w:rPr>
      </w:pPr>
    </w:p>
    <w:p w14:paraId="5E3B6402"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9"/>
          <w:szCs w:val="29"/>
          <w:lang w:eastAsia="es-ES"/>
        </w:rPr>
      </w:pPr>
      <w:r w:rsidRPr="00CF2780">
        <w:rPr>
          <w:rFonts w:ascii="Arial" w:eastAsia="Times New Roman" w:hAnsi="Arial" w:cs="Arial"/>
          <w:b/>
          <w:bCs/>
          <w:sz w:val="29"/>
          <w:szCs w:val="29"/>
          <w:lang w:eastAsia="es-ES"/>
        </w:rPr>
        <w:t xml:space="preserve">VIII. </w:t>
      </w:r>
      <w:r w:rsidRPr="00CF2780">
        <w:rPr>
          <w:rFonts w:ascii="Arial" w:eastAsia="Times New Roman" w:hAnsi="Arial" w:cs="Arial"/>
          <w:sz w:val="29"/>
          <w:szCs w:val="29"/>
          <w:lang w:eastAsia="es-ES"/>
        </w:rPr>
        <w:t>Mediante auto del ocho de febrero del presente año, se tuvo por cumplido el requerimiento precisado en el numeral inmediato anterior.</w:t>
      </w:r>
    </w:p>
    <w:p w14:paraId="27788402" w14:textId="77777777" w:rsidR="00676010" w:rsidRPr="00CF2780" w:rsidRDefault="00676010" w:rsidP="00676010">
      <w:pPr>
        <w:autoSpaceDE w:val="0"/>
        <w:autoSpaceDN w:val="0"/>
        <w:adjustRightInd w:val="0"/>
        <w:spacing w:after="0" w:line="360" w:lineRule="auto"/>
        <w:jc w:val="both"/>
        <w:rPr>
          <w:rFonts w:ascii="Arial" w:eastAsia="Times New Roman" w:hAnsi="Arial" w:cs="Arial"/>
          <w:b/>
          <w:bCs/>
          <w:sz w:val="29"/>
          <w:szCs w:val="29"/>
          <w:lang w:eastAsia="es-ES"/>
        </w:rPr>
      </w:pPr>
    </w:p>
    <w:p w14:paraId="556D0E0D"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9"/>
          <w:szCs w:val="29"/>
          <w:lang w:eastAsia="es-ES"/>
        </w:rPr>
      </w:pPr>
      <w:r w:rsidRPr="00CF2780">
        <w:rPr>
          <w:rFonts w:ascii="Arial" w:eastAsia="Times New Roman" w:hAnsi="Arial" w:cs="Arial"/>
          <w:b/>
          <w:bCs/>
          <w:sz w:val="29"/>
          <w:szCs w:val="29"/>
          <w:lang w:eastAsia="es-ES"/>
        </w:rPr>
        <w:t xml:space="preserve">IX. </w:t>
      </w:r>
      <w:r w:rsidRPr="00CF2780">
        <w:rPr>
          <w:rFonts w:ascii="Arial" w:eastAsia="Times New Roman" w:hAnsi="Arial" w:cs="Arial"/>
          <w:sz w:val="29"/>
          <w:szCs w:val="29"/>
          <w:lang w:eastAsia="es-ES"/>
        </w:rPr>
        <w:t xml:space="preserve">El doce de febrero de dos mil dos, la Sala Superior del Tribunal Electoral del Poder Judicial de la Federación resolvió la improcedencia del juicio de revisión constitucional electoral intentado por los ahora promoventes y ordenó que la demanda se tramitara como juicio para la protección de los derechos político-electorales del ciudadano, así como el que se remitiera copia certificada de aquélla </w:t>
      </w:r>
      <w:r w:rsidRPr="00CF2780">
        <w:rPr>
          <w:rFonts w:ascii="Arial" w:eastAsia="Times New Roman" w:hAnsi="Arial" w:cs="Arial"/>
          <w:sz w:val="29"/>
          <w:szCs w:val="29"/>
          <w:lang w:eastAsia="es-ES"/>
        </w:rPr>
        <w:lastRenderedPageBreak/>
        <w:t>a las autoridades responsables, para que, una vez que se hicieran las anotaciones respectivas y se formara el cuaderno correspondiente, se devolviera al magistrado José Luis de la Peza para la elaboración del proyecto de sentencia respectivo.</w:t>
      </w:r>
    </w:p>
    <w:p w14:paraId="53C0F3F2" w14:textId="77777777" w:rsidR="00676010" w:rsidRPr="00CF2780" w:rsidRDefault="00676010" w:rsidP="00676010">
      <w:pPr>
        <w:spacing w:after="0" w:line="240" w:lineRule="auto"/>
        <w:rPr>
          <w:rFonts w:ascii="Arial" w:eastAsia="Times New Roman" w:hAnsi="Arial" w:cs="Arial"/>
          <w:sz w:val="24"/>
          <w:szCs w:val="24"/>
          <w:lang w:eastAsia="es-ES"/>
        </w:rPr>
      </w:pPr>
    </w:p>
    <w:p w14:paraId="2C5B61FB"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b/>
          <w:bCs/>
          <w:sz w:val="28"/>
          <w:szCs w:val="24"/>
          <w:lang w:eastAsia="es-ES"/>
        </w:rPr>
        <w:t xml:space="preserve">X. </w:t>
      </w:r>
      <w:r w:rsidRPr="00CF2780">
        <w:rPr>
          <w:rFonts w:ascii="Arial" w:eastAsia="Times New Roman" w:hAnsi="Arial" w:cs="Arial"/>
          <w:sz w:val="28"/>
          <w:szCs w:val="24"/>
          <w:lang w:eastAsia="es-ES"/>
        </w:rPr>
        <w:t>El trece de febrero del año en curso, el Magistrado Presidente de este órgano jurisdiccional acordó turnar el expediente SUP-JDC-013/2002 al Magistrado José Luis de la Peza para los efectos del artículo 19 de la Ley General del Sistema de Medios de Impugnación en Materia Electoral.</w:t>
      </w:r>
    </w:p>
    <w:p w14:paraId="48CAB692"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23CAD775"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b/>
          <w:bCs/>
          <w:sz w:val="28"/>
          <w:szCs w:val="24"/>
          <w:lang w:eastAsia="es-ES"/>
        </w:rPr>
        <w:t xml:space="preserve">XI. </w:t>
      </w:r>
      <w:r w:rsidRPr="00CF2780">
        <w:rPr>
          <w:rFonts w:ascii="Arial" w:eastAsia="Times New Roman" w:hAnsi="Arial" w:cs="Arial"/>
          <w:sz w:val="28"/>
          <w:szCs w:val="24"/>
          <w:lang w:eastAsia="es-ES"/>
        </w:rPr>
        <w:t>El día veinticinco de febrero de dos mil dos, en la Oficialía de Partes de este tribunal, se recibió el informe circunstanciado de la autoridad responsable; la documentación concerniente a la tramitación del medio de impugnación, así como copia certificada de la constancia relativa al acto reclamado; asimismo, la autoridad responsable remitió el escrito de veinte de febrero de dos mil dos, a través del cual comparecen como terceros interesados en este juicio, los señores Celedonio Cortés Lara, Fausto Gonzáles de la Rosa, Aleyda Alicia Pérez Guizar y Dagoberto Miguel Juárez.</w:t>
      </w:r>
    </w:p>
    <w:p w14:paraId="37B863DE" w14:textId="77777777" w:rsidR="00676010" w:rsidRPr="00CF2780" w:rsidRDefault="00676010" w:rsidP="00676010">
      <w:pPr>
        <w:spacing w:after="0" w:line="360" w:lineRule="auto"/>
        <w:jc w:val="both"/>
        <w:rPr>
          <w:rFonts w:ascii="Arial" w:eastAsia="Times New Roman" w:hAnsi="Arial" w:cs="Arial"/>
          <w:sz w:val="28"/>
          <w:szCs w:val="24"/>
          <w:lang w:val="es-ES" w:eastAsia="es-ES"/>
        </w:rPr>
      </w:pPr>
    </w:p>
    <w:p w14:paraId="37DC169D"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r w:rsidRPr="00CF2780">
        <w:rPr>
          <w:rFonts w:ascii="Arial" w:eastAsia="Times New Roman" w:hAnsi="Arial" w:cs="Arial"/>
          <w:b/>
          <w:bCs/>
          <w:sz w:val="28"/>
          <w:szCs w:val="24"/>
          <w:lang w:eastAsia="es-ES"/>
        </w:rPr>
        <w:t>XII.</w:t>
      </w:r>
      <w:r w:rsidRPr="00CF2780">
        <w:rPr>
          <w:rFonts w:ascii="Arial" w:eastAsia="Times New Roman" w:hAnsi="Arial" w:cs="Arial"/>
          <w:sz w:val="28"/>
          <w:szCs w:val="24"/>
          <w:lang w:eastAsia="es-ES"/>
        </w:rPr>
        <w:t xml:space="preserve"> </w:t>
      </w:r>
      <w:r w:rsidRPr="00CF2780">
        <w:rPr>
          <w:rFonts w:ascii="Arial" w:eastAsia="Times New Roman" w:hAnsi="Arial" w:cs="Arial"/>
          <w:sz w:val="28"/>
          <w:szCs w:val="29"/>
          <w:lang w:eastAsia="es-ES"/>
        </w:rPr>
        <w:t xml:space="preserve">Por auto de seis de marzo de este año, se admitió a trámite la demanda del juicio para la protección de los derechos político-electorales del ciudadano de mérito y, en virtud de que el Magistrado Instructor estimó indispensable determinada documentación para la debida resolución del presente asunto, requirió al Congreso del Estado Libre y Soberano de Oaxaca y al Consejo General del Instituto Estatal </w:t>
      </w:r>
      <w:r w:rsidRPr="00CF2780">
        <w:rPr>
          <w:rFonts w:ascii="Arial" w:eastAsia="Times New Roman" w:hAnsi="Arial" w:cs="Arial"/>
          <w:sz w:val="28"/>
          <w:szCs w:val="29"/>
          <w:lang w:eastAsia="es-ES"/>
        </w:rPr>
        <w:lastRenderedPageBreak/>
        <w:t>Electoral de Oaxaca, a efecto de que, dentro de las cuarenta y ocho horas siguientes a la notificación del correspondiente proveído, remitieran los documentos que les fueron solicitados.</w:t>
      </w:r>
    </w:p>
    <w:p w14:paraId="115C4C25"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1CE1E961"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b/>
          <w:bCs/>
          <w:sz w:val="28"/>
          <w:szCs w:val="29"/>
          <w:lang w:eastAsia="es-ES"/>
        </w:rPr>
        <w:t xml:space="preserve">XIII. </w:t>
      </w:r>
      <w:r w:rsidRPr="00CF2780">
        <w:rPr>
          <w:rFonts w:ascii="Arial" w:eastAsia="Times New Roman" w:hAnsi="Arial" w:cs="Arial"/>
          <w:sz w:val="28"/>
          <w:szCs w:val="29"/>
          <w:lang w:eastAsia="es-ES"/>
        </w:rPr>
        <w:t>El cinco de junio siguiente, el Magistrado Instructor acordó lo conducente respecto de la documentación presentada por los terceros interesados, tuvo por cumplido el requerimiento precisado en el numeral inmediato anterior y como no quedaban diligencias pendientes por desahogar, cerró la instrucción; y</w:t>
      </w:r>
    </w:p>
    <w:p w14:paraId="21C30216" w14:textId="77777777" w:rsidR="00676010" w:rsidRPr="00CF2780" w:rsidRDefault="00676010" w:rsidP="00676010">
      <w:pPr>
        <w:spacing w:after="0" w:line="240" w:lineRule="auto"/>
        <w:rPr>
          <w:rFonts w:ascii="Arial" w:eastAsia="Times New Roman" w:hAnsi="Arial" w:cs="Arial"/>
          <w:sz w:val="28"/>
          <w:szCs w:val="24"/>
          <w:lang w:eastAsia="es-ES"/>
        </w:rPr>
      </w:pPr>
    </w:p>
    <w:p w14:paraId="5133C348" w14:textId="77777777" w:rsidR="00676010" w:rsidRPr="00CF2780" w:rsidRDefault="00676010" w:rsidP="00676010">
      <w:pPr>
        <w:spacing w:after="0" w:line="240" w:lineRule="auto"/>
        <w:jc w:val="center"/>
        <w:rPr>
          <w:rFonts w:ascii="Arial" w:eastAsia="Times New Roman" w:hAnsi="Arial" w:cs="Arial"/>
          <w:b/>
          <w:bCs/>
          <w:sz w:val="28"/>
          <w:szCs w:val="24"/>
          <w:lang w:eastAsia="es-ES"/>
        </w:rPr>
      </w:pPr>
      <w:r w:rsidRPr="00CF2780">
        <w:rPr>
          <w:rFonts w:ascii="Arial" w:eastAsia="Times New Roman" w:hAnsi="Arial" w:cs="Arial"/>
          <w:b/>
          <w:bCs/>
          <w:sz w:val="28"/>
          <w:szCs w:val="24"/>
          <w:lang w:eastAsia="es-ES"/>
        </w:rPr>
        <w:t>C O N S I D E R A N D O :</w:t>
      </w:r>
    </w:p>
    <w:p w14:paraId="49D79153" w14:textId="77777777" w:rsidR="00676010" w:rsidRPr="00CF2780" w:rsidRDefault="00676010" w:rsidP="00676010">
      <w:pPr>
        <w:autoSpaceDE w:val="0"/>
        <w:autoSpaceDN w:val="0"/>
        <w:adjustRightInd w:val="0"/>
        <w:spacing w:after="0" w:line="360" w:lineRule="auto"/>
        <w:jc w:val="both"/>
        <w:rPr>
          <w:rFonts w:ascii="Arial" w:eastAsia="Times New Roman" w:hAnsi="Arial" w:cs="Arial"/>
          <w:b/>
          <w:bCs/>
          <w:sz w:val="28"/>
          <w:szCs w:val="29"/>
          <w:lang w:val="es-ES_tradnl" w:eastAsia="es-ES"/>
        </w:rPr>
      </w:pPr>
    </w:p>
    <w:p w14:paraId="6DEEF3C4"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r w:rsidRPr="00CF2780">
        <w:rPr>
          <w:rFonts w:ascii="Arial" w:eastAsia="Times New Roman" w:hAnsi="Arial" w:cs="Arial"/>
          <w:b/>
          <w:bCs/>
          <w:sz w:val="28"/>
          <w:szCs w:val="29"/>
          <w:lang w:eastAsia="es-ES"/>
        </w:rPr>
        <w:t xml:space="preserve">PRIMERO. </w:t>
      </w:r>
      <w:r w:rsidRPr="00CF2780">
        <w:rPr>
          <w:rFonts w:ascii="Arial" w:eastAsia="Times New Roman" w:hAnsi="Arial" w:cs="Arial"/>
          <w:sz w:val="28"/>
          <w:szCs w:val="29"/>
          <w:lang w:eastAsia="es-ES"/>
        </w:rPr>
        <w:t xml:space="preserve">Esta Sala Superior del Tribunal Electoral del Poder Judicial de la Federación es competente para conocer y resolver el presente juicio para la protección de los derechos político-electorales del ciudadano, de conformidad con lo dispuesto en los artículos 41, fracción IV y 99, párrafo cuarto, fracción V de la Constitución Política de los Estados Unidos Mexicanos; 186, fracción III, inciso c) y 189, fracción I, inciso f) de la Ley Orgánica del Poder Judicial de la Federación; así como 79, 80, párrafo 1, inciso f) y 83, párrafo 1, inciso a), fracción II de la Ley General del Sistema de Medios de Impugnación </w:t>
      </w:r>
      <w:r w:rsidRPr="00CF2780">
        <w:rPr>
          <w:rFonts w:ascii="Arial" w:eastAsia="Times New Roman" w:hAnsi="Arial" w:cs="Arial"/>
          <w:sz w:val="28"/>
          <w:szCs w:val="24"/>
          <w:lang w:eastAsia="es-ES"/>
        </w:rPr>
        <w:t>en Materia Electoral.</w:t>
      </w:r>
    </w:p>
    <w:p w14:paraId="030AA583"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val="es-ES" w:eastAsia="es-ES"/>
        </w:rPr>
      </w:pPr>
    </w:p>
    <w:p w14:paraId="4A7C3714"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4"/>
          <w:lang w:eastAsia="es-ES"/>
        </w:rPr>
      </w:pPr>
      <w:r w:rsidRPr="00CF2780">
        <w:rPr>
          <w:rFonts w:ascii="Arial" w:eastAsia="Times New Roman" w:hAnsi="Arial" w:cs="Arial"/>
          <w:b/>
          <w:bCs/>
          <w:sz w:val="28"/>
          <w:szCs w:val="29"/>
          <w:lang w:eastAsia="es-ES"/>
        </w:rPr>
        <w:t xml:space="preserve">SEGUNDO. </w:t>
      </w:r>
      <w:r w:rsidRPr="00CF2780">
        <w:rPr>
          <w:rFonts w:ascii="Arial" w:eastAsia="Times New Roman" w:hAnsi="Arial" w:cs="Arial"/>
          <w:sz w:val="28"/>
          <w:szCs w:val="29"/>
          <w:lang w:eastAsia="es-ES"/>
        </w:rPr>
        <w:t xml:space="preserve">Antes de entrar al estudio de fondo del asunto de mérito; y </w:t>
      </w:r>
      <w:r w:rsidRPr="00CF2780">
        <w:rPr>
          <w:rFonts w:ascii="Arial" w:eastAsia="Times New Roman" w:hAnsi="Arial" w:cs="Arial"/>
          <w:sz w:val="28"/>
          <w:szCs w:val="24"/>
          <w:lang w:eastAsia="es-ES"/>
        </w:rPr>
        <w:t xml:space="preserve">tomando en consideración que las causas de improcedencia son de orden preferente, en tanto que de actualizarse alguna de ellas, se haría innecesario el análisis de la cuestión planteada, esta Sala Superior se </w:t>
      </w:r>
      <w:r w:rsidRPr="00CF2780">
        <w:rPr>
          <w:rFonts w:ascii="Arial" w:eastAsia="Times New Roman" w:hAnsi="Arial" w:cs="Arial"/>
          <w:sz w:val="28"/>
          <w:szCs w:val="24"/>
          <w:lang w:eastAsia="es-ES"/>
        </w:rPr>
        <w:lastRenderedPageBreak/>
        <w:t>ocupará de estudiar si en el presente juicio se actualiza la improcedencia invocada por las partes contrarias a la pretensión de los promoventes.</w:t>
      </w:r>
    </w:p>
    <w:p w14:paraId="1A59E5B8" w14:textId="77777777" w:rsidR="00676010" w:rsidRPr="00CF2780" w:rsidRDefault="00676010" w:rsidP="00676010">
      <w:pPr>
        <w:widowControl w:val="0"/>
        <w:tabs>
          <w:tab w:val="left" w:pos="-720"/>
        </w:tabs>
        <w:suppressAutoHyphens/>
        <w:spacing w:after="0" w:line="360" w:lineRule="auto"/>
        <w:jc w:val="both"/>
        <w:rPr>
          <w:rFonts w:ascii="Arial" w:eastAsia="Times New Roman" w:hAnsi="Arial" w:cs="Arial"/>
          <w:snapToGrid w:val="0"/>
          <w:spacing w:val="-3"/>
          <w:sz w:val="28"/>
          <w:szCs w:val="20"/>
          <w:lang w:val="es-ES" w:eastAsia="es-ES"/>
        </w:rPr>
      </w:pPr>
    </w:p>
    <w:p w14:paraId="05CE7A19" w14:textId="77777777" w:rsidR="00676010" w:rsidRPr="00CF2780" w:rsidRDefault="00676010" w:rsidP="00676010">
      <w:pPr>
        <w:widowControl w:val="0"/>
        <w:tabs>
          <w:tab w:val="left" w:pos="-720"/>
        </w:tabs>
        <w:suppressAutoHyphens/>
        <w:spacing w:after="0" w:line="360" w:lineRule="auto"/>
        <w:jc w:val="both"/>
        <w:rPr>
          <w:rFonts w:ascii="Arial" w:eastAsia="Times New Roman" w:hAnsi="Arial" w:cs="Arial"/>
          <w:snapToGrid w:val="0"/>
          <w:spacing w:val="-3"/>
          <w:sz w:val="28"/>
          <w:szCs w:val="20"/>
          <w:lang w:val="es-ES_tradnl" w:eastAsia="es-ES"/>
        </w:rPr>
      </w:pPr>
      <w:r w:rsidRPr="00CF2780">
        <w:rPr>
          <w:rFonts w:ascii="Arial" w:eastAsia="Times New Roman" w:hAnsi="Arial" w:cs="Arial"/>
          <w:snapToGrid w:val="0"/>
          <w:spacing w:val="-3"/>
          <w:sz w:val="28"/>
          <w:szCs w:val="20"/>
          <w:lang w:val="es-ES_tradnl" w:eastAsia="es-ES"/>
        </w:rPr>
        <w:t xml:space="preserve">Tanto la responsable como los terceros interesados, en sus respectivos escritos, afirman que la demanda del presente juicio se presentó en forma extemporánea, porque el acto impugnado se publicó en el Periódico Oficial de la citada entidad federativa el treinta y uno de diciembre de dos mil uno, mientras que el escrito que contiene la referida demanda se presentó ante dicha autoridad hasta el once de enero, por lo que se actualiza la causal de improcedencia prevista en el artículo 10, párrafo 1, inciso b) de la Ley General del Sistema de Medios de Impugnación en Materia Electoral. </w:t>
      </w:r>
    </w:p>
    <w:p w14:paraId="5D2EB1AD"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val="es-ES_tradnl" w:eastAsia="es-ES"/>
        </w:rPr>
      </w:pPr>
    </w:p>
    <w:p w14:paraId="63631436" w14:textId="77777777" w:rsidR="00676010" w:rsidRPr="00CF2780" w:rsidRDefault="00676010" w:rsidP="00676010">
      <w:pPr>
        <w:autoSpaceDE w:val="0"/>
        <w:autoSpaceDN w:val="0"/>
        <w:adjustRightInd w:val="0"/>
        <w:spacing w:after="0" w:line="360" w:lineRule="auto"/>
        <w:jc w:val="both"/>
        <w:rPr>
          <w:rFonts w:ascii="Arial" w:eastAsia="Times New Roman" w:hAnsi="Arial" w:cs="Arial"/>
          <w:b/>
          <w:bCs/>
          <w:sz w:val="28"/>
          <w:szCs w:val="24"/>
          <w:lang w:val="es-ES_tradnl" w:eastAsia="es-ES"/>
        </w:rPr>
      </w:pPr>
      <w:r w:rsidRPr="00CF2780">
        <w:rPr>
          <w:rFonts w:ascii="Arial" w:eastAsia="Times New Roman" w:hAnsi="Arial" w:cs="Arial"/>
          <w:sz w:val="28"/>
          <w:szCs w:val="29"/>
          <w:lang w:eastAsia="es-ES"/>
        </w:rPr>
        <w:t>La causal de improcedencia invocada es infundada en razón de que el escrito de demanda fue presentado ante la autoridad responsable dentro de los cuatro días naturales siguientes a que se tuvo conocimiento del acto reclamado, conforme lo previsto en los artículos 7 párrafo 1, 8 párrafo 1 y 9 párrafo 1, de la citada Ley General.</w:t>
      </w:r>
    </w:p>
    <w:p w14:paraId="6B0B37B4"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p>
    <w:p w14:paraId="2864D74C"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r w:rsidRPr="00CF2780">
        <w:rPr>
          <w:rFonts w:ascii="Arial" w:eastAsia="Times New Roman" w:hAnsi="Arial" w:cs="Arial"/>
          <w:sz w:val="28"/>
          <w:szCs w:val="29"/>
          <w:lang w:eastAsia="es-ES"/>
        </w:rPr>
        <w:t xml:space="preserve">En efecto, de lo expuesto por los enjuiciantes en el escrito inicial de demanda, se tiene que el acto combatido es el Decreto número 32 de treinta y uno de diciembre de dos mil uno, emitido por la Quincuagésima Octava Legislatura del H. Congreso del Estado de Oaxaca, erigido en Colegio Electoral, mediante el cual, entre otros actos, revocó el acuerdo del Consejo General del Instituto Estatal Electoral de dicha entidad, que </w:t>
      </w:r>
      <w:r w:rsidRPr="00CF2780">
        <w:rPr>
          <w:rFonts w:ascii="Arial" w:eastAsia="Times New Roman" w:hAnsi="Arial" w:cs="Arial"/>
          <w:sz w:val="28"/>
          <w:szCs w:val="29"/>
          <w:lang w:eastAsia="es-ES"/>
        </w:rPr>
        <w:lastRenderedPageBreak/>
        <w:t>declaró la validez de la elección municipal en Santiago Yaveo, realizada bajo normas de derecho consuetudinario.</w:t>
      </w:r>
    </w:p>
    <w:p w14:paraId="3FA44F75"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p>
    <w:p w14:paraId="1D8914F9"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r w:rsidRPr="00CF2780">
        <w:rPr>
          <w:rFonts w:ascii="Arial" w:eastAsia="Times New Roman" w:hAnsi="Arial" w:cs="Arial"/>
          <w:sz w:val="28"/>
          <w:szCs w:val="29"/>
          <w:lang w:eastAsia="es-ES"/>
        </w:rPr>
        <w:t xml:space="preserve">Dicho decreto fue publicado en el </w:t>
      </w:r>
      <w:r w:rsidRPr="00CF2780">
        <w:rPr>
          <w:rFonts w:ascii="Arial" w:eastAsia="Times New Roman" w:hAnsi="Arial" w:cs="Arial"/>
          <w:i/>
          <w:iCs/>
          <w:sz w:val="28"/>
          <w:szCs w:val="29"/>
          <w:lang w:eastAsia="es-ES"/>
        </w:rPr>
        <w:t xml:space="preserve">“Extra” </w:t>
      </w:r>
      <w:r w:rsidRPr="00CF2780">
        <w:rPr>
          <w:rFonts w:ascii="Arial" w:eastAsia="Times New Roman" w:hAnsi="Arial" w:cs="Arial"/>
          <w:sz w:val="28"/>
          <w:szCs w:val="29"/>
          <w:lang w:eastAsia="es-ES"/>
        </w:rPr>
        <w:t>del</w:t>
      </w:r>
      <w:r w:rsidRPr="00CF2780">
        <w:rPr>
          <w:rFonts w:ascii="Arial" w:eastAsia="Times New Roman" w:hAnsi="Arial" w:cs="Arial"/>
          <w:i/>
          <w:iCs/>
          <w:sz w:val="28"/>
          <w:szCs w:val="29"/>
          <w:lang w:eastAsia="es-ES"/>
        </w:rPr>
        <w:t xml:space="preserve"> Periódico Oficial </w:t>
      </w:r>
      <w:r w:rsidRPr="00CF2780">
        <w:rPr>
          <w:rFonts w:ascii="Arial" w:eastAsia="Times New Roman" w:hAnsi="Arial" w:cs="Arial"/>
          <w:sz w:val="28"/>
          <w:szCs w:val="29"/>
          <w:lang w:eastAsia="es-ES"/>
        </w:rPr>
        <w:t xml:space="preserve">del Estado de Oaxaca, correspondiente al treinta y uno de diciembre; sin embargo, el mismo fue distribuido para su difusión y venta al público hasta el ocho de enero del presente año, según se desprende del informe rendido por el Director de los Talleres Gráficos y del Periódico Oficial, con motivo del requerimiento formulado por el magistrado instructor, durante la sustanciación del diverso SUP-JRC-025/2002, en el cual se advierte claramente que los ejemplares que contienen dicho decreto fueron distribuidos a las dependencias correspondientes y puestos a la venta al público, en la fecha señalada, debido a </w:t>
      </w:r>
      <w:r w:rsidRPr="00CF2780">
        <w:rPr>
          <w:rFonts w:ascii="Arial" w:eastAsia="Times New Roman" w:hAnsi="Arial" w:cs="Arial"/>
          <w:i/>
          <w:iCs/>
          <w:sz w:val="28"/>
          <w:szCs w:val="29"/>
          <w:lang w:eastAsia="es-ES"/>
        </w:rPr>
        <w:t>“la carga de trabajo que hubo en esas fechas”</w:t>
      </w:r>
      <w:r w:rsidRPr="00CF2780">
        <w:rPr>
          <w:rFonts w:ascii="Arial" w:eastAsia="Times New Roman" w:hAnsi="Arial" w:cs="Arial"/>
          <w:sz w:val="28"/>
          <w:szCs w:val="29"/>
          <w:lang w:eastAsia="es-ES"/>
        </w:rPr>
        <w:t xml:space="preserve"> (foja 155 de autos).</w:t>
      </w:r>
    </w:p>
    <w:p w14:paraId="2EF6434A"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p>
    <w:p w14:paraId="38803584"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r w:rsidRPr="00CF2780">
        <w:rPr>
          <w:rFonts w:ascii="Arial" w:eastAsia="Times New Roman" w:hAnsi="Arial" w:cs="Arial"/>
          <w:sz w:val="28"/>
          <w:szCs w:val="29"/>
          <w:lang w:eastAsia="es-ES"/>
        </w:rPr>
        <w:t xml:space="preserve">Ahora bien, como se precisó líneas arriba, el plazo para la presentación de la demanda del medio de impugnación que nos ocupa es de cuatro días naturales, por lo que si el acto reclamado fue publicado en realidad hasta el ocho de enero del año que transcurre, entonces el plazo para la promoción corrió del día nueve al doce del mismo mes y año, conforme la regla establecida en el artículo 30, párrafo 2, de la ley en cita, de ahí que si la demanda de este juicio se presentó el once de enero, tal y como se desprende del escrito de presentación del medio de impugnación de mérito (foja 15 de autos), así como del aviso de presentación de la demanda y el informe circunstanciado de ley (fojas 4 y 14 de autos), es claro, entonces, que el medio de impugnación se presentó dentro del plazo que prevé el artículo 8 de la ley de la materia, </w:t>
      </w:r>
      <w:r w:rsidRPr="00CF2780">
        <w:rPr>
          <w:rFonts w:ascii="Arial" w:eastAsia="Times New Roman" w:hAnsi="Arial" w:cs="Arial"/>
          <w:sz w:val="28"/>
          <w:szCs w:val="29"/>
          <w:lang w:eastAsia="es-ES"/>
        </w:rPr>
        <w:lastRenderedPageBreak/>
        <w:t xml:space="preserve">para promover este juicio y, en consecuencia, contrariamente a lo que afirman la autoridad responsable en su informe circunstanciado y los terceros interesados en su escrito, el presente juicio para la protección de los derechos político-electorales del ciudadano se presentó en tiempo. </w:t>
      </w:r>
    </w:p>
    <w:p w14:paraId="2991D54F"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p>
    <w:p w14:paraId="5AB0EEB2"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r w:rsidRPr="00CF2780">
        <w:rPr>
          <w:rFonts w:ascii="Arial" w:eastAsia="Times New Roman" w:hAnsi="Arial" w:cs="Arial"/>
          <w:sz w:val="28"/>
          <w:szCs w:val="29"/>
          <w:lang w:eastAsia="es-ES"/>
        </w:rPr>
        <w:t>Asimismo, resulta inatendible la afirmación que hace la responsable, relativa a que los accionantes no acompañan documento alguno para acreditar la calidad específica de ciudadanos e integrantes del municipio de Santiago Yaveo, Choápam, Oaxaca, actualizándose así, según el dicho de la propia autoridad, las causales de improcedencia previstas en los incisos b) y c) del artículo 10 de la Ley General del Sistema de Medios de Impugnación en Materia Electoral, mismas que se refieren a la improcedencia derivada por impugnar actos que no afecten el interés jurídico del actor o por la carencia de legitimación por parte del promovente.</w:t>
      </w:r>
    </w:p>
    <w:p w14:paraId="50C208F1"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p>
    <w:p w14:paraId="3EDDDD11"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r w:rsidRPr="00CF2780">
        <w:rPr>
          <w:rFonts w:ascii="Arial" w:eastAsia="Times New Roman" w:hAnsi="Arial" w:cs="Arial"/>
          <w:sz w:val="28"/>
          <w:szCs w:val="29"/>
          <w:lang w:eastAsia="es-ES"/>
        </w:rPr>
        <w:t>Se afirma lo anterior porque de acuerdo a lo previsto por el artículo 79, de la ley general citada, quien debe promover este juicio es un ciudadano por sí mismo y en forma individual.</w:t>
      </w:r>
    </w:p>
    <w:p w14:paraId="6076B502"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p>
    <w:p w14:paraId="450AF3C7"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r w:rsidRPr="00CF2780">
        <w:rPr>
          <w:rFonts w:ascii="Arial" w:eastAsia="Times New Roman" w:hAnsi="Arial" w:cs="Arial"/>
          <w:sz w:val="28"/>
          <w:szCs w:val="29"/>
          <w:lang w:eastAsia="es-ES"/>
        </w:rPr>
        <w:t>Por su parte, el artículo 34, de la Constitución Política de los Estados Unidos Mexicanos, establece que son ciudadanos de la República los varones y las mujeres que, teniendo la calidad de mexicanos, hayan cumplido dieciocho años de edad y cuenten con un modo honesto de vivir.</w:t>
      </w:r>
    </w:p>
    <w:p w14:paraId="50370244"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p>
    <w:p w14:paraId="695ED6E6"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r w:rsidRPr="00CF2780">
        <w:rPr>
          <w:rFonts w:ascii="Arial" w:eastAsia="Times New Roman" w:hAnsi="Arial" w:cs="Arial"/>
          <w:sz w:val="28"/>
          <w:szCs w:val="29"/>
          <w:lang w:eastAsia="es-ES"/>
        </w:rPr>
        <w:lastRenderedPageBreak/>
        <w:t>Así, la calidad de ciudadano debe presumirse por ser una situación ordinaria dentro del territorio nacional, presunción que</w:t>
      </w:r>
    </w:p>
    <w:p w14:paraId="76671A7B"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r w:rsidRPr="00CF2780">
        <w:rPr>
          <w:rFonts w:ascii="Arial" w:eastAsia="Times New Roman" w:hAnsi="Arial" w:cs="Arial"/>
          <w:sz w:val="28"/>
          <w:szCs w:val="29"/>
          <w:lang w:eastAsia="es-ES"/>
        </w:rPr>
        <w:t>admite prueba en contrario, lo anterior sustentado en el principio ontológico, que tiene su fundamento inmediato en el natural modo de ser de las cosas, y consistente en que, es más</w:t>
      </w:r>
    </w:p>
    <w:p w14:paraId="6C6FD438"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r w:rsidRPr="00CF2780">
        <w:rPr>
          <w:rFonts w:ascii="Arial" w:eastAsia="Times New Roman" w:hAnsi="Arial" w:cs="Arial"/>
          <w:sz w:val="28"/>
          <w:szCs w:val="29"/>
          <w:lang w:eastAsia="es-ES"/>
        </w:rPr>
        <w:t>creíble que ocurra lo que generalmente sucede, y no lo que acontece extraordinariamente; en esa medida, quien goza de una presunción a su favor, no tiene porque probar los extremos que se deriven de ella, en tanto que quien argumenta en su contra, está obligado a precisar las razones en que se funda su cuestionamiento, así como a acreditar su dicho.</w:t>
      </w:r>
    </w:p>
    <w:p w14:paraId="192D6C25"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p>
    <w:p w14:paraId="7E9A8E65" w14:textId="77777777" w:rsidR="00676010" w:rsidRPr="00CF2780" w:rsidRDefault="00676010" w:rsidP="00676010">
      <w:pPr>
        <w:autoSpaceDE w:val="0"/>
        <w:autoSpaceDN w:val="0"/>
        <w:adjustRightInd w:val="0"/>
        <w:spacing w:after="0" w:line="360" w:lineRule="auto"/>
        <w:jc w:val="both"/>
        <w:rPr>
          <w:rFonts w:ascii="Arial" w:eastAsia="Times New Roman" w:hAnsi="Arial" w:cs="Arial"/>
          <w:b/>
          <w:bCs/>
          <w:sz w:val="28"/>
          <w:szCs w:val="24"/>
          <w:lang w:eastAsia="es-ES"/>
        </w:rPr>
      </w:pPr>
      <w:r w:rsidRPr="00CF2780">
        <w:rPr>
          <w:rFonts w:ascii="Arial" w:eastAsia="Times New Roman" w:hAnsi="Arial" w:cs="Arial"/>
          <w:sz w:val="28"/>
          <w:szCs w:val="29"/>
          <w:lang w:eastAsia="es-ES"/>
        </w:rPr>
        <w:t>Lo ordinario se presume; sin embargo, cuando a la afirmación de un hecho ordinario se enfrenta la de uno extraordinario, la primera merece mayor credibilidad, y es, en consecuencia, la segunda la que debe comenzarse a probar, porque, como ya se dijo, si lo ordinario se presume, lo extraordinario se prueba.</w:t>
      </w:r>
    </w:p>
    <w:p w14:paraId="0A55B96C"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p>
    <w:p w14:paraId="15B71A1C"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r w:rsidRPr="00CF2780">
        <w:rPr>
          <w:rFonts w:ascii="Arial" w:eastAsia="Times New Roman" w:hAnsi="Arial" w:cs="Arial"/>
          <w:sz w:val="28"/>
          <w:szCs w:val="29"/>
          <w:lang w:eastAsia="es-ES"/>
        </w:rPr>
        <w:t xml:space="preserve">Aun más, la presunción antedicha se encuentra corroborada toda vez que, según consta en autos, los promoventes participaron en la elección municipal de Santiago Yaveo, Choápam, Oaxaca, la que se lleva a cabo por el sistema de usos y costumbres y, al resultar vencedores, el Consejo General del Instituto Estatal Electoral del Estado de Oaxaca, les expidió la constancia de mayoría correspondiente, visible a foja 35 del expediente en el que se actúa y si, como en el caso, los concejales se eligen a través de una asamblea general comunitaria, mediante un procedimiento que debe ser validado por el Consejo General del </w:t>
      </w:r>
      <w:r w:rsidRPr="00CF2780">
        <w:rPr>
          <w:rFonts w:ascii="Arial" w:eastAsia="Times New Roman" w:hAnsi="Arial" w:cs="Arial"/>
          <w:sz w:val="28"/>
          <w:szCs w:val="29"/>
          <w:lang w:eastAsia="es-ES"/>
        </w:rPr>
        <w:lastRenderedPageBreak/>
        <w:t xml:space="preserve">Instituto Estatal Electoral de Oaxaca, a efecto de estar en condiciones de emitir las constancias respectivas, debe presumirse, sin lugar a dudas, que los accionantes tienen el carácter de ciudadanos y miembros activos de la comunidad, al haber cumplido los requisitos a que alude el artículo 112 del Código de Instituciones y Procedimientos Electorales de Oaxaca, como expresamente lo hizo constar dicha autoridad electoral en el acuerdo emitido en sesión especial de veinte de diciembre de dos mil uno, publicado en el </w:t>
      </w:r>
      <w:r w:rsidRPr="00CF2780">
        <w:rPr>
          <w:rFonts w:ascii="Arial" w:eastAsia="Times New Roman" w:hAnsi="Arial" w:cs="Arial"/>
          <w:i/>
          <w:iCs/>
          <w:sz w:val="28"/>
          <w:szCs w:val="29"/>
          <w:lang w:eastAsia="es-ES"/>
        </w:rPr>
        <w:t xml:space="preserve">“Extra” </w:t>
      </w:r>
      <w:r w:rsidRPr="00CF2780">
        <w:rPr>
          <w:rFonts w:ascii="Arial" w:eastAsia="Times New Roman" w:hAnsi="Arial" w:cs="Arial"/>
          <w:sz w:val="28"/>
          <w:szCs w:val="29"/>
          <w:lang w:eastAsia="es-ES"/>
        </w:rPr>
        <w:t>del</w:t>
      </w:r>
      <w:r w:rsidRPr="00CF2780">
        <w:rPr>
          <w:rFonts w:ascii="Arial" w:eastAsia="Times New Roman" w:hAnsi="Arial" w:cs="Arial"/>
          <w:i/>
          <w:iCs/>
          <w:sz w:val="28"/>
          <w:szCs w:val="29"/>
          <w:lang w:eastAsia="es-ES"/>
        </w:rPr>
        <w:t xml:space="preserve"> Periódico Oficial</w:t>
      </w:r>
      <w:r w:rsidRPr="00CF2780">
        <w:rPr>
          <w:rFonts w:ascii="Arial" w:eastAsia="Times New Roman" w:hAnsi="Arial" w:cs="Arial"/>
          <w:sz w:val="28"/>
          <w:szCs w:val="29"/>
          <w:lang w:eastAsia="es-ES"/>
        </w:rPr>
        <w:t xml:space="preserve"> estatal del veintiséis siguiente, exigencia indispensable para que les fuera emitida la aludida constancia, sin que en autos conste que hubiere sido materia de litigio alguno la elegibilidad de los ahora promoventes, por lo cual, al haber promovido el citado medio impugnativo en forma individual, ello significa que están legitimados y no requieren de la presentación de documento alguno para demostrar que tiene tal carácter, ni que pertenecen a la comunidad de Santiago Yaveo, Choápam, Oaxaca.</w:t>
      </w:r>
    </w:p>
    <w:p w14:paraId="2C716EA7"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p>
    <w:p w14:paraId="16AEC547"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r w:rsidRPr="00CF2780">
        <w:rPr>
          <w:rFonts w:ascii="Arial" w:eastAsia="Times New Roman" w:hAnsi="Arial" w:cs="Arial"/>
          <w:sz w:val="28"/>
          <w:szCs w:val="29"/>
          <w:lang w:eastAsia="es-ES"/>
        </w:rPr>
        <w:t xml:space="preserve">Ahora bien, el hecho de que los promoventes hubieren expresado en su demanda que comparecen en su “carácter de Concejales Electos” no significa, como pretende la responsable, que es con esa calidad, y no con la de ciudadanos, que comparecen a juicio y ejercitan el derecho de acción, puesto que una adecuada y recta intelección del escrito de mérito, en especial cuando exponen la </w:t>
      </w:r>
      <w:r w:rsidRPr="00CF2780">
        <w:rPr>
          <w:rFonts w:ascii="Arial" w:eastAsia="Times New Roman" w:hAnsi="Arial" w:cs="Arial"/>
          <w:i/>
          <w:iCs/>
          <w:sz w:val="28"/>
          <w:szCs w:val="29"/>
          <w:lang w:eastAsia="es-ES"/>
        </w:rPr>
        <w:t>causa petendi</w:t>
      </w:r>
      <w:r w:rsidRPr="00CF2780">
        <w:rPr>
          <w:rFonts w:ascii="Arial" w:eastAsia="Times New Roman" w:hAnsi="Arial" w:cs="Arial"/>
          <w:sz w:val="28"/>
          <w:szCs w:val="29"/>
          <w:lang w:eastAsia="es-ES"/>
        </w:rPr>
        <w:t xml:space="preserve">, conforme lo exige la jurisprudencia intitulada </w:t>
      </w:r>
      <w:r w:rsidRPr="00CF2780">
        <w:rPr>
          <w:rFonts w:ascii="Arial" w:eastAsia="Times New Roman" w:hAnsi="Arial" w:cs="Arial"/>
          <w:b/>
          <w:bCs/>
          <w:sz w:val="28"/>
          <w:szCs w:val="29"/>
          <w:lang w:eastAsia="es-ES"/>
        </w:rPr>
        <w:t>“MEDIOS DE IMPUGNACIÓN EN MATERIA ELECTORAL. EL RESOLUTOR DEBE INTERPRETAR EL OCURSO QUE LOS CONTENGA PARA DETERMINAR LA VERDADERA INTENCIÓN DEL ACTOR”</w:t>
      </w:r>
      <w:r w:rsidRPr="00CF2780">
        <w:rPr>
          <w:rFonts w:ascii="Arial" w:eastAsia="Times New Roman" w:hAnsi="Arial" w:cs="Arial"/>
          <w:sz w:val="28"/>
          <w:szCs w:val="29"/>
          <w:lang w:eastAsia="es-ES"/>
        </w:rPr>
        <w:t xml:space="preserve">, consultable en </w:t>
      </w:r>
      <w:r w:rsidRPr="00CF2780">
        <w:rPr>
          <w:rFonts w:ascii="Arial" w:eastAsia="Times New Roman" w:hAnsi="Arial" w:cs="Arial"/>
          <w:i/>
          <w:iCs/>
          <w:sz w:val="28"/>
          <w:szCs w:val="29"/>
          <w:lang w:eastAsia="es-ES"/>
        </w:rPr>
        <w:t>“Justicia Electoral”</w:t>
      </w:r>
      <w:r w:rsidRPr="00CF2780">
        <w:rPr>
          <w:rFonts w:ascii="Arial" w:eastAsia="Times New Roman" w:hAnsi="Arial" w:cs="Arial"/>
          <w:sz w:val="28"/>
          <w:szCs w:val="29"/>
          <w:lang w:eastAsia="es-ES"/>
        </w:rPr>
        <w:t xml:space="preserve">, número </w:t>
      </w:r>
      <w:r w:rsidRPr="00CF2780">
        <w:rPr>
          <w:rFonts w:ascii="Arial" w:eastAsia="Times New Roman" w:hAnsi="Arial" w:cs="Arial"/>
          <w:sz w:val="28"/>
          <w:szCs w:val="29"/>
          <w:lang w:eastAsia="es-ES"/>
        </w:rPr>
        <w:lastRenderedPageBreak/>
        <w:t>3, página 17, es posible entender, sin duda alguna, que la acción intentada la ejercen como ciudadanos que estiman conculcado su derecho de sufragio, en su vertiente pasiva, al haber perdido la calidad de concejales electos con motivo de la nulidad decretada por la autoridad responsable.</w:t>
      </w:r>
    </w:p>
    <w:p w14:paraId="49D2E8A5"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p>
    <w:p w14:paraId="3B33D018"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r w:rsidRPr="00CF2780">
        <w:rPr>
          <w:rFonts w:ascii="Arial" w:eastAsia="Times New Roman" w:hAnsi="Arial" w:cs="Arial"/>
          <w:sz w:val="28"/>
          <w:szCs w:val="29"/>
          <w:lang w:eastAsia="es-ES"/>
        </w:rPr>
        <w:t xml:space="preserve">Sentado lo anterior, este órgano jurisdiccional estima que el escrito inicial de demanda cumple con los requisitos generales que se establecen en el artículo 9, párrafo 1, de la Ley General del Sistema de Medios de Impugnación en Materia Electoral, y que rigen para la presentación de todos los medios de impugnación en materia electoral cuyo conocimiento y resolución son competencia del Tribunal Electoral del Poder Judicial de la Federación, según se dispone en el artículo 6 del mismo ordenamiento. </w:t>
      </w:r>
    </w:p>
    <w:p w14:paraId="4DC2ED81"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p>
    <w:p w14:paraId="4A1E3DF6"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r w:rsidRPr="00CF2780">
        <w:rPr>
          <w:rFonts w:ascii="Arial" w:eastAsia="Times New Roman" w:hAnsi="Arial" w:cs="Arial"/>
          <w:sz w:val="28"/>
          <w:szCs w:val="29"/>
          <w:lang w:eastAsia="es-ES"/>
        </w:rPr>
        <w:t>En efecto, los actores cumplieron con lo que se dispone en la primera parte del párrafo 1 del artículo 9 de la Ley General del Sistema de Medios de Impugnación en Materia Electoral, respecto a que el escrito de demanda debe presentarse ante la autoridad señalada como responsable del acto o resolución reclamada, que en el caso lo es el H. Congreso del Estado Libre y Soberano de Oaxaca, erigido en Colegio Electoral.</w:t>
      </w:r>
    </w:p>
    <w:p w14:paraId="053BE6E1"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p>
    <w:p w14:paraId="6614F76A"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r w:rsidRPr="00CF2780">
        <w:rPr>
          <w:rFonts w:ascii="Arial" w:eastAsia="Times New Roman" w:hAnsi="Arial" w:cs="Arial"/>
          <w:sz w:val="28"/>
          <w:szCs w:val="29"/>
          <w:lang w:eastAsia="es-ES"/>
        </w:rPr>
        <w:t xml:space="preserve">Asimismo, se estima que los ahora actores cumplen con los demás requisitos que se disponen en el artículo 9, párrafo 1, en estudio, toda vez que en el escrito de demanda se hace constar el nombre de los actores; se señala domicilio para oír y recibir notificaciones, autorizando </w:t>
      </w:r>
      <w:r w:rsidRPr="00CF2780">
        <w:rPr>
          <w:rFonts w:ascii="Arial" w:eastAsia="Times New Roman" w:hAnsi="Arial" w:cs="Arial"/>
          <w:sz w:val="28"/>
          <w:szCs w:val="29"/>
          <w:lang w:eastAsia="es-ES"/>
        </w:rPr>
        <w:lastRenderedPageBreak/>
        <w:t>a ciertas personas para tales efectos; se identifican los actos reclamados y las autoridades responsables; se señalan los hechos en que basan su pretensión y los agravios que les causan los actos reclamados, así como los preceptos jurídicos violados; se ofrecen y aportan las pruebas que consideraron pertinentes y se hacen constar los nombres y las firmas autógrafas de los actores.</w:t>
      </w:r>
    </w:p>
    <w:p w14:paraId="4D6487C1" w14:textId="77777777" w:rsidR="00676010" w:rsidRPr="00CF2780" w:rsidRDefault="00676010" w:rsidP="00676010">
      <w:pPr>
        <w:tabs>
          <w:tab w:val="left" w:pos="-720"/>
        </w:tabs>
        <w:suppressAutoHyphens/>
        <w:spacing w:after="0" w:line="360" w:lineRule="auto"/>
        <w:jc w:val="both"/>
        <w:rPr>
          <w:rFonts w:ascii="Arial" w:eastAsia="Times New Roman" w:hAnsi="Arial" w:cs="Arial"/>
          <w:sz w:val="28"/>
          <w:szCs w:val="29"/>
          <w:lang w:eastAsia="es-ES"/>
        </w:rPr>
      </w:pPr>
    </w:p>
    <w:p w14:paraId="24B8E6AF" w14:textId="77777777" w:rsidR="00676010" w:rsidRPr="00CF2780" w:rsidRDefault="00676010" w:rsidP="00676010">
      <w:pPr>
        <w:tabs>
          <w:tab w:val="left" w:pos="-720"/>
        </w:tabs>
        <w:suppressAutoHyphens/>
        <w:spacing w:after="0" w:line="360" w:lineRule="auto"/>
        <w:jc w:val="both"/>
        <w:rPr>
          <w:rFonts w:ascii="Arial" w:eastAsia="Times New Roman" w:hAnsi="Arial" w:cs="Arial"/>
          <w:sz w:val="28"/>
          <w:szCs w:val="29"/>
          <w:lang w:eastAsia="es-ES"/>
        </w:rPr>
      </w:pPr>
      <w:r w:rsidRPr="00CF2780">
        <w:rPr>
          <w:rFonts w:ascii="Arial" w:eastAsia="Times New Roman" w:hAnsi="Arial" w:cs="Arial"/>
          <w:sz w:val="28"/>
          <w:szCs w:val="24"/>
          <w:lang w:eastAsia="es-ES"/>
        </w:rPr>
        <w:t>Por otra parte, s</w:t>
      </w:r>
      <w:r w:rsidRPr="00CF2780">
        <w:rPr>
          <w:rFonts w:ascii="Arial" w:eastAsia="Times New Roman" w:hAnsi="Arial" w:cs="Arial"/>
          <w:sz w:val="28"/>
          <w:szCs w:val="29"/>
          <w:lang w:eastAsia="es-ES"/>
        </w:rPr>
        <w:t xml:space="preserve">egún se dispone en el artículo 79 de la Ley General del Sistema de Medios de Impugnación en Materia Electoral, el juicio para la protección de los derechos político-electorales del ciudadano sólo procede cuando un ciudadano, por sí mismo y en forma individual, haga valer presuntas violaciones a sus derechos de votar y ser votados en las elecciones populares, de asociarse individual y libremente para tomar parte en forma pacífica en los asuntos políticos y de afiliarse libre e individualmente a los partidos políticos, de lo que se colige que para la procedencia del juicio de protección de los derechos político-electorales del ciudadano, según se sostiene en </w:t>
      </w:r>
      <w:r w:rsidRPr="00CF2780">
        <w:rPr>
          <w:rFonts w:ascii="Arial" w:eastAsia="Times New Roman" w:hAnsi="Arial" w:cs="Arial"/>
          <w:spacing w:val="-3"/>
          <w:sz w:val="28"/>
          <w:szCs w:val="24"/>
          <w:lang w:eastAsia="es-ES"/>
        </w:rPr>
        <w:t xml:space="preserve">el criterio de jurisprudencia emitido por esta Sala Superior del Tribunal Electoral del Poder Judicial de la Federación, bajo el rubro </w:t>
      </w:r>
      <w:r w:rsidRPr="00CF2780">
        <w:rPr>
          <w:rFonts w:ascii="Arial" w:eastAsia="Times New Roman" w:hAnsi="Arial" w:cs="Arial"/>
          <w:b/>
          <w:bCs/>
          <w:sz w:val="28"/>
          <w:szCs w:val="20"/>
          <w:lang w:eastAsia="es-ES"/>
        </w:rPr>
        <w:t xml:space="preserve">“JUICIO PARA LA PROTECCIÓN DE LOS DERECHOS POLÍTICO-ELECTORALES DEL CIUDADANO. REQUISITOS PARA SU PROCEDENCIA”, </w:t>
      </w:r>
      <w:r w:rsidRPr="00CF2780">
        <w:rPr>
          <w:rFonts w:ascii="Arial" w:eastAsia="Times New Roman" w:hAnsi="Arial" w:cs="Arial"/>
          <w:spacing w:val="-3"/>
          <w:sz w:val="28"/>
          <w:szCs w:val="24"/>
          <w:lang w:eastAsia="es-ES"/>
        </w:rPr>
        <w:t xml:space="preserve">visible en las páginas 17 y 18 del Suplemento número 4, de la revista “Justicia Electoral”, </w:t>
      </w:r>
      <w:r w:rsidRPr="00CF2780">
        <w:rPr>
          <w:rFonts w:ascii="Arial" w:eastAsia="Times New Roman" w:hAnsi="Arial" w:cs="Arial"/>
          <w:sz w:val="28"/>
          <w:szCs w:val="29"/>
          <w:lang w:eastAsia="es-ES"/>
        </w:rPr>
        <w:t>se requiere la concurrencia de los siguientes elementos:</w:t>
      </w:r>
    </w:p>
    <w:p w14:paraId="64768CCE" w14:textId="77777777" w:rsidR="00676010" w:rsidRPr="00CF2780" w:rsidRDefault="00676010" w:rsidP="00676010">
      <w:pPr>
        <w:tabs>
          <w:tab w:val="left" w:pos="-720"/>
        </w:tabs>
        <w:suppressAutoHyphens/>
        <w:spacing w:after="0" w:line="360" w:lineRule="auto"/>
        <w:jc w:val="both"/>
        <w:rPr>
          <w:rFonts w:ascii="Arial" w:eastAsia="Times New Roman" w:hAnsi="Arial" w:cs="Arial"/>
          <w:sz w:val="28"/>
          <w:szCs w:val="29"/>
          <w:lang w:eastAsia="es-ES"/>
        </w:rPr>
      </w:pPr>
    </w:p>
    <w:p w14:paraId="3304B4BF" w14:textId="77777777" w:rsidR="00676010" w:rsidRPr="00CF2780" w:rsidRDefault="00676010" w:rsidP="00676010">
      <w:pPr>
        <w:autoSpaceDE w:val="0"/>
        <w:autoSpaceDN w:val="0"/>
        <w:adjustRightInd w:val="0"/>
        <w:spacing w:after="0" w:line="360" w:lineRule="auto"/>
        <w:ind w:left="360"/>
        <w:jc w:val="both"/>
        <w:rPr>
          <w:rFonts w:ascii="Arial" w:eastAsia="Times New Roman" w:hAnsi="Arial" w:cs="Arial"/>
          <w:sz w:val="28"/>
          <w:szCs w:val="29"/>
          <w:lang w:eastAsia="es-ES"/>
        </w:rPr>
      </w:pPr>
      <w:r w:rsidRPr="00CF2780">
        <w:rPr>
          <w:rFonts w:ascii="Arial" w:eastAsia="Times New Roman" w:hAnsi="Arial" w:cs="Arial"/>
          <w:b/>
          <w:bCs/>
          <w:sz w:val="28"/>
          <w:szCs w:val="29"/>
          <w:lang w:eastAsia="es-ES"/>
        </w:rPr>
        <w:t>a)</w:t>
      </w:r>
      <w:r w:rsidRPr="00CF2780">
        <w:rPr>
          <w:rFonts w:ascii="Arial" w:eastAsia="Times New Roman" w:hAnsi="Arial" w:cs="Arial"/>
          <w:sz w:val="28"/>
          <w:szCs w:val="29"/>
          <w:lang w:eastAsia="es-ES"/>
        </w:rPr>
        <w:t xml:space="preserve"> Que el promovente sea un ciudadano mexicano;</w:t>
      </w:r>
    </w:p>
    <w:p w14:paraId="5696CB2B"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p>
    <w:p w14:paraId="71FD0AE8" w14:textId="77777777" w:rsidR="00676010" w:rsidRPr="00CF2780" w:rsidRDefault="00676010" w:rsidP="00676010">
      <w:pPr>
        <w:autoSpaceDE w:val="0"/>
        <w:autoSpaceDN w:val="0"/>
        <w:adjustRightInd w:val="0"/>
        <w:spacing w:after="0" w:line="360" w:lineRule="auto"/>
        <w:ind w:left="360"/>
        <w:jc w:val="both"/>
        <w:rPr>
          <w:rFonts w:ascii="Arial" w:eastAsia="Times New Roman" w:hAnsi="Arial" w:cs="Arial"/>
          <w:sz w:val="28"/>
          <w:szCs w:val="29"/>
          <w:lang w:eastAsia="es-ES"/>
        </w:rPr>
      </w:pPr>
      <w:r w:rsidRPr="00CF2780">
        <w:rPr>
          <w:rFonts w:ascii="Arial" w:eastAsia="Times New Roman" w:hAnsi="Arial" w:cs="Arial"/>
          <w:b/>
          <w:bCs/>
          <w:sz w:val="28"/>
          <w:szCs w:val="29"/>
          <w:lang w:eastAsia="es-ES"/>
        </w:rPr>
        <w:t>b)</w:t>
      </w:r>
      <w:r w:rsidRPr="00CF2780">
        <w:rPr>
          <w:rFonts w:ascii="Arial" w:eastAsia="Times New Roman" w:hAnsi="Arial" w:cs="Arial"/>
          <w:sz w:val="28"/>
          <w:szCs w:val="29"/>
          <w:lang w:eastAsia="es-ES"/>
        </w:rPr>
        <w:t xml:space="preserve"> Que el ciudadano promueva por sí mismo y en forma individual, y</w:t>
      </w:r>
    </w:p>
    <w:p w14:paraId="139861C4"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p>
    <w:p w14:paraId="57EB5CDD" w14:textId="77777777" w:rsidR="00676010" w:rsidRPr="00CF2780" w:rsidRDefault="00676010" w:rsidP="00676010">
      <w:pPr>
        <w:autoSpaceDE w:val="0"/>
        <w:autoSpaceDN w:val="0"/>
        <w:adjustRightInd w:val="0"/>
        <w:spacing w:after="0" w:line="360" w:lineRule="auto"/>
        <w:ind w:left="360"/>
        <w:jc w:val="both"/>
        <w:rPr>
          <w:rFonts w:ascii="Arial" w:eastAsia="Times New Roman" w:hAnsi="Arial" w:cs="Arial"/>
          <w:sz w:val="28"/>
          <w:szCs w:val="29"/>
          <w:lang w:eastAsia="es-ES"/>
        </w:rPr>
      </w:pPr>
      <w:r w:rsidRPr="00CF2780">
        <w:rPr>
          <w:rFonts w:ascii="Arial" w:eastAsia="Times New Roman" w:hAnsi="Arial" w:cs="Arial"/>
          <w:b/>
          <w:bCs/>
          <w:sz w:val="28"/>
          <w:szCs w:val="29"/>
          <w:lang w:eastAsia="es-ES"/>
        </w:rPr>
        <w:t xml:space="preserve">c) </w:t>
      </w:r>
      <w:r w:rsidRPr="00CF2780">
        <w:rPr>
          <w:rFonts w:ascii="Arial" w:eastAsia="Times New Roman" w:hAnsi="Arial" w:cs="Arial"/>
          <w:sz w:val="28"/>
          <w:szCs w:val="29"/>
          <w:lang w:eastAsia="es-ES"/>
        </w:rPr>
        <w:t>Que haga valer presuntas violaciones a cualquiera de los siguientes derechos políticos: de votar o ser votado en las elecciones populares, de asociarse individual y libremente para tomar parte en forma pacífica en los asuntos políticos y de afiliarse libre e individualmente a los partidos políticos.</w:t>
      </w:r>
    </w:p>
    <w:p w14:paraId="7B56811E"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p>
    <w:p w14:paraId="40A45F3F"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r w:rsidRPr="00CF2780">
        <w:rPr>
          <w:rFonts w:ascii="Arial" w:eastAsia="Times New Roman" w:hAnsi="Arial" w:cs="Arial"/>
          <w:sz w:val="28"/>
          <w:szCs w:val="29"/>
          <w:lang w:eastAsia="es-ES"/>
        </w:rPr>
        <w:t>En tal virtud, la procedencia del presente juicio se encuentra prevista en el artículo 79 del ordenamiento en cita, y no en los distintos supuestos contenidos en el artículo 80 del mismo cuerpo legal, como indebidamente lo alega la responsable, procedencia que se surte en la especie, como a continuación se evidencia.</w:t>
      </w:r>
    </w:p>
    <w:p w14:paraId="7CE6DDC2"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p>
    <w:p w14:paraId="3FD64E91"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r w:rsidRPr="00CF2780">
        <w:rPr>
          <w:rFonts w:ascii="Arial" w:eastAsia="Times New Roman" w:hAnsi="Arial" w:cs="Arial"/>
          <w:sz w:val="28"/>
          <w:szCs w:val="29"/>
          <w:lang w:eastAsia="es-ES"/>
        </w:rPr>
        <w:t>El primero de los requisitos, identificado con el inciso a), no merece mayor explicación, toda vez que cualquier ciudadano mexicano, incluyendo, desde luego, a los miembros de alguna comunidad indígena, como en el caso, puede promover el juicio para la protección de los derechos político-electorales del ciudadano.</w:t>
      </w:r>
    </w:p>
    <w:p w14:paraId="1B90EA84"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p>
    <w:p w14:paraId="21819BA1"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r w:rsidRPr="00CF2780">
        <w:rPr>
          <w:rFonts w:ascii="Arial" w:eastAsia="Times New Roman" w:hAnsi="Arial" w:cs="Arial"/>
          <w:sz w:val="28"/>
          <w:szCs w:val="29"/>
          <w:lang w:eastAsia="es-ES"/>
        </w:rPr>
        <w:t xml:space="preserve">Por otro lado, esta Sala Superior considera que el requisito precisado en el inciso b) antes señalado, debe tenerse como cumplido porque los ciudadanos que suscriben el escrito inicial de demanda consideran que fue violado su derecho de ser votado en las elecciones de concejales al ayuntamiento, toda vez que, según argumentan, se vulneró la prerrogativa consignada en el artículo 35, fracción II, de la Constitución Política de los Estados Unidos Mexicanos, en el sentido de que es atribución de los ciudadanos mexicanos votar y ser votados para cargos </w:t>
      </w:r>
      <w:r w:rsidRPr="00CF2780">
        <w:rPr>
          <w:rFonts w:ascii="Arial" w:eastAsia="Times New Roman" w:hAnsi="Arial" w:cs="Arial"/>
          <w:sz w:val="28"/>
          <w:szCs w:val="29"/>
          <w:lang w:eastAsia="es-ES"/>
        </w:rPr>
        <w:lastRenderedPageBreak/>
        <w:t xml:space="preserve">de elección popular, de tal forma que </w:t>
      </w:r>
      <w:r w:rsidRPr="00CF2780">
        <w:rPr>
          <w:rFonts w:ascii="Arial" w:eastAsia="Times New Roman" w:hAnsi="Arial" w:cs="Arial"/>
          <w:spacing w:val="-3"/>
          <w:sz w:val="28"/>
          <w:szCs w:val="28"/>
          <w:lang w:val="es-ES_tradnl" w:eastAsia="es-ES"/>
        </w:rPr>
        <w:t>Indalecio Martínez Domínguez, Raúl Lorenzo Hernández, Miguel Ortíz Pacheco, Rolando Bartolo López y Evergisto Díaz Pérez,</w:t>
      </w:r>
      <w:r w:rsidRPr="00CF2780">
        <w:rPr>
          <w:rFonts w:ascii="Arial" w:eastAsia="Times New Roman" w:hAnsi="Arial" w:cs="Arial"/>
          <w:sz w:val="28"/>
          <w:szCs w:val="29"/>
          <w:lang w:eastAsia="es-ES"/>
        </w:rPr>
        <w:t xml:space="preserve"> </w:t>
      </w:r>
      <w:r w:rsidRPr="00CF2780">
        <w:rPr>
          <w:rFonts w:ascii="Arial" w:eastAsia="Times New Roman" w:hAnsi="Arial" w:cs="Arial"/>
          <w:b/>
          <w:bCs/>
          <w:sz w:val="28"/>
          <w:szCs w:val="29"/>
          <w:lang w:eastAsia="es-ES"/>
        </w:rPr>
        <w:t>promueven la protección de su derecho político de ser votados en las elecciones populares, por sí mismos</w:t>
      </w:r>
      <w:r w:rsidRPr="00CF2780">
        <w:rPr>
          <w:rFonts w:ascii="Arial" w:eastAsia="Times New Roman" w:hAnsi="Arial" w:cs="Arial"/>
          <w:sz w:val="28"/>
          <w:szCs w:val="29"/>
          <w:lang w:eastAsia="es-ES"/>
        </w:rPr>
        <w:t>, porque se dicen agraviados con los actos que reclaman, y es respecto de ellos que este órgano jurisdiccional, en el momento procesal oportuno, se debe pronunciar.</w:t>
      </w:r>
    </w:p>
    <w:p w14:paraId="043C2285"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p>
    <w:p w14:paraId="1204F02E"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r w:rsidRPr="00CF2780">
        <w:rPr>
          <w:rFonts w:ascii="Arial" w:eastAsia="Times New Roman" w:hAnsi="Arial" w:cs="Arial"/>
          <w:sz w:val="28"/>
          <w:szCs w:val="29"/>
          <w:lang w:eastAsia="es-ES"/>
        </w:rPr>
        <w:t>Por último, para tener por satisfecho el requisito identificado con el inciso c), consistente en que el actor debe hacer valer presuntas violaciones a los derechos políticos de votar, ser votado o de asociación política libre, es suficiente con que en la demanda que se presente se aduzca que con el acto o resolución combatido se cometieron violaciones a alguno o algunos de los derechos políticos mencionados, en perjuicio del promovente, independientemente de que en el fallo que se llegue a emitir se puedan estimar fundadas o infundadas tales alegaciones; es decir, el elemento de referencia es de carácter formal y tiene por objeto determinar la procedencia procesal del juicio, en atención a que la única materia de que se puede ocupar consiste en dilucidar si los actos combatidos conculcan o no los derechos políticos, y si el promovente no estimara que se infringen ese tipo de prerrogativas, la demanda carecería de objeto en esa vía.</w:t>
      </w:r>
    </w:p>
    <w:p w14:paraId="627EE076"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p>
    <w:p w14:paraId="38760135"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r w:rsidRPr="00CF2780">
        <w:rPr>
          <w:rFonts w:ascii="Arial" w:eastAsia="Times New Roman" w:hAnsi="Arial" w:cs="Arial"/>
          <w:sz w:val="28"/>
          <w:szCs w:val="29"/>
          <w:lang w:eastAsia="es-ES"/>
        </w:rPr>
        <w:t xml:space="preserve">En el caso que ahora ocupa a esta Sala Superior, dicho requisito se encuentra debidamente satisfecho, porque del escrito inicial de demanda promovido por los ciudadanos </w:t>
      </w:r>
      <w:r w:rsidRPr="00CF2780">
        <w:rPr>
          <w:rFonts w:ascii="Arial" w:eastAsia="Times New Roman" w:hAnsi="Arial" w:cs="Arial"/>
          <w:spacing w:val="-3"/>
          <w:sz w:val="28"/>
          <w:szCs w:val="28"/>
          <w:lang w:val="es-ES_tradnl" w:eastAsia="es-ES"/>
        </w:rPr>
        <w:t xml:space="preserve">Indalecio Martínez Domínguez, Raúl Lorenzo Hernández, Miguel Ortíz Pacheco, Rolando Bartolo López </w:t>
      </w:r>
      <w:r w:rsidRPr="00CF2780">
        <w:rPr>
          <w:rFonts w:ascii="Arial" w:eastAsia="Times New Roman" w:hAnsi="Arial" w:cs="Arial"/>
          <w:spacing w:val="-3"/>
          <w:sz w:val="28"/>
          <w:szCs w:val="28"/>
          <w:lang w:val="es-ES_tradnl" w:eastAsia="es-ES"/>
        </w:rPr>
        <w:lastRenderedPageBreak/>
        <w:t xml:space="preserve">y Evergisto Díaz Pérez, </w:t>
      </w:r>
      <w:r w:rsidRPr="00CF2780">
        <w:rPr>
          <w:rFonts w:ascii="Arial" w:eastAsia="Times New Roman" w:hAnsi="Arial" w:cs="Arial"/>
          <w:sz w:val="28"/>
          <w:szCs w:val="29"/>
          <w:lang w:eastAsia="es-ES"/>
        </w:rPr>
        <w:t xml:space="preserve"> en contra del Decreto número 32 de treinta y uno de diciembre de dos mil uno, emitido por la LVIII Legislatura del Estado de Oaxaca, erigida en Colegio Electoral, mediante el cual revocó el acuerdo del Consejo General del Instituto Estatal Electoral de dicha entidad, que declaró la validez de la elección municipal en Santiago Yaveo, realizada bajo las normas de derecho consuetudinario, se advierte, como ya se mencionó, que los incoantes consideran que con dichos actos se vulnera, entre otros dispositivos constitucionales, el artículo 35, fracción II, de la Constitución Política de los Estados Unidos Mexicanos, respecto de la prerrogativa de los ciudadanos mexicanos de ser votados para los cargos de elección popular, ya que, según se dice, se contraviene la voluntad del pueblo de elegir de manera libre y democrática a sus autoridades, por la serie de razones detalladas en el escrito de demanda transcrito en párrafos anteriores.</w:t>
      </w:r>
    </w:p>
    <w:p w14:paraId="22192F23" w14:textId="77777777" w:rsidR="00676010" w:rsidRPr="00CF2780" w:rsidRDefault="00676010" w:rsidP="00676010">
      <w:pPr>
        <w:autoSpaceDE w:val="0"/>
        <w:autoSpaceDN w:val="0"/>
        <w:adjustRightInd w:val="0"/>
        <w:spacing w:after="0" w:line="360" w:lineRule="auto"/>
        <w:jc w:val="both"/>
        <w:rPr>
          <w:rFonts w:ascii="Arial" w:eastAsia="Times New Roman" w:hAnsi="Arial" w:cs="Arial"/>
          <w:b/>
          <w:bCs/>
          <w:sz w:val="28"/>
          <w:szCs w:val="24"/>
          <w:lang w:eastAsia="es-ES"/>
        </w:rPr>
      </w:pPr>
    </w:p>
    <w:p w14:paraId="3B32263C"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r w:rsidRPr="00CF2780">
        <w:rPr>
          <w:rFonts w:ascii="Arial" w:eastAsia="Times New Roman" w:hAnsi="Arial" w:cs="Arial"/>
          <w:sz w:val="28"/>
          <w:szCs w:val="29"/>
          <w:lang w:eastAsia="es-ES"/>
        </w:rPr>
        <w:t>En este sentido, es indudable que los actores hacen valer presuntas violaciones a sus derechos político-electorales de ser votados en las elecciones que, mediante el sistema de derecho consuetudinario, tienen reconocidos.</w:t>
      </w:r>
    </w:p>
    <w:p w14:paraId="0DF1A171"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p>
    <w:p w14:paraId="09CB3722"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r w:rsidRPr="00CF2780">
        <w:rPr>
          <w:rFonts w:ascii="Arial" w:eastAsia="Times New Roman" w:hAnsi="Arial" w:cs="Arial"/>
          <w:sz w:val="28"/>
          <w:szCs w:val="29"/>
          <w:lang w:eastAsia="es-ES"/>
        </w:rPr>
        <w:t>Por lo expuesto, a juicio de este órgano colegiado se encuentra plenamente justificada la procedencia del medio de impugnación en estudio.</w:t>
      </w:r>
    </w:p>
    <w:p w14:paraId="540EC6FA"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p>
    <w:p w14:paraId="55F4446E"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r w:rsidRPr="00CF2780">
        <w:rPr>
          <w:rFonts w:ascii="Arial" w:eastAsia="Times New Roman" w:hAnsi="Arial" w:cs="Arial"/>
          <w:b/>
          <w:bCs/>
          <w:sz w:val="28"/>
          <w:szCs w:val="29"/>
          <w:lang w:eastAsia="es-ES"/>
        </w:rPr>
        <w:t>TERCERO.</w:t>
      </w:r>
      <w:r w:rsidRPr="00CF2780">
        <w:rPr>
          <w:rFonts w:ascii="Arial" w:eastAsia="Times New Roman" w:hAnsi="Arial" w:cs="Arial"/>
          <w:sz w:val="28"/>
          <w:szCs w:val="29"/>
          <w:lang w:eastAsia="es-ES"/>
        </w:rPr>
        <w:t xml:space="preserve"> De la lectura íntegra del escrito de demanda, se aprecia que los actores, en vía de agravio, esencialmente alegan lo siguiente:</w:t>
      </w:r>
    </w:p>
    <w:p w14:paraId="16F2011C"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val="es-ES" w:eastAsia="es-ES"/>
        </w:rPr>
      </w:pPr>
    </w:p>
    <w:p w14:paraId="5D215E25" w14:textId="77777777" w:rsidR="00676010" w:rsidRPr="00CF2780" w:rsidRDefault="00676010" w:rsidP="00676010">
      <w:pPr>
        <w:spacing w:after="0" w:line="360" w:lineRule="auto"/>
        <w:ind w:left="360"/>
        <w:jc w:val="both"/>
        <w:rPr>
          <w:rFonts w:ascii="Arial" w:eastAsia="Times New Roman" w:hAnsi="Arial" w:cs="Arial"/>
          <w:sz w:val="28"/>
          <w:szCs w:val="24"/>
          <w:lang w:eastAsia="es-ES"/>
        </w:rPr>
      </w:pPr>
      <w:r w:rsidRPr="00CF2780">
        <w:rPr>
          <w:rFonts w:ascii="Arial" w:eastAsia="Times New Roman" w:hAnsi="Arial" w:cs="Arial"/>
          <w:b/>
          <w:bCs/>
          <w:sz w:val="28"/>
          <w:szCs w:val="24"/>
          <w:lang w:eastAsia="es-ES"/>
        </w:rPr>
        <w:lastRenderedPageBreak/>
        <w:t xml:space="preserve">1) </w:t>
      </w:r>
      <w:r w:rsidRPr="00CF2780">
        <w:rPr>
          <w:rFonts w:ascii="Arial" w:eastAsia="Times New Roman" w:hAnsi="Arial" w:cs="Arial"/>
          <w:sz w:val="28"/>
          <w:szCs w:val="24"/>
          <w:lang w:eastAsia="es-ES"/>
        </w:rPr>
        <w:t>Que la Quincuagésima Octava Legislatura Constitucional del Estado Libre y Soberano de Oaxaca, sin hacer una debida motivación y fundamentación, se limitó a revocar el Acuerdo del Consejo General del Instituto Estatal Electoral que declaró la validez de la elección a concejales del Municipio de Santiago Yaveo, Choápam, decretando la invalidez de las mismas y revocando las constancias de validez y mayoría. Es decir, consideran los promoventes que el Decreto Número 32 de treinta y uno de diciembre de dos mil uno, violenta, en su perjuicio, los artículos 1, 14, 16, 35 fracción II, 41 fracción IV y 115 de la Constitución Política de los Estados Unidos Mexicanos y otros diversos de la Constitución local, porque el derecho de ser votado para ocupar cargos públicos, que se encuentra contenido en el artículo 35 fracción II, fue flagrantemente conculcado por el Congreso del Estado, pues de la lectura del Decreto en comento, se advierte que solamente contiene tres artículos ordinarios y dos que corresponden a su derecho transitorio, pero no existen ni la fundamentación, ni la motivación exigidas por el artículo 16 constitucional.</w:t>
      </w:r>
    </w:p>
    <w:p w14:paraId="64259C83" w14:textId="77777777" w:rsidR="00676010" w:rsidRPr="00CF2780" w:rsidRDefault="00676010" w:rsidP="00676010">
      <w:pPr>
        <w:spacing w:after="0" w:line="360" w:lineRule="auto"/>
        <w:ind w:left="360"/>
        <w:jc w:val="both"/>
        <w:rPr>
          <w:rFonts w:ascii="Arial" w:eastAsia="Times New Roman" w:hAnsi="Arial" w:cs="Arial"/>
          <w:sz w:val="28"/>
          <w:szCs w:val="24"/>
          <w:lang w:eastAsia="es-ES"/>
        </w:rPr>
      </w:pPr>
    </w:p>
    <w:p w14:paraId="11F23D16" w14:textId="77777777" w:rsidR="00676010" w:rsidRPr="00CF2780" w:rsidRDefault="00676010" w:rsidP="00676010">
      <w:pPr>
        <w:spacing w:after="0" w:line="360" w:lineRule="auto"/>
        <w:ind w:left="360"/>
        <w:jc w:val="both"/>
        <w:rPr>
          <w:rFonts w:ascii="Arial" w:eastAsia="Times New Roman" w:hAnsi="Arial" w:cs="Arial"/>
          <w:sz w:val="28"/>
          <w:szCs w:val="24"/>
          <w:lang w:eastAsia="es-ES"/>
        </w:rPr>
      </w:pPr>
      <w:r w:rsidRPr="00CF2780">
        <w:rPr>
          <w:rFonts w:ascii="Arial" w:eastAsia="Times New Roman" w:hAnsi="Arial" w:cs="Arial"/>
          <w:b/>
          <w:bCs/>
          <w:sz w:val="28"/>
          <w:szCs w:val="24"/>
          <w:lang w:eastAsia="es-ES"/>
        </w:rPr>
        <w:t>2)</w:t>
      </w:r>
      <w:r w:rsidRPr="00CF2780">
        <w:rPr>
          <w:rFonts w:ascii="Arial" w:eastAsia="Times New Roman" w:hAnsi="Arial" w:cs="Arial"/>
          <w:sz w:val="28"/>
          <w:szCs w:val="24"/>
          <w:lang w:eastAsia="es-ES"/>
        </w:rPr>
        <w:t xml:space="preserve"> A juicio de los actores, falta un medio de impugnación específico contra los actos electorales del Congreso, pues según su dicho, el Decreto 32 que por esta vía se impugna no puede quedar fuera de los medios de control constitucional y legal, ya que tanto la Constitución Federal como la local, ordenan la existencia de un sistema de medios de impugnación, con el propósito de que ningún acto de autoridad en materia electoral sea arbitrario y contrario a las normas fundamentales y legales.</w:t>
      </w:r>
    </w:p>
    <w:p w14:paraId="151E3343" w14:textId="77777777" w:rsidR="00676010" w:rsidRPr="00CF2780" w:rsidRDefault="00676010" w:rsidP="00676010">
      <w:pPr>
        <w:spacing w:after="0" w:line="360" w:lineRule="auto"/>
        <w:ind w:left="360"/>
        <w:jc w:val="both"/>
        <w:rPr>
          <w:rFonts w:ascii="Arial" w:eastAsia="Times New Roman" w:hAnsi="Arial" w:cs="Arial"/>
          <w:sz w:val="28"/>
          <w:szCs w:val="24"/>
          <w:lang w:eastAsia="es-ES"/>
        </w:rPr>
      </w:pPr>
    </w:p>
    <w:p w14:paraId="42A142A5" w14:textId="77777777" w:rsidR="00676010" w:rsidRPr="00CF2780" w:rsidRDefault="00676010" w:rsidP="00676010">
      <w:pPr>
        <w:spacing w:after="0" w:line="360" w:lineRule="auto"/>
        <w:ind w:left="360"/>
        <w:jc w:val="both"/>
        <w:rPr>
          <w:rFonts w:ascii="Arial" w:eastAsia="Times New Roman" w:hAnsi="Arial" w:cs="Arial"/>
          <w:sz w:val="28"/>
          <w:szCs w:val="24"/>
          <w:lang w:eastAsia="es-ES"/>
        </w:rPr>
      </w:pPr>
      <w:r w:rsidRPr="00CF2780">
        <w:rPr>
          <w:rFonts w:ascii="Arial" w:eastAsia="Times New Roman" w:hAnsi="Arial" w:cs="Arial"/>
          <w:b/>
          <w:bCs/>
          <w:sz w:val="28"/>
          <w:szCs w:val="24"/>
          <w:lang w:eastAsia="es-ES"/>
        </w:rPr>
        <w:t>3)</w:t>
      </w:r>
      <w:r w:rsidRPr="00CF2780">
        <w:rPr>
          <w:rFonts w:ascii="Arial" w:eastAsia="Times New Roman" w:hAnsi="Arial" w:cs="Arial"/>
          <w:sz w:val="28"/>
          <w:szCs w:val="24"/>
          <w:lang w:eastAsia="es-ES"/>
        </w:rPr>
        <w:t xml:space="preserve"> También estiman los impetrantes que el Congreso del Estado de Oaxaca, dejó de aplicar, con quebranto a las garantías referidas, el artículo 25, penúltimo párrafo, de la Constitución de dicha entidad, donde queda establecido que la ley protegerá las tradiciones y prácticas democráticas de las comunidades indígenas, que se han utilizado para la elección de sus ayuntamientos. Así, señalan los incoantes, si como se desprende del acuerdo del Consejo General del Instituto Estatal Electoral de Oaxaca, se declararon válidas las elecciones, se concluye razonablemente que se cumplieron todos los requisitos constitucionales y legales a que se encuentra sujeta dicha elección.</w:t>
      </w:r>
    </w:p>
    <w:p w14:paraId="3F867B59"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2536E325" w14:textId="77777777" w:rsidR="00676010" w:rsidRPr="00CF2780" w:rsidRDefault="00676010" w:rsidP="00676010">
      <w:pPr>
        <w:spacing w:after="0" w:line="360" w:lineRule="auto"/>
        <w:ind w:left="360"/>
        <w:jc w:val="both"/>
        <w:rPr>
          <w:rFonts w:ascii="Arial" w:eastAsia="Times New Roman" w:hAnsi="Arial" w:cs="Arial"/>
          <w:sz w:val="28"/>
          <w:szCs w:val="24"/>
          <w:lang w:eastAsia="es-ES"/>
        </w:rPr>
      </w:pPr>
      <w:r w:rsidRPr="00CF2780">
        <w:rPr>
          <w:rFonts w:ascii="Arial" w:eastAsia="Times New Roman" w:hAnsi="Arial" w:cs="Arial"/>
          <w:b/>
          <w:bCs/>
          <w:sz w:val="28"/>
          <w:szCs w:val="24"/>
          <w:lang w:eastAsia="es-ES"/>
        </w:rPr>
        <w:t>4)</w:t>
      </w:r>
      <w:r w:rsidRPr="00CF2780">
        <w:rPr>
          <w:rFonts w:ascii="Arial" w:eastAsia="Times New Roman" w:hAnsi="Arial" w:cs="Arial"/>
          <w:sz w:val="28"/>
          <w:szCs w:val="24"/>
          <w:lang w:eastAsia="es-ES"/>
        </w:rPr>
        <w:t xml:space="preserve"> Los actores consideran que se viola, en su perjuicio, el artículo 115 de la Constitución Federal, pues los deslegitima como concejales constitucional y legalmente electos.</w:t>
      </w:r>
    </w:p>
    <w:p w14:paraId="45B4C5CD"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43152EA0" w14:textId="77777777" w:rsidR="00676010" w:rsidRPr="00CF2780" w:rsidRDefault="00676010" w:rsidP="00676010">
      <w:pPr>
        <w:spacing w:after="0" w:line="360" w:lineRule="auto"/>
        <w:ind w:left="360"/>
        <w:jc w:val="both"/>
        <w:rPr>
          <w:rFonts w:ascii="Arial" w:eastAsia="Times New Roman" w:hAnsi="Arial" w:cs="Arial"/>
          <w:sz w:val="28"/>
          <w:szCs w:val="24"/>
          <w:lang w:eastAsia="es-ES"/>
        </w:rPr>
      </w:pPr>
      <w:r w:rsidRPr="00CF2780">
        <w:rPr>
          <w:rFonts w:ascii="Arial" w:eastAsia="Times New Roman" w:hAnsi="Arial" w:cs="Arial"/>
          <w:b/>
          <w:bCs/>
          <w:sz w:val="28"/>
          <w:szCs w:val="24"/>
          <w:lang w:eastAsia="es-ES"/>
        </w:rPr>
        <w:t>5)</w:t>
      </w:r>
      <w:r w:rsidRPr="00CF2780">
        <w:rPr>
          <w:rFonts w:ascii="Arial" w:eastAsia="Times New Roman" w:hAnsi="Arial" w:cs="Arial"/>
          <w:sz w:val="28"/>
          <w:szCs w:val="24"/>
          <w:lang w:eastAsia="es-ES"/>
        </w:rPr>
        <w:t xml:space="preserve"> De igual manera, consideran que el Congreso del Estado de Oaxaca, violenta los artículos 1, 14 y 16 de la Constitución Política de los Estados Unidos Mexicanos por la inaplicación de los artículos 239 y 242 del Código de Instituciones Políticas y Procedimientos Electorales de Oaxaca, pues de una interpretación sistemática y funcional de los artículos 239 y 125 del Código de Instituciones Políticas y Procedimientos Electorales de Oaxaca, se concluye que la legislatura local, tratándose de elecciones que se regulan a través del derecho consuetudinario para la renovación de concejales municipales, no tiene la facultad o atribución de declarar la invalidez </w:t>
      </w:r>
      <w:r w:rsidRPr="00CF2780">
        <w:rPr>
          <w:rFonts w:ascii="Arial" w:eastAsia="Times New Roman" w:hAnsi="Arial" w:cs="Arial"/>
          <w:sz w:val="28"/>
          <w:szCs w:val="24"/>
          <w:lang w:eastAsia="es-ES"/>
        </w:rPr>
        <w:lastRenderedPageBreak/>
        <w:t>de las mismas cuando el Consejo General del Instituto Estatal Electoral de Oaxaca ya se ha pronunciado al respecto, pues solamente puede hacerlo cuando se trata de causas de inelegibilidad que sean supervenientes; y como en el caso concreto, no surgieron ni han surgido causas supervenientes de inelegibilidad, el decreto en cuestión resulta marcadamente violatorio de la Constitución y la ley.</w:t>
      </w:r>
    </w:p>
    <w:p w14:paraId="1EAA9235" w14:textId="77777777" w:rsidR="00676010" w:rsidRPr="00CF2780" w:rsidRDefault="00676010" w:rsidP="00676010">
      <w:pPr>
        <w:spacing w:after="0" w:line="360" w:lineRule="auto"/>
        <w:ind w:left="360"/>
        <w:jc w:val="both"/>
        <w:rPr>
          <w:rFonts w:ascii="Arial" w:eastAsia="Times New Roman" w:hAnsi="Arial" w:cs="Arial"/>
          <w:sz w:val="28"/>
          <w:szCs w:val="24"/>
          <w:lang w:eastAsia="es-ES"/>
        </w:rPr>
      </w:pPr>
    </w:p>
    <w:p w14:paraId="10B7CC2E" w14:textId="77777777" w:rsidR="00676010" w:rsidRPr="00CF2780" w:rsidRDefault="00676010" w:rsidP="00676010">
      <w:pPr>
        <w:spacing w:after="0" w:line="360" w:lineRule="auto"/>
        <w:ind w:left="360"/>
        <w:jc w:val="both"/>
        <w:rPr>
          <w:rFonts w:ascii="Arial" w:eastAsia="Times New Roman" w:hAnsi="Arial" w:cs="Arial"/>
          <w:sz w:val="28"/>
          <w:szCs w:val="24"/>
          <w:lang w:eastAsia="es-ES"/>
        </w:rPr>
      </w:pPr>
      <w:r w:rsidRPr="00CF2780">
        <w:rPr>
          <w:rFonts w:ascii="Arial" w:eastAsia="Times New Roman" w:hAnsi="Arial" w:cs="Arial"/>
          <w:b/>
          <w:bCs/>
          <w:sz w:val="28"/>
          <w:szCs w:val="24"/>
          <w:lang w:eastAsia="es-ES"/>
        </w:rPr>
        <w:t>6)</w:t>
      </w:r>
      <w:r w:rsidRPr="00CF2780">
        <w:rPr>
          <w:rFonts w:ascii="Arial" w:eastAsia="Times New Roman" w:hAnsi="Arial" w:cs="Arial"/>
          <w:sz w:val="28"/>
          <w:szCs w:val="24"/>
          <w:lang w:eastAsia="es-ES"/>
        </w:rPr>
        <w:t xml:space="preserve"> Precisan los actores, que al consentir el Congreso del Estado, que el Decreto 32 se publicara en el Periódico Oficial, en una edición extra, hasta el día nueve del mes y año en curso, pero conteniendo la fecha de treinta y uno de diciembre último, conculcó los derechos de los promoventes, haciendo nugatorios los medios de impugnación en contra de la determinación de la Legislatura del Estado que revocó el Acuerdo del Consejo General del Instituto Estatal Electoral que declaró la validez de las elecciones municipales, celebradas el dos de diciembre pasado, en el Municipio de Santiago Yaveo, Choápam.</w:t>
      </w:r>
    </w:p>
    <w:p w14:paraId="7620BAC7"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p>
    <w:p w14:paraId="60AA5BBA"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r w:rsidRPr="00CF2780">
        <w:rPr>
          <w:rFonts w:ascii="Arial" w:eastAsia="Times New Roman" w:hAnsi="Arial" w:cs="Arial"/>
          <w:sz w:val="28"/>
          <w:szCs w:val="29"/>
          <w:lang w:eastAsia="es-ES"/>
        </w:rPr>
        <w:t xml:space="preserve">Por razón de método, se estudia en primer término el agravio identificado con el número </w:t>
      </w:r>
      <w:r w:rsidRPr="00CF2780">
        <w:rPr>
          <w:rFonts w:ascii="Arial" w:eastAsia="Times New Roman" w:hAnsi="Arial" w:cs="Arial"/>
          <w:b/>
          <w:bCs/>
          <w:sz w:val="28"/>
          <w:szCs w:val="29"/>
          <w:lang w:eastAsia="es-ES"/>
        </w:rPr>
        <w:t>5)</w:t>
      </w:r>
      <w:r w:rsidRPr="00CF2780">
        <w:rPr>
          <w:rFonts w:ascii="Arial" w:eastAsia="Times New Roman" w:hAnsi="Arial" w:cs="Arial"/>
          <w:sz w:val="28"/>
          <w:szCs w:val="29"/>
          <w:lang w:eastAsia="es-ES"/>
        </w:rPr>
        <w:t>, porque de asistirle la razón a los ciudadanos promoventes, esto sería suficiente para modificar el acto impugnado, al quedar evidenciado que el Congreso no tiene facultades para revocar las declaraciones de validez efectuadas por el Consejo General del Instituto Estatal Electoral de Oaxaca, fuera de los casos en los que se alegue una inelegibilidad superviniente.</w:t>
      </w:r>
    </w:p>
    <w:p w14:paraId="028DDD18"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p>
    <w:p w14:paraId="17679220"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r w:rsidRPr="00CF2780">
        <w:rPr>
          <w:rFonts w:ascii="Arial" w:eastAsia="Times New Roman" w:hAnsi="Arial" w:cs="Arial"/>
          <w:sz w:val="28"/>
          <w:szCs w:val="29"/>
          <w:lang w:eastAsia="es-ES"/>
        </w:rPr>
        <w:t xml:space="preserve">Básicamente, la argumentación de los promoventes radica en que, si el artículo 125 del código electoral local confiere al Consejo General del </w:t>
      </w:r>
      <w:r w:rsidRPr="00CF2780">
        <w:rPr>
          <w:rFonts w:ascii="Arial" w:eastAsia="Times New Roman" w:hAnsi="Arial" w:cs="Arial"/>
          <w:sz w:val="28"/>
          <w:szCs w:val="29"/>
          <w:lang w:eastAsia="es-ES"/>
        </w:rPr>
        <w:lastRenderedPageBreak/>
        <w:t>Instituto Estatal Electoral la facultad de conocer en su oportunidad las controversias que surjan respecto de la renovación de ayuntamientos bajo normas de derecho consuetudinario, debiendo resolverlas conforme ciertos criterios que el propio dispositivo establece, entonces, por extensión, cuando así haya acontecido, como alegan en la especie, se torna aplicable lo dispuesto por el artículo 239 del mismo cuerpo legal, según el cual, la legislatura estatal, erigida en Colegio Electoral, debe sujetarse a lo resuelto por el órgano electoral, salvo que existieran causas supervenientes de inelegibilidad, lo cual no acontece.</w:t>
      </w:r>
    </w:p>
    <w:p w14:paraId="7B5D9623"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p>
    <w:p w14:paraId="5055BC9E"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r w:rsidRPr="00CF2780">
        <w:rPr>
          <w:rFonts w:ascii="Arial" w:eastAsia="Times New Roman" w:hAnsi="Arial" w:cs="Arial"/>
          <w:sz w:val="28"/>
          <w:szCs w:val="29"/>
          <w:lang w:eastAsia="es-ES"/>
        </w:rPr>
        <w:t xml:space="preserve">Para arribar a semejante conclusión, con base en una interpretación sistemática y funcional, como lo proponen los impetrantes, tendría que demostrarse que, atendiendo a la coherencia de las distintas normas que integran el sistema electoral, </w:t>
      </w:r>
      <w:r w:rsidRPr="00CF2780">
        <w:rPr>
          <w:rFonts w:ascii="Arial" w:eastAsia="Times New Roman" w:hAnsi="Arial" w:cs="Arial"/>
          <w:i/>
          <w:iCs/>
          <w:sz w:val="28"/>
          <w:szCs w:val="29"/>
          <w:lang w:eastAsia="es-ES"/>
        </w:rPr>
        <w:t>lato sensu</w:t>
      </w:r>
      <w:r w:rsidRPr="00CF2780">
        <w:rPr>
          <w:rFonts w:ascii="Arial" w:eastAsia="Times New Roman" w:hAnsi="Arial" w:cs="Arial"/>
          <w:sz w:val="28"/>
          <w:szCs w:val="29"/>
          <w:lang w:eastAsia="es-ES"/>
        </w:rPr>
        <w:t>, del Estado de Oaxaca, las resoluciones que dicta el Consejo General del Instituto Estatal Electoral, en términos del aludido artículo 125, se hallan colocadas en el mismo sistema electoral y, además, guardan las mismas características y finalidades que las resoluciones emitidas por el Tribunal Estatal Electoral con motivo de la impugnación de una elección, que son las expresamente contempladas en el artículo 239, segundo párrafo, del código local.</w:t>
      </w:r>
    </w:p>
    <w:p w14:paraId="0431D5A4"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p>
    <w:p w14:paraId="06DD98B3"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r w:rsidRPr="00CF2780">
        <w:rPr>
          <w:rFonts w:ascii="Arial" w:eastAsia="Times New Roman" w:hAnsi="Arial" w:cs="Arial"/>
          <w:sz w:val="28"/>
          <w:szCs w:val="29"/>
          <w:lang w:eastAsia="es-ES"/>
        </w:rPr>
        <w:t xml:space="preserve">Así planteada la cuestión, cabe decir que no le asiste la razón a los actores, ya que las aludidas resoluciones del Consejo General del Instituto Estatal Electoral pertenecen, en realidad, a un subsistema distinto del sistema electoral oaxaqueño que las dictadas por el tribunal electoral, dado que se encuentran en conjuntos de disposiciones que </w:t>
      </w:r>
      <w:r w:rsidRPr="00CF2780">
        <w:rPr>
          <w:rFonts w:ascii="Arial" w:eastAsia="Times New Roman" w:hAnsi="Arial" w:cs="Arial"/>
          <w:sz w:val="28"/>
          <w:szCs w:val="29"/>
          <w:lang w:eastAsia="es-ES"/>
        </w:rPr>
        <w:lastRenderedPageBreak/>
        <w:t>disciplinan dos materias, si bien afines, distintas. Del mismo modo, las resoluciones que dicta el organismo jurisdiccional se encuentran investidas de calidades bien distintas de las que emite la autoridad administrativa con fundamento en el precepto señalado.</w:t>
      </w:r>
    </w:p>
    <w:p w14:paraId="7E37AD44"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p>
    <w:p w14:paraId="38FF0A48"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r w:rsidRPr="00CF2780">
        <w:rPr>
          <w:rFonts w:ascii="Arial" w:eastAsia="Times New Roman" w:hAnsi="Arial" w:cs="Arial"/>
          <w:sz w:val="28"/>
          <w:szCs w:val="29"/>
          <w:lang w:eastAsia="es-ES"/>
        </w:rPr>
        <w:t>Los artículos 125 y</w:t>
      </w:r>
      <w:r w:rsidRPr="00CF2780">
        <w:rPr>
          <w:rFonts w:ascii="Arial" w:eastAsia="Times New Roman" w:hAnsi="Arial" w:cs="Arial"/>
          <w:sz w:val="28"/>
          <w:szCs w:val="24"/>
          <w:lang w:eastAsia="es-ES"/>
        </w:rPr>
        <w:t xml:space="preserve"> 239 del Código de Instituciones Políticas y Procedimientos Electorales de Oaxaca establecen textualmente lo siguiente:</w:t>
      </w:r>
    </w:p>
    <w:p w14:paraId="2B3A3A4F"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p>
    <w:p w14:paraId="73DBAD7B" w14:textId="77777777" w:rsidR="00676010" w:rsidRPr="00CF2780" w:rsidRDefault="00676010" w:rsidP="00676010">
      <w:pPr>
        <w:autoSpaceDE w:val="0"/>
        <w:autoSpaceDN w:val="0"/>
        <w:adjustRightInd w:val="0"/>
        <w:spacing w:after="0" w:line="240" w:lineRule="auto"/>
        <w:ind w:left="540" w:right="789"/>
        <w:jc w:val="both"/>
        <w:rPr>
          <w:rFonts w:ascii="Arial" w:eastAsia="Times New Roman" w:hAnsi="Arial" w:cs="Arial"/>
          <w:b/>
          <w:bCs/>
          <w:sz w:val="24"/>
          <w:szCs w:val="24"/>
          <w:lang w:eastAsia="es-ES"/>
        </w:rPr>
      </w:pPr>
      <w:r w:rsidRPr="00CF2780">
        <w:rPr>
          <w:rFonts w:ascii="Arial" w:eastAsia="Times New Roman" w:hAnsi="Arial" w:cs="Arial"/>
          <w:b/>
          <w:bCs/>
          <w:sz w:val="24"/>
          <w:szCs w:val="24"/>
          <w:lang w:eastAsia="es-ES"/>
        </w:rPr>
        <w:t>Artículo 125</w:t>
      </w:r>
    </w:p>
    <w:p w14:paraId="4D9B3E25" w14:textId="77777777" w:rsidR="00676010" w:rsidRPr="00CF2780" w:rsidRDefault="00676010" w:rsidP="00676010">
      <w:pPr>
        <w:autoSpaceDE w:val="0"/>
        <w:autoSpaceDN w:val="0"/>
        <w:adjustRightInd w:val="0"/>
        <w:spacing w:after="0" w:line="240" w:lineRule="auto"/>
        <w:ind w:left="540" w:right="789"/>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El Consejo General del Instituto conocerá en su oportunidad los casos de controversias que surjan respecto de la renovación de ayuntamientos bajo las normas de derecho consuetudinario. Previamente a cualquier resolución se buscará la conciliación entre las partes y, en todo caso, se estará a lo dispuesto por el artículo 110 de este código; o el Catálogo General de Municipios de Usos y Costumbres aprobado por el Consejo General; o a una consulta con la comunidad.</w:t>
      </w:r>
    </w:p>
    <w:p w14:paraId="57ABF206" w14:textId="77777777" w:rsidR="00676010" w:rsidRPr="00CF2780" w:rsidRDefault="00676010" w:rsidP="00676010">
      <w:pPr>
        <w:autoSpaceDE w:val="0"/>
        <w:autoSpaceDN w:val="0"/>
        <w:adjustRightInd w:val="0"/>
        <w:spacing w:after="0" w:line="240" w:lineRule="auto"/>
        <w:ind w:left="540" w:right="789"/>
        <w:jc w:val="both"/>
        <w:rPr>
          <w:rFonts w:ascii="Arial" w:eastAsia="Times New Roman" w:hAnsi="Arial" w:cs="Arial"/>
          <w:sz w:val="24"/>
          <w:szCs w:val="24"/>
          <w:lang w:eastAsia="es-ES"/>
        </w:rPr>
      </w:pPr>
    </w:p>
    <w:p w14:paraId="7A70AF2F" w14:textId="77777777" w:rsidR="00676010" w:rsidRPr="00CF2780" w:rsidRDefault="00676010" w:rsidP="00676010">
      <w:pPr>
        <w:autoSpaceDE w:val="0"/>
        <w:autoSpaceDN w:val="0"/>
        <w:adjustRightInd w:val="0"/>
        <w:spacing w:after="0" w:line="240" w:lineRule="auto"/>
        <w:ind w:left="539" w:right="788"/>
        <w:jc w:val="both"/>
        <w:rPr>
          <w:rFonts w:ascii="Arial" w:eastAsia="Times New Roman" w:hAnsi="Arial" w:cs="Arial"/>
          <w:sz w:val="24"/>
          <w:szCs w:val="24"/>
          <w:lang w:eastAsia="es-ES"/>
        </w:rPr>
      </w:pPr>
    </w:p>
    <w:p w14:paraId="4FFDAA90" w14:textId="77777777" w:rsidR="00676010" w:rsidRPr="00CF2780" w:rsidRDefault="00676010" w:rsidP="00676010">
      <w:pPr>
        <w:autoSpaceDE w:val="0"/>
        <w:autoSpaceDN w:val="0"/>
        <w:adjustRightInd w:val="0"/>
        <w:spacing w:after="0" w:line="240" w:lineRule="auto"/>
        <w:ind w:left="539" w:right="788"/>
        <w:jc w:val="both"/>
        <w:rPr>
          <w:rFonts w:ascii="Arial" w:eastAsia="Times New Roman" w:hAnsi="Arial" w:cs="Arial"/>
          <w:b/>
          <w:bCs/>
          <w:sz w:val="24"/>
          <w:szCs w:val="24"/>
          <w:lang w:eastAsia="es-ES"/>
        </w:rPr>
      </w:pPr>
      <w:r w:rsidRPr="00CF2780">
        <w:rPr>
          <w:rFonts w:ascii="Arial" w:eastAsia="Times New Roman" w:hAnsi="Arial" w:cs="Arial"/>
          <w:b/>
          <w:bCs/>
          <w:sz w:val="24"/>
          <w:szCs w:val="24"/>
          <w:lang w:eastAsia="es-ES"/>
        </w:rPr>
        <w:t>Artículo 239</w:t>
      </w:r>
    </w:p>
    <w:p w14:paraId="51854654" w14:textId="77777777" w:rsidR="00676010" w:rsidRPr="00CF2780" w:rsidRDefault="00676010" w:rsidP="00676010">
      <w:pPr>
        <w:autoSpaceDE w:val="0"/>
        <w:autoSpaceDN w:val="0"/>
        <w:adjustRightInd w:val="0"/>
        <w:spacing w:after="0" w:line="240" w:lineRule="auto"/>
        <w:ind w:left="539" w:right="788"/>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La Legislatura, erigida en Colegio Electoral, decidirá respecto a las elecciones de los Ayuntamientos que no hayan sido impugnadas a través de los recursos que este Código establece, examinando la elegibilidad de los candidatos y validez de las mismas.</w:t>
      </w:r>
    </w:p>
    <w:p w14:paraId="00E7F390" w14:textId="77777777" w:rsidR="00676010" w:rsidRPr="00CF2780" w:rsidRDefault="00676010" w:rsidP="00676010">
      <w:pPr>
        <w:autoSpaceDE w:val="0"/>
        <w:autoSpaceDN w:val="0"/>
        <w:adjustRightInd w:val="0"/>
        <w:spacing w:after="0" w:line="240" w:lineRule="auto"/>
        <w:ind w:left="539" w:right="788"/>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Cuando la elección hubiera sido impugnada, la Legislatura se estará a la resolución del Tribunal Estatal Electoral, salvo que existieren causas supervinientes de inelegibilidad, en cuyo caso tendrá las facultades que le concede el párrafo que antecede.</w:t>
      </w:r>
    </w:p>
    <w:p w14:paraId="5D779621" w14:textId="77777777" w:rsidR="00676010" w:rsidRPr="00CF2780" w:rsidRDefault="00676010" w:rsidP="00676010">
      <w:pPr>
        <w:spacing w:after="0" w:line="240" w:lineRule="auto"/>
        <w:ind w:left="540" w:right="789"/>
        <w:jc w:val="both"/>
        <w:rPr>
          <w:rFonts w:ascii="Arial" w:eastAsia="Times New Roman" w:hAnsi="Arial" w:cs="Arial"/>
          <w:sz w:val="24"/>
          <w:szCs w:val="29"/>
          <w:lang w:eastAsia="es-ES"/>
        </w:rPr>
      </w:pPr>
    </w:p>
    <w:p w14:paraId="4FC76062" w14:textId="77777777" w:rsidR="00676010" w:rsidRPr="00CF2780" w:rsidRDefault="00676010" w:rsidP="00676010">
      <w:pPr>
        <w:spacing w:after="0" w:line="240" w:lineRule="auto"/>
        <w:jc w:val="both"/>
        <w:rPr>
          <w:rFonts w:ascii="Arial" w:eastAsia="Times New Roman" w:hAnsi="Arial" w:cs="Arial"/>
          <w:sz w:val="24"/>
          <w:szCs w:val="29"/>
          <w:lang w:eastAsia="es-ES"/>
        </w:rPr>
      </w:pPr>
    </w:p>
    <w:p w14:paraId="2EC9603A" w14:textId="77777777" w:rsidR="00676010" w:rsidRPr="00CF2780" w:rsidRDefault="00676010" w:rsidP="00676010">
      <w:pPr>
        <w:spacing w:after="0" w:line="360" w:lineRule="auto"/>
        <w:jc w:val="both"/>
        <w:rPr>
          <w:rFonts w:ascii="Arial" w:eastAsia="Times New Roman" w:hAnsi="Arial" w:cs="Arial"/>
          <w:sz w:val="28"/>
          <w:szCs w:val="29"/>
          <w:lang w:eastAsia="es-ES"/>
        </w:rPr>
      </w:pPr>
      <w:r w:rsidRPr="00CF2780">
        <w:rPr>
          <w:rFonts w:ascii="Arial" w:eastAsia="Times New Roman" w:hAnsi="Arial" w:cs="Arial"/>
          <w:sz w:val="28"/>
          <w:szCs w:val="29"/>
          <w:lang w:eastAsia="es-ES"/>
        </w:rPr>
        <w:t xml:space="preserve">A partir de lo anterior, debe reconocerse que, ciertamente, ambas disposiciones se encuentran insertas en una codificación destinada a reglamentar las normas constitucionales locales relativas a los derechos y obligaciones político electorales de los ciudadanos oaxaqueños; la organización, función, derechos y obligaciones de los partidos políticos; </w:t>
      </w:r>
      <w:r w:rsidRPr="00CF2780">
        <w:rPr>
          <w:rFonts w:ascii="Arial" w:eastAsia="Times New Roman" w:hAnsi="Arial" w:cs="Arial"/>
          <w:sz w:val="28"/>
          <w:szCs w:val="29"/>
          <w:lang w:eastAsia="es-ES"/>
        </w:rPr>
        <w:lastRenderedPageBreak/>
        <w:t>la función estatal de organizar y vigilar las elecciones populares de la entidad; la integración y funcionamiento del Tribunal Electoral Estatal y el sistema de medios de impugnación, conforme reza el primero de los artículos de dicho ordenamiento, esto es, los preceptos transcritos forman parte del sistema electoral oaxaqueño, entendido en su acepción amplia, como la totalidad de los valores, principios y reglas que inspiran y regulan la renovación de las autoridades públicas representativas.</w:t>
      </w:r>
    </w:p>
    <w:p w14:paraId="7E7D55A0" w14:textId="77777777" w:rsidR="00676010" w:rsidRPr="00CF2780" w:rsidRDefault="00676010" w:rsidP="00676010">
      <w:pPr>
        <w:spacing w:after="0" w:line="360" w:lineRule="auto"/>
        <w:jc w:val="both"/>
        <w:rPr>
          <w:rFonts w:ascii="Arial" w:eastAsia="Times New Roman" w:hAnsi="Arial" w:cs="Arial"/>
          <w:sz w:val="28"/>
          <w:szCs w:val="29"/>
          <w:lang w:eastAsia="es-ES"/>
        </w:rPr>
      </w:pPr>
    </w:p>
    <w:p w14:paraId="294AE30C" w14:textId="77777777" w:rsidR="00676010" w:rsidRPr="00CF2780" w:rsidRDefault="00676010" w:rsidP="00676010">
      <w:pPr>
        <w:spacing w:after="0" w:line="360" w:lineRule="auto"/>
        <w:jc w:val="both"/>
        <w:rPr>
          <w:rFonts w:ascii="Arial" w:eastAsia="Times New Roman" w:hAnsi="Arial" w:cs="Arial"/>
          <w:sz w:val="28"/>
          <w:szCs w:val="29"/>
          <w:lang w:eastAsia="es-ES"/>
        </w:rPr>
      </w:pPr>
      <w:r w:rsidRPr="00CF2780">
        <w:rPr>
          <w:rFonts w:ascii="Arial" w:eastAsia="Times New Roman" w:hAnsi="Arial" w:cs="Arial"/>
          <w:sz w:val="28"/>
          <w:szCs w:val="29"/>
          <w:lang w:eastAsia="es-ES"/>
        </w:rPr>
        <w:t>No obstante, ambas disposiciones se encuentran incorporadas a dos subsistemas distintos de ese conjunto de normas.</w:t>
      </w:r>
    </w:p>
    <w:p w14:paraId="38F50A04" w14:textId="77777777" w:rsidR="00676010" w:rsidRPr="00CF2780" w:rsidRDefault="00676010" w:rsidP="00676010">
      <w:pPr>
        <w:spacing w:after="0" w:line="360" w:lineRule="auto"/>
        <w:jc w:val="both"/>
        <w:rPr>
          <w:rFonts w:ascii="Arial" w:eastAsia="Times New Roman" w:hAnsi="Arial" w:cs="Arial"/>
          <w:sz w:val="28"/>
          <w:szCs w:val="29"/>
          <w:lang w:eastAsia="es-ES"/>
        </w:rPr>
      </w:pPr>
    </w:p>
    <w:p w14:paraId="2B8E204F"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9"/>
          <w:lang w:eastAsia="es-ES"/>
        </w:rPr>
        <w:t xml:space="preserve">En efecto, el artículo 125 está inserto en las disposiciones complementarias (Capítulo Quinto) del </w:t>
      </w:r>
      <w:r w:rsidRPr="00CF2780">
        <w:rPr>
          <w:rFonts w:ascii="Arial" w:eastAsia="Times New Roman" w:hAnsi="Arial" w:cs="Arial"/>
          <w:sz w:val="28"/>
          <w:szCs w:val="24"/>
          <w:lang w:eastAsia="es-ES"/>
        </w:rPr>
        <w:t>Libro Cuarto del código, el cual comprende del artículo 109 al 133, destinado a regular la renovación de los ayuntamientos en los municipios que se rigen por normas de derecho consuetudinario, conforme lo contemplado en los artículos 25, penúltimo párrafo, y 29, segundo párrafo, de la Constitución Política del Estado Libre y Soberano de Oaxaca; es decir, se trata de una elección por el sistema de usos y costumbres, cuyas características son, entre otras, la no participación de los partidos políticos, la elección de los concejales a través de una asamblea general comunitaria y a través de reglas internas o procedimientos específicos, de acuerdo con sus instituciones políticas propias, diferenciadas e inveteradas.</w:t>
      </w:r>
    </w:p>
    <w:p w14:paraId="067A3CE9"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1A7F71B1"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 xml:space="preserve">Este tipo de comicios es distinto del contemplado también en el cuerpo legal de que se viene hablando, igualmente basado en  diversas </w:t>
      </w:r>
      <w:r w:rsidRPr="00CF2780">
        <w:rPr>
          <w:rFonts w:ascii="Arial" w:eastAsia="Times New Roman" w:hAnsi="Arial" w:cs="Arial"/>
          <w:sz w:val="28"/>
          <w:szCs w:val="24"/>
          <w:lang w:eastAsia="es-ES"/>
        </w:rPr>
        <w:lastRenderedPageBreak/>
        <w:t>disposiciones constitucionales locales, desarrollado en el Libro Quinto, relativo al “Proceso Electoral”, el cual, se encuentra dividido en las fases preparatoria, de jornada electoral, de resultados y declaraciones de validez de las elecciones y de calificación de las elecciones de gobernador y ayuntamientos (artículos 134 y 135).</w:t>
      </w:r>
    </w:p>
    <w:p w14:paraId="26394BE0"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7F20892B"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Fases que se encuentran detalladas a través de todo el articulado contenido en el libro de mérito, entre cuyas particularidades conviene destacar el registro de candidatos a través de partidos políticos (artículo 136), el establecimiento de campañas electorales para la difusión de los contendientes con vistas a la obtención del voto ciudadano (artículo 146), la existencia de procedimientos para la determinación del número, ubicación e integración de las mesas directivas de casilla (artículos 153 a 161), las reglas que deben seguirse durante la jornada electoral para la recepción de la votación por parte de éstas (artículos 181 a 196), los procedimientos para el escrutinio y cómputo de la votación y su consignación en las actas oficiales previamente autorizadas (artículos 197 a 205), la realización por los consejos municipales de los cómputos respectivos para la elección de ayuntamiento con base en tales actas y el otorgamiento de la constancia de mayoría a la planilla que hubiere obtenido el mayor número de votos (artículos 226 y 227).</w:t>
      </w:r>
    </w:p>
    <w:p w14:paraId="1E3B2AB0"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5EE16359"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 xml:space="preserve">Tomando esto en cuenta, es innegable que la previsión a que alude el artículo 239 se halla referida al segundo de los subsistemas mencionados, pues no sólo se encuentra inserta en el libro respectivo, como una de las reglas a que está sujeta la calificación de las elecciones (la última etapa del proceso comicial), sino que su adminiculación con </w:t>
      </w:r>
      <w:r w:rsidRPr="00CF2780">
        <w:rPr>
          <w:rFonts w:ascii="Arial" w:eastAsia="Times New Roman" w:hAnsi="Arial" w:cs="Arial"/>
          <w:sz w:val="28"/>
          <w:szCs w:val="24"/>
          <w:lang w:eastAsia="es-ES"/>
        </w:rPr>
        <w:lastRenderedPageBreak/>
        <w:t>otros dispositivos, en especial los relativos al sistema de medios de impugnación, permite corroborar este aserto, puesto que, en términos de los artículos 262, inciso c), 263, 268, párrafo 1, inciso a), y 299 del propio código, el recurso de inconformidad, competencia del tribunal electoral local, procede para objetar, entre otros, los cómputos municipales por nulidad de las votaciones recibidas en una o varias casillas o para solicitar la nulidad de la elección de ayuntamiento; se encuentran legitimados para inteponerlo únicamente los partidos políticos a través de sus representantes legítimos; el plazo para su presentación es dentro de los tres días posteriores al siguiente a aquél en que concluya el cómputo municipal; y tiene como efecto, entre otros, confirmar o modificar los resultados consignados en ese tipo de cómputos.</w:t>
      </w:r>
    </w:p>
    <w:p w14:paraId="07AD3D21"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1C0ECEC4"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Por ello, cuando el primer párrafo del artículo 239 en cuestión, alude a que la Legislatura, erigida en Colegio Electoral, debe decidir respecto las elecciones de ayuntamientos que no hubieren sido impugnadas a través de los recursos establecidos en el propio código, se refiere no a cualquier resolución motivada por una controversia, sino únicamente aquellas canalizadas a través del recurso de inconformidad.</w:t>
      </w:r>
    </w:p>
    <w:p w14:paraId="7F1EFC62"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62C52ADE"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Esto cobra también sentido en el segundo párrafo, porque establece que cuando la elección hubiere sido impugnada, la Legislatura debe estarse a la resolución dictada por el tribunal, salvo causas de inelegibilidad que no hubiesen sido conocidas y controvertidas jurisdiccionalmente en los plazos electorales previos.</w:t>
      </w:r>
    </w:p>
    <w:p w14:paraId="410A7CD0"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4A62FC32"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lastRenderedPageBreak/>
        <w:t>Y es que la razón de ser de lo dispuesto en el artículo 239 obedece a la función que la Constitución local confiere al Tribunal Electoral Estatal y sus resoluciones, en tanto aquél se configura como “máxima autoridad jurisdiccional en materia electoral del Estado de Oaxaca” y éstas tienen el carácter de “obligatorias y definitivas” (artículo 25, párrafos sexto y octavo), aspectos que se encuentran reiterados en los artículos 245, párrafo 2 (“Contra las resoluciones que dicte –el tribunal- no procederá recurso alguno”) y 247, inciso a) (“-corresponde al tribunal- Resolver en forma definitiva e inatacable...”) del código aplicable.</w:t>
      </w:r>
    </w:p>
    <w:p w14:paraId="5271F2B0"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787832AF"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Por lo que si el tribunal electoral de esta entidad federativa se ha pronunciado sobre la impugnación de una elección municipal que se hubiere sometido a su conocimiento, su resolución, al tener el carácter de obligatoria y definitiva por mandato constitucional, vincula a todos los órganos públicos locales que, por las funciones que tengan atribuidas, deban participar de su conocimiento y hacerla efectiva, sin que ninguno de ellos, incluido por supuesto la Legislatura erigida en Colegio Electoral, se encuentren en aptitud de modificarla o desconocerla.</w:t>
      </w:r>
    </w:p>
    <w:p w14:paraId="363D613B"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6BC7DF6F"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Sin embargo, ello no acontece con las determinaciones que, en su caso, emita el Consejo General del Instituto Estatal Electoral, puesto que no existe precepto alguno que las revista de la definitividad y firmeza que caracteriza a las del tribunal.</w:t>
      </w:r>
    </w:p>
    <w:p w14:paraId="6DD39EB5"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6A7C697B"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 xml:space="preserve">Semejante situación obedece a que mientras el Tribunal Electoral Estatal cumple con una función estrictamente jurisdiccional, de resolución legal de conflictos, es decir, de decidir como última instancia </w:t>
      </w:r>
      <w:r w:rsidRPr="00CF2780">
        <w:rPr>
          <w:rFonts w:ascii="Arial" w:eastAsia="Times New Roman" w:hAnsi="Arial" w:cs="Arial"/>
          <w:sz w:val="28"/>
          <w:szCs w:val="24"/>
          <w:lang w:eastAsia="es-ES"/>
        </w:rPr>
        <w:lastRenderedPageBreak/>
        <w:t>local cuál es el derecho aplicable al caso particular de que se trate; el Consejo General del instituto es el órgano superior de dirección del ente público encargado de desarrollar y organizar las elecciones, atribución que se acerca más a una naturaleza administrativa, como se observa de las actividades que, de forma integral y directa, le confiere el artículo 25, párrafo quinto, de la Constitución particular.</w:t>
      </w:r>
    </w:p>
    <w:p w14:paraId="41E78AE5"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6AC84CA7"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Y si bien el siguiente párrafo del precepto constitucional recién citado hace participe al instituto del conocimiento del sistema de medios de impugnación electorales, su intervención se constriñe a conocer y resolver los recursos de revisión interpuestos en contra de los actos y resoluciones de los consejos distritales (que no tienen injerencia alguna en los comicios que se siguen mediante normas de derecho consuetudinario), según se colige de los artículos 71, fracción XXXII, 90, apartado 12, 91, apartado 7, 95, apartado 12, 96, apartado 7, y 262, inciso a), del código que se viene invocando.</w:t>
      </w:r>
    </w:p>
    <w:p w14:paraId="21319E3A"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078FDEC8"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r w:rsidRPr="00CF2780">
        <w:rPr>
          <w:rFonts w:ascii="Arial" w:eastAsia="Times New Roman" w:hAnsi="Arial" w:cs="Arial"/>
          <w:sz w:val="28"/>
          <w:szCs w:val="24"/>
          <w:lang w:eastAsia="es-ES"/>
        </w:rPr>
        <w:t xml:space="preserve">Consecuentemente, una interpretación sistemática y funcional del artículo 125 del Código de Instituciones Políticas y Procedimientos Electorales de Oaxaca, permite deducir que cuando </w:t>
      </w:r>
      <w:r w:rsidRPr="00CF2780">
        <w:rPr>
          <w:rFonts w:ascii="Arial" w:eastAsia="Times New Roman" w:hAnsi="Arial" w:cs="Arial"/>
          <w:sz w:val="28"/>
          <w:szCs w:val="29"/>
          <w:lang w:eastAsia="es-ES"/>
        </w:rPr>
        <w:t xml:space="preserve">el Instituto Estatal Electoral, a través de su Consejo General, conoce, en </w:t>
      </w:r>
      <w:r w:rsidRPr="00CF2780">
        <w:rPr>
          <w:rFonts w:ascii="Arial" w:eastAsia="Times New Roman" w:hAnsi="Arial" w:cs="Arial"/>
          <w:sz w:val="28"/>
          <w:szCs w:val="24"/>
          <w:lang w:eastAsia="es-ES"/>
        </w:rPr>
        <w:t xml:space="preserve">su oportunidad, de los casos de controversia que surjan respecto de la </w:t>
      </w:r>
      <w:r w:rsidRPr="00CF2780">
        <w:rPr>
          <w:rFonts w:ascii="Arial" w:eastAsia="Times New Roman" w:hAnsi="Arial" w:cs="Arial"/>
          <w:sz w:val="28"/>
          <w:szCs w:val="29"/>
          <w:lang w:eastAsia="es-ES"/>
        </w:rPr>
        <w:t xml:space="preserve">renovación de los ayuntamientos bajo las normas de derecho consuetudinario y, previamente a cualquier resolución, busque la conciliación entre las partes “y, en todo caso, se estará a lo dispuesto por el artículo 110 de este código; o el Catalogo General de Municipios de Usos y Costumbres aprobado por el Consejo General; o a una consulta con la comunidad”, </w:t>
      </w:r>
      <w:r w:rsidRPr="00CF2780">
        <w:rPr>
          <w:rFonts w:ascii="Arial" w:eastAsia="Times New Roman" w:hAnsi="Arial" w:cs="Arial"/>
          <w:sz w:val="28"/>
          <w:szCs w:val="29"/>
          <w:lang w:eastAsia="es-ES"/>
        </w:rPr>
        <w:lastRenderedPageBreak/>
        <w:t>se está en presencia de una atribución conectada con los fines atribuidos al instituto por el artículo 58, incisos a), d), e) y f), que le imponen contribuir al desarrollo de la vida democrática, asegurar a los ciudadanos el ejercicio de los derechos político electorales, velar por la autenticidad y efectividad del sufragio y garantizar la celebración periódica y pacífica de las elecciones para renovar a los integrantes de los ayuntamientos.</w:t>
      </w:r>
    </w:p>
    <w:p w14:paraId="35624B9D"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val="es-ES" w:eastAsia="es-ES"/>
        </w:rPr>
      </w:pPr>
    </w:p>
    <w:p w14:paraId="16FB9F47"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9"/>
          <w:lang w:eastAsia="es-ES"/>
        </w:rPr>
        <w:t xml:space="preserve">Entonces, en estos supuestos, el Instituto Estatal Electoral no realiza propiamente una función de carácter jurisdiccional, sino más bien una de carácter administrativo y protectora de ciertos derechos y del orden electoral en la entidad, sin que las resoluciones que llegare a emitir adquieran el carácter de definitivas e inatacables; de tal suerte que el artículo 122 del código electoral local faculta al Congreso del estado de Oaxaca para que, erigido en Colegio Electoral, </w:t>
      </w:r>
      <w:r w:rsidRPr="00CF2780">
        <w:rPr>
          <w:rFonts w:ascii="Arial" w:eastAsia="Times New Roman" w:hAnsi="Arial" w:cs="Arial"/>
          <w:sz w:val="28"/>
          <w:szCs w:val="24"/>
          <w:lang w:eastAsia="es-ES"/>
        </w:rPr>
        <w:t>conozca de la elección de autoridades municipales por usos y costumbres, ratifique, en su caso, la declaración de validez de la elección y emita el Decreto correspondiente, declaratorias éstas que sí revisten la naturaleza de definitivas e inatacables, en términos del artículo 40, segundo párrafo, de la Constitución estatal.</w:t>
      </w:r>
    </w:p>
    <w:p w14:paraId="4E1A2715"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5C5A249F"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 xml:space="preserve">Por ello, contrariamente a lo alegado por los ciudadanos actores, el Congreso del Estado sí se encontraba en aptitud de revocar el acuerdo que declaró validas las elecciones en Santiago Yaveo, Oaxaca. </w:t>
      </w:r>
    </w:p>
    <w:p w14:paraId="093BD95B"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580E399F"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lastRenderedPageBreak/>
        <w:t>De esta manera, al resultar infundado el alegato en cuestión, lo conducente es estudiar el resto de las argumentaciones formuladas por los accionantes.</w:t>
      </w:r>
    </w:p>
    <w:p w14:paraId="34C56021"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1305A3E3"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 xml:space="preserve">En lo que respecta al agravio identificado con el número </w:t>
      </w:r>
      <w:r w:rsidRPr="00CF2780">
        <w:rPr>
          <w:rFonts w:ascii="Arial" w:eastAsia="Times New Roman" w:hAnsi="Arial" w:cs="Arial"/>
          <w:b/>
          <w:bCs/>
          <w:sz w:val="28"/>
          <w:szCs w:val="24"/>
          <w:lang w:eastAsia="es-ES"/>
        </w:rPr>
        <w:t>1)</w:t>
      </w:r>
      <w:r w:rsidRPr="00CF2780">
        <w:rPr>
          <w:rFonts w:ascii="Arial" w:eastAsia="Times New Roman" w:hAnsi="Arial" w:cs="Arial"/>
          <w:sz w:val="28"/>
          <w:szCs w:val="24"/>
          <w:lang w:eastAsia="es-ES"/>
        </w:rPr>
        <w:t>, relativo a la falta de fundamentación y motivación del acto impugnado, este órgano colegiado lo estima fundado.</w:t>
      </w:r>
    </w:p>
    <w:p w14:paraId="5A6D0365"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232821EB"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El artículo 16 de la Constitución Política de los Estados Unidos Mexicanos, precisa en lo conducente que:</w:t>
      </w:r>
    </w:p>
    <w:p w14:paraId="55AA013F"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75FEB5A9" w14:textId="77777777" w:rsidR="00676010" w:rsidRPr="00CF2780" w:rsidRDefault="00676010" w:rsidP="00676010">
      <w:pPr>
        <w:autoSpaceDE w:val="0"/>
        <w:autoSpaceDN w:val="0"/>
        <w:adjustRightInd w:val="0"/>
        <w:spacing w:after="0" w:line="240" w:lineRule="auto"/>
        <w:ind w:left="540" w:right="728"/>
        <w:jc w:val="both"/>
        <w:rPr>
          <w:rFonts w:ascii="Arial" w:eastAsia="Times New Roman" w:hAnsi="Arial" w:cs="Arial"/>
          <w:b/>
          <w:bCs/>
          <w:sz w:val="24"/>
          <w:szCs w:val="24"/>
          <w:lang w:eastAsia="es-ES"/>
        </w:rPr>
      </w:pPr>
      <w:r w:rsidRPr="00CF2780">
        <w:rPr>
          <w:rFonts w:ascii="Arial" w:eastAsia="Times New Roman" w:hAnsi="Arial" w:cs="Arial"/>
          <w:b/>
          <w:bCs/>
          <w:sz w:val="24"/>
          <w:szCs w:val="24"/>
          <w:lang w:eastAsia="es-ES"/>
        </w:rPr>
        <w:t>Artículo 16</w:t>
      </w:r>
    </w:p>
    <w:p w14:paraId="478C0430" w14:textId="77777777" w:rsidR="00676010" w:rsidRPr="00CF2780" w:rsidRDefault="00676010" w:rsidP="00676010">
      <w:pPr>
        <w:autoSpaceDE w:val="0"/>
        <w:autoSpaceDN w:val="0"/>
        <w:adjustRightInd w:val="0"/>
        <w:spacing w:after="0" w:line="240" w:lineRule="auto"/>
        <w:ind w:left="540" w:right="728"/>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Nadie puede ser molestado en su persona, familia, domicilio, papeles o posesiones, sino en virtud de mandamiento escrito de la autoridad competente, que funde y motive la causa legal del procedimiento.</w:t>
      </w:r>
    </w:p>
    <w:p w14:paraId="61897F93" w14:textId="77777777" w:rsidR="00676010" w:rsidRPr="00CF2780" w:rsidRDefault="00676010" w:rsidP="00676010">
      <w:pPr>
        <w:spacing w:after="0" w:line="240" w:lineRule="auto"/>
        <w:ind w:left="540" w:right="789"/>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w:t>
      </w:r>
    </w:p>
    <w:p w14:paraId="72F017F2" w14:textId="77777777" w:rsidR="00676010" w:rsidRPr="00CF2780" w:rsidRDefault="00676010" w:rsidP="00676010">
      <w:pPr>
        <w:spacing w:after="0" w:line="240" w:lineRule="auto"/>
        <w:jc w:val="both"/>
        <w:rPr>
          <w:rFonts w:ascii="Arial" w:eastAsia="Times New Roman" w:hAnsi="Arial" w:cs="Arial"/>
          <w:sz w:val="24"/>
          <w:szCs w:val="24"/>
          <w:lang w:eastAsia="es-ES"/>
        </w:rPr>
      </w:pPr>
    </w:p>
    <w:p w14:paraId="7FD38E2E" w14:textId="77777777" w:rsidR="00676010" w:rsidRPr="00CF2780" w:rsidRDefault="00676010" w:rsidP="00676010">
      <w:pPr>
        <w:tabs>
          <w:tab w:val="left" w:pos="-720"/>
        </w:tabs>
        <w:suppressAutoHyphens/>
        <w:spacing w:after="0" w:line="360" w:lineRule="auto"/>
        <w:jc w:val="both"/>
        <w:rPr>
          <w:rFonts w:ascii="Arial" w:eastAsia="Times New Roman" w:hAnsi="Arial" w:cs="Arial"/>
          <w:sz w:val="28"/>
          <w:szCs w:val="29"/>
          <w:lang w:eastAsia="es-ES"/>
        </w:rPr>
      </w:pPr>
      <w:r w:rsidRPr="00CF2780">
        <w:rPr>
          <w:rFonts w:ascii="Arial" w:eastAsia="Times New Roman" w:hAnsi="Arial" w:cs="Arial"/>
          <w:sz w:val="28"/>
          <w:szCs w:val="29"/>
          <w:lang w:eastAsia="es-ES"/>
        </w:rPr>
        <w:t>De acuerdo con el precepto trasunto, todo acto de autoridad que cause molestias debe estar fundado y motivado.</w:t>
      </w:r>
    </w:p>
    <w:p w14:paraId="720270DF" w14:textId="77777777" w:rsidR="00676010" w:rsidRPr="00CF2780" w:rsidRDefault="00676010" w:rsidP="00676010">
      <w:pPr>
        <w:tabs>
          <w:tab w:val="left" w:pos="-720"/>
        </w:tabs>
        <w:suppressAutoHyphens/>
        <w:spacing w:after="0" w:line="360" w:lineRule="auto"/>
        <w:jc w:val="both"/>
        <w:rPr>
          <w:rFonts w:ascii="Arial" w:eastAsia="Times New Roman" w:hAnsi="Arial" w:cs="Arial"/>
          <w:sz w:val="28"/>
          <w:szCs w:val="29"/>
          <w:lang w:eastAsia="es-ES"/>
        </w:rPr>
      </w:pPr>
    </w:p>
    <w:p w14:paraId="62B10615" w14:textId="77777777" w:rsidR="00676010" w:rsidRPr="00CF2780" w:rsidRDefault="00676010" w:rsidP="00676010">
      <w:pPr>
        <w:tabs>
          <w:tab w:val="left" w:pos="-720"/>
        </w:tabs>
        <w:suppressAutoHyphens/>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9"/>
          <w:lang w:eastAsia="es-ES"/>
        </w:rPr>
        <w:t xml:space="preserve">Esto es, </w:t>
      </w:r>
      <w:r w:rsidRPr="00CF2780">
        <w:rPr>
          <w:rFonts w:ascii="Arial" w:eastAsia="Times New Roman" w:hAnsi="Arial" w:cs="Arial"/>
          <w:sz w:val="28"/>
          <w:szCs w:val="24"/>
          <w:lang w:eastAsia="es-ES"/>
        </w:rPr>
        <w:t>cualquier acto de autoridad que cause alguna molestia debe expresar con precisión el precepto aplicable al caso y señalar concretamente las circunstancias especiales, razones particulares y las causas inmediatas que se tuvieron en consideración para su emisión; debe existir además, una precisa adecuación entre los motivos aducidos y las normas aplicables al caso planteado, es decir que se configuren las hipótesis normativas.</w:t>
      </w:r>
    </w:p>
    <w:p w14:paraId="3C434333" w14:textId="77777777" w:rsidR="00676010" w:rsidRPr="00CF2780" w:rsidRDefault="00676010" w:rsidP="00676010">
      <w:pPr>
        <w:tabs>
          <w:tab w:val="left" w:pos="-720"/>
        </w:tabs>
        <w:suppressAutoHyphens/>
        <w:spacing w:after="0" w:line="360" w:lineRule="auto"/>
        <w:jc w:val="both"/>
        <w:rPr>
          <w:rFonts w:ascii="Arial" w:eastAsia="Times New Roman" w:hAnsi="Arial" w:cs="Arial"/>
          <w:sz w:val="28"/>
          <w:szCs w:val="24"/>
          <w:lang w:eastAsia="es-ES"/>
        </w:rPr>
      </w:pPr>
    </w:p>
    <w:p w14:paraId="7B75C0C2" w14:textId="77777777" w:rsidR="00676010" w:rsidRPr="00CF2780" w:rsidRDefault="00676010" w:rsidP="00676010">
      <w:pPr>
        <w:tabs>
          <w:tab w:val="left" w:pos="-720"/>
        </w:tabs>
        <w:suppressAutoHyphens/>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lastRenderedPageBreak/>
        <w:t>Para que exista motivación y fundamentación, basta que quede claro el razonamiento sustancial sobre los hechos y causas, así como los fundamentos legales aplicables, sin que pueda exigirse formalmente mayor amplitud o abundancia que la expresión de lo estrictamente necesario para que sustancialmente se comprenda el argumento expresado. Sólo la ausencia total de motivación o de la argumentación legal, o bien, que las mismas sean tan imprecisas que no den elementos a los recurrentes para defender sus derechos o impugnar el razonamiento aducido por las autoridades, puede considerarse como falta de motivación y fundamentación.</w:t>
      </w:r>
    </w:p>
    <w:p w14:paraId="6F70CC62" w14:textId="77777777" w:rsidR="00676010" w:rsidRPr="00CF2780" w:rsidRDefault="00676010" w:rsidP="00676010">
      <w:pPr>
        <w:spacing w:after="0" w:line="360" w:lineRule="auto"/>
        <w:rPr>
          <w:rFonts w:ascii="Arial" w:eastAsia="Times New Roman" w:hAnsi="Arial" w:cs="Arial"/>
          <w:sz w:val="24"/>
          <w:szCs w:val="24"/>
          <w:lang w:eastAsia="es-ES"/>
        </w:rPr>
      </w:pPr>
    </w:p>
    <w:p w14:paraId="555DB9D2"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9"/>
          <w:szCs w:val="29"/>
          <w:lang w:eastAsia="es-ES"/>
        </w:rPr>
      </w:pPr>
      <w:r w:rsidRPr="00CF2780">
        <w:rPr>
          <w:rFonts w:ascii="Arial" w:eastAsia="Times New Roman" w:hAnsi="Arial" w:cs="Arial"/>
          <w:sz w:val="28"/>
          <w:szCs w:val="29"/>
          <w:lang w:eastAsia="es-ES"/>
        </w:rPr>
        <w:t>En tal sentido, por fundamentación se entiende la exigencia a cargo de la autoridad de expresar el precepto legal aplicable al caso concreto, en tanto que la motivación se traduce en demostrar que el caso está comprendido en el o los supuestos de la norma.</w:t>
      </w:r>
    </w:p>
    <w:p w14:paraId="07AE8EA0"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9"/>
          <w:szCs w:val="29"/>
          <w:lang w:eastAsia="es-ES"/>
        </w:rPr>
      </w:pPr>
    </w:p>
    <w:p w14:paraId="4EA241BA"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9"/>
          <w:szCs w:val="29"/>
          <w:lang w:eastAsia="es-ES"/>
        </w:rPr>
      </w:pPr>
      <w:r w:rsidRPr="00CF2780">
        <w:rPr>
          <w:rFonts w:ascii="Arial" w:eastAsia="Times New Roman" w:hAnsi="Arial" w:cs="Arial"/>
          <w:sz w:val="29"/>
          <w:szCs w:val="29"/>
          <w:lang w:eastAsia="es-ES"/>
        </w:rPr>
        <w:t xml:space="preserve">Debe tenerse en cuenta que la garantía de fundamentación y motivación de un acto de autoridad, prevista en el artículo 16 de la Constitución federal, se ve cumplida de diferente manera, según se trate de la autoridad de la que emane el acto y de la naturaleza de éste, pues mientras más concreto e individualizado sea el acto se requerirá de particulares elementos para que sea admisible tener por cumplida dicha garantía. En cambio, cuando el acto tiene una naturaleza de carácter abstracto, general e impersonal, el respeto a dicha garantía se cumplimenta con la observancia de elementos </w:t>
      </w:r>
      <w:r w:rsidRPr="00CF2780">
        <w:rPr>
          <w:rFonts w:ascii="Arial" w:eastAsia="Times New Roman" w:hAnsi="Arial" w:cs="Arial"/>
          <w:sz w:val="29"/>
          <w:szCs w:val="29"/>
          <w:lang w:eastAsia="es-ES"/>
        </w:rPr>
        <w:lastRenderedPageBreak/>
        <w:t>diferentes a los que deben tenerse en cuenta cuando se emite un acto de naturaleza distinta.</w:t>
      </w:r>
    </w:p>
    <w:p w14:paraId="41C05FDA"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9"/>
          <w:szCs w:val="29"/>
          <w:lang w:eastAsia="es-ES"/>
        </w:rPr>
      </w:pPr>
    </w:p>
    <w:p w14:paraId="0C29FB86"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9"/>
          <w:szCs w:val="29"/>
          <w:lang w:eastAsia="es-ES"/>
        </w:rPr>
      </w:pPr>
      <w:r w:rsidRPr="00CF2780">
        <w:rPr>
          <w:rFonts w:ascii="Arial" w:eastAsia="Times New Roman" w:hAnsi="Arial" w:cs="Arial"/>
          <w:sz w:val="29"/>
          <w:szCs w:val="29"/>
          <w:lang w:eastAsia="es-ES"/>
        </w:rPr>
        <w:t>En el caso concreto, la publicación del Decreto 32, transcrita en el resultando III de este fallo, se limita a exponer la determinación tomada por el Congreso del Estado de Oaxaca en relación con la elección municipal de Santiago Yaveo, es decir, como lo afirman los promoventes, no cumple con la garantía constitucional establecida en el artículo 16 constitucional.</w:t>
      </w:r>
    </w:p>
    <w:p w14:paraId="41A3088A"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9"/>
          <w:szCs w:val="29"/>
          <w:lang w:eastAsia="es-ES"/>
        </w:rPr>
      </w:pPr>
    </w:p>
    <w:p w14:paraId="268B6D34"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r w:rsidRPr="00CF2780">
        <w:rPr>
          <w:rFonts w:ascii="Arial" w:eastAsia="Times New Roman" w:hAnsi="Arial" w:cs="Arial"/>
          <w:sz w:val="29"/>
          <w:szCs w:val="29"/>
          <w:lang w:eastAsia="es-ES"/>
        </w:rPr>
        <w:t xml:space="preserve">No es óbice para arribar a la anterior conclusión, el hecho de que se trate de un decreto emitido por un órgano legislativo, caso en el que se pudiera pensar que la obligación de fundar y motivar se satisface de manera distinta a la ordinaria, </w:t>
      </w:r>
      <w:r w:rsidRPr="00CF2780">
        <w:rPr>
          <w:rFonts w:ascii="Arial" w:eastAsia="Times New Roman" w:hAnsi="Arial" w:cs="Arial"/>
          <w:sz w:val="28"/>
          <w:szCs w:val="29"/>
          <w:lang w:eastAsia="es-ES"/>
        </w:rPr>
        <w:t>en atención a la naturaleza y característica de éstas, pues la ley goza de los atributos de impersonalidad, generalidad y abstracción. Entonces, cuando el acto materia de análisis es una ley, se hace patente que su confrontación con el párrafo primero del artículo 16 constitucional, para determinar, si se ha observado la garantía de fundamentación y motivación, debe hacerse sobre la base de otros puntos de vista distintos a los utilizados para el examen de actos concretos e individualizados que afectan a sujetos identificables.</w:t>
      </w:r>
    </w:p>
    <w:p w14:paraId="4DE919EA"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p>
    <w:p w14:paraId="0293FE6D"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9"/>
          <w:szCs w:val="29"/>
          <w:lang w:eastAsia="es-ES"/>
        </w:rPr>
      </w:pPr>
      <w:r w:rsidRPr="00CF2780">
        <w:rPr>
          <w:rFonts w:ascii="Arial" w:eastAsia="Times New Roman" w:hAnsi="Arial" w:cs="Arial"/>
          <w:sz w:val="28"/>
          <w:szCs w:val="29"/>
          <w:lang w:eastAsia="es-ES"/>
        </w:rPr>
        <w:t>Al respecto, la Suprema Corte de Justicia de la Nación ha expresado que:</w:t>
      </w:r>
    </w:p>
    <w:p w14:paraId="02945BF7"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9"/>
          <w:szCs w:val="29"/>
          <w:lang w:eastAsia="es-ES"/>
        </w:rPr>
      </w:pPr>
    </w:p>
    <w:p w14:paraId="1098C756"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r w:rsidRPr="00CF2780">
        <w:rPr>
          <w:rFonts w:ascii="Arial" w:eastAsia="Times New Roman" w:hAnsi="Arial" w:cs="Arial"/>
          <w:sz w:val="28"/>
          <w:szCs w:val="29"/>
          <w:lang w:eastAsia="es-ES"/>
        </w:rPr>
        <w:lastRenderedPageBreak/>
        <w:t>1. En un acto legislativo, el requisito de fundamentación se satisface, cuando la expedición de la ley se halla dentro de las facultades con que cuenta el cuerpo legislativo.</w:t>
      </w:r>
    </w:p>
    <w:p w14:paraId="5023E5FC"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p>
    <w:p w14:paraId="0C3ACC29"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r w:rsidRPr="00CF2780">
        <w:rPr>
          <w:rFonts w:ascii="Arial" w:eastAsia="Times New Roman" w:hAnsi="Arial" w:cs="Arial"/>
          <w:sz w:val="28"/>
          <w:szCs w:val="29"/>
          <w:lang w:eastAsia="es-ES"/>
        </w:rPr>
        <w:t>2. La motivación se satisface, cuando las leyes emitidas se refieren a relaciones sociales que requieren ser jurídicamente reguladas.</w:t>
      </w:r>
    </w:p>
    <w:p w14:paraId="46B6F977"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p>
    <w:p w14:paraId="748D2963"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r w:rsidRPr="00CF2780">
        <w:rPr>
          <w:rFonts w:ascii="Arial" w:eastAsia="Times New Roman" w:hAnsi="Arial" w:cs="Arial"/>
          <w:sz w:val="28"/>
          <w:szCs w:val="29"/>
          <w:lang w:eastAsia="es-ES"/>
        </w:rPr>
        <w:t>3. No hay necesidad de que todas las disposiciones integrantes de un ordenamiento deban ser materia de una motivación específica.</w:t>
      </w:r>
    </w:p>
    <w:p w14:paraId="6679AF07"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p>
    <w:p w14:paraId="653C8751"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9"/>
          <w:szCs w:val="29"/>
          <w:lang w:eastAsia="es-ES"/>
        </w:rPr>
      </w:pPr>
      <w:r w:rsidRPr="00CF2780">
        <w:rPr>
          <w:rFonts w:ascii="Arial" w:eastAsia="Times New Roman" w:hAnsi="Arial" w:cs="Arial"/>
          <w:sz w:val="28"/>
          <w:szCs w:val="29"/>
          <w:lang w:eastAsia="es-ES"/>
        </w:rPr>
        <w:t>En este sentido se pronunció el Pleno de ese Alto Tribunal, al sostener la jurisprudencia 146, publicada en la página 149 del tomo I del Apéndice al Semanario Judicial de la Federación 1917-1995, que dice:</w:t>
      </w:r>
    </w:p>
    <w:p w14:paraId="5E201E38" w14:textId="77777777" w:rsidR="00676010" w:rsidRPr="00CF2780" w:rsidRDefault="00676010" w:rsidP="00676010">
      <w:pPr>
        <w:autoSpaceDE w:val="0"/>
        <w:autoSpaceDN w:val="0"/>
        <w:adjustRightInd w:val="0"/>
        <w:spacing w:after="0" w:line="240" w:lineRule="auto"/>
        <w:jc w:val="both"/>
        <w:rPr>
          <w:rFonts w:ascii="Arial" w:eastAsia="Times New Roman" w:hAnsi="Arial" w:cs="Arial"/>
          <w:b/>
          <w:bCs/>
          <w:sz w:val="24"/>
          <w:szCs w:val="24"/>
          <w:lang w:eastAsia="es-ES"/>
        </w:rPr>
      </w:pPr>
    </w:p>
    <w:p w14:paraId="1134247C" w14:textId="77777777" w:rsidR="00676010" w:rsidRPr="00CF2780" w:rsidRDefault="00676010" w:rsidP="00676010">
      <w:pPr>
        <w:autoSpaceDE w:val="0"/>
        <w:autoSpaceDN w:val="0"/>
        <w:adjustRightInd w:val="0"/>
        <w:spacing w:after="0" w:line="240" w:lineRule="auto"/>
        <w:ind w:left="720" w:right="900"/>
        <w:jc w:val="both"/>
        <w:rPr>
          <w:rFonts w:ascii="Arial" w:eastAsia="Times New Roman" w:hAnsi="Arial" w:cs="Arial"/>
          <w:sz w:val="24"/>
          <w:szCs w:val="24"/>
          <w:lang w:eastAsia="es-ES"/>
        </w:rPr>
      </w:pPr>
      <w:r w:rsidRPr="00CF2780">
        <w:rPr>
          <w:rFonts w:ascii="Arial" w:eastAsia="Times New Roman" w:hAnsi="Arial" w:cs="Arial"/>
          <w:b/>
          <w:bCs/>
          <w:sz w:val="24"/>
          <w:szCs w:val="24"/>
          <w:lang w:eastAsia="es-ES"/>
        </w:rPr>
        <w:t xml:space="preserve">"FUNDAMENTACIÓN Y MOTIVACIÓN DE LOS ACTOS DE AUTORIDAD LEGISLATIVA. </w:t>
      </w:r>
      <w:r w:rsidRPr="00CF2780">
        <w:rPr>
          <w:rFonts w:ascii="Arial" w:eastAsia="Times New Roman" w:hAnsi="Arial" w:cs="Arial"/>
          <w:sz w:val="24"/>
          <w:szCs w:val="24"/>
          <w:lang w:eastAsia="es-ES"/>
        </w:rPr>
        <w:t>Por fundamentación y motivación de un acto legislativo, se debe entender la circunstancia de que el Congreso que expide la ley, constitucionalmente esté facultado para ello, ya que estos requisitos, en tratándose de actos legislativos, se satisfacen cuando aquél actúa dentro de los límites de las atribuciones que la Constitución correspondiente le confiere (fundamentación), y cuando las leyes que emite se refieren a relaciones sociales que reclaman ser jurídicamente reguladas (motivación); sin que esto implique que todas y cada una de las disposiciones que integran estos ordenamientos deben ser necesariamente materia de una motivación específica".</w:t>
      </w:r>
    </w:p>
    <w:p w14:paraId="1868703B" w14:textId="77777777" w:rsidR="00676010" w:rsidRPr="00CF2780" w:rsidRDefault="00676010" w:rsidP="00676010">
      <w:pPr>
        <w:autoSpaceDE w:val="0"/>
        <w:autoSpaceDN w:val="0"/>
        <w:adjustRightInd w:val="0"/>
        <w:spacing w:after="0" w:line="240" w:lineRule="auto"/>
        <w:jc w:val="both"/>
        <w:rPr>
          <w:rFonts w:ascii="Arial" w:eastAsia="Times New Roman" w:hAnsi="Arial" w:cs="Arial"/>
          <w:sz w:val="29"/>
          <w:szCs w:val="29"/>
          <w:lang w:eastAsia="es-ES"/>
        </w:rPr>
      </w:pPr>
    </w:p>
    <w:p w14:paraId="79A65056"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r w:rsidRPr="00CF2780">
        <w:rPr>
          <w:rFonts w:ascii="Arial" w:eastAsia="Times New Roman" w:hAnsi="Arial" w:cs="Arial"/>
          <w:sz w:val="28"/>
          <w:szCs w:val="29"/>
          <w:lang w:eastAsia="es-ES"/>
        </w:rPr>
        <w:t xml:space="preserve">En lo concerniente a los reglamentos se encuentra, que sus características tienen más semejanza con las de la ley (puesto que los reglamentos se integran también con normas de carácter abstracto, general e impersonal) que con actos concretos, individualizados y dirigidos a personas identificables; por tanto, por cuanto hace a la fundamentación y motivación, es más jurídico hacer la calificación de </w:t>
      </w:r>
      <w:r w:rsidRPr="00CF2780">
        <w:rPr>
          <w:rFonts w:ascii="Arial" w:eastAsia="Times New Roman" w:hAnsi="Arial" w:cs="Arial"/>
          <w:sz w:val="28"/>
          <w:szCs w:val="29"/>
          <w:lang w:eastAsia="es-ES"/>
        </w:rPr>
        <w:lastRenderedPageBreak/>
        <w:t>los actos reglamentarios, sobre la base de los requisitos bajo los cuales se analiza la ley, que bajo la óptica con que se estudian otros actos. De ahí que para que se considere fundado un reglamento, basta que la facultad reglamentaria de la autoridad que lo expide se encuentre prevista en la ley. La motivación se cumple, cuando los reglamentos emitidos sobre la base de esa facultad reglamentaria, se refieren a relaciones sociales que reclaman ser jurídicamente reguladas, sin que esto signifique que todas y cada una de las disposiciones que integran los reglamentos deban ser necesariamente materia de una motivación específica.</w:t>
      </w:r>
    </w:p>
    <w:p w14:paraId="7C64E953"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p>
    <w:p w14:paraId="46581F8B"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9"/>
          <w:szCs w:val="29"/>
          <w:lang w:eastAsia="es-ES"/>
        </w:rPr>
      </w:pPr>
      <w:r w:rsidRPr="00CF2780">
        <w:rPr>
          <w:rFonts w:ascii="Arial" w:eastAsia="Times New Roman" w:hAnsi="Arial" w:cs="Arial"/>
          <w:sz w:val="28"/>
          <w:szCs w:val="29"/>
          <w:lang w:eastAsia="es-ES"/>
        </w:rPr>
        <w:t>El anterior criterio está recogido en las dos tesis de la Suprema Corte de Justicia de la Nación, que a continuación se transcriben, publicadas en la página 89 Volumen 187-192, Tercera Parte, Séptima Época y en la página 103, Tomo VI, Primera Parte, Octava Época, del Semanario Judicial de la Federación, respectivamente:</w:t>
      </w:r>
    </w:p>
    <w:p w14:paraId="3DBF0438" w14:textId="77777777" w:rsidR="00676010" w:rsidRPr="00CF2780" w:rsidRDefault="00676010" w:rsidP="00676010">
      <w:pPr>
        <w:autoSpaceDE w:val="0"/>
        <w:autoSpaceDN w:val="0"/>
        <w:adjustRightInd w:val="0"/>
        <w:spacing w:after="0" w:line="240" w:lineRule="auto"/>
        <w:jc w:val="both"/>
        <w:rPr>
          <w:rFonts w:ascii="Arial" w:eastAsia="Times New Roman" w:hAnsi="Arial" w:cs="Arial"/>
          <w:b/>
          <w:bCs/>
          <w:sz w:val="24"/>
          <w:szCs w:val="24"/>
          <w:lang w:eastAsia="es-ES"/>
        </w:rPr>
      </w:pPr>
    </w:p>
    <w:p w14:paraId="6411A152" w14:textId="77777777" w:rsidR="00676010" w:rsidRPr="00CF2780" w:rsidRDefault="00676010" w:rsidP="00676010">
      <w:pPr>
        <w:autoSpaceDE w:val="0"/>
        <w:autoSpaceDN w:val="0"/>
        <w:adjustRightInd w:val="0"/>
        <w:spacing w:after="0" w:line="240" w:lineRule="auto"/>
        <w:ind w:left="720" w:right="900"/>
        <w:jc w:val="both"/>
        <w:rPr>
          <w:rFonts w:ascii="Arial" w:eastAsia="Times New Roman" w:hAnsi="Arial" w:cs="Arial"/>
          <w:b/>
          <w:bCs/>
          <w:sz w:val="24"/>
          <w:szCs w:val="29"/>
          <w:lang w:eastAsia="es-ES"/>
        </w:rPr>
      </w:pPr>
      <w:r w:rsidRPr="00CF2780">
        <w:rPr>
          <w:rFonts w:ascii="Arial" w:eastAsia="Times New Roman" w:hAnsi="Arial" w:cs="Arial"/>
          <w:sz w:val="24"/>
          <w:szCs w:val="24"/>
          <w:lang w:eastAsia="es-ES"/>
        </w:rPr>
        <w:t>"</w:t>
      </w:r>
      <w:r w:rsidRPr="00CF2780">
        <w:rPr>
          <w:rFonts w:ascii="Arial" w:eastAsia="Times New Roman" w:hAnsi="Arial" w:cs="Arial"/>
          <w:b/>
          <w:bCs/>
          <w:sz w:val="24"/>
          <w:szCs w:val="24"/>
          <w:lang w:eastAsia="es-ES"/>
        </w:rPr>
        <w:t xml:space="preserve">LEYES Y REGLAMENTOS, FUNDAMENTACIÓN Y MOTIVACIÓN DE. </w:t>
      </w:r>
      <w:r w:rsidRPr="00CF2780">
        <w:rPr>
          <w:rFonts w:ascii="Arial" w:eastAsia="Times New Roman" w:hAnsi="Arial" w:cs="Arial"/>
          <w:sz w:val="24"/>
          <w:szCs w:val="24"/>
          <w:lang w:eastAsia="es-ES"/>
        </w:rPr>
        <w:t>La fundamentación y motivación de las leyes y, por extensión, de los reglamentos, no puede entenderse en los mismos términos que la de otros actos de autoridad, puesto que para que aquéllas se consideren fundadas y motivadas basta que la actuación de la autoridad que expide la ley o reglamento se ajuste a la Constitución respectiva en cuanto a sus facultades y competencia.</w:t>
      </w:r>
    </w:p>
    <w:p w14:paraId="1366C3D9" w14:textId="77777777" w:rsidR="00676010" w:rsidRPr="00CF2780" w:rsidRDefault="00676010" w:rsidP="00676010">
      <w:pPr>
        <w:autoSpaceDE w:val="0"/>
        <w:autoSpaceDN w:val="0"/>
        <w:adjustRightInd w:val="0"/>
        <w:spacing w:after="0" w:line="240" w:lineRule="auto"/>
        <w:ind w:left="720" w:right="900"/>
        <w:jc w:val="both"/>
        <w:rPr>
          <w:rFonts w:ascii="Arial" w:eastAsia="Times New Roman" w:hAnsi="Arial" w:cs="Arial"/>
          <w:sz w:val="24"/>
          <w:szCs w:val="24"/>
          <w:lang w:eastAsia="es-ES"/>
        </w:rPr>
      </w:pPr>
      <w:r w:rsidRPr="00CF2780">
        <w:rPr>
          <w:rFonts w:ascii="Arial" w:eastAsia="Times New Roman" w:hAnsi="Arial" w:cs="Arial"/>
          <w:i/>
          <w:iCs/>
          <w:sz w:val="24"/>
          <w:szCs w:val="24"/>
          <w:lang w:eastAsia="es-ES"/>
        </w:rPr>
        <w:t>Amparo en revisión 2170/81. José Manuel Cardoso Ramón y otros. 24 de octubre de 1984. Unanimidad de 4 votos. Ponente: Carlos del Río Rodríguez.</w:t>
      </w:r>
      <w:r w:rsidRPr="00CF2780">
        <w:rPr>
          <w:rFonts w:ascii="Arial" w:eastAsia="Times New Roman" w:hAnsi="Arial" w:cs="Arial"/>
          <w:sz w:val="24"/>
          <w:szCs w:val="24"/>
          <w:lang w:eastAsia="es-ES"/>
        </w:rPr>
        <w:t>”</w:t>
      </w:r>
    </w:p>
    <w:p w14:paraId="68741560" w14:textId="77777777" w:rsidR="00676010" w:rsidRPr="00CF2780" w:rsidRDefault="00676010" w:rsidP="00676010">
      <w:pPr>
        <w:autoSpaceDE w:val="0"/>
        <w:autoSpaceDN w:val="0"/>
        <w:adjustRightInd w:val="0"/>
        <w:spacing w:after="0" w:line="240" w:lineRule="auto"/>
        <w:ind w:left="720" w:right="900"/>
        <w:jc w:val="both"/>
        <w:rPr>
          <w:rFonts w:ascii="Arial" w:eastAsia="Times New Roman" w:hAnsi="Arial" w:cs="Arial"/>
          <w:b/>
          <w:bCs/>
          <w:sz w:val="24"/>
          <w:szCs w:val="24"/>
          <w:lang w:eastAsia="es-ES"/>
        </w:rPr>
      </w:pPr>
    </w:p>
    <w:p w14:paraId="4864F0E5" w14:textId="77777777" w:rsidR="00676010" w:rsidRPr="00CF2780" w:rsidRDefault="00676010" w:rsidP="00676010">
      <w:pPr>
        <w:autoSpaceDE w:val="0"/>
        <w:autoSpaceDN w:val="0"/>
        <w:adjustRightInd w:val="0"/>
        <w:spacing w:after="0" w:line="240" w:lineRule="auto"/>
        <w:ind w:left="720" w:right="900"/>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w:t>
      </w:r>
      <w:r w:rsidRPr="00CF2780">
        <w:rPr>
          <w:rFonts w:ascii="Arial" w:eastAsia="Times New Roman" w:hAnsi="Arial" w:cs="Arial"/>
          <w:b/>
          <w:bCs/>
          <w:sz w:val="24"/>
          <w:szCs w:val="24"/>
          <w:lang w:eastAsia="es-ES"/>
        </w:rPr>
        <w:t xml:space="preserve">REGLAMENTOS. SU FUNDAMENTACIÓN Y MOTIVACIÓN. </w:t>
      </w:r>
      <w:r w:rsidRPr="00CF2780">
        <w:rPr>
          <w:rFonts w:ascii="Arial" w:eastAsia="Times New Roman" w:hAnsi="Arial" w:cs="Arial"/>
          <w:sz w:val="24"/>
          <w:szCs w:val="24"/>
          <w:lang w:eastAsia="es-ES"/>
        </w:rPr>
        <w:t xml:space="preserve">La fundamentación de los reglamentos se satisface cuando el Presidente de la República actúa dentro de los límites de las atribuciones que la Constitución le confiere y la motivación se cumple cuando los reglamentos que emite se refieren a relaciones sociales que reclaman ser jurídicamente reguladas, sin que esto signifique que todas y cada una de las disposiciones que integran </w:t>
      </w:r>
      <w:r w:rsidRPr="00CF2780">
        <w:rPr>
          <w:rFonts w:ascii="Arial" w:eastAsia="Times New Roman" w:hAnsi="Arial" w:cs="Arial"/>
          <w:sz w:val="24"/>
          <w:szCs w:val="24"/>
          <w:lang w:eastAsia="es-ES"/>
        </w:rPr>
        <w:lastRenderedPageBreak/>
        <w:t xml:space="preserve">estos ordenamientos deban ser necesariamente materia de una motivación específica. </w:t>
      </w:r>
    </w:p>
    <w:p w14:paraId="637A660B" w14:textId="77777777" w:rsidR="00676010" w:rsidRPr="00CF2780" w:rsidRDefault="00676010" w:rsidP="00676010">
      <w:pPr>
        <w:autoSpaceDE w:val="0"/>
        <w:autoSpaceDN w:val="0"/>
        <w:adjustRightInd w:val="0"/>
        <w:spacing w:after="0" w:line="240" w:lineRule="auto"/>
        <w:ind w:left="720" w:right="900"/>
        <w:jc w:val="both"/>
        <w:rPr>
          <w:rFonts w:ascii="Arial" w:eastAsia="Times New Roman" w:hAnsi="Arial" w:cs="Arial"/>
          <w:i/>
          <w:iCs/>
          <w:sz w:val="24"/>
          <w:szCs w:val="24"/>
          <w:lang w:eastAsia="es-ES"/>
        </w:rPr>
      </w:pPr>
      <w:r w:rsidRPr="00CF2780">
        <w:rPr>
          <w:rFonts w:ascii="Arial" w:eastAsia="Times New Roman" w:hAnsi="Arial" w:cs="Arial"/>
          <w:i/>
          <w:iCs/>
          <w:sz w:val="24"/>
          <w:szCs w:val="24"/>
          <w:lang w:eastAsia="es-ES"/>
        </w:rPr>
        <w:t>Amparo en revisión 3495/89. Aga de México, S.A. de C.V. 20 de agosto de 1990. 5 votos. Ponente: Victoria Adato Green. Secretario Hanz Eduardo López Muñoz.</w:t>
      </w:r>
    </w:p>
    <w:p w14:paraId="69A9A091" w14:textId="77777777" w:rsidR="00676010" w:rsidRPr="00CF2780" w:rsidRDefault="00676010" w:rsidP="00676010">
      <w:pPr>
        <w:autoSpaceDE w:val="0"/>
        <w:autoSpaceDN w:val="0"/>
        <w:adjustRightInd w:val="0"/>
        <w:spacing w:after="0" w:line="240" w:lineRule="auto"/>
        <w:ind w:left="720" w:right="900"/>
        <w:jc w:val="both"/>
        <w:rPr>
          <w:rFonts w:ascii="Arial" w:eastAsia="Times New Roman" w:hAnsi="Arial" w:cs="Arial"/>
          <w:sz w:val="24"/>
          <w:szCs w:val="24"/>
          <w:lang w:eastAsia="es-ES"/>
        </w:rPr>
      </w:pPr>
      <w:r w:rsidRPr="00CF2780">
        <w:rPr>
          <w:rFonts w:ascii="Arial" w:eastAsia="Times New Roman" w:hAnsi="Arial" w:cs="Arial"/>
          <w:i/>
          <w:iCs/>
          <w:sz w:val="24"/>
          <w:szCs w:val="24"/>
          <w:lang w:eastAsia="es-ES"/>
        </w:rPr>
        <w:t>Amparo en revisión 1619/88. Granjas Posito, S.A. DE C.V. 20 de agosto de 1990. 5 votos. Ponente: Victoria Adato Green. Secretario: Hanz Eduardo López Muñoz".</w:t>
      </w:r>
    </w:p>
    <w:p w14:paraId="2B81BC16" w14:textId="77777777" w:rsidR="00676010" w:rsidRPr="00CF2780" w:rsidRDefault="00676010" w:rsidP="00676010">
      <w:pPr>
        <w:autoSpaceDE w:val="0"/>
        <w:autoSpaceDN w:val="0"/>
        <w:adjustRightInd w:val="0"/>
        <w:spacing w:after="0" w:line="240" w:lineRule="auto"/>
        <w:jc w:val="both"/>
        <w:rPr>
          <w:rFonts w:ascii="Arial" w:eastAsia="Times New Roman" w:hAnsi="Arial" w:cs="Arial"/>
          <w:sz w:val="29"/>
          <w:szCs w:val="29"/>
          <w:lang w:eastAsia="es-ES"/>
        </w:rPr>
      </w:pPr>
    </w:p>
    <w:p w14:paraId="2B195091"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p>
    <w:p w14:paraId="0534837A"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r w:rsidRPr="00CF2780">
        <w:rPr>
          <w:rFonts w:ascii="Arial" w:eastAsia="Times New Roman" w:hAnsi="Arial" w:cs="Arial"/>
          <w:sz w:val="28"/>
          <w:szCs w:val="29"/>
          <w:lang w:eastAsia="es-ES"/>
        </w:rPr>
        <w:t>Recientemente, esos criterios se reiteraron por la Suprema Corte de Justicia de la Nación, en la ejecutoria pronunciada en el amparo en revisión 1113/91, promovido por Mauricio Juárez Rodríguez, la cual se encuentra publicada en el Semanario Judicial y su Gaceta, Novena Época, Tomo IV, Agosto de 1996, página 68. En dicha ejecutoria, el citado alto tribunal empieza por analizar un agravio relacionado con la falta de motivación y fundamentación de una ley y de su reglamento. Con relación a la ley, la Suprema Corte de la Justicia de la Nación consideró que era aplicable la tesis de jurisprudencia número 68, publicada en la página 131 de la Primera Parte del Apéndice al Semanario Judicial de la Federación 1917-1988, con el rubro: "FUNDAMENTACIÓN Y MOTIVACIÓN DE LOS ACTOS DE AUTORIDAD LEGISLATIVA", sobre la base de que se refería a la motivación y fundamentación de los actos legislativos.</w:t>
      </w:r>
    </w:p>
    <w:p w14:paraId="4AA486A8"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p>
    <w:p w14:paraId="24CEC2BC"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9"/>
          <w:szCs w:val="29"/>
          <w:lang w:eastAsia="es-ES"/>
        </w:rPr>
      </w:pPr>
      <w:r w:rsidRPr="00CF2780">
        <w:rPr>
          <w:rFonts w:ascii="Arial" w:eastAsia="Times New Roman" w:hAnsi="Arial" w:cs="Arial"/>
          <w:sz w:val="28"/>
          <w:szCs w:val="29"/>
          <w:lang w:eastAsia="es-ES"/>
        </w:rPr>
        <w:t>En seguida, dicho alto tribunal mencionó, que en el caso se trataba de determinar, si la ley y su reglamento reclamados reunían los requisitos constitucionales antes mencionados y al efecto, la Suprema Corte de Justicia de la Nación dijo:</w:t>
      </w:r>
    </w:p>
    <w:p w14:paraId="2B1168C3" w14:textId="77777777" w:rsidR="00676010" w:rsidRPr="00CF2780" w:rsidRDefault="00676010" w:rsidP="00676010">
      <w:pPr>
        <w:autoSpaceDE w:val="0"/>
        <w:autoSpaceDN w:val="0"/>
        <w:adjustRightInd w:val="0"/>
        <w:spacing w:after="0" w:line="240" w:lineRule="auto"/>
        <w:jc w:val="both"/>
        <w:rPr>
          <w:rFonts w:ascii="Arial" w:eastAsia="Times New Roman" w:hAnsi="Arial" w:cs="Arial"/>
          <w:sz w:val="24"/>
          <w:szCs w:val="24"/>
          <w:lang w:eastAsia="es-ES"/>
        </w:rPr>
      </w:pPr>
    </w:p>
    <w:p w14:paraId="55ECB8BC" w14:textId="77777777" w:rsidR="00676010" w:rsidRPr="00CF2780" w:rsidRDefault="00676010" w:rsidP="00676010">
      <w:pPr>
        <w:autoSpaceDE w:val="0"/>
        <w:autoSpaceDN w:val="0"/>
        <w:adjustRightInd w:val="0"/>
        <w:spacing w:after="0" w:line="240" w:lineRule="auto"/>
        <w:ind w:left="720" w:right="900"/>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lastRenderedPageBreak/>
        <w:t xml:space="preserve">" ... Es clara la jurisprudencia de referencia al establecer que tratándose de actos legislativos se satisfacen los requisitos constitucionales de fundamentación y motivación cuando el Congreso que los expide actúa dentro de los límites que la Constitución correspondiente le confiere y las leyes se refieren a relaciones sociales que reclaman ser jurídicamente reguladas. En consecuencia, como lo determinó el a quo, la Ley y </w:t>
      </w:r>
      <w:r w:rsidRPr="00CF2780">
        <w:rPr>
          <w:rFonts w:ascii="Arial" w:eastAsia="Times New Roman" w:hAnsi="Arial" w:cs="Arial"/>
          <w:b/>
          <w:bCs/>
          <w:sz w:val="24"/>
          <w:szCs w:val="24"/>
          <w:lang w:eastAsia="es-ES"/>
        </w:rPr>
        <w:t xml:space="preserve">Reglamento </w:t>
      </w:r>
      <w:r w:rsidRPr="00CF2780">
        <w:rPr>
          <w:rFonts w:ascii="Arial" w:eastAsia="Times New Roman" w:hAnsi="Arial" w:cs="Arial"/>
          <w:sz w:val="24"/>
          <w:szCs w:val="24"/>
          <w:lang w:eastAsia="es-ES"/>
        </w:rPr>
        <w:t>reclamados se encuentran debidamente fundados y motivados porque fueron expedidos, la primera, por el Congreso de la Unión y el segundo por el presidente de la República, actuando conforme a las atribuciones y dentro de los límites que les otorga y fija la Constitución y se refieren a situaciones y relaciones sociales que reclaman ser jurídicamente reguladas, lo que reconocen los recurrentes.</w:t>
      </w:r>
    </w:p>
    <w:p w14:paraId="7577F177" w14:textId="77777777" w:rsidR="00676010" w:rsidRPr="00CF2780" w:rsidRDefault="00676010" w:rsidP="00676010">
      <w:pPr>
        <w:autoSpaceDE w:val="0"/>
        <w:autoSpaceDN w:val="0"/>
        <w:adjustRightInd w:val="0"/>
        <w:spacing w:after="0" w:line="240" w:lineRule="auto"/>
        <w:ind w:left="720" w:right="969"/>
        <w:jc w:val="both"/>
        <w:rPr>
          <w:rFonts w:ascii="Arial" w:eastAsia="Times New Roman" w:hAnsi="Arial" w:cs="Arial"/>
          <w:sz w:val="29"/>
          <w:szCs w:val="29"/>
          <w:lang w:eastAsia="es-ES"/>
        </w:rPr>
      </w:pPr>
      <w:r w:rsidRPr="00CF2780">
        <w:rPr>
          <w:rFonts w:ascii="Arial" w:eastAsia="Times New Roman" w:hAnsi="Arial" w:cs="Arial"/>
          <w:sz w:val="24"/>
          <w:szCs w:val="24"/>
          <w:lang w:eastAsia="es-ES"/>
        </w:rPr>
        <w:t>Estos pretenden que la Ley y Reglamento reclamados no están debidamente fundados y motivados porque la primera no cita las disposiciones de la Constitución que reglamenta, cuando que, por un lado, como se desprende del criterio jurisprudencial, tratándose de actos legislativos no se requiere para la satisfacción de los requisitos de referencia, la cita de los preceptos legales, y por el otro, el artículo 1o. de la Ley combatida con claridad establece que es reglamentaria de las disposiciones de la Constitución que se refieren a la preservación y restauración del equilibrio ecológico y a la protección del ambiente, de suerte tal que no impide conocer a sus destinatarios las disposiciones a que se refiere sólo por no identificarlas en cuanto a su número ..."</w:t>
      </w:r>
    </w:p>
    <w:p w14:paraId="15775506"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9"/>
          <w:szCs w:val="29"/>
          <w:lang w:eastAsia="es-ES"/>
        </w:rPr>
      </w:pPr>
    </w:p>
    <w:p w14:paraId="1E058526"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9"/>
          <w:szCs w:val="29"/>
          <w:lang w:eastAsia="es-ES"/>
        </w:rPr>
      </w:pPr>
      <w:r w:rsidRPr="00CF2780">
        <w:rPr>
          <w:rFonts w:ascii="Arial" w:eastAsia="Times New Roman" w:hAnsi="Arial" w:cs="Arial"/>
          <w:sz w:val="29"/>
          <w:szCs w:val="29"/>
          <w:lang w:eastAsia="es-ES"/>
        </w:rPr>
        <w:t xml:space="preserve">Sin embargo, en la especie, aún cuando el Congreso expidió el decreto reclamado en ejercicio de las facultades que le confiere la ley, es indudable que dicho decreto se encuentra dirigido a ciertas comunidades indígenas, por cuanto se limita a ratificar o revocar la declaración de validez de elecciones por usos y costumbres efectuada por el Consejo General del Instituto Estatal Electoral de Oaxaca en quince municipios, lo que denota que no se está en presencia de una norma o disposición de carácter u observancia general, abstracta e impersonal, es decir, con características de ley, sino se encuentra dirigido a individuos de ciertos conglomerados más </w:t>
      </w:r>
      <w:r w:rsidRPr="00CF2780">
        <w:rPr>
          <w:rFonts w:ascii="Arial" w:eastAsia="Times New Roman" w:hAnsi="Arial" w:cs="Arial"/>
          <w:sz w:val="29"/>
          <w:szCs w:val="29"/>
          <w:lang w:eastAsia="es-ES"/>
        </w:rPr>
        <w:lastRenderedPageBreak/>
        <w:t>reducidos e indígenas, pertenecientes a los municipios precisados en dicho decreto.</w:t>
      </w:r>
    </w:p>
    <w:p w14:paraId="54D1BE99"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9"/>
          <w:szCs w:val="29"/>
          <w:lang w:eastAsia="es-ES"/>
        </w:rPr>
      </w:pPr>
    </w:p>
    <w:p w14:paraId="0D89CB7A"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r w:rsidRPr="00CF2780">
        <w:rPr>
          <w:rFonts w:ascii="Arial" w:eastAsia="Times New Roman" w:hAnsi="Arial" w:cs="Arial"/>
          <w:sz w:val="28"/>
          <w:szCs w:val="29"/>
          <w:lang w:eastAsia="es-ES"/>
        </w:rPr>
        <w:t>Por lo que en el caso, se debe respetar la manera ordinaria de satisfacer la garantía de fundamentación y motivación, puesto que la importancia de los derechos a que se refiere el párrafo primero del artículo 16 constitucional, provoca que la simple molestia que pueda producir una autoridad a los titulares de aquéllos, debe estar apoyada clara y fehacientemente en la ley, situación de la cual debe tener pleno conocimiento el sujeto afectado, incluso para que, si a su interés conviene, esté en condiciones de realizar la impugnación más adecuada, para librarse de ese acto de molestia. Es decir, el surtimiento de los requisitos de fundamentación y motivación en la forma ordinaria está referido a aquellos actos de autoridad concretos, dirigidos en forma específica a causar, por lo menos, molestia a sujetos determinados, en los derechos a que se refiere la propia norma constitucional, como sucede en la especie.</w:t>
      </w:r>
    </w:p>
    <w:p w14:paraId="7A4FBD44"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val="es-ES" w:eastAsia="es-ES"/>
        </w:rPr>
      </w:pPr>
    </w:p>
    <w:p w14:paraId="601CD183"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De hecho, el acto reclamado reviste las características de un acto administrativo, por cuanto se limita a aplicar y ejecutar disposiciones legales previamente establecidas, razón por la cual el Congreso se encontraba compelido a expresar los preceptos legales y las razones o circunstancias que los hacían aplicables, para alcanzar la determinación a la que arribó.</w:t>
      </w:r>
    </w:p>
    <w:p w14:paraId="4C9E7983"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76A87825"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 xml:space="preserve">No pasa desapercibido para esta Sala Superior que la responsable alega que el decreto fue debida y suficientemente fundado y motivado </w:t>
      </w:r>
      <w:r w:rsidRPr="00CF2780">
        <w:rPr>
          <w:rFonts w:ascii="Arial" w:eastAsia="Times New Roman" w:hAnsi="Arial" w:cs="Arial"/>
          <w:sz w:val="28"/>
          <w:szCs w:val="24"/>
          <w:lang w:eastAsia="es-ES"/>
        </w:rPr>
        <w:lastRenderedPageBreak/>
        <w:t>en el dictamen que presentó la comisión respectiva, en términos de los artículos 59, Fracción VI y XXVIII de la Constitución Política del Estado Libre y Soberano de Oaxaca, 77 Fracción IV, 78, 81 de la Ley Orgánica del Poder Legislativo y 153, inciso b) del Reglamento Interior del Congreso del Estado; sin embargo, la publicación realizada se limita a reproducir estrictamente el contenido del decreto, mas no del dictamen en que se apoyó, lo que ciertamente constituye una transgresión al artículo 16 constitucional, porque según se ha precisado, uno de los objetivos de esta garantía es que las personas a las que va dirigido el acto de autoridad, especialmente aquellos sobre cuya esfera repercuten los efectos de lo acordado, conozcan los preceptos normativos y los hechos y razones tomados en cuenta para su emisión, para que, de ser el caso, puedan oponerse a través de los medios jurídicos que el ordenamiento local o federal ponga a su disposición, lo cual no fue posible en la especie, produciéndose un estado de indefensión a los ahora promoventes.</w:t>
      </w:r>
    </w:p>
    <w:p w14:paraId="38161050"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417CA40E"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A partir de lo anterior, en situación de normalidad lo conducente sería que este órgano jurisdiccional modificara el decreto combatido, dejando sin efectos lo determinado respecto del ayuntamiento de Santiago Yaveo, Oaxaca, para que fuera emitida una nueva resolución, debidamente fundada y motivada.</w:t>
      </w:r>
    </w:p>
    <w:p w14:paraId="65AE8281"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72D16B66"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 xml:space="preserve">No obstante, en la especie, debe tomarse especial consideración en que el artículo 17 constitucional, segundo párrafo, reconoce a favor de todo individuo, con la evidente finalidad de no tornar negativa la eventual reparación de los derechos que se estimen conculcados, que los </w:t>
      </w:r>
      <w:r w:rsidRPr="00CF2780">
        <w:rPr>
          <w:rFonts w:ascii="Arial" w:eastAsia="Times New Roman" w:hAnsi="Arial" w:cs="Arial"/>
          <w:sz w:val="28"/>
          <w:szCs w:val="24"/>
          <w:lang w:eastAsia="es-ES"/>
        </w:rPr>
        <w:lastRenderedPageBreak/>
        <w:t>tribunales expeditos para impartir justicia emitan sus resoluciones de manera pronta, completa e imparcial, así como que los diversos 41, fracción IV, y 99, párrafo cuarto de la propia Carta Magna, configuran un sistema de medios de impugnación con el propósito de garantizar que todos los actos y resoluciones electorales se sujeten invariablemente a los principios de constitucionalidad y legalidad, de hacer efectivos los derechos político-electorales de votar y de ser votado y de dar definitividad a las distintas etapas de los procesos comiciales.</w:t>
      </w:r>
    </w:p>
    <w:p w14:paraId="67120E68"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3ABF8A6B"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Por otro lado, debe igualmente sopesarse que el litigio sobre los comicios celebrados bajo normas de derecho consuetudinario en el municipio de Santiago Yaveo, Choápam, Oaxaca, se ha prolongado por un lapso considerable de tiempo, a grado tal, que sus habitantes se hallan aun bajo la incertidumbre sobre sus resultados y concejales electos, pese a que por mandato del artículo 113, fracción I, párrafo quinto de la Constitución Política del Estado de Oaxaca, de ser el caso, como alegan los ciudadanos promoventes, debió haber quedado instalado definitivamente el ayuntamiento de mérito desde el primero de enero pasado.</w:t>
      </w:r>
    </w:p>
    <w:p w14:paraId="612DEE28"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3A1652B8"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 xml:space="preserve">Ahora bien, la experiencia enseña que si este órgano colegiado revocara para efectos el decreto impugnado, la autoridad responsable volvería a emitir una nueva determinación de revocación de la declaración de validez decretada por el Consejo General del Instituto Estatal Electoral de Oaxaca, exponiendo, ahora sí, el derecho y hechos que sustenten su decisión, lo que originaría una nueva impugnación a </w:t>
      </w:r>
      <w:r w:rsidRPr="00CF2780">
        <w:rPr>
          <w:rFonts w:ascii="Arial" w:eastAsia="Times New Roman" w:hAnsi="Arial" w:cs="Arial"/>
          <w:sz w:val="28"/>
          <w:szCs w:val="24"/>
          <w:lang w:eastAsia="es-ES"/>
        </w:rPr>
        <w:lastRenderedPageBreak/>
        <w:t>cargo de los mismos promoventes, ya que ellos sostienen la validez del proceso comicial del que resultaron electos, con lo que se prolongaría la situación de incertidumbre existente en el municipio, redundando, además, en un retraso de la preparación y celebración, en su caso, de comicios extraordinarios y en el funcionamiento anómalo de las funciones públicas municipales.</w:t>
      </w:r>
    </w:p>
    <w:p w14:paraId="05701CB0"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3909361F"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Circunstancias que, sin duda, atentarían contra los principios y valores que sustentan el derecho a la tutela jurisdiccional efectiva y la existencia del sistema electoral de medios de impugnación, razón por la cual esta Sala Superior estima pertinente, con fundamento en los artículos 6, párrafo 3 y 84, párrafo 1, inciso b) de la Ley General del Sistema de Medios de Impugnación en Materia Electoral, resolver la controversia en plenitud de jurisdicción.</w:t>
      </w:r>
    </w:p>
    <w:p w14:paraId="316E2738"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69E34EA8"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 xml:space="preserve">Bajo estas premisas, debe puntualizarse que si bien ha resultado fundado el agravio relacionado con la falta de fundamentación y motivación del acto impugnado, el mismo se torna inoperante como resultado del examen de las copias certificadas de los expedientes de la elección de concejales por el sistema de usos y costumbres en el municipio de Santiago Yaveo, Choápam, Oaxaca, remitidos por el Congreso del Estado Libre y Soberano de Oaxaca y el Consejo General del Instituto Estatal Electoral de dicha entidad, en cumplimiento del requerimiento formulado por el magistrado instructor, ya que dicho análisis arroja la imposibilidad jurídica de ratificar la declaración de validez de los comicios emitida por la última de las autoridades señaladas, como pretenden los promoventes, al haberse conculcado </w:t>
      </w:r>
      <w:r w:rsidRPr="00CF2780">
        <w:rPr>
          <w:rFonts w:ascii="Arial" w:eastAsia="Times New Roman" w:hAnsi="Arial" w:cs="Arial"/>
          <w:sz w:val="28"/>
          <w:szCs w:val="24"/>
          <w:lang w:eastAsia="es-ES"/>
        </w:rPr>
        <w:lastRenderedPageBreak/>
        <w:t>diversos preceptos constitucionales, como se evidencia en los siguientes párrafos.</w:t>
      </w:r>
    </w:p>
    <w:p w14:paraId="504D6F87"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45BC687B"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En primer término deben establecerse los alcances de los artículos 59, fracciones VII, XXVII y XXVIII de la Constitución Política del Estado Libre y Soberano de Oaxaca; 5° y 122 del Código de Instituciones Políticas y Procedimientos Electorales de Oaxaca; 77, 78 y 81 de la Ley Orgánica del Poder Legislativo del Estado de Oaxaca; y 152 del Reglamento Interior del Congreso del Estado Libre y Soberano de Oaxaca, que contienen la facultad del Congreso para calificar los comicios municipales, pues sólo del resultado a que se arribe es factible determinar las actividades inherentes a la calificación. Dichos numerales  disponen:</w:t>
      </w:r>
    </w:p>
    <w:p w14:paraId="680119BD" w14:textId="77777777" w:rsidR="00676010" w:rsidRPr="00CF2780" w:rsidRDefault="00676010" w:rsidP="00676010">
      <w:pPr>
        <w:spacing w:after="0" w:line="240" w:lineRule="auto"/>
        <w:rPr>
          <w:rFonts w:ascii="Arial" w:eastAsia="Times New Roman" w:hAnsi="Arial" w:cs="Arial"/>
          <w:sz w:val="24"/>
          <w:szCs w:val="24"/>
          <w:lang w:eastAsia="es-ES"/>
        </w:rPr>
      </w:pPr>
    </w:p>
    <w:p w14:paraId="0D454673" w14:textId="77777777" w:rsidR="00676010" w:rsidRPr="00CF2780" w:rsidRDefault="00676010" w:rsidP="00676010">
      <w:pPr>
        <w:spacing w:after="0" w:line="240" w:lineRule="auto"/>
        <w:jc w:val="center"/>
        <w:rPr>
          <w:rFonts w:ascii="Arial" w:eastAsia="Times New Roman" w:hAnsi="Arial" w:cs="Arial"/>
          <w:b/>
          <w:bCs/>
          <w:sz w:val="24"/>
          <w:szCs w:val="24"/>
          <w:lang w:eastAsia="es-ES"/>
        </w:rPr>
      </w:pPr>
      <w:r w:rsidRPr="00CF2780">
        <w:rPr>
          <w:rFonts w:ascii="Arial" w:eastAsia="Times New Roman" w:hAnsi="Arial" w:cs="Arial"/>
          <w:b/>
          <w:bCs/>
          <w:sz w:val="24"/>
          <w:szCs w:val="24"/>
          <w:lang w:eastAsia="es-ES"/>
        </w:rPr>
        <w:t>Constitución Política del Estado</w:t>
      </w:r>
    </w:p>
    <w:p w14:paraId="35AC54A3" w14:textId="77777777" w:rsidR="00676010" w:rsidRPr="00CF2780" w:rsidRDefault="00676010" w:rsidP="00676010">
      <w:pPr>
        <w:spacing w:after="0" w:line="240" w:lineRule="auto"/>
        <w:jc w:val="center"/>
        <w:rPr>
          <w:rFonts w:ascii="Arial" w:eastAsia="Times New Roman" w:hAnsi="Arial" w:cs="Arial"/>
          <w:b/>
          <w:bCs/>
          <w:sz w:val="24"/>
          <w:szCs w:val="24"/>
          <w:lang w:eastAsia="es-ES"/>
        </w:rPr>
      </w:pPr>
      <w:r w:rsidRPr="00CF2780">
        <w:rPr>
          <w:rFonts w:ascii="Arial" w:eastAsia="Times New Roman" w:hAnsi="Arial" w:cs="Arial"/>
          <w:b/>
          <w:bCs/>
          <w:sz w:val="24"/>
          <w:szCs w:val="24"/>
          <w:lang w:eastAsia="es-ES"/>
        </w:rPr>
        <w:t>Libre y Soberano de Oaxaca</w:t>
      </w:r>
    </w:p>
    <w:p w14:paraId="2F37C729" w14:textId="77777777" w:rsidR="00676010" w:rsidRPr="00CF2780" w:rsidRDefault="00676010" w:rsidP="00676010">
      <w:pPr>
        <w:spacing w:after="0" w:line="240" w:lineRule="auto"/>
        <w:jc w:val="both"/>
        <w:rPr>
          <w:rFonts w:ascii="Arial" w:eastAsia="Times New Roman" w:hAnsi="Arial" w:cs="Arial"/>
          <w:sz w:val="24"/>
          <w:szCs w:val="29"/>
          <w:lang w:val="es-ES_tradnl" w:eastAsia="es-ES"/>
        </w:rPr>
      </w:pPr>
    </w:p>
    <w:p w14:paraId="09E0307D" w14:textId="77777777" w:rsidR="00676010" w:rsidRPr="00CF2780" w:rsidRDefault="00676010" w:rsidP="00676010">
      <w:pPr>
        <w:autoSpaceDE w:val="0"/>
        <w:autoSpaceDN w:val="0"/>
        <w:adjustRightInd w:val="0"/>
        <w:spacing w:after="0" w:line="240" w:lineRule="auto"/>
        <w:ind w:left="540" w:right="728"/>
        <w:jc w:val="both"/>
        <w:rPr>
          <w:rFonts w:ascii="Arial" w:eastAsia="Times New Roman" w:hAnsi="Arial" w:cs="Arial"/>
          <w:b/>
          <w:bCs/>
          <w:sz w:val="24"/>
          <w:szCs w:val="24"/>
          <w:lang w:eastAsia="es-ES"/>
        </w:rPr>
      </w:pPr>
      <w:r w:rsidRPr="00CF2780">
        <w:rPr>
          <w:rFonts w:ascii="Arial" w:eastAsia="Times New Roman" w:hAnsi="Arial" w:cs="Arial"/>
          <w:b/>
          <w:bCs/>
          <w:sz w:val="24"/>
          <w:szCs w:val="24"/>
          <w:lang w:eastAsia="es-ES"/>
        </w:rPr>
        <w:t>Artículo 59</w:t>
      </w:r>
    </w:p>
    <w:p w14:paraId="78B0CE8C" w14:textId="77777777" w:rsidR="00676010" w:rsidRPr="00CF2780" w:rsidRDefault="00676010" w:rsidP="00676010">
      <w:pPr>
        <w:autoSpaceDE w:val="0"/>
        <w:autoSpaceDN w:val="0"/>
        <w:adjustRightInd w:val="0"/>
        <w:spacing w:after="0" w:line="240" w:lineRule="auto"/>
        <w:ind w:left="540" w:right="728"/>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Son facultades de la Legislatura:</w:t>
      </w:r>
    </w:p>
    <w:p w14:paraId="31F0D855" w14:textId="77777777" w:rsidR="00676010" w:rsidRPr="00CF2780" w:rsidRDefault="00676010" w:rsidP="00676010">
      <w:pPr>
        <w:autoSpaceDE w:val="0"/>
        <w:autoSpaceDN w:val="0"/>
        <w:adjustRightInd w:val="0"/>
        <w:spacing w:after="0" w:line="240" w:lineRule="auto"/>
        <w:ind w:left="540" w:right="728"/>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w:t>
      </w:r>
    </w:p>
    <w:p w14:paraId="7FA7F7F0" w14:textId="77777777" w:rsidR="00676010" w:rsidRPr="00CF2780" w:rsidRDefault="00676010" w:rsidP="00676010">
      <w:pPr>
        <w:autoSpaceDE w:val="0"/>
        <w:autoSpaceDN w:val="0"/>
        <w:adjustRightInd w:val="0"/>
        <w:spacing w:after="0" w:line="240" w:lineRule="auto"/>
        <w:ind w:left="540" w:right="728"/>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 xml:space="preserve">VII. Calificar las elecciones de los ayuntamientos; </w:t>
      </w:r>
    </w:p>
    <w:p w14:paraId="69DFA1D4" w14:textId="77777777" w:rsidR="00676010" w:rsidRPr="00CF2780" w:rsidRDefault="00676010" w:rsidP="00676010">
      <w:pPr>
        <w:autoSpaceDE w:val="0"/>
        <w:autoSpaceDN w:val="0"/>
        <w:adjustRightInd w:val="0"/>
        <w:spacing w:after="0" w:line="240" w:lineRule="auto"/>
        <w:ind w:left="540" w:right="728"/>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w:t>
      </w:r>
    </w:p>
    <w:p w14:paraId="435034BB" w14:textId="77777777" w:rsidR="00676010" w:rsidRPr="00CF2780" w:rsidRDefault="00676010" w:rsidP="00676010">
      <w:pPr>
        <w:autoSpaceDE w:val="0"/>
        <w:autoSpaceDN w:val="0"/>
        <w:adjustRightInd w:val="0"/>
        <w:spacing w:after="0" w:line="240" w:lineRule="auto"/>
        <w:ind w:left="540" w:right="728"/>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XXVII. Emitir el Decreto correspondiente para que el Instituto Estatal Electoral convoque a elección de Gobernador, Diputados y Concejales Municipales en los períodos constitucionales o cuando por cualquier causa hubiere falta absoluta de estos servidores públicos;</w:t>
      </w:r>
    </w:p>
    <w:p w14:paraId="7703C74B" w14:textId="77777777" w:rsidR="00676010" w:rsidRPr="00CF2780" w:rsidRDefault="00676010" w:rsidP="00676010">
      <w:pPr>
        <w:autoSpaceDE w:val="0"/>
        <w:autoSpaceDN w:val="0"/>
        <w:adjustRightInd w:val="0"/>
        <w:spacing w:after="0" w:line="240" w:lineRule="auto"/>
        <w:ind w:left="540" w:right="728"/>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XXVIII. Conocer y declarar la elección de Diputados, Gobernador y Concejales de los Ayuntamientos y emitir el Decreto correspondiente;</w:t>
      </w:r>
    </w:p>
    <w:p w14:paraId="67016E85" w14:textId="77777777" w:rsidR="00676010" w:rsidRPr="00CF2780" w:rsidRDefault="00676010" w:rsidP="00676010">
      <w:pPr>
        <w:autoSpaceDE w:val="0"/>
        <w:autoSpaceDN w:val="0"/>
        <w:adjustRightInd w:val="0"/>
        <w:spacing w:after="0" w:line="240" w:lineRule="auto"/>
        <w:ind w:left="540" w:right="728"/>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w:t>
      </w:r>
    </w:p>
    <w:p w14:paraId="3CF9E245" w14:textId="77777777" w:rsidR="00676010" w:rsidRPr="00CF2780" w:rsidRDefault="00676010" w:rsidP="00676010">
      <w:pPr>
        <w:autoSpaceDE w:val="0"/>
        <w:autoSpaceDN w:val="0"/>
        <w:adjustRightInd w:val="0"/>
        <w:spacing w:after="0" w:line="240" w:lineRule="auto"/>
        <w:ind w:left="540" w:right="728"/>
        <w:jc w:val="both"/>
        <w:rPr>
          <w:rFonts w:ascii="Arial" w:eastAsia="Times New Roman" w:hAnsi="Arial" w:cs="Arial"/>
          <w:sz w:val="24"/>
          <w:szCs w:val="24"/>
          <w:lang w:eastAsia="es-ES"/>
        </w:rPr>
      </w:pPr>
    </w:p>
    <w:p w14:paraId="596A57DE" w14:textId="77777777" w:rsidR="00676010" w:rsidRPr="00CF2780" w:rsidRDefault="00676010" w:rsidP="00676010">
      <w:pPr>
        <w:autoSpaceDE w:val="0"/>
        <w:autoSpaceDN w:val="0"/>
        <w:adjustRightInd w:val="0"/>
        <w:spacing w:after="0" w:line="240" w:lineRule="auto"/>
        <w:ind w:left="540" w:right="728"/>
        <w:jc w:val="both"/>
        <w:rPr>
          <w:rFonts w:ascii="Arial" w:eastAsia="Times New Roman" w:hAnsi="Arial" w:cs="Arial"/>
          <w:sz w:val="24"/>
          <w:szCs w:val="24"/>
          <w:lang w:eastAsia="es-ES"/>
        </w:rPr>
      </w:pPr>
    </w:p>
    <w:p w14:paraId="5FB9C194" w14:textId="77777777" w:rsidR="00676010" w:rsidRPr="00CF2780" w:rsidRDefault="00676010" w:rsidP="00676010">
      <w:pPr>
        <w:spacing w:after="0" w:line="240" w:lineRule="auto"/>
        <w:jc w:val="center"/>
        <w:rPr>
          <w:rFonts w:ascii="Arial" w:eastAsia="Times New Roman" w:hAnsi="Arial" w:cs="Arial"/>
          <w:b/>
          <w:bCs/>
          <w:sz w:val="24"/>
          <w:szCs w:val="24"/>
          <w:lang w:eastAsia="es-ES"/>
        </w:rPr>
      </w:pPr>
      <w:r w:rsidRPr="00CF2780">
        <w:rPr>
          <w:rFonts w:ascii="Arial" w:eastAsia="Times New Roman" w:hAnsi="Arial" w:cs="Arial"/>
          <w:b/>
          <w:bCs/>
          <w:sz w:val="24"/>
          <w:szCs w:val="24"/>
          <w:lang w:eastAsia="es-ES"/>
        </w:rPr>
        <w:t>Código de Instituciones Políticas y Procedimientos</w:t>
      </w:r>
    </w:p>
    <w:p w14:paraId="7444341D" w14:textId="77777777" w:rsidR="00676010" w:rsidRPr="00CF2780" w:rsidRDefault="00676010" w:rsidP="00676010">
      <w:pPr>
        <w:autoSpaceDE w:val="0"/>
        <w:autoSpaceDN w:val="0"/>
        <w:adjustRightInd w:val="0"/>
        <w:spacing w:after="0" w:line="240" w:lineRule="auto"/>
        <w:ind w:left="540" w:right="728"/>
        <w:jc w:val="center"/>
        <w:rPr>
          <w:rFonts w:ascii="Arial" w:eastAsia="Times New Roman" w:hAnsi="Arial" w:cs="Arial"/>
          <w:b/>
          <w:bCs/>
          <w:sz w:val="24"/>
          <w:szCs w:val="24"/>
          <w:lang w:eastAsia="es-ES"/>
        </w:rPr>
      </w:pPr>
      <w:r w:rsidRPr="00CF2780">
        <w:rPr>
          <w:rFonts w:ascii="Arial" w:eastAsia="Times New Roman" w:hAnsi="Arial" w:cs="Arial"/>
          <w:b/>
          <w:bCs/>
          <w:sz w:val="24"/>
          <w:szCs w:val="24"/>
          <w:lang w:eastAsia="es-ES"/>
        </w:rPr>
        <w:t>Electorales de Oaxaca</w:t>
      </w:r>
    </w:p>
    <w:p w14:paraId="77902535" w14:textId="77777777" w:rsidR="00676010" w:rsidRPr="00CF2780" w:rsidRDefault="00676010" w:rsidP="00676010">
      <w:pPr>
        <w:autoSpaceDE w:val="0"/>
        <w:autoSpaceDN w:val="0"/>
        <w:adjustRightInd w:val="0"/>
        <w:spacing w:after="0" w:line="240" w:lineRule="auto"/>
        <w:ind w:left="540" w:right="728"/>
        <w:jc w:val="center"/>
        <w:rPr>
          <w:rFonts w:ascii="Arial" w:eastAsia="Times New Roman" w:hAnsi="Arial" w:cs="Arial"/>
          <w:b/>
          <w:bCs/>
          <w:sz w:val="24"/>
          <w:szCs w:val="24"/>
          <w:lang w:eastAsia="es-ES"/>
        </w:rPr>
      </w:pPr>
    </w:p>
    <w:p w14:paraId="6FF05903" w14:textId="77777777" w:rsidR="00676010" w:rsidRPr="00CF2780" w:rsidRDefault="00676010" w:rsidP="00676010">
      <w:pPr>
        <w:autoSpaceDE w:val="0"/>
        <w:autoSpaceDN w:val="0"/>
        <w:adjustRightInd w:val="0"/>
        <w:spacing w:after="0" w:line="240" w:lineRule="auto"/>
        <w:ind w:left="540" w:right="728"/>
        <w:jc w:val="both"/>
        <w:rPr>
          <w:rFonts w:ascii="Arial" w:eastAsia="Times New Roman" w:hAnsi="Arial" w:cs="Arial"/>
          <w:sz w:val="24"/>
          <w:szCs w:val="24"/>
          <w:lang w:eastAsia="es-ES"/>
        </w:rPr>
      </w:pPr>
    </w:p>
    <w:p w14:paraId="7293C48B" w14:textId="77777777" w:rsidR="00676010" w:rsidRPr="00CF2780" w:rsidRDefault="00676010" w:rsidP="00676010">
      <w:pPr>
        <w:autoSpaceDE w:val="0"/>
        <w:autoSpaceDN w:val="0"/>
        <w:adjustRightInd w:val="0"/>
        <w:spacing w:after="0" w:line="240" w:lineRule="auto"/>
        <w:ind w:left="540" w:right="728"/>
        <w:jc w:val="both"/>
        <w:rPr>
          <w:rFonts w:ascii="Arial" w:eastAsia="Times New Roman" w:hAnsi="Arial" w:cs="Arial"/>
          <w:b/>
          <w:bCs/>
          <w:sz w:val="24"/>
          <w:szCs w:val="24"/>
          <w:lang w:eastAsia="es-ES"/>
        </w:rPr>
      </w:pPr>
      <w:r w:rsidRPr="00CF2780">
        <w:rPr>
          <w:rFonts w:ascii="Arial" w:eastAsia="Times New Roman" w:hAnsi="Arial" w:cs="Arial"/>
          <w:b/>
          <w:bCs/>
          <w:sz w:val="24"/>
          <w:szCs w:val="24"/>
          <w:lang w:eastAsia="es-ES"/>
        </w:rPr>
        <w:t>Artículo 5</w:t>
      </w:r>
    </w:p>
    <w:p w14:paraId="29E7FD76" w14:textId="77777777" w:rsidR="00676010" w:rsidRPr="00CF2780" w:rsidRDefault="00676010" w:rsidP="00676010">
      <w:pPr>
        <w:autoSpaceDE w:val="0"/>
        <w:autoSpaceDN w:val="0"/>
        <w:adjustRightInd w:val="0"/>
        <w:spacing w:after="0" w:line="240" w:lineRule="auto"/>
        <w:ind w:left="540" w:right="728"/>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lastRenderedPageBreak/>
        <w:t>1. La aplicación de este Código corresponde al Instituto Estatal Electoral, al Tribunal Estatal Electoral y al Congreso del Estado erigido en Colegio Electoral para la calificación de las elecciones de gobernador y concejales de los ayuntamientos en sus respectivos ámbitos de competencia, de acuerdo a lo establecido en la Constitución Particular y en este Código.</w:t>
      </w:r>
    </w:p>
    <w:p w14:paraId="43F3602C" w14:textId="77777777" w:rsidR="00676010" w:rsidRPr="00CF2780" w:rsidRDefault="00676010" w:rsidP="00676010">
      <w:pPr>
        <w:autoSpaceDE w:val="0"/>
        <w:autoSpaceDN w:val="0"/>
        <w:adjustRightInd w:val="0"/>
        <w:spacing w:after="0" w:line="240" w:lineRule="auto"/>
        <w:ind w:left="540" w:right="728"/>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w:t>
      </w:r>
    </w:p>
    <w:p w14:paraId="6ABD5CB0" w14:textId="77777777" w:rsidR="00676010" w:rsidRPr="00CF2780" w:rsidRDefault="00676010" w:rsidP="00676010">
      <w:pPr>
        <w:spacing w:after="0" w:line="240" w:lineRule="auto"/>
        <w:jc w:val="both"/>
        <w:rPr>
          <w:rFonts w:ascii="Arial" w:eastAsia="Times New Roman" w:hAnsi="Arial" w:cs="Arial"/>
          <w:sz w:val="24"/>
          <w:szCs w:val="29"/>
          <w:lang w:val="es-ES_tradnl" w:eastAsia="es-ES"/>
        </w:rPr>
      </w:pPr>
    </w:p>
    <w:p w14:paraId="7D99AA92" w14:textId="77777777" w:rsidR="00676010" w:rsidRPr="00CF2780" w:rsidRDefault="00676010" w:rsidP="00676010">
      <w:pPr>
        <w:autoSpaceDE w:val="0"/>
        <w:autoSpaceDN w:val="0"/>
        <w:adjustRightInd w:val="0"/>
        <w:spacing w:after="0" w:line="240" w:lineRule="auto"/>
        <w:ind w:left="540" w:right="728"/>
        <w:jc w:val="both"/>
        <w:rPr>
          <w:rFonts w:ascii="Arial" w:eastAsia="Times New Roman" w:hAnsi="Arial" w:cs="Arial"/>
          <w:b/>
          <w:bCs/>
          <w:sz w:val="24"/>
          <w:szCs w:val="24"/>
          <w:lang w:eastAsia="es-ES"/>
        </w:rPr>
      </w:pPr>
      <w:r w:rsidRPr="00CF2780">
        <w:rPr>
          <w:rFonts w:ascii="Arial" w:eastAsia="Times New Roman" w:hAnsi="Arial" w:cs="Arial"/>
          <w:b/>
          <w:bCs/>
          <w:sz w:val="24"/>
          <w:szCs w:val="24"/>
          <w:lang w:eastAsia="es-ES"/>
        </w:rPr>
        <w:t>Artículo 122</w:t>
      </w:r>
    </w:p>
    <w:p w14:paraId="0B318CB1" w14:textId="77777777" w:rsidR="00676010" w:rsidRPr="00CF2780" w:rsidRDefault="00676010" w:rsidP="00676010">
      <w:pPr>
        <w:autoSpaceDE w:val="0"/>
        <w:autoSpaceDN w:val="0"/>
        <w:adjustRightInd w:val="0"/>
        <w:spacing w:after="0" w:line="240" w:lineRule="auto"/>
        <w:ind w:left="540" w:right="728"/>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La Legislatura del estado conocerá de la elección de las autoridades municipales por usos y costumbres y ratificará, en su caso, la validez de las mismas y expedirá el decreto correspondiente que enviará para su publicación en el Periódico Oficial.</w:t>
      </w:r>
    </w:p>
    <w:p w14:paraId="06EF1A47" w14:textId="77777777" w:rsidR="00676010" w:rsidRPr="00CF2780" w:rsidRDefault="00676010" w:rsidP="00676010">
      <w:pPr>
        <w:spacing w:after="0" w:line="240" w:lineRule="auto"/>
        <w:jc w:val="center"/>
        <w:rPr>
          <w:rFonts w:ascii="Arial" w:eastAsia="Times New Roman" w:hAnsi="Arial" w:cs="Arial"/>
          <w:b/>
          <w:bCs/>
          <w:sz w:val="24"/>
          <w:szCs w:val="29"/>
          <w:lang w:eastAsia="es-ES"/>
        </w:rPr>
      </w:pPr>
    </w:p>
    <w:p w14:paraId="1DCFBD35" w14:textId="77777777" w:rsidR="00676010" w:rsidRPr="00CF2780" w:rsidRDefault="00676010" w:rsidP="00676010">
      <w:pPr>
        <w:spacing w:after="0" w:line="240" w:lineRule="auto"/>
        <w:jc w:val="center"/>
        <w:rPr>
          <w:rFonts w:ascii="Arial" w:eastAsia="Times New Roman" w:hAnsi="Arial" w:cs="Arial"/>
          <w:b/>
          <w:bCs/>
          <w:sz w:val="24"/>
          <w:szCs w:val="24"/>
          <w:lang w:eastAsia="es-ES"/>
        </w:rPr>
      </w:pPr>
      <w:r w:rsidRPr="00CF2780">
        <w:rPr>
          <w:rFonts w:ascii="Arial" w:eastAsia="Times New Roman" w:hAnsi="Arial" w:cs="Arial"/>
          <w:b/>
          <w:bCs/>
          <w:sz w:val="24"/>
          <w:szCs w:val="24"/>
          <w:lang w:eastAsia="es-ES"/>
        </w:rPr>
        <w:t>Ley Orgánica del Poder Legislativo</w:t>
      </w:r>
    </w:p>
    <w:p w14:paraId="459A628F" w14:textId="77777777" w:rsidR="00676010" w:rsidRPr="00CF2780" w:rsidRDefault="00676010" w:rsidP="00676010">
      <w:pPr>
        <w:autoSpaceDE w:val="0"/>
        <w:autoSpaceDN w:val="0"/>
        <w:adjustRightInd w:val="0"/>
        <w:spacing w:after="0" w:line="240" w:lineRule="auto"/>
        <w:ind w:left="540" w:right="728"/>
        <w:jc w:val="center"/>
        <w:rPr>
          <w:rFonts w:ascii="Arial" w:eastAsia="Times New Roman" w:hAnsi="Arial" w:cs="Arial"/>
          <w:b/>
          <w:bCs/>
          <w:sz w:val="24"/>
          <w:szCs w:val="24"/>
          <w:lang w:eastAsia="es-ES"/>
        </w:rPr>
      </w:pPr>
      <w:r w:rsidRPr="00CF2780">
        <w:rPr>
          <w:rFonts w:ascii="Arial" w:eastAsia="Times New Roman" w:hAnsi="Arial" w:cs="Arial"/>
          <w:b/>
          <w:bCs/>
          <w:sz w:val="24"/>
          <w:szCs w:val="24"/>
          <w:lang w:eastAsia="es-ES"/>
        </w:rPr>
        <w:t>del Estado de Oaxaca</w:t>
      </w:r>
    </w:p>
    <w:p w14:paraId="4EC3ECA7" w14:textId="77777777" w:rsidR="00676010" w:rsidRPr="00CF2780" w:rsidRDefault="00676010" w:rsidP="00676010">
      <w:pPr>
        <w:autoSpaceDE w:val="0"/>
        <w:autoSpaceDN w:val="0"/>
        <w:adjustRightInd w:val="0"/>
        <w:spacing w:after="0" w:line="240" w:lineRule="auto"/>
        <w:ind w:left="540" w:right="728"/>
        <w:jc w:val="both"/>
        <w:rPr>
          <w:rFonts w:ascii="Arial" w:eastAsia="Times New Roman" w:hAnsi="Arial" w:cs="Arial"/>
          <w:sz w:val="24"/>
          <w:szCs w:val="24"/>
          <w:lang w:eastAsia="es-ES"/>
        </w:rPr>
      </w:pPr>
    </w:p>
    <w:p w14:paraId="4D5AA14D" w14:textId="77777777" w:rsidR="00676010" w:rsidRPr="00CF2780" w:rsidRDefault="00676010" w:rsidP="00676010">
      <w:pPr>
        <w:spacing w:after="0" w:line="240" w:lineRule="auto"/>
        <w:rPr>
          <w:rFonts w:ascii="Arial" w:eastAsia="Times New Roman" w:hAnsi="Arial" w:cs="Arial"/>
          <w:b/>
          <w:bCs/>
          <w:sz w:val="24"/>
          <w:szCs w:val="24"/>
          <w:lang w:eastAsia="es-ES"/>
        </w:rPr>
      </w:pPr>
      <w:r w:rsidRPr="00CF2780">
        <w:rPr>
          <w:rFonts w:ascii="Arial" w:eastAsia="Times New Roman" w:hAnsi="Arial" w:cs="Arial"/>
          <w:b/>
          <w:bCs/>
          <w:sz w:val="24"/>
          <w:szCs w:val="24"/>
          <w:lang w:eastAsia="es-ES"/>
        </w:rPr>
        <w:t xml:space="preserve">        Artículo 77</w:t>
      </w:r>
    </w:p>
    <w:p w14:paraId="28EAF0A0" w14:textId="77777777" w:rsidR="00676010" w:rsidRPr="00CF2780" w:rsidRDefault="00676010" w:rsidP="00676010">
      <w:pPr>
        <w:spacing w:after="0" w:line="240" w:lineRule="auto"/>
        <w:ind w:left="540" w:right="728"/>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 xml:space="preserve">La Legislatura se erigirá en Colegio Electoral cuando se trate: </w:t>
      </w:r>
    </w:p>
    <w:p w14:paraId="581DE1F2" w14:textId="77777777" w:rsidR="00676010" w:rsidRPr="00CF2780" w:rsidRDefault="00676010" w:rsidP="00676010">
      <w:pPr>
        <w:spacing w:after="0" w:line="240" w:lineRule="auto"/>
        <w:ind w:left="540" w:right="728"/>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w:t>
      </w:r>
    </w:p>
    <w:p w14:paraId="0D71E71F" w14:textId="77777777" w:rsidR="00676010" w:rsidRPr="00CF2780" w:rsidRDefault="00676010" w:rsidP="00676010">
      <w:pPr>
        <w:spacing w:after="0" w:line="240" w:lineRule="auto"/>
        <w:ind w:left="540" w:right="728"/>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IV.- De calificar las elecciones de Concejales Municipales de los Ayuntamientos del Estado.</w:t>
      </w:r>
    </w:p>
    <w:p w14:paraId="65BC3A72" w14:textId="77777777" w:rsidR="00676010" w:rsidRPr="00CF2780" w:rsidRDefault="00676010" w:rsidP="00676010">
      <w:pPr>
        <w:spacing w:after="0" w:line="240" w:lineRule="auto"/>
        <w:ind w:left="540" w:right="728"/>
        <w:jc w:val="both"/>
        <w:rPr>
          <w:rFonts w:ascii="Arial" w:eastAsia="Times New Roman" w:hAnsi="Arial" w:cs="Arial"/>
          <w:sz w:val="24"/>
          <w:szCs w:val="24"/>
          <w:lang w:eastAsia="es-ES"/>
        </w:rPr>
      </w:pPr>
    </w:p>
    <w:p w14:paraId="011B0B5F" w14:textId="77777777" w:rsidR="00676010" w:rsidRPr="00CF2780" w:rsidRDefault="00676010" w:rsidP="00676010">
      <w:pPr>
        <w:spacing w:after="0" w:line="240" w:lineRule="auto"/>
        <w:ind w:left="540" w:right="728"/>
        <w:jc w:val="both"/>
        <w:rPr>
          <w:rFonts w:ascii="Arial" w:eastAsia="Times New Roman" w:hAnsi="Arial" w:cs="Arial"/>
          <w:b/>
          <w:bCs/>
          <w:sz w:val="24"/>
          <w:szCs w:val="24"/>
          <w:lang w:eastAsia="es-ES"/>
        </w:rPr>
      </w:pPr>
      <w:r w:rsidRPr="00CF2780">
        <w:rPr>
          <w:rFonts w:ascii="Arial" w:eastAsia="Times New Roman" w:hAnsi="Arial" w:cs="Arial"/>
          <w:b/>
          <w:bCs/>
          <w:sz w:val="24"/>
          <w:szCs w:val="24"/>
          <w:lang w:eastAsia="es-ES"/>
        </w:rPr>
        <w:t>Artículo 78</w:t>
      </w:r>
    </w:p>
    <w:p w14:paraId="058FFAD4" w14:textId="77777777" w:rsidR="00676010" w:rsidRPr="00CF2780" w:rsidRDefault="00676010" w:rsidP="00676010">
      <w:pPr>
        <w:spacing w:after="0" w:line="240" w:lineRule="auto"/>
        <w:ind w:left="540" w:right="728"/>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En los casos de las fracciones I y IV del artículo anterior, luego que los expedientes de elecciones se encuentren en poder de la Secretaría, se dará cuenta a la Legislatura, la que nombrará de entre su seno una Comisión compuesta por 5 miembros. A esta pasarán dichos expedientes y presentará dictamen dentro del término de cinco días.</w:t>
      </w:r>
    </w:p>
    <w:p w14:paraId="7F965D25" w14:textId="77777777" w:rsidR="00676010" w:rsidRPr="00CF2780" w:rsidRDefault="00676010" w:rsidP="00676010">
      <w:pPr>
        <w:spacing w:after="0" w:line="240" w:lineRule="auto"/>
        <w:ind w:left="540" w:right="728"/>
        <w:jc w:val="both"/>
        <w:rPr>
          <w:rFonts w:ascii="Arial" w:eastAsia="Times New Roman" w:hAnsi="Arial" w:cs="Arial"/>
          <w:sz w:val="24"/>
          <w:szCs w:val="24"/>
          <w:lang w:eastAsia="es-ES"/>
        </w:rPr>
      </w:pPr>
    </w:p>
    <w:p w14:paraId="468060BD" w14:textId="77777777" w:rsidR="00676010" w:rsidRPr="00CF2780" w:rsidRDefault="00676010" w:rsidP="00676010">
      <w:pPr>
        <w:spacing w:after="0" w:line="240" w:lineRule="auto"/>
        <w:ind w:left="540" w:right="728"/>
        <w:jc w:val="both"/>
        <w:rPr>
          <w:rFonts w:ascii="Arial" w:eastAsia="Times New Roman" w:hAnsi="Arial" w:cs="Arial"/>
          <w:b/>
          <w:bCs/>
          <w:sz w:val="24"/>
          <w:szCs w:val="24"/>
          <w:lang w:eastAsia="es-ES"/>
        </w:rPr>
      </w:pPr>
      <w:r w:rsidRPr="00CF2780">
        <w:rPr>
          <w:rFonts w:ascii="Arial" w:eastAsia="Times New Roman" w:hAnsi="Arial" w:cs="Arial"/>
          <w:b/>
          <w:bCs/>
          <w:sz w:val="24"/>
          <w:szCs w:val="24"/>
          <w:lang w:eastAsia="es-ES"/>
        </w:rPr>
        <w:t>Artículo 81</w:t>
      </w:r>
    </w:p>
    <w:p w14:paraId="460C1CD5" w14:textId="77777777" w:rsidR="00676010" w:rsidRPr="00CF2780" w:rsidRDefault="00676010" w:rsidP="00676010">
      <w:pPr>
        <w:spacing w:after="0" w:line="240" w:lineRule="auto"/>
        <w:ind w:left="540" w:right="728"/>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Tratándose de la calificación de las elecciones a concejales municipales se seguirá el procedimiento previsto en el Reglamento Interior del Congreso.</w:t>
      </w:r>
    </w:p>
    <w:p w14:paraId="59BAFFFA" w14:textId="77777777" w:rsidR="00676010" w:rsidRPr="00CF2780" w:rsidRDefault="00676010" w:rsidP="00676010">
      <w:pPr>
        <w:spacing w:after="0" w:line="240" w:lineRule="auto"/>
        <w:ind w:left="540" w:right="728"/>
        <w:jc w:val="both"/>
        <w:rPr>
          <w:rFonts w:ascii="Arial" w:eastAsia="Times New Roman" w:hAnsi="Arial" w:cs="Arial"/>
          <w:sz w:val="24"/>
          <w:szCs w:val="24"/>
          <w:lang w:eastAsia="es-ES"/>
        </w:rPr>
      </w:pPr>
    </w:p>
    <w:p w14:paraId="75FB0989" w14:textId="77777777" w:rsidR="00676010" w:rsidRPr="00CF2780" w:rsidRDefault="00676010" w:rsidP="00676010">
      <w:pPr>
        <w:spacing w:after="0" w:line="240" w:lineRule="auto"/>
        <w:ind w:left="540" w:right="728"/>
        <w:jc w:val="both"/>
        <w:rPr>
          <w:rFonts w:ascii="Arial" w:eastAsia="Times New Roman" w:hAnsi="Arial" w:cs="Arial"/>
          <w:sz w:val="24"/>
          <w:szCs w:val="24"/>
          <w:lang w:eastAsia="es-ES"/>
        </w:rPr>
      </w:pPr>
    </w:p>
    <w:p w14:paraId="3AA9C64E" w14:textId="77777777" w:rsidR="00676010" w:rsidRPr="00CF2780" w:rsidRDefault="00676010" w:rsidP="00676010">
      <w:pPr>
        <w:spacing w:after="0" w:line="240" w:lineRule="auto"/>
        <w:ind w:left="540" w:right="728"/>
        <w:jc w:val="center"/>
        <w:rPr>
          <w:rFonts w:ascii="Arial" w:eastAsia="Times New Roman" w:hAnsi="Arial" w:cs="Arial"/>
          <w:b/>
          <w:bCs/>
          <w:sz w:val="24"/>
          <w:szCs w:val="24"/>
          <w:lang w:eastAsia="es-ES"/>
        </w:rPr>
      </w:pPr>
      <w:r w:rsidRPr="00CF2780">
        <w:rPr>
          <w:rFonts w:ascii="Arial" w:eastAsia="Times New Roman" w:hAnsi="Arial" w:cs="Arial"/>
          <w:b/>
          <w:bCs/>
          <w:sz w:val="24"/>
          <w:szCs w:val="24"/>
          <w:lang w:eastAsia="es-ES"/>
        </w:rPr>
        <w:t>Reglamento Interior del Congreso del</w:t>
      </w:r>
    </w:p>
    <w:p w14:paraId="1E2969CB" w14:textId="77777777" w:rsidR="00676010" w:rsidRPr="00CF2780" w:rsidRDefault="00676010" w:rsidP="00676010">
      <w:pPr>
        <w:spacing w:after="0" w:line="240" w:lineRule="auto"/>
        <w:ind w:left="540" w:right="728"/>
        <w:jc w:val="center"/>
        <w:rPr>
          <w:rFonts w:ascii="Arial" w:eastAsia="Times New Roman" w:hAnsi="Arial" w:cs="Arial"/>
          <w:b/>
          <w:bCs/>
          <w:sz w:val="24"/>
          <w:szCs w:val="24"/>
          <w:lang w:eastAsia="es-ES"/>
        </w:rPr>
      </w:pPr>
      <w:r w:rsidRPr="00CF2780">
        <w:rPr>
          <w:rFonts w:ascii="Arial" w:eastAsia="Times New Roman" w:hAnsi="Arial" w:cs="Arial"/>
          <w:b/>
          <w:bCs/>
          <w:sz w:val="24"/>
          <w:szCs w:val="24"/>
          <w:lang w:eastAsia="es-ES"/>
        </w:rPr>
        <w:t>Estado Libre y Soberano de Oaxaca</w:t>
      </w:r>
    </w:p>
    <w:p w14:paraId="35CC40DA" w14:textId="77777777" w:rsidR="00676010" w:rsidRPr="00CF2780" w:rsidRDefault="00676010" w:rsidP="00676010">
      <w:pPr>
        <w:spacing w:after="0" w:line="240" w:lineRule="auto"/>
        <w:ind w:left="540" w:right="728"/>
        <w:jc w:val="both"/>
        <w:rPr>
          <w:rFonts w:ascii="Arial" w:eastAsia="Times New Roman" w:hAnsi="Arial" w:cs="Arial"/>
          <w:sz w:val="24"/>
          <w:szCs w:val="24"/>
          <w:lang w:eastAsia="es-ES"/>
        </w:rPr>
      </w:pPr>
    </w:p>
    <w:p w14:paraId="77E0B632" w14:textId="77777777" w:rsidR="00676010" w:rsidRPr="00CF2780" w:rsidRDefault="00676010" w:rsidP="00676010">
      <w:pPr>
        <w:spacing w:after="0" w:line="240" w:lineRule="auto"/>
        <w:rPr>
          <w:rFonts w:ascii="Arial" w:eastAsia="Times New Roman" w:hAnsi="Arial" w:cs="Arial"/>
          <w:b/>
          <w:bCs/>
          <w:sz w:val="24"/>
          <w:szCs w:val="24"/>
          <w:lang w:eastAsia="es-ES"/>
        </w:rPr>
      </w:pPr>
      <w:r w:rsidRPr="00CF2780">
        <w:rPr>
          <w:rFonts w:ascii="Arial" w:eastAsia="Times New Roman" w:hAnsi="Arial" w:cs="Arial"/>
          <w:b/>
          <w:bCs/>
          <w:sz w:val="24"/>
          <w:szCs w:val="24"/>
          <w:lang w:eastAsia="es-ES"/>
        </w:rPr>
        <w:t xml:space="preserve">         Artículo 152</w:t>
      </w:r>
    </w:p>
    <w:p w14:paraId="02BA958D" w14:textId="77777777" w:rsidR="00676010" w:rsidRPr="00CF2780" w:rsidRDefault="00676010" w:rsidP="00676010">
      <w:pPr>
        <w:spacing w:after="0" w:line="240" w:lineRule="auto"/>
        <w:ind w:left="539" w:right="788"/>
        <w:jc w:val="both"/>
        <w:rPr>
          <w:rFonts w:ascii="Arial" w:eastAsia="Times New Roman" w:hAnsi="Arial" w:cs="Arial"/>
          <w:sz w:val="28"/>
          <w:szCs w:val="24"/>
          <w:lang w:eastAsia="es-ES"/>
        </w:rPr>
      </w:pPr>
      <w:r w:rsidRPr="00CF2780">
        <w:rPr>
          <w:rFonts w:ascii="Arial" w:eastAsia="Times New Roman" w:hAnsi="Arial" w:cs="Arial"/>
          <w:sz w:val="24"/>
          <w:szCs w:val="24"/>
          <w:lang w:eastAsia="es-ES"/>
        </w:rPr>
        <w:t>La Legislatura se erigirá en Colegio Electoral, en los casos previstos en la Constitución Política del Estado Libre y Soberano de Oaxaca, la Ley Orgánica del Poder Legislativo y para la calificación de los comicios municipales.</w:t>
      </w:r>
    </w:p>
    <w:p w14:paraId="4B07FF97"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0CE514A2"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lastRenderedPageBreak/>
        <w:t>De ellos se puede validamente colegir que la Legislatura del Estado de Oaxaca, tiene entre sus facultades, la de calificar las elecciones de los ayuntamientos, erigida en Colegio Electoral, pues según la propia legislación, conoce de la elección de las autoridades municipales por usos y costumbres y ratifica, en su caso, la validez de las mismas, expidiendo el decreto correspondiente.</w:t>
      </w:r>
    </w:p>
    <w:p w14:paraId="4B554DFD" w14:textId="77777777" w:rsidR="00676010" w:rsidRPr="00CF2780" w:rsidRDefault="00676010" w:rsidP="00676010">
      <w:pPr>
        <w:spacing w:after="0" w:line="360" w:lineRule="auto"/>
        <w:jc w:val="both"/>
        <w:rPr>
          <w:rFonts w:ascii="Arial" w:eastAsia="Times New Roman" w:hAnsi="Arial" w:cs="Arial"/>
          <w:sz w:val="28"/>
          <w:szCs w:val="24"/>
          <w:lang w:val="es-ES" w:eastAsia="es-ES"/>
        </w:rPr>
      </w:pPr>
    </w:p>
    <w:p w14:paraId="229DB329"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r w:rsidRPr="00CF2780">
        <w:rPr>
          <w:rFonts w:ascii="Arial" w:eastAsia="Times New Roman" w:hAnsi="Arial" w:cs="Arial"/>
          <w:sz w:val="28"/>
          <w:szCs w:val="29"/>
          <w:lang w:eastAsia="es-ES"/>
        </w:rPr>
        <w:t>Esto tiene especial importancia, porque evidencia que la declaración de validez de la elección de ayuntamientos por usos y costumbres, no constituye un formalismo vacío, sino que debe ser producto del examen de todas las circunstancias, hechos y actos que conforman el proceso electoral, todo lo cual debe ser confrontado con normas y principios rectores de la actividad electoral. A través de la referida calificación, la autoridad electoral estará en condiciones de emitir un juicio sobre si el proceso electoral se encuentra ajustado a la ley, a fin de que la respuesta positiva conduzca a la declaración de validez, o bien, en caso contrario, a la nulidad de la elección.</w:t>
      </w:r>
    </w:p>
    <w:p w14:paraId="16EEF3FA"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p>
    <w:p w14:paraId="68128D9E"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r w:rsidRPr="00CF2780">
        <w:rPr>
          <w:rFonts w:ascii="Arial" w:eastAsia="Times New Roman" w:hAnsi="Arial" w:cs="Arial"/>
          <w:sz w:val="28"/>
          <w:szCs w:val="29"/>
          <w:lang w:eastAsia="es-ES"/>
        </w:rPr>
        <w:t>Por ello, la calificación y declaración de validez de la elección, así como la expedición de la correspondiente constancia, constituyen actos fundamentales en la etapa de resultados del proceso electoral.</w:t>
      </w:r>
    </w:p>
    <w:p w14:paraId="2ACFD166"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p>
    <w:p w14:paraId="01A0F838"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r w:rsidRPr="00CF2780">
        <w:rPr>
          <w:rFonts w:ascii="Arial" w:eastAsia="Times New Roman" w:hAnsi="Arial" w:cs="Arial"/>
          <w:sz w:val="28"/>
          <w:szCs w:val="29"/>
          <w:lang w:eastAsia="es-ES"/>
        </w:rPr>
        <w:t xml:space="preserve">Para que el Congreso del Estado de Oaxaca lleve a cabo la valoración en comento, debe contar con determinados puntos de referencia, que no son otros, sino los principios a que debe sujetarse una elección democrática, los cuales permitirán determinar, si las circunstancias que acontecen antes y durante los comicios afectan o no, de una manera </w:t>
      </w:r>
      <w:r w:rsidRPr="00CF2780">
        <w:rPr>
          <w:rFonts w:ascii="Arial" w:eastAsia="Times New Roman" w:hAnsi="Arial" w:cs="Arial"/>
          <w:sz w:val="28"/>
          <w:szCs w:val="29"/>
          <w:lang w:eastAsia="es-ES"/>
        </w:rPr>
        <w:lastRenderedPageBreak/>
        <w:t>cualitativamente substancial, los resultados de las elecciones y, por ende, si procede o no hacer la declaración de validez de la elección correspondiente.</w:t>
      </w:r>
    </w:p>
    <w:p w14:paraId="175F3EBC"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p>
    <w:p w14:paraId="3BF6633A"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Consecuentemente, resulta imperioso determinar los elementos que deben revestir, en este caso, las elecciones seguidas bajo normas de derecho consuetudinario indígena, lo cual, de suyo, conlleva un régimen particular que las distancia de otros comicios que se siguen, por llamarlo de algún modo, bajo condiciones ordinarias.</w:t>
      </w:r>
    </w:p>
    <w:p w14:paraId="76497E7F"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7C86CF29"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En primer término, conviene resaltar lo dispuesto por los artículos 39 y 40 de la Constitución federal, según los cuales, la soberanía nacional reside esencial y originariamente en el pueblo mexicano, por lo que todo poder público dimana de él y en su beneficio, siendo precisamente su voluntad constituirse en una República representativa, democrática, federal, compuesta de Estados libres y soberanos en todo lo concerniente a su régimen interior, pero unidos en una federación establecida según los principios de la propia Ley Fundamental. A lo que agrega el artículo 41, primer párrafo, que el pueblo ejerce su soberanía por medio de los Poderes de la Unión, en las materias de su competencia, y por los de los Estados, en sus respectivos regímenes interiores, en los términos establecidos, respectivamente, por la misma Constitución federal y las particulares de los Estados, las que se encuentran impedidas para contravenir las disposiciones de aquélla.</w:t>
      </w:r>
    </w:p>
    <w:p w14:paraId="5AC65001"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04F816CD"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 xml:space="preserve">El contenido de estos postulados no es una mera declaración retórica de determinadas opciones políticas a cargo del Estado mexicano; por el </w:t>
      </w:r>
      <w:r w:rsidRPr="00CF2780">
        <w:rPr>
          <w:rFonts w:ascii="Arial" w:eastAsia="Times New Roman" w:hAnsi="Arial" w:cs="Arial"/>
          <w:sz w:val="28"/>
          <w:szCs w:val="24"/>
          <w:lang w:eastAsia="es-ES"/>
        </w:rPr>
        <w:lastRenderedPageBreak/>
        <w:t>contrario, al tenor de lo instituido en el diverso 133 de la propia Carta Magna, cuenta con pleno valor normativo, al tener el carácter de Ley Suprema de toda la Unión.</w:t>
      </w:r>
    </w:p>
    <w:p w14:paraId="3C8F612F"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63901014"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Por ello, esa formulación abstracta de reconocimiento consistente en que el poder radica en última instancia en el pueblo y se institucionaliza para su beneficio, por virtud del cual el Estado mexicano merece el calificativo de democrático, reviste el carácter de columna vertebral de todo el sistema constitucional, principio estructural que se encuentra desarrollado a lo largo de todo el articulado y que, además, impregna todo el texto constitucional y el resto del ordenamiento jurídico, el cual debe ser interpretado a la luz de estas declaraciones y de los valores que propugna, establecidos como ideales que una comunidad decide proponerse como los máximos objetivos de su ordenamiento jurídico, valores que si bien no se encuentran necesariamente explicitados como tales, su existencia resulta evidente del propio articulado, por lo que no pueden ser desconocidos.</w:t>
      </w:r>
    </w:p>
    <w:p w14:paraId="28C5BE76"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45287D9F"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La caracterización como República representativa y democrática, entonces, se despliega mediante el consentimiento fundacional de los gobernados como fuente última del poder, legitimando todo el orden de autoridades del Estado y todo el orden de prescripciones de derecho. Asimismo, implica la necesaria conexión entre el poder y los ciudadanos, principalmente, mediante la participación de los ciudadanos en la designación de quienes se ocupan de las tareas del Estado, a través de las instituciones clave del sistema, que normalmente tienen un carácter representativo.</w:t>
      </w:r>
    </w:p>
    <w:p w14:paraId="3D6824EA"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5F5CEAEA"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Esto se encuentra claramente preceptuado cuando el artículo 41 de la Ley Fundamental ordena que la renovación de los poderes Legislativo y Ejecutivo de la Unión se realice mediante elecciones libres, auténticas y periódicas, conforme las bases que incorpora el mismo numeral, entre otras, mediante el papel trascendental de los partidos políticos que, como organizaciones de ciudadanos, hacen posible el acceso de éstos al ejercicio del poder público, así como también organizan, articulan y promueven la participación en la vida democrática de las distintas visiones y corrientes radicadas en el seno de la sociedad, contribuyendo así a la configuración de la representación nacional, razones por las cuales revisten el carácter de entidades de interés público, se les dota de ciertas garantías a los partidos de índole nacional para la debida consecución de sus fines y se ordena el establecimiento legal de ciertas cuestiones para el adecuado funcionamiento de los partidos y las contiendas electorales; a través, también, de la organización de las elecciones por un organismo público autónomo, autoridad en la materia, independiente en sus decisiones y funcionamiento y profesional en su desempeño, encargado de la función electoral, en la cual son principios rectores la certeza, legalidad, independencia, imparcialidad y objetividad; y, por último, con el establecimiento de un sistema de medios de impugnación para garantizar los principios de constitucionalidad y legalidad de los actos y resoluciones electorales, dar definitividad a las distintas etapas de los procesos electorales y proteger los derechos políticos de los ciudadanos de votar, ser votado y de asociación.</w:t>
      </w:r>
    </w:p>
    <w:p w14:paraId="0AACFEE8"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29BBD357"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lastRenderedPageBreak/>
        <w:t>Acorde con lo anterior, los artículos 115 y 116 de la propia Carta Magna imponen diversos deberes al régimen interior de las entidades federativas para garantizar el carácter democrático y representativo de la Nación, tales como la elección popular directa de los ayuntamientos municipales, de los integrantes de las legislaturas locales y de los gobernadores, una adecuada representatividad de los órganos legislativos mediante una proporcionabilidad entre número de diputados y la población y el establecimiento de un sistema electoral mixto, atendiendo a los principios de mayoría relativa y de representación proporcional.</w:t>
      </w:r>
    </w:p>
    <w:p w14:paraId="25A767E8"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2249E4B5"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 xml:space="preserve">Adicionalmente, la fracción IV del último dispositivo citado incorpora una serie de garantías electorales que deben contemplarse en las Constituciones estatales y leyes electorales: elecciones mediante sufragio universal, libre y secreto y directo; ejercicio de la función electoral a cargo de autoridades a través de los principios rectores de legalidad, imparcialidad, objetividad, certeza e independencia; organización de los comicios y resolución de los conflictos que en los mismos pudieran surgir a cargo de autoridades autónomas en su funcionamiento e independientes en sus decisiones; establecimiento de medios de impugnación para que todos los actos y resoluciones electorales se sujeten invariablemente al principio de legalidad, fijándose los plazos legales para el desahogo de todas las instancias impugnativas, con base en el principio de definitividad; otorgamiento a los partidos políticos, de manera equitativa y conforme las disponibilidades presupuestales, de financiamiento público para su sostenimiento y el desarrollo de las campañas electorales; acceso de </w:t>
      </w:r>
      <w:r w:rsidRPr="00CF2780">
        <w:rPr>
          <w:rFonts w:ascii="Arial" w:eastAsia="Times New Roman" w:hAnsi="Arial" w:cs="Arial"/>
          <w:sz w:val="28"/>
          <w:szCs w:val="24"/>
          <w:lang w:eastAsia="es-ES"/>
        </w:rPr>
        <w:lastRenderedPageBreak/>
        <w:t>los partidos a los medios de comunicación social en condiciones de equidad; fijación de criterios para determinar los límites a las erogaciones de los institutos políticos en sus campañas electorales, de los montos máximos que tengan las aportaciones pecuniarias de sus simpatizantes, de los procedimientos de control y vigilancia del origen y uso de sus recursos y de las sanciones por el incumplimiento en estas materias; y la tipificación de delitos y la determinación de faltas en cuestiones electorales.</w:t>
      </w:r>
    </w:p>
    <w:p w14:paraId="07D7BACA"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7A259259"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Lo mismo acontece en el caso del Distrito Federal, al prever el artículo 122, párrafos tercero, cuarto y sexto, apartados A, fracción II, C, base primera, fracciones I y V, inciso f) de la Constitución federal, la elección periódica de los integrantes de su Asamblea Legislativa y del Jefe de Gobierno mediante votación universal, libre, secreta y directa, y el imperativo de seguir los principios adoptados para los estados federados en el artículo 116, fracción  IV del mismo ordenamiento, con excepción del relativo a la elección de los gobernadores, miembros de las legislaturas locales e integrantes de los ayuntamientos, dada la particularidad de sus instituciones y órganos de gobierno.</w:t>
      </w:r>
    </w:p>
    <w:p w14:paraId="0E6C5EAA"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6E785CD2"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 xml:space="preserve">Con las disposiciones referidas, entre otras, es posible constatar que la Constitución Política de los Estados Unidos Mexicanos articula una serie de elementos que desarrollan y garantizan su carácter de República representativa y democrática, al plasmar en su articulado los principios fundamentales de una elección democrática, cuyo cumplimiento debe ser imprescindible para que unos comicios se consideren producto del ejercicio popular de la soberanía, y que al estar </w:t>
      </w:r>
      <w:r w:rsidRPr="00CF2780">
        <w:rPr>
          <w:rFonts w:ascii="Arial" w:eastAsia="Times New Roman" w:hAnsi="Arial" w:cs="Arial"/>
          <w:sz w:val="28"/>
          <w:szCs w:val="24"/>
          <w:lang w:eastAsia="es-ES"/>
        </w:rPr>
        <w:lastRenderedPageBreak/>
        <w:t>elevados a rango constitucional tiene un carácter imperativo, de orden público, de obediencia inexcusable y no son renunciables, sin que para prevalecer tengan que ser contemplados, detallados o desarrollados por  las constituciones locales, el estatuto de gobierno del Distrito Federal o las leyes electorales correspondientes, porque lo importante es que tales principios se encuentran sostenidos en la Carta Magna, cuya imperatividad y posición normativa suprema resultan indiscutibles, al tenor del artículo 133 del mismo ordenamiento.</w:t>
      </w:r>
    </w:p>
    <w:p w14:paraId="1A8DE5EB"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50BA2523"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Ahora bien, una democracia sólo se constituye como tal si la sociedad política que la conforma se encuentra convenientemente diversificada y organizada para ello, por lo que el principio democrático también exige que opere como manifestación de la pluralidad de la población, de tal forma que puedan ser articuladas políticamente las distintas visiones y proyectos de Nación, dentro de los límites constitucionales, es decir, un régimen democrático conlleva un sistema que permite el planteamiento de distintas opciones (políticas, sociales, culturales, etcétera), pues se encuentra directamente relacionado con aquellas garantías individuales que protegen la libertad ideológica y la intimidad o el secreto voluntario de la misma, aspectos que se encuentran implícitamente reconocidos en los artículos 1o, primer párrafo, 6o, 7o y 24, primer párrafo, constitucionales.</w:t>
      </w:r>
    </w:p>
    <w:p w14:paraId="102F9579"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0C85E9B3"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 xml:space="preserve">Tradicionalmente, reconocido incluso por nuestra Ley Fundamental desde 1977, esa función de organización de la diversidad ha tenido como sustento la individualidad misma de los ciudadanos, quienes en ejercicio de las libertades que les reconocen en los artículos 1°, 9 y 35, </w:t>
      </w:r>
      <w:r w:rsidRPr="00CF2780">
        <w:rPr>
          <w:rFonts w:ascii="Arial" w:eastAsia="Times New Roman" w:hAnsi="Arial" w:cs="Arial"/>
          <w:sz w:val="28"/>
          <w:szCs w:val="24"/>
          <w:lang w:eastAsia="es-ES"/>
        </w:rPr>
        <w:lastRenderedPageBreak/>
        <w:t>fracción III, de la Constitución federal, se encuentran en aptitud de asociarse para conformar partidos políticos o de afiliarse a los ya existentes, que, como se apuntó en párrafos anteriores, son las organizaciones encargadas ordinariamente de contribuir a la integración de la representación popular.</w:t>
      </w:r>
    </w:p>
    <w:p w14:paraId="086327FC"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5F01AB9D"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 xml:space="preserve">En efecto, la evolución constitucional de México, entendida en el marco mundial que supone la corriente histórica del constitucionalismo moderno, permite afirmar que la democracia representativa parte de la idea de la autonomía de la persona, de la necesidad de asegurarle las mayores posibilidades de desarrollo individual en la vida social. </w:t>
      </w:r>
    </w:p>
    <w:p w14:paraId="5E21814C"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466A2397"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 xml:space="preserve">Por ello, no resulta extraño que la primera disposición de la Carta Magna se encuentre destinada a tutelar que en </w:t>
      </w:r>
      <w:r w:rsidRPr="00CF2780">
        <w:rPr>
          <w:rFonts w:ascii="Arial" w:eastAsia="Times New Roman" w:hAnsi="Arial" w:cs="Arial"/>
          <w:i/>
          <w:iCs/>
          <w:sz w:val="28"/>
          <w:szCs w:val="24"/>
          <w:lang w:eastAsia="es-ES"/>
        </w:rPr>
        <w:t>“Los Estados Unidos Mexicanos todo individuo gozará de las garantías que otorga esta Constitución, las cuales no podrán restringirse ni suspenderse, sino en los casos y con las condiciones que ella misma establece”</w:t>
      </w:r>
      <w:r w:rsidRPr="00CF2780">
        <w:rPr>
          <w:rFonts w:ascii="Arial" w:eastAsia="Times New Roman" w:hAnsi="Arial" w:cs="Arial"/>
          <w:sz w:val="28"/>
          <w:szCs w:val="24"/>
          <w:lang w:eastAsia="es-ES"/>
        </w:rPr>
        <w:t xml:space="preserve"> (artículo 1o, primer párrafo), precepto que en conexión con el segundo enunciado del artículo 39 (</w:t>
      </w:r>
      <w:r w:rsidRPr="00CF2780">
        <w:rPr>
          <w:rFonts w:ascii="Arial" w:eastAsia="Times New Roman" w:hAnsi="Arial" w:cs="Arial"/>
          <w:i/>
          <w:iCs/>
          <w:sz w:val="28"/>
          <w:szCs w:val="24"/>
          <w:lang w:eastAsia="es-ES"/>
        </w:rPr>
        <w:t>“Todo poder público dimana del pueblo y se instituye para beneficio de éste”</w:t>
      </w:r>
      <w:r w:rsidRPr="00CF2780">
        <w:rPr>
          <w:rFonts w:ascii="Arial" w:eastAsia="Times New Roman" w:hAnsi="Arial" w:cs="Arial"/>
          <w:sz w:val="28"/>
          <w:szCs w:val="24"/>
          <w:lang w:eastAsia="es-ES"/>
        </w:rPr>
        <w:t xml:space="preserve">) y, principalmente, con los derechos individuales de corte fundamental garantizados en el capítulo Primero del Título Primero de la propia Constitución, así como con la proclamación de división de poderes contemplada en los artículos 49 (ámbito federal), 116, primer párrafo (ámbitos estatales) y, por remisión a éste último, 122, apartado H (ámbito del Distrito Federal), perfilan un Estado Constitucional Democrático de Derecho como forma de organización política, basada en un principio de igualdad formal y encaminada a garantizar la libertad </w:t>
      </w:r>
      <w:r w:rsidRPr="00CF2780">
        <w:rPr>
          <w:rFonts w:ascii="Arial" w:eastAsia="Times New Roman" w:hAnsi="Arial" w:cs="Arial"/>
          <w:sz w:val="28"/>
          <w:szCs w:val="24"/>
          <w:lang w:eastAsia="es-ES"/>
        </w:rPr>
        <w:lastRenderedPageBreak/>
        <w:t>y seguridad jurídica de los individuos frente a los poderes públicos, la cual se encuentra complementada con mecanismos tendentes a procurar  la eliminación de las desigualdades materiales, con la previsión de diversos derechos de carácter social, como los contenidos en los artículos 3, 4, 25, 26, 27 y 123 del mismo ordenamiento, que comportan, en mayor o menor medida, una conducta positiva del aparato estatal en determinadas situaciones o relaciones jurídicas.</w:t>
      </w:r>
    </w:p>
    <w:p w14:paraId="70E42FAB"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7D05AED3"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No obstante, en los últimos años se han producido diversas modificaciones normativas, tanto legales como de corte constitucional, con el propósito de impulsar acciones a cargo del Estado, a través de la Federación y de los estados, para revertir la problemática de la población indígena, que usualmente no había sido tomada en cuenta, de forma sistemática y ordenada, a efecto de que sea considerada, especialmente, la individualidad misma de los sujetos componentes de estas culturas, esto es, su identidad personal, misma que depende de la propia identidad étnica o cultural del conglomerado al que pertenecen y de las particulares formas de organización social, política, cultural y económicas que tradicionalmente han adoptado.</w:t>
      </w:r>
    </w:p>
    <w:p w14:paraId="5E10D0A8"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4621AE8C"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 xml:space="preserve">La ley de 4 de diciembre de 1948 por la que se creó el Instituto Nacional Indigenista; las modificaciones aprobadas a los artículos 95, fracción III, 124, 128, fracción IV, 146, 154, 220 bis y 223 del Código Federal de Procedimientos Penales, y 72, fracción II, 165 bis, 171, 269, fracción IV, 285 bis, 290 y 296 bis del Código de Procedimientos Penales del Distrito Federal, publicadas el ocho de enero de mil novecientos noventa y uno; las reformas constitucionales a los artículos 27 y 4, publicadas en el </w:t>
      </w:r>
      <w:r w:rsidRPr="00CF2780">
        <w:rPr>
          <w:rFonts w:ascii="Arial" w:eastAsia="Times New Roman" w:hAnsi="Arial" w:cs="Arial"/>
          <w:i/>
          <w:iCs/>
          <w:sz w:val="28"/>
          <w:szCs w:val="24"/>
          <w:lang w:eastAsia="es-ES"/>
        </w:rPr>
        <w:lastRenderedPageBreak/>
        <w:t>Diario Oficial de la Federación</w:t>
      </w:r>
      <w:r w:rsidRPr="00CF2780">
        <w:rPr>
          <w:rFonts w:ascii="Arial" w:eastAsia="Times New Roman" w:hAnsi="Arial" w:cs="Arial"/>
          <w:sz w:val="28"/>
          <w:szCs w:val="24"/>
          <w:lang w:eastAsia="es-ES"/>
        </w:rPr>
        <w:t>, respectivamente, el seis y veintiocho de enero de mil novecientos noventa y dos; así como la expedición de nueva normatividad o la modificación de la existente, llevadas a cabo con posteridad, como efectivamente ocurrió con los artículos 35, fracciones VI y VII de la Ley Orgánica de la Administración Pública Federal (</w:t>
      </w:r>
      <w:r w:rsidRPr="00CF2780">
        <w:rPr>
          <w:rFonts w:ascii="Arial" w:eastAsia="Times New Roman" w:hAnsi="Arial" w:cs="Arial"/>
          <w:i/>
          <w:iCs/>
          <w:sz w:val="28"/>
          <w:szCs w:val="24"/>
          <w:lang w:eastAsia="es-ES"/>
        </w:rPr>
        <w:t>Diario Oficial de la Federación</w:t>
      </w:r>
      <w:r w:rsidRPr="00CF2780">
        <w:rPr>
          <w:rFonts w:ascii="Arial" w:eastAsia="Times New Roman" w:hAnsi="Arial" w:cs="Arial"/>
          <w:sz w:val="28"/>
          <w:szCs w:val="24"/>
          <w:lang w:eastAsia="es-ES"/>
        </w:rPr>
        <w:t xml:space="preserve"> de veinticinco de mayo de mil novecientos noventa y dos); 15, fracción XIII, 45, fracción VII, 47, 58, fracción III, 59, 64 bis 1, 67, 78, 78 bis, fracción IV, 79, fracción X, y 158, fracción VI de la Ley General del Equilibrio Ecológico y de Protección al Ambiente (trece de diciembre de mil novecientos noventa y seis); 106 y 164 de la Ley Agraria (nueve de julio de mil novecientos noventa y tres); 1, fracciones III, IV y VIII, 13, 19 bis 4, y 33, fracción I de la Ley Forestal (veintidós de diciembre de mil novecientos noventa y dos); 7, fracción  IV, 13, fracción I, 16, 20 y 38 de la Ley General de Educación (trece de julio de mil novecientos noventa y tres); 3, fracción VIII, 13, fracción X, 30 y 49, fracción VI de la Ley General de Asentamientos Humanos (veintiuno de julio de mil novecientos noventa y tres); y 52 fracción V del entonces Código Penal para el Distrito Federal en materia del fuero común y para toda la República en materia de fuero federal (diez de enero de mil novecientos noventa y cuatro), se enmarcan dentro de ese movimiento de reconocimiento y respeto a determinadas manifestaciones que caracterizan e identifican a los pueblos y comunidades indígenas y sus integrantes.</w:t>
      </w:r>
    </w:p>
    <w:p w14:paraId="153211D2"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3CE25A6A"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 xml:space="preserve">En este tenor se encuentra el Convenio 169 de la Organización Internacional del Trabajo, sobre Pueblos Indígenas y Tribales en Países Independientes, adoptado por la Conferencia General de dicho </w:t>
      </w:r>
      <w:r w:rsidRPr="00CF2780">
        <w:rPr>
          <w:rFonts w:ascii="Arial" w:eastAsia="Times New Roman" w:hAnsi="Arial" w:cs="Arial"/>
          <w:sz w:val="28"/>
          <w:szCs w:val="24"/>
          <w:lang w:eastAsia="es-ES"/>
        </w:rPr>
        <w:lastRenderedPageBreak/>
        <w:t xml:space="preserve">organismo internacional el veintisiete de junio de mil novecientos ochenta y nueve, el cual fue ratificado por México el cinco de septiembre de mil novecientos noventa y publicado en el </w:t>
      </w:r>
      <w:r w:rsidRPr="00CF2780">
        <w:rPr>
          <w:rFonts w:ascii="Arial" w:eastAsia="Times New Roman" w:hAnsi="Arial" w:cs="Arial"/>
          <w:i/>
          <w:iCs/>
          <w:sz w:val="28"/>
          <w:szCs w:val="24"/>
          <w:lang w:eastAsia="es-ES"/>
        </w:rPr>
        <w:t>Diario Oficial de la Federación</w:t>
      </w:r>
      <w:r w:rsidRPr="00CF2780">
        <w:rPr>
          <w:rFonts w:ascii="Arial" w:eastAsia="Times New Roman" w:hAnsi="Arial" w:cs="Arial"/>
          <w:sz w:val="28"/>
          <w:szCs w:val="24"/>
          <w:lang w:eastAsia="es-ES"/>
        </w:rPr>
        <w:t xml:space="preserve"> el veinticuatro de enero de mil novecientos noventa y uno, así como el Decreto por el que se aprueba el diverso por el que se adicionan un segundo y tercer párrafos al artículo 1o, se reforma el artículo 2o, se deroga el párrafo primero del artículo 4o; y se adiciona un sexto párrafo al artículo 18, y un último párrafo a la fracción tercera del artículo 115 de la Constitución Política de los Estados Unidos Mexicanos, de tres de agosto de dos mil uno y publicado el catorce del mismo mes y año.</w:t>
      </w:r>
    </w:p>
    <w:p w14:paraId="52B36607"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475E0C5C"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El actual artículo 2 de la Carta Magna, vigente desde el quince de agosto del año pasado, tras declarar la unidad e indivisibilidad de la Nación Mexicana, reconoce la composición pluricultural sustentada originalmente en sus pueblos indígenas, identificados como aquellos que habitan en el territorio actual del país al iniciarse la colonización y que conservan, total o parcialmente, sus propias instituciones sociales, económicas, culturales y políticas.</w:t>
      </w:r>
    </w:p>
    <w:p w14:paraId="7E0CFBE3"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532824D5"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Conforme el precepto en cuestión, como criterio fundamental, aunque no único, las disposiciones sobre pueblos indígenas se aplican a quienes mantengan una conciencia sobre su identidad indígena. A continuación se precisa que los pueblos indígenas se conforman por comunidades, entendiéndose por éstas aquellas que formen una unidad social, económica y cultural, asentadas en un territorio y que reconocen autoridades propias de acuerdo con sus usos y costumbres.</w:t>
      </w:r>
    </w:p>
    <w:p w14:paraId="4619D279"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67AC56A7"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Se reconoce a los pueblos indígenas el derecho a la libre determinación, el cual debe ejercerse en un marco constitucional de autonomía que asegure la unidad nacional.</w:t>
      </w:r>
    </w:p>
    <w:p w14:paraId="598537AF"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66B60771"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El texto en cuestión manda que el reconocimiento de los pueblos y comunidades indígenas se concretice en las constituciones y leyes de las entidades federativas, atendiendo a criterios etnolingüísticos y de asentamiento físico, además de los principios generales recién anotados (conservación total o parcial de instituciones sociales, económicas, culturales y políticas propias, conciencia de identidad indígena, conformación de unidades sociales, económicas y culturales, existencia de un territorio común y reconocimiento de autoridades propias con base en usos y costumbres).</w:t>
      </w:r>
    </w:p>
    <w:p w14:paraId="70487634"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26EBA845"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Pese a la libertad que se confiere a las entidades federativas para desarrollar el derecho de los pueblos y comunidades indígenas a la libre determinación y autonomía, conforme las situaciones y aspiraciones de estos pueblos en cada entidad, el apartado A del artículo 2o constitucional les reconoce y garantiza diversas manifestaciones concretas de autonomía, entre las que cabe destacar, para los efectos que interesan al presente asunto, las siguientes:</w:t>
      </w:r>
    </w:p>
    <w:p w14:paraId="39A330D0"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44947BEC" w14:textId="77777777" w:rsidR="00676010" w:rsidRPr="00CF2780" w:rsidRDefault="00676010" w:rsidP="00676010">
      <w:pPr>
        <w:numPr>
          <w:ilvl w:val="0"/>
          <w:numId w:val="2"/>
        </w:num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Autonomía para decidir sus formas internas de convivencia y organización social, económica, política y cultural (fracción I).</w:t>
      </w:r>
    </w:p>
    <w:p w14:paraId="0F62D6D7"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5DD8C23B" w14:textId="77777777" w:rsidR="00676010" w:rsidRPr="00CF2780" w:rsidRDefault="00676010" w:rsidP="00676010">
      <w:pPr>
        <w:numPr>
          <w:ilvl w:val="0"/>
          <w:numId w:val="2"/>
        </w:num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lastRenderedPageBreak/>
        <w:t>Autonomía para aplicar sus propios sistemas normativos en la regulación y solución de sus conflictos internos, sujetándose a los principios generales de la Constitución, respetando las garantías individuales, los derechos humanos y, especialmente, la dignidad e integridad de las mujeres (fracción II).</w:t>
      </w:r>
    </w:p>
    <w:p w14:paraId="5FA04040"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21CDC9E4" w14:textId="77777777" w:rsidR="00676010" w:rsidRPr="00CF2780" w:rsidRDefault="00676010" w:rsidP="00676010">
      <w:pPr>
        <w:numPr>
          <w:ilvl w:val="0"/>
          <w:numId w:val="2"/>
        </w:num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Autonomía para elegir a las autoridades o representantes para el ejercicio de sus formas propias de gobierno interno, siguiendo para ello sus normas, procedimientos y prácticas tradicionales, y en el entendido de que debe garantizarse la participación de las mujeres en condiciones de equidad frente a los varones (fracción III).</w:t>
      </w:r>
    </w:p>
    <w:p w14:paraId="6EC70638"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64467CBD" w14:textId="77777777" w:rsidR="00676010" w:rsidRPr="00CF2780" w:rsidRDefault="00676010" w:rsidP="00676010">
      <w:pPr>
        <w:numPr>
          <w:ilvl w:val="0"/>
          <w:numId w:val="2"/>
        </w:num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Autonomía para elegir, en los municipios con población indígena, representantes ante los ayuntamientos. Para ello, las constituciones y leyes de las entidades federativas deben reconocer y regular estos derechos en los municipios, con el propósito de fortalecer la participación y representación política, de conformidad con sus tradiciones y normas internas (fracción VII).</w:t>
      </w:r>
    </w:p>
    <w:p w14:paraId="7F2C5C29"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63D89A9C" w14:textId="77777777" w:rsidR="00676010" w:rsidRPr="00CF2780" w:rsidRDefault="00676010" w:rsidP="00676010">
      <w:pPr>
        <w:numPr>
          <w:ilvl w:val="0"/>
          <w:numId w:val="2"/>
        </w:num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Autonomía para acceder plenamente a la jurisdicción del Estado, por lo que debe garantizarse en todos los juicios y procedimientos en los que sean parte, individual o colectivamente, que se tomen en cuenta sus costumbres y especificidades culturales, respetándose los preceptos constitucionales (fracción VIII).</w:t>
      </w:r>
    </w:p>
    <w:p w14:paraId="07B04D7C"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1199365D"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lastRenderedPageBreak/>
        <w:t>En tanto, el Convenio sobre Pueblos Indígenas y Tribales, 1989, en su artículo 1, apartados 1, inciso b), y 2, contiene disposiciones similares a las contempladas en el artículo 2o constitucional, párrafos segundo y tercero, en cuanto precisa que el convenio se aplica a los pueblos en países independientes, considerados indígenas por el hecho de descender de poblaciones que habitaban en el país o en una región geográfica a la que pertenece el país en la época de la conquista o la colonización o del establecimiento de las actuales fronteras estatales y que, cualquiera que sea su situación jurídica, conservan todas o parte de sus propias instituciones sociales, económicas, culturales y políticas; así como que la conciencia de su identidad indígena (o tribal) constituye un criterio fundamental para determinar los grupos a los que se aplican las disposiciones de dicho convenio.</w:t>
      </w:r>
    </w:p>
    <w:p w14:paraId="3DC7369F"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1E874B61"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Así mismo, el instrumento internacional en cuestión, en lo que importa, prescribe lo siguiente:</w:t>
      </w:r>
    </w:p>
    <w:p w14:paraId="47638501"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4FF25D1E" w14:textId="77777777" w:rsidR="00676010" w:rsidRPr="00CF2780" w:rsidRDefault="00676010" w:rsidP="00676010">
      <w:pPr>
        <w:numPr>
          <w:ilvl w:val="0"/>
          <w:numId w:val="3"/>
        </w:num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La obligación de los Estados signatarios, por conducto de sus gobiernos, de asumir la responsabilidad de desarrollar, con la participación de los pueblos interesados, una acción coordinada y sistemática con miras a proteger los derechos de esos pueblos y a garantizar el respeto de su integridad (artículo 2, apartado 1). En dicha acción deben incluirse medidas que promuevan la plena efectividad de los derechos sociales, económicos y culturales de esos pueblos, respetando su identidad social y cultural, sus costumbres y tradiciones, y sus instituciones (artículo 2, apartado 2, inciso b)).</w:t>
      </w:r>
    </w:p>
    <w:p w14:paraId="1FEB1500" w14:textId="77777777" w:rsidR="00676010" w:rsidRPr="00CF2780" w:rsidRDefault="00676010" w:rsidP="00676010">
      <w:pPr>
        <w:spacing w:after="0" w:line="360" w:lineRule="auto"/>
        <w:ind w:left="360"/>
        <w:jc w:val="both"/>
        <w:rPr>
          <w:rFonts w:ascii="Arial" w:eastAsia="Times New Roman" w:hAnsi="Arial" w:cs="Arial"/>
          <w:sz w:val="28"/>
          <w:szCs w:val="24"/>
          <w:lang w:eastAsia="es-ES"/>
        </w:rPr>
      </w:pPr>
    </w:p>
    <w:p w14:paraId="18917752" w14:textId="77777777" w:rsidR="00676010" w:rsidRPr="00CF2780" w:rsidRDefault="00676010" w:rsidP="00676010">
      <w:pPr>
        <w:numPr>
          <w:ilvl w:val="0"/>
          <w:numId w:val="3"/>
        </w:num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La adopción de las medidas especiales necesarias para salvaguardar las personas, las instituciones, los bienes, el trabajo, las culturas y el medio ambiente de los pueblos interesados (artículo 4, apartado 1).</w:t>
      </w:r>
    </w:p>
    <w:p w14:paraId="1F9B41DC"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223A49D3" w14:textId="77777777" w:rsidR="00676010" w:rsidRPr="00CF2780" w:rsidRDefault="00676010" w:rsidP="00676010">
      <w:pPr>
        <w:numPr>
          <w:ilvl w:val="0"/>
          <w:numId w:val="3"/>
        </w:num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El respeto íntegro de los valores, prácticas e instituciones de los pueblos indígenas, con motivo de la aplicación del convenio (artículo 5, inciso b)).</w:t>
      </w:r>
    </w:p>
    <w:p w14:paraId="312EE045"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6E5E8EE1" w14:textId="77777777" w:rsidR="00676010" w:rsidRPr="00CF2780" w:rsidRDefault="00676010" w:rsidP="00676010">
      <w:pPr>
        <w:numPr>
          <w:ilvl w:val="0"/>
          <w:numId w:val="3"/>
        </w:num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La consideración de las costumbres o derecho consuetudinario cuando se aplique a los pueblos interesados la legislación nacional (artículo 8, apartado 1).</w:t>
      </w:r>
    </w:p>
    <w:p w14:paraId="3C9C4972"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52BA700E" w14:textId="77777777" w:rsidR="00676010" w:rsidRPr="00CF2780" w:rsidRDefault="00676010" w:rsidP="00676010">
      <w:pPr>
        <w:numPr>
          <w:ilvl w:val="0"/>
          <w:numId w:val="3"/>
        </w:num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El derecho de los pueblos indígenas de conservar sus costumbres e instituciones propias, siempre que estas no sean incompatibles con los derechos fundamentales definidos por el sistema jurídico nacional ni con los derechos humanos internacionalmente reconocidos (artículo 8, apartado 2).</w:t>
      </w:r>
    </w:p>
    <w:p w14:paraId="5569BA87"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5425A708" w14:textId="77777777" w:rsidR="00676010" w:rsidRPr="00CF2780" w:rsidRDefault="00676010" w:rsidP="00676010">
      <w:pPr>
        <w:numPr>
          <w:ilvl w:val="0"/>
          <w:numId w:val="3"/>
        </w:num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 xml:space="preserve">Tanto la consideración que debe efectuarse de las costumbres o derecho consuetudinario en la aplicación de la legislación nacional, como el derecho de conservación de tales costumbres y de sus instituciones, </w:t>
      </w:r>
      <w:r w:rsidRPr="00CF2780">
        <w:rPr>
          <w:rFonts w:ascii="Arial" w:eastAsia="Times New Roman" w:hAnsi="Arial" w:cs="Arial"/>
          <w:b/>
          <w:bCs/>
          <w:sz w:val="28"/>
          <w:szCs w:val="24"/>
          <w:lang w:eastAsia="es-ES"/>
        </w:rPr>
        <w:t>no pueden tener como efecto impedir a los miembros de los pueblos ejercer los derechos reconocidos a todos los ciudadanos del país</w:t>
      </w:r>
      <w:r w:rsidRPr="00CF2780">
        <w:rPr>
          <w:rFonts w:ascii="Arial" w:eastAsia="Times New Roman" w:hAnsi="Arial" w:cs="Arial"/>
          <w:sz w:val="28"/>
          <w:szCs w:val="24"/>
          <w:lang w:eastAsia="es-ES"/>
        </w:rPr>
        <w:t xml:space="preserve"> y asumir las obligaciones correspondientes (artículo 8, apartado 3).</w:t>
      </w:r>
    </w:p>
    <w:p w14:paraId="4385BD84"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7CC44219" w14:textId="77777777" w:rsidR="00676010" w:rsidRPr="00CF2780" w:rsidRDefault="00676010" w:rsidP="00676010">
      <w:pPr>
        <w:numPr>
          <w:ilvl w:val="0"/>
          <w:numId w:val="3"/>
        </w:num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La protección de los pueblos indígenas contra la violación de sus derechos y la aptitud jurídica de iniciar procedimientos legales, personalmente o por medio de sus organismos representativos, para asegurar el respeto efectivo de tales derechos (artículo 12).</w:t>
      </w:r>
    </w:p>
    <w:p w14:paraId="1028AE6C"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03B82A19"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Una interpretación sistemática y funcional de estas disposiciones, en conexión con el sistema democrático implementado en la Carta Magna y con el sistema de garantías individuales y sociales tuteladas por la misma, aspectos a los que se ha hecho referencia en párrafos precedentes, permite deducir que los derechos reconocidos a los pueblos y comunidades indígenas, así como a sus integrantes, no constituyen meras concreciones normativas derivadas del valor intrínseco que el poder revisor de la Constitución confiere a diversas expresiones de la idiosincrasia indígena como vértice del carácter pluricultural que distingue a la Nación mexicana, sino que cumplen una función complementadora del reconocimiento igualitario de un sistema de derechos al que una sociedad mínimamente justa no puede renunciar.</w:t>
      </w:r>
    </w:p>
    <w:p w14:paraId="4B33B1C9"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19384869"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 xml:space="preserve">En efecto, las disposiciones constitucionales e internacionales de mérito parten de un reconocimiento consistente en que, por diferentes causas y razones, las condiciones precarias en las que subsisten los indígenas en nuestro país se debe, entre otras causas, a que las garantías individuales de las que goza todo sujeto no han sido suficientes para un adecuado desarrollo individual y colectivo de estos grupos, reconocimiento del cual se ha derivado un necesario reforzamiento de </w:t>
      </w:r>
      <w:r w:rsidRPr="00CF2780">
        <w:rPr>
          <w:rFonts w:ascii="Arial" w:eastAsia="Times New Roman" w:hAnsi="Arial" w:cs="Arial"/>
          <w:sz w:val="28"/>
          <w:szCs w:val="24"/>
          <w:lang w:eastAsia="es-ES"/>
        </w:rPr>
        <w:lastRenderedPageBreak/>
        <w:t>esa situación igualitaria de todos los individuos con un reconocimiento más general y previo de las situaciones y características que identifican y dan sentido a estas colectividades y sus miembros.</w:t>
      </w:r>
    </w:p>
    <w:p w14:paraId="1F3E9633"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3F14E2E4"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Apoyan esta consideración las razones expuestas durante los trámites de reforma constitucional de los años mil novecientos noventa a noventa y dos, por la que se adicionó un primer párrafo al artículo 4 (ahora derogado); y de dos mil y dos mil uno, por el que se aprobó la redacción actual del artículo 2, así como los motivos expresados por la Conferencia General de la Organización Internacional del Trabajo al emitir el Convenio sobre pueblos indígenas y tribales, 1989, del cual México es parte.</w:t>
      </w:r>
    </w:p>
    <w:p w14:paraId="1F511FCB"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063D75DB" w14:textId="77777777" w:rsidR="00676010" w:rsidRPr="00CF2780" w:rsidRDefault="00676010" w:rsidP="00676010">
      <w:pPr>
        <w:spacing w:after="0" w:line="360" w:lineRule="auto"/>
        <w:jc w:val="both"/>
        <w:rPr>
          <w:rFonts w:ascii="Arial" w:eastAsia="Times New Roman" w:hAnsi="Arial" w:cs="Arial"/>
          <w:sz w:val="32"/>
          <w:szCs w:val="24"/>
          <w:lang w:eastAsia="es-ES"/>
        </w:rPr>
      </w:pPr>
      <w:r w:rsidRPr="00CF2780">
        <w:rPr>
          <w:rFonts w:ascii="Arial" w:eastAsia="Times New Roman" w:hAnsi="Arial" w:cs="Arial"/>
          <w:sz w:val="28"/>
          <w:szCs w:val="24"/>
          <w:lang w:eastAsia="es-ES"/>
        </w:rPr>
        <w:t>Así, la iniciativa presentada por el Ejecutivo federal, de siete de diciembre de mil novecientos noventa, explicaba las razones por las cuales se aducía la necesidad de incorporar un nuevo primer párrafo al artículo 4 constitucional:</w:t>
      </w:r>
    </w:p>
    <w:p w14:paraId="7EDF147E" w14:textId="77777777" w:rsidR="00676010" w:rsidRPr="00CF2780" w:rsidRDefault="00676010" w:rsidP="00676010">
      <w:pPr>
        <w:spacing w:after="0" w:line="240" w:lineRule="auto"/>
        <w:jc w:val="both"/>
        <w:rPr>
          <w:rFonts w:ascii="Arial" w:eastAsia="Times New Roman" w:hAnsi="Arial" w:cs="Arial"/>
          <w:sz w:val="24"/>
          <w:szCs w:val="24"/>
          <w:lang w:eastAsia="es-ES"/>
        </w:rPr>
      </w:pPr>
    </w:p>
    <w:p w14:paraId="4F221FFB" w14:textId="77777777" w:rsidR="00676010" w:rsidRPr="00CF2780" w:rsidRDefault="00676010" w:rsidP="00676010">
      <w:pPr>
        <w:spacing w:after="0" w:line="240" w:lineRule="auto"/>
        <w:ind w:left="540" w:right="720"/>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 xml:space="preserve">“... </w:t>
      </w:r>
      <w:r w:rsidRPr="00CF2780">
        <w:rPr>
          <w:rFonts w:ascii="Arial" w:eastAsia="Times New Roman" w:hAnsi="Arial" w:cs="Arial"/>
          <w:b/>
          <w:bCs/>
          <w:sz w:val="24"/>
          <w:szCs w:val="24"/>
          <w:lang w:eastAsia="es-ES"/>
        </w:rPr>
        <w:t>Los pueblos y las comunidades indígenas de México viven en condiciones distantes de la equidad</w:t>
      </w:r>
      <w:r w:rsidRPr="00CF2780">
        <w:rPr>
          <w:rFonts w:ascii="Arial" w:eastAsia="Times New Roman" w:hAnsi="Arial" w:cs="Arial"/>
          <w:sz w:val="24"/>
          <w:szCs w:val="24"/>
          <w:lang w:eastAsia="es-ES"/>
        </w:rPr>
        <w:t xml:space="preserve"> y el bienestar de (sic) la Revolución mexicana se propuso y elevó como postulado constitucional. </w:t>
      </w:r>
      <w:r w:rsidRPr="00CF2780">
        <w:rPr>
          <w:rFonts w:ascii="Arial" w:eastAsia="Times New Roman" w:hAnsi="Arial" w:cs="Arial"/>
          <w:b/>
          <w:bCs/>
          <w:sz w:val="24"/>
          <w:szCs w:val="24"/>
          <w:lang w:eastAsia="es-ES"/>
        </w:rPr>
        <w:t>La igualdad ante la ley, el principio esencial e indiscutible de nuestra convivencia, no siempre se cumple frente a nuestros compatriotas indígenas. Esa situación es incompatible con la modernización del país,</w:t>
      </w:r>
      <w:r w:rsidRPr="00CF2780">
        <w:rPr>
          <w:rFonts w:ascii="Arial" w:eastAsia="Times New Roman" w:hAnsi="Arial" w:cs="Arial"/>
          <w:sz w:val="24"/>
          <w:szCs w:val="24"/>
          <w:lang w:eastAsia="es-ES"/>
        </w:rPr>
        <w:t xml:space="preserve"> con la justicia y, finalmente, con la defensa y el fortalecimiento de nuestra soberanía...</w:t>
      </w:r>
    </w:p>
    <w:p w14:paraId="6B31C3E9" w14:textId="77777777" w:rsidR="00676010" w:rsidRPr="00CF2780" w:rsidRDefault="00676010" w:rsidP="00676010">
      <w:pPr>
        <w:spacing w:after="0" w:line="240" w:lineRule="auto"/>
        <w:ind w:left="540" w:right="720"/>
        <w:jc w:val="both"/>
        <w:rPr>
          <w:rFonts w:ascii="Arial" w:eastAsia="Times New Roman" w:hAnsi="Arial" w:cs="Arial"/>
          <w:sz w:val="24"/>
          <w:szCs w:val="24"/>
          <w:lang w:eastAsia="es-ES"/>
        </w:rPr>
      </w:pPr>
    </w:p>
    <w:p w14:paraId="6F35B8C7" w14:textId="77777777" w:rsidR="00676010" w:rsidRPr="00CF2780" w:rsidRDefault="00676010" w:rsidP="00676010">
      <w:pPr>
        <w:spacing w:after="0" w:line="240" w:lineRule="auto"/>
        <w:ind w:left="540" w:right="720"/>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 xml:space="preserve">“... Como consecuencia de dilatados procesos históricos </w:t>
      </w:r>
      <w:r w:rsidRPr="00CF2780">
        <w:rPr>
          <w:rFonts w:ascii="Arial" w:eastAsia="Times New Roman" w:hAnsi="Arial" w:cs="Arial"/>
          <w:b/>
          <w:bCs/>
          <w:sz w:val="24"/>
          <w:szCs w:val="24"/>
          <w:lang w:eastAsia="es-ES"/>
        </w:rPr>
        <w:t>los indígenas mexicanos se encuentran en posición objetiva de desigualdad económica, social y para acceder a la jurisdicción efectiva</w:t>
      </w:r>
      <w:r w:rsidRPr="00CF2780">
        <w:rPr>
          <w:rFonts w:ascii="Arial" w:eastAsia="Times New Roman" w:hAnsi="Arial" w:cs="Arial"/>
          <w:sz w:val="24"/>
          <w:szCs w:val="24"/>
          <w:lang w:eastAsia="es-ES"/>
        </w:rPr>
        <w:t xml:space="preserve"> del Estado. Son muchos y graves los rezagos que los afectan. Las carencias se concentran desproporcionadamente en las comunidades indígenas, conformando un círculo en el que la pobreza se reproduce y perpetúa. </w:t>
      </w:r>
      <w:r w:rsidRPr="00CF2780">
        <w:rPr>
          <w:rFonts w:ascii="Arial" w:eastAsia="Times New Roman" w:hAnsi="Arial" w:cs="Arial"/>
          <w:b/>
          <w:bCs/>
          <w:sz w:val="24"/>
          <w:szCs w:val="24"/>
          <w:lang w:eastAsia="es-ES"/>
        </w:rPr>
        <w:t xml:space="preserve">La intermediación que medra con la desigualdad y se </w:t>
      </w:r>
      <w:r w:rsidRPr="00CF2780">
        <w:rPr>
          <w:rFonts w:ascii="Arial" w:eastAsia="Times New Roman" w:hAnsi="Arial" w:cs="Arial"/>
          <w:b/>
          <w:bCs/>
          <w:sz w:val="24"/>
          <w:szCs w:val="24"/>
          <w:lang w:eastAsia="es-ES"/>
        </w:rPr>
        <w:lastRenderedPageBreak/>
        <w:t>opone al progreso de los indígenas, no ha sido erradicada.</w:t>
      </w:r>
      <w:r w:rsidRPr="00CF2780">
        <w:rPr>
          <w:rFonts w:ascii="Arial" w:eastAsia="Times New Roman" w:hAnsi="Arial" w:cs="Arial"/>
          <w:sz w:val="24"/>
          <w:szCs w:val="24"/>
          <w:lang w:eastAsia="es-ES"/>
        </w:rPr>
        <w:t xml:space="preserve"> La justicia encuentra barreras en las condiciones de aislamiento, pobreza y exclusión en que viven los indígenas mexicanos.</w:t>
      </w:r>
    </w:p>
    <w:p w14:paraId="7AFEA34D" w14:textId="77777777" w:rsidR="00676010" w:rsidRPr="00CF2780" w:rsidRDefault="00676010" w:rsidP="00676010">
      <w:pPr>
        <w:spacing w:after="0" w:line="240" w:lineRule="auto"/>
        <w:ind w:left="540" w:right="720"/>
        <w:jc w:val="both"/>
        <w:rPr>
          <w:rFonts w:ascii="Arial" w:eastAsia="Times New Roman" w:hAnsi="Arial" w:cs="Arial"/>
          <w:sz w:val="24"/>
          <w:szCs w:val="24"/>
          <w:lang w:eastAsia="es-ES"/>
        </w:rPr>
      </w:pPr>
    </w:p>
    <w:p w14:paraId="15CBA84D" w14:textId="77777777" w:rsidR="00676010" w:rsidRPr="00CF2780" w:rsidRDefault="00676010" w:rsidP="00676010">
      <w:pPr>
        <w:spacing w:after="0" w:line="240" w:lineRule="auto"/>
        <w:ind w:left="540" w:right="720"/>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“El setenta por ciento de los indígenas del país viven en municipios rurales, proporción que es inversa a la del conjunto de la población nacional, y fincan su subsistencia en las actividades primarias. El noventa y seis y medio por ciento de los indígenas en municipios rurales radica en localidades calificadas como de elevada marginación, con la consecuente escasez de servicios públicos, carencia de fuentes de trabajo y empleo remunerado, bajos ingresos, precariedad, asilamiento y exclusión. Los seiscientos treinta y siete municipios rurales con más del treinta por ciento de población indígenas –la cuarta parte de todos los municipios del país- han sido clasificados con alto o muy alto grado de marginación. El treinta por ciento de los indígenas asentados en municipios considerados como urbanos, viven en condiciones de pobreza y marginalidad casi en su totalidad. Así lo ilustran, por ejemplo, las condiciones en que viven casi un millón de indígenas en la zona metropolitana de la ciudad de México.</w:t>
      </w:r>
    </w:p>
    <w:p w14:paraId="41045808" w14:textId="77777777" w:rsidR="00676010" w:rsidRPr="00CF2780" w:rsidRDefault="00676010" w:rsidP="00676010">
      <w:pPr>
        <w:spacing w:after="0" w:line="240" w:lineRule="auto"/>
        <w:ind w:left="540" w:right="720"/>
        <w:jc w:val="both"/>
        <w:rPr>
          <w:rFonts w:ascii="Arial" w:eastAsia="Times New Roman" w:hAnsi="Arial" w:cs="Arial"/>
          <w:sz w:val="24"/>
          <w:szCs w:val="24"/>
          <w:lang w:eastAsia="es-ES"/>
        </w:rPr>
      </w:pPr>
    </w:p>
    <w:p w14:paraId="5EB1FE60" w14:textId="77777777" w:rsidR="00676010" w:rsidRPr="00CF2780" w:rsidRDefault="00676010" w:rsidP="00676010">
      <w:pPr>
        <w:spacing w:after="0" w:line="240" w:lineRule="auto"/>
        <w:ind w:left="540" w:right="720"/>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“Los indicadores sociales de la pobreza: analfabetismo, mortalidad infantil, desnutrición y morbilidad asociada, y bajo esperanza de vida, se elevan desproporcionadamente en las comunidades indígenas hasta duplicar, en algunos índices, los promedios generales...</w:t>
      </w:r>
    </w:p>
    <w:p w14:paraId="6D78900C" w14:textId="77777777" w:rsidR="00676010" w:rsidRPr="00CF2780" w:rsidRDefault="00676010" w:rsidP="00676010">
      <w:pPr>
        <w:spacing w:after="0" w:line="240" w:lineRule="auto"/>
        <w:ind w:left="540" w:right="720"/>
        <w:jc w:val="both"/>
        <w:rPr>
          <w:rFonts w:ascii="Arial" w:eastAsia="Times New Roman" w:hAnsi="Arial" w:cs="Arial"/>
          <w:sz w:val="24"/>
          <w:szCs w:val="24"/>
          <w:lang w:eastAsia="es-ES"/>
        </w:rPr>
      </w:pPr>
    </w:p>
    <w:p w14:paraId="453B2122" w14:textId="77777777" w:rsidR="00676010" w:rsidRPr="00CF2780" w:rsidRDefault="00676010" w:rsidP="00676010">
      <w:pPr>
        <w:spacing w:after="0" w:line="240" w:lineRule="auto"/>
        <w:ind w:left="540" w:right="720"/>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 En muchas zonas indígenas, la productividad de los sistemas tradicionales de cultivo se ha deteriorado y a veces también el suelo y la vegetación. La falta de apoyo para el desarrollo de esos sistemas o su sustitución, como también la explotación irracional de los recursos naturales por intereses ajenos a las comunidades, ha  generado una permanente situación de restricción en la producción. Esta se agrava por los injustos términos de intercambio que privan en casi todas esas zonas...</w:t>
      </w:r>
    </w:p>
    <w:p w14:paraId="0872EA19" w14:textId="77777777" w:rsidR="00676010" w:rsidRPr="00CF2780" w:rsidRDefault="00676010" w:rsidP="00676010">
      <w:pPr>
        <w:spacing w:after="0" w:line="240" w:lineRule="auto"/>
        <w:ind w:left="540" w:right="720"/>
        <w:jc w:val="both"/>
        <w:rPr>
          <w:rFonts w:ascii="Arial" w:eastAsia="Times New Roman" w:hAnsi="Arial" w:cs="Arial"/>
          <w:sz w:val="24"/>
          <w:szCs w:val="24"/>
          <w:lang w:eastAsia="es-ES"/>
        </w:rPr>
      </w:pPr>
    </w:p>
    <w:p w14:paraId="3B8B8544" w14:textId="77777777" w:rsidR="00676010" w:rsidRPr="00CF2780" w:rsidRDefault="00676010" w:rsidP="00676010">
      <w:pPr>
        <w:spacing w:after="0" w:line="240" w:lineRule="auto"/>
        <w:ind w:left="540" w:right="720"/>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 La ley no siempre se aplica a los indígenas con sentido de justicia y a veces persisten resabios discriminatorios. Muchos de los detenidos indígenas no hablan el español ni tuvieron acceso al conocimiento de las leyes; están siendo juzgados sin los beneficios de un intérprete o de una defensoría adecuada. Reclamos y demandas indígenas no siempre son atendidos oportuna y adecuadamente por las instancias de procuración y administración de justicia. En casos aislados, quedan impunes quienes ejercen violencia contra los indígenas. Por ello, hay una identidad casi absoluta entre los pueblos indígenas y la pobreza, con frecuencia extrema.</w:t>
      </w:r>
    </w:p>
    <w:p w14:paraId="728466C7" w14:textId="77777777" w:rsidR="00676010" w:rsidRPr="00CF2780" w:rsidRDefault="00676010" w:rsidP="00676010">
      <w:pPr>
        <w:spacing w:after="0" w:line="240" w:lineRule="auto"/>
        <w:ind w:left="540" w:right="720"/>
        <w:jc w:val="both"/>
        <w:rPr>
          <w:rFonts w:ascii="Arial" w:eastAsia="Times New Roman" w:hAnsi="Arial" w:cs="Arial"/>
          <w:sz w:val="24"/>
          <w:szCs w:val="24"/>
          <w:lang w:eastAsia="es-ES"/>
        </w:rPr>
      </w:pPr>
    </w:p>
    <w:p w14:paraId="5C67E1C5" w14:textId="77777777" w:rsidR="00676010" w:rsidRPr="00CF2780" w:rsidRDefault="00676010" w:rsidP="00676010">
      <w:pPr>
        <w:spacing w:after="0" w:line="240" w:lineRule="auto"/>
        <w:ind w:left="540" w:right="720"/>
        <w:jc w:val="both"/>
        <w:rPr>
          <w:rFonts w:ascii="Arial" w:eastAsia="Times New Roman" w:hAnsi="Arial" w:cs="Arial"/>
          <w:b/>
          <w:bCs/>
          <w:sz w:val="24"/>
          <w:szCs w:val="24"/>
          <w:lang w:eastAsia="es-ES"/>
        </w:rPr>
      </w:pPr>
      <w:r w:rsidRPr="00CF2780">
        <w:rPr>
          <w:rFonts w:ascii="Arial" w:eastAsia="Times New Roman" w:hAnsi="Arial" w:cs="Arial"/>
          <w:sz w:val="24"/>
          <w:szCs w:val="24"/>
          <w:lang w:eastAsia="es-ES"/>
        </w:rPr>
        <w:t>“</w:t>
      </w:r>
      <w:r w:rsidRPr="00CF2780">
        <w:rPr>
          <w:rFonts w:ascii="Arial" w:eastAsia="Times New Roman" w:hAnsi="Arial" w:cs="Arial"/>
          <w:b/>
          <w:bCs/>
          <w:sz w:val="24"/>
          <w:szCs w:val="24"/>
          <w:lang w:eastAsia="es-ES"/>
        </w:rPr>
        <w:t xml:space="preserve">La solidaridad entre los propios indígenas, que se expresa a través de su organización social, mitiga conflictos y ofrece </w:t>
      </w:r>
      <w:r w:rsidRPr="00CF2780">
        <w:rPr>
          <w:rFonts w:ascii="Arial" w:eastAsia="Times New Roman" w:hAnsi="Arial" w:cs="Arial"/>
          <w:b/>
          <w:bCs/>
          <w:sz w:val="24"/>
          <w:szCs w:val="24"/>
          <w:lang w:eastAsia="es-ES"/>
        </w:rPr>
        <w:lastRenderedPageBreak/>
        <w:t>protección que resulta insuficiente. Está sustentada en prácticas jurídicas arraigadas y respetadas entre ellos, que en la mayoría de los casos no sólo no contradicen sino que podrían complementar las normas del derecho positivo. Las instituciones tradicionales indígenas también contienen elementos para cambiar determinadas situaciones, de tal forma que la solidaridad que aquellas protegen y defienden sirva para el desarrollo y el bienestar que los indígenas reclaman y merecen. Sin embargo, algunas de esas formas de organización social carecen de reconocimiento y sus principios no son tomados en cuenta. Es necesario procurar la armonía  entre las tradiciones jurídicas de los indígenas  con las normas legales que coinciden en la aspiración de un estado de derecho.</w:t>
      </w:r>
    </w:p>
    <w:p w14:paraId="184D179D" w14:textId="77777777" w:rsidR="00676010" w:rsidRPr="00CF2780" w:rsidRDefault="00676010" w:rsidP="00676010">
      <w:pPr>
        <w:spacing w:after="0" w:line="240" w:lineRule="auto"/>
        <w:ind w:left="540" w:right="720"/>
        <w:jc w:val="both"/>
        <w:rPr>
          <w:rFonts w:ascii="Arial" w:eastAsia="Times New Roman" w:hAnsi="Arial" w:cs="Arial"/>
          <w:sz w:val="24"/>
          <w:szCs w:val="24"/>
          <w:lang w:eastAsia="es-ES"/>
        </w:rPr>
      </w:pPr>
    </w:p>
    <w:p w14:paraId="608F9BBA" w14:textId="77777777" w:rsidR="00676010" w:rsidRPr="00CF2780" w:rsidRDefault="00676010" w:rsidP="00676010">
      <w:pPr>
        <w:spacing w:after="0" w:line="240" w:lineRule="auto"/>
        <w:ind w:left="540" w:right="720"/>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 xml:space="preserve">“Las cifras y los datos confirman un hecho que está en la experiencia y conciencia de todos los mexicanos: </w:t>
      </w:r>
      <w:r w:rsidRPr="00CF2780">
        <w:rPr>
          <w:rFonts w:ascii="Arial" w:eastAsia="Times New Roman" w:hAnsi="Arial" w:cs="Arial"/>
          <w:b/>
          <w:bCs/>
          <w:sz w:val="24"/>
          <w:szCs w:val="24"/>
          <w:lang w:eastAsia="es-ES"/>
        </w:rPr>
        <w:t>nuestros compatriotas indígenas viven en condiciones de desigualdad e injusticia. Están más lejos que el resto de los mexicanos del bienestar y del disfrute cabal de los derechos que el Estado tiene la responsabilidad de garantizar por mandato de nuestra ley fundamental</w:t>
      </w:r>
      <w:r w:rsidRPr="00CF2780">
        <w:rPr>
          <w:rFonts w:ascii="Arial" w:eastAsia="Times New Roman" w:hAnsi="Arial" w:cs="Arial"/>
          <w:sz w:val="24"/>
          <w:szCs w:val="24"/>
          <w:lang w:eastAsia="es-ES"/>
        </w:rPr>
        <w:t>...</w:t>
      </w:r>
    </w:p>
    <w:p w14:paraId="00562988" w14:textId="77777777" w:rsidR="00676010" w:rsidRPr="00CF2780" w:rsidRDefault="00676010" w:rsidP="00676010">
      <w:pPr>
        <w:spacing w:after="0" w:line="240" w:lineRule="auto"/>
        <w:ind w:left="540" w:right="720"/>
        <w:jc w:val="both"/>
        <w:rPr>
          <w:rFonts w:ascii="Arial" w:eastAsia="Times New Roman" w:hAnsi="Arial" w:cs="Arial"/>
          <w:sz w:val="24"/>
          <w:szCs w:val="24"/>
          <w:lang w:eastAsia="es-ES"/>
        </w:rPr>
      </w:pPr>
    </w:p>
    <w:p w14:paraId="0483FCA9" w14:textId="77777777" w:rsidR="00676010" w:rsidRPr="00CF2780" w:rsidRDefault="00676010" w:rsidP="00676010">
      <w:pPr>
        <w:spacing w:after="0" w:line="240" w:lineRule="auto"/>
        <w:ind w:left="540" w:right="720"/>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w:t>
      </w:r>
      <w:r w:rsidRPr="00CF2780">
        <w:rPr>
          <w:rFonts w:ascii="Arial" w:eastAsia="Times New Roman" w:hAnsi="Arial" w:cs="Arial"/>
          <w:b/>
          <w:bCs/>
          <w:sz w:val="24"/>
          <w:szCs w:val="24"/>
          <w:lang w:eastAsia="es-ES"/>
        </w:rPr>
        <w:t xml:space="preserve"> La iniciativa contiene dos elementos principales. El primero reconoce la composición pluricultural de la nación. Se trata de una declaración general que incumbe a todos los mexicanos y que en muchos sentidos nos define. Al hacerlo protege el derecho a la diferencia dentro del marco de la convivencia.</w:t>
      </w:r>
      <w:r w:rsidRPr="00CF2780">
        <w:rPr>
          <w:rFonts w:ascii="Arial" w:eastAsia="Times New Roman" w:hAnsi="Arial" w:cs="Arial"/>
          <w:sz w:val="24"/>
          <w:szCs w:val="24"/>
          <w:lang w:eastAsia="es-ES"/>
        </w:rPr>
        <w:t xml:space="preserve"> La declaración reconoce que la naturaleza pluricultural se origina en la diversidad que aportaron los pueblos indígenas, previa a la formación de la nación moderna. A esa persistente diversidad original se agregaron muchas otras vigorosas corrientes, hasta conformar la pluralidad que nos constituye. Si el principio es universal, la movilización de la sociedad tiene en la inadmisible condición de los pueblos indígenas un propósito urgente y prioritario, preeminente en términos del bienestar común. </w:t>
      </w:r>
      <w:r w:rsidRPr="00CF2780">
        <w:rPr>
          <w:rFonts w:ascii="Arial" w:eastAsia="Times New Roman" w:hAnsi="Arial" w:cs="Arial"/>
          <w:b/>
          <w:bCs/>
          <w:sz w:val="24"/>
          <w:szCs w:val="24"/>
          <w:lang w:eastAsia="es-ES"/>
        </w:rPr>
        <w:t>El segundo elemento establece el mandato constitucional para que la ley prevea los instrumentos adecuados para garantizar a los pueblos indígenas el pleno e igualitario acceso a la jurisdicción del Estado, así como para proteger y desarrollar sus culturas, organizaciones sociales y recursos que las sustentan. También establece que las prácticas y costumbres jurídicas de los pueblos indígenas serán tomadas en consideración en los términos que la ley establezca,</w:t>
      </w:r>
      <w:r w:rsidRPr="00CF2780">
        <w:rPr>
          <w:rFonts w:ascii="Arial" w:eastAsia="Times New Roman" w:hAnsi="Arial" w:cs="Arial"/>
          <w:sz w:val="24"/>
          <w:szCs w:val="24"/>
          <w:lang w:eastAsia="es-ES"/>
        </w:rPr>
        <w:t xml:space="preserve"> en los juicios y procedimientos agrarios en que los indígenas sean parte...”.</w:t>
      </w:r>
    </w:p>
    <w:p w14:paraId="56807FFD" w14:textId="77777777" w:rsidR="00676010" w:rsidRPr="00CF2780" w:rsidRDefault="00676010" w:rsidP="00676010">
      <w:pPr>
        <w:spacing w:after="0" w:line="240" w:lineRule="auto"/>
        <w:jc w:val="both"/>
        <w:rPr>
          <w:rFonts w:ascii="Arial" w:eastAsia="Times New Roman" w:hAnsi="Arial" w:cs="Arial"/>
          <w:sz w:val="24"/>
          <w:szCs w:val="24"/>
          <w:lang w:eastAsia="es-ES"/>
        </w:rPr>
      </w:pPr>
    </w:p>
    <w:p w14:paraId="1ABAF5A6"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 xml:space="preserve">El veinticuatro de junio del año siguiente, las comisiones unidas de Gobernación y Puntos Constitucionales y de Asuntos Indígenas, de la </w:t>
      </w:r>
      <w:r w:rsidRPr="00CF2780">
        <w:rPr>
          <w:rFonts w:ascii="Arial" w:eastAsia="Times New Roman" w:hAnsi="Arial" w:cs="Arial"/>
          <w:sz w:val="28"/>
          <w:szCs w:val="24"/>
          <w:lang w:eastAsia="es-ES"/>
        </w:rPr>
        <w:lastRenderedPageBreak/>
        <w:t>Cámara de Diputados emitieron dictamen favorable a la iniciativa de mérito, en el que, básicamente reiteraron los motivos expuestos en aquélla:</w:t>
      </w:r>
    </w:p>
    <w:p w14:paraId="116EA1BF" w14:textId="77777777" w:rsidR="00676010" w:rsidRPr="00CF2780" w:rsidRDefault="00676010" w:rsidP="00676010">
      <w:pPr>
        <w:spacing w:after="0" w:line="240" w:lineRule="auto"/>
        <w:jc w:val="both"/>
        <w:rPr>
          <w:rFonts w:ascii="Arial" w:eastAsia="Times New Roman" w:hAnsi="Arial" w:cs="Arial"/>
          <w:sz w:val="24"/>
          <w:szCs w:val="24"/>
          <w:lang w:eastAsia="es-ES"/>
        </w:rPr>
      </w:pPr>
    </w:p>
    <w:p w14:paraId="5C3FD7F4" w14:textId="77777777" w:rsidR="00676010" w:rsidRPr="00CF2780" w:rsidRDefault="00676010" w:rsidP="00676010">
      <w:pPr>
        <w:spacing w:after="0" w:line="240" w:lineRule="auto"/>
        <w:ind w:left="540" w:right="720"/>
        <w:jc w:val="both"/>
        <w:rPr>
          <w:rFonts w:ascii="Arial" w:eastAsia="Times New Roman" w:hAnsi="Arial" w:cs="Arial"/>
          <w:b/>
          <w:bCs/>
          <w:sz w:val="24"/>
          <w:szCs w:val="24"/>
          <w:lang w:eastAsia="es-ES"/>
        </w:rPr>
      </w:pPr>
      <w:r w:rsidRPr="00CF2780">
        <w:rPr>
          <w:rFonts w:ascii="Arial" w:eastAsia="Times New Roman" w:hAnsi="Arial" w:cs="Arial"/>
          <w:sz w:val="24"/>
          <w:szCs w:val="24"/>
          <w:lang w:eastAsia="es-ES"/>
        </w:rPr>
        <w:t xml:space="preserve">“... La inmensa mayoría de los mexicanos soberanos (sic) que los indígenas viven en pésimas condiciones de subsistencia, pegados a la tierra para producir un poco de maíz, fríjol y chile en una agricultura de autoconsumo, pero ignoramos sus estructuras sociales; sus relaciones de parentesco lineales, bilaterales y espirituales; la importancia de sus tradiciones que tienen fuerza de normas jurídicas; las diversas formas del control de la tierra, en algunas regiones en manos de las comunidades, en otras en forma individual y en otras más en poder de grupos familiares; </w:t>
      </w:r>
      <w:r w:rsidRPr="00CF2780">
        <w:rPr>
          <w:rFonts w:ascii="Arial" w:eastAsia="Times New Roman" w:hAnsi="Arial" w:cs="Arial"/>
          <w:b/>
          <w:bCs/>
          <w:sz w:val="24"/>
          <w:szCs w:val="24"/>
          <w:lang w:eastAsia="es-ES"/>
        </w:rPr>
        <w:t>estas formas de tenencia y control de la tierra en los diversos núcleos indígenas, no siempre concuerdan con las formas establecidas en nuestras leyes, generando conflictos entre las normas y la realidad.</w:t>
      </w:r>
    </w:p>
    <w:p w14:paraId="184C94FE" w14:textId="77777777" w:rsidR="00676010" w:rsidRPr="00CF2780" w:rsidRDefault="00676010" w:rsidP="00676010">
      <w:pPr>
        <w:spacing w:after="0" w:line="240" w:lineRule="auto"/>
        <w:ind w:left="540" w:right="720"/>
        <w:jc w:val="both"/>
        <w:rPr>
          <w:rFonts w:ascii="Arial" w:eastAsia="Times New Roman" w:hAnsi="Arial" w:cs="Arial"/>
          <w:sz w:val="24"/>
          <w:szCs w:val="24"/>
          <w:lang w:eastAsia="es-ES"/>
        </w:rPr>
      </w:pPr>
    </w:p>
    <w:p w14:paraId="4CFC9696" w14:textId="77777777" w:rsidR="00676010" w:rsidRPr="00CF2780" w:rsidRDefault="00676010" w:rsidP="00676010">
      <w:pPr>
        <w:spacing w:after="0" w:line="240" w:lineRule="auto"/>
        <w:ind w:left="540" w:right="720"/>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“El texto propuesto como adición al precepto constitucional, empieza por reconocer nuestra realidad pluricultural y sienta las bases para que la legislación ordinaria proteja y promueva el desarrollo de las culturas autóctonas en su más amplia expresión y provea los medios necesarios para que los indígenas tengan efectivo acceso a la protección que brinda el Estado y particularmente, que en los juicios y procedimientos agrarios, se tomen en cuenta sus tradiciones, prácticas y costumbres jurídicas, lo que facilitará sin duda, desanudar multitud de complejos conflictos que tienen paralizada la  actividad campesina...”.</w:t>
      </w:r>
    </w:p>
    <w:p w14:paraId="1129C8D2" w14:textId="77777777" w:rsidR="00676010" w:rsidRPr="00CF2780" w:rsidRDefault="00676010" w:rsidP="00676010">
      <w:pPr>
        <w:spacing w:after="0" w:line="240" w:lineRule="auto"/>
        <w:jc w:val="both"/>
        <w:rPr>
          <w:rFonts w:ascii="Arial" w:eastAsia="Times New Roman" w:hAnsi="Arial" w:cs="Arial"/>
          <w:sz w:val="24"/>
          <w:szCs w:val="24"/>
          <w:lang w:eastAsia="es-ES"/>
        </w:rPr>
      </w:pPr>
    </w:p>
    <w:p w14:paraId="0B09C8FB"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En el mismo tenor, el dictamen rendido por las comisiones unidas segunda de Gobernación, de Puntos Constitucionales, de Educación y de Estudios Legislativos, segunda sección, de la Cámara de Senadores, el dieciocho de diciembre de mil novecientos noventa y uno, recalcó:</w:t>
      </w:r>
    </w:p>
    <w:p w14:paraId="116FEA80" w14:textId="77777777" w:rsidR="00676010" w:rsidRPr="00CF2780" w:rsidRDefault="00676010" w:rsidP="00676010">
      <w:pPr>
        <w:spacing w:after="0" w:line="240" w:lineRule="auto"/>
        <w:jc w:val="both"/>
        <w:rPr>
          <w:rFonts w:ascii="Arial" w:eastAsia="Times New Roman" w:hAnsi="Arial" w:cs="Arial"/>
          <w:sz w:val="24"/>
          <w:szCs w:val="24"/>
          <w:lang w:eastAsia="es-ES"/>
        </w:rPr>
      </w:pPr>
    </w:p>
    <w:p w14:paraId="0D83F583" w14:textId="77777777" w:rsidR="00676010" w:rsidRPr="00CF2780" w:rsidRDefault="00676010" w:rsidP="00676010">
      <w:pPr>
        <w:spacing w:after="0" w:line="240" w:lineRule="auto"/>
        <w:ind w:left="540" w:right="720"/>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 El hecho de que en el texto vigente del artículo 4o constitucional se hable de la igualdad jurídica entre el hombre y la mujer, o de cuestiones materia de las relaciones familiares, pudiera sugerir a algunos que al introducir el tema de las comunidades indígenas no hubiese continuado o interrelación temática entre los aspectos abordados en dicho artículo.</w:t>
      </w:r>
    </w:p>
    <w:p w14:paraId="1A6E613C" w14:textId="77777777" w:rsidR="00676010" w:rsidRPr="00CF2780" w:rsidRDefault="00676010" w:rsidP="00676010">
      <w:pPr>
        <w:spacing w:after="0" w:line="240" w:lineRule="auto"/>
        <w:ind w:left="540" w:right="720"/>
        <w:jc w:val="both"/>
        <w:rPr>
          <w:rFonts w:ascii="Arial" w:eastAsia="Times New Roman" w:hAnsi="Arial" w:cs="Arial"/>
          <w:sz w:val="24"/>
          <w:szCs w:val="24"/>
          <w:lang w:eastAsia="es-ES"/>
        </w:rPr>
      </w:pPr>
    </w:p>
    <w:p w14:paraId="1794E895" w14:textId="77777777" w:rsidR="00676010" w:rsidRPr="00CF2780" w:rsidRDefault="00676010" w:rsidP="00676010">
      <w:pPr>
        <w:spacing w:after="0" w:line="240" w:lineRule="auto"/>
        <w:ind w:left="540" w:right="720"/>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“A este respecto, es oportuno recordar que hay otros artículos constitucionales que abordan en el mismo precepto disposiciones de naturaleza diversa...</w:t>
      </w:r>
    </w:p>
    <w:p w14:paraId="46AB4EEE" w14:textId="77777777" w:rsidR="00676010" w:rsidRPr="00CF2780" w:rsidRDefault="00676010" w:rsidP="00676010">
      <w:pPr>
        <w:spacing w:after="0" w:line="240" w:lineRule="auto"/>
        <w:ind w:left="540" w:right="720"/>
        <w:jc w:val="both"/>
        <w:rPr>
          <w:rFonts w:ascii="Arial" w:eastAsia="Times New Roman" w:hAnsi="Arial" w:cs="Arial"/>
          <w:sz w:val="24"/>
          <w:szCs w:val="24"/>
          <w:lang w:eastAsia="es-ES"/>
        </w:rPr>
      </w:pPr>
    </w:p>
    <w:p w14:paraId="34FFE025" w14:textId="77777777" w:rsidR="00676010" w:rsidRPr="00CF2780" w:rsidRDefault="00676010" w:rsidP="00676010">
      <w:pPr>
        <w:spacing w:after="0" w:line="240" w:lineRule="auto"/>
        <w:ind w:left="540" w:right="720"/>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 Así, cabe señalar que el artículo 4o constitucional recoge preceptos de diversa índole:</w:t>
      </w:r>
    </w:p>
    <w:p w14:paraId="5746C38E" w14:textId="77777777" w:rsidR="00676010" w:rsidRPr="00CF2780" w:rsidRDefault="00676010" w:rsidP="00676010">
      <w:pPr>
        <w:spacing w:after="0" w:line="240" w:lineRule="auto"/>
        <w:ind w:left="540" w:right="720"/>
        <w:jc w:val="both"/>
        <w:rPr>
          <w:rFonts w:ascii="Arial" w:eastAsia="Times New Roman" w:hAnsi="Arial" w:cs="Arial"/>
          <w:sz w:val="24"/>
          <w:szCs w:val="24"/>
          <w:lang w:eastAsia="es-ES"/>
        </w:rPr>
      </w:pPr>
    </w:p>
    <w:p w14:paraId="50C90FCD" w14:textId="77777777" w:rsidR="00676010" w:rsidRPr="00CF2780" w:rsidRDefault="00676010" w:rsidP="00676010">
      <w:pPr>
        <w:spacing w:after="0" w:line="240" w:lineRule="auto"/>
        <w:ind w:left="540" w:right="720"/>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“De igualdad entre el hombre y la mujer; de libre e informada procreación; de derecho a disfrutar de una vivienda digna y de derecho de los menores a la protección.</w:t>
      </w:r>
    </w:p>
    <w:p w14:paraId="4C7016EB" w14:textId="77777777" w:rsidR="00676010" w:rsidRPr="00CF2780" w:rsidRDefault="00676010" w:rsidP="00676010">
      <w:pPr>
        <w:spacing w:after="0" w:line="240" w:lineRule="auto"/>
        <w:ind w:left="540" w:right="720"/>
        <w:jc w:val="both"/>
        <w:rPr>
          <w:rFonts w:ascii="Arial" w:eastAsia="Times New Roman" w:hAnsi="Arial" w:cs="Arial"/>
          <w:sz w:val="24"/>
          <w:szCs w:val="24"/>
          <w:lang w:eastAsia="es-ES"/>
        </w:rPr>
      </w:pPr>
    </w:p>
    <w:p w14:paraId="032C2159" w14:textId="77777777" w:rsidR="00676010" w:rsidRPr="00CF2780" w:rsidRDefault="00676010" w:rsidP="00676010">
      <w:pPr>
        <w:spacing w:after="0" w:line="240" w:lineRule="auto"/>
        <w:ind w:left="540" w:right="720"/>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“Estas prerrogativas constitucionales pueden agruparse en una doble vertiente:</w:t>
      </w:r>
    </w:p>
    <w:p w14:paraId="4F07FCFE" w14:textId="77777777" w:rsidR="00676010" w:rsidRPr="00CF2780" w:rsidRDefault="00676010" w:rsidP="00676010">
      <w:pPr>
        <w:spacing w:after="0" w:line="240" w:lineRule="auto"/>
        <w:ind w:left="540" w:right="720"/>
        <w:jc w:val="both"/>
        <w:rPr>
          <w:rFonts w:ascii="Arial" w:eastAsia="Times New Roman" w:hAnsi="Arial" w:cs="Arial"/>
          <w:sz w:val="24"/>
          <w:szCs w:val="24"/>
          <w:lang w:eastAsia="es-ES"/>
        </w:rPr>
      </w:pPr>
    </w:p>
    <w:p w14:paraId="008175D2" w14:textId="77777777" w:rsidR="00676010" w:rsidRPr="00CF2780" w:rsidRDefault="00676010" w:rsidP="00676010">
      <w:pPr>
        <w:spacing w:after="0" w:line="240" w:lineRule="auto"/>
        <w:ind w:left="540" w:right="720"/>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“Derechos de grupos específicos: la mujer, los padres y los menores; así como de orden programático:</w:t>
      </w:r>
    </w:p>
    <w:p w14:paraId="01919FBB" w14:textId="77777777" w:rsidR="00676010" w:rsidRPr="00CF2780" w:rsidRDefault="00676010" w:rsidP="00676010">
      <w:pPr>
        <w:spacing w:after="0" w:line="240" w:lineRule="auto"/>
        <w:ind w:left="540" w:right="720"/>
        <w:jc w:val="both"/>
        <w:rPr>
          <w:rFonts w:ascii="Arial" w:eastAsia="Times New Roman" w:hAnsi="Arial" w:cs="Arial"/>
          <w:sz w:val="24"/>
          <w:szCs w:val="24"/>
          <w:lang w:eastAsia="es-ES"/>
        </w:rPr>
      </w:pPr>
    </w:p>
    <w:p w14:paraId="4AA98361" w14:textId="77777777" w:rsidR="00676010" w:rsidRPr="00CF2780" w:rsidRDefault="00676010" w:rsidP="00676010">
      <w:pPr>
        <w:spacing w:after="0" w:line="240" w:lineRule="auto"/>
        <w:ind w:left="540" w:right="720"/>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“La salud y la vivienda.</w:t>
      </w:r>
    </w:p>
    <w:p w14:paraId="6421F949" w14:textId="77777777" w:rsidR="00676010" w:rsidRPr="00CF2780" w:rsidRDefault="00676010" w:rsidP="00676010">
      <w:pPr>
        <w:spacing w:after="0" w:line="240" w:lineRule="auto"/>
        <w:ind w:left="540" w:right="720"/>
        <w:jc w:val="both"/>
        <w:rPr>
          <w:rFonts w:ascii="Arial" w:eastAsia="Times New Roman" w:hAnsi="Arial" w:cs="Arial"/>
          <w:sz w:val="24"/>
          <w:szCs w:val="24"/>
          <w:lang w:eastAsia="es-ES"/>
        </w:rPr>
      </w:pPr>
    </w:p>
    <w:p w14:paraId="06655D55" w14:textId="77777777" w:rsidR="00676010" w:rsidRPr="00CF2780" w:rsidRDefault="00676010" w:rsidP="00676010">
      <w:pPr>
        <w:spacing w:after="0" w:line="240" w:lineRule="auto"/>
        <w:ind w:left="540" w:right="720"/>
        <w:jc w:val="both"/>
        <w:rPr>
          <w:rFonts w:ascii="Arial" w:eastAsia="Times New Roman" w:hAnsi="Arial" w:cs="Arial"/>
          <w:b/>
          <w:bCs/>
          <w:sz w:val="24"/>
          <w:szCs w:val="24"/>
          <w:lang w:eastAsia="es-ES"/>
        </w:rPr>
      </w:pPr>
      <w:r w:rsidRPr="00CF2780">
        <w:rPr>
          <w:rFonts w:ascii="Arial" w:eastAsia="Times New Roman" w:hAnsi="Arial" w:cs="Arial"/>
          <w:sz w:val="24"/>
          <w:szCs w:val="24"/>
          <w:lang w:eastAsia="es-ES"/>
        </w:rPr>
        <w:t>“</w:t>
      </w:r>
      <w:r w:rsidRPr="00CF2780">
        <w:rPr>
          <w:rFonts w:ascii="Arial" w:eastAsia="Times New Roman" w:hAnsi="Arial" w:cs="Arial"/>
          <w:b/>
          <w:bCs/>
          <w:sz w:val="24"/>
          <w:szCs w:val="24"/>
          <w:lang w:eastAsia="es-ES"/>
        </w:rPr>
        <w:t>Ahora, con la adición propuesta, se incidiría en la vertiente de derechos de grupos específicos:</w:t>
      </w:r>
    </w:p>
    <w:p w14:paraId="79BA4A5C" w14:textId="77777777" w:rsidR="00676010" w:rsidRPr="00CF2780" w:rsidRDefault="00676010" w:rsidP="00676010">
      <w:pPr>
        <w:spacing w:after="0" w:line="240" w:lineRule="auto"/>
        <w:ind w:left="540" w:right="720"/>
        <w:jc w:val="both"/>
        <w:rPr>
          <w:rFonts w:ascii="Arial" w:eastAsia="Times New Roman" w:hAnsi="Arial" w:cs="Arial"/>
          <w:b/>
          <w:bCs/>
          <w:sz w:val="24"/>
          <w:szCs w:val="24"/>
          <w:lang w:eastAsia="es-ES"/>
        </w:rPr>
      </w:pPr>
    </w:p>
    <w:p w14:paraId="7AC3AC5F" w14:textId="77777777" w:rsidR="00676010" w:rsidRPr="00CF2780" w:rsidRDefault="00676010" w:rsidP="00676010">
      <w:pPr>
        <w:spacing w:after="0" w:line="240" w:lineRule="auto"/>
        <w:ind w:left="540" w:right="720"/>
        <w:jc w:val="both"/>
        <w:rPr>
          <w:rFonts w:ascii="Arial" w:eastAsia="Times New Roman" w:hAnsi="Arial" w:cs="Arial"/>
          <w:b/>
          <w:bCs/>
          <w:sz w:val="24"/>
          <w:szCs w:val="24"/>
          <w:lang w:eastAsia="es-ES"/>
        </w:rPr>
      </w:pPr>
      <w:r w:rsidRPr="00CF2780">
        <w:rPr>
          <w:rFonts w:ascii="Arial" w:eastAsia="Times New Roman" w:hAnsi="Arial" w:cs="Arial"/>
          <w:sz w:val="24"/>
          <w:szCs w:val="24"/>
          <w:lang w:eastAsia="es-ES"/>
        </w:rPr>
        <w:t>“</w:t>
      </w:r>
      <w:r w:rsidRPr="00CF2780">
        <w:rPr>
          <w:rFonts w:ascii="Arial" w:eastAsia="Times New Roman" w:hAnsi="Arial" w:cs="Arial"/>
          <w:b/>
          <w:bCs/>
          <w:sz w:val="24"/>
          <w:szCs w:val="24"/>
          <w:lang w:eastAsia="es-ES"/>
        </w:rPr>
        <w:t>Los de los pueblos indígenas. Se trata de un precepto que dentro del principio de igualdad ante la ley, confiere derechos adicionales a ciertos grupos o sectores de la población.</w:t>
      </w:r>
    </w:p>
    <w:p w14:paraId="3FB8A994" w14:textId="77777777" w:rsidR="00676010" w:rsidRPr="00CF2780" w:rsidRDefault="00676010" w:rsidP="00676010">
      <w:pPr>
        <w:spacing w:after="0" w:line="240" w:lineRule="auto"/>
        <w:ind w:left="540" w:right="720"/>
        <w:jc w:val="both"/>
        <w:rPr>
          <w:rFonts w:ascii="Arial" w:eastAsia="Times New Roman" w:hAnsi="Arial" w:cs="Arial"/>
          <w:sz w:val="24"/>
          <w:szCs w:val="24"/>
          <w:lang w:eastAsia="es-ES"/>
        </w:rPr>
      </w:pPr>
    </w:p>
    <w:p w14:paraId="2A4E705A" w14:textId="77777777" w:rsidR="00676010" w:rsidRPr="00CF2780" w:rsidRDefault="00676010" w:rsidP="00676010">
      <w:pPr>
        <w:spacing w:after="0" w:line="240" w:lineRule="auto"/>
        <w:ind w:left="540" w:right="720"/>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“Por las razones expuestas, los miembros de las Comisiones Unidas que dictaminan hemos estimado pertinente no sólo la elevación a rango constitucional de las declaraciones y principios contenidos en la minuta aprobada por nuestra Colegisladora, sino que también hemos considerado idónea la inclusión de esta reforma precisamente en el texto del artículo 4o constitucional...</w:t>
      </w:r>
    </w:p>
    <w:p w14:paraId="1E390184" w14:textId="77777777" w:rsidR="00676010" w:rsidRPr="00CF2780" w:rsidRDefault="00676010" w:rsidP="00676010">
      <w:pPr>
        <w:spacing w:after="0" w:line="240" w:lineRule="auto"/>
        <w:ind w:left="540" w:right="720"/>
        <w:jc w:val="both"/>
        <w:rPr>
          <w:rFonts w:ascii="Arial" w:eastAsia="Times New Roman" w:hAnsi="Arial" w:cs="Arial"/>
          <w:sz w:val="24"/>
          <w:szCs w:val="24"/>
          <w:lang w:eastAsia="es-ES"/>
        </w:rPr>
      </w:pPr>
    </w:p>
    <w:p w14:paraId="0BFBF01C" w14:textId="77777777" w:rsidR="00676010" w:rsidRPr="00CF2780" w:rsidRDefault="00676010" w:rsidP="00676010">
      <w:pPr>
        <w:spacing w:after="0" w:line="240" w:lineRule="auto"/>
        <w:ind w:left="540" w:right="720"/>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 El texto original de la Constitución de 1917 y su evolución posterior implicaron modificaciones esenciales a la concepción tradicional de la Teoría de la Constitución, al introducir reglamentaciones que hubieran podido corresponder a la legislación secundaria. Hoy, la explicación unánimemente aceptada por los estudios de la materia, ha sido en el sentido de que el influjo del movimiento social que hizo posible un nuevo texto de ley suprema trajo la necesidad de preservar, mediante su elevación a rango de disposición jurídica fundamental diversas aspiraciones y conquistas que entrañan en sí misma las decisiones políticas fundamentales que se intentaba materializar como consecuencia del ideal de justicia. Es el caso bien estudiado del contenido de los artículos 3o, 27 y 123 constitucionales.</w:t>
      </w:r>
    </w:p>
    <w:p w14:paraId="5B371CC4" w14:textId="77777777" w:rsidR="00676010" w:rsidRPr="00CF2780" w:rsidRDefault="00676010" w:rsidP="00676010">
      <w:pPr>
        <w:spacing w:after="0" w:line="240" w:lineRule="auto"/>
        <w:ind w:left="540" w:right="720"/>
        <w:jc w:val="both"/>
        <w:rPr>
          <w:rFonts w:ascii="Arial" w:eastAsia="Times New Roman" w:hAnsi="Arial" w:cs="Arial"/>
          <w:sz w:val="24"/>
          <w:szCs w:val="24"/>
          <w:lang w:eastAsia="es-ES"/>
        </w:rPr>
      </w:pPr>
    </w:p>
    <w:p w14:paraId="6C5766B0" w14:textId="77777777" w:rsidR="00676010" w:rsidRPr="00CF2780" w:rsidRDefault="00676010" w:rsidP="00676010">
      <w:pPr>
        <w:spacing w:after="0" w:line="240" w:lineRule="auto"/>
        <w:ind w:left="540" w:right="720"/>
        <w:jc w:val="both"/>
        <w:rPr>
          <w:rFonts w:ascii="Arial" w:eastAsia="Times New Roman" w:hAnsi="Arial" w:cs="Arial"/>
          <w:b/>
          <w:bCs/>
          <w:sz w:val="24"/>
          <w:szCs w:val="24"/>
          <w:lang w:eastAsia="es-ES"/>
        </w:rPr>
      </w:pPr>
      <w:r w:rsidRPr="00CF2780">
        <w:rPr>
          <w:rFonts w:ascii="Arial" w:eastAsia="Times New Roman" w:hAnsi="Arial" w:cs="Arial"/>
          <w:sz w:val="24"/>
          <w:szCs w:val="24"/>
          <w:lang w:eastAsia="es-ES"/>
        </w:rPr>
        <w:t>“</w:t>
      </w:r>
      <w:r w:rsidRPr="00CF2780">
        <w:rPr>
          <w:rFonts w:ascii="Arial" w:eastAsia="Times New Roman" w:hAnsi="Arial" w:cs="Arial"/>
          <w:b/>
          <w:bCs/>
          <w:sz w:val="24"/>
          <w:szCs w:val="24"/>
          <w:lang w:eastAsia="es-ES"/>
        </w:rPr>
        <w:t xml:space="preserve">La legislación social mexicana, al igual que la legislación social de cualquier otro país, es un reconocimiento expreso de situaciones diferenciales que son indispensables para mantener la convivencia </w:t>
      </w:r>
      <w:r w:rsidRPr="00CF2780">
        <w:rPr>
          <w:rFonts w:ascii="Arial" w:eastAsia="Times New Roman" w:hAnsi="Arial" w:cs="Arial"/>
          <w:b/>
          <w:bCs/>
          <w:sz w:val="24"/>
          <w:szCs w:val="24"/>
          <w:lang w:eastAsia="es-ES"/>
        </w:rPr>
        <w:lastRenderedPageBreak/>
        <w:t>social armónica y la posibilidad de alcanzar la justicia, sin detrimento del principio de igualdad ante la ley.</w:t>
      </w:r>
    </w:p>
    <w:p w14:paraId="700B65D2" w14:textId="77777777" w:rsidR="00676010" w:rsidRPr="00CF2780" w:rsidRDefault="00676010" w:rsidP="00676010">
      <w:pPr>
        <w:spacing w:after="0" w:line="240" w:lineRule="auto"/>
        <w:ind w:left="540" w:right="720"/>
        <w:jc w:val="both"/>
        <w:rPr>
          <w:rFonts w:ascii="Arial" w:eastAsia="Times New Roman" w:hAnsi="Arial" w:cs="Arial"/>
          <w:sz w:val="24"/>
          <w:szCs w:val="24"/>
          <w:lang w:eastAsia="es-ES"/>
        </w:rPr>
      </w:pPr>
    </w:p>
    <w:p w14:paraId="004E1B1C" w14:textId="77777777" w:rsidR="00676010" w:rsidRPr="00CF2780" w:rsidRDefault="00676010" w:rsidP="00676010">
      <w:pPr>
        <w:spacing w:after="0" w:line="240" w:lineRule="auto"/>
        <w:ind w:left="540" w:right="720"/>
        <w:jc w:val="both"/>
        <w:rPr>
          <w:rFonts w:ascii="Arial" w:eastAsia="Times New Roman" w:hAnsi="Arial" w:cs="Arial"/>
          <w:b/>
          <w:bCs/>
          <w:sz w:val="24"/>
          <w:szCs w:val="24"/>
          <w:lang w:eastAsia="es-ES"/>
        </w:rPr>
      </w:pPr>
      <w:r w:rsidRPr="00CF2780">
        <w:rPr>
          <w:rFonts w:ascii="Arial" w:eastAsia="Times New Roman" w:hAnsi="Arial" w:cs="Arial"/>
          <w:sz w:val="24"/>
          <w:szCs w:val="24"/>
          <w:lang w:eastAsia="es-ES"/>
        </w:rPr>
        <w:t>“</w:t>
      </w:r>
      <w:r w:rsidRPr="00CF2780">
        <w:rPr>
          <w:rFonts w:ascii="Arial" w:eastAsia="Times New Roman" w:hAnsi="Arial" w:cs="Arial"/>
          <w:b/>
          <w:bCs/>
          <w:sz w:val="24"/>
          <w:szCs w:val="24"/>
          <w:lang w:eastAsia="es-ES"/>
        </w:rPr>
        <w:t>El conjunto de disposiciones tutelares contenidas en la Constitución Política de los Estados Unidos Mexicanos y sus leyes reglamentarias, dieron origen a lo que conocemos como el estado social de derecho en nuestro país. Ahora bien, una legislación social es necesaria y eminentemente tutelar de los grupos sociales que se ha decidido proteger.</w:t>
      </w:r>
    </w:p>
    <w:p w14:paraId="4F72B15A" w14:textId="77777777" w:rsidR="00676010" w:rsidRPr="00CF2780" w:rsidRDefault="00676010" w:rsidP="00676010">
      <w:pPr>
        <w:spacing w:after="0" w:line="240" w:lineRule="auto"/>
        <w:ind w:left="540" w:right="720"/>
        <w:jc w:val="both"/>
        <w:rPr>
          <w:rFonts w:ascii="Arial" w:eastAsia="Times New Roman" w:hAnsi="Arial" w:cs="Arial"/>
          <w:b/>
          <w:bCs/>
          <w:sz w:val="24"/>
          <w:szCs w:val="24"/>
          <w:lang w:eastAsia="es-ES"/>
        </w:rPr>
      </w:pPr>
    </w:p>
    <w:p w14:paraId="7E0A9BAA" w14:textId="77777777" w:rsidR="00676010" w:rsidRPr="00CF2780" w:rsidRDefault="00676010" w:rsidP="00676010">
      <w:pPr>
        <w:spacing w:after="0" w:line="240" w:lineRule="auto"/>
        <w:ind w:left="540" w:right="720"/>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w:t>
      </w:r>
      <w:r w:rsidRPr="00CF2780">
        <w:rPr>
          <w:rFonts w:ascii="Arial" w:eastAsia="Times New Roman" w:hAnsi="Arial" w:cs="Arial"/>
          <w:b/>
          <w:bCs/>
          <w:sz w:val="24"/>
          <w:szCs w:val="24"/>
          <w:lang w:eastAsia="es-ES"/>
        </w:rPr>
        <w:t>De tal manera que la esfera de protección jurídica que otorgan el Poder Constituyente Permanente o el legislador ordinario a dichos grupos sociales, si bien es cierto que establece excepciones a la ficción de la igualdad ante la ley, trae como consecuencia el reconocimiento formal de una diversidad social que es realidad cotidiana</w:t>
      </w:r>
      <w:r w:rsidRPr="00CF2780">
        <w:rPr>
          <w:rFonts w:ascii="Arial" w:eastAsia="Times New Roman" w:hAnsi="Arial" w:cs="Arial"/>
          <w:sz w:val="24"/>
          <w:szCs w:val="24"/>
          <w:lang w:eastAsia="es-ES"/>
        </w:rPr>
        <w:t>...”.</w:t>
      </w:r>
    </w:p>
    <w:p w14:paraId="7802CC67" w14:textId="77777777" w:rsidR="00676010" w:rsidRPr="00CF2780" w:rsidRDefault="00676010" w:rsidP="00676010">
      <w:pPr>
        <w:spacing w:after="0" w:line="240" w:lineRule="auto"/>
        <w:jc w:val="both"/>
        <w:rPr>
          <w:rFonts w:ascii="Arial" w:eastAsia="Times New Roman" w:hAnsi="Arial" w:cs="Arial"/>
          <w:sz w:val="24"/>
          <w:szCs w:val="24"/>
          <w:lang w:eastAsia="es-ES"/>
        </w:rPr>
      </w:pPr>
    </w:p>
    <w:p w14:paraId="1E68912B"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En tanto, la iniciativa presentada por el Ejecutivo de la Unión el cinco de diciembre de dos mil que, tras diversas modificaciones, dio lugar a la actual redacción del numeral 2 y a la derogación del ahora párrafo primero del artículo 4o, expuso:</w:t>
      </w:r>
    </w:p>
    <w:p w14:paraId="2C95DAF1" w14:textId="77777777" w:rsidR="00676010" w:rsidRPr="00CF2780" w:rsidRDefault="00676010" w:rsidP="00676010">
      <w:pPr>
        <w:spacing w:after="0" w:line="240" w:lineRule="auto"/>
        <w:jc w:val="both"/>
        <w:rPr>
          <w:rFonts w:ascii="Arial" w:eastAsia="Times New Roman" w:hAnsi="Arial" w:cs="Arial"/>
          <w:sz w:val="24"/>
          <w:szCs w:val="24"/>
          <w:lang w:eastAsia="es-ES"/>
        </w:rPr>
      </w:pPr>
    </w:p>
    <w:p w14:paraId="0BFD0B7F" w14:textId="77777777" w:rsidR="00676010" w:rsidRPr="00CF2780" w:rsidRDefault="00676010" w:rsidP="00676010">
      <w:pPr>
        <w:spacing w:after="0" w:line="240" w:lineRule="auto"/>
        <w:ind w:left="540" w:right="720"/>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 México es el producto de la unión de pueblos y culturas diferentes. La mayor riqueza de nuestro país está en su diversidad cultural. Por ello, la unidad nacional no puede sustentarse en la imposición de una cultura sobre las demás. Por el contrario, nuestra unión debe ser el resultado de la colaboración fraterna entre los distintos pueblos y comunidades que integran la Nación.</w:t>
      </w:r>
    </w:p>
    <w:p w14:paraId="05AEC69B" w14:textId="77777777" w:rsidR="00676010" w:rsidRPr="00CF2780" w:rsidRDefault="00676010" w:rsidP="00676010">
      <w:pPr>
        <w:spacing w:after="0" w:line="240" w:lineRule="auto"/>
        <w:ind w:left="540" w:right="720"/>
        <w:jc w:val="both"/>
        <w:rPr>
          <w:rFonts w:ascii="Arial" w:eastAsia="Times New Roman" w:hAnsi="Arial" w:cs="Arial"/>
          <w:sz w:val="24"/>
          <w:szCs w:val="24"/>
          <w:lang w:eastAsia="es-ES"/>
        </w:rPr>
      </w:pPr>
    </w:p>
    <w:p w14:paraId="1D05D604" w14:textId="77777777" w:rsidR="00676010" w:rsidRPr="00CF2780" w:rsidRDefault="00676010" w:rsidP="00676010">
      <w:pPr>
        <w:spacing w:after="0" w:line="240" w:lineRule="auto"/>
        <w:ind w:left="540" w:right="720"/>
        <w:jc w:val="both"/>
        <w:rPr>
          <w:rFonts w:ascii="Arial" w:eastAsia="Times New Roman" w:hAnsi="Arial" w:cs="Arial"/>
          <w:b/>
          <w:bCs/>
          <w:sz w:val="24"/>
          <w:szCs w:val="24"/>
          <w:lang w:eastAsia="es-ES"/>
        </w:rPr>
      </w:pPr>
      <w:r w:rsidRPr="00CF2780">
        <w:rPr>
          <w:rFonts w:ascii="Arial" w:eastAsia="Times New Roman" w:hAnsi="Arial" w:cs="Arial"/>
          <w:sz w:val="24"/>
          <w:szCs w:val="24"/>
          <w:lang w:eastAsia="es-ES"/>
        </w:rPr>
        <w:t xml:space="preserve">“A este respecto, el Convenio sobre pueblos indígenas y tribales en países independientes, de la Organización Internacional del Trabajo (No. 169, 1988 – 1989), reconoce que </w:t>
      </w:r>
      <w:r w:rsidRPr="00CF2780">
        <w:rPr>
          <w:rFonts w:ascii="Arial" w:eastAsia="Times New Roman" w:hAnsi="Arial" w:cs="Arial"/>
          <w:b/>
          <w:bCs/>
          <w:sz w:val="24"/>
          <w:szCs w:val="24"/>
          <w:lang w:eastAsia="es-ES"/>
        </w:rPr>
        <w:t xml:space="preserve">los pueblos indígenas, </w:t>
      </w:r>
      <w:r w:rsidRPr="00CF2780">
        <w:rPr>
          <w:rFonts w:ascii="Arial" w:eastAsia="Times New Roman" w:hAnsi="Arial" w:cs="Arial"/>
          <w:sz w:val="24"/>
          <w:szCs w:val="24"/>
          <w:lang w:eastAsia="es-ES"/>
        </w:rPr>
        <w:t xml:space="preserve">en muchas partes del mundo, </w:t>
      </w:r>
      <w:r w:rsidRPr="00CF2780">
        <w:rPr>
          <w:rFonts w:ascii="Arial" w:eastAsia="Times New Roman" w:hAnsi="Arial" w:cs="Arial"/>
          <w:b/>
          <w:bCs/>
          <w:sz w:val="24"/>
          <w:szCs w:val="24"/>
          <w:lang w:eastAsia="es-ES"/>
        </w:rPr>
        <w:t>no gozan de los derechos humanos fundamentales en el mismo grado que el resto de la población de los países en que viven. Igualmente, sostiene que las leyes, valores, costumbres y perspectivas de dichos pueblos se erosionan constantemente.</w:t>
      </w:r>
    </w:p>
    <w:p w14:paraId="03F029A7" w14:textId="77777777" w:rsidR="00676010" w:rsidRPr="00CF2780" w:rsidRDefault="00676010" w:rsidP="00676010">
      <w:pPr>
        <w:spacing w:after="0" w:line="240" w:lineRule="auto"/>
        <w:ind w:left="540" w:right="720"/>
        <w:jc w:val="both"/>
        <w:rPr>
          <w:rFonts w:ascii="Arial" w:eastAsia="Times New Roman" w:hAnsi="Arial" w:cs="Arial"/>
          <w:sz w:val="24"/>
          <w:szCs w:val="24"/>
          <w:lang w:eastAsia="es-ES"/>
        </w:rPr>
      </w:pPr>
    </w:p>
    <w:p w14:paraId="2F7AA91C" w14:textId="77777777" w:rsidR="00676010" w:rsidRPr="00CF2780" w:rsidRDefault="00676010" w:rsidP="00676010">
      <w:pPr>
        <w:spacing w:after="0" w:line="240" w:lineRule="auto"/>
        <w:ind w:left="540" w:right="720"/>
        <w:jc w:val="both"/>
        <w:rPr>
          <w:rFonts w:ascii="Arial" w:eastAsia="Times New Roman" w:hAnsi="Arial" w:cs="Arial"/>
          <w:b/>
          <w:bCs/>
          <w:sz w:val="24"/>
          <w:szCs w:val="24"/>
          <w:lang w:eastAsia="es-ES"/>
        </w:rPr>
      </w:pPr>
      <w:r w:rsidRPr="00CF2780">
        <w:rPr>
          <w:rFonts w:ascii="Arial" w:eastAsia="Times New Roman" w:hAnsi="Arial" w:cs="Arial"/>
          <w:sz w:val="24"/>
          <w:szCs w:val="24"/>
          <w:lang w:eastAsia="es-ES"/>
        </w:rPr>
        <w:t>“</w:t>
      </w:r>
      <w:r w:rsidRPr="00CF2780">
        <w:rPr>
          <w:rFonts w:ascii="Arial" w:eastAsia="Times New Roman" w:hAnsi="Arial" w:cs="Arial"/>
          <w:b/>
          <w:bCs/>
          <w:sz w:val="24"/>
          <w:szCs w:val="24"/>
          <w:lang w:eastAsia="es-ES"/>
        </w:rPr>
        <w:t>Nuestro país no es la excepción. A dos siglos de la fundación del Estado nacional, la situación jurídica de los pueblos indígenas es aún profundamente insatisfactoria y su condición social, motivo de honda preocupación nacional.</w:t>
      </w:r>
    </w:p>
    <w:p w14:paraId="0FB66EEB" w14:textId="77777777" w:rsidR="00676010" w:rsidRPr="00CF2780" w:rsidRDefault="00676010" w:rsidP="00676010">
      <w:pPr>
        <w:spacing w:after="0" w:line="240" w:lineRule="auto"/>
        <w:ind w:left="540" w:right="720"/>
        <w:jc w:val="both"/>
        <w:rPr>
          <w:rFonts w:ascii="Arial" w:eastAsia="Times New Roman" w:hAnsi="Arial" w:cs="Arial"/>
          <w:b/>
          <w:bCs/>
          <w:sz w:val="24"/>
          <w:szCs w:val="24"/>
          <w:lang w:eastAsia="es-ES"/>
        </w:rPr>
      </w:pPr>
    </w:p>
    <w:p w14:paraId="64C9D562" w14:textId="77777777" w:rsidR="00676010" w:rsidRPr="00CF2780" w:rsidRDefault="00676010" w:rsidP="00676010">
      <w:pPr>
        <w:spacing w:after="0" w:line="240" w:lineRule="auto"/>
        <w:ind w:left="540" w:right="720"/>
        <w:jc w:val="both"/>
        <w:rPr>
          <w:rFonts w:ascii="Arial" w:eastAsia="Times New Roman" w:hAnsi="Arial" w:cs="Arial"/>
          <w:b/>
          <w:bCs/>
          <w:sz w:val="24"/>
          <w:szCs w:val="24"/>
          <w:lang w:eastAsia="es-ES"/>
        </w:rPr>
      </w:pPr>
      <w:r w:rsidRPr="00CF2780">
        <w:rPr>
          <w:rFonts w:ascii="Arial" w:eastAsia="Times New Roman" w:hAnsi="Arial" w:cs="Arial"/>
          <w:sz w:val="24"/>
          <w:szCs w:val="24"/>
          <w:lang w:eastAsia="es-ES"/>
        </w:rPr>
        <w:lastRenderedPageBreak/>
        <w:t>“</w:t>
      </w:r>
      <w:r w:rsidRPr="00CF2780">
        <w:rPr>
          <w:rFonts w:ascii="Arial" w:eastAsia="Times New Roman" w:hAnsi="Arial" w:cs="Arial"/>
          <w:b/>
          <w:bCs/>
          <w:sz w:val="24"/>
          <w:szCs w:val="24"/>
          <w:lang w:eastAsia="es-ES"/>
        </w:rPr>
        <w:t>Los pueblos originarios de estas tierras han sido histórica y frecuentemente obligados a abandonar sus tierras y a remontarse a las más inhóspitas regiones del país; han vivido muchas veces sometidos al dominio caciquil, así como a humillaciones racistas y discriminatorias, y les ha sido negada la posibilidad de expresión y participación políticas.</w:t>
      </w:r>
    </w:p>
    <w:p w14:paraId="2E0BEA4B" w14:textId="77777777" w:rsidR="00676010" w:rsidRPr="00CF2780" w:rsidRDefault="00676010" w:rsidP="00676010">
      <w:pPr>
        <w:spacing w:after="0" w:line="240" w:lineRule="auto"/>
        <w:ind w:left="540" w:right="720"/>
        <w:jc w:val="both"/>
        <w:rPr>
          <w:rFonts w:ascii="Arial" w:eastAsia="Times New Roman" w:hAnsi="Arial" w:cs="Arial"/>
          <w:b/>
          <w:bCs/>
          <w:sz w:val="24"/>
          <w:szCs w:val="24"/>
          <w:lang w:eastAsia="es-ES"/>
        </w:rPr>
      </w:pPr>
    </w:p>
    <w:p w14:paraId="1A2802FC" w14:textId="77777777" w:rsidR="00676010" w:rsidRPr="00CF2780" w:rsidRDefault="00676010" w:rsidP="00676010">
      <w:pPr>
        <w:spacing w:after="0" w:line="240" w:lineRule="auto"/>
        <w:ind w:left="540" w:right="720"/>
        <w:jc w:val="both"/>
        <w:rPr>
          <w:rFonts w:ascii="Arial" w:eastAsia="Times New Roman" w:hAnsi="Arial" w:cs="Arial"/>
          <w:b/>
          <w:bCs/>
          <w:sz w:val="24"/>
          <w:szCs w:val="24"/>
          <w:lang w:eastAsia="es-ES"/>
        </w:rPr>
      </w:pPr>
      <w:r w:rsidRPr="00CF2780">
        <w:rPr>
          <w:rFonts w:ascii="Arial" w:eastAsia="Times New Roman" w:hAnsi="Arial" w:cs="Arial"/>
          <w:sz w:val="24"/>
          <w:szCs w:val="24"/>
          <w:lang w:eastAsia="es-ES"/>
        </w:rPr>
        <w:t>“</w:t>
      </w:r>
      <w:r w:rsidRPr="00CF2780">
        <w:rPr>
          <w:rFonts w:ascii="Arial" w:eastAsia="Times New Roman" w:hAnsi="Arial" w:cs="Arial"/>
          <w:b/>
          <w:bCs/>
          <w:sz w:val="24"/>
          <w:szCs w:val="24"/>
          <w:lang w:eastAsia="es-ES"/>
        </w:rPr>
        <w:t>En el transcurso de las últimas décadas, se han realizado esfuerzos para superar la falta de reconocimiento de la situación legal de los indígenas. En esos intentos, se reformó el artículo 4o de la Carta Magna y, con ello, se dio relevancia constitucional a la composición pluricultural de la Nación mexicana, que se sustenta originalmente en sus pueblos indígenas.</w:t>
      </w:r>
    </w:p>
    <w:p w14:paraId="0C0738D2" w14:textId="77777777" w:rsidR="00676010" w:rsidRPr="00CF2780" w:rsidRDefault="00676010" w:rsidP="00676010">
      <w:pPr>
        <w:spacing w:after="0" w:line="240" w:lineRule="auto"/>
        <w:ind w:left="540" w:right="720"/>
        <w:jc w:val="both"/>
        <w:rPr>
          <w:rFonts w:ascii="Arial" w:eastAsia="Times New Roman" w:hAnsi="Arial" w:cs="Arial"/>
          <w:sz w:val="24"/>
          <w:szCs w:val="24"/>
          <w:lang w:eastAsia="es-ES"/>
        </w:rPr>
      </w:pPr>
    </w:p>
    <w:p w14:paraId="0C1B7768" w14:textId="77777777" w:rsidR="00676010" w:rsidRPr="00CF2780" w:rsidRDefault="00676010" w:rsidP="00676010">
      <w:pPr>
        <w:spacing w:after="0" w:line="240" w:lineRule="auto"/>
        <w:ind w:left="540" w:right="720"/>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w:t>
      </w:r>
      <w:r w:rsidRPr="00CF2780">
        <w:rPr>
          <w:rFonts w:ascii="Arial" w:eastAsia="Times New Roman" w:hAnsi="Arial" w:cs="Arial"/>
          <w:b/>
          <w:bCs/>
          <w:sz w:val="24"/>
          <w:szCs w:val="24"/>
          <w:lang w:eastAsia="es-ES"/>
        </w:rPr>
        <w:t xml:space="preserve">Sin embargo, la reforma no resultó jurídicamente suficiente </w:t>
      </w:r>
      <w:r w:rsidRPr="00CF2780">
        <w:rPr>
          <w:rFonts w:ascii="Arial" w:eastAsia="Times New Roman" w:hAnsi="Arial" w:cs="Arial"/>
          <w:sz w:val="24"/>
          <w:szCs w:val="24"/>
          <w:lang w:eastAsia="es-ES"/>
        </w:rPr>
        <w:t>para aliviar las graves condiciones de los pueblos y comunidades indígenas del país.</w:t>
      </w:r>
    </w:p>
    <w:p w14:paraId="14C07D37" w14:textId="77777777" w:rsidR="00676010" w:rsidRPr="00CF2780" w:rsidRDefault="00676010" w:rsidP="00676010">
      <w:pPr>
        <w:spacing w:after="0" w:line="240" w:lineRule="auto"/>
        <w:ind w:left="540" w:right="720"/>
        <w:jc w:val="both"/>
        <w:rPr>
          <w:rFonts w:ascii="Arial" w:eastAsia="Times New Roman" w:hAnsi="Arial" w:cs="Arial"/>
          <w:sz w:val="24"/>
          <w:szCs w:val="24"/>
          <w:lang w:eastAsia="es-ES"/>
        </w:rPr>
      </w:pPr>
    </w:p>
    <w:p w14:paraId="379075CE" w14:textId="77777777" w:rsidR="00676010" w:rsidRPr="00CF2780" w:rsidRDefault="00676010" w:rsidP="00676010">
      <w:pPr>
        <w:spacing w:after="0" w:line="240" w:lineRule="auto"/>
        <w:ind w:left="540" w:right="720"/>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“Esa situación, que se ha mantenido desde hace mucho tiempo, propició, entre otras cosas, el levantamiento de un grupo armado, el EZLN, que reivindicaba mejores condiciones para los indígenas chiapanecos en particular, y para la totalidad de los indígenas del país en lo general...</w:t>
      </w:r>
    </w:p>
    <w:p w14:paraId="3C043CF9" w14:textId="77777777" w:rsidR="00676010" w:rsidRPr="00CF2780" w:rsidRDefault="00676010" w:rsidP="00676010">
      <w:pPr>
        <w:spacing w:after="0" w:line="240" w:lineRule="auto"/>
        <w:jc w:val="both"/>
        <w:rPr>
          <w:rFonts w:ascii="Arial" w:eastAsia="Times New Roman" w:hAnsi="Arial" w:cs="Arial"/>
          <w:sz w:val="24"/>
          <w:szCs w:val="24"/>
          <w:lang w:eastAsia="es-ES"/>
        </w:rPr>
      </w:pPr>
    </w:p>
    <w:p w14:paraId="09A3EDD5" w14:textId="77777777" w:rsidR="00676010" w:rsidRPr="00CF2780" w:rsidRDefault="00676010" w:rsidP="00676010">
      <w:pPr>
        <w:spacing w:after="0" w:line="240" w:lineRule="auto"/>
        <w:ind w:left="540" w:right="720"/>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 La iniciativa reconoce la libre determinación y la autonomía de los pueblos indígenas. Asimismo, prevé diversos mecanismos para garantizar que los pueblos indígenas de México tengan acceso a las instancias de representación política, a los recursos materiales, a la defensa jurídica, a la educación, así como a la protección de derechos compatibles con sus usos y costumbres y, en general, con su especificidad cultural...</w:t>
      </w:r>
    </w:p>
    <w:p w14:paraId="70E7C1E4" w14:textId="77777777" w:rsidR="00676010" w:rsidRPr="00CF2780" w:rsidRDefault="00676010" w:rsidP="00676010">
      <w:pPr>
        <w:spacing w:after="0" w:line="240" w:lineRule="auto"/>
        <w:ind w:left="540" w:right="720"/>
        <w:jc w:val="both"/>
        <w:rPr>
          <w:rFonts w:ascii="Arial" w:eastAsia="Times New Roman" w:hAnsi="Arial" w:cs="Arial"/>
          <w:sz w:val="24"/>
          <w:szCs w:val="24"/>
          <w:lang w:eastAsia="es-ES"/>
        </w:rPr>
      </w:pPr>
    </w:p>
    <w:p w14:paraId="06064CE8" w14:textId="77777777" w:rsidR="00676010" w:rsidRPr="00CF2780" w:rsidRDefault="00676010" w:rsidP="00676010">
      <w:pPr>
        <w:spacing w:after="0" w:line="240" w:lineRule="auto"/>
        <w:ind w:left="540" w:right="720"/>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 xml:space="preserve">“... Igualmente, debe aclararse que con la propuesta de fracción segunda del artículo 4o, </w:t>
      </w:r>
      <w:r w:rsidRPr="00CF2780">
        <w:rPr>
          <w:rFonts w:ascii="Arial" w:eastAsia="Times New Roman" w:hAnsi="Arial" w:cs="Arial"/>
          <w:b/>
          <w:bCs/>
          <w:sz w:val="24"/>
          <w:szCs w:val="24"/>
          <w:lang w:eastAsia="es-ES"/>
        </w:rPr>
        <w:t>no se pretende crear fueros indígenas especiales,</w:t>
      </w:r>
      <w:r w:rsidRPr="00CF2780">
        <w:rPr>
          <w:rFonts w:ascii="Arial" w:eastAsia="Times New Roman" w:hAnsi="Arial" w:cs="Arial"/>
          <w:sz w:val="24"/>
          <w:szCs w:val="24"/>
          <w:lang w:eastAsia="es-ES"/>
        </w:rPr>
        <w:t xml:space="preserve"> toda vez que se prevé la convalidación de las resoluciones indígenas por las autoridades jurisdiccionales del Estado.</w:t>
      </w:r>
    </w:p>
    <w:p w14:paraId="3AC1042C" w14:textId="77777777" w:rsidR="00676010" w:rsidRPr="00CF2780" w:rsidRDefault="00676010" w:rsidP="00676010">
      <w:pPr>
        <w:spacing w:after="0" w:line="240" w:lineRule="auto"/>
        <w:ind w:left="540" w:right="720"/>
        <w:jc w:val="both"/>
        <w:rPr>
          <w:rFonts w:ascii="Arial" w:eastAsia="Times New Roman" w:hAnsi="Arial" w:cs="Arial"/>
          <w:sz w:val="24"/>
          <w:szCs w:val="24"/>
          <w:lang w:eastAsia="es-ES"/>
        </w:rPr>
      </w:pPr>
    </w:p>
    <w:p w14:paraId="19C9E60D" w14:textId="77777777" w:rsidR="00676010" w:rsidRPr="00CF2780" w:rsidRDefault="00676010" w:rsidP="00676010">
      <w:pPr>
        <w:spacing w:after="0" w:line="240" w:lineRule="auto"/>
        <w:ind w:left="540" w:right="720"/>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“Asimismo, en relación con los “territorios” de los pueblos indígenas a que hace referencia la fracción quinta del artículo 4o, debe precisarse que no constituyen jurisdicciones separadas del territorio nacional. En ello sigue vigente el principio del artículo 27 constitucional, según el cual la propiedad originaria de tierras y aguas en el territorio nacional corresponde a la Nación. En consecuencia, el territorio de los pueblos indígenas de México no deja de ser el territorio de la Nación mexicana.</w:t>
      </w:r>
    </w:p>
    <w:p w14:paraId="718B40EF" w14:textId="77777777" w:rsidR="00676010" w:rsidRPr="00CF2780" w:rsidRDefault="00676010" w:rsidP="00676010">
      <w:pPr>
        <w:spacing w:after="0" w:line="240" w:lineRule="auto"/>
        <w:ind w:left="540" w:right="720"/>
        <w:jc w:val="both"/>
        <w:rPr>
          <w:rFonts w:ascii="Arial" w:eastAsia="Times New Roman" w:hAnsi="Arial" w:cs="Arial"/>
          <w:sz w:val="24"/>
          <w:szCs w:val="24"/>
          <w:lang w:eastAsia="es-ES"/>
        </w:rPr>
      </w:pPr>
    </w:p>
    <w:p w14:paraId="06470438" w14:textId="77777777" w:rsidR="00676010" w:rsidRPr="00CF2780" w:rsidRDefault="00676010" w:rsidP="00676010">
      <w:pPr>
        <w:spacing w:after="0" w:line="240" w:lineRule="auto"/>
        <w:ind w:left="540" w:right="720"/>
        <w:jc w:val="both"/>
        <w:rPr>
          <w:rFonts w:ascii="Arial" w:eastAsia="Times New Roman" w:hAnsi="Arial" w:cs="Arial"/>
          <w:b/>
          <w:bCs/>
          <w:sz w:val="24"/>
          <w:szCs w:val="24"/>
          <w:lang w:eastAsia="es-ES"/>
        </w:rPr>
      </w:pPr>
      <w:r w:rsidRPr="00CF2780">
        <w:rPr>
          <w:rFonts w:ascii="Arial" w:eastAsia="Times New Roman" w:hAnsi="Arial" w:cs="Arial"/>
          <w:sz w:val="24"/>
          <w:szCs w:val="24"/>
          <w:lang w:eastAsia="es-ES"/>
        </w:rPr>
        <w:t>“</w:t>
      </w:r>
      <w:r w:rsidRPr="00CF2780">
        <w:rPr>
          <w:rFonts w:ascii="Arial" w:eastAsia="Times New Roman" w:hAnsi="Arial" w:cs="Arial"/>
          <w:b/>
          <w:bCs/>
          <w:sz w:val="24"/>
          <w:szCs w:val="24"/>
          <w:lang w:eastAsia="es-ES"/>
        </w:rPr>
        <w:t xml:space="preserve">El reconocimiento de la organización de las comunidades indígenas dentro de un municipio no debe entenderse como la </w:t>
      </w:r>
      <w:r w:rsidRPr="00CF2780">
        <w:rPr>
          <w:rFonts w:ascii="Arial" w:eastAsia="Times New Roman" w:hAnsi="Arial" w:cs="Arial"/>
          <w:b/>
          <w:bCs/>
          <w:sz w:val="24"/>
          <w:szCs w:val="24"/>
          <w:lang w:eastAsia="es-ES"/>
        </w:rPr>
        <w:lastRenderedPageBreak/>
        <w:t>creación de un nuevo nivel de gobierno, ni mucho menos en el sentido de subordinar jerárquicamente a las autoridades municipales respecto a las autoridades del pueblo indígena al que pertenecen. De la misma forma, los procedimientos para la elección de las autoridades indígenas o sus representantes, y para el ejercicio de sus formas propias de gobierno, deben interpretarse en el sentido de ser complementarios y no excluyentes de los vigentes. Las autoridades y procedimientos constitucionales establecidos en el nivel municipal deben mantenerse, entre otras razones, porque constituyen una garantía para los habitantes, indígenas o no, de cada municipio.</w:t>
      </w:r>
    </w:p>
    <w:p w14:paraId="6D798154" w14:textId="77777777" w:rsidR="00676010" w:rsidRPr="00CF2780" w:rsidRDefault="00676010" w:rsidP="00676010">
      <w:pPr>
        <w:spacing w:after="0" w:line="240" w:lineRule="auto"/>
        <w:ind w:left="540" w:right="720"/>
        <w:jc w:val="both"/>
        <w:rPr>
          <w:rFonts w:ascii="Arial" w:eastAsia="Times New Roman" w:hAnsi="Arial" w:cs="Arial"/>
          <w:sz w:val="24"/>
          <w:szCs w:val="24"/>
          <w:lang w:eastAsia="es-ES"/>
        </w:rPr>
      </w:pPr>
    </w:p>
    <w:p w14:paraId="69635B10" w14:textId="77777777" w:rsidR="00676010" w:rsidRPr="00CF2780" w:rsidRDefault="00676010" w:rsidP="00676010">
      <w:pPr>
        <w:spacing w:after="0" w:line="240" w:lineRule="auto"/>
        <w:ind w:left="540" w:right="720"/>
        <w:jc w:val="both"/>
        <w:rPr>
          <w:rFonts w:ascii="Arial" w:eastAsia="Times New Roman" w:hAnsi="Arial" w:cs="Arial"/>
          <w:b/>
          <w:bCs/>
          <w:sz w:val="24"/>
          <w:szCs w:val="24"/>
          <w:lang w:eastAsia="es-ES"/>
        </w:rPr>
      </w:pPr>
      <w:r w:rsidRPr="00CF2780">
        <w:rPr>
          <w:rFonts w:ascii="Arial" w:eastAsia="Times New Roman" w:hAnsi="Arial" w:cs="Arial"/>
          <w:sz w:val="24"/>
          <w:szCs w:val="24"/>
          <w:lang w:eastAsia="es-ES"/>
        </w:rPr>
        <w:t xml:space="preserve">“Por todo lo anterior, </w:t>
      </w:r>
      <w:r w:rsidRPr="00CF2780">
        <w:rPr>
          <w:rFonts w:ascii="Arial" w:eastAsia="Times New Roman" w:hAnsi="Arial" w:cs="Arial"/>
          <w:b/>
          <w:bCs/>
          <w:sz w:val="24"/>
          <w:szCs w:val="24"/>
          <w:lang w:eastAsia="es-ES"/>
        </w:rPr>
        <w:t>subrayo que la iniciativa que hoy presento</w:t>
      </w:r>
      <w:r w:rsidRPr="00CF2780">
        <w:rPr>
          <w:rFonts w:ascii="Arial" w:eastAsia="Times New Roman" w:hAnsi="Arial" w:cs="Arial"/>
          <w:sz w:val="24"/>
          <w:szCs w:val="24"/>
          <w:lang w:eastAsia="es-ES"/>
        </w:rPr>
        <w:t xml:space="preserve"> a ese H. Cuerpo Colegiado, </w:t>
      </w:r>
      <w:r w:rsidRPr="00CF2780">
        <w:rPr>
          <w:rFonts w:ascii="Arial" w:eastAsia="Times New Roman" w:hAnsi="Arial" w:cs="Arial"/>
          <w:b/>
          <w:bCs/>
          <w:sz w:val="24"/>
          <w:szCs w:val="24"/>
          <w:lang w:eastAsia="es-ES"/>
        </w:rPr>
        <w:t>debe leerse en consonancia con todo el texto constitucional. Deberá interpretarse en consistencia con los principios de unidad nacional, de prohibición de leyes privativas y tribunales especiales, de igualdad entre las partes que participen en cualquier controversia y de unidad de jurisdicción sobre el territorio nacional</w:t>
      </w:r>
      <w:r w:rsidRPr="00CF2780">
        <w:rPr>
          <w:rFonts w:ascii="Arial" w:eastAsia="Times New Roman" w:hAnsi="Arial" w:cs="Arial"/>
          <w:sz w:val="24"/>
          <w:szCs w:val="24"/>
          <w:lang w:eastAsia="es-ES"/>
        </w:rPr>
        <w:t>...”.</w:t>
      </w:r>
    </w:p>
    <w:p w14:paraId="23A97637" w14:textId="77777777" w:rsidR="00676010" w:rsidRPr="00CF2780" w:rsidRDefault="00676010" w:rsidP="00676010">
      <w:pPr>
        <w:spacing w:after="0" w:line="240" w:lineRule="auto"/>
        <w:jc w:val="both"/>
        <w:rPr>
          <w:rFonts w:ascii="Arial" w:eastAsia="Times New Roman" w:hAnsi="Arial" w:cs="Arial"/>
          <w:sz w:val="24"/>
          <w:szCs w:val="24"/>
          <w:lang w:eastAsia="es-ES"/>
        </w:rPr>
      </w:pPr>
    </w:p>
    <w:p w14:paraId="3728EA0E"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A su vez, la Conferencia General de la Organización Internacional del Trabajo destacó, en el preámbulo del instrumento internacional invocado, lo siguiente:</w:t>
      </w:r>
    </w:p>
    <w:p w14:paraId="37A7FF44" w14:textId="77777777" w:rsidR="00676010" w:rsidRPr="00CF2780" w:rsidRDefault="00676010" w:rsidP="00676010">
      <w:pPr>
        <w:spacing w:after="0" w:line="240" w:lineRule="auto"/>
        <w:jc w:val="both"/>
        <w:rPr>
          <w:rFonts w:ascii="Arial" w:eastAsia="Times New Roman" w:hAnsi="Arial" w:cs="Arial"/>
          <w:sz w:val="24"/>
          <w:szCs w:val="24"/>
          <w:lang w:eastAsia="es-ES"/>
        </w:rPr>
      </w:pPr>
    </w:p>
    <w:p w14:paraId="42F8A7EC" w14:textId="77777777" w:rsidR="00676010" w:rsidRPr="00CF2780" w:rsidRDefault="00676010" w:rsidP="00676010">
      <w:pPr>
        <w:spacing w:after="0" w:line="240" w:lineRule="auto"/>
        <w:ind w:left="540" w:right="720"/>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“La Conferencia General de la Organización Internacional del Trabajo:...</w:t>
      </w:r>
    </w:p>
    <w:p w14:paraId="584EE8DE" w14:textId="77777777" w:rsidR="00676010" w:rsidRPr="00CF2780" w:rsidRDefault="00676010" w:rsidP="00676010">
      <w:pPr>
        <w:spacing w:after="0" w:line="240" w:lineRule="auto"/>
        <w:ind w:left="540" w:right="720"/>
        <w:jc w:val="both"/>
        <w:rPr>
          <w:rFonts w:ascii="Arial" w:eastAsia="Times New Roman" w:hAnsi="Arial" w:cs="Arial"/>
          <w:sz w:val="24"/>
          <w:szCs w:val="24"/>
          <w:lang w:eastAsia="es-ES"/>
        </w:rPr>
      </w:pPr>
    </w:p>
    <w:p w14:paraId="66486835" w14:textId="77777777" w:rsidR="00676010" w:rsidRPr="00CF2780" w:rsidRDefault="00676010" w:rsidP="00676010">
      <w:pPr>
        <w:spacing w:after="0" w:line="240" w:lineRule="auto"/>
        <w:ind w:left="540" w:right="720"/>
        <w:jc w:val="both"/>
        <w:rPr>
          <w:rFonts w:ascii="Arial" w:eastAsia="Times New Roman" w:hAnsi="Arial" w:cs="Arial"/>
          <w:b/>
          <w:bCs/>
          <w:sz w:val="24"/>
          <w:szCs w:val="24"/>
          <w:lang w:eastAsia="es-ES"/>
        </w:rPr>
      </w:pPr>
      <w:r w:rsidRPr="00CF2780">
        <w:rPr>
          <w:rFonts w:ascii="Arial" w:eastAsia="Times New Roman" w:hAnsi="Arial" w:cs="Arial"/>
          <w:sz w:val="24"/>
          <w:szCs w:val="24"/>
          <w:lang w:eastAsia="es-ES"/>
        </w:rPr>
        <w:t xml:space="preserve">“... Recordando los términos de la Declaración Universal de Derechos Humanos, del Pacto Internacional de Derechos Económicos, Sociales y Culturales, del Pacto Internacional de Derechos Civiles y Políticos, y de los numerosos instrumentos internacionales sobre la </w:t>
      </w:r>
      <w:r w:rsidRPr="00CF2780">
        <w:rPr>
          <w:rFonts w:ascii="Arial" w:eastAsia="Times New Roman" w:hAnsi="Arial" w:cs="Arial"/>
          <w:b/>
          <w:bCs/>
          <w:sz w:val="24"/>
          <w:szCs w:val="24"/>
          <w:lang w:eastAsia="es-ES"/>
        </w:rPr>
        <w:t>prevención de la discriminación;</w:t>
      </w:r>
    </w:p>
    <w:p w14:paraId="02D2B81D" w14:textId="77777777" w:rsidR="00676010" w:rsidRPr="00CF2780" w:rsidRDefault="00676010" w:rsidP="00676010">
      <w:pPr>
        <w:spacing w:after="0" w:line="240" w:lineRule="auto"/>
        <w:ind w:left="540" w:right="720"/>
        <w:jc w:val="both"/>
        <w:rPr>
          <w:rFonts w:ascii="Arial" w:eastAsia="Times New Roman" w:hAnsi="Arial" w:cs="Arial"/>
          <w:sz w:val="24"/>
          <w:szCs w:val="24"/>
          <w:lang w:eastAsia="es-ES"/>
        </w:rPr>
      </w:pPr>
    </w:p>
    <w:p w14:paraId="68EDD180" w14:textId="77777777" w:rsidR="00676010" w:rsidRPr="00CF2780" w:rsidRDefault="00676010" w:rsidP="00676010">
      <w:pPr>
        <w:spacing w:after="0" w:line="240" w:lineRule="auto"/>
        <w:ind w:left="540" w:right="720"/>
        <w:jc w:val="both"/>
        <w:rPr>
          <w:rFonts w:ascii="Arial" w:eastAsia="Times New Roman" w:hAnsi="Arial" w:cs="Arial"/>
          <w:b/>
          <w:bCs/>
          <w:sz w:val="24"/>
          <w:szCs w:val="24"/>
          <w:lang w:eastAsia="es-ES"/>
        </w:rPr>
      </w:pPr>
      <w:r w:rsidRPr="00CF2780">
        <w:rPr>
          <w:rFonts w:ascii="Arial" w:eastAsia="Times New Roman" w:hAnsi="Arial" w:cs="Arial"/>
          <w:sz w:val="24"/>
          <w:szCs w:val="24"/>
          <w:lang w:eastAsia="es-ES"/>
        </w:rPr>
        <w:t>“</w:t>
      </w:r>
      <w:r w:rsidRPr="00CF2780">
        <w:rPr>
          <w:rFonts w:ascii="Arial" w:eastAsia="Times New Roman" w:hAnsi="Arial" w:cs="Arial"/>
          <w:b/>
          <w:bCs/>
          <w:sz w:val="24"/>
          <w:szCs w:val="24"/>
          <w:lang w:eastAsia="es-ES"/>
        </w:rPr>
        <w:t>Considerando que la evolución del derecho internacional desde 1957 y los cambios sobrevenidos en la situación de los pueblos indígenas y tribales en todas las regiones del mundo hacen aconsejable adoptar nuevas normas internacionales en la materia, a fin de eliminar la orientación hacia la asimilación de las normas anteriores;</w:t>
      </w:r>
    </w:p>
    <w:p w14:paraId="068B18B6" w14:textId="77777777" w:rsidR="00676010" w:rsidRPr="00CF2780" w:rsidRDefault="00676010" w:rsidP="00676010">
      <w:pPr>
        <w:spacing w:after="0" w:line="240" w:lineRule="auto"/>
        <w:ind w:left="540" w:right="720"/>
        <w:jc w:val="both"/>
        <w:rPr>
          <w:rFonts w:ascii="Arial" w:eastAsia="Times New Roman" w:hAnsi="Arial" w:cs="Arial"/>
          <w:sz w:val="24"/>
          <w:szCs w:val="24"/>
          <w:lang w:eastAsia="es-ES"/>
        </w:rPr>
      </w:pPr>
    </w:p>
    <w:p w14:paraId="213FB63E" w14:textId="77777777" w:rsidR="00676010" w:rsidRPr="00CF2780" w:rsidRDefault="00676010" w:rsidP="00676010">
      <w:pPr>
        <w:spacing w:after="0" w:line="240" w:lineRule="auto"/>
        <w:ind w:left="540" w:right="720"/>
        <w:jc w:val="both"/>
        <w:rPr>
          <w:rFonts w:ascii="Arial" w:eastAsia="Times New Roman" w:hAnsi="Arial" w:cs="Arial"/>
          <w:b/>
          <w:bCs/>
          <w:sz w:val="24"/>
          <w:szCs w:val="24"/>
          <w:lang w:eastAsia="es-ES"/>
        </w:rPr>
      </w:pPr>
      <w:r w:rsidRPr="00CF2780">
        <w:rPr>
          <w:rFonts w:ascii="Arial" w:eastAsia="Times New Roman" w:hAnsi="Arial" w:cs="Arial"/>
          <w:sz w:val="24"/>
          <w:szCs w:val="24"/>
          <w:lang w:eastAsia="es-ES"/>
        </w:rPr>
        <w:t>“</w:t>
      </w:r>
      <w:r w:rsidRPr="00CF2780">
        <w:rPr>
          <w:rFonts w:ascii="Arial" w:eastAsia="Times New Roman" w:hAnsi="Arial" w:cs="Arial"/>
          <w:b/>
          <w:bCs/>
          <w:sz w:val="24"/>
          <w:szCs w:val="24"/>
          <w:lang w:eastAsia="es-ES"/>
        </w:rPr>
        <w:t>Reconociendo las aspiraciones de esos pueblos a asumir el control de sus propias instituciones y formas de vida y de su desarrollo económico y a mantener y fortalecer sus identidades, lenguas y religiones, dentro del marco de los Estados en que viven;</w:t>
      </w:r>
    </w:p>
    <w:p w14:paraId="243F1DE0" w14:textId="77777777" w:rsidR="00676010" w:rsidRPr="00CF2780" w:rsidRDefault="00676010" w:rsidP="00676010">
      <w:pPr>
        <w:spacing w:after="0" w:line="240" w:lineRule="auto"/>
        <w:ind w:left="540" w:right="720"/>
        <w:jc w:val="both"/>
        <w:rPr>
          <w:rFonts w:ascii="Arial" w:eastAsia="Times New Roman" w:hAnsi="Arial" w:cs="Arial"/>
          <w:sz w:val="24"/>
          <w:szCs w:val="24"/>
          <w:lang w:eastAsia="es-ES"/>
        </w:rPr>
      </w:pPr>
    </w:p>
    <w:p w14:paraId="2469DA71" w14:textId="77777777" w:rsidR="00676010" w:rsidRPr="00CF2780" w:rsidRDefault="00676010" w:rsidP="00676010">
      <w:pPr>
        <w:spacing w:after="0" w:line="240" w:lineRule="auto"/>
        <w:ind w:left="540" w:right="720"/>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lastRenderedPageBreak/>
        <w:t>“</w:t>
      </w:r>
      <w:r w:rsidRPr="00CF2780">
        <w:rPr>
          <w:rFonts w:ascii="Arial" w:eastAsia="Times New Roman" w:hAnsi="Arial" w:cs="Arial"/>
          <w:b/>
          <w:bCs/>
          <w:sz w:val="24"/>
          <w:szCs w:val="24"/>
          <w:lang w:eastAsia="es-ES"/>
        </w:rPr>
        <w:t>Observando que en muchas partes del mundo esos pueblos no pueden gozar de los derechos humanos fundamentales en el mismo grado que el resto de la población de los Estados en que viven y que sus leyes, valores, costumbres y perspectivas han sufrido a menudo una erosión</w:t>
      </w:r>
      <w:r w:rsidRPr="00CF2780">
        <w:rPr>
          <w:rFonts w:ascii="Arial" w:eastAsia="Times New Roman" w:hAnsi="Arial" w:cs="Arial"/>
          <w:sz w:val="24"/>
          <w:szCs w:val="24"/>
          <w:lang w:eastAsia="es-ES"/>
        </w:rPr>
        <w:t>...”.</w:t>
      </w:r>
    </w:p>
    <w:p w14:paraId="0BEDE025" w14:textId="77777777" w:rsidR="00676010" w:rsidRPr="00CF2780" w:rsidRDefault="00676010" w:rsidP="00676010">
      <w:pPr>
        <w:spacing w:after="0" w:line="240" w:lineRule="auto"/>
        <w:ind w:left="540" w:right="720"/>
        <w:jc w:val="both"/>
        <w:rPr>
          <w:rFonts w:ascii="Arial" w:eastAsia="Times New Roman" w:hAnsi="Arial" w:cs="Arial"/>
          <w:sz w:val="24"/>
          <w:szCs w:val="24"/>
          <w:lang w:eastAsia="es-ES"/>
        </w:rPr>
      </w:pPr>
    </w:p>
    <w:p w14:paraId="3FBC9CAB"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Como puede observarse, entonces, los derechos de corte fundamental reconocidos a los pueblos y comunidades indígenas, así como sus integrantes, constituyen medidas que procuran beneficiar directa e indirectamente a estos conglomerados de la sociedad mexicana, a través de una clara diferenciación de trato que redunde en una mayor igualdad, por considerarse que se encuentran en una grave situación de desigualdad y desamparo con el resto de la población, precisamente porque no han sido tomadas en cuenta sus particulares concepciones del uso y explotación de la tierra, sus procesos de producción, sus tradiciones y costumbres, los entramados sociales y políticos que les son propios, aspectos que han redundado en ciertas relaciones de sometimiento, discriminación y miseria.</w:t>
      </w:r>
    </w:p>
    <w:p w14:paraId="41D332EC"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5E5569AA"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Desde esta óptica, queda claro que la incorporación constitucional de derechos a estos sujetos no equivale a pretender crear un ámbito jurídico propio y exclusivo de la realidad indígena, desvinculado del ordenamiento jurídico general, ni perpetuar o reinstaurar viejas desigualdades propias de los viejos colonialismos.</w:t>
      </w:r>
    </w:p>
    <w:p w14:paraId="0DC3881C"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21495C7C"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 xml:space="preserve">Por el contrario, tales derechos forman parte de dicho ordenamiento, como mecanismos específicos de defensa de los derechos a la libertad de pensamiento y expresión, a la libertad de formas de vida y maneras de vivir, así como a la libertad de creación, mantenimiento y desarrollo </w:t>
      </w:r>
      <w:r w:rsidRPr="00CF2780">
        <w:rPr>
          <w:rFonts w:ascii="Arial" w:eastAsia="Times New Roman" w:hAnsi="Arial" w:cs="Arial"/>
          <w:sz w:val="28"/>
          <w:szCs w:val="24"/>
          <w:lang w:eastAsia="es-ES"/>
        </w:rPr>
        <w:lastRenderedPageBreak/>
        <w:t>de culturas, contempladas en el artículo 27, apartado 1 del Pacto Internacional de Derechos Civiles y Políticos, cuyo basamento último, como se ha constatado en apartados anteriores, se encuentra en la especial consideración que el ordenamiento tiene para con la dignidad humana, como valor imprescindible sobre el que se ha de sustentar cualquier sociedad que pretenda dotar de legitimidad a las normas jurídicas que le rigen, derivado de la cláusula general del artículo 39 de la Constitución federal, así como del reconocimiento genérico a la personalidad jurídica y dignidad de todo ser humano, previsto en los artículos 16, apartado 1, del pacto recién invocado, 3 y 11, apartado 1 de la Convención Americana sobre Derechos Humanos.</w:t>
      </w:r>
    </w:p>
    <w:p w14:paraId="166DD15F"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0E05F890"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De tal forma, con motivo del reconocimiento de la dignidad humana, se le dota de significado a la libertad individual, que permite desarrollar su ámbito inmediato en la capacidad y posibilidad de pensar, crear, opinar sobre y elegir estilos y formas de vida, y que también sustenta la búsqueda y creación de los medios sociales y económicos que hacen posible el desarrollo normal de la vida humana, así como también, dicha libertad sirve de sostén para la introducción de instrumentos o mecanismos que destruyan o disminuyan los obstáculos de orden social y económico que limiten la posibilidad de vivir dignamente, como ciertamente ocurre en regímenes que, como el nuestro, tutelan diversos derechos de índole social para la consecución de tales objetivos, adquiriendo así un calificativo de Estado Constitucional Democrático de Derecho, pese a que en el articulado constitucional no exista una cláusula que lo proclame así expresamente.</w:t>
      </w:r>
    </w:p>
    <w:p w14:paraId="161D77FE"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03911049"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lastRenderedPageBreak/>
        <w:t>Así, sobre la función que cumplen es que deben interpretarse los derechos constitucionales en cuestión, mismos que, como se vio, contemplan para los pueblos y comunidades indígenas el derecho a la libre determinación, entre cuyas manifestaciones concretas de autonomía comprende, al menos, la posibilidad de decidir sus formas internas de convivencia y organización, la aplicación de sistemas normativos propios, la elección mediante procedimientos y prácticas electorales de las autoridades o representantes para el ejercicio de sus formas propias de gobierno, así como la elección de representantes ante los ayuntamientos de aquellos municipios que cuenten con población indígena, también de conformidad con sus tradiciones y normas políticas.</w:t>
      </w:r>
    </w:p>
    <w:p w14:paraId="6F2A7F28"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4C5D1C0A"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Según se aprecia, conforme a las bases fundamentales y a las reglamentarias de las entidades federativas, los pueblos, comunidades y miembros indígenas se encuentran en aptitud de autodeterminarse social y políticamente en esferas distintas, pues el ámbito de incidencia puede ser únicamente al seno de la colectividad, o bien, impactar incluso en instituciones propias de la organización estatal configurada por la Constitución federal, como es el municipio.</w:t>
      </w:r>
    </w:p>
    <w:p w14:paraId="2B0984E0"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273B45AA"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Como el presente asunto versa sobre la elección municipal del ayuntamiento de Santiago Yaveo, Oaxaca, interesan en lo sucesivo exclusivamente las normas relativas a esta particular forma de concreción de la autonomía con que cuentan estos conglomerados sociales.</w:t>
      </w:r>
    </w:p>
    <w:p w14:paraId="27EC5EC1"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31FBDD58"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lastRenderedPageBreak/>
        <w:t>El derecho para elegir en los municipios con población indígena representantes ante los ayuntamientos, contemplado en el artículo 2, apartado A, fracción VII de la Carta Magna, tiene como propósito explícito fortalecer la participación y representación política de estos grupos étnicos, lo cual resulta congruente con la finalidad general antes escrita, especialmente por cuanto manda a las constituciones y legislaciones estatales reconocer y regular esta manifestación concreta de autonomía, tomando necesariamente en cuenta las tradiciones y normas internas de los pueblos y comunidades indígenas.</w:t>
      </w:r>
    </w:p>
    <w:p w14:paraId="26673A88"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613D4AC5"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Reconocimiento de usos, costumbres, procedimientos y prácticas indígenas que se perfila como manifestación específica de esa libertad de manera y forma de vida y uno de los elementos centrales en los derechos de estos individuos, comunidades y pueblos, tal y como puede constatarse en otras fracciones del propio apartado A del artículo 2 constitucional (III y VIII) y en los artículos 2, apartado 2, inciso b), 4, apartado 1, 5, inciso b), y 8 del Convenio sobre Pueblos Indígenas y Tribales en Países Independientes, referidos con anterioridad, aspecto que, no está demás reiterarlo, se encuentra configurado como un derecho fundamental, indisponible a las autoridades constituidas e invocable ante los tribunales de justicia para su respeto efectivo, como se desprende del mismo artículo 2, apartado A, fracción VIII de la Constitución y del diverso numeral 12 del instrumento internacional invocado.</w:t>
      </w:r>
    </w:p>
    <w:p w14:paraId="076A5FD5"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16EB0FF3"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 xml:space="preserve">A partir de estas premisas es posible deducir que en las elecciones municipales que tengan por objeto la elección de representantes de un </w:t>
      </w:r>
      <w:r w:rsidRPr="00CF2780">
        <w:rPr>
          <w:rFonts w:ascii="Arial" w:eastAsia="Times New Roman" w:hAnsi="Arial" w:cs="Arial"/>
          <w:sz w:val="28"/>
          <w:szCs w:val="24"/>
          <w:lang w:eastAsia="es-ES"/>
        </w:rPr>
        <w:lastRenderedPageBreak/>
        <w:t>pueblo o comunidad indígena para la integración de un ayuntamiento, deben necesariamente aplicarse en el proceso comicial los usos y costumbres propios de la comunidad, sin que, para ello, tengan que seguirse escrupulosamente los principios rectores y organizacionales de toda elección, contemplados en la Constitución, al tratarse de un caso de excepción contemplado por la misma Ley Fundamental.</w:t>
      </w:r>
    </w:p>
    <w:p w14:paraId="52CF9F23"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0218F4F5"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No obstante, ello no significa que, merced al ejercicio de este derecho Constitucional, puedan convalidarse situaciones o conductas tendentes a perpetuar o reinstaurar viejas desigualdades que tradicionalmente han perjudicado a individuos o minorías pertenecientes a los conglomerados indígenas, por ser irreconciliables con los valores, principios y derechos que postula  un Estado Constitucional Democrático de Derecho y con la finalidad y razón misma del origen de ese derecho subjetivo, en los términos en que ha sido expuesto.</w:t>
      </w:r>
    </w:p>
    <w:p w14:paraId="127A1C6B"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71A0FE4D"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En efecto, los derechos fundamentales, por encima de cualquier otra finalidad y función, se hallan al servicio de la persona humana y de sus fines existenciales. Dichos servicios se concretan en la protección de una serie de bienes jurídicos que el constituyente estimó de especial importancia a la luz de las circunstancias históricas. Así, desde una compresión coexistencial de los derechos fundamentales es posible afirmar que todos contribuyen coordinadamente al logro de los fines existenciales de la persona, sin que necesariamente quepa establecer jerarquías entre ellos, pues todos, cada uno en su medida, caminan en la misma dirección.</w:t>
      </w:r>
    </w:p>
    <w:p w14:paraId="4848C11D"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2A255A2A"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lastRenderedPageBreak/>
        <w:t>Consecuentemente, no puede estimarse como válido aquél desarrollo de conductas que, pretendiéndose amparar en un derecho fundamental recogido en el sistema jurídico, tenga como efecto conculcar otro derecho establecido por la propia Constitución o en un tratado internacional suscrito y ratificado por México, o bien, que tenga aparejada la vulneración de la dignidad de la persona humana, pues, en esos casos, las conductas desplegadas se encuentran fuera de toda cobertura o protección jurídica.</w:t>
      </w:r>
    </w:p>
    <w:p w14:paraId="7600D4EC"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18F54F82"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Así lo ha entendido el constituyente permanente cuando en diversos apartados del artículo 2 ha establecido que la aplicación de los sistemas normativos indígenas para la regulación y solución de sus conflictos internos, debe sujetarse a los principios generales de la Constitución, así como respetar las garantías individuales, derechos humanos y, especialmente, la dignidad e integridad de las mujeres (apartado A, fracción II), que la elección de las autoridades o representantes para el ejercicio de sus formas propias de gobierno, conforme sus normas, procedimientos y prácticas tradicionales, debe garantizar la participación de las mujeres en condiciones de equidad  frente a los varones (apartado A, fracción III), o bien, al imponer un deber a la federación, los estados y los municipios para propiciar la incorporación de las mujeres indígenas al desarrollo, mediante el apoyo a sus proyectos productivos, la protección de su salud, el otorgamiento de estímulos para favorecer su educación y su participación en la toma de decisiones con la vida comunitaria (apartado B, fracción V).</w:t>
      </w:r>
    </w:p>
    <w:p w14:paraId="15F7E5C0"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6235C114"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lastRenderedPageBreak/>
        <w:t>El Convenio sobre pueblos indígenas y tribales, 1989, guarda la misma postura delineada por el poder revisor de la Constitución, al establecer como reglas generales, en su artículo 8, las siguientes:</w:t>
      </w:r>
    </w:p>
    <w:p w14:paraId="433CFD4C"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15CE2F11" w14:textId="77777777" w:rsidR="00676010" w:rsidRPr="00CF2780" w:rsidRDefault="00676010" w:rsidP="00676010">
      <w:pPr>
        <w:spacing w:after="0" w:line="360" w:lineRule="auto"/>
        <w:ind w:left="720" w:hanging="360"/>
        <w:jc w:val="both"/>
        <w:rPr>
          <w:rFonts w:ascii="Arial" w:eastAsia="Times New Roman" w:hAnsi="Arial" w:cs="Arial"/>
          <w:sz w:val="28"/>
          <w:szCs w:val="24"/>
          <w:lang w:eastAsia="es-ES"/>
        </w:rPr>
      </w:pPr>
      <w:r w:rsidRPr="00CF2780">
        <w:rPr>
          <w:rFonts w:ascii="Arial" w:eastAsia="Times New Roman" w:hAnsi="Arial" w:cs="Arial"/>
          <w:b/>
          <w:bCs/>
          <w:sz w:val="28"/>
          <w:szCs w:val="24"/>
          <w:lang w:eastAsia="es-ES"/>
        </w:rPr>
        <w:t>a)</w:t>
      </w:r>
      <w:r w:rsidRPr="00CF2780">
        <w:rPr>
          <w:rFonts w:ascii="Arial" w:eastAsia="Times New Roman" w:hAnsi="Arial" w:cs="Arial"/>
          <w:b/>
          <w:bCs/>
          <w:sz w:val="28"/>
          <w:szCs w:val="24"/>
          <w:lang w:eastAsia="es-ES"/>
        </w:rPr>
        <w:tab/>
      </w:r>
      <w:r w:rsidRPr="00CF2780">
        <w:rPr>
          <w:rFonts w:ascii="Arial" w:eastAsia="Times New Roman" w:hAnsi="Arial" w:cs="Arial"/>
          <w:sz w:val="28"/>
          <w:szCs w:val="24"/>
          <w:lang w:eastAsia="es-ES"/>
        </w:rPr>
        <w:t>Si bien en la aplicación de la legislación nacional a los pueblos indígenas (comprendiendo, consecuentemente, a las comunidades e individuos que los integren) deben tomarse en cuenta sus costumbres o derecho consuetudinario, su resultado no puede tener como consecuencia impedir a los miembros de los mismos ejercer los derechos reconocidos a todos los ciudadanos del país y asumir las obligaciones correspondientes.</w:t>
      </w:r>
    </w:p>
    <w:p w14:paraId="21F06C94" w14:textId="77777777" w:rsidR="00676010" w:rsidRPr="00CF2780" w:rsidRDefault="00676010" w:rsidP="00676010">
      <w:pPr>
        <w:spacing w:after="0" w:line="360" w:lineRule="auto"/>
        <w:ind w:left="720" w:hanging="360"/>
        <w:jc w:val="both"/>
        <w:rPr>
          <w:rFonts w:ascii="Arial" w:eastAsia="Times New Roman" w:hAnsi="Arial" w:cs="Arial"/>
          <w:sz w:val="28"/>
          <w:szCs w:val="24"/>
          <w:lang w:eastAsia="es-ES"/>
        </w:rPr>
      </w:pPr>
    </w:p>
    <w:p w14:paraId="1F823598" w14:textId="77777777" w:rsidR="00676010" w:rsidRPr="00CF2780" w:rsidRDefault="00676010" w:rsidP="00676010">
      <w:pPr>
        <w:spacing w:after="0" w:line="360" w:lineRule="auto"/>
        <w:ind w:left="720" w:hanging="360"/>
        <w:jc w:val="both"/>
        <w:rPr>
          <w:rFonts w:ascii="Arial" w:eastAsia="Times New Roman" w:hAnsi="Arial" w:cs="Arial"/>
          <w:sz w:val="28"/>
          <w:szCs w:val="24"/>
          <w:lang w:eastAsia="es-ES"/>
        </w:rPr>
      </w:pPr>
      <w:r w:rsidRPr="00CF2780">
        <w:rPr>
          <w:rFonts w:ascii="Arial" w:eastAsia="Times New Roman" w:hAnsi="Arial" w:cs="Arial"/>
          <w:b/>
          <w:bCs/>
          <w:sz w:val="28"/>
          <w:szCs w:val="24"/>
          <w:lang w:eastAsia="es-ES"/>
        </w:rPr>
        <w:t>b)</w:t>
      </w:r>
      <w:r w:rsidRPr="00CF2780">
        <w:rPr>
          <w:rFonts w:ascii="Arial" w:eastAsia="Times New Roman" w:hAnsi="Arial" w:cs="Arial"/>
          <w:b/>
          <w:bCs/>
          <w:sz w:val="28"/>
          <w:szCs w:val="24"/>
          <w:lang w:eastAsia="es-ES"/>
        </w:rPr>
        <w:tab/>
      </w:r>
      <w:r w:rsidRPr="00CF2780">
        <w:rPr>
          <w:rFonts w:ascii="Arial" w:eastAsia="Times New Roman" w:hAnsi="Arial" w:cs="Arial"/>
          <w:sz w:val="28"/>
          <w:szCs w:val="24"/>
          <w:lang w:eastAsia="es-ES"/>
        </w:rPr>
        <w:t>El derecho de los pueblos, comunidades e individuos indígenas a conservar (y, por ende, practicar) sus costumbres e instituciones propias, se encuentra supeditado o tiene como límite la incompatibilidad de tales costumbres e instituciones con los derechos fundamentales definidos por el sistema jurídico nacional o con los derechos humanos internacionalmente reconocidos, o bien, si su ejercicio o actualización tiene como efecto impedir a los miembros de estas colectividades ejercer los derechos reconocidos a todos los ciudadanos y asumir las obligaciones respectivas.</w:t>
      </w:r>
    </w:p>
    <w:p w14:paraId="614EDB2A"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293AB705"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 xml:space="preserve">En consecuencia, por cuanto importa al asunto que se trata, debe concluirse que en los comicios que se lleven a cabo por usos, costumbres o derecho consuetudinario, para la renovación de los representantes de los pueblos y comunidades indígenas en los </w:t>
      </w:r>
      <w:r w:rsidRPr="00CF2780">
        <w:rPr>
          <w:rFonts w:ascii="Arial" w:eastAsia="Times New Roman" w:hAnsi="Arial" w:cs="Arial"/>
          <w:sz w:val="28"/>
          <w:szCs w:val="24"/>
          <w:lang w:eastAsia="es-ES"/>
        </w:rPr>
        <w:lastRenderedPageBreak/>
        <w:t>ayuntamientos cuyos municipios posean población indígena, si bien no resultan exactamente aplicables los principios rectores de corte constitucional que rigen a toda elección, para que se les reconozca validez a los procedimientos o prácticas que se sigan, éstos no deben ser incompatibles con los derechos fundamentales recogidos por la Carta Magna ni con los derechos humanos contenidos en los instrumentos internacionales suscritos y ratificados por México, así como tampoco, tener como consecuencia impedir a los individuos que conformen los pueblos y comunidades indígenas, ejercer los derechos reconocidos a todos los ciudadanos del país y asumir las obligaciones correspondientes.</w:t>
      </w:r>
    </w:p>
    <w:p w14:paraId="4C8C0FB6"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34438B3D"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Lo anterior, independientemente de que, en cumplimiento de la atribución específica prevista en el artículo 2, apartado A, fracción VII, segundo párrafo de la Ley Fundamental, en las constituciones y leyes de las entidades federativas se encontraren o no contemplada, detallada o desarrollada esta exigencia, por tratarse de principios establecidos en la Constitución federal y en un instrumento internacional suscrito y ratificado por los órganos constitucionalmente previstos, por lo que, en términos del artículo 133 de la Constitución Política de los Estados Unidos Mexicanos, al ser la ley Suprema de la Unión, cuentan con un carácter imperativo, de orden público, de obediencia inexcusable y de imposible renuncia.</w:t>
      </w:r>
    </w:p>
    <w:p w14:paraId="1E418000"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51D8357F"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 xml:space="preserve">Ahora bien, estas aseveraciones no se traducen en que las autoridades que por mandato constitucional o legal se encuentren compelidas a interpretar y aplicar aquellas situaciones en que la práctica de ciertos </w:t>
      </w:r>
      <w:r w:rsidRPr="00CF2780">
        <w:rPr>
          <w:rFonts w:ascii="Arial" w:eastAsia="Times New Roman" w:hAnsi="Arial" w:cs="Arial"/>
          <w:sz w:val="28"/>
          <w:szCs w:val="24"/>
          <w:lang w:eastAsia="es-ES"/>
        </w:rPr>
        <w:lastRenderedPageBreak/>
        <w:t>procedimientos o instituciones propias del derecho consuetudinario de los pueblos y comunidades indígenas pudieren conculcar algún o algunos derechos fundamentales recogidos por la Constitución federal o los tratados internacionales suscritos y ratificados por el gobierno mexicano, deban desarrollar una actividad mecánica o letrística de las disposiciones, conductas y situaciones que resultaren conducentes al momento de analizar los límites en que debe ejercerse el derecho a utilizar los usos o costumbres indígenas.</w:t>
      </w:r>
    </w:p>
    <w:p w14:paraId="6E893D7F"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220934B7"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Por el contrario, debe tenerse en cuenta que los derechos fundamentales constituyen el fundamento mismo de orden público-jurídico del Estado, en virtud del doble carácter que revisten. Por un lado, se trata de derechos subjetivos en cuanto tutelan un status jurídico o la libertad en un ámbito de la existencia. Al mismo tiempo, se constituyen como elementos esenciales del ordenamiento objetivo de la comunidad nacional, en cuanto ésta se configura como marco de una convivencia justa y pacífica, sirviendo así como fundamento de la unidad política.</w:t>
      </w:r>
    </w:p>
    <w:p w14:paraId="56380275"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3DC32243"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 xml:space="preserve">La Constitución concede, entonces, protección de los derechos fundamentales considerados no en sentido teórico o ideal, sino como derechos reales y efectivos, y ello impone el deber de examinar sus presuntas vulneraciones mediante la utilización de criterios sustantivos que, atendiendo al contenido y finalidad del derecho que se supone transgredido, permita apreciar si esa vulneración se ha, o no, real y efectivamente producido, más allá de la mera apariencia nominalista, </w:t>
      </w:r>
      <w:r w:rsidRPr="00CF2780">
        <w:rPr>
          <w:rFonts w:ascii="Arial" w:eastAsia="Times New Roman" w:hAnsi="Arial" w:cs="Arial"/>
          <w:sz w:val="28"/>
          <w:szCs w:val="24"/>
          <w:lang w:eastAsia="es-ES"/>
        </w:rPr>
        <w:lastRenderedPageBreak/>
        <w:t>atendiendo especialmente, en la especie, a la idiosincrasia y circunstancias especiales de los pueblos y comunidades indígenas.</w:t>
      </w:r>
    </w:p>
    <w:p w14:paraId="0206436E"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45557354"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Consecuentemente, los derechos fundamentales reconocidos por la Constitución federal a las colectividades y personas indígenas sólo pueden ceder ante los límites que la propia Constitución expresamente imponga, o, como acontece con el artículo 8 del Convenio sobre pueblos indígenas y tribales, 1989, ante los que de manera mediata o directa se infieran de la misma al resultar justificados por la necesidad de preservar otros derechos o bienes jurídicamente protegidos, siempre y cuando, se reitera, la infracción a tales derechos sea de corte sustancial, y no instrumental, para los bienes que con los mismos se pretende tutelar.</w:t>
      </w:r>
    </w:p>
    <w:p w14:paraId="7A364956"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0FA867B3"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Analizadas las bases constitucionales y de índole internacional sobre las cuales deben las constituciones y leyes de las entidades federativas desarrollar el artículo 2, apartado A, fracción VII, de la Carta Magna, así como la interpretación de los derechos fundamentales en ella involucrados, cabe entonces hacer mención de las reglas implementadas en el orden normativo del Estado de Oaxaca.</w:t>
      </w:r>
    </w:p>
    <w:p w14:paraId="4A9EF074"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4E7B7558"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 xml:space="preserve">Atendiendo a las directrices constitucionales ya señaladas, los artículos 25, 27, 29, 31 y 67 de la Constitución Política del Estado Libre y Soberano de Oaxaca, fundamentalmente, se encargan de desarrollar para el ámbito local, las disposiciones necesarias para configurar un gobierno republicano, representativo y popular, el cual, según expresa </w:t>
      </w:r>
      <w:r w:rsidRPr="00CF2780">
        <w:rPr>
          <w:rFonts w:ascii="Arial" w:eastAsia="Times New Roman" w:hAnsi="Arial" w:cs="Arial"/>
          <w:sz w:val="28"/>
          <w:szCs w:val="24"/>
          <w:lang w:eastAsia="es-ES"/>
        </w:rPr>
        <w:lastRenderedPageBreak/>
        <w:t>el numeral 29 invocado, tiene como base de su organización política y administrativa, el municipio libre.</w:t>
      </w:r>
    </w:p>
    <w:p w14:paraId="71519DB0"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631B5847"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Por su parte, el artículo 16 del mismo cuerpo normativo proclama la composición étnica plural del Estado de Oaxaca, sustentada en la presencia y diversidad de los pueblos y comunidades que lo integran, entre los que se encuentran mencionados expresamente los Amuzgos, Cuicatecos, Chatinos, Chinantecos, Chocholtecos, Chontales, Huaves, Ixcatecos, Mazatecos, Mixes, Mixtecos, Nahuas, Triquis, Zapotecos y Zoques. Así mismo, reconoce a los pueblos y comunidades indígenas el derecho a la libre determinación expresada como autonomía, gozando incluso de personalidad jurídica de derecho público, así como de derechos sociales, cuya reglamentación para asegurarlos se destina a una ley reglamentaria, tales como: formas de organización social, política y de gobierno, sistemas normativos internos, jurisdicción sobre sus territorios, acceso a los recursos naturales de sus tierras y territorios, participación en el quehacer educativo y en los planes de desarrollo, formas de expresión religiosa y artística, acervo cultural y, en general, los mecanismos de protección para todos los elementos que configuran su identidad.</w:t>
      </w:r>
    </w:p>
    <w:p w14:paraId="2B169900"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1CF85C7C"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 xml:space="preserve">En congruencia con este hecho social (conformación étnica plural del Estado oaxaqueño, sustentada en la diversidad de pueblos y comunidades indígenas) reconocido jurídicamente, el artículo 29, segundo párrafo del ordenamiento en cita, tras prescribir que la elección de los ayuntamientos se realice mediante sufragio universal, libre, secreto y directo, precisa que en los municipios con comunidades </w:t>
      </w:r>
      <w:r w:rsidRPr="00CF2780">
        <w:rPr>
          <w:rFonts w:ascii="Arial" w:eastAsia="Times New Roman" w:hAnsi="Arial" w:cs="Arial"/>
          <w:sz w:val="28"/>
          <w:szCs w:val="24"/>
          <w:lang w:eastAsia="es-ES"/>
        </w:rPr>
        <w:lastRenderedPageBreak/>
        <w:t>(indígenas) que se rigen por el sistema de usos y costumbres, debe observarse lo señalado en el diverso numeral 25, penúltimo párrafo, que impone al legislador ordinario el mandato de proteger las tradiciones y prácticas democráticas de las comunidades indígenas, “que hasta ahora han utilizado para la elección de sus ayuntamientos”.</w:t>
      </w:r>
    </w:p>
    <w:p w14:paraId="7F00BF75"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5ABDF778"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El desarrollo legislativo atinente a estos aspectos se encuentra, principalmente, en el Código de Instituciones Políticas y Procedimientos Electorales, por ser este cuerpo legal el encargado de regular, entre otras cuestiones, lo relativo a los derechos y obligaciones político electorales de los ciudadanos oaxaqueños, así como la función estatal de organizar y vigilar las elecciones de los integrantes de los ayuntamientos municipales, en términos de su artículo 1, incisos a) y c).</w:t>
      </w:r>
    </w:p>
    <w:p w14:paraId="44CB9C1F"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52312FD2"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De tal forma, el Libro Cuarto del ordenamiento citado se encuentra dedicado a regular la renovación de los ayuntamientos en municipios que electoralmente se rigen por normas de derecho consuetudinario, mismos que se definen, siguiendo los parámetros consignados en el artículo 110, por el Consejo General del Instituto Estatal Electoral de Oaxaca en su primera sesión del año electoral, según dispone el diverso 114.</w:t>
      </w:r>
    </w:p>
    <w:p w14:paraId="44046DF8"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78FBA566"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 xml:space="preserve">Conforme el artículo 109, párrafos 3 y 4, el procedimiento electoral consuetudinario es el conjunto de actos realizados por las autoridades electorales competentes, los órganos comunitarios de consulta y por los ciudadanos de una comunidad, para proponer públicamente a los concejales municipales y para elegirlos, con base en las normas </w:t>
      </w:r>
      <w:r w:rsidRPr="00CF2780">
        <w:rPr>
          <w:rFonts w:ascii="Arial" w:eastAsia="Times New Roman" w:hAnsi="Arial" w:cs="Arial"/>
          <w:sz w:val="28"/>
          <w:szCs w:val="24"/>
          <w:lang w:eastAsia="es-ES"/>
        </w:rPr>
        <w:lastRenderedPageBreak/>
        <w:t>consuetudinarias del municipio, comprendiendo así los actos previos, las propuestas de concejales, las formas de votación y de escrutinio, hasta el cierre de la elección y emisión de la declaración de validez.</w:t>
      </w:r>
    </w:p>
    <w:p w14:paraId="69051FE1"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04A4F540"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La lectura de los textos normativos conducentes permite deducir que la ley electoral en cuestión contempla como requisitos formales de este tipo de comicios, los siguientes:</w:t>
      </w:r>
    </w:p>
    <w:p w14:paraId="47614B0D"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7A891167" w14:textId="77777777" w:rsidR="00676010" w:rsidRPr="00CF2780" w:rsidRDefault="00676010" w:rsidP="00676010">
      <w:pPr>
        <w:spacing w:after="0" w:line="360" w:lineRule="auto"/>
        <w:ind w:left="720" w:hanging="360"/>
        <w:jc w:val="both"/>
        <w:rPr>
          <w:rFonts w:ascii="Arial" w:eastAsia="Times New Roman" w:hAnsi="Arial" w:cs="Arial"/>
          <w:sz w:val="28"/>
          <w:szCs w:val="24"/>
          <w:lang w:eastAsia="es-ES"/>
        </w:rPr>
      </w:pPr>
      <w:r w:rsidRPr="00CF2780">
        <w:rPr>
          <w:rFonts w:ascii="Arial" w:eastAsia="Times New Roman" w:hAnsi="Arial" w:cs="Arial"/>
          <w:b/>
          <w:bCs/>
          <w:sz w:val="28"/>
          <w:szCs w:val="24"/>
          <w:lang w:eastAsia="es-ES"/>
        </w:rPr>
        <w:t>a)</w:t>
      </w:r>
      <w:r w:rsidRPr="00CF2780">
        <w:rPr>
          <w:rFonts w:ascii="Arial" w:eastAsia="Times New Roman" w:hAnsi="Arial" w:cs="Arial"/>
          <w:b/>
          <w:bCs/>
          <w:sz w:val="28"/>
          <w:szCs w:val="24"/>
          <w:lang w:eastAsia="es-ES"/>
        </w:rPr>
        <w:tab/>
      </w:r>
      <w:r w:rsidRPr="00CF2780">
        <w:rPr>
          <w:rFonts w:ascii="Arial" w:eastAsia="Times New Roman" w:hAnsi="Arial" w:cs="Arial"/>
          <w:sz w:val="28"/>
          <w:szCs w:val="24"/>
          <w:lang w:eastAsia="es-ES"/>
        </w:rPr>
        <w:t>Se encuentra proscrita la participación de los partidos políticos nacionales y estatales, dado que los ayuntamientos electos por esta modalidad no deben tener filiación partidista (artículo 118).</w:t>
      </w:r>
    </w:p>
    <w:p w14:paraId="776D9AE5" w14:textId="77777777" w:rsidR="00676010" w:rsidRPr="00CF2780" w:rsidRDefault="00676010" w:rsidP="00676010">
      <w:pPr>
        <w:spacing w:after="0" w:line="360" w:lineRule="auto"/>
        <w:ind w:left="720" w:hanging="360"/>
        <w:jc w:val="both"/>
        <w:rPr>
          <w:rFonts w:ascii="Arial" w:eastAsia="Times New Roman" w:hAnsi="Arial" w:cs="Arial"/>
          <w:sz w:val="28"/>
          <w:szCs w:val="24"/>
          <w:lang w:eastAsia="es-ES"/>
        </w:rPr>
      </w:pPr>
    </w:p>
    <w:p w14:paraId="42DC3469" w14:textId="77777777" w:rsidR="00676010" w:rsidRPr="00CF2780" w:rsidRDefault="00676010" w:rsidP="00676010">
      <w:pPr>
        <w:spacing w:after="0" w:line="360" w:lineRule="auto"/>
        <w:ind w:left="720" w:hanging="360"/>
        <w:jc w:val="both"/>
        <w:rPr>
          <w:rFonts w:ascii="Arial" w:eastAsia="Times New Roman" w:hAnsi="Arial" w:cs="Arial"/>
          <w:sz w:val="28"/>
          <w:szCs w:val="24"/>
          <w:lang w:eastAsia="es-ES"/>
        </w:rPr>
      </w:pPr>
      <w:r w:rsidRPr="00CF2780">
        <w:rPr>
          <w:rFonts w:ascii="Arial" w:eastAsia="Times New Roman" w:hAnsi="Arial" w:cs="Arial"/>
          <w:b/>
          <w:bCs/>
          <w:sz w:val="28"/>
          <w:szCs w:val="24"/>
          <w:lang w:eastAsia="es-ES"/>
        </w:rPr>
        <w:t>b)</w:t>
      </w:r>
      <w:r w:rsidRPr="00CF2780">
        <w:rPr>
          <w:rFonts w:ascii="Arial" w:eastAsia="Times New Roman" w:hAnsi="Arial" w:cs="Arial"/>
          <w:b/>
          <w:bCs/>
          <w:sz w:val="28"/>
          <w:szCs w:val="24"/>
          <w:lang w:eastAsia="es-ES"/>
        </w:rPr>
        <w:tab/>
      </w:r>
      <w:r w:rsidRPr="00CF2780">
        <w:rPr>
          <w:rFonts w:ascii="Arial" w:eastAsia="Times New Roman" w:hAnsi="Arial" w:cs="Arial"/>
          <w:sz w:val="28"/>
          <w:szCs w:val="24"/>
          <w:lang w:eastAsia="es-ES"/>
        </w:rPr>
        <w:t>Las autoridades municipales encargadas de la renovación de los ayuntamientos en la comunidad de que se trate, deben informar al Instituto Estatal Electoral, oportunamente y por escrito, la fecha y lugar de la celebración del acto de renovación de concejales (artículo 115).</w:t>
      </w:r>
    </w:p>
    <w:p w14:paraId="14D3654E" w14:textId="77777777" w:rsidR="00676010" w:rsidRPr="00CF2780" w:rsidRDefault="00676010" w:rsidP="00676010">
      <w:pPr>
        <w:spacing w:after="0" w:line="360" w:lineRule="auto"/>
        <w:ind w:left="720" w:hanging="360"/>
        <w:jc w:val="both"/>
        <w:rPr>
          <w:rFonts w:ascii="Arial" w:eastAsia="Times New Roman" w:hAnsi="Arial" w:cs="Arial"/>
          <w:sz w:val="28"/>
          <w:szCs w:val="24"/>
          <w:lang w:eastAsia="es-ES"/>
        </w:rPr>
      </w:pPr>
    </w:p>
    <w:p w14:paraId="0CE22DEB" w14:textId="77777777" w:rsidR="00676010" w:rsidRPr="00CF2780" w:rsidRDefault="00676010" w:rsidP="00676010">
      <w:pPr>
        <w:spacing w:after="0" w:line="360" w:lineRule="auto"/>
        <w:ind w:left="720" w:hanging="360"/>
        <w:jc w:val="both"/>
        <w:rPr>
          <w:rFonts w:ascii="Arial" w:eastAsia="Times New Roman" w:hAnsi="Arial" w:cs="Arial"/>
          <w:sz w:val="28"/>
          <w:szCs w:val="24"/>
          <w:lang w:eastAsia="es-ES"/>
        </w:rPr>
      </w:pPr>
      <w:r w:rsidRPr="00CF2780">
        <w:rPr>
          <w:rFonts w:ascii="Arial" w:eastAsia="Times New Roman" w:hAnsi="Arial" w:cs="Arial"/>
          <w:b/>
          <w:bCs/>
          <w:sz w:val="28"/>
          <w:szCs w:val="24"/>
          <w:lang w:eastAsia="es-ES"/>
        </w:rPr>
        <w:t>c)</w:t>
      </w:r>
      <w:r w:rsidRPr="00CF2780">
        <w:rPr>
          <w:rFonts w:ascii="Arial" w:eastAsia="Times New Roman" w:hAnsi="Arial" w:cs="Arial"/>
          <w:b/>
          <w:bCs/>
          <w:sz w:val="28"/>
          <w:szCs w:val="24"/>
          <w:lang w:eastAsia="es-ES"/>
        </w:rPr>
        <w:tab/>
      </w:r>
      <w:r w:rsidRPr="00CF2780">
        <w:rPr>
          <w:rFonts w:ascii="Arial" w:eastAsia="Times New Roman" w:hAnsi="Arial" w:cs="Arial"/>
          <w:sz w:val="28"/>
          <w:szCs w:val="24"/>
          <w:lang w:eastAsia="es-ES"/>
        </w:rPr>
        <w:t>La asamblea general comunitaria del municipio debe decidir libremente la integración del órgano encargado de nombrar a la nueva autoridad, con base en su tradición, o bien, mediante acuerdo o consenso de sus integrantes, pudiendo incluso quedar integrados, en la autoridad electoral, funcionarios municipales (artículo 116).</w:t>
      </w:r>
    </w:p>
    <w:p w14:paraId="5C0835E9" w14:textId="77777777" w:rsidR="00676010" w:rsidRPr="00CF2780" w:rsidRDefault="00676010" w:rsidP="00676010">
      <w:pPr>
        <w:spacing w:after="0" w:line="360" w:lineRule="auto"/>
        <w:ind w:left="720" w:hanging="360"/>
        <w:jc w:val="both"/>
        <w:rPr>
          <w:rFonts w:ascii="Arial" w:eastAsia="Times New Roman" w:hAnsi="Arial" w:cs="Arial"/>
          <w:sz w:val="28"/>
          <w:szCs w:val="24"/>
          <w:lang w:eastAsia="es-ES"/>
        </w:rPr>
      </w:pPr>
    </w:p>
    <w:p w14:paraId="4209058F" w14:textId="77777777" w:rsidR="00676010" w:rsidRPr="00CF2780" w:rsidRDefault="00676010" w:rsidP="00676010">
      <w:pPr>
        <w:spacing w:after="0" w:line="360" w:lineRule="auto"/>
        <w:ind w:left="720" w:hanging="360"/>
        <w:jc w:val="both"/>
        <w:rPr>
          <w:rFonts w:ascii="Arial" w:eastAsia="Times New Roman" w:hAnsi="Arial" w:cs="Arial"/>
          <w:sz w:val="28"/>
          <w:szCs w:val="24"/>
          <w:lang w:eastAsia="es-ES"/>
        </w:rPr>
      </w:pPr>
      <w:r w:rsidRPr="00CF2780">
        <w:rPr>
          <w:rFonts w:ascii="Arial" w:eastAsia="Times New Roman" w:hAnsi="Arial" w:cs="Arial"/>
          <w:b/>
          <w:bCs/>
          <w:sz w:val="28"/>
          <w:szCs w:val="24"/>
          <w:lang w:eastAsia="es-ES"/>
        </w:rPr>
        <w:t>d)</w:t>
      </w:r>
      <w:r w:rsidRPr="00CF2780">
        <w:rPr>
          <w:rFonts w:ascii="Arial" w:eastAsia="Times New Roman" w:hAnsi="Arial" w:cs="Arial"/>
          <w:b/>
          <w:bCs/>
          <w:sz w:val="28"/>
          <w:szCs w:val="24"/>
          <w:lang w:eastAsia="es-ES"/>
        </w:rPr>
        <w:tab/>
      </w:r>
      <w:r w:rsidRPr="00CF2780">
        <w:rPr>
          <w:rFonts w:ascii="Arial" w:eastAsia="Times New Roman" w:hAnsi="Arial" w:cs="Arial"/>
          <w:sz w:val="28"/>
          <w:szCs w:val="24"/>
          <w:lang w:eastAsia="es-ES"/>
        </w:rPr>
        <w:t xml:space="preserve">En la jornada electoral deben observarse las disposiciones definidas por la comunidad en las formas y procedimientos </w:t>
      </w:r>
      <w:r w:rsidRPr="00CF2780">
        <w:rPr>
          <w:rFonts w:ascii="Arial" w:eastAsia="Times New Roman" w:hAnsi="Arial" w:cs="Arial"/>
          <w:sz w:val="28"/>
          <w:szCs w:val="24"/>
          <w:lang w:eastAsia="es-ES"/>
        </w:rPr>
        <w:lastRenderedPageBreak/>
        <w:t>generales para el desarrollo de la elección, respetándose, en todo caso, las fechas, horarios y lugares que tradicionalmente acostumbra la mayoría de ciudadanos y ciudadanas para el procedimiento de elección (artículo 117, párrafos 1 y 2).</w:t>
      </w:r>
    </w:p>
    <w:p w14:paraId="6F271796" w14:textId="77777777" w:rsidR="00676010" w:rsidRPr="00CF2780" w:rsidRDefault="00676010" w:rsidP="00676010">
      <w:pPr>
        <w:spacing w:after="0" w:line="360" w:lineRule="auto"/>
        <w:ind w:left="720" w:hanging="360"/>
        <w:jc w:val="both"/>
        <w:rPr>
          <w:rFonts w:ascii="Arial" w:eastAsia="Times New Roman" w:hAnsi="Arial" w:cs="Arial"/>
          <w:sz w:val="28"/>
          <w:szCs w:val="24"/>
          <w:lang w:eastAsia="es-ES"/>
        </w:rPr>
      </w:pPr>
    </w:p>
    <w:p w14:paraId="49C0D120" w14:textId="77777777" w:rsidR="00676010" w:rsidRPr="00CF2780" w:rsidRDefault="00676010" w:rsidP="00676010">
      <w:pPr>
        <w:spacing w:after="0" w:line="360" w:lineRule="auto"/>
        <w:ind w:left="720" w:hanging="360"/>
        <w:jc w:val="both"/>
        <w:rPr>
          <w:rFonts w:ascii="Arial" w:eastAsia="Times New Roman" w:hAnsi="Arial" w:cs="Arial"/>
          <w:sz w:val="28"/>
          <w:szCs w:val="24"/>
          <w:lang w:eastAsia="es-ES"/>
        </w:rPr>
      </w:pPr>
      <w:r w:rsidRPr="00CF2780">
        <w:rPr>
          <w:rFonts w:ascii="Arial" w:eastAsia="Times New Roman" w:hAnsi="Arial" w:cs="Arial"/>
          <w:b/>
          <w:bCs/>
          <w:sz w:val="28"/>
          <w:szCs w:val="24"/>
          <w:lang w:eastAsia="es-ES"/>
        </w:rPr>
        <w:t>e)</w:t>
      </w:r>
      <w:r w:rsidRPr="00CF2780">
        <w:rPr>
          <w:rFonts w:ascii="Arial" w:eastAsia="Times New Roman" w:hAnsi="Arial" w:cs="Arial"/>
          <w:b/>
          <w:bCs/>
          <w:sz w:val="28"/>
          <w:szCs w:val="24"/>
          <w:lang w:eastAsia="es-ES"/>
        </w:rPr>
        <w:tab/>
      </w:r>
      <w:r w:rsidRPr="00CF2780">
        <w:rPr>
          <w:rFonts w:ascii="Arial" w:eastAsia="Times New Roman" w:hAnsi="Arial" w:cs="Arial"/>
          <w:sz w:val="28"/>
          <w:szCs w:val="24"/>
          <w:lang w:eastAsia="es-ES"/>
        </w:rPr>
        <w:t>Finalizada la elección, debe elaborarse un acta en la que firmen, invariablemente, la autoridad municipales en funciones, los integrantes del órgano que presidió el procedimiento de elección, las personas de la municipalidad que, por costumbre, deban hacerlo, los ciudadanos que hubieren intervenido en la elección, así como quienes se considere pertinente (artículo 117, párrafo 3).</w:t>
      </w:r>
    </w:p>
    <w:p w14:paraId="05238761" w14:textId="77777777" w:rsidR="00676010" w:rsidRPr="00CF2780" w:rsidRDefault="00676010" w:rsidP="00676010">
      <w:pPr>
        <w:spacing w:after="0" w:line="360" w:lineRule="auto"/>
        <w:ind w:left="720" w:hanging="360"/>
        <w:jc w:val="both"/>
        <w:rPr>
          <w:rFonts w:ascii="Arial" w:eastAsia="Times New Roman" w:hAnsi="Arial" w:cs="Arial"/>
          <w:sz w:val="28"/>
          <w:szCs w:val="24"/>
          <w:lang w:eastAsia="es-ES"/>
        </w:rPr>
      </w:pPr>
    </w:p>
    <w:p w14:paraId="3F0D440B" w14:textId="77777777" w:rsidR="00676010" w:rsidRPr="00CF2780" w:rsidRDefault="00676010" w:rsidP="00676010">
      <w:pPr>
        <w:spacing w:after="0" w:line="360" w:lineRule="auto"/>
        <w:ind w:left="720" w:hanging="360"/>
        <w:jc w:val="both"/>
        <w:rPr>
          <w:rFonts w:ascii="Arial" w:eastAsia="Times New Roman" w:hAnsi="Arial" w:cs="Arial"/>
          <w:sz w:val="28"/>
          <w:szCs w:val="24"/>
          <w:lang w:eastAsia="es-ES"/>
        </w:rPr>
      </w:pPr>
      <w:r w:rsidRPr="00CF2780">
        <w:rPr>
          <w:rFonts w:ascii="Arial" w:eastAsia="Times New Roman" w:hAnsi="Arial" w:cs="Arial"/>
          <w:b/>
          <w:bCs/>
          <w:sz w:val="28"/>
          <w:szCs w:val="24"/>
          <w:lang w:eastAsia="es-ES"/>
        </w:rPr>
        <w:t>f)</w:t>
      </w:r>
      <w:r w:rsidRPr="00CF2780">
        <w:rPr>
          <w:rFonts w:ascii="Arial" w:eastAsia="Times New Roman" w:hAnsi="Arial" w:cs="Arial"/>
          <w:b/>
          <w:bCs/>
          <w:sz w:val="28"/>
          <w:szCs w:val="24"/>
          <w:lang w:eastAsia="es-ES"/>
        </w:rPr>
        <w:tab/>
      </w:r>
      <w:r w:rsidRPr="00CF2780">
        <w:rPr>
          <w:rFonts w:ascii="Arial" w:eastAsia="Times New Roman" w:hAnsi="Arial" w:cs="Arial"/>
          <w:sz w:val="28"/>
          <w:szCs w:val="24"/>
          <w:lang w:eastAsia="es-ES"/>
        </w:rPr>
        <w:t>A la brevedad posible, los órganos y personas que hubieren presidido el procedimiento de elección, deben hacer llegar del Instituto Estatal Electoral el resultado de la elección (artículo 119).</w:t>
      </w:r>
    </w:p>
    <w:p w14:paraId="7AF82F7C" w14:textId="77777777" w:rsidR="00676010" w:rsidRPr="00CF2780" w:rsidRDefault="00676010" w:rsidP="00676010">
      <w:pPr>
        <w:spacing w:after="0" w:line="360" w:lineRule="auto"/>
        <w:ind w:left="720" w:hanging="360"/>
        <w:jc w:val="both"/>
        <w:rPr>
          <w:rFonts w:ascii="Arial" w:eastAsia="Times New Roman" w:hAnsi="Arial" w:cs="Arial"/>
          <w:sz w:val="28"/>
          <w:szCs w:val="24"/>
          <w:lang w:eastAsia="es-ES"/>
        </w:rPr>
      </w:pPr>
    </w:p>
    <w:p w14:paraId="1E42B1EB"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Por cuanto hace a elementos materiales o sustanciales, el ordenamiento en análisis solo refiere dos de manera explícita, a saber:</w:t>
      </w:r>
    </w:p>
    <w:p w14:paraId="7FB0403C"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279D4305" w14:textId="77777777" w:rsidR="00676010" w:rsidRPr="00CF2780" w:rsidRDefault="00676010" w:rsidP="00676010">
      <w:pPr>
        <w:spacing w:after="0" w:line="360" w:lineRule="auto"/>
        <w:ind w:left="720" w:hanging="360"/>
        <w:jc w:val="both"/>
        <w:rPr>
          <w:rFonts w:ascii="Arial" w:eastAsia="Times New Roman" w:hAnsi="Arial" w:cs="Arial"/>
          <w:sz w:val="28"/>
          <w:szCs w:val="24"/>
          <w:lang w:eastAsia="es-ES"/>
        </w:rPr>
      </w:pPr>
      <w:r w:rsidRPr="00CF2780">
        <w:rPr>
          <w:rFonts w:ascii="Arial" w:eastAsia="Times New Roman" w:hAnsi="Arial" w:cs="Arial"/>
          <w:b/>
          <w:bCs/>
          <w:sz w:val="28"/>
          <w:szCs w:val="24"/>
          <w:lang w:eastAsia="es-ES"/>
        </w:rPr>
        <w:t>a)</w:t>
      </w:r>
      <w:r w:rsidRPr="00CF2780">
        <w:rPr>
          <w:rFonts w:ascii="Arial" w:eastAsia="Times New Roman" w:hAnsi="Arial" w:cs="Arial"/>
          <w:b/>
          <w:bCs/>
          <w:sz w:val="28"/>
          <w:szCs w:val="24"/>
          <w:lang w:eastAsia="es-ES"/>
        </w:rPr>
        <w:tab/>
      </w:r>
      <w:r w:rsidRPr="00CF2780">
        <w:rPr>
          <w:rFonts w:ascii="Arial" w:eastAsia="Times New Roman" w:hAnsi="Arial" w:cs="Arial"/>
          <w:sz w:val="28"/>
          <w:szCs w:val="24"/>
          <w:lang w:eastAsia="es-ES"/>
        </w:rPr>
        <w:t>Que los ciudadanos que resultaren electos de acuerdo a normas de derecho consuetudinario, acrediten lo “señalado por los artículos 101 y 102 de la Constitución Particular” (actualmente articulo 113, fracciones I, octavo párrafo, y VIII, párrafo segundo), así como estar en el ejercicio de sus derechos y obligaciones como miembro activo de la comunidad (artículo 112).</w:t>
      </w:r>
    </w:p>
    <w:p w14:paraId="5720EF28" w14:textId="77777777" w:rsidR="00676010" w:rsidRPr="00CF2780" w:rsidRDefault="00676010" w:rsidP="00676010">
      <w:pPr>
        <w:spacing w:after="0" w:line="360" w:lineRule="auto"/>
        <w:ind w:left="720" w:hanging="360"/>
        <w:jc w:val="both"/>
        <w:rPr>
          <w:rFonts w:ascii="Arial" w:eastAsia="Times New Roman" w:hAnsi="Arial" w:cs="Arial"/>
          <w:sz w:val="28"/>
          <w:szCs w:val="24"/>
          <w:lang w:eastAsia="es-ES"/>
        </w:rPr>
      </w:pPr>
    </w:p>
    <w:p w14:paraId="2583B14B" w14:textId="77777777" w:rsidR="00676010" w:rsidRPr="00CF2780" w:rsidRDefault="00676010" w:rsidP="00676010">
      <w:pPr>
        <w:spacing w:after="0" w:line="360" w:lineRule="auto"/>
        <w:ind w:left="720" w:hanging="360"/>
        <w:jc w:val="both"/>
        <w:rPr>
          <w:rFonts w:ascii="Arial" w:eastAsia="Times New Roman" w:hAnsi="Arial" w:cs="Arial"/>
          <w:sz w:val="28"/>
          <w:szCs w:val="24"/>
          <w:lang w:eastAsia="es-ES"/>
        </w:rPr>
      </w:pPr>
      <w:r w:rsidRPr="00CF2780">
        <w:rPr>
          <w:rFonts w:ascii="Arial" w:eastAsia="Times New Roman" w:hAnsi="Arial" w:cs="Arial"/>
          <w:b/>
          <w:bCs/>
          <w:sz w:val="28"/>
          <w:szCs w:val="24"/>
          <w:lang w:eastAsia="es-ES"/>
        </w:rPr>
        <w:lastRenderedPageBreak/>
        <w:t>b)</w:t>
      </w:r>
      <w:r w:rsidRPr="00CF2780">
        <w:rPr>
          <w:rFonts w:ascii="Arial" w:eastAsia="Times New Roman" w:hAnsi="Arial" w:cs="Arial"/>
          <w:b/>
          <w:bCs/>
          <w:sz w:val="28"/>
          <w:szCs w:val="24"/>
          <w:lang w:eastAsia="es-ES"/>
        </w:rPr>
        <w:tab/>
      </w:r>
      <w:r w:rsidRPr="00CF2780">
        <w:rPr>
          <w:rFonts w:ascii="Arial" w:eastAsia="Times New Roman" w:hAnsi="Arial" w:cs="Arial"/>
          <w:sz w:val="28"/>
          <w:szCs w:val="24"/>
          <w:lang w:eastAsia="es-ES"/>
        </w:rPr>
        <w:t>Que tienen el carácter de electores en estos procedimientos todos los habitantes del municipio que estén en el ejercicio “de los derechos y obligaciones constitucionales en lo referente a los Derechos de los Pueblos Indígenas y las establecidas por la asamblea general comunitaria” (artículo 113).</w:t>
      </w:r>
    </w:p>
    <w:p w14:paraId="483542F7"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3E56EAD4"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A los que habría que agregar que, conforme el artículo 25 de la Constitución local, únicamente los usos y costumbres indígenas que son objeto de tutela y reconocimiento son aquellos que merezcan el calificativo de “democráticos”, por lo que si las características e implicaciones de una estructura democrática fundamentada en la soberanía popular se encuentran plasmadas en la Constitución federal, su contenido se reduce a las exigencias establecidas en la propia Ley Fundamental.</w:t>
      </w:r>
    </w:p>
    <w:p w14:paraId="277B8C7A"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49C8E668"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Sobre estas bases procede examinar si en el proceso comicial del municipio de Santiago Yaveo se cumplieron los extremos antes enunciados, con base en la documentación remitida por el Congreso del Estado Libre y Soberano de Oaxaca y el Consejo General del Instituto Estatal Electoral de la misma entidad federativa, relativa a los expedientes de la elección de concejales por el sistema de usos y costumbres en dicho municipio, documentación de la que se desprende lo siguiente:</w:t>
      </w:r>
    </w:p>
    <w:p w14:paraId="3B3C0590"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08AE40BB"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 xml:space="preserve">Del escrito de cinco de diciembre de dos mil (foja 40, accesorio 1), signado por los Agentes Municipales y de Policía que integran el Consejo de Desarrollo Social Municipal, se observa que propusieron al </w:t>
      </w:r>
      <w:r w:rsidRPr="00CF2780">
        <w:rPr>
          <w:rFonts w:ascii="Arial" w:eastAsia="Times New Roman" w:hAnsi="Arial" w:cs="Arial"/>
          <w:sz w:val="28"/>
          <w:szCs w:val="24"/>
          <w:lang w:eastAsia="es-ES"/>
        </w:rPr>
        <w:lastRenderedPageBreak/>
        <w:t xml:space="preserve">Director de Elecciones de Usos y Costumbres del Instituto Estatal Electoral de la entidad que, sin romper el ejercicio tradicional de los usos y costumbres que se ha llevado a cabo en el municipio, se considerara la participación de todos los ciudadanos y ciudadanas en edad de votar de todas las localidades y rancherías que conforman el municipio, ya que estiman que las decisiones han sido tomadas por una minoría, si se tiene en cuenta que el municipio lo conforman seis mil habitantes y en la cabecera sólo hay mil quinientos. </w:t>
      </w:r>
    </w:p>
    <w:p w14:paraId="1FF5EA20"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38239D33"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 xml:space="preserve">Entonces, con fecha veintitrés de diciembre del año dos mil, se reunieron los Agentes Municipales y de Policía, y los integrantes del cabildo municipal y, entre otras cosas, acordaron solicitar la atención e intervención de todos los funcionarios públicos y dependencias de los gobiernos Federal y Estatal que intervienen en el desarrollo social, político y cultural de los municipios del estado de Oaxaca, para que el proceso de integración de todas las Agencias Municipales y de Policía en el proceso de elección para el trienio 2002-2004, se diera dentro de los cauces legales y de concertación para evitar posibles conflictos de orden socio-político. Así consta en el acta que obra a fojas 42 del  cuaderno accesorio 1, la cual no fue firmada por el cabildo municipal debido a que manifestaron que no querían represalias con la población de la cabecera municipal, pues por acuerdo general decidieron no aceptar la integración que se viene refiriendo, lo cual se hace constar en el mismo documento. </w:t>
      </w:r>
    </w:p>
    <w:p w14:paraId="4952839F"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7D903948"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 xml:space="preserve">En virtud del escrito que los Agentes Municipales presentaron al Director de Usos y Costumbres del Instituto Estatal Electoral de Oaxaca, el </w:t>
      </w:r>
      <w:r w:rsidRPr="00CF2780">
        <w:rPr>
          <w:rFonts w:ascii="Arial" w:eastAsia="Times New Roman" w:hAnsi="Arial" w:cs="Arial"/>
          <w:sz w:val="28"/>
          <w:szCs w:val="24"/>
          <w:lang w:eastAsia="es-ES"/>
        </w:rPr>
        <w:lastRenderedPageBreak/>
        <w:t xml:space="preserve">Consejero Presidente del mismo envió al Presidente Municipal el oficio IEE/PCG/052/2001, de treinta de enero de dos mil uno (foja 54, accesorio 1), manifestándole, entre otras cosas, que con motivo de que los Agentes Municipales de su comunidad solicitaron que se ampliara la participación de todos los ciudadanos en edad de votar de todas las localidades para nombrar a sus autoridades municipales, lo invitaba a una reunión de trabajo que se efectuaría a las dieciocho horas, del veintiuno de febrero del dos mil uno. Invitación que también hizo a los Agentes Municipales. </w:t>
      </w:r>
    </w:p>
    <w:p w14:paraId="20F28D26"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141DA660"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 xml:space="preserve">Posteriormente, el dieciséis de febrero del dos mil uno, el cabildo municipal llevó a cabo una reunión extraordinaria, con objeto de discutir y analizar el documento descrito en el párrafo anterior. En dicha sesión se determinó, por consenso general de los ciudadanos de la cabecera, la oposición a que participaran personas ajenas a la cabecera municipal, entre otras razones, porque si participaran las agencias municipales en las elecciones podría haber violencia que incluso llegara hasta la muerte en la sociedad que vive en la cabecera, además de que, en las elecciones municipales únicamente participan </w:t>
      </w:r>
      <w:r w:rsidRPr="00CF2780">
        <w:rPr>
          <w:rFonts w:ascii="Arial" w:eastAsia="Times New Roman" w:hAnsi="Arial" w:cs="Arial"/>
          <w:i/>
          <w:iCs/>
          <w:sz w:val="28"/>
          <w:szCs w:val="24"/>
          <w:lang w:eastAsia="es-ES"/>
        </w:rPr>
        <w:t xml:space="preserve">“puros hombres con edad de votar en la cabecera municipal”; </w:t>
      </w:r>
      <w:r w:rsidRPr="00CF2780">
        <w:rPr>
          <w:rFonts w:ascii="Arial" w:eastAsia="Times New Roman" w:hAnsi="Arial" w:cs="Arial"/>
          <w:sz w:val="28"/>
          <w:szCs w:val="24"/>
          <w:lang w:eastAsia="es-ES"/>
        </w:rPr>
        <w:t xml:space="preserve">asimismo manifiestan que el hecho de que participaran las agencias municipales crearía una inestabilidad social de alto riesgo que provocaría hechos lamentables y dividiría al pueblo. Por tal razón, la autoridad municipal manifestó que no se hacía responsable de lo que pudiera ocurrir si se quería imponer la participación de ciudadanos ajenos a la cabecera municipal. Y, en esos términos remitieron, al Consejero Presidente del Instituto Estatal Electoral del Estado de Oaxaca, el oficio número 36, de 21 de febrero </w:t>
      </w:r>
      <w:r w:rsidRPr="00CF2780">
        <w:rPr>
          <w:rFonts w:ascii="Arial" w:eastAsia="Times New Roman" w:hAnsi="Arial" w:cs="Arial"/>
          <w:sz w:val="28"/>
          <w:szCs w:val="24"/>
          <w:lang w:eastAsia="es-ES"/>
        </w:rPr>
        <w:lastRenderedPageBreak/>
        <w:t>del dos mil uno, recibido en la Dirección de Elecciones por Usos y Costumbres del Instituto Estatal Electoral, el cinco de marzo del mismo año (fojas 56 y 72, accesorio 1).</w:t>
      </w:r>
    </w:p>
    <w:p w14:paraId="508473DC"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045DA79A"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Con fecha primero de marzo del dos mil uno, Juan José Jiménez Pacheco, Director de Elecciones por Usos y Costumbres del Instituto Estatal Electoral, emitió opinión con respecto al tema, indicando que no era procedente “</w:t>
      </w:r>
      <w:r w:rsidRPr="00CF2780">
        <w:rPr>
          <w:rFonts w:ascii="Arial" w:eastAsia="Times New Roman" w:hAnsi="Arial" w:cs="Arial"/>
          <w:i/>
          <w:iCs/>
          <w:sz w:val="28"/>
          <w:szCs w:val="24"/>
          <w:lang w:eastAsia="es-ES"/>
        </w:rPr>
        <w:t>la solicitud de cambio de régimen de elección de concejales al ayuntamiento de Santiago Yaveo, para el período 2002-2004”</w:t>
      </w:r>
      <w:r w:rsidRPr="00CF2780">
        <w:rPr>
          <w:rFonts w:ascii="Arial" w:eastAsia="Times New Roman" w:hAnsi="Arial" w:cs="Arial"/>
          <w:sz w:val="28"/>
          <w:szCs w:val="24"/>
          <w:lang w:eastAsia="es-ES"/>
        </w:rPr>
        <w:t xml:space="preserve"> y, en consecuencia, el municipio debía continuar “</w:t>
      </w:r>
      <w:r w:rsidRPr="00CF2780">
        <w:rPr>
          <w:rFonts w:ascii="Arial" w:eastAsia="Times New Roman" w:hAnsi="Arial" w:cs="Arial"/>
          <w:i/>
          <w:iCs/>
          <w:sz w:val="28"/>
          <w:szCs w:val="24"/>
          <w:lang w:eastAsia="es-ES"/>
        </w:rPr>
        <w:t>integrado en la relación de municipios cuyas autoridades municipales se eligen por el régimen de usos y costumbres,  valorando en todo caso, la participación de todos los ciudadanos del municipio...”</w:t>
      </w:r>
      <w:r w:rsidRPr="00CF2780">
        <w:rPr>
          <w:rFonts w:ascii="Arial" w:eastAsia="Times New Roman" w:hAnsi="Arial" w:cs="Arial"/>
          <w:sz w:val="28"/>
          <w:szCs w:val="24"/>
          <w:lang w:eastAsia="es-ES"/>
        </w:rPr>
        <w:t xml:space="preserve"> (foja 75, accesorio1).</w:t>
      </w:r>
    </w:p>
    <w:p w14:paraId="17F368E8"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700C5B54"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 xml:space="preserve">El ocho de marzo de dos mil uno, fecha programada para llevar a cabo una reunión con las autoridades de Santiago Yaveo, a la cual asistieron Jorge Cruz Alcántara y Guillermo Barrena Walls, representantes del Instituto Estatal Electoral, adscritos a la Dirección de Elecciones por Usos y Costumbres, quienes rindieron un informe en el cual hacen constar que no asistieron las autoridades municipales; y pese a ello, los Agentes Municipales manifestaron su conformidad de continuar con el sistema de usos y costumbres para elegir a las autoridades del municipio y, también seguir con el diálogo para definir la participación de las Agencias en la elección de los integrantes del ayuntamiento; así mismo, entregaron un escrito dirigido al Presidente del Consejo General del Instituto Estatal Electoral de Oaxaca, en el que proponen el procedimiento y la forma de participación de las Agencias en la elección </w:t>
      </w:r>
      <w:r w:rsidRPr="00CF2780">
        <w:rPr>
          <w:rFonts w:ascii="Arial" w:eastAsia="Times New Roman" w:hAnsi="Arial" w:cs="Arial"/>
          <w:sz w:val="28"/>
          <w:szCs w:val="24"/>
          <w:lang w:eastAsia="es-ES"/>
        </w:rPr>
        <w:lastRenderedPageBreak/>
        <w:t>de las autoridades del municipio. A este informe se anexó la minuta de trabajo elaborada en la reunión y el escrito referido (foja 81, accesorio 1).</w:t>
      </w:r>
    </w:p>
    <w:p w14:paraId="2518978F"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3B7B0E1C"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En la propuesta a que se refiere el párrafo anterior, las Agencias Municipales y de Policía sugirieron que, conjuntamente con la cabecera municipal, se eligiera en asamblea comunitaria por usos y costumbres al H. Ayuntamiento Municipal Constitucional de Santiago Yaveo, mediante el siguiente procedimiento: 1) que en asambleas comunitarias los 11 pueblos, eligieran a dos representantes un propietario y un suplente; 2) que en una magna asamblea comunitaria donde participaran los ciudadanos en edad de votar de los pueblos y rancherías del municipio de Santiago Yaveo, se eligiera al Presidente municipal de entre los once representantes propietarios que se presenten; 3) que el que obtenga la mayoría de votos sería designado el Presidente municipal, el que siga en número de votos sería el síndico y los demás de acuerdo con los votos obtenidos integrarían las regidurías y demás cargos del ayuntamiento; 4) en este proceso los votantes serían ciudadanos y ciudadanas con credencial de elector y residencia en el territorio municipal. (foja 84, 99, 100 y 101, accesorio 1).</w:t>
      </w:r>
    </w:p>
    <w:p w14:paraId="7AD914BF"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74FDD5A6"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 xml:space="preserve">Con fecha catorce de marzo se llevó a cabo otra reunión, entre las autoridades municipales y los agentes municipales de Santiago Yaveo. En ella, según consta en la minuta de trabajo (fojas 106, accesorio 1) y en el informe rendido por Jorge Cruz Alcántara y G. Noel Barrena Walls, representantes del Instituto Estatal Electoral, adscritos a la Dirección de </w:t>
      </w:r>
      <w:r w:rsidRPr="00CF2780">
        <w:rPr>
          <w:rFonts w:ascii="Arial" w:eastAsia="Times New Roman" w:hAnsi="Arial" w:cs="Arial"/>
          <w:sz w:val="28"/>
          <w:szCs w:val="24"/>
          <w:lang w:eastAsia="es-ES"/>
        </w:rPr>
        <w:lastRenderedPageBreak/>
        <w:t>Elecciones por Usos y Costumbres (fojas 108, accesorio 1); los Agentes Municipales y de Policía solicitaron a los integrantes del ayuntamiento que los tomaran en cuenta para participar en la designación de las autoridades municipales; pidieron también que el Presidente Municipal informara a los ciudadanos de la cabecera municipal sobre su petición hecha por escrito, relacionada con la participación de los ciudadanos de las agencias en el nombramiento de los concejales municipales. En esta reunión los agentes entregaron al Presidente Municipal su propuesta de participación y pidieron que les dieran respuesta por escrito. Los miembros del Ayuntamiento presentes expresaron que no podían dar una respuesta sin consultar antes a su comunidad e invitaron a los agentes para que asistieran a una asamblea general en Santiago Yaveo, pero los agentes estimaron que no era prudente que asistieran a la cabecera municipal porque no había condiciones que garantizaran su seguridad e integridad física. No muy convencido, según el dicho de los representantes del Instituto, el Presidente Municipal aceptó realizar esta asamblea de consulta dentro de los quince días siguientes a esta reunión.</w:t>
      </w:r>
    </w:p>
    <w:p w14:paraId="48FA41A8"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43B5A9B7"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Así, según consta en la minuta de trabajo de veinticuatro de marzo de dos mil uno (fojas 122, accesorio 1), se reunieron los integrantes del ayuntamiento y los agentes municipales y de policía, manifestando estar de acuerdo en seguir eligiendo a sus autoridades municipales mediante el régimen de usos y costumbres. También se hizo constar que la autoridad municipal se comprometió a convocar a los ciudadanos de la cabecera el veintidós de abril, para que el personal del Instituto Estatal Electoral expusiera la petición de los ciudadanos de las Agencias.</w:t>
      </w:r>
    </w:p>
    <w:p w14:paraId="2B3CA999"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51431D6F"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 xml:space="preserve">Por escrito de dieciocho de marzo de dos mil uno, recibido en la Dirección de Elecciones por Usos y Costumbres del Instituto Estatal Electoral, el veintiocho de marzo del mismo año (fojas 123, accesorio 1), los integrantes del ayuntamiento en Santiago Yaveo, presentaron un escrito al Consejero Presidente del Instituto Estatal Electoral de Oaxaca, en el que expusieron que, por consenso general de los ciudadanos de la cabecera, se oponían a que participaran personas ajenas a dicha cabecera municipal, entre otras cosas, porque consideraron que si participaban las agencias municipales en las elecciones podría haber violencia que incluso llegara hasta la muerte en la sociedad que vive en la cabecera, además de que en las elecciones municipales únicamente participan </w:t>
      </w:r>
      <w:r w:rsidRPr="00CF2780">
        <w:rPr>
          <w:rFonts w:ascii="Arial" w:eastAsia="Times New Roman" w:hAnsi="Arial" w:cs="Arial"/>
          <w:i/>
          <w:iCs/>
          <w:sz w:val="28"/>
          <w:szCs w:val="24"/>
          <w:lang w:eastAsia="es-ES"/>
        </w:rPr>
        <w:t>“puros hombres con edad de votar en la cabecera municipal”</w:t>
      </w:r>
      <w:r w:rsidRPr="00CF2780">
        <w:rPr>
          <w:rFonts w:ascii="Arial" w:eastAsia="Times New Roman" w:hAnsi="Arial" w:cs="Arial"/>
          <w:sz w:val="28"/>
          <w:szCs w:val="24"/>
          <w:lang w:eastAsia="es-ES"/>
        </w:rPr>
        <w:t>; y manifestaron que el hecho de que participen las agencias municipales crearía una inestabilidad social de alto riesgo que provocaría hechos lamentables y dividiría al pueblo. Por tal razón, la autoridad municipal manifestó que no se hacía responsable de lo que pudiera ocurrir si se quería imponer la participación de ciudadanos ajenos a la cabecera municipal.</w:t>
      </w:r>
    </w:p>
    <w:p w14:paraId="16CD16C6"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54EF6F8A"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 xml:space="preserve">El veinticuatro de marzo de dos mil uno, en la población de Santiago Yaveo, se reunieron los ciudadanos en asamblea general, con la presencia de representantes del Instituto Estatal Electoral de Oaxaca, para tratar lo relacionado con la petición de las agencias municipales para participar en las elecciones de las autoridades del trienio 2002-2004,  y, luego de una prolongada deliberación, los asistentes decidieron rechazar la solicitud de las agencias municipales y de policía </w:t>
      </w:r>
      <w:r w:rsidRPr="00CF2780">
        <w:rPr>
          <w:rFonts w:ascii="Arial" w:eastAsia="Times New Roman" w:hAnsi="Arial" w:cs="Arial"/>
          <w:sz w:val="28"/>
          <w:szCs w:val="24"/>
          <w:lang w:eastAsia="es-ES"/>
        </w:rPr>
        <w:lastRenderedPageBreak/>
        <w:t>y negar la participación de sus ciudadanos en la elección de la próxima autoridad municipal, según consta en el acta que obra a fojas 143 del cuaderno accesorio 1.</w:t>
      </w:r>
    </w:p>
    <w:p w14:paraId="0096D129"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34E2C512"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Con fecha veintisiete de marzo del año pasado, los integrantes del ayuntamiento de Santiago Yaveo dieron contestación a la propuesta que presentaron las agencias municipales (foja 130, accesorio 1), en ella solicitaron que se respetara la forma que tienen “</w:t>
      </w:r>
      <w:r w:rsidRPr="00CF2780">
        <w:rPr>
          <w:rFonts w:ascii="Arial" w:eastAsia="Times New Roman" w:hAnsi="Arial" w:cs="Arial"/>
          <w:i/>
          <w:iCs/>
          <w:sz w:val="28"/>
          <w:szCs w:val="24"/>
          <w:lang w:eastAsia="es-ES"/>
        </w:rPr>
        <w:t>desde hace innumerables años para elegir”</w:t>
      </w:r>
      <w:r w:rsidRPr="00CF2780">
        <w:rPr>
          <w:rFonts w:ascii="Arial" w:eastAsia="Times New Roman" w:hAnsi="Arial" w:cs="Arial"/>
          <w:sz w:val="28"/>
          <w:szCs w:val="24"/>
          <w:lang w:eastAsia="es-ES"/>
        </w:rPr>
        <w:t xml:space="preserve"> a sus autoridades municipales; de igual forma, pidieron que </w:t>
      </w:r>
      <w:r w:rsidRPr="00CF2780">
        <w:rPr>
          <w:rFonts w:ascii="Arial" w:eastAsia="Times New Roman" w:hAnsi="Arial" w:cs="Arial"/>
          <w:i/>
          <w:iCs/>
          <w:sz w:val="28"/>
          <w:szCs w:val="24"/>
          <w:lang w:eastAsia="es-ES"/>
        </w:rPr>
        <w:t>“dicho asunto sea tratado con suma importancia, imparcialidad y sensibilidad política, ya que una decisión equivocada propiciaría, la violencia y el desgranamiento de nuestros usos y costumbres y por lo consiguiente de nuestro derecho consuetudinario que nos ha regido por muchos años y contribuiríamos con la desaparición de los pueblos indígenas y perder nuestra identidad nacional, máxime que en estos tiempos de cambio, el gobierno federal ha propuesto al Congreso de la Unión, elevar los derechos de los pueblos indígenas a rango constitucional”.</w:t>
      </w:r>
      <w:r w:rsidRPr="00CF2780">
        <w:rPr>
          <w:rFonts w:ascii="Arial" w:eastAsia="Times New Roman" w:hAnsi="Arial" w:cs="Arial"/>
          <w:sz w:val="28"/>
          <w:szCs w:val="24"/>
          <w:lang w:eastAsia="es-ES"/>
        </w:rPr>
        <w:t xml:space="preserve"> </w:t>
      </w:r>
    </w:p>
    <w:p w14:paraId="7AAF1FB3"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2B600B67" w14:textId="77777777" w:rsidR="00676010" w:rsidRPr="00CF2780" w:rsidRDefault="00676010" w:rsidP="00676010">
      <w:pPr>
        <w:spacing w:after="0" w:line="360" w:lineRule="auto"/>
        <w:ind w:right="6"/>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 xml:space="preserve">En acuerdo general del Instituto Estatal Electoral, emitido en sesión extraordinaria de veintiocho de marzo de dos mil uno (foja 155, accesorio 1), se dispuso en lo que importa que, no procedía la solicitud de cambio de régimen electoral del Municipio de Santiago Yaveo, por lo que debía continuar bajo el régimen de normas de derecho consuetudinario para la elección de sus concejales municipales, valorando en todo caso la participación de todos los ciudadanos del municipio. Además, se determinó que se debía respetar lo acordado en </w:t>
      </w:r>
      <w:r w:rsidRPr="00CF2780">
        <w:rPr>
          <w:rFonts w:ascii="Arial" w:eastAsia="Times New Roman" w:hAnsi="Arial" w:cs="Arial"/>
          <w:sz w:val="28"/>
          <w:szCs w:val="24"/>
          <w:lang w:eastAsia="es-ES"/>
        </w:rPr>
        <w:lastRenderedPageBreak/>
        <w:t>la reunión celebrada el veinticuatro de marzo anterior, en el sentido de que se tenía que continuar eligiendo a las autoridades municipales mediante el régimen de normas de derecho consuetudinario y que la autoridad municipal debía convocar a los ciudadanos de la cabecera a una asamblea de información el veintidós de abril siguiente, en la que personal del Instituto Estatal Electoral expondría la petición de los ciudadanos de las agencias municipales.</w:t>
      </w:r>
    </w:p>
    <w:p w14:paraId="1EA249E8"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52FA1ACD" w14:textId="77777777" w:rsidR="00676010" w:rsidRPr="00CF2780" w:rsidRDefault="00676010" w:rsidP="00676010">
      <w:pPr>
        <w:spacing w:after="0" w:line="360" w:lineRule="auto"/>
        <w:ind w:right="6"/>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 xml:space="preserve">El veintitrés de abril del año pasado, Rodrigo Cruz Iriarte rindió un informe (foja 152, accesorio 1) derivado de la comisión de trabajo que se le asignó para asistir a la asamblea general comunitaria celebrada el día anterior en la comunidad de Santiago Yaveo, Choápam. En dicho informe señaló que, en uso de la palabra, el suscrito informó y explicó amplia y detalladamente lo relacionado con la petición de las Agencias pertenecientes al municipio de Santiago Yaveo para participar en la elección de la próxima autoridad municipal. Se advirtió de las consecuencias jurídicas que podrían derivarse ante la negativa de los asistentes y de la autoridad municipal a que participaran los ciudadanos de las Agencias solicitantes en la renovación del ayuntamiento; también les hizo ver la necesidad de que reflexionaran y valoraran su respuesta respecto de la solicitud de sus comunidades vecinas; asimismo, les sugirió algunas alternativas de solución y de contestación a dicha petición, como la de que aceptaran que las agencias tuvieran representación política dentro de su principal órgano de autoridad a través de una regiduría, o que delegados de las mismas participaran únicamente votando en la asamblea electiva. A todas las consideraciones relacionadas con la petición de las Agencias y </w:t>
      </w:r>
      <w:r w:rsidRPr="00CF2780">
        <w:rPr>
          <w:rFonts w:ascii="Arial" w:eastAsia="Times New Roman" w:hAnsi="Arial" w:cs="Arial"/>
          <w:sz w:val="28"/>
          <w:szCs w:val="24"/>
          <w:lang w:eastAsia="es-ES"/>
        </w:rPr>
        <w:lastRenderedPageBreak/>
        <w:t xml:space="preserve">manifestadas por el suscrito, según se informó, la respuesta dada por los asistentes a la asamblea, en forma individual y colectiva, fue única: </w:t>
      </w:r>
      <w:r w:rsidRPr="00CF2780">
        <w:rPr>
          <w:rFonts w:ascii="Arial" w:eastAsia="Times New Roman" w:hAnsi="Arial" w:cs="Arial"/>
          <w:b/>
          <w:bCs/>
          <w:sz w:val="28"/>
          <w:szCs w:val="24"/>
          <w:lang w:eastAsia="es-ES"/>
        </w:rPr>
        <w:t>su negativa para tal efecto</w:t>
      </w:r>
      <w:r w:rsidRPr="00CF2780">
        <w:rPr>
          <w:rFonts w:ascii="Arial" w:eastAsia="Times New Roman" w:hAnsi="Arial" w:cs="Arial"/>
          <w:sz w:val="28"/>
          <w:szCs w:val="24"/>
          <w:lang w:eastAsia="es-ES"/>
        </w:rPr>
        <w:t>. En la documental de mérito, también se hace constar que, con la intervención del moderador, muchos de los presentes en la asamblea manifestaron en forma individual su rechazo a la referida solicitud.</w:t>
      </w:r>
    </w:p>
    <w:p w14:paraId="5FE31C49" w14:textId="77777777" w:rsidR="00676010" w:rsidRPr="00CF2780" w:rsidRDefault="00676010" w:rsidP="00676010">
      <w:pPr>
        <w:spacing w:after="0" w:line="360" w:lineRule="auto"/>
        <w:ind w:right="6"/>
        <w:jc w:val="both"/>
        <w:rPr>
          <w:rFonts w:ascii="Arial" w:eastAsia="Times New Roman" w:hAnsi="Arial" w:cs="Arial"/>
          <w:sz w:val="28"/>
          <w:szCs w:val="24"/>
          <w:lang w:eastAsia="es-ES"/>
        </w:rPr>
      </w:pPr>
    </w:p>
    <w:p w14:paraId="26C1195A"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El veintisiete de agosto de dos mil uno, el maestro Rodrigo Cruz Iriarte, rindió informe relacionado con la asamblea general de ciudadanos realizada en la cabecera municipal de Santiago Yaveo el día veinticinco del mismo mes y año, con la presencia de los Agentes Municipales y de Policía del municipio (fojas 235, del accesorio 1), en el que consta que dichos agentes manifestaron que estaban en la mejor disposición de continuar dialogando con la autoridad municipal y, en su caso, negociar alternativas de solución.</w:t>
      </w:r>
    </w:p>
    <w:p w14:paraId="58F65CB3"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7E4F120B"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Según se da cuenta en el acta levantada al efecto y suscrita por el cabildo municipal y el funcionario electoral  que enseguida se precisa (fojas 278 del cuaderno accesorio 1), el veintitrés de septiembre de dos mil uno se reunieron los integrantes del ayuntamiento y la mayoría de los ciudadanos, así como René Cruz Ilescas, coordinador del área del Instituto Estatal Electoral por usos y costumbres, en calidad de observador. En esta “</w:t>
      </w:r>
      <w:r w:rsidRPr="00CF2780">
        <w:rPr>
          <w:rFonts w:ascii="Arial" w:eastAsia="Times New Roman" w:hAnsi="Arial" w:cs="Arial"/>
          <w:i/>
          <w:iCs/>
          <w:sz w:val="28"/>
          <w:szCs w:val="24"/>
          <w:lang w:eastAsia="es-ES"/>
        </w:rPr>
        <w:t>asamblea extraordinaria”,</w:t>
      </w:r>
      <w:r w:rsidRPr="00CF2780">
        <w:rPr>
          <w:rFonts w:ascii="Arial" w:eastAsia="Times New Roman" w:hAnsi="Arial" w:cs="Arial"/>
          <w:sz w:val="28"/>
          <w:szCs w:val="24"/>
          <w:lang w:eastAsia="es-ES"/>
        </w:rPr>
        <w:t xml:space="preserve"> el presidente municipal, en representación del cabildo, expuso la propuesta para dar oportunidad a los agentes municipales de participar en la jornada electoral, manifestando al respecto que se ampliaría la regiduría, para que ellos nombraran dos regidores, ya sea en Ecología, en Panteones y/o que los </w:t>
      </w:r>
      <w:r w:rsidRPr="00CF2780">
        <w:rPr>
          <w:rFonts w:ascii="Arial" w:eastAsia="Times New Roman" w:hAnsi="Arial" w:cs="Arial"/>
          <w:sz w:val="28"/>
          <w:szCs w:val="24"/>
          <w:lang w:eastAsia="es-ES"/>
        </w:rPr>
        <w:lastRenderedPageBreak/>
        <w:t>representara en las agencias municipales; de esta forma, la cabecera municipal quedará libre y en forma autónoma para integrar su cabildo tanto propietarios como suplentes, como lo han venido manejando, para así no romper los usos y costumbres.</w:t>
      </w:r>
    </w:p>
    <w:p w14:paraId="3A743A17"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17E55535"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 xml:space="preserve">Después de analizar y discutir la propuesta se acordó que los ciudadanos estaban de acuerdo en ampliar la regiduría para que participaran los agentes municipales en esa población, nombrando únicamente a dos regidores,  que serían invariablemente con los cargos de Ecología, de Panteones y/o como representantes en las agencias municipales. Asimismo, se solicitó se respetara la integración de las planillas en la forma acostumbrada, es decir, designando los habitantes de la cabecera a su Presidente Municipal, Síndico Municipal, Regidor de Hacienda, Regidores de Salud y Educación y a sus empleados municipales. </w:t>
      </w:r>
    </w:p>
    <w:p w14:paraId="5402855B"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7FC2C940"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Con la finalidad de discutir la propuesta hecha por el cabildo, referida en el párrafo anterior, se llevó a cabo una reunión el veintiocho de septiembre del dos mil uno; en ella, según se desprende del informe rendido por el Licenciado Juan Jiménez Pacheco (fojas 298, accesorio1), los ciudadanos agentes municipales no aceptaron la propuesta, excepto la Agente Municipal de Bella Vista, lo que originó un intenso debate, razón por la cual el representante del Instituto Estatal Electoral intervino dándoles otras opciones de participación; entonces, se pidió un tiempo para comentarlas y se acordó celebrar una reunión de autoridades municipales y agentes municipales el siguiente catorce de octubre.</w:t>
      </w:r>
    </w:p>
    <w:p w14:paraId="6EAF8A3E"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5F575F3D"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En acta emitida el nueve de octubre del dos mil uno (foja 307, accesorio 1), los agentes municipales acordaron no aceptar la propuesta presentada por el cabildo, en razón de que estiman que dicha propuesta no consideraba la participación como derecho constitucional de todos los ciudadanos y ciudadanas en edad de votar en todo el territorio del municipio, por lo que propusieron que se nombraran a los principales funcionarios públicos, como el Presidente y Síndico municipales y el resto de las regidurías las ocuparan representantes nombrados por las agencias municipales, elevando los puestos de Secretario Municipal y Tesorero municipales a cargo de elección popular, todos ellos electos en asamblea general del municipio; asimismo rechazaron toda elección de concejales, donde no participaran todos los ciudadanos y ciudadanas que conforman el municipio.</w:t>
      </w:r>
    </w:p>
    <w:p w14:paraId="35ED8499"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7404A876"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 xml:space="preserve">En reunión celebrada el diecinueve de octubre, los integrantes del cabildo y los agentes municipales y de policía, programaron una asamblea para el domingo veintiuno de octubre del año pasado, a efecto de poner a consideración de la asamblea de ciudadanos de la cabecera municipal, la contrapropuesta de las agencias municipales. (fojas 309, accesorio 1) </w:t>
      </w:r>
    </w:p>
    <w:p w14:paraId="71BFB09F"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61E7CA68"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Así, en reunión celebrada el veintiuno de octubre del dos mil uno, estando presentes las autoridades municipales, los agentes municipales y de policía, dos coordinadores del Instituto Estatal Electoral por Usos y Costumbres y la mayoría de los ciudadanos de la cabecera, se determinó por unanimidad:</w:t>
      </w:r>
    </w:p>
    <w:p w14:paraId="144CE15C"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646E3746" w14:textId="77777777" w:rsidR="00676010" w:rsidRPr="00CF2780" w:rsidRDefault="00676010" w:rsidP="00676010">
      <w:pPr>
        <w:numPr>
          <w:ilvl w:val="0"/>
          <w:numId w:val="5"/>
        </w:num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Que el pueblo en general de la cabecera ratificaba en todas y cada una de sus partes la propuesta relativa a que las agencias municipales y de policía pudieran participar en la elección de autoridades municipales nombrando dos regidores que los representaran en las agencias municipales y que serían el de Ecología y/o Panteones.</w:t>
      </w:r>
    </w:p>
    <w:p w14:paraId="734B62C0" w14:textId="77777777" w:rsidR="00676010" w:rsidRPr="00CF2780" w:rsidRDefault="00676010" w:rsidP="00676010">
      <w:pPr>
        <w:spacing w:after="0" w:line="360" w:lineRule="auto"/>
        <w:ind w:left="360"/>
        <w:jc w:val="both"/>
        <w:rPr>
          <w:rFonts w:ascii="Arial" w:eastAsia="Times New Roman" w:hAnsi="Arial" w:cs="Arial"/>
          <w:sz w:val="28"/>
          <w:szCs w:val="24"/>
          <w:lang w:eastAsia="es-ES"/>
        </w:rPr>
      </w:pPr>
    </w:p>
    <w:p w14:paraId="2E18564A" w14:textId="77777777" w:rsidR="00676010" w:rsidRPr="00CF2780" w:rsidRDefault="00676010" w:rsidP="00676010">
      <w:pPr>
        <w:numPr>
          <w:ilvl w:val="0"/>
          <w:numId w:val="5"/>
        </w:num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Que la asamblea comunitaria estaba de acuerdo en que los agentes municipales estuvieran presentes en la elección de concejales como observadores, es decir, sin intervenir, ni votar ni ser votados.</w:t>
      </w:r>
    </w:p>
    <w:p w14:paraId="76B31624"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4F656B4C" w14:textId="77777777" w:rsidR="00676010" w:rsidRPr="00CF2780" w:rsidRDefault="00676010" w:rsidP="00676010">
      <w:pPr>
        <w:spacing w:after="0" w:line="360" w:lineRule="auto"/>
        <w:ind w:left="360"/>
        <w:jc w:val="both"/>
        <w:rPr>
          <w:rFonts w:ascii="Arial" w:eastAsia="Times New Roman" w:hAnsi="Arial" w:cs="Arial"/>
          <w:sz w:val="28"/>
          <w:szCs w:val="24"/>
          <w:lang w:eastAsia="es-ES"/>
        </w:rPr>
      </w:pPr>
    </w:p>
    <w:p w14:paraId="00D22525" w14:textId="77777777" w:rsidR="00676010" w:rsidRPr="00CF2780" w:rsidRDefault="00676010" w:rsidP="00676010">
      <w:pPr>
        <w:numPr>
          <w:ilvl w:val="0"/>
          <w:numId w:val="5"/>
        </w:num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Los agentes municipales llevarían la propuesta a sus comunidades y harían saber el resultado.</w:t>
      </w:r>
    </w:p>
    <w:p w14:paraId="18E7AA73"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0A82C57D"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 xml:space="preserve">Lo anterior consta en el acta firmada por los funcionarios que en esa sesión intervinieron y que se observa a fojas 343 del cuaderno accesorio 2. </w:t>
      </w:r>
    </w:p>
    <w:p w14:paraId="55DF04DE"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67CAA089"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 xml:space="preserve">Es importante señalar que, tres agentes municipales y de policía no querían sellar la referida acta, motivo por el cual se les detuvo en forma administrativa, según consta en el acta levantada el veintidós de octubre del dos mil uno que obra a fojas 325 del cuaderno accesorio 1; acta de la que también se desprende que, después de haber dialogado con ellos y sin presión alguna, manifestaron que reconocían su error en no querer </w:t>
      </w:r>
      <w:r w:rsidRPr="00CF2780">
        <w:rPr>
          <w:rFonts w:ascii="Arial" w:eastAsia="Times New Roman" w:hAnsi="Arial" w:cs="Arial"/>
          <w:sz w:val="28"/>
          <w:szCs w:val="24"/>
          <w:lang w:eastAsia="es-ES"/>
        </w:rPr>
        <w:lastRenderedPageBreak/>
        <w:t>sellar el documento de referencia, pero que ellos sostienen su palabra respecto a que en la detención que hicieron los ciudadanos de esa población no fueron golpeados y que además respetarían el contenido del acta, comprometiéndose en ya no continuar con el asunto político y que lo dejarían por la paz para que los ciudadanos de la cabecera eligieran a sus autoridades como lo venían acostumbrando. Esta acta fue recibida en la presidencia del Instituto Estatal Electoral el veintinueve de octubre del mismo año. En dicho documento se hicieron aclaraciones respecto a que uno de los agentes municipales había olvidado su sello y por eso no había podido sellar, otro de ellos se lo iba a pedir a su tesorero, pero no lo dejaron y, el tercero, no sabía por qué estaba detenido ya que él si había sellado el acta.</w:t>
      </w:r>
    </w:p>
    <w:p w14:paraId="637D8EDE"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62DED874"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 xml:space="preserve">Por escrito de doce de noviembre del dos mil uno (foja 346, accesorio 2), dirigido al Presidente del Consejo General del Instituto Estatal Electoral, los agentes municipales y de policía manifestaron que habían concurrido ante ese Instituto en tiempo y forma con una petición fundada de que se les reconocieran sus derechos políticos, para que les permitiera participar en las elecciones  con derecho a voz, voto y a ser votados, elecciones que se han hecho solamente por medio de la asamblea comunitaria de la cabecera municipal; así mismo señalaron que habían seguido el proceso por medio del cual se canalizó su petición, siempre con actitud de diálogo, asistiendo a todas las reuniones a las que fueron convocados; sin embargo, precisan los funcionarios, en la reunión celebrada el veintiuno de octubre, pese a haber arribado a algunos acuerdos de seguimiento de ese proceso, con premeditación, alevosía y ventaja, fueron secuestrados por un grupo de </w:t>
      </w:r>
      <w:r w:rsidRPr="00CF2780">
        <w:rPr>
          <w:rFonts w:ascii="Arial" w:eastAsia="Times New Roman" w:hAnsi="Arial" w:cs="Arial"/>
          <w:sz w:val="28"/>
          <w:szCs w:val="24"/>
          <w:lang w:eastAsia="es-ES"/>
        </w:rPr>
        <w:lastRenderedPageBreak/>
        <w:t xml:space="preserve">ciudadanos y, posteriormente, tres de los agentes municipales fueron encarcelados bajo el supuesto de que se negaban a firmar el acta, cuando en realidad lo que ocurrió fue que uno de ellos había olvidado su sello y, por eso, no había podido sellar, pero, además, se había puesto de acuerdo con el Presidente Municipal para sellar el acta al día siguiente. </w:t>
      </w:r>
    </w:p>
    <w:p w14:paraId="1A22B302"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403A1789"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 xml:space="preserve">En el escrito de referencia, los agentes municipales precisaron que pensaban que la acción fue preparada con la finalidad de atemorizarlos por haber tratado de participar en la vida política del municipio, pues al día siguiente los liberaron bajo la condición de firmar un acta, de la cual no tienen copia y fue firmada bajo presión, por lo que, señalaron, después de esos hechos indignantes, consideraban que los caminos del diálogo con la cabecera municipal los habían cerrado los mismos funcionarios de la cabecera, por lo que solicitaban, entre otras cosas, que con todos los antecedentes en poder del Instituto se canalizara la petición hacia el proceso que les permita rescatar el derecho constitucional de participar en las elecciones a concejales y autoridades municipales que, hasta la fecha, no se reconocía en Santiago Yaveo. </w:t>
      </w:r>
    </w:p>
    <w:p w14:paraId="0FA5CB5F"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6677C4DD"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 xml:space="preserve">Entonces, a través de escrito de veinte de noviembre del año pasado, los agentes municipales y de policía del municipio de Santiago Yaveo, invitaron al Director de Elecciones por Usos y Costumbres del Instituto Estatal Electoral, a la asamblea general de ciudadanos de todo el municipio, para elegir a sus autoridades municipales para el trienio 2002-2004, lo cual consta a fojas 323 del  cuaderno accesorio 1. Y, en acta de sesión del veinticinco de noviembre de dos mil uno (fojas 293 </w:t>
      </w:r>
      <w:r w:rsidRPr="00CF2780">
        <w:rPr>
          <w:rFonts w:ascii="Arial" w:eastAsia="Times New Roman" w:hAnsi="Arial" w:cs="Arial"/>
          <w:sz w:val="28"/>
          <w:szCs w:val="24"/>
          <w:lang w:eastAsia="es-ES"/>
        </w:rPr>
        <w:lastRenderedPageBreak/>
        <w:t xml:space="preserve">del expediente), signada por los agentes municipales del mismo municipio, se hace constar que  se llevó a cabo la elección del cabildo con la presencia del Consejero Presidente y el Director de Elección por Usos y Costumbres del Instituto Estatal Electoral, en calidad de invitados, resultando ganador como Presidente Municipal Bulmaro Pérez Patricio, con </w:t>
      </w:r>
      <w:r w:rsidRPr="00CF2780">
        <w:rPr>
          <w:rFonts w:ascii="Arial" w:eastAsia="Times New Roman" w:hAnsi="Arial" w:cs="Arial"/>
          <w:b/>
          <w:bCs/>
          <w:sz w:val="28"/>
          <w:szCs w:val="24"/>
          <w:u w:val="single"/>
          <w:lang w:eastAsia="es-ES"/>
        </w:rPr>
        <w:t>mil ciento veinte votos.</w:t>
      </w:r>
    </w:p>
    <w:p w14:paraId="1BC84BD2"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6E118297"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 xml:space="preserve">Por otro lado, el veintiséis de noviembre del dos mil uno, el presidente municipal en funciones remitió un escrito al Presidente del Consejo General del Instituto Estatal Electoral (fojas 370, accesorio 1), informándole que se había convocado a los ciudadanos de la cabecera municipal para llevar a cabo la elección de sus autoridades municipales para el periodo 2002-2004, el domingo dos de diciembre del mismo año. </w:t>
      </w:r>
    </w:p>
    <w:p w14:paraId="30CBC9C0"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15079E00"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 xml:space="preserve">Por escrito recibido en la presidencia del Consejo General del Instituto Estatal Electoral (fojas 372, accesorio 1), un grupo de ciudadanos, en representación de todos los ciudadanos de la cabecera municipal impugnaron la </w:t>
      </w:r>
      <w:r w:rsidRPr="00CF2780">
        <w:rPr>
          <w:rFonts w:ascii="Arial" w:eastAsia="Times New Roman" w:hAnsi="Arial" w:cs="Arial"/>
          <w:i/>
          <w:iCs/>
          <w:sz w:val="28"/>
          <w:szCs w:val="24"/>
          <w:lang w:eastAsia="es-ES"/>
        </w:rPr>
        <w:t>“supuesta elección convocada y realizada por algunas agencias municipales y el Instituto Estatal Electoral”</w:t>
      </w:r>
      <w:r w:rsidRPr="00CF2780">
        <w:rPr>
          <w:rFonts w:ascii="Arial" w:eastAsia="Times New Roman" w:hAnsi="Arial" w:cs="Arial"/>
          <w:sz w:val="28"/>
          <w:szCs w:val="24"/>
          <w:lang w:eastAsia="es-ES"/>
        </w:rPr>
        <w:t xml:space="preserve">, señalando que esa convocatoria fue emitida por quien carece de facultades para ello, pues de conformidad con el artículo 115 del Código de Instituciones Políticas y Procedimientos Electorales de Oaxaca el único facultado para convocar a elecciones es la autoridad municipal; asimismo precisaron que les resultaba preocupante que el instituto que es el responsable de la función estatal de organizar y desarrollar las elecciones en forma pacífica y ordenada estuviera propiciando esa confusión y violación a la ley en perjuicio de los ciudadanos del municipio, por lo que solicitaron </w:t>
      </w:r>
      <w:r w:rsidRPr="00CF2780">
        <w:rPr>
          <w:rFonts w:ascii="Arial" w:eastAsia="Times New Roman" w:hAnsi="Arial" w:cs="Arial"/>
          <w:sz w:val="28"/>
          <w:szCs w:val="24"/>
          <w:lang w:eastAsia="es-ES"/>
        </w:rPr>
        <w:lastRenderedPageBreak/>
        <w:t>que se declarara invalida la supuesta elección celebrada por los agentes municipales, ya que desde su origen carecía de fundamento legal.</w:t>
      </w:r>
    </w:p>
    <w:p w14:paraId="604511E8"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54CCDC0E"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Posteriormente, por escrito de seis de diciembre del dos mil uno (fojas 379, accesorio 1), recibido en la presidencia del Instituto Estatal Electoral el catorce de diciembre del mismo año, los agentes municipales y de policía del municipio solicitaron al presidente de ese instituto expidiera la constancia de mayoría al cabildo nombrado en asamblea general comunitaria celebrada el veinticinco de noviembre del dos mil uno, en razón de que dicha asamblea había sido integrada por la mayoría de los habitantes del municipio de Santiago Yaveo en edad de votar, lo que estaba respaldado por las firmas de los que intervinieron en dicha asamblea.</w:t>
      </w:r>
    </w:p>
    <w:p w14:paraId="5222D8B5"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1DE06682"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 xml:space="preserve">Asimismo, obra en autos el acta levantada con motivo de la elección de concejales, celebrada el dos de diciembre del dos mil uno (fojas 380, accesorio 1), en donde consta que como presidente municipal resultó electo Indalecio Martínez Domínguez </w:t>
      </w:r>
      <w:r w:rsidRPr="00CF2780">
        <w:rPr>
          <w:rFonts w:ascii="Arial" w:eastAsia="Times New Roman" w:hAnsi="Arial" w:cs="Arial"/>
          <w:b/>
          <w:bCs/>
          <w:sz w:val="28"/>
          <w:szCs w:val="24"/>
          <w:u w:val="single"/>
          <w:lang w:eastAsia="es-ES"/>
        </w:rPr>
        <w:t>con ciento dieciocho votos.</w:t>
      </w:r>
    </w:p>
    <w:p w14:paraId="44C93908"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769DBD65"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Como consecuencia de lo anterior, el Instituto Estatal Electoral de Oaxaca, sin pronunciarse respecto a la solicitud de expedición de la constancia de mayoría emitida por los agentes municipales, declaró valida la elección de concejales municipales electos por el sistema de usos y costumbres en el municipio de Santiago Yaveo y expidió la constancia de mayoría correspondiente, es decir, validó la elección efectuada por lo ciudadanos de la cabecera municipal.</w:t>
      </w:r>
    </w:p>
    <w:p w14:paraId="1C77D590"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3C48B12E"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lastRenderedPageBreak/>
        <w:t>La documentación relatada obra en copia certificada por el Secretario General del Instituto Estatal Electoral del Estado de Oaxaca y por la Oficial Mayor del Congreso del Estado Libre y Soberano de Oaxaca, por lo que, de acuerdo con los artículos 14, párrafo 1, inciso a), y 4, inciso c), y 16, párrafos 1 y 2, en relación con los diversos 79, párrafo 1, inciso f) del Código de Instituciones y Procedimientos Electorales de Oaxaca, 58 y 60 de la Ley Orgánica del Poder Legislativo del Estado de Oaxaca, 39, fracciones III y VI, y 40 del Reglamento Interior del Congreso del Estado, merece valor probatorio pleno, máxime que no obra prueba que desvirtúe su autenticidad o lo asentado en los diversos instrumentos que  conforman el expediente de la elección municipal de Santiago Yaveo, Choápam, si no que, por el contrario, los hechos relatados en cada uno de ellos guardan coincidencia entre sí, ofreciendo ordenada y cronológicamente la sucesión de los acontecimientos acaecidos con motivo de los comicios, resultando, además, sustancialmente conformes con los hechos relatados por los actores en su escrito de demanda, así como con los alegatos vertidos por los terceros interesados, de ahí que, atendiendo a las reglas de la lógica, de la sana crítica y de la experiencia, genera dicha documentación veracidad de los hechos afirmados.</w:t>
      </w:r>
    </w:p>
    <w:p w14:paraId="4BC21092"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6F02893A"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En tal virtud, de manera general, de las probanzas que obran en autos es factible tener acreditados los siguientes hechos:</w:t>
      </w:r>
    </w:p>
    <w:p w14:paraId="4F576E41"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682D9AF0" w14:textId="77777777" w:rsidR="00676010" w:rsidRPr="00CF2780" w:rsidRDefault="00676010" w:rsidP="00676010">
      <w:pPr>
        <w:spacing w:after="0" w:line="360" w:lineRule="auto"/>
        <w:ind w:left="720" w:hanging="360"/>
        <w:jc w:val="both"/>
        <w:rPr>
          <w:rFonts w:ascii="Arial" w:eastAsia="Times New Roman" w:hAnsi="Arial" w:cs="Arial"/>
          <w:sz w:val="28"/>
          <w:szCs w:val="24"/>
          <w:lang w:eastAsia="es-ES"/>
        </w:rPr>
      </w:pPr>
      <w:r w:rsidRPr="00CF2780">
        <w:rPr>
          <w:rFonts w:ascii="Arial" w:eastAsia="Times New Roman" w:hAnsi="Arial" w:cs="Arial"/>
          <w:b/>
          <w:bCs/>
          <w:sz w:val="28"/>
          <w:szCs w:val="24"/>
          <w:lang w:eastAsia="es-ES"/>
        </w:rPr>
        <w:t>a)</w:t>
      </w:r>
      <w:r w:rsidRPr="00CF2780">
        <w:rPr>
          <w:rFonts w:ascii="Arial" w:eastAsia="Times New Roman" w:hAnsi="Arial" w:cs="Arial"/>
          <w:b/>
          <w:bCs/>
          <w:sz w:val="28"/>
          <w:szCs w:val="24"/>
          <w:lang w:eastAsia="es-ES"/>
        </w:rPr>
        <w:tab/>
      </w:r>
      <w:r w:rsidRPr="00CF2780">
        <w:rPr>
          <w:rFonts w:ascii="Arial" w:eastAsia="Times New Roman" w:hAnsi="Arial" w:cs="Arial"/>
          <w:sz w:val="28"/>
          <w:szCs w:val="24"/>
          <w:lang w:eastAsia="es-ES"/>
        </w:rPr>
        <w:t xml:space="preserve">Que, cuando menos, desde el cinco de diciembre de dos mil, los Agentes Municipales y de Policía del municipio de Santiago Yaveo, Oaxaca (que, dicho sea de paso, tienen el carácter de </w:t>
      </w:r>
      <w:r w:rsidRPr="00CF2780">
        <w:rPr>
          <w:rFonts w:ascii="Arial" w:eastAsia="Times New Roman" w:hAnsi="Arial" w:cs="Arial"/>
          <w:sz w:val="28"/>
          <w:szCs w:val="24"/>
          <w:lang w:eastAsia="es-ES"/>
        </w:rPr>
        <w:lastRenderedPageBreak/>
        <w:t>autoridades municipales auxiliares, en términos del artículo 54 de la Ley Orgánica Municipal de esta entidad federativa), propusieron a la autoridad electoral administrativa que en las elecciones municipales se considerara la posibilidad de que participaran todos los ciudadanos y ciudadanas de las localidades y rancherías integrantes de la municipalidad, aunque sin romper el ejercicio tradicional de los usos y costumbres, pues las decisiones se tomaban por “una minoría”.</w:t>
      </w:r>
    </w:p>
    <w:p w14:paraId="389DD589" w14:textId="77777777" w:rsidR="00676010" w:rsidRPr="00CF2780" w:rsidRDefault="00676010" w:rsidP="00676010">
      <w:pPr>
        <w:spacing w:after="0" w:line="360" w:lineRule="auto"/>
        <w:ind w:left="720" w:hanging="360"/>
        <w:jc w:val="both"/>
        <w:rPr>
          <w:rFonts w:ascii="Arial" w:eastAsia="Times New Roman" w:hAnsi="Arial" w:cs="Arial"/>
          <w:sz w:val="28"/>
          <w:szCs w:val="24"/>
          <w:lang w:eastAsia="es-ES"/>
        </w:rPr>
      </w:pPr>
    </w:p>
    <w:p w14:paraId="1A15B546" w14:textId="77777777" w:rsidR="00676010" w:rsidRPr="00CF2780" w:rsidRDefault="00676010" w:rsidP="00676010">
      <w:pPr>
        <w:spacing w:after="0" w:line="360" w:lineRule="auto"/>
        <w:ind w:left="720" w:hanging="360"/>
        <w:jc w:val="both"/>
        <w:rPr>
          <w:rFonts w:ascii="Arial" w:eastAsia="Times New Roman" w:hAnsi="Arial" w:cs="Arial"/>
          <w:sz w:val="28"/>
          <w:szCs w:val="24"/>
          <w:lang w:eastAsia="es-ES"/>
        </w:rPr>
      </w:pPr>
      <w:r w:rsidRPr="00CF2780">
        <w:rPr>
          <w:rFonts w:ascii="Arial" w:eastAsia="Times New Roman" w:hAnsi="Arial" w:cs="Arial"/>
          <w:b/>
          <w:bCs/>
          <w:sz w:val="28"/>
          <w:szCs w:val="24"/>
          <w:lang w:eastAsia="es-ES"/>
        </w:rPr>
        <w:t>b)</w:t>
      </w:r>
      <w:r w:rsidRPr="00CF2780">
        <w:rPr>
          <w:rFonts w:ascii="Arial" w:eastAsia="Times New Roman" w:hAnsi="Arial" w:cs="Arial"/>
          <w:b/>
          <w:bCs/>
          <w:sz w:val="28"/>
          <w:szCs w:val="24"/>
          <w:lang w:eastAsia="es-ES"/>
        </w:rPr>
        <w:tab/>
      </w:r>
      <w:r w:rsidRPr="00CF2780">
        <w:rPr>
          <w:rFonts w:ascii="Arial" w:eastAsia="Times New Roman" w:hAnsi="Arial" w:cs="Arial"/>
          <w:sz w:val="28"/>
          <w:szCs w:val="24"/>
          <w:lang w:eastAsia="es-ES"/>
        </w:rPr>
        <w:t>Que el Consejo General del Instituto Estatal Electoral de Oaxaca, mediante acuerdo de veintiocho de marzo de dos mil uno, acordó que no procedía cambiar el régimen electoral de Santiago Yaveo, por lo que debía continuar vigente el sistema de derecho consuetudinario, “valorando en todo caso la participación de todos los ciudadanos del municipio”. En dicho sentido se había pronunciado, con el mero carácter de opinión, el Director de Elecciones por Usos y Costumbres del instituto el primero de marzo anterior. Expresiones que denotan que, tradicionalmente, en los comicios de mérito no participa la totalidad de la ciudadanía residente en el municipio.</w:t>
      </w:r>
    </w:p>
    <w:p w14:paraId="4DD8035D" w14:textId="77777777" w:rsidR="00676010" w:rsidRPr="00CF2780" w:rsidRDefault="00676010" w:rsidP="00676010">
      <w:pPr>
        <w:spacing w:after="0" w:line="360" w:lineRule="auto"/>
        <w:ind w:left="720" w:hanging="360"/>
        <w:jc w:val="both"/>
        <w:rPr>
          <w:rFonts w:ascii="Arial" w:eastAsia="Times New Roman" w:hAnsi="Arial" w:cs="Arial"/>
          <w:sz w:val="28"/>
          <w:szCs w:val="24"/>
          <w:lang w:eastAsia="es-ES"/>
        </w:rPr>
      </w:pPr>
    </w:p>
    <w:p w14:paraId="7305E4D1" w14:textId="77777777" w:rsidR="00676010" w:rsidRPr="00CF2780" w:rsidRDefault="00676010" w:rsidP="00676010">
      <w:pPr>
        <w:spacing w:after="0" w:line="360" w:lineRule="auto"/>
        <w:ind w:left="720" w:hanging="360"/>
        <w:jc w:val="both"/>
        <w:rPr>
          <w:rFonts w:ascii="Arial" w:eastAsia="Times New Roman" w:hAnsi="Arial" w:cs="Arial"/>
          <w:sz w:val="28"/>
          <w:szCs w:val="24"/>
          <w:lang w:eastAsia="es-ES"/>
        </w:rPr>
      </w:pPr>
      <w:r w:rsidRPr="00CF2780">
        <w:rPr>
          <w:rFonts w:ascii="Arial" w:eastAsia="Times New Roman" w:hAnsi="Arial" w:cs="Arial"/>
          <w:b/>
          <w:bCs/>
          <w:sz w:val="28"/>
          <w:szCs w:val="24"/>
          <w:lang w:eastAsia="es-ES"/>
        </w:rPr>
        <w:t>c)</w:t>
      </w:r>
      <w:r w:rsidRPr="00CF2780">
        <w:rPr>
          <w:rFonts w:ascii="Arial" w:eastAsia="Times New Roman" w:hAnsi="Arial" w:cs="Arial"/>
          <w:b/>
          <w:bCs/>
          <w:sz w:val="28"/>
          <w:szCs w:val="24"/>
          <w:lang w:eastAsia="es-ES"/>
        </w:rPr>
        <w:tab/>
      </w:r>
      <w:r w:rsidRPr="00CF2780">
        <w:rPr>
          <w:rFonts w:ascii="Arial" w:eastAsia="Times New Roman" w:hAnsi="Arial" w:cs="Arial"/>
          <w:sz w:val="28"/>
          <w:szCs w:val="24"/>
          <w:lang w:eastAsia="es-ES"/>
        </w:rPr>
        <w:t xml:space="preserve">Existe también un reconocimiento expreso de los entonces integrantes del cabildo municipal de que en las elecciones para el ayuntamiento no participan personas ajenas a la cabecera, según manifestaron en los escritos de dieciséis de febrero, dieciocho y veintisiete de marzo de dos mil uno. Incluso, en estos instrumentos se asevera que únicamente participan “puros </w:t>
      </w:r>
      <w:r w:rsidRPr="00CF2780">
        <w:rPr>
          <w:rFonts w:ascii="Arial" w:eastAsia="Times New Roman" w:hAnsi="Arial" w:cs="Arial"/>
          <w:sz w:val="28"/>
          <w:szCs w:val="24"/>
          <w:lang w:eastAsia="es-ES"/>
        </w:rPr>
        <w:lastRenderedPageBreak/>
        <w:t>hombres con edad de votar en la cabecera municipal” y que pretender la inclusión para tales efectos a las agencias municipales podría generar inestabilidad social, violencia y el “desgranamiento” de los usos y costumbres de la comunidad.</w:t>
      </w:r>
    </w:p>
    <w:p w14:paraId="4428248E" w14:textId="77777777" w:rsidR="00676010" w:rsidRPr="00CF2780" w:rsidRDefault="00676010" w:rsidP="00676010">
      <w:pPr>
        <w:spacing w:after="0" w:line="360" w:lineRule="auto"/>
        <w:ind w:left="720" w:hanging="360"/>
        <w:jc w:val="both"/>
        <w:rPr>
          <w:rFonts w:ascii="Arial" w:eastAsia="Times New Roman" w:hAnsi="Arial" w:cs="Arial"/>
          <w:sz w:val="28"/>
          <w:szCs w:val="24"/>
          <w:lang w:eastAsia="es-ES"/>
        </w:rPr>
      </w:pPr>
    </w:p>
    <w:p w14:paraId="530F3486" w14:textId="77777777" w:rsidR="00676010" w:rsidRPr="00CF2780" w:rsidRDefault="00676010" w:rsidP="00676010">
      <w:pPr>
        <w:spacing w:after="0" w:line="360" w:lineRule="auto"/>
        <w:ind w:left="720" w:hanging="360"/>
        <w:jc w:val="both"/>
        <w:rPr>
          <w:rFonts w:ascii="Arial" w:eastAsia="Times New Roman" w:hAnsi="Arial" w:cs="Arial"/>
          <w:sz w:val="28"/>
          <w:szCs w:val="24"/>
          <w:lang w:eastAsia="es-ES"/>
        </w:rPr>
      </w:pPr>
      <w:r w:rsidRPr="00CF2780">
        <w:rPr>
          <w:rFonts w:ascii="Arial" w:eastAsia="Times New Roman" w:hAnsi="Arial" w:cs="Arial"/>
          <w:b/>
          <w:bCs/>
          <w:sz w:val="28"/>
          <w:szCs w:val="24"/>
          <w:lang w:eastAsia="es-ES"/>
        </w:rPr>
        <w:t>d)</w:t>
      </w:r>
      <w:r w:rsidRPr="00CF2780">
        <w:rPr>
          <w:rFonts w:ascii="Arial" w:eastAsia="Times New Roman" w:hAnsi="Arial" w:cs="Arial"/>
          <w:b/>
          <w:bCs/>
          <w:sz w:val="28"/>
          <w:szCs w:val="24"/>
          <w:lang w:eastAsia="es-ES"/>
        </w:rPr>
        <w:tab/>
      </w:r>
      <w:r w:rsidRPr="00CF2780">
        <w:rPr>
          <w:rFonts w:ascii="Arial" w:eastAsia="Times New Roman" w:hAnsi="Arial" w:cs="Arial"/>
          <w:sz w:val="28"/>
          <w:szCs w:val="24"/>
          <w:lang w:eastAsia="es-ES"/>
        </w:rPr>
        <w:t>Que a raíz de la pretensión manifestada por los Agentes Municipales, tuvieron verificativo múltiples reuniones y asambleas de éstos, funcionarios electorales del instituto, autoridades municipales, así como también en algunos casos ciudadanos de la cabecera municipal, para discutir propuestas de solución ante la negativa de las integrantes del ayuntamiento, apoyada en el “consenso general de los ciudadanos de la cabecera”, sin que, a final de cuentas, se alcanzara un acuerdo satisfactorio.</w:t>
      </w:r>
    </w:p>
    <w:p w14:paraId="095EE9D3" w14:textId="77777777" w:rsidR="00676010" w:rsidRPr="00CF2780" w:rsidRDefault="00676010" w:rsidP="00676010">
      <w:pPr>
        <w:spacing w:after="0" w:line="360" w:lineRule="auto"/>
        <w:ind w:left="720" w:hanging="360"/>
        <w:jc w:val="both"/>
        <w:rPr>
          <w:rFonts w:ascii="Arial" w:eastAsia="Times New Roman" w:hAnsi="Arial" w:cs="Arial"/>
          <w:sz w:val="28"/>
          <w:szCs w:val="24"/>
          <w:lang w:eastAsia="es-ES"/>
        </w:rPr>
      </w:pPr>
    </w:p>
    <w:p w14:paraId="193D01C5" w14:textId="77777777" w:rsidR="00676010" w:rsidRPr="00CF2780" w:rsidRDefault="00676010" w:rsidP="00676010">
      <w:pPr>
        <w:spacing w:after="0" w:line="360" w:lineRule="auto"/>
        <w:ind w:left="720" w:hanging="360"/>
        <w:jc w:val="both"/>
        <w:rPr>
          <w:rFonts w:ascii="Arial" w:eastAsia="Times New Roman" w:hAnsi="Arial" w:cs="Arial"/>
          <w:sz w:val="28"/>
          <w:szCs w:val="24"/>
          <w:lang w:eastAsia="es-ES"/>
        </w:rPr>
      </w:pPr>
      <w:r w:rsidRPr="00CF2780">
        <w:rPr>
          <w:rFonts w:ascii="Arial" w:eastAsia="Times New Roman" w:hAnsi="Arial" w:cs="Arial"/>
          <w:b/>
          <w:bCs/>
          <w:sz w:val="28"/>
          <w:szCs w:val="24"/>
          <w:lang w:eastAsia="es-ES"/>
        </w:rPr>
        <w:t>e)</w:t>
      </w:r>
      <w:r w:rsidRPr="00CF2780">
        <w:rPr>
          <w:rFonts w:ascii="Arial" w:eastAsia="Times New Roman" w:hAnsi="Arial" w:cs="Arial"/>
          <w:b/>
          <w:bCs/>
          <w:sz w:val="28"/>
          <w:szCs w:val="24"/>
          <w:lang w:eastAsia="es-ES"/>
        </w:rPr>
        <w:tab/>
      </w:r>
      <w:r w:rsidRPr="00CF2780">
        <w:rPr>
          <w:rFonts w:ascii="Arial" w:eastAsia="Times New Roman" w:hAnsi="Arial" w:cs="Arial"/>
          <w:sz w:val="28"/>
          <w:szCs w:val="24"/>
          <w:lang w:eastAsia="es-ES"/>
        </w:rPr>
        <w:t>Que los Agentes Municipales y de Policía de Santiago Yaveo, previo aviso a la autoridad electoral, celebraron el veinticinco de noviembre de dos mil uno, una “asamblea general de ciudadanos de todo el municipio”, para elegir a los integrantes del ayuntamiento correspondiente al trienio 2002-2004, levantándose el acta respectiva. Dicha asamblea fue objetada por un grupo de ciudadanos, ostentándose como representantes de los de la cabecera municipal.</w:t>
      </w:r>
    </w:p>
    <w:p w14:paraId="5479AC4C" w14:textId="77777777" w:rsidR="00676010" w:rsidRPr="00CF2780" w:rsidRDefault="00676010" w:rsidP="00676010">
      <w:pPr>
        <w:spacing w:after="0" w:line="360" w:lineRule="auto"/>
        <w:ind w:left="720" w:hanging="360"/>
        <w:jc w:val="both"/>
        <w:rPr>
          <w:rFonts w:ascii="Arial" w:eastAsia="Times New Roman" w:hAnsi="Arial" w:cs="Arial"/>
          <w:sz w:val="28"/>
          <w:szCs w:val="24"/>
          <w:lang w:eastAsia="es-ES"/>
        </w:rPr>
      </w:pPr>
    </w:p>
    <w:p w14:paraId="5AD3AF42" w14:textId="77777777" w:rsidR="00676010" w:rsidRPr="00CF2780" w:rsidRDefault="00676010" w:rsidP="00676010">
      <w:pPr>
        <w:numPr>
          <w:ilvl w:val="0"/>
          <w:numId w:val="2"/>
        </w:numPr>
        <w:spacing w:after="0" w:line="360" w:lineRule="auto"/>
        <w:jc w:val="both"/>
        <w:rPr>
          <w:rFonts w:ascii="Arial" w:eastAsia="Times New Roman" w:hAnsi="Arial" w:cs="Arial"/>
          <w:b/>
          <w:bCs/>
          <w:sz w:val="28"/>
          <w:szCs w:val="24"/>
          <w:lang w:eastAsia="es-ES"/>
        </w:rPr>
      </w:pPr>
      <w:r w:rsidRPr="00CF2780">
        <w:rPr>
          <w:rFonts w:ascii="Arial" w:eastAsia="Times New Roman" w:hAnsi="Arial" w:cs="Arial"/>
          <w:sz w:val="28"/>
          <w:szCs w:val="24"/>
          <w:lang w:eastAsia="es-ES"/>
        </w:rPr>
        <w:t xml:space="preserve">También con la notificación previa al Instituto Estatal Electoral, el dos de diciembre siguiente, tuvo verificativo la asamblea comunitaria en la cabecera municipal para elegir a los miembros </w:t>
      </w:r>
      <w:r w:rsidRPr="00CF2780">
        <w:rPr>
          <w:rFonts w:ascii="Arial" w:eastAsia="Times New Roman" w:hAnsi="Arial" w:cs="Arial"/>
          <w:sz w:val="28"/>
          <w:szCs w:val="24"/>
          <w:lang w:eastAsia="es-ES"/>
        </w:rPr>
        <w:lastRenderedPageBreak/>
        <w:t>del cabildo, respecto de la cual el Consejo General declaró su validez y expidió la constancia de mayoría atinente.</w:t>
      </w:r>
    </w:p>
    <w:p w14:paraId="05F7540B"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7C5FCE09"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Como puede advertirse, la adminiculación de estos hechos lleva a la conclusión de que, tradicionalmente, en el municipio de Santiago Yaveo, Oaxaca, únicamente intervienen en los comicios para renovar a los miembros del ayuntamiento, ciudadanos residentes en la cabecera de dicha comunidad, situación que se reiteró en las elecciones celebradas el año pasado.</w:t>
      </w:r>
    </w:p>
    <w:p w14:paraId="02701746"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21399067"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Semejante exclusividad pretende ser justificada alegándose que así se ha venido desarrollando de manera inveterada, por lo que forma parte de los usos y costumbres que identifican las normas internas y tradiciones de esta comunidad, sin que sea posible su eliminación porque, se dice, ello podría traer consigo inestabilidad social, brotes de violencia y la destrucción del derecho consuetudinario que les ha regido por años, así como la aniquilación de su identidad.</w:t>
      </w:r>
    </w:p>
    <w:p w14:paraId="38658D32"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2AE69679"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No obstante, la restricción del derecho del sufragio a ciertos y determinados ciudadanos que conforman el cuerpo electoral, constituye una flagrante violación al derecho fundamental, de corte político electoral, de voto activo, así como a los principios de igualdad e interdicción de la discriminación, consignados en diversos preceptos constitucionales, legales y de tratados internacionales suscritos y ratificados por nuestro país.</w:t>
      </w:r>
    </w:p>
    <w:p w14:paraId="6B277B98"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64BD55AD"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lastRenderedPageBreak/>
        <w:t>En efecto, de manera reiterada esta Sala Superior ha sostenido que el derecho de sufragio, con los atributos precisados por los preceptos normativos que a continuación se enuncian, constituye la piedra angular del sistema democrático, en tanto que, como se precisó en párrafos precedentes, con su ejercicio se permite la necesaria conexión entre el poder público y los ciudadanos, legitimando aquél. De ahí que si se considera que en una elección el sufragio no se ejerció con tales características, ello conduce a establecer que se han infringido los preceptos que lo tutelan y que, además, se ha atentado contra la esencia misma del sistema democrático. Tales preceptos y, en su caso, los relativos a las elecciones de Oaxaca, establecen:</w:t>
      </w:r>
    </w:p>
    <w:p w14:paraId="4E8CB792"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076B4132" w14:textId="77777777" w:rsidR="00676010" w:rsidRPr="00CF2780" w:rsidRDefault="00676010" w:rsidP="00676010">
      <w:pPr>
        <w:numPr>
          <w:ilvl w:val="0"/>
          <w:numId w:val="4"/>
        </w:numPr>
        <w:spacing w:after="0" w:line="360" w:lineRule="auto"/>
        <w:jc w:val="both"/>
        <w:rPr>
          <w:rFonts w:ascii="Arial" w:eastAsia="Times New Roman" w:hAnsi="Arial" w:cs="Arial"/>
          <w:b/>
          <w:bCs/>
          <w:sz w:val="28"/>
          <w:szCs w:val="24"/>
          <w:lang w:eastAsia="es-ES"/>
        </w:rPr>
      </w:pPr>
      <w:r w:rsidRPr="00CF2780">
        <w:rPr>
          <w:rFonts w:ascii="Arial" w:eastAsia="Times New Roman" w:hAnsi="Arial" w:cs="Arial"/>
          <w:sz w:val="28"/>
          <w:szCs w:val="24"/>
          <w:lang w:eastAsia="es-ES"/>
        </w:rPr>
        <w:t>El derecho a votar como prerrogativa y obligación ciudadana (artículos 35, fracción I, y 36, fracción III, de la Constitución federal), esto es, cuentan con él todo mexicano o mexicana, ya sea por nacimiento o naturalización, mayor de dieciocho años y con un modo honesto de vivir (artículos 30 y 34 de la propia Constitución).</w:t>
      </w:r>
    </w:p>
    <w:p w14:paraId="38B0D6E2"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73306D05" w14:textId="77777777" w:rsidR="00676010" w:rsidRPr="00CF2780" w:rsidRDefault="00676010" w:rsidP="00676010">
      <w:pPr>
        <w:numPr>
          <w:ilvl w:val="0"/>
          <w:numId w:val="4"/>
        </w:numPr>
        <w:spacing w:after="0" w:line="360" w:lineRule="auto"/>
        <w:jc w:val="both"/>
        <w:rPr>
          <w:rFonts w:ascii="Arial" w:eastAsia="Times New Roman" w:hAnsi="Arial" w:cs="Arial"/>
          <w:b/>
          <w:bCs/>
          <w:sz w:val="28"/>
          <w:szCs w:val="24"/>
          <w:lang w:eastAsia="es-ES"/>
        </w:rPr>
      </w:pPr>
      <w:r w:rsidRPr="00CF2780">
        <w:rPr>
          <w:rFonts w:ascii="Arial" w:eastAsia="Times New Roman" w:hAnsi="Arial" w:cs="Arial"/>
          <w:sz w:val="28"/>
          <w:szCs w:val="24"/>
          <w:lang w:eastAsia="es-ES"/>
        </w:rPr>
        <w:t>El derecho de sufragio activo constituye, además, un derecho humano comprendido y tutelado en instrumentos internacionales ratificados y suscritos por México, el cual debe revestir las características de universal e igual, libre y secreto (artículos 25, apartado 1, inciso b) del Pacto Internacional de Derechos Civiles y Políticos, y 23, apartado 1, inciso b), de la Convención Americana sobre Derechos Humanos).</w:t>
      </w:r>
    </w:p>
    <w:p w14:paraId="23D35F9D"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7F07DB2E" w14:textId="77777777" w:rsidR="00676010" w:rsidRPr="00CF2780" w:rsidRDefault="00676010" w:rsidP="00676010">
      <w:pPr>
        <w:numPr>
          <w:ilvl w:val="0"/>
          <w:numId w:val="4"/>
        </w:numPr>
        <w:spacing w:after="0" w:line="360" w:lineRule="auto"/>
        <w:jc w:val="both"/>
        <w:rPr>
          <w:rFonts w:ascii="Arial" w:eastAsia="Times New Roman" w:hAnsi="Arial" w:cs="Arial"/>
          <w:b/>
          <w:bCs/>
          <w:sz w:val="28"/>
          <w:szCs w:val="24"/>
          <w:lang w:eastAsia="es-ES"/>
        </w:rPr>
      </w:pPr>
      <w:r w:rsidRPr="00CF2780">
        <w:rPr>
          <w:rFonts w:ascii="Arial" w:eastAsia="Times New Roman" w:hAnsi="Arial" w:cs="Arial"/>
          <w:sz w:val="28"/>
          <w:szCs w:val="24"/>
          <w:lang w:eastAsia="es-ES"/>
        </w:rPr>
        <w:lastRenderedPageBreak/>
        <w:t>De manera adicional a las características de universal, igual, libre y secreto, la Constitución federal incorpora el atributo directo al sufragio a la totalidad de las elecciones constitucionalmente previstas para los órganos representativos del Estado: gobernador, Jefe de Gobierno, diputados estatales y de la Asamblea Legislativa del Distrito Federal, y ayuntamientos municipales (artículos 115, primer párrafo, fracción I, 116, segundo párrafo, fracciones I, párrafo segundo, y IV, inciso a), y 122, párrafos cuarto y sexto, apartado c, base primera, fracción I).</w:t>
      </w:r>
    </w:p>
    <w:p w14:paraId="6B70690C" w14:textId="77777777" w:rsidR="00676010" w:rsidRPr="00CF2780" w:rsidRDefault="00676010" w:rsidP="00676010">
      <w:pPr>
        <w:spacing w:after="0" w:line="360" w:lineRule="auto"/>
        <w:jc w:val="both"/>
        <w:rPr>
          <w:rFonts w:ascii="Arial" w:eastAsia="Times New Roman" w:hAnsi="Arial" w:cs="Arial"/>
          <w:b/>
          <w:bCs/>
          <w:sz w:val="28"/>
          <w:szCs w:val="24"/>
          <w:lang w:eastAsia="es-ES"/>
        </w:rPr>
      </w:pPr>
    </w:p>
    <w:p w14:paraId="527ADC95" w14:textId="77777777" w:rsidR="00676010" w:rsidRPr="00CF2780" w:rsidRDefault="00676010" w:rsidP="00676010">
      <w:pPr>
        <w:numPr>
          <w:ilvl w:val="0"/>
          <w:numId w:val="4"/>
        </w:numPr>
        <w:spacing w:after="0" w:line="360" w:lineRule="auto"/>
        <w:jc w:val="both"/>
        <w:rPr>
          <w:rFonts w:ascii="Arial" w:eastAsia="Times New Roman" w:hAnsi="Arial" w:cs="Arial"/>
          <w:b/>
          <w:bCs/>
          <w:sz w:val="28"/>
          <w:szCs w:val="24"/>
          <w:lang w:eastAsia="es-ES"/>
        </w:rPr>
      </w:pPr>
      <w:r w:rsidRPr="00CF2780">
        <w:rPr>
          <w:rFonts w:ascii="Arial" w:eastAsia="Times New Roman" w:hAnsi="Arial" w:cs="Arial"/>
          <w:sz w:val="28"/>
          <w:szCs w:val="24"/>
          <w:lang w:eastAsia="es-ES"/>
        </w:rPr>
        <w:t>A su vez, en el ámbito local que interesa, la normatividad oaxaqueña también contempla el derecho de votar como un derecho y obligación ciudadana, esto es, conferido a los hombres y mujeres que hubieren nacido en el Estado, a quienes sean hijos de padre o madre oaxaqueños y a quienes deseen ser considerados como tales si, no ubicándose en los dos supuestos anteriores, cuentan con una residencia mínima de cinco años en la entidad. En todo caso, se debe ser mayor de dieciocho años y tener un modo honesto de vivir (artículos 23 y 24, fracción I de la Constitución Política del Estado Libre y Soberano de Oaxaca).</w:t>
      </w:r>
    </w:p>
    <w:p w14:paraId="4E6D1745" w14:textId="77777777" w:rsidR="00676010" w:rsidRPr="00CF2780" w:rsidRDefault="00676010" w:rsidP="00676010">
      <w:pPr>
        <w:spacing w:after="0" w:line="360" w:lineRule="auto"/>
        <w:jc w:val="both"/>
        <w:rPr>
          <w:rFonts w:ascii="Arial" w:eastAsia="Times New Roman" w:hAnsi="Arial" w:cs="Arial"/>
          <w:b/>
          <w:bCs/>
          <w:sz w:val="28"/>
          <w:szCs w:val="24"/>
          <w:lang w:eastAsia="es-ES"/>
        </w:rPr>
      </w:pPr>
    </w:p>
    <w:p w14:paraId="4A22956C" w14:textId="77777777" w:rsidR="00676010" w:rsidRPr="00CF2780" w:rsidRDefault="00676010" w:rsidP="00676010">
      <w:pPr>
        <w:numPr>
          <w:ilvl w:val="0"/>
          <w:numId w:val="4"/>
        </w:numPr>
        <w:spacing w:after="0" w:line="360" w:lineRule="auto"/>
        <w:jc w:val="both"/>
        <w:rPr>
          <w:rFonts w:ascii="Arial" w:eastAsia="Times New Roman" w:hAnsi="Arial" w:cs="Arial"/>
          <w:b/>
          <w:bCs/>
          <w:sz w:val="28"/>
          <w:szCs w:val="24"/>
          <w:lang w:eastAsia="es-ES"/>
        </w:rPr>
      </w:pPr>
      <w:r w:rsidRPr="00CF2780">
        <w:rPr>
          <w:rFonts w:ascii="Arial" w:eastAsia="Times New Roman" w:hAnsi="Arial" w:cs="Arial"/>
          <w:sz w:val="28"/>
          <w:szCs w:val="24"/>
          <w:lang w:eastAsia="es-ES"/>
        </w:rPr>
        <w:t>En las elecciones para gobernador, diputados y ayuntamientos, el sufragio debe ser universal, libre, secreto y directo (artículos 29, párrafo segundo, 31 y 67 de la Constitución local).</w:t>
      </w:r>
    </w:p>
    <w:p w14:paraId="2BCB2488" w14:textId="77777777" w:rsidR="00676010" w:rsidRPr="00CF2780" w:rsidRDefault="00676010" w:rsidP="00676010">
      <w:pPr>
        <w:spacing w:after="0" w:line="360" w:lineRule="auto"/>
        <w:jc w:val="both"/>
        <w:rPr>
          <w:rFonts w:ascii="Arial" w:eastAsia="Times New Roman" w:hAnsi="Arial" w:cs="Arial"/>
          <w:b/>
          <w:bCs/>
          <w:sz w:val="28"/>
          <w:szCs w:val="24"/>
          <w:lang w:eastAsia="es-ES"/>
        </w:rPr>
      </w:pPr>
    </w:p>
    <w:p w14:paraId="2B453625" w14:textId="77777777" w:rsidR="00676010" w:rsidRPr="00CF2780" w:rsidRDefault="00676010" w:rsidP="00676010">
      <w:pPr>
        <w:numPr>
          <w:ilvl w:val="0"/>
          <w:numId w:val="4"/>
        </w:numPr>
        <w:spacing w:after="0" w:line="360" w:lineRule="auto"/>
        <w:jc w:val="both"/>
        <w:rPr>
          <w:rFonts w:ascii="Arial" w:eastAsia="Times New Roman" w:hAnsi="Arial" w:cs="Arial"/>
          <w:b/>
          <w:bCs/>
          <w:sz w:val="28"/>
          <w:szCs w:val="24"/>
          <w:lang w:eastAsia="es-ES"/>
        </w:rPr>
      </w:pPr>
      <w:r w:rsidRPr="00CF2780">
        <w:rPr>
          <w:rFonts w:ascii="Arial" w:eastAsia="Times New Roman" w:hAnsi="Arial" w:cs="Arial"/>
          <w:sz w:val="28"/>
          <w:szCs w:val="24"/>
          <w:lang w:eastAsia="es-ES"/>
        </w:rPr>
        <w:t xml:space="preserve">El sufragio activo sólo puede suspenderse (lo que implica la pérdida transitoria del carácter de elector) en aquellos supuestos </w:t>
      </w:r>
      <w:r w:rsidRPr="00CF2780">
        <w:rPr>
          <w:rFonts w:ascii="Arial" w:eastAsia="Times New Roman" w:hAnsi="Arial" w:cs="Arial"/>
          <w:sz w:val="28"/>
          <w:szCs w:val="24"/>
          <w:lang w:eastAsia="es-ES"/>
        </w:rPr>
        <w:lastRenderedPageBreak/>
        <w:t xml:space="preserve">contemplados en los artículos 38 de la Constitución Política de los Estados Unidos Mexicanos, 9 y 113 del Código de Instituciones Políticas y Procedimientos Electorales de Oaxaca, a saber: </w:t>
      </w:r>
      <w:r w:rsidRPr="00CF2780">
        <w:rPr>
          <w:rFonts w:ascii="Arial" w:eastAsia="Times New Roman" w:hAnsi="Arial" w:cs="Arial"/>
          <w:b/>
          <w:bCs/>
          <w:sz w:val="28"/>
          <w:szCs w:val="24"/>
          <w:lang w:eastAsia="es-ES"/>
        </w:rPr>
        <w:t>1)</w:t>
      </w:r>
      <w:r w:rsidRPr="00CF2780">
        <w:rPr>
          <w:rFonts w:ascii="Arial" w:eastAsia="Times New Roman" w:hAnsi="Arial" w:cs="Arial"/>
          <w:sz w:val="28"/>
          <w:szCs w:val="24"/>
          <w:lang w:eastAsia="es-ES"/>
        </w:rPr>
        <w:t xml:space="preserve"> Por falta de cumplimiento, sin mediar causa justificada, de cualquiera de las obligaciones ciudadanas comprendidas en la Constitución federal; </w:t>
      </w:r>
      <w:r w:rsidRPr="00CF2780">
        <w:rPr>
          <w:rFonts w:ascii="Arial" w:eastAsia="Times New Roman" w:hAnsi="Arial" w:cs="Arial"/>
          <w:b/>
          <w:bCs/>
          <w:sz w:val="28"/>
          <w:szCs w:val="24"/>
          <w:lang w:eastAsia="es-ES"/>
        </w:rPr>
        <w:t>2)</w:t>
      </w:r>
      <w:r w:rsidRPr="00CF2780">
        <w:rPr>
          <w:rFonts w:ascii="Arial" w:eastAsia="Times New Roman" w:hAnsi="Arial" w:cs="Arial"/>
          <w:sz w:val="28"/>
          <w:szCs w:val="24"/>
          <w:lang w:eastAsia="es-ES"/>
        </w:rPr>
        <w:t xml:space="preserve"> Por estar sujeto a un proceso criminal por delito que merezca pena corporal, desde la fecha que se dicte el auto de formal prisión; </w:t>
      </w:r>
      <w:r w:rsidRPr="00CF2780">
        <w:rPr>
          <w:rFonts w:ascii="Arial" w:eastAsia="Times New Roman" w:hAnsi="Arial" w:cs="Arial"/>
          <w:b/>
          <w:bCs/>
          <w:sz w:val="28"/>
          <w:szCs w:val="24"/>
          <w:lang w:eastAsia="es-ES"/>
        </w:rPr>
        <w:t xml:space="preserve">3) </w:t>
      </w:r>
      <w:r w:rsidRPr="00CF2780">
        <w:rPr>
          <w:rFonts w:ascii="Arial" w:eastAsia="Times New Roman" w:hAnsi="Arial" w:cs="Arial"/>
          <w:sz w:val="28"/>
          <w:szCs w:val="24"/>
          <w:lang w:eastAsia="es-ES"/>
        </w:rPr>
        <w:t xml:space="preserve">Por estar extinguiendo una pena corporal; </w:t>
      </w:r>
      <w:r w:rsidRPr="00CF2780">
        <w:rPr>
          <w:rFonts w:ascii="Arial" w:eastAsia="Times New Roman" w:hAnsi="Arial" w:cs="Arial"/>
          <w:b/>
          <w:bCs/>
          <w:sz w:val="28"/>
          <w:szCs w:val="24"/>
          <w:lang w:eastAsia="es-ES"/>
        </w:rPr>
        <w:t xml:space="preserve">4) </w:t>
      </w:r>
      <w:r w:rsidRPr="00CF2780">
        <w:rPr>
          <w:rFonts w:ascii="Arial" w:eastAsia="Times New Roman" w:hAnsi="Arial" w:cs="Arial"/>
          <w:sz w:val="28"/>
          <w:szCs w:val="24"/>
          <w:lang w:eastAsia="es-ES"/>
        </w:rPr>
        <w:t xml:space="preserve">Por ser declarado vago en términos de ley y hasta en tanto no hubiere rehabilitación; </w:t>
      </w:r>
      <w:r w:rsidRPr="00CF2780">
        <w:rPr>
          <w:rFonts w:ascii="Arial" w:eastAsia="Times New Roman" w:hAnsi="Arial" w:cs="Arial"/>
          <w:b/>
          <w:bCs/>
          <w:sz w:val="28"/>
          <w:szCs w:val="24"/>
          <w:lang w:eastAsia="es-ES"/>
        </w:rPr>
        <w:t xml:space="preserve">5) </w:t>
      </w:r>
      <w:r w:rsidRPr="00CF2780">
        <w:rPr>
          <w:rFonts w:ascii="Arial" w:eastAsia="Times New Roman" w:hAnsi="Arial" w:cs="Arial"/>
          <w:sz w:val="28"/>
          <w:szCs w:val="24"/>
          <w:lang w:eastAsia="es-ES"/>
        </w:rPr>
        <w:t xml:space="preserve">Por estar prófugo de la justicia, desde que se dicte la orden de aprehensión y hasta que prescriba la acción penal; </w:t>
      </w:r>
      <w:r w:rsidRPr="00CF2780">
        <w:rPr>
          <w:rFonts w:ascii="Arial" w:eastAsia="Times New Roman" w:hAnsi="Arial" w:cs="Arial"/>
          <w:b/>
          <w:bCs/>
          <w:sz w:val="28"/>
          <w:szCs w:val="24"/>
          <w:lang w:eastAsia="es-ES"/>
        </w:rPr>
        <w:t xml:space="preserve">6) </w:t>
      </w:r>
      <w:r w:rsidRPr="00CF2780">
        <w:rPr>
          <w:rFonts w:ascii="Arial" w:eastAsia="Times New Roman" w:hAnsi="Arial" w:cs="Arial"/>
          <w:sz w:val="28"/>
          <w:szCs w:val="24"/>
          <w:lang w:eastAsia="es-ES"/>
        </w:rPr>
        <w:t xml:space="preserve">Por estar condenado por sentencia ejecutoria, a la suspensión o pérdida de los derechos políticos, en tanto no hubiere rehabilitación; </w:t>
      </w:r>
      <w:r w:rsidRPr="00CF2780">
        <w:rPr>
          <w:rFonts w:ascii="Arial" w:eastAsia="Times New Roman" w:hAnsi="Arial" w:cs="Arial"/>
          <w:b/>
          <w:bCs/>
          <w:sz w:val="28"/>
          <w:szCs w:val="24"/>
          <w:lang w:eastAsia="es-ES"/>
        </w:rPr>
        <w:t xml:space="preserve">7) </w:t>
      </w:r>
      <w:r w:rsidRPr="00CF2780">
        <w:rPr>
          <w:rFonts w:ascii="Arial" w:eastAsia="Times New Roman" w:hAnsi="Arial" w:cs="Arial"/>
          <w:sz w:val="28"/>
          <w:szCs w:val="24"/>
          <w:lang w:eastAsia="es-ES"/>
        </w:rPr>
        <w:t xml:space="preserve">Por estar sujeto a interdicción judicial, o internado en un establecimiento público o privado para toxicómanos o  enfermos mentales; y </w:t>
      </w:r>
      <w:r w:rsidRPr="00CF2780">
        <w:rPr>
          <w:rFonts w:ascii="Arial" w:eastAsia="Times New Roman" w:hAnsi="Arial" w:cs="Arial"/>
          <w:b/>
          <w:bCs/>
          <w:sz w:val="28"/>
          <w:szCs w:val="24"/>
          <w:lang w:eastAsia="es-ES"/>
        </w:rPr>
        <w:t>8)</w:t>
      </w:r>
      <w:r w:rsidRPr="00CF2780">
        <w:rPr>
          <w:rFonts w:ascii="Arial" w:eastAsia="Times New Roman" w:hAnsi="Arial" w:cs="Arial"/>
          <w:sz w:val="28"/>
          <w:szCs w:val="24"/>
          <w:lang w:eastAsia="es-ES"/>
        </w:rPr>
        <w:t xml:space="preserve"> En el caso de elecciones municipales que se rigen por normas de derecho consuetudinario, los electores, además, deben estar en el ejercicio de los derechos y obligaciones constitucionales en lo referente a los derechos de los pueblos indígenas y las establecidas por la asamblea general comunitaria. Cabe advertir que, en esta última hipótesis normativa, y en el supuesto de que se suscite alguna controversia al interior del pueblo o comunidad indígena por el incumplimiento de un deber, en atención al reconocimiento de los sistemas normativos internos en la regulación y solución de ese tipo de conflictos, conforme los artículos 2, apartado A, fracción II, de la Constitución General, 16, párrafo sexto, de la Constitución local, </w:t>
      </w:r>
      <w:r w:rsidRPr="00CF2780">
        <w:rPr>
          <w:rFonts w:ascii="Arial" w:eastAsia="Times New Roman" w:hAnsi="Arial" w:cs="Arial"/>
          <w:sz w:val="28"/>
          <w:szCs w:val="24"/>
          <w:lang w:eastAsia="es-ES"/>
        </w:rPr>
        <w:lastRenderedPageBreak/>
        <w:t>28, 29, 34 y 35 de la Ley de Derechos de los Pueblos y Comunidades Indígenas, la determinación de las autoridades comunitarias que suspenda el ejercicio del derecho en cuestión, una vez agotada, en su caso, la instancia jurisdiccional interna de la respectiva comunidad, debe encontrarse compatibilizada y convalidada por la autoridad estatal competente (que por mandato constitucional debe ser un juez o tribunal), de forma tal que se hubiere verificado el respeto a los principios generales de la Ley Fundamental, a las garantías individuales, a los derechos humanos y, especialmente, la dignidad de las mujeres.</w:t>
      </w:r>
    </w:p>
    <w:p w14:paraId="193B00E3"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079DB6F8"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De lo que se sigue que la característica de universalidad del sufragio activo implica que, salvo las excepciones expresamente permitidas por los ordenamientos nacional y estatal, que son reconducibles a dos únicos aspectos, tener el carácter de ciudadano y no estar suspendido en el ejercicio de los derechos político-electorales, toda persona física se encuentra en aptitud de ejercerlo en las elecciones populares que se celebren para la renovación de los órganos públicos representativos del Estado mexicano, sean estos federales, estatales o municipales (ordinarias o mediante reglas de derecho consuetudinario), sin que para tales efectos sean relevantes cualesquiera otras circunstancias o condiciones sociales o personales, tales como étnia, raza, sexo, dignidad, mérito, experiencia, formación, rendimiento, etcétera.</w:t>
      </w:r>
    </w:p>
    <w:p w14:paraId="48810BE7"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19B28585"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 xml:space="preserve">Lo anterior encuentra sustento en que, como se ha constatado en párrafos anteriores, la República mexicana se configura como un Estado Constitucional Democrático de Derecho, en el que, por tanto, la </w:t>
      </w:r>
      <w:r w:rsidRPr="00CF2780">
        <w:rPr>
          <w:rFonts w:ascii="Arial" w:eastAsia="Times New Roman" w:hAnsi="Arial" w:cs="Arial"/>
          <w:sz w:val="28"/>
          <w:szCs w:val="24"/>
          <w:lang w:eastAsia="es-ES"/>
        </w:rPr>
        <w:lastRenderedPageBreak/>
        <w:t>posesión del poder de ejercer el dominio político y el punto de partida para la legitimación de dicho poder no puede atribuirse a unos pocos, sino a todos los miembros del pueblo en común y del mismo modo, al encontrarse fundamentado el sistema democrático en la libertad y autodeterminación de cada uno de los individuos que conforman la comunidad, de ahí que tiene que tratarse de una libertad igual y de una autodeterminación para todos.</w:t>
      </w:r>
    </w:p>
    <w:p w14:paraId="70B908AB"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058E81A9"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Como se ha constatado en las disposiciones normativas recién señaladas, el criterio sobre el que se apoya esta igualdad democrática es únicamente el de ser ciudadano activo en el ejercicio y goce de los derechos políticos que le son inherentes, esto es, el único factor relevante para su establecimiento es la pertenencia a la comunidad política sobre la que ejercerá  sus funciones la autoridad electa, sin que quepa, se reitera, graduación o diferenciación alguna conforme algún otro criterio, toda vez que si las decisiones que toman los funcionarios u órganos derivados de los comicios, eventualmente, pueden afectar a uno, varios o a todos los habitantes de la comunidad, semejante toma de determinaciones vinculantes, como origen político y jurídico de su legitimación, no puede ni debe ponderar a los ciudadanos o sus votos, sino sólo contarlos.</w:t>
      </w:r>
    </w:p>
    <w:p w14:paraId="4710D57C"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6BDACC83"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Por ello es posible afirmar que la universalidad del sufragio se funda en el principio de un hombre, un voto; con el cual se pretende el máximo ensanchamiento del cuerpo electoral en orden a asegurar la coincidencia del electorado activo con la capacidad de derecho público.</w:t>
      </w:r>
    </w:p>
    <w:p w14:paraId="43E4AEF5"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3718C01A"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lastRenderedPageBreak/>
        <w:t>Consecuentemente, si de las constancias examinadas se desprende que en la asamblea comunitaria celebrada en la cabecera municipal de Santiago Yaveo, Oaxaca, el dos de diciembre de dos mil uno, para elegir a los integrantes del ayuntamiento en cuestión para el trienio 2002-2004, no se respetó la universalidad del sufragio, en tanto que sólo se permitió la participación de ciudadanos residentes en dicha cabecera, más no así a los que habitan en las rancherías, congregaciones o núcleos rurales que pudieren encontrarse ubicados dentro de los límites territoriales, conforme las categorías políticas precisadas en el artículo 8 de la Ley Orgánica Municipal del Estado de Oaxaca (o, si se prefiere, agencias municipales o de policía, atendiendo a las categorías administrativas contempladas en el numeral 9 del mismo ordenamiento), sin existir causa legal para ello, resulta incuestionable que, respecto de éstos últimos, se ha conculcado el derecho fundamental de votar, previsto en los artículos 35, fracción I, y 115, primer párrafo, fracción I de la Constitución Política de los Estados Unidos Mexicanos, 25, apartado 1, inciso b) del Pacto Internacional de Derechos Civiles y Políticos, 23, apartado 1, inciso b) de la Convención Americana sobre Derechos Humanos, 24, fracción I de la Constitución Política del Estado Libre y Soberano de Oaxaca, y 6, párrafo 1 del Código de Instituciones Políticas y Procedimientos Electorales de Oaxaca.</w:t>
      </w:r>
    </w:p>
    <w:p w14:paraId="4B8E69C8"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317CEA4F"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Más aún, la restricción de que fue objeto la ciudadanía que no reside en la cabecera municipal de Santiago Yaveo, Choápam, implica también una transgresión a los principios de igualdad e interdicción de la discriminación que tutela el orden jurídico mexicano.</w:t>
      </w:r>
    </w:p>
    <w:p w14:paraId="2035AB92"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4603D5D5"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Para afirmar lo anterior, debe tenerse presente que, nuevamente, debido al carácter de Estado Constitucional Democrático de Derecho que caracteriza a la Nación Mexicana, uno de los ejes fundamentales sobre el que se estructura el ordenamiento jurídico que regula la actividad social, es el de la igualdad de los individuos que componen dicha sociedad, en virtud de la especial dignidad que se reconoce al ser humano como ente dotado de libertad.</w:t>
      </w:r>
    </w:p>
    <w:p w14:paraId="1C2F2565"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57BA6570"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Para comprender la importancia que se confiere de este principio, baste tener en consideración que existe un copioso número de disposiciones que, mediante previsiones generales o atendiendo a determinadas circunstancias, explícita o implícitamente se refieren a él, como acontece en los artículos 1, 2, apartado B, fracción II, 4, primer párrafo, 12 y 13 de la Constitución Política de los Estados Unidos Mexicanos; 2, apartado 1, 3, apartado 1, 8, apartados 1 y 2, 16, apartado 1, 15, apartado 1, incisos b) y c) y 26, apartado 1 del Pacto Internacional de Derechos Civiles y Políticos; 1, apartado 1, 3, 6, apartado 1, 11, apartado 1, 23, apartado 1, incisos b) y c) y 24 de la Convención Americana sobre Derechos Humanos; 3, apartado 1, 4, apartado 3 y 6, apartado 1, inciso b) del Convenio sobre Pueblos Indígenas y Tribales en Países Independientes; 2, 12, párrafos sexto y octavo, y 16, párrafos 3, 4 de la Constitución Política del Estado Libre y Soberano de Oaxaca; 6, 30, 42, 46 y 49 de la Ley de Derechos de los Pueblos y Comunidades Indígenas.</w:t>
      </w:r>
    </w:p>
    <w:p w14:paraId="24D25A0C"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34D54877"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lastRenderedPageBreak/>
        <w:t>Al efecto, conviene traer a colación una de las concreciones normativas del principio de mérito, en específico, la contenida en el tercer párrafo del artículo 1 constitucional, según el cual, está prohibida toda discriminación motivada por origen étnico o nacional, el género, la edad, las capacidades diferentes, la condición social, las condiciones de salud, la religión, las opiniones, las preferencias, el estado civil o cualquiera otra que atente contra la dignidad humana y tenga por objeto anular o menoscabar los derechos y libertades de las personas.</w:t>
      </w:r>
    </w:p>
    <w:p w14:paraId="7549C95B"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2ABE96E1"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Si este precepto se leyera de manera superficial, podría conducir al equívoco de considerar que lo que se encuentra prohibido es toda discriminación, entendida como mera diferenciación por los motivos ahí enunciados (origen étnico o nacional, género, edad, etcétera), pues, literalmente, si distinguir por cualquier condición o circunstancia personal o social fuera discriminatorio, por ejemplo, serían incompatibles con esta disposición innumerables leyes e, incluso, diversas normas constitucionales.</w:t>
      </w:r>
    </w:p>
    <w:p w14:paraId="6CAF0216"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10F009B8"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En efecto, desde esta perspectiva, no encontrarían justificación normas como las establecidas para regular ciertos derechos laborales de las mujeres durante el embarazo (artículo 123, apartados A, fracción V, y B, fracción XI, inciso c), de la Carta Magna), ni tampoco, por cierto, los derechos reconocidos a los pueblos y comunidades indígenas y sus miembros (artículo 2 constitucional), dado que el punto de referencia para la diferenciación o discriminación en tales supuestos es, precisamente, una determinada situación personal.</w:t>
      </w:r>
    </w:p>
    <w:p w14:paraId="63B197E8"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2F1D84BC"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lastRenderedPageBreak/>
        <w:t>Sin embargo, una lectura más detallada del artículo 1, tercer párrafo, en cuestión, lleva a percatarse que, tras describir los motivos que son causa de discriminación, se agrega “o cualquier otra que atente contra la dignidad humana y tenga por objeto anular o menoscabar los derechos y libertades de las personas”, enunciado que permite concluir que la “discriminación” no es ocasionada por la diferenciación basada en alguna de las circunstancias allí mencionadas, sino que por “discriminación”, en el sentido jurídico constitucional que es utilizado, se ha de entender no la simple diferenciación, sino la diferenciación injusta, aquella que no toma en cuenta criterios objetivos, razonables y proporcionales para diferenciar o, utilizando la expresión empleada por el poder revisor de la Constitución, aquella que atenta contra la dignidad humana y tiene como propósito o consecuencia reducir o dejar sin efecto los derechos y libertades de los individuos.</w:t>
      </w:r>
    </w:p>
    <w:p w14:paraId="1A79F7E4"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5427A644"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 xml:space="preserve">Tomando esto en cuenta, no cabe duda que la actitud asumida tanto por las entonces autoridades municipales encargadas de conducir los comicios bajo normas de derecho consuetudinario, como por la mayoría de la población residente en la cabecera municipal, de no permitir ni aceptar en las pasadas elecciones del ayuntamiento de Santiago Yaveo la participación de la ciudadanía que habita dentro del municipio pero fuera de la cabecera, constituye no sólo una franca violación al artículo 1, párrafo tercero, constitucional, sino también de los diversos 2, apartado 1, 25, apartado 1, inciso b) y 26 del Pacto Internacional de Derechos Civiles y Políticos; 1, apartado 1, 23, apartado 1, inciso b) y 24 de la Convención Americana sobre Derechos Humanos; 3, 4, apartado 3 y 8, apartado 3 del Convenio sobre Pueblos Indígenas y </w:t>
      </w:r>
      <w:r w:rsidRPr="00CF2780">
        <w:rPr>
          <w:rFonts w:ascii="Arial" w:eastAsia="Times New Roman" w:hAnsi="Arial" w:cs="Arial"/>
          <w:sz w:val="28"/>
          <w:szCs w:val="24"/>
          <w:lang w:eastAsia="es-ES"/>
        </w:rPr>
        <w:lastRenderedPageBreak/>
        <w:t>Tribales en Países Independientes; 12, párrafo sexto de la Constitución Política del Estado Libre y Soberano de Oaxaca; 6 de la Ley de Derechos de los Pueblos y Comunidades Indígenas.</w:t>
      </w:r>
    </w:p>
    <w:p w14:paraId="102260A3"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11E21034"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Lo anterior, en virtud de que impedir la participación en los recientes comicios para renovar ayuntamiento, de los ciudadanos residentes en las agencias municipales y las de policía de Santiago Yaveo, Oaxaca, en tanto demarcaciones administrativas pertenecientes en este municipio, atenta en contra de la dignidad de estos sujetos, al negarles, por vía de los hechos, el carácter de personas dotadas de personalidad y libertad para autodeterminarse políticamente, mediante su participación activa en la toma de decisiones vinculantes, fundamentales para el desarrollo de la vida política en la comunidad, como indudablemente es el nombramiento de los representantes populares por un cuerpo electoral, ya sea éste un electorado individual diversificado, como ocurre tradicionalmente en los sistemas democráticos de corte occidental, o bien, a través de una asamblea general comunitaria, como acontece en muchos de los comicios que se siguen bajo el procedimiento de usos y costumbres.</w:t>
      </w:r>
    </w:p>
    <w:p w14:paraId="28945D34"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5EC86436"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 xml:space="preserve">Así mismo, la restricción impuesta fácticamente a los no residentes en la cabecera municipal, se traduce en la negación o anulación de su derecho fundamental a sufragar en las elecciones mencionadas, tal y como se ha demostrado en párrafos precedentes, con lo que se surten los extremos requeridos por el artículo 1, tercer párrafo de la Constitución General, para tener por acreditada la trasgresión al </w:t>
      </w:r>
      <w:r w:rsidRPr="00CF2780">
        <w:rPr>
          <w:rFonts w:ascii="Arial" w:eastAsia="Times New Roman" w:hAnsi="Arial" w:cs="Arial"/>
          <w:sz w:val="28"/>
          <w:szCs w:val="24"/>
          <w:lang w:eastAsia="es-ES"/>
        </w:rPr>
        <w:lastRenderedPageBreak/>
        <w:t>principio de igualdad o, visto desde el punto de vista subjetivo que emana de dicha norma, el derecho a no ser discriminado injustamente.</w:t>
      </w:r>
    </w:p>
    <w:p w14:paraId="48B96108"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0ACC3B96"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Ya que en la especie se ha comprobado fehacientemente la transgresión al derecho político electoral de votar, así como al derecho a no ser discriminado injustamente, mediante la utilización de criterios sustantivos y no meramente formalistas o nominalistas, atendiéndose en todo caso el contenido esencial de los derechos vulnerados y a las circunstancias precisas en que se sucedieron los hechos, no queda sino concluir que la elección pasada municipal de Santiago Yaveo, Choápam, Oaxaca, en cuyo procedimiento electoral consuetudinario no se permitió la participación de una parte de la ciudadanía de la municipalidad citada, se ubica en los supuestos contemplados en el artículo 8, apartados 2 y 3, del Convenio sobre pueblos indígenas y tribales, 1989, por lo que no entra dentro del ámbito de reconocimiento y tutela de los derechos de los pueblos y comunidades indígenas previstos por la Constitución federal y el instrumento internacional señalado, al resultar la conducta señalada incompatible con los derechos fundamentales que han quedado precisados, los cuales se encuentran definidos por el sistema jurídico nacional, así como dentro de los derechos humanos internacionalmente reconocidos, por lo que, en consecuencia, esa práctica o tradición adoptada por la comunidad indígena no guarda el carácter de democrática a que alude el artículo 25, penúltimo párrafo de la Constitución Particular de dicha entidad federativa.</w:t>
      </w:r>
    </w:p>
    <w:p w14:paraId="5816AE80"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79314980"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lastRenderedPageBreak/>
        <w:t>Esta violación sustancial a las reglas constitucionales, internacionales y estatales con que deben operar las elecciones que se rigen por el derecho consuetudinario indígena es suficiente para invalidar los efectos jurídicos de los comicios, al resultar éstos nulos, máxime si se toman en cuenta las dimensiones de las irregularidades señaladas.</w:t>
      </w:r>
    </w:p>
    <w:p w14:paraId="72DDAE01"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3D695BF7"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Efectivamente, en autos obra, con motivo del requerimiento formulado en su momento por el magistrado instructor, informe rendido por el Consejero Presidente del Consejo General del Instituto Estatal Electoral de Oaxaca, en el que da cuenta de las localidades que integran el municipio de Santiago Yaveo, Choámpan, el número total de ciudadanos inscritos en los listados nominales correspondientes al ayuntamiento, el número de ciudadanos registrados en la cabecera municipal y el número de ciudadanos inscritos en cada una de las localidades distintas a ésta.</w:t>
      </w:r>
    </w:p>
    <w:p w14:paraId="0DF9F976"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49E3D877"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Dicho informe, como fue requerido, se encuentra soportado en los listados nominales “de electores con fotografía para el proceso electoral ordinario de 2001”, correspondientes a las secciones 2151 (A-E), 2152 B, 2152 EX 1 B, 2153 (A-M), 2153 (M-Z), 2154 (A-Z) y 2155 (A-Z), relativos todos a la entidad “20” Oaxaca y municipio “499” Santiago Yaveo, emitidos por el Registro Federal de Electores del Instituto Federal Electoral, ya que en los procesos comiciales de esta entidad federativa se utilizan la lista nominal con fotografía, credencial para votar con fotografía y los demás documentos relativos a dicho registro, conforme los artículos 71, fracción I, y 78, inciso f), del Código de Instituciones y Procedimientos Electorales de Oaxaca.</w:t>
      </w:r>
    </w:p>
    <w:p w14:paraId="44F43AB3"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687CCD53"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De acuerdo con el artículo 41, fracción III, último párrafo de la Constitución federal, el Instituto Federal Electoral tiene a su cargo en forma integral y directa, entre otras cuestiones las relativas al padrón electoral y las listas de electores. Por su parte, los artículos 139, 143, 144, 146, 150, y 156 a 160 del Código Federal de Instituciones y Procedimientos Electorales contemplan la obligación de los ciudadanos de inscribirse en el Registro Federal de Electores y de dar aviso de su cambio de domicilio ante la oficina más cercana a su nueva ubicación; que los listados nominales se conforman y actualizan, principalmente, a partir de las solicitudes que presenta la ciudadanía respecto de los trámites recién señalados, listados que incluso son sometidos a la revisión de los partidos políticos y difundidos a la población anualmente para la recepción de las observaciones y correcciones que se consideren pertinentes; y que la Dirección Ejecutiva del Registro Federal de Electores se encuentra compelida a realizar, año con año, una campaña intensa para convocar y orientar a la ciudadanía a cumplir las obligaciones mencionadas. Incluso, resulta un hecho notorio para esta Sala Superior, invocable en términos del artículo15, párrafo 1 de la Ley General del Sistema de Medios de Impugnación en Materia Electoral, que periódicamente el Instituto Federal Electoral lleva a cabo notorias campañas de difusión a través de diversos medios masivos de comunicación social, para difundir estos aspectos.</w:t>
      </w:r>
    </w:p>
    <w:p w14:paraId="16DDE35D"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59682413"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 xml:space="preserve">Las razones antes precisadas permiten colegir que la documentación que sustenta el informe rendido por el funcionario electoral citado, es apta e idónea para determinar los ciudadanos que pudieran haber </w:t>
      </w:r>
      <w:r w:rsidRPr="00CF2780">
        <w:rPr>
          <w:rFonts w:ascii="Arial" w:eastAsia="Times New Roman" w:hAnsi="Arial" w:cs="Arial"/>
          <w:sz w:val="28"/>
          <w:szCs w:val="24"/>
          <w:lang w:eastAsia="es-ES"/>
        </w:rPr>
        <w:lastRenderedPageBreak/>
        <w:t>participado en la asamblea comunitaria que se celebró para renovar al cabildo, pues lo normal y ordinario es que la ciudadanía cumpla con las obligaciones que la ley le impone y, por ende, se encuentre inscrita en la sección que corresponda a su domicilio actual, máxime que anualmente se celebran campañas de difusión e información.</w:t>
      </w:r>
    </w:p>
    <w:p w14:paraId="0B3CDD13"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38F9D228"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Desde luego, no pasa desapercibido para este órgano jurisdiccional que en la población se presentan inexorablemente fenómenos de índole migratorio que, posiblemente, no se encuentren documentados, no obstante lo cual, dicha circunstancia debe estimarse como excepción al comportamiento ordinario y que, en todo caso, por tratarse de casos más o menos aislados, no repercutiría al ejercicio que se realiza, dadas las cifras a que se arriba, conforme se expone adelante.</w:t>
      </w:r>
    </w:p>
    <w:p w14:paraId="63002178"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1710E9BD"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Así, la información proporcionada por la autoridad electoral local, por cuanto hace a los ciudadanos inscritos en cada una de las poblaciones del municipio, se encuentra vertida de manera esquemática en los siguientes cuadros:</w:t>
      </w:r>
    </w:p>
    <w:p w14:paraId="7EE3B5C6" w14:textId="77777777" w:rsidR="00676010" w:rsidRPr="00CF2780" w:rsidRDefault="00676010" w:rsidP="00676010">
      <w:pPr>
        <w:spacing w:after="0" w:line="240" w:lineRule="auto"/>
        <w:jc w:val="both"/>
        <w:rPr>
          <w:rFonts w:ascii="Arial" w:eastAsia="Times New Roman" w:hAnsi="Arial" w:cs="Arial"/>
          <w:sz w:val="24"/>
          <w:szCs w:val="24"/>
          <w:lang w:eastAsia="es-ES"/>
        </w:rPr>
      </w:pPr>
    </w:p>
    <w:tbl>
      <w:tblPr>
        <w:tblW w:w="9900" w:type="dxa"/>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left w:w="70" w:type="dxa"/>
          <w:right w:w="70" w:type="dxa"/>
        </w:tblCellMar>
        <w:tblLook w:val="00A0" w:firstRow="1" w:lastRow="0" w:firstColumn="1" w:lastColumn="0" w:noHBand="0" w:noVBand="0"/>
      </w:tblPr>
      <w:tblGrid>
        <w:gridCol w:w="1440"/>
        <w:gridCol w:w="1620"/>
        <w:gridCol w:w="1260"/>
        <w:gridCol w:w="2340"/>
        <w:gridCol w:w="1260"/>
        <w:gridCol w:w="1980"/>
      </w:tblGrid>
      <w:tr w:rsidR="00676010" w:rsidRPr="00CF2780" w14:paraId="559F52EC" w14:textId="77777777" w:rsidTr="00B05F31">
        <w:trPr>
          <w:tblCellSpacing w:w="20" w:type="dxa"/>
          <w:jc w:val="center"/>
        </w:trPr>
        <w:tc>
          <w:tcPr>
            <w:tcW w:w="1380" w:type="dxa"/>
          </w:tcPr>
          <w:p w14:paraId="00C15D07" w14:textId="77777777" w:rsidR="00676010" w:rsidRPr="00CF2780" w:rsidRDefault="00676010" w:rsidP="00676010">
            <w:pPr>
              <w:spacing w:after="0" w:line="240" w:lineRule="auto"/>
              <w:jc w:val="center"/>
              <w:rPr>
                <w:rFonts w:ascii="Arial" w:eastAsia="Times New Roman" w:hAnsi="Arial" w:cs="Arial"/>
                <w:b/>
                <w:bCs/>
                <w:sz w:val="18"/>
                <w:szCs w:val="24"/>
                <w:lang w:eastAsia="es-ES"/>
              </w:rPr>
            </w:pPr>
            <w:r w:rsidRPr="00CF2780">
              <w:rPr>
                <w:rFonts w:ascii="Arial" w:eastAsia="Times New Roman" w:hAnsi="Arial" w:cs="Arial"/>
                <w:b/>
                <w:bCs/>
                <w:sz w:val="18"/>
                <w:szCs w:val="24"/>
                <w:lang w:eastAsia="es-ES"/>
              </w:rPr>
              <w:t>SECCIÓN</w:t>
            </w:r>
          </w:p>
        </w:tc>
        <w:tc>
          <w:tcPr>
            <w:tcW w:w="1580" w:type="dxa"/>
          </w:tcPr>
          <w:p w14:paraId="151A7ED5" w14:textId="77777777" w:rsidR="00676010" w:rsidRPr="00CF2780" w:rsidRDefault="00676010" w:rsidP="00676010">
            <w:pPr>
              <w:spacing w:after="0" w:line="240" w:lineRule="auto"/>
              <w:jc w:val="center"/>
              <w:rPr>
                <w:rFonts w:ascii="Arial" w:eastAsia="Times New Roman" w:hAnsi="Arial" w:cs="Arial"/>
                <w:b/>
                <w:bCs/>
                <w:sz w:val="18"/>
                <w:szCs w:val="24"/>
                <w:lang w:eastAsia="es-ES"/>
              </w:rPr>
            </w:pPr>
            <w:r w:rsidRPr="00CF2780">
              <w:rPr>
                <w:rFonts w:ascii="Arial" w:eastAsia="Times New Roman" w:hAnsi="Arial" w:cs="Arial"/>
                <w:b/>
                <w:bCs/>
                <w:sz w:val="18"/>
                <w:szCs w:val="24"/>
                <w:lang w:eastAsia="es-ES"/>
              </w:rPr>
              <w:t>LISTA NOMINAL</w:t>
            </w:r>
          </w:p>
          <w:p w14:paraId="34806814" w14:textId="77777777" w:rsidR="00676010" w:rsidRPr="00CF2780" w:rsidRDefault="00676010" w:rsidP="00676010">
            <w:pPr>
              <w:spacing w:after="0" w:line="240" w:lineRule="auto"/>
              <w:jc w:val="center"/>
              <w:rPr>
                <w:rFonts w:ascii="Arial" w:eastAsia="Times New Roman" w:hAnsi="Arial" w:cs="Arial"/>
                <w:b/>
                <w:bCs/>
                <w:sz w:val="18"/>
                <w:szCs w:val="24"/>
                <w:lang w:eastAsia="es-ES"/>
              </w:rPr>
            </w:pPr>
            <w:r w:rsidRPr="00CF2780">
              <w:rPr>
                <w:rFonts w:ascii="Arial" w:eastAsia="Times New Roman" w:hAnsi="Arial" w:cs="Arial"/>
                <w:b/>
                <w:bCs/>
                <w:sz w:val="18"/>
                <w:szCs w:val="24"/>
                <w:lang w:eastAsia="es-ES"/>
              </w:rPr>
              <w:t>2001</w:t>
            </w:r>
          </w:p>
        </w:tc>
        <w:tc>
          <w:tcPr>
            <w:tcW w:w="1220" w:type="dxa"/>
          </w:tcPr>
          <w:p w14:paraId="3D259D2C" w14:textId="77777777" w:rsidR="00676010" w:rsidRPr="00CF2780" w:rsidRDefault="00676010" w:rsidP="00676010">
            <w:pPr>
              <w:spacing w:after="0" w:line="240" w:lineRule="auto"/>
              <w:jc w:val="center"/>
              <w:rPr>
                <w:rFonts w:ascii="Arial" w:eastAsia="Times New Roman" w:hAnsi="Arial" w:cs="Arial"/>
                <w:b/>
                <w:bCs/>
                <w:sz w:val="18"/>
                <w:szCs w:val="24"/>
                <w:lang w:eastAsia="es-ES"/>
              </w:rPr>
            </w:pPr>
            <w:r w:rsidRPr="00CF2780">
              <w:rPr>
                <w:rFonts w:ascii="Arial" w:eastAsia="Times New Roman" w:hAnsi="Arial" w:cs="Arial"/>
                <w:b/>
                <w:bCs/>
                <w:sz w:val="18"/>
                <w:szCs w:val="24"/>
                <w:lang w:eastAsia="es-ES"/>
              </w:rPr>
              <w:t>TIPO DE CASILLA</w:t>
            </w:r>
          </w:p>
        </w:tc>
        <w:tc>
          <w:tcPr>
            <w:tcW w:w="2300" w:type="dxa"/>
          </w:tcPr>
          <w:p w14:paraId="670B7145" w14:textId="77777777" w:rsidR="00676010" w:rsidRPr="00CF2780" w:rsidRDefault="00676010" w:rsidP="00676010">
            <w:pPr>
              <w:keepNext/>
              <w:spacing w:after="0" w:line="240" w:lineRule="auto"/>
              <w:jc w:val="center"/>
              <w:outlineLvl w:val="3"/>
              <w:rPr>
                <w:rFonts w:ascii="Arial" w:eastAsia="Times New Roman" w:hAnsi="Arial" w:cs="Arial"/>
                <w:b/>
                <w:bCs/>
                <w:sz w:val="18"/>
                <w:szCs w:val="24"/>
                <w:lang w:eastAsia="es-ES"/>
              </w:rPr>
            </w:pPr>
            <w:r w:rsidRPr="00CF2780">
              <w:rPr>
                <w:rFonts w:ascii="Arial" w:eastAsia="Times New Roman" w:hAnsi="Arial" w:cs="Arial"/>
                <w:b/>
                <w:bCs/>
                <w:sz w:val="18"/>
                <w:szCs w:val="24"/>
                <w:lang w:eastAsia="es-ES"/>
              </w:rPr>
              <w:t>LOCALIDAD</w:t>
            </w:r>
          </w:p>
        </w:tc>
        <w:tc>
          <w:tcPr>
            <w:tcW w:w="1220" w:type="dxa"/>
          </w:tcPr>
          <w:p w14:paraId="3D0542C7" w14:textId="77777777" w:rsidR="00676010" w:rsidRPr="00CF2780" w:rsidRDefault="00676010" w:rsidP="00676010">
            <w:pPr>
              <w:spacing w:after="0" w:line="240" w:lineRule="auto"/>
              <w:jc w:val="center"/>
              <w:rPr>
                <w:rFonts w:ascii="Arial" w:eastAsia="Times New Roman" w:hAnsi="Arial" w:cs="Arial"/>
                <w:b/>
                <w:bCs/>
                <w:sz w:val="18"/>
                <w:szCs w:val="24"/>
                <w:lang w:eastAsia="es-ES"/>
              </w:rPr>
            </w:pPr>
            <w:r w:rsidRPr="00CF2780">
              <w:rPr>
                <w:rFonts w:ascii="Arial" w:eastAsia="Times New Roman" w:hAnsi="Arial" w:cs="Arial"/>
                <w:b/>
                <w:bCs/>
                <w:sz w:val="18"/>
                <w:szCs w:val="24"/>
                <w:lang w:eastAsia="es-ES"/>
              </w:rPr>
              <w:t>No. DE VOTANTES</w:t>
            </w:r>
          </w:p>
        </w:tc>
        <w:tc>
          <w:tcPr>
            <w:tcW w:w="1920" w:type="dxa"/>
          </w:tcPr>
          <w:p w14:paraId="0DDF968D" w14:textId="77777777" w:rsidR="00676010" w:rsidRPr="00CF2780" w:rsidRDefault="00676010" w:rsidP="00676010">
            <w:pPr>
              <w:keepNext/>
              <w:spacing w:after="0" w:line="240" w:lineRule="auto"/>
              <w:jc w:val="center"/>
              <w:outlineLvl w:val="3"/>
              <w:rPr>
                <w:rFonts w:ascii="Arial" w:eastAsia="Times New Roman" w:hAnsi="Arial" w:cs="Arial"/>
                <w:b/>
                <w:bCs/>
                <w:sz w:val="18"/>
                <w:szCs w:val="24"/>
                <w:lang w:eastAsia="es-ES"/>
              </w:rPr>
            </w:pPr>
            <w:r w:rsidRPr="00CF2780">
              <w:rPr>
                <w:rFonts w:ascii="Arial" w:eastAsia="Times New Roman" w:hAnsi="Arial" w:cs="Arial"/>
                <w:b/>
                <w:bCs/>
                <w:sz w:val="18"/>
                <w:szCs w:val="24"/>
                <w:lang w:eastAsia="es-ES"/>
              </w:rPr>
              <w:t>OBSERVACIONES</w:t>
            </w:r>
          </w:p>
        </w:tc>
      </w:tr>
    </w:tbl>
    <w:p w14:paraId="5C3D0E4F" w14:textId="77777777" w:rsidR="00676010" w:rsidRPr="00CF2780" w:rsidRDefault="00676010" w:rsidP="00676010">
      <w:pPr>
        <w:spacing w:after="0" w:line="240" w:lineRule="auto"/>
        <w:rPr>
          <w:rFonts w:ascii="Arial" w:eastAsia="Times New Roman" w:hAnsi="Arial" w:cs="Arial"/>
          <w:sz w:val="10"/>
          <w:szCs w:val="24"/>
          <w:lang w:eastAsia="es-ES"/>
        </w:rPr>
      </w:pPr>
    </w:p>
    <w:tbl>
      <w:tblPr>
        <w:tblW w:w="9870" w:type="dxa"/>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left w:w="70" w:type="dxa"/>
          <w:right w:w="70" w:type="dxa"/>
        </w:tblCellMar>
        <w:tblLook w:val="00A0" w:firstRow="1" w:lastRow="0" w:firstColumn="1" w:lastColumn="0" w:noHBand="0" w:noVBand="0"/>
      </w:tblPr>
      <w:tblGrid>
        <w:gridCol w:w="1481"/>
        <w:gridCol w:w="1640"/>
        <w:gridCol w:w="1240"/>
        <w:gridCol w:w="2340"/>
        <w:gridCol w:w="1260"/>
        <w:gridCol w:w="1909"/>
      </w:tblGrid>
      <w:tr w:rsidR="00676010" w:rsidRPr="00CF2780" w14:paraId="6B568064" w14:textId="77777777" w:rsidTr="00B05F31">
        <w:trPr>
          <w:trHeight w:val="283"/>
          <w:tblCellSpacing w:w="20" w:type="dxa"/>
          <w:jc w:val="center"/>
        </w:trPr>
        <w:tc>
          <w:tcPr>
            <w:tcW w:w="1421" w:type="dxa"/>
          </w:tcPr>
          <w:p w14:paraId="2D5AE017"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2151</w:t>
            </w:r>
          </w:p>
        </w:tc>
        <w:tc>
          <w:tcPr>
            <w:tcW w:w="1600" w:type="dxa"/>
          </w:tcPr>
          <w:p w14:paraId="1253A1B5"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576</w:t>
            </w:r>
          </w:p>
        </w:tc>
        <w:tc>
          <w:tcPr>
            <w:tcW w:w="1200" w:type="dxa"/>
          </w:tcPr>
          <w:p w14:paraId="2D6F5DF1"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B</w:t>
            </w:r>
          </w:p>
        </w:tc>
        <w:tc>
          <w:tcPr>
            <w:tcW w:w="2300" w:type="dxa"/>
          </w:tcPr>
          <w:p w14:paraId="2473C171"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SANTIAGO YAVEO</w:t>
            </w:r>
          </w:p>
        </w:tc>
        <w:tc>
          <w:tcPr>
            <w:tcW w:w="1220" w:type="dxa"/>
          </w:tcPr>
          <w:p w14:paraId="07D0CC31"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497</w:t>
            </w:r>
          </w:p>
        </w:tc>
        <w:tc>
          <w:tcPr>
            <w:tcW w:w="1849" w:type="dxa"/>
          </w:tcPr>
          <w:p w14:paraId="703639DB"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Cabecera Municipal</w:t>
            </w:r>
          </w:p>
        </w:tc>
      </w:tr>
      <w:tr w:rsidR="00676010" w:rsidRPr="00CF2780" w14:paraId="548E10D2" w14:textId="77777777" w:rsidTr="00B05F31">
        <w:trPr>
          <w:trHeight w:val="283"/>
          <w:tblCellSpacing w:w="20" w:type="dxa"/>
          <w:jc w:val="center"/>
        </w:trPr>
        <w:tc>
          <w:tcPr>
            <w:tcW w:w="1421" w:type="dxa"/>
          </w:tcPr>
          <w:p w14:paraId="708863A7"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600" w:type="dxa"/>
          </w:tcPr>
          <w:p w14:paraId="3B63EA17"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200" w:type="dxa"/>
          </w:tcPr>
          <w:p w14:paraId="031847E8"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2300" w:type="dxa"/>
          </w:tcPr>
          <w:p w14:paraId="558B30B3"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SANTA CECILIA</w:t>
            </w:r>
          </w:p>
        </w:tc>
        <w:tc>
          <w:tcPr>
            <w:tcW w:w="1220" w:type="dxa"/>
          </w:tcPr>
          <w:p w14:paraId="57D81D51"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68</w:t>
            </w:r>
          </w:p>
        </w:tc>
        <w:tc>
          <w:tcPr>
            <w:tcW w:w="1849" w:type="dxa"/>
          </w:tcPr>
          <w:p w14:paraId="18E9988D"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44637BBB" w14:textId="77777777" w:rsidTr="00B05F31">
        <w:trPr>
          <w:trHeight w:val="283"/>
          <w:tblCellSpacing w:w="20" w:type="dxa"/>
          <w:jc w:val="center"/>
        </w:trPr>
        <w:tc>
          <w:tcPr>
            <w:tcW w:w="1421" w:type="dxa"/>
          </w:tcPr>
          <w:p w14:paraId="69281996"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600" w:type="dxa"/>
          </w:tcPr>
          <w:p w14:paraId="426A6C67"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200" w:type="dxa"/>
          </w:tcPr>
          <w:p w14:paraId="07CD8E41"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2300" w:type="dxa"/>
          </w:tcPr>
          <w:p w14:paraId="73D6F720"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EL MEJORAL</w:t>
            </w:r>
          </w:p>
        </w:tc>
        <w:tc>
          <w:tcPr>
            <w:tcW w:w="1220" w:type="dxa"/>
          </w:tcPr>
          <w:p w14:paraId="18D38A94"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10</w:t>
            </w:r>
          </w:p>
        </w:tc>
        <w:tc>
          <w:tcPr>
            <w:tcW w:w="1849" w:type="dxa"/>
          </w:tcPr>
          <w:p w14:paraId="0677FE4D"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20282FF7" w14:textId="77777777" w:rsidTr="00B05F31">
        <w:trPr>
          <w:trHeight w:val="227"/>
          <w:tblCellSpacing w:w="20" w:type="dxa"/>
          <w:jc w:val="center"/>
        </w:trPr>
        <w:tc>
          <w:tcPr>
            <w:tcW w:w="1421" w:type="dxa"/>
          </w:tcPr>
          <w:p w14:paraId="378E91C5"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600" w:type="dxa"/>
          </w:tcPr>
          <w:p w14:paraId="737B0E6D"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200" w:type="dxa"/>
          </w:tcPr>
          <w:p w14:paraId="52E55FF6"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2300" w:type="dxa"/>
          </w:tcPr>
          <w:p w14:paraId="449F3DA7"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SAN JUAN JALTEPEC</w:t>
            </w:r>
          </w:p>
        </w:tc>
        <w:tc>
          <w:tcPr>
            <w:tcW w:w="1220" w:type="dxa"/>
          </w:tcPr>
          <w:p w14:paraId="2C0D0EFA"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1</w:t>
            </w:r>
          </w:p>
        </w:tc>
        <w:tc>
          <w:tcPr>
            <w:tcW w:w="1849" w:type="dxa"/>
          </w:tcPr>
          <w:p w14:paraId="0C046876"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bl>
    <w:p w14:paraId="40C4D9F1" w14:textId="77777777" w:rsidR="00676010" w:rsidRPr="00CF2780" w:rsidRDefault="00676010" w:rsidP="00676010">
      <w:pPr>
        <w:spacing w:after="0" w:line="240" w:lineRule="auto"/>
        <w:jc w:val="both"/>
        <w:rPr>
          <w:rFonts w:ascii="Arial" w:eastAsia="Times New Roman" w:hAnsi="Arial" w:cs="Arial"/>
          <w:b/>
          <w:bCs/>
          <w:sz w:val="14"/>
          <w:szCs w:val="24"/>
          <w:lang w:eastAsia="es-ES"/>
        </w:rPr>
      </w:pPr>
    </w:p>
    <w:tbl>
      <w:tblPr>
        <w:tblW w:w="0" w:type="auto"/>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shd w:val="clear" w:color="auto" w:fill="CCCCCC"/>
        <w:tblCellMar>
          <w:left w:w="70" w:type="dxa"/>
          <w:right w:w="70" w:type="dxa"/>
        </w:tblCellMar>
        <w:tblLook w:val="00A0" w:firstRow="1" w:lastRow="0" w:firstColumn="1" w:lastColumn="0" w:noHBand="0" w:noVBand="0"/>
      </w:tblPr>
      <w:tblGrid>
        <w:gridCol w:w="2520"/>
        <w:gridCol w:w="1980"/>
      </w:tblGrid>
      <w:tr w:rsidR="00676010" w:rsidRPr="00CF2780" w14:paraId="32476138" w14:textId="77777777" w:rsidTr="00B05F31">
        <w:trPr>
          <w:tblCellSpacing w:w="20" w:type="dxa"/>
          <w:jc w:val="center"/>
        </w:trPr>
        <w:tc>
          <w:tcPr>
            <w:tcW w:w="2460" w:type="dxa"/>
            <w:shd w:val="clear" w:color="auto" w:fill="CCCCCC"/>
          </w:tcPr>
          <w:p w14:paraId="5AE9C9C4" w14:textId="77777777" w:rsidR="00676010" w:rsidRPr="00CF2780" w:rsidRDefault="00676010" w:rsidP="00676010">
            <w:pPr>
              <w:keepNext/>
              <w:spacing w:after="0" w:line="240" w:lineRule="auto"/>
              <w:jc w:val="center"/>
              <w:outlineLvl w:val="0"/>
              <w:rPr>
                <w:rFonts w:ascii="Arial" w:eastAsia="Times New Roman" w:hAnsi="Arial" w:cs="Arial"/>
                <w:b/>
                <w:bCs/>
                <w:sz w:val="24"/>
                <w:szCs w:val="24"/>
                <w:lang w:eastAsia="es-ES"/>
              </w:rPr>
            </w:pPr>
            <w:r w:rsidRPr="00CF2780">
              <w:rPr>
                <w:rFonts w:ascii="Arial" w:eastAsia="Times New Roman" w:hAnsi="Arial" w:cs="Arial"/>
                <w:b/>
                <w:bCs/>
                <w:sz w:val="24"/>
                <w:szCs w:val="24"/>
                <w:lang w:eastAsia="es-ES"/>
              </w:rPr>
              <w:t>TOTAL</w:t>
            </w:r>
          </w:p>
        </w:tc>
        <w:tc>
          <w:tcPr>
            <w:tcW w:w="1920" w:type="dxa"/>
            <w:shd w:val="clear" w:color="auto" w:fill="CCCCCC"/>
          </w:tcPr>
          <w:p w14:paraId="55EE4E86" w14:textId="77777777" w:rsidR="00676010" w:rsidRPr="00CF2780" w:rsidRDefault="00676010" w:rsidP="00676010">
            <w:pPr>
              <w:spacing w:after="0" w:line="240" w:lineRule="auto"/>
              <w:jc w:val="center"/>
              <w:rPr>
                <w:rFonts w:ascii="Arial" w:eastAsia="Times New Roman" w:hAnsi="Arial" w:cs="Arial"/>
                <w:b/>
                <w:bCs/>
                <w:sz w:val="24"/>
                <w:szCs w:val="24"/>
                <w:lang w:eastAsia="es-ES"/>
              </w:rPr>
            </w:pPr>
            <w:r w:rsidRPr="00CF2780">
              <w:rPr>
                <w:rFonts w:ascii="Arial" w:eastAsia="Times New Roman" w:hAnsi="Arial" w:cs="Arial"/>
                <w:b/>
                <w:bCs/>
                <w:sz w:val="24"/>
                <w:szCs w:val="24"/>
                <w:lang w:eastAsia="es-ES"/>
              </w:rPr>
              <w:t>576</w:t>
            </w:r>
          </w:p>
        </w:tc>
      </w:tr>
    </w:tbl>
    <w:p w14:paraId="77696274" w14:textId="77777777" w:rsidR="00676010" w:rsidRPr="00CF2780" w:rsidRDefault="00676010" w:rsidP="00676010">
      <w:pPr>
        <w:spacing w:after="0" w:line="240" w:lineRule="auto"/>
        <w:jc w:val="both"/>
        <w:rPr>
          <w:rFonts w:ascii="Arial" w:eastAsia="Times New Roman" w:hAnsi="Arial" w:cs="Arial"/>
          <w:sz w:val="24"/>
          <w:szCs w:val="24"/>
          <w:lang w:eastAsia="es-ES"/>
        </w:rPr>
      </w:pPr>
    </w:p>
    <w:p w14:paraId="20F2F66D" w14:textId="77777777" w:rsidR="00676010" w:rsidRPr="00CF2780" w:rsidRDefault="00676010" w:rsidP="00676010">
      <w:pPr>
        <w:spacing w:after="0" w:line="240" w:lineRule="auto"/>
        <w:jc w:val="both"/>
        <w:rPr>
          <w:rFonts w:ascii="Arial" w:eastAsia="Times New Roman" w:hAnsi="Arial" w:cs="Arial"/>
          <w:sz w:val="24"/>
          <w:szCs w:val="24"/>
          <w:lang w:eastAsia="es-ES"/>
        </w:rPr>
      </w:pPr>
    </w:p>
    <w:tbl>
      <w:tblPr>
        <w:tblW w:w="9900" w:type="dxa"/>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left w:w="70" w:type="dxa"/>
          <w:right w:w="70" w:type="dxa"/>
        </w:tblCellMar>
        <w:tblLook w:val="00A0" w:firstRow="1" w:lastRow="0" w:firstColumn="1" w:lastColumn="0" w:noHBand="0" w:noVBand="0"/>
      </w:tblPr>
      <w:tblGrid>
        <w:gridCol w:w="1440"/>
        <w:gridCol w:w="1620"/>
        <w:gridCol w:w="1260"/>
        <w:gridCol w:w="2340"/>
        <w:gridCol w:w="1260"/>
        <w:gridCol w:w="1980"/>
      </w:tblGrid>
      <w:tr w:rsidR="00676010" w:rsidRPr="00CF2780" w14:paraId="09B2CDBE" w14:textId="77777777" w:rsidTr="00B05F31">
        <w:trPr>
          <w:tblCellSpacing w:w="20" w:type="dxa"/>
          <w:jc w:val="center"/>
        </w:trPr>
        <w:tc>
          <w:tcPr>
            <w:tcW w:w="1380" w:type="dxa"/>
          </w:tcPr>
          <w:p w14:paraId="23E477DC" w14:textId="77777777" w:rsidR="00676010" w:rsidRPr="00CF2780" w:rsidRDefault="00676010" w:rsidP="00676010">
            <w:pPr>
              <w:spacing w:after="0" w:line="240" w:lineRule="auto"/>
              <w:jc w:val="center"/>
              <w:rPr>
                <w:rFonts w:ascii="Arial" w:eastAsia="Times New Roman" w:hAnsi="Arial" w:cs="Arial"/>
                <w:b/>
                <w:bCs/>
                <w:sz w:val="18"/>
                <w:szCs w:val="24"/>
                <w:lang w:eastAsia="es-ES"/>
              </w:rPr>
            </w:pPr>
            <w:r w:rsidRPr="00CF2780">
              <w:rPr>
                <w:rFonts w:ascii="Arial" w:eastAsia="Times New Roman" w:hAnsi="Arial" w:cs="Arial"/>
                <w:b/>
                <w:bCs/>
                <w:sz w:val="18"/>
                <w:szCs w:val="24"/>
                <w:lang w:eastAsia="es-ES"/>
              </w:rPr>
              <w:lastRenderedPageBreak/>
              <w:t>SECCIÓN</w:t>
            </w:r>
          </w:p>
        </w:tc>
        <w:tc>
          <w:tcPr>
            <w:tcW w:w="1580" w:type="dxa"/>
          </w:tcPr>
          <w:p w14:paraId="0ED6F89C" w14:textId="77777777" w:rsidR="00676010" w:rsidRPr="00CF2780" w:rsidRDefault="00676010" w:rsidP="00676010">
            <w:pPr>
              <w:spacing w:after="0" w:line="240" w:lineRule="auto"/>
              <w:jc w:val="center"/>
              <w:rPr>
                <w:rFonts w:ascii="Arial" w:eastAsia="Times New Roman" w:hAnsi="Arial" w:cs="Arial"/>
                <w:b/>
                <w:bCs/>
                <w:sz w:val="18"/>
                <w:szCs w:val="24"/>
                <w:lang w:eastAsia="es-ES"/>
              </w:rPr>
            </w:pPr>
            <w:r w:rsidRPr="00CF2780">
              <w:rPr>
                <w:rFonts w:ascii="Arial" w:eastAsia="Times New Roman" w:hAnsi="Arial" w:cs="Arial"/>
                <w:b/>
                <w:bCs/>
                <w:sz w:val="18"/>
                <w:szCs w:val="24"/>
                <w:lang w:eastAsia="es-ES"/>
              </w:rPr>
              <w:t>LISTA NOMINAL</w:t>
            </w:r>
          </w:p>
          <w:p w14:paraId="680C294C" w14:textId="77777777" w:rsidR="00676010" w:rsidRPr="00CF2780" w:rsidRDefault="00676010" w:rsidP="00676010">
            <w:pPr>
              <w:spacing w:after="0" w:line="240" w:lineRule="auto"/>
              <w:jc w:val="center"/>
              <w:rPr>
                <w:rFonts w:ascii="Arial" w:eastAsia="Times New Roman" w:hAnsi="Arial" w:cs="Arial"/>
                <w:b/>
                <w:bCs/>
                <w:sz w:val="18"/>
                <w:szCs w:val="24"/>
                <w:lang w:eastAsia="es-ES"/>
              </w:rPr>
            </w:pPr>
            <w:r w:rsidRPr="00CF2780">
              <w:rPr>
                <w:rFonts w:ascii="Arial" w:eastAsia="Times New Roman" w:hAnsi="Arial" w:cs="Arial"/>
                <w:b/>
                <w:bCs/>
                <w:sz w:val="18"/>
                <w:szCs w:val="24"/>
                <w:lang w:eastAsia="es-ES"/>
              </w:rPr>
              <w:t>2001</w:t>
            </w:r>
          </w:p>
        </w:tc>
        <w:tc>
          <w:tcPr>
            <w:tcW w:w="1220" w:type="dxa"/>
          </w:tcPr>
          <w:p w14:paraId="35994464" w14:textId="77777777" w:rsidR="00676010" w:rsidRPr="00CF2780" w:rsidRDefault="00676010" w:rsidP="00676010">
            <w:pPr>
              <w:spacing w:after="0" w:line="240" w:lineRule="auto"/>
              <w:jc w:val="center"/>
              <w:rPr>
                <w:rFonts w:ascii="Arial" w:eastAsia="Times New Roman" w:hAnsi="Arial" w:cs="Arial"/>
                <w:b/>
                <w:bCs/>
                <w:sz w:val="18"/>
                <w:szCs w:val="24"/>
                <w:lang w:eastAsia="es-ES"/>
              </w:rPr>
            </w:pPr>
            <w:r w:rsidRPr="00CF2780">
              <w:rPr>
                <w:rFonts w:ascii="Arial" w:eastAsia="Times New Roman" w:hAnsi="Arial" w:cs="Arial"/>
                <w:b/>
                <w:bCs/>
                <w:sz w:val="18"/>
                <w:szCs w:val="24"/>
                <w:lang w:eastAsia="es-ES"/>
              </w:rPr>
              <w:t>TIPO DE CASILLA</w:t>
            </w:r>
          </w:p>
        </w:tc>
        <w:tc>
          <w:tcPr>
            <w:tcW w:w="2300" w:type="dxa"/>
          </w:tcPr>
          <w:p w14:paraId="53E18CDD" w14:textId="77777777" w:rsidR="00676010" w:rsidRPr="00CF2780" w:rsidRDefault="00676010" w:rsidP="00676010">
            <w:pPr>
              <w:keepNext/>
              <w:spacing w:after="0" w:line="240" w:lineRule="auto"/>
              <w:jc w:val="center"/>
              <w:outlineLvl w:val="3"/>
              <w:rPr>
                <w:rFonts w:ascii="Arial" w:eastAsia="Times New Roman" w:hAnsi="Arial" w:cs="Arial"/>
                <w:b/>
                <w:bCs/>
                <w:sz w:val="18"/>
                <w:szCs w:val="24"/>
                <w:lang w:eastAsia="es-ES"/>
              </w:rPr>
            </w:pPr>
            <w:r w:rsidRPr="00CF2780">
              <w:rPr>
                <w:rFonts w:ascii="Arial" w:eastAsia="Times New Roman" w:hAnsi="Arial" w:cs="Arial"/>
                <w:b/>
                <w:bCs/>
                <w:sz w:val="18"/>
                <w:szCs w:val="24"/>
                <w:lang w:eastAsia="es-ES"/>
              </w:rPr>
              <w:t>LOCALIDAD</w:t>
            </w:r>
          </w:p>
        </w:tc>
        <w:tc>
          <w:tcPr>
            <w:tcW w:w="1220" w:type="dxa"/>
          </w:tcPr>
          <w:p w14:paraId="0EE5E0A4" w14:textId="77777777" w:rsidR="00676010" w:rsidRPr="00CF2780" w:rsidRDefault="00676010" w:rsidP="00676010">
            <w:pPr>
              <w:spacing w:after="0" w:line="240" w:lineRule="auto"/>
              <w:jc w:val="center"/>
              <w:rPr>
                <w:rFonts w:ascii="Arial" w:eastAsia="Times New Roman" w:hAnsi="Arial" w:cs="Arial"/>
                <w:b/>
                <w:bCs/>
                <w:sz w:val="18"/>
                <w:szCs w:val="24"/>
                <w:lang w:eastAsia="es-ES"/>
              </w:rPr>
            </w:pPr>
            <w:r w:rsidRPr="00CF2780">
              <w:rPr>
                <w:rFonts w:ascii="Arial" w:eastAsia="Times New Roman" w:hAnsi="Arial" w:cs="Arial"/>
                <w:b/>
                <w:bCs/>
                <w:sz w:val="18"/>
                <w:szCs w:val="24"/>
                <w:lang w:eastAsia="es-ES"/>
              </w:rPr>
              <w:t>No. DE VOTANTES</w:t>
            </w:r>
          </w:p>
        </w:tc>
        <w:tc>
          <w:tcPr>
            <w:tcW w:w="1920" w:type="dxa"/>
          </w:tcPr>
          <w:p w14:paraId="23E7ABB4" w14:textId="77777777" w:rsidR="00676010" w:rsidRPr="00CF2780" w:rsidRDefault="00676010" w:rsidP="00676010">
            <w:pPr>
              <w:keepNext/>
              <w:spacing w:after="0" w:line="240" w:lineRule="auto"/>
              <w:jc w:val="center"/>
              <w:outlineLvl w:val="3"/>
              <w:rPr>
                <w:rFonts w:ascii="Arial" w:eastAsia="Times New Roman" w:hAnsi="Arial" w:cs="Arial"/>
                <w:b/>
                <w:bCs/>
                <w:sz w:val="18"/>
                <w:szCs w:val="24"/>
                <w:lang w:eastAsia="es-ES"/>
              </w:rPr>
            </w:pPr>
            <w:r w:rsidRPr="00CF2780">
              <w:rPr>
                <w:rFonts w:ascii="Arial" w:eastAsia="Times New Roman" w:hAnsi="Arial" w:cs="Arial"/>
                <w:b/>
                <w:bCs/>
                <w:sz w:val="18"/>
                <w:szCs w:val="24"/>
                <w:lang w:eastAsia="es-ES"/>
              </w:rPr>
              <w:t>OBSERVACIONES</w:t>
            </w:r>
          </w:p>
        </w:tc>
      </w:tr>
    </w:tbl>
    <w:p w14:paraId="2B8BB217" w14:textId="77777777" w:rsidR="00676010" w:rsidRPr="00CF2780" w:rsidRDefault="00676010" w:rsidP="00676010">
      <w:pPr>
        <w:spacing w:after="0" w:line="240" w:lineRule="auto"/>
        <w:rPr>
          <w:rFonts w:ascii="Arial" w:eastAsia="Times New Roman" w:hAnsi="Arial" w:cs="Arial"/>
          <w:sz w:val="10"/>
          <w:szCs w:val="24"/>
          <w:lang w:eastAsia="es-ES"/>
        </w:rPr>
      </w:pPr>
    </w:p>
    <w:tbl>
      <w:tblPr>
        <w:tblW w:w="9812" w:type="dxa"/>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left w:w="70" w:type="dxa"/>
          <w:right w:w="70" w:type="dxa"/>
        </w:tblCellMar>
        <w:tblLook w:val="00A0" w:firstRow="1" w:lastRow="0" w:firstColumn="1" w:lastColumn="0" w:noHBand="0" w:noVBand="0"/>
      </w:tblPr>
      <w:tblGrid>
        <w:gridCol w:w="1352"/>
        <w:gridCol w:w="1620"/>
        <w:gridCol w:w="1260"/>
        <w:gridCol w:w="2340"/>
        <w:gridCol w:w="1260"/>
        <w:gridCol w:w="1980"/>
      </w:tblGrid>
      <w:tr w:rsidR="00676010" w:rsidRPr="00CF2780" w14:paraId="06C0BBFE" w14:textId="77777777" w:rsidTr="00B05F31">
        <w:trPr>
          <w:tblCellSpacing w:w="20" w:type="dxa"/>
          <w:jc w:val="center"/>
        </w:trPr>
        <w:tc>
          <w:tcPr>
            <w:tcW w:w="1292" w:type="dxa"/>
          </w:tcPr>
          <w:p w14:paraId="293BDB72"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2152</w:t>
            </w:r>
          </w:p>
        </w:tc>
        <w:tc>
          <w:tcPr>
            <w:tcW w:w="1580" w:type="dxa"/>
          </w:tcPr>
          <w:p w14:paraId="785E7C01"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92</w:t>
            </w:r>
          </w:p>
        </w:tc>
        <w:tc>
          <w:tcPr>
            <w:tcW w:w="1220" w:type="dxa"/>
          </w:tcPr>
          <w:p w14:paraId="5BC8192A"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B</w:t>
            </w:r>
          </w:p>
        </w:tc>
        <w:tc>
          <w:tcPr>
            <w:tcW w:w="2300" w:type="dxa"/>
          </w:tcPr>
          <w:p w14:paraId="267A4231"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BELLA VISTA</w:t>
            </w:r>
          </w:p>
        </w:tc>
        <w:tc>
          <w:tcPr>
            <w:tcW w:w="1220" w:type="dxa"/>
          </w:tcPr>
          <w:p w14:paraId="3B4A14CA"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65</w:t>
            </w:r>
          </w:p>
        </w:tc>
        <w:tc>
          <w:tcPr>
            <w:tcW w:w="1920" w:type="dxa"/>
          </w:tcPr>
          <w:p w14:paraId="240C4BB2"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116F46A1" w14:textId="77777777" w:rsidTr="00B05F31">
        <w:trPr>
          <w:tblCellSpacing w:w="20" w:type="dxa"/>
          <w:jc w:val="center"/>
        </w:trPr>
        <w:tc>
          <w:tcPr>
            <w:tcW w:w="1292" w:type="dxa"/>
          </w:tcPr>
          <w:p w14:paraId="2AF8A7F6"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2050540C"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44B5155E"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72019C26"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LOMA ALTA</w:t>
            </w:r>
          </w:p>
        </w:tc>
        <w:tc>
          <w:tcPr>
            <w:tcW w:w="1220" w:type="dxa"/>
          </w:tcPr>
          <w:p w14:paraId="42D05850"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14</w:t>
            </w:r>
          </w:p>
        </w:tc>
        <w:tc>
          <w:tcPr>
            <w:tcW w:w="1920" w:type="dxa"/>
          </w:tcPr>
          <w:p w14:paraId="4DD8CE4D"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79ABED85" w14:textId="77777777" w:rsidTr="00B05F31">
        <w:trPr>
          <w:tblCellSpacing w:w="20" w:type="dxa"/>
          <w:jc w:val="center"/>
        </w:trPr>
        <w:tc>
          <w:tcPr>
            <w:tcW w:w="1292" w:type="dxa"/>
          </w:tcPr>
          <w:p w14:paraId="74F53C1E"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7F103C7C"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2CED6F56"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2BD50DAF"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LAS ADELITAS</w:t>
            </w:r>
          </w:p>
        </w:tc>
        <w:tc>
          <w:tcPr>
            <w:tcW w:w="1220" w:type="dxa"/>
          </w:tcPr>
          <w:p w14:paraId="277ACB71"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10</w:t>
            </w:r>
          </w:p>
        </w:tc>
        <w:tc>
          <w:tcPr>
            <w:tcW w:w="1920" w:type="dxa"/>
          </w:tcPr>
          <w:p w14:paraId="2CDB71DD"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06BDF52A" w14:textId="77777777" w:rsidTr="00B05F31">
        <w:trPr>
          <w:tblCellSpacing w:w="20" w:type="dxa"/>
          <w:jc w:val="center"/>
        </w:trPr>
        <w:tc>
          <w:tcPr>
            <w:tcW w:w="1292" w:type="dxa"/>
          </w:tcPr>
          <w:p w14:paraId="53C3F709"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1FE8E784"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45068539"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2631C67B"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PALMIRA</w:t>
            </w:r>
          </w:p>
        </w:tc>
        <w:tc>
          <w:tcPr>
            <w:tcW w:w="1220" w:type="dxa"/>
          </w:tcPr>
          <w:p w14:paraId="5E98304D"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3</w:t>
            </w:r>
          </w:p>
        </w:tc>
        <w:tc>
          <w:tcPr>
            <w:tcW w:w="1920" w:type="dxa"/>
          </w:tcPr>
          <w:p w14:paraId="0F81EF17"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bl>
    <w:p w14:paraId="4072FB63" w14:textId="77777777" w:rsidR="00676010" w:rsidRPr="00CF2780" w:rsidRDefault="00676010" w:rsidP="00676010">
      <w:pPr>
        <w:spacing w:after="0" w:line="240" w:lineRule="auto"/>
        <w:jc w:val="both"/>
        <w:rPr>
          <w:rFonts w:ascii="Arial" w:eastAsia="Times New Roman" w:hAnsi="Arial" w:cs="Arial"/>
          <w:b/>
          <w:bCs/>
          <w:sz w:val="14"/>
          <w:szCs w:val="24"/>
          <w:lang w:eastAsia="es-ES"/>
        </w:rPr>
      </w:pPr>
    </w:p>
    <w:tbl>
      <w:tblPr>
        <w:tblW w:w="0" w:type="auto"/>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shd w:val="clear" w:color="auto" w:fill="CCCCCC"/>
        <w:tblCellMar>
          <w:left w:w="70" w:type="dxa"/>
          <w:right w:w="70" w:type="dxa"/>
        </w:tblCellMar>
        <w:tblLook w:val="00A0" w:firstRow="1" w:lastRow="0" w:firstColumn="1" w:lastColumn="0" w:noHBand="0" w:noVBand="0"/>
      </w:tblPr>
      <w:tblGrid>
        <w:gridCol w:w="2520"/>
        <w:gridCol w:w="1980"/>
      </w:tblGrid>
      <w:tr w:rsidR="00676010" w:rsidRPr="00CF2780" w14:paraId="48E0EE83" w14:textId="77777777" w:rsidTr="00B05F31">
        <w:trPr>
          <w:tblCellSpacing w:w="20" w:type="dxa"/>
          <w:jc w:val="center"/>
        </w:trPr>
        <w:tc>
          <w:tcPr>
            <w:tcW w:w="2460" w:type="dxa"/>
            <w:shd w:val="clear" w:color="auto" w:fill="CCCCCC"/>
          </w:tcPr>
          <w:p w14:paraId="1622E879" w14:textId="77777777" w:rsidR="00676010" w:rsidRPr="00CF2780" w:rsidRDefault="00676010" w:rsidP="00676010">
            <w:pPr>
              <w:spacing w:after="0" w:line="240" w:lineRule="auto"/>
              <w:jc w:val="center"/>
              <w:rPr>
                <w:rFonts w:ascii="Arial" w:eastAsia="Times New Roman" w:hAnsi="Arial" w:cs="Arial"/>
                <w:b/>
                <w:bCs/>
                <w:sz w:val="24"/>
                <w:szCs w:val="24"/>
                <w:lang w:eastAsia="es-ES"/>
              </w:rPr>
            </w:pPr>
            <w:r w:rsidRPr="00CF2780">
              <w:rPr>
                <w:rFonts w:ascii="Arial" w:eastAsia="Times New Roman" w:hAnsi="Arial" w:cs="Arial"/>
                <w:b/>
                <w:bCs/>
                <w:sz w:val="24"/>
                <w:szCs w:val="24"/>
                <w:lang w:eastAsia="es-ES"/>
              </w:rPr>
              <w:t>TOTAL</w:t>
            </w:r>
          </w:p>
        </w:tc>
        <w:tc>
          <w:tcPr>
            <w:tcW w:w="1920" w:type="dxa"/>
            <w:shd w:val="clear" w:color="auto" w:fill="CCCCCC"/>
          </w:tcPr>
          <w:p w14:paraId="543D25D3" w14:textId="77777777" w:rsidR="00676010" w:rsidRPr="00CF2780" w:rsidRDefault="00676010" w:rsidP="00676010">
            <w:pPr>
              <w:spacing w:after="0" w:line="240" w:lineRule="auto"/>
              <w:jc w:val="center"/>
              <w:rPr>
                <w:rFonts w:ascii="Arial" w:eastAsia="Times New Roman" w:hAnsi="Arial" w:cs="Arial"/>
                <w:b/>
                <w:bCs/>
                <w:sz w:val="24"/>
                <w:szCs w:val="24"/>
                <w:lang w:eastAsia="es-ES"/>
              </w:rPr>
            </w:pPr>
            <w:r w:rsidRPr="00CF2780">
              <w:rPr>
                <w:rFonts w:ascii="Arial" w:eastAsia="Times New Roman" w:hAnsi="Arial" w:cs="Arial"/>
                <w:b/>
                <w:bCs/>
                <w:sz w:val="24"/>
                <w:szCs w:val="24"/>
                <w:lang w:eastAsia="es-ES"/>
              </w:rPr>
              <w:t>92</w:t>
            </w:r>
          </w:p>
        </w:tc>
      </w:tr>
    </w:tbl>
    <w:p w14:paraId="782AEFC7" w14:textId="77777777" w:rsidR="00676010" w:rsidRPr="00CF2780" w:rsidRDefault="00676010" w:rsidP="00676010">
      <w:pPr>
        <w:spacing w:after="0" w:line="240" w:lineRule="auto"/>
        <w:jc w:val="both"/>
        <w:rPr>
          <w:rFonts w:ascii="Arial" w:eastAsia="Times New Roman" w:hAnsi="Arial" w:cs="Arial"/>
          <w:sz w:val="24"/>
          <w:szCs w:val="24"/>
          <w:lang w:eastAsia="es-ES"/>
        </w:rPr>
      </w:pPr>
    </w:p>
    <w:p w14:paraId="223D9D7B" w14:textId="77777777" w:rsidR="00676010" w:rsidRPr="00CF2780" w:rsidRDefault="00676010" w:rsidP="00676010">
      <w:pPr>
        <w:spacing w:after="0" w:line="240" w:lineRule="auto"/>
        <w:jc w:val="both"/>
        <w:rPr>
          <w:rFonts w:ascii="Arial" w:eastAsia="Times New Roman" w:hAnsi="Arial" w:cs="Arial"/>
          <w:b/>
          <w:bCs/>
          <w:sz w:val="24"/>
          <w:szCs w:val="24"/>
          <w:lang w:eastAsia="es-ES"/>
        </w:rPr>
      </w:pPr>
    </w:p>
    <w:tbl>
      <w:tblPr>
        <w:tblW w:w="9900" w:type="dxa"/>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left w:w="70" w:type="dxa"/>
          <w:right w:w="70" w:type="dxa"/>
        </w:tblCellMar>
        <w:tblLook w:val="00A0" w:firstRow="1" w:lastRow="0" w:firstColumn="1" w:lastColumn="0" w:noHBand="0" w:noVBand="0"/>
      </w:tblPr>
      <w:tblGrid>
        <w:gridCol w:w="1440"/>
        <w:gridCol w:w="1620"/>
        <w:gridCol w:w="1260"/>
        <w:gridCol w:w="2340"/>
        <w:gridCol w:w="1260"/>
        <w:gridCol w:w="1980"/>
      </w:tblGrid>
      <w:tr w:rsidR="00676010" w:rsidRPr="00CF2780" w14:paraId="240C5ED2" w14:textId="77777777" w:rsidTr="00B05F31">
        <w:trPr>
          <w:tblCellSpacing w:w="20" w:type="dxa"/>
          <w:jc w:val="center"/>
        </w:trPr>
        <w:tc>
          <w:tcPr>
            <w:tcW w:w="1380" w:type="dxa"/>
          </w:tcPr>
          <w:p w14:paraId="30CF38A6" w14:textId="77777777" w:rsidR="00676010" w:rsidRPr="00CF2780" w:rsidRDefault="00676010" w:rsidP="00676010">
            <w:pPr>
              <w:spacing w:after="0" w:line="240" w:lineRule="auto"/>
              <w:jc w:val="center"/>
              <w:rPr>
                <w:rFonts w:ascii="Arial" w:eastAsia="Times New Roman" w:hAnsi="Arial" w:cs="Arial"/>
                <w:b/>
                <w:bCs/>
                <w:sz w:val="18"/>
                <w:szCs w:val="24"/>
                <w:lang w:eastAsia="es-ES"/>
              </w:rPr>
            </w:pPr>
            <w:r w:rsidRPr="00CF2780">
              <w:rPr>
                <w:rFonts w:ascii="Arial" w:eastAsia="Times New Roman" w:hAnsi="Arial" w:cs="Arial"/>
                <w:b/>
                <w:bCs/>
                <w:sz w:val="18"/>
                <w:szCs w:val="24"/>
                <w:lang w:eastAsia="es-ES"/>
              </w:rPr>
              <w:t>SECCIÓN</w:t>
            </w:r>
          </w:p>
        </w:tc>
        <w:tc>
          <w:tcPr>
            <w:tcW w:w="1580" w:type="dxa"/>
          </w:tcPr>
          <w:p w14:paraId="18BCFE4A" w14:textId="77777777" w:rsidR="00676010" w:rsidRPr="00CF2780" w:rsidRDefault="00676010" w:rsidP="00676010">
            <w:pPr>
              <w:spacing w:after="0" w:line="240" w:lineRule="auto"/>
              <w:jc w:val="center"/>
              <w:rPr>
                <w:rFonts w:ascii="Arial" w:eastAsia="Times New Roman" w:hAnsi="Arial" w:cs="Arial"/>
                <w:b/>
                <w:bCs/>
                <w:sz w:val="18"/>
                <w:szCs w:val="24"/>
                <w:lang w:eastAsia="es-ES"/>
              </w:rPr>
            </w:pPr>
            <w:r w:rsidRPr="00CF2780">
              <w:rPr>
                <w:rFonts w:ascii="Arial" w:eastAsia="Times New Roman" w:hAnsi="Arial" w:cs="Arial"/>
                <w:b/>
                <w:bCs/>
                <w:sz w:val="18"/>
                <w:szCs w:val="24"/>
                <w:lang w:eastAsia="es-ES"/>
              </w:rPr>
              <w:t>LISTA NOMINAL</w:t>
            </w:r>
          </w:p>
          <w:p w14:paraId="25742963" w14:textId="77777777" w:rsidR="00676010" w:rsidRPr="00CF2780" w:rsidRDefault="00676010" w:rsidP="00676010">
            <w:pPr>
              <w:spacing w:after="0" w:line="240" w:lineRule="auto"/>
              <w:jc w:val="center"/>
              <w:rPr>
                <w:rFonts w:ascii="Arial" w:eastAsia="Times New Roman" w:hAnsi="Arial" w:cs="Arial"/>
                <w:b/>
                <w:bCs/>
                <w:sz w:val="18"/>
                <w:szCs w:val="24"/>
                <w:lang w:eastAsia="es-ES"/>
              </w:rPr>
            </w:pPr>
            <w:r w:rsidRPr="00CF2780">
              <w:rPr>
                <w:rFonts w:ascii="Arial" w:eastAsia="Times New Roman" w:hAnsi="Arial" w:cs="Arial"/>
                <w:b/>
                <w:bCs/>
                <w:sz w:val="18"/>
                <w:szCs w:val="24"/>
                <w:lang w:eastAsia="es-ES"/>
              </w:rPr>
              <w:t>2001</w:t>
            </w:r>
          </w:p>
        </w:tc>
        <w:tc>
          <w:tcPr>
            <w:tcW w:w="1220" w:type="dxa"/>
          </w:tcPr>
          <w:p w14:paraId="74647FE5" w14:textId="77777777" w:rsidR="00676010" w:rsidRPr="00CF2780" w:rsidRDefault="00676010" w:rsidP="00676010">
            <w:pPr>
              <w:spacing w:after="0" w:line="240" w:lineRule="auto"/>
              <w:jc w:val="center"/>
              <w:rPr>
                <w:rFonts w:ascii="Arial" w:eastAsia="Times New Roman" w:hAnsi="Arial" w:cs="Arial"/>
                <w:b/>
                <w:bCs/>
                <w:sz w:val="18"/>
                <w:szCs w:val="24"/>
                <w:lang w:eastAsia="es-ES"/>
              </w:rPr>
            </w:pPr>
            <w:r w:rsidRPr="00CF2780">
              <w:rPr>
                <w:rFonts w:ascii="Arial" w:eastAsia="Times New Roman" w:hAnsi="Arial" w:cs="Arial"/>
                <w:b/>
                <w:bCs/>
                <w:sz w:val="18"/>
                <w:szCs w:val="24"/>
                <w:lang w:eastAsia="es-ES"/>
              </w:rPr>
              <w:t>TIPO DE CASILLA</w:t>
            </w:r>
          </w:p>
        </w:tc>
        <w:tc>
          <w:tcPr>
            <w:tcW w:w="2300" w:type="dxa"/>
          </w:tcPr>
          <w:p w14:paraId="4E8B7897" w14:textId="77777777" w:rsidR="00676010" w:rsidRPr="00CF2780" w:rsidRDefault="00676010" w:rsidP="00676010">
            <w:pPr>
              <w:keepNext/>
              <w:spacing w:after="0" w:line="240" w:lineRule="auto"/>
              <w:jc w:val="center"/>
              <w:outlineLvl w:val="3"/>
              <w:rPr>
                <w:rFonts w:ascii="Arial" w:eastAsia="Times New Roman" w:hAnsi="Arial" w:cs="Arial"/>
                <w:b/>
                <w:bCs/>
                <w:sz w:val="18"/>
                <w:szCs w:val="24"/>
                <w:lang w:eastAsia="es-ES"/>
              </w:rPr>
            </w:pPr>
            <w:r w:rsidRPr="00CF2780">
              <w:rPr>
                <w:rFonts w:ascii="Arial" w:eastAsia="Times New Roman" w:hAnsi="Arial" w:cs="Arial"/>
                <w:b/>
                <w:bCs/>
                <w:sz w:val="18"/>
                <w:szCs w:val="24"/>
                <w:lang w:eastAsia="es-ES"/>
              </w:rPr>
              <w:t>LOCALIDAD</w:t>
            </w:r>
          </w:p>
        </w:tc>
        <w:tc>
          <w:tcPr>
            <w:tcW w:w="1220" w:type="dxa"/>
          </w:tcPr>
          <w:p w14:paraId="579E1132" w14:textId="77777777" w:rsidR="00676010" w:rsidRPr="00CF2780" w:rsidRDefault="00676010" w:rsidP="00676010">
            <w:pPr>
              <w:spacing w:after="0" w:line="240" w:lineRule="auto"/>
              <w:jc w:val="center"/>
              <w:rPr>
                <w:rFonts w:ascii="Arial" w:eastAsia="Times New Roman" w:hAnsi="Arial" w:cs="Arial"/>
                <w:b/>
                <w:bCs/>
                <w:sz w:val="18"/>
                <w:szCs w:val="24"/>
                <w:lang w:eastAsia="es-ES"/>
              </w:rPr>
            </w:pPr>
            <w:r w:rsidRPr="00CF2780">
              <w:rPr>
                <w:rFonts w:ascii="Arial" w:eastAsia="Times New Roman" w:hAnsi="Arial" w:cs="Arial"/>
                <w:b/>
                <w:bCs/>
                <w:sz w:val="18"/>
                <w:szCs w:val="24"/>
                <w:lang w:eastAsia="es-ES"/>
              </w:rPr>
              <w:t>No. DE VOTANTES</w:t>
            </w:r>
          </w:p>
        </w:tc>
        <w:tc>
          <w:tcPr>
            <w:tcW w:w="1920" w:type="dxa"/>
          </w:tcPr>
          <w:p w14:paraId="66068AEC" w14:textId="77777777" w:rsidR="00676010" w:rsidRPr="00CF2780" w:rsidRDefault="00676010" w:rsidP="00676010">
            <w:pPr>
              <w:keepNext/>
              <w:spacing w:after="0" w:line="240" w:lineRule="auto"/>
              <w:jc w:val="center"/>
              <w:outlineLvl w:val="3"/>
              <w:rPr>
                <w:rFonts w:ascii="Arial" w:eastAsia="Times New Roman" w:hAnsi="Arial" w:cs="Arial"/>
                <w:b/>
                <w:bCs/>
                <w:sz w:val="18"/>
                <w:szCs w:val="24"/>
                <w:lang w:eastAsia="es-ES"/>
              </w:rPr>
            </w:pPr>
            <w:r w:rsidRPr="00CF2780">
              <w:rPr>
                <w:rFonts w:ascii="Arial" w:eastAsia="Times New Roman" w:hAnsi="Arial" w:cs="Arial"/>
                <w:b/>
                <w:bCs/>
                <w:sz w:val="18"/>
                <w:szCs w:val="24"/>
                <w:lang w:eastAsia="es-ES"/>
              </w:rPr>
              <w:t>OBSERVACIONES</w:t>
            </w:r>
          </w:p>
        </w:tc>
      </w:tr>
    </w:tbl>
    <w:p w14:paraId="099E6506" w14:textId="77777777" w:rsidR="00676010" w:rsidRPr="00CF2780" w:rsidRDefault="00676010" w:rsidP="00676010">
      <w:pPr>
        <w:spacing w:after="0" w:line="240" w:lineRule="auto"/>
        <w:rPr>
          <w:rFonts w:ascii="Arial" w:eastAsia="Times New Roman" w:hAnsi="Arial" w:cs="Arial"/>
          <w:sz w:val="10"/>
          <w:szCs w:val="24"/>
          <w:lang w:eastAsia="es-ES"/>
        </w:rPr>
      </w:pPr>
    </w:p>
    <w:tbl>
      <w:tblPr>
        <w:tblW w:w="9900" w:type="dxa"/>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left w:w="70" w:type="dxa"/>
          <w:right w:w="70" w:type="dxa"/>
        </w:tblCellMar>
        <w:tblLook w:val="00A0" w:firstRow="1" w:lastRow="0" w:firstColumn="1" w:lastColumn="0" w:noHBand="0" w:noVBand="0"/>
      </w:tblPr>
      <w:tblGrid>
        <w:gridCol w:w="1354"/>
        <w:gridCol w:w="1496"/>
        <w:gridCol w:w="1811"/>
        <w:gridCol w:w="2273"/>
        <w:gridCol w:w="1176"/>
        <w:gridCol w:w="1790"/>
      </w:tblGrid>
      <w:tr w:rsidR="00676010" w:rsidRPr="00CF2780" w14:paraId="1FE4F7B9" w14:textId="77777777" w:rsidTr="00B05F31">
        <w:trPr>
          <w:tblCellSpacing w:w="20" w:type="dxa"/>
          <w:jc w:val="center"/>
        </w:trPr>
        <w:tc>
          <w:tcPr>
            <w:tcW w:w="1380" w:type="dxa"/>
          </w:tcPr>
          <w:p w14:paraId="1C965CA4"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2152</w:t>
            </w:r>
          </w:p>
        </w:tc>
        <w:tc>
          <w:tcPr>
            <w:tcW w:w="1580" w:type="dxa"/>
          </w:tcPr>
          <w:p w14:paraId="4F6CC1AA"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274</w:t>
            </w:r>
          </w:p>
        </w:tc>
        <w:tc>
          <w:tcPr>
            <w:tcW w:w="1220" w:type="dxa"/>
          </w:tcPr>
          <w:p w14:paraId="1A4E788B"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EXTRAORDINARIA</w:t>
            </w:r>
          </w:p>
        </w:tc>
        <w:tc>
          <w:tcPr>
            <w:tcW w:w="2300" w:type="dxa"/>
          </w:tcPr>
          <w:p w14:paraId="4F73218B"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CAMPO QUEMADO</w:t>
            </w:r>
          </w:p>
        </w:tc>
        <w:tc>
          <w:tcPr>
            <w:tcW w:w="1220" w:type="dxa"/>
          </w:tcPr>
          <w:p w14:paraId="0EDAC26B"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10</w:t>
            </w:r>
          </w:p>
        </w:tc>
        <w:tc>
          <w:tcPr>
            <w:tcW w:w="1920" w:type="dxa"/>
          </w:tcPr>
          <w:p w14:paraId="79612C14"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675AB01E" w14:textId="77777777" w:rsidTr="00B05F31">
        <w:trPr>
          <w:tblCellSpacing w:w="20" w:type="dxa"/>
          <w:jc w:val="center"/>
        </w:trPr>
        <w:tc>
          <w:tcPr>
            <w:tcW w:w="1380" w:type="dxa"/>
          </w:tcPr>
          <w:p w14:paraId="2E0042CF"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5B0FC76E"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0762A4B3"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6E55236B"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ZAPOTITANCILLO</w:t>
            </w:r>
          </w:p>
        </w:tc>
        <w:tc>
          <w:tcPr>
            <w:tcW w:w="1220" w:type="dxa"/>
          </w:tcPr>
          <w:p w14:paraId="533CA925"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181</w:t>
            </w:r>
          </w:p>
        </w:tc>
        <w:tc>
          <w:tcPr>
            <w:tcW w:w="1920" w:type="dxa"/>
          </w:tcPr>
          <w:p w14:paraId="5931D239"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2DD3327B" w14:textId="77777777" w:rsidTr="00B05F31">
        <w:trPr>
          <w:tblCellSpacing w:w="20" w:type="dxa"/>
          <w:jc w:val="center"/>
        </w:trPr>
        <w:tc>
          <w:tcPr>
            <w:tcW w:w="1380" w:type="dxa"/>
          </w:tcPr>
          <w:p w14:paraId="1D235FD1"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711FA47F"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65F69897"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4048CDD2"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LA VILLA</w:t>
            </w:r>
          </w:p>
        </w:tc>
        <w:tc>
          <w:tcPr>
            <w:tcW w:w="1220" w:type="dxa"/>
          </w:tcPr>
          <w:p w14:paraId="440CB985"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19</w:t>
            </w:r>
          </w:p>
        </w:tc>
        <w:tc>
          <w:tcPr>
            <w:tcW w:w="1920" w:type="dxa"/>
          </w:tcPr>
          <w:p w14:paraId="3736010D"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025F6812" w14:textId="77777777" w:rsidTr="00B05F31">
        <w:trPr>
          <w:tblCellSpacing w:w="20" w:type="dxa"/>
          <w:jc w:val="center"/>
        </w:trPr>
        <w:tc>
          <w:tcPr>
            <w:tcW w:w="1380" w:type="dxa"/>
          </w:tcPr>
          <w:p w14:paraId="1A445B99"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4B7AB7ED"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3DEED38B"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0E364A2D"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SANTA FE</w:t>
            </w:r>
          </w:p>
        </w:tc>
        <w:tc>
          <w:tcPr>
            <w:tcW w:w="1220" w:type="dxa"/>
          </w:tcPr>
          <w:p w14:paraId="53C8492F"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3</w:t>
            </w:r>
          </w:p>
        </w:tc>
        <w:tc>
          <w:tcPr>
            <w:tcW w:w="1920" w:type="dxa"/>
          </w:tcPr>
          <w:p w14:paraId="45AC69B0"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67893941" w14:textId="77777777" w:rsidTr="00B05F31">
        <w:trPr>
          <w:tblCellSpacing w:w="20" w:type="dxa"/>
          <w:jc w:val="center"/>
        </w:trPr>
        <w:tc>
          <w:tcPr>
            <w:tcW w:w="1380" w:type="dxa"/>
          </w:tcPr>
          <w:p w14:paraId="212839EE"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1F432C91"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6F117DA1"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0D0D8A38"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LAS JUNTAS</w:t>
            </w:r>
          </w:p>
        </w:tc>
        <w:tc>
          <w:tcPr>
            <w:tcW w:w="1220" w:type="dxa"/>
          </w:tcPr>
          <w:p w14:paraId="5B7C3C37"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10</w:t>
            </w:r>
          </w:p>
        </w:tc>
        <w:tc>
          <w:tcPr>
            <w:tcW w:w="1920" w:type="dxa"/>
          </w:tcPr>
          <w:p w14:paraId="481EFAD3"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27F9D9BA" w14:textId="77777777" w:rsidTr="00B05F31">
        <w:trPr>
          <w:tblCellSpacing w:w="20" w:type="dxa"/>
          <w:jc w:val="center"/>
        </w:trPr>
        <w:tc>
          <w:tcPr>
            <w:tcW w:w="1380" w:type="dxa"/>
          </w:tcPr>
          <w:p w14:paraId="16667331"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735DECF3"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7558116C"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4EA152D8"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EL PROGRESO</w:t>
            </w:r>
          </w:p>
        </w:tc>
        <w:tc>
          <w:tcPr>
            <w:tcW w:w="1220" w:type="dxa"/>
          </w:tcPr>
          <w:p w14:paraId="1DF416FE"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18</w:t>
            </w:r>
          </w:p>
        </w:tc>
        <w:tc>
          <w:tcPr>
            <w:tcW w:w="1920" w:type="dxa"/>
          </w:tcPr>
          <w:p w14:paraId="3822BEAE"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32863A5B" w14:textId="77777777" w:rsidTr="00B05F31">
        <w:trPr>
          <w:tblCellSpacing w:w="20" w:type="dxa"/>
          <w:jc w:val="center"/>
        </w:trPr>
        <w:tc>
          <w:tcPr>
            <w:tcW w:w="1380" w:type="dxa"/>
          </w:tcPr>
          <w:p w14:paraId="3722771C"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40402C09"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78E63E51"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33F19C97"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TIERRA NUEVA</w:t>
            </w:r>
          </w:p>
        </w:tc>
        <w:tc>
          <w:tcPr>
            <w:tcW w:w="1220" w:type="dxa"/>
          </w:tcPr>
          <w:p w14:paraId="57112DBD"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4</w:t>
            </w:r>
          </w:p>
        </w:tc>
        <w:tc>
          <w:tcPr>
            <w:tcW w:w="1920" w:type="dxa"/>
          </w:tcPr>
          <w:p w14:paraId="4914802E"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5C52FE47" w14:textId="77777777" w:rsidTr="00B05F31">
        <w:trPr>
          <w:tblCellSpacing w:w="20" w:type="dxa"/>
          <w:jc w:val="center"/>
        </w:trPr>
        <w:tc>
          <w:tcPr>
            <w:tcW w:w="1380" w:type="dxa"/>
          </w:tcPr>
          <w:p w14:paraId="62798023"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6A3598B4"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25301100"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4008FE26"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SANTA TERESITA</w:t>
            </w:r>
          </w:p>
        </w:tc>
        <w:tc>
          <w:tcPr>
            <w:tcW w:w="1220" w:type="dxa"/>
          </w:tcPr>
          <w:p w14:paraId="340AC6C8"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4</w:t>
            </w:r>
          </w:p>
        </w:tc>
        <w:tc>
          <w:tcPr>
            <w:tcW w:w="1920" w:type="dxa"/>
          </w:tcPr>
          <w:p w14:paraId="1C78AB5E"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3C7A880C" w14:textId="77777777" w:rsidTr="00B05F31">
        <w:trPr>
          <w:tblCellSpacing w:w="20" w:type="dxa"/>
          <w:jc w:val="center"/>
        </w:trPr>
        <w:tc>
          <w:tcPr>
            <w:tcW w:w="1380" w:type="dxa"/>
          </w:tcPr>
          <w:p w14:paraId="76F1CE6B"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3588DCE7"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5E8F5179"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3B357AB4"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EL OASIS</w:t>
            </w:r>
          </w:p>
        </w:tc>
        <w:tc>
          <w:tcPr>
            <w:tcW w:w="1220" w:type="dxa"/>
          </w:tcPr>
          <w:p w14:paraId="0DB12CE0"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4</w:t>
            </w:r>
          </w:p>
        </w:tc>
        <w:tc>
          <w:tcPr>
            <w:tcW w:w="1920" w:type="dxa"/>
          </w:tcPr>
          <w:p w14:paraId="61134CEA"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7E1502F9" w14:textId="77777777" w:rsidTr="00B05F31">
        <w:trPr>
          <w:tblCellSpacing w:w="20" w:type="dxa"/>
          <w:jc w:val="center"/>
        </w:trPr>
        <w:tc>
          <w:tcPr>
            <w:tcW w:w="1380" w:type="dxa"/>
          </w:tcPr>
          <w:p w14:paraId="43C2026F"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04E44082"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438B6915"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564B2AC3"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EL CAFETAL</w:t>
            </w:r>
          </w:p>
        </w:tc>
        <w:tc>
          <w:tcPr>
            <w:tcW w:w="1220" w:type="dxa"/>
          </w:tcPr>
          <w:p w14:paraId="1CB45668"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2</w:t>
            </w:r>
          </w:p>
        </w:tc>
        <w:tc>
          <w:tcPr>
            <w:tcW w:w="1920" w:type="dxa"/>
          </w:tcPr>
          <w:p w14:paraId="4D6385E8"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302B3FE2" w14:textId="77777777" w:rsidTr="00B05F31">
        <w:trPr>
          <w:tblCellSpacing w:w="20" w:type="dxa"/>
          <w:jc w:val="center"/>
        </w:trPr>
        <w:tc>
          <w:tcPr>
            <w:tcW w:w="1380" w:type="dxa"/>
          </w:tcPr>
          <w:p w14:paraId="072007AA"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72D2CC50"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1BF504D0"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21C65AD5"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SAN AGUSTÍN</w:t>
            </w:r>
          </w:p>
        </w:tc>
        <w:tc>
          <w:tcPr>
            <w:tcW w:w="1220" w:type="dxa"/>
          </w:tcPr>
          <w:p w14:paraId="51976ADB"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2</w:t>
            </w:r>
          </w:p>
        </w:tc>
        <w:tc>
          <w:tcPr>
            <w:tcW w:w="1920" w:type="dxa"/>
          </w:tcPr>
          <w:p w14:paraId="38EB265B"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589CE085" w14:textId="77777777" w:rsidTr="00B05F31">
        <w:trPr>
          <w:tblCellSpacing w:w="20" w:type="dxa"/>
          <w:jc w:val="center"/>
        </w:trPr>
        <w:tc>
          <w:tcPr>
            <w:tcW w:w="1380" w:type="dxa"/>
          </w:tcPr>
          <w:p w14:paraId="063E9E3E"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2B495B89"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38495449"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7033533A"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CHANCUECO</w:t>
            </w:r>
          </w:p>
        </w:tc>
        <w:tc>
          <w:tcPr>
            <w:tcW w:w="1220" w:type="dxa"/>
          </w:tcPr>
          <w:p w14:paraId="7C0CC8AF"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3</w:t>
            </w:r>
          </w:p>
        </w:tc>
        <w:tc>
          <w:tcPr>
            <w:tcW w:w="1920" w:type="dxa"/>
          </w:tcPr>
          <w:p w14:paraId="117BE214"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3725EEB1" w14:textId="77777777" w:rsidTr="00B05F31">
        <w:trPr>
          <w:tblCellSpacing w:w="20" w:type="dxa"/>
          <w:jc w:val="center"/>
        </w:trPr>
        <w:tc>
          <w:tcPr>
            <w:tcW w:w="1380" w:type="dxa"/>
          </w:tcPr>
          <w:p w14:paraId="155E448E"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5C78C730"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207E60D8"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2B56013B"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LA CHINITA</w:t>
            </w:r>
          </w:p>
        </w:tc>
        <w:tc>
          <w:tcPr>
            <w:tcW w:w="1220" w:type="dxa"/>
          </w:tcPr>
          <w:p w14:paraId="1D7A0835"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4</w:t>
            </w:r>
          </w:p>
        </w:tc>
        <w:tc>
          <w:tcPr>
            <w:tcW w:w="1920" w:type="dxa"/>
          </w:tcPr>
          <w:p w14:paraId="6D998F93"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1A2A0A38" w14:textId="77777777" w:rsidTr="00B05F31">
        <w:trPr>
          <w:tblCellSpacing w:w="20" w:type="dxa"/>
          <w:jc w:val="center"/>
        </w:trPr>
        <w:tc>
          <w:tcPr>
            <w:tcW w:w="1380" w:type="dxa"/>
          </w:tcPr>
          <w:p w14:paraId="4542D28B"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2F93FAF5"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5B0F6863"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79248091"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LA FLORIDA</w:t>
            </w:r>
          </w:p>
        </w:tc>
        <w:tc>
          <w:tcPr>
            <w:tcW w:w="1220" w:type="dxa"/>
          </w:tcPr>
          <w:p w14:paraId="08653C61"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1</w:t>
            </w:r>
          </w:p>
        </w:tc>
        <w:tc>
          <w:tcPr>
            <w:tcW w:w="1920" w:type="dxa"/>
          </w:tcPr>
          <w:p w14:paraId="2ECA18E6"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11758BD9" w14:textId="77777777" w:rsidTr="00B05F31">
        <w:trPr>
          <w:tblCellSpacing w:w="20" w:type="dxa"/>
          <w:jc w:val="center"/>
        </w:trPr>
        <w:tc>
          <w:tcPr>
            <w:tcW w:w="1380" w:type="dxa"/>
          </w:tcPr>
          <w:p w14:paraId="59D6D7F0"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22270AF9"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4EDCC4CD"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0676DE38"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LA ESPERANZA</w:t>
            </w:r>
          </w:p>
        </w:tc>
        <w:tc>
          <w:tcPr>
            <w:tcW w:w="1220" w:type="dxa"/>
          </w:tcPr>
          <w:p w14:paraId="1937B37B"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2</w:t>
            </w:r>
          </w:p>
        </w:tc>
        <w:tc>
          <w:tcPr>
            <w:tcW w:w="1920" w:type="dxa"/>
          </w:tcPr>
          <w:p w14:paraId="08ED44D0"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785AE47F" w14:textId="77777777" w:rsidTr="00B05F31">
        <w:trPr>
          <w:tblCellSpacing w:w="20" w:type="dxa"/>
          <w:jc w:val="center"/>
        </w:trPr>
        <w:tc>
          <w:tcPr>
            <w:tcW w:w="1380" w:type="dxa"/>
          </w:tcPr>
          <w:p w14:paraId="6582C4B8"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64C1AC38"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74F8D754"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09699C71"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LA HERRADURA</w:t>
            </w:r>
          </w:p>
        </w:tc>
        <w:tc>
          <w:tcPr>
            <w:tcW w:w="1220" w:type="dxa"/>
          </w:tcPr>
          <w:p w14:paraId="33A35652"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1</w:t>
            </w:r>
          </w:p>
        </w:tc>
        <w:tc>
          <w:tcPr>
            <w:tcW w:w="1920" w:type="dxa"/>
          </w:tcPr>
          <w:p w14:paraId="1C335544"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476C8671" w14:textId="77777777" w:rsidTr="00B05F31">
        <w:trPr>
          <w:tblCellSpacing w:w="20" w:type="dxa"/>
          <w:jc w:val="center"/>
        </w:trPr>
        <w:tc>
          <w:tcPr>
            <w:tcW w:w="1380" w:type="dxa"/>
          </w:tcPr>
          <w:p w14:paraId="51FCD153"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6AF73A49"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2983FA42"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472473A4"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EL RETIRO 1</w:t>
            </w:r>
          </w:p>
        </w:tc>
        <w:tc>
          <w:tcPr>
            <w:tcW w:w="1220" w:type="dxa"/>
          </w:tcPr>
          <w:p w14:paraId="5C754739"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2</w:t>
            </w:r>
          </w:p>
        </w:tc>
        <w:tc>
          <w:tcPr>
            <w:tcW w:w="1920" w:type="dxa"/>
          </w:tcPr>
          <w:p w14:paraId="1A3A3E16"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76D2F03F" w14:textId="77777777" w:rsidTr="00B05F31">
        <w:trPr>
          <w:tblCellSpacing w:w="20" w:type="dxa"/>
          <w:jc w:val="center"/>
        </w:trPr>
        <w:tc>
          <w:tcPr>
            <w:tcW w:w="1380" w:type="dxa"/>
          </w:tcPr>
          <w:p w14:paraId="296E7C96"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0EAE50AD"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5059A994"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1ACB7D77"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LAS JACARANDAS</w:t>
            </w:r>
          </w:p>
        </w:tc>
        <w:tc>
          <w:tcPr>
            <w:tcW w:w="1220" w:type="dxa"/>
          </w:tcPr>
          <w:p w14:paraId="0B990AE3"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2</w:t>
            </w:r>
          </w:p>
        </w:tc>
        <w:tc>
          <w:tcPr>
            <w:tcW w:w="1920" w:type="dxa"/>
          </w:tcPr>
          <w:p w14:paraId="094352FA"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2F5331CB" w14:textId="77777777" w:rsidTr="00B05F31">
        <w:trPr>
          <w:tblCellSpacing w:w="20" w:type="dxa"/>
          <w:jc w:val="center"/>
        </w:trPr>
        <w:tc>
          <w:tcPr>
            <w:tcW w:w="1380" w:type="dxa"/>
          </w:tcPr>
          <w:p w14:paraId="1557A045"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5DAC2273"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2FB27623"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6C6AE6D1"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LA ESMERALDA</w:t>
            </w:r>
          </w:p>
        </w:tc>
        <w:tc>
          <w:tcPr>
            <w:tcW w:w="1220" w:type="dxa"/>
          </w:tcPr>
          <w:p w14:paraId="5C25D26A"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2</w:t>
            </w:r>
          </w:p>
        </w:tc>
        <w:tc>
          <w:tcPr>
            <w:tcW w:w="1920" w:type="dxa"/>
          </w:tcPr>
          <w:p w14:paraId="32061B54"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bl>
    <w:p w14:paraId="25AA0F24" w14:textId="77777777" w:rsidR="00676010" w:rsidRPr="00CF2780" w:rsidRDefault="00676010" w:rsidP="00676010">
      <w:pPr>
        <w:spacing w:after="0" w:line="240" w:lineRule="auto"/>
        <w:jc w:val="both"/>
        <w:rPr>
          <w:rFonts w:ascii="Arial" w:eastAsia="Times New Roman" w:hAnsi="Arial" w:cs="Arial"/>
          <w:b/>
          <w:bCs/>
          <w:sz w:val="14"/>
          <w:szCs w:val="24"/>
          <w:lang w:eastAsia="es-ES"/>
        </w:rPr>
      </w:pPr>
    </w:p>
    <w:tbl>
      <w:tblPr>
        <w:tblW w:w="0" w:type="auto"/>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shd w:val="clear" w:color="auto" w:fill="CCCCCC"/>
        <w:tblCellMar>
          <w:left w:w="70" w:type="dxa"/>
          <w:right w:w="70" w:type="dxa"/>
        </w:tblCellMar>
        <w:tblLook w:val="00A0" w:firstRow="1" w:lastRow="0" w:firstColumn="1" w:lastColumn="0" w:noHBand="0" w:noVBand="0"/>
      </w:tblPr>
      <w:tblGrid>
        <w:gridCol w:w="2520"/>
        <w:gridCol w:w="1980"/>
      </w:tblGrid>
      <w:tr w:rsidR="00676010" w:rsidRPr="00CF2780" w14:paraId="32F05F34" w14:textId="77777777" w:rsidTr="00B05F31">
        <w:trPr>
          <w:tblCellSpacing w:w="20" w:type="dxa"/>
          <w:jc w:val="center"/>
        </w:trPr>
        <w:tc>
          <w:tcPr>
            <w:tcW w:w="2460" w:type="dxa"/>
            <w:shd w:val="clear" w:color="auto" w:fill="CCCCCC"/>
          </w:tcPr>
          <w:p w14:paraId="08139C1E" w14:textId="77777777" w:rsidR="00676010" w:rsidRPr="00CF2780" w:rsidRDefault="00676010" w:rsidP="00676010">
            <w:pPr>
              <w:spacing w:after="0" w:line="240" w:lineRule="auto"/>
              <w:jc w:val="center"/>
              <w:rPr>
                <w:rFonts w:ascii="Arial" w:eastAsia="Times New Roman" w:hAnsi="Arial" w:cs="Arial"/>
                <w:b/>
                <w:bCs/>
                <w:sz w:val="24"/>
                <w:szCs w:val="24"/>
                <w:lang w:eastAsia="es-ES"/>
              </w:rPr>
            </w:pPr>
            <w:r w:rsidRPr="00CF2780">
              <w:rPr>
                <w:rFonts w:ascii="Arial" w:eastAsia="Times New Roman" w:hAnsi="Arial" w:cs="Arial"/>
                <w:b/>
                <w:bCs/>
                <w:sz w:val="24"/>
                <w:szCs w:val="24"/>
                <w:lang w:eastAsia="es-ES"/>
              </w:rPr>
              <w:t>TOTAL</w:t>
            </w:r>
          </w:p>
        </w:tc>
        <w:tc>
          <w:tcPr>
            <w:tcW w:w="1920" w:type="dxa"/>
            <w:shd w:val="clear" w:color="auto" w:fill="CCCCCC"/>
          </w:tcPr>
          <w:p w14:paraId="7358DBAD" w14:textId="77777777" w:rsidR="00676010" w:rsidRPr="00CF2780" w:rsidRDefault="00676010" w:rsidP="00676010">
            <w:pPr>
              <w:spacing w:after="0" w:line="240" w:lineRule="auto"/>
              <w:jc w:val="center"/>
              <w:rPr>
                <w:rFonts w:ascii="Arial" w:eastAsia="Times New Roman" w:hAnsi="Arial" w:cs="Arial"/>
                <w:b/>
                <w:bCs/>
                <w:sz w:val="24"/>
                <w:szCs w:val="24"/>
                <w:lang w:eastAsia="es-ES"/>
              </w:rPr>
            </w:pPr>
            <w:r w:rsidRPr="00CF2780">
              <w:rPr>
                <w:rFonts w:ascii="Arial" w:eastAsia="Times New Roman" w:hAnsi="Arial" w:cs="Arial"/>
                <w:b/>
                <w:bCs/>
                <w:sz w:val="24"/>
                <w:szCs w:val="24"/>
                <w:lang w:eastAsia="es-ES"/>
              </w:rPr>
              <w:t>274</w:t>
            </w:r>
          </w:p>
        </w:tc>
      </w:tr>
    </w:tbl>
    <w:p w14:paraId="4A812256" w14:textId="77777777" w:rsidR="00676010" w:rsidRPr="00CF2780" w:rsidRDefault="00676010" w:rsidP="00676010">
      <w:pPr>
        <w:spacing w:after="0" w:line="240" w:lineRule="auto"/>
        <w:jc w:val="both"/>
        <w:rPr>
          <w:rFonts w:ascii="Arial" w:eastAsia="Times New Roman" w:hAnsi="Arial" w:cs="Arial"/>
          <w:sz w:val="24"/>
          <w:szCs w:val="24"/>
          <w:lang w:eastAsia="es-ES"/>
        </w:rPr>
      </w:pPr>
    </w:p>
    <w:p w14:paraId="570F0BEA" w14:textId="77777777" w:rsidR="00676010" w:rsidRPr="00CF2780" w:rsidRDefault="00676010" w:rsidP="00676010">
      <w:pPr>
        <w:spacing w:after="0" w:line="240" w:lineRule="auto"/>
        <w:jc w:val="both"/>
        <w:rPr>
          <w:rFonts w:ascii="Arial" w:eastAsia="Times New Roman" w:hAnsi="Arial" w:cs="Arial"/>
          <w:sz w:val="24"/>
          <w:szCs w:val="24"/>
          <w:lang w:eastAsia="es-ES"/>
        </w:rPr>
      </w:pPr>
    </w:p>
    <w:tbl>
      <w:tblPr>
        <w:tblW w:w="9900" w:type="dxa"/>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left w:w="70" w:type="dxa"/>
          <w:right w:w="70" w:type="dxa"/>
        </w:tblCellMar>
        <w:tblLook w:val="00A0" w:firstRow="1" w:lastRow="0" w:firstColumn="1" w:lastColumn="0" w:noHBand="0" w:noVBand="0"/>
      </w:tblPr>
      <w:tblGrid>
        <w:gridCol w:w="1440"/>
        <w:gridCol w:w="1620"/>
        <w:gridCol w:w="1260"/>
        <w:gridCol w:w="2340"/>
        <w:gridCol w:w="1260"/>
        <w:gridCol w:w="1980"/>
      </w:tblGrid>
      <w:tr w:rsidR="00676010" w:rsidRPr="00CF2780" w14:paraId="4D3D40C1" w14:textId="77777777" w:rsidTr="00B05F31">
        <w:trPr>
          <w:tblCellSpacing w:w="20" w:type="dxa"/>
          <w:jc w:val="center"/>
        </w:trPr>
        <w:tc>
          <w:tcPr>
            <w:tcW w:w="1380" w:type="dxa"/>
          </w:tcPr>
          <w:p w14:paraId="77490591" w14:textId="77777777" w:rsidR="00676010" w:rsidRPr="00CF2780" w:rsidRDefault="00676010" w:rsidP="00676010">
            <w:pPr>
              <w:spacing w:after="0" w:line="240" w:lineRule="auto"/>
              <w:jc w:val="center"/>
              <w:rPr>
                <w:rFonts w:ascii="Arial" w:eastAsia="Times New Roman" w:hAnsi="Arial" w:cs="Arial"/>
                <w:b/>
                <w:bCs/>
                <w:sz w:val="18"/>
                <w:szCs w:val="24"/>
                <w:lang w:eastAsia="es-ES"/>
              </w:rPr>
            </w:pPr>
            <w:r w:rsidRPr="00CF2780">
              <w:rPr>
                <w:rFonts w:ascii="Arial" w:eastAsia="Times New Roman" w:hAnsi="Arial" w:cs="Arial"/>
                <w:b/>
                <w:bCs/>
                <w:sz w:val="18"/>
                <w:szCs w:val="24"/>
                <w:lang w:eastAsia="es-ES"/>
              </w:rPr>
              <w:t>SECCIÓN</w:t>
            </w:r>
          </w:p>
        </w:tc>
        <w:tc>
          <w:tcPr>
            <w:tcW w:w="1580" w:type="dxa"/>
          </w:tcPr>
          <w:p w14:paraId="47678BA7" w14:textId="77777777" w:rsidR="00676010" w:rsidRPr="00CF2780" w:rsidRDefault="00676010" w:rsidP="00676010">
            <w:pPr>
              <w:spacing w:after="0" w:line="240" w:lineRule="auto"/>
              <w:jc w:val="center"/>
              <w:rPr>
                <w:rFonts w:ascii="Arial" w:eastAsia="Times New Roman" w:hAnsi="Arial" w:cs="Arial"/>
                <w:b/>
                <w:bCs/>
                <w:sz w:val="18"/>
                <w:szCs w:val="24"/>
                <w:lang w:eastAsia="es-ES"/>
              </w:rPr>
            </w:pPr>
            <w:r w:rsidRPr="00CF2780">
              <w:rPr>
                <w:rFonts w:ascii="Arial" w:eastAsia="Times New Roman" w:hAnsi="Arial" w:cs="Arial"/>
                <w:b/>
                <w:bCs/>
                <w:sz w:val="18"/>
                <w:szCs w:val="24"/>
                <w:lang w:eastAsia="es-ES"/>
              </w:rPr>
              <w:t>LISTA NOMINAL</w:t>
            </w:r>
          </w:p>
          <w:p w14:paraId="6A6568CC" w14:textId="77777777" w:rsidR="00676010" w:rsidRPr="00CF2780" w:rsidRDefault="00676010" w:rsidP="00676010">
            <w:pPr>
              <w:spacing w:after="0" w:line="240" w:lineRule="auto"/>
              <w:jc w:val="center"/>
              <w:rPr>
                <w:rFonts w:ascii="Arial" w:eastAsia="Times New Roman" w:hAnsi="Arial" w:cs="Arial"/>
                <w:b/>
                <w:bCs/>
                <w:sz w:val="18"/>
                <w:szCs w:val="24"/>
                <w:lang w:eastAsia="es-ES"/>
              </w:rPr>
            </w:pPr>
            <w:r w:rsidRPr="00CF2780">
              <w:rPr>
                <w:rFonts w:ascii="Arial" w:eastAsia="Times New Roman" w:hAnsi="Arial" w:cs="Arial"/>
                <w:b/>
                <w:bCs/>
                <w:sz w:val="18"/>
                <w:szCs w:val="24"/>
                <w:lang w:eastAsia="es-ES"/>
              </w:rPr>
              <w:t>2001</w:t>
            </w:r>
          </w:p>
        </w:tc>
        <w:tc>
          <w:tcPr>
            <w:tcW w:w="1220" w:type="dxa"/>
          </w:tcPr>
          <w:p w14:paraId="4F723FDD" w14:textId="77777777" w:rsidR="00676010" w:rsidRPr="00CF2780" w:rsidRDefault="00676010" w:rsidP="00676010">
            <w:pPr>
              <w:spacing w:after="0" w:line="240" w:lineRule="auto"/>
              <w:jc w:val="center"/>
              <w:rPr>
                <w:rFonts w:ascii="Arial" w:eastAsia="Times New Roman" w:hAnsi="Arial" w:cs="Arial"/>
                <w:b/>
                <w:bCs/>
                <w:sz w:val="18"/>
                <w:szCs w:val="24"/>
                <w:lang w:eastAsia="es-ES"/>
              </w:rPr>
            </w:pPr>
            <w:r w:rsidRPr="00CF2780">
              <w:rPr>
                <w:rFonts w:ascii="Arial" w:eastAsia="Times New Roman" w:hAnsi="Arial" w:cs="Arial"/>
                <w:b/>
                <w:bCs/>
                <w:sz w:val="18"/>
                <w:szCs w:val="24"/>
                <w:lang w:eastAsia="es-ES"/>
              </w:rPr>
              <w:t>TIPO DE CASILLA</w:t>
            </w:r>
          </w:p>
        </w:tc>
        <w:tc>
          <w:tcPr>
            <w:tcW w:w="2300" w:type="dxa"/>
          </w:tcPr>
          <w:p w14:paraId="6D08CE62" w14:textId="77777777" w:rsidR="00676010" w:rsidRPr="00CF2780" w:rsidRDefault="00676010" w:rsidP="00676010">
            <w:pPr>
              <w:keepNext/>
              <w:spacing w:after="0" w:line="240" w:lineRule="auto"/>
              <w:jc w:val="center"/>
              <w:outlineLvl w:val="3"/>
              <w:rPr>
                <w:rFonts w:ascii="Arial" w:eastAsia="Times New Roman" w:hAnsi="Arial" w:cs="Arial"/>
                <w:b/>
                <w:bCs/>
                <w:sz w:val="18"/>
                <w:szCs w:val="24"/>
                <w:lang w:eastAsia="es-ES"/>
              </w:rPr>
            </w:pPr>
            <w:r w:rsidRPr="00CF2780">
              <w:rPr>
                <w:rFonts w:ascii="Arial" w:eastAsia="Times New Roman" w:hAnsi="Arial" w:cs="Arial"/>
                <w:b/>
                <w:bCs/>
                <w:sz w:val="18"/>
                <w:szCs w:val="24"/>
                <w:lang w:eastAsia="es-ES"/>
              </w:rPr>
              <w:t>LOCALIDAD</w:t>
            </w:r>
          </w:p>
        </w:tc>
        <w:tc>
          <w:tcPr>
            <w:tcW w:w="1220" w:type="dxa"/>
          </w:tcPr>
          <w:p w14:paraId="05E28249" w14:textId="77777777" w:rsidR="00676010" w:rsidRPr="00CF2780" w:rsidRDefault="00676010" w:rsidP="00676010">
            <w:pPr>
              <w:spacing w:after="0" w:line="240" w:lineRule="auto"/>
              <w:jc w:val="center"/>
              <w:rPr>
                <w:rFonts w:ascii="Arial" w:eastAsia="Times New Roman" w:hAnsi="Arial" w:cs="Arial"/>
                <w:b/>
                <w:bCs/>
                <w:sz w:val="18"/>
                <w:szCs w:val="24"/>
                <w:lang w:eastAsia="es-ES"/>
              </w:rPr>
            </w:pPr>
            <w:r w:rsidRPr="00CF2780">
              <w:rPr>
                <w:rFonts w:ascii="Arial" w:eastAsia="Times New Roman" w:hAnsi="Arial" w:cs="Arial"/>
                <w:b/>
                <w:bCs/>
                <w:sz w:val="18"/>
                <w:szCs w:val="24"/>
                <w:lang w:eastAsia="es-ES"/>
              </w:rPr>
              <w:t>No. DE VOTANTES</w:t>
            </w:r>
          </w:p>
        </w:tc>
        <w:tc>
          <w:tcPr>
            <w:tcW w:w="1920" w:type="dxa"/>
          </w:tcPr>
          <w:p w14:paraId="5DACE796" w14:textId="77777777" w:rsidR="00676010" w:rsidRPr="00CF2780" w:rsidRDefault="00676010" w:rsidP="00676010">
            <w:pPr>
              <w:keepNext/>
              <w:spacing w:after="0" w:line="240" w:lineRule="auto"/>
              <w:jc w:val="center"/>
              <w:outlineLvl w:val="3"/>
              <w:rPr>
                <w:rFonts w:ascii="Arial" w:eastAsia="Times New Roman" w:hAnsi="Arial" w:cs="Arial"/>
                <w:b/>
                <w:bCs/>
                <w:sz w:val="18"/>
                <w:szCs w:val="24"/>
                <w:lang w:eastAsia="es-ES"/>
              </w:rPr>
            </w:pPr>
            <w:r w:rsidRPr="00CF2780">
              <w:rPr>
                <w:rFonts w:ascii="Arial" w:eastAsia="Times New Roman" w:hAnsi="Arial" w:cs="Arial"/>
                <w:b/>
                <w:bCs/>
                <w:sz w:val="18"/>
                <w:szCs w:val="24"/>
                <w:lang w:eastAsia="es-ES"/>
              </w:rPr>
              <w:t>OBSERVACIONES</w:t>
            </w:r>
          </w:p>
        </w:tc>
      </w:tr>
    </w:tbl>
    <w:p w14:paraId="41EA0F18" w14:textId="77777777" w:rsidR="00676010" w:rsidRPr="00CF2780" w:rsidRDefault="00676010" w:rsidP="00676010">
      <w:pPr>
        <w:spacing w:after="0" w:line="240" w:lineRule="auto"/>
        <w:rPr>
          <w:rFonts w:ascii="Arial" w:eastAsia="Times New Roman" w:hAnsi="Arial" w:cs="Arial"/>
          <w:sz w:val="10"/>
          <w:szCs w:val="24"/>
          <w:lang w:eastAsia="es-ES"/>
        </w:rPr>
      </w:pPr>
    </w:p>
    <w:tbl>
      <w:tblPr>
        <w:tblW w:w="9900" w:type="dxa"/>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left w:w="70" w:type="dxa"/>
          <w:right w:w="70" w:type="dxa"/>
        </w:tblCellMar>
        <w:tblLook w:val="00A0" w:firstRow="1" w:lastRow="0" w:firstColumn="1" w:lastColumn="0" w:noHBand="0" w:noVBand="0"/>
      </w:tblPr>
      <w:tblGrid>
        <w:gridCol w:w="1440"/>
        <w:gridCol w:w="1620"/>
        <w:gridCol w:w="1260"/>
        <w:gridCol w:w="2340"/>
        <w:gridCol w:w="1260"/>
        <w:gridCol w:w="1980"/>
      </w:tblGrid>
      <w:tr w:rsidR="00676010" w:rsidRPr="00CF2780" w14:paraId="4D715F0A" w14:textId="77777777" w:rsidTr="00B05F31">
        <w:trPr>
          <w:tblCellSpacing w:w="20" w:type="dxa"/>
          <w:jc w:val="center"/>
        </w:trPr>
        <w:tc>
          <w:tcPr>
            <w:tcW w:w="1380" w:type="dxa"/>
          </w:tcPr>
          <w:p w14:paraId="4B51E389"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2153</w:t>
            </w:r>
          </w:p>
        </w:tc>
        <w:tc>
          <w:tcPr>
            <w:tcW w:w="1580" w:type="dxa"/>
          </w:tcPr>
          <w:p w14:paraId="1F92D41D"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545</w:t>
            </w:r>
          </w:p>
        </w:tc>
        <w:tc>
          <w:tcPr>
            <w:tcW w:w="1220" w:type="dxa"/>
          </w:tcPr>
          <w:p w14:paraId="5EE0321A"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BÁSICA</w:t>
            </w:r>
          </w:p>
        </w:tc>
        <w:tc>
          <w:tcPr>
            <w:tcW w:w="2300" w:type="dxa"/>
          </w:tcPr>
          <w:p w14:paraId="59EEF9EB"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LLANO GRANDE</w:t>
            </w:r>
          </w:p>
        </w:tc>
        <w:tc>
          <w:tcPr>
            <w:tcW w:w="1220" w:type="dxa"/>
          </w:tcPr>
          <w:p w14:paraId="3FF68A7B"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33</w:t>
            </w:r>
          </w:p>
        </w:tc>
        <w:tc>
          <w:tcPr>
            <w:tcW w:w="1920" w:type="dxa"/>
          </w:tcPr>
          <w:p w14:paraId="702B6FEA"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316644A7" w14:textId="77777777" w:rsidTr="00B05F31">
        <w:trPr>
          <w:tblCellSpacing w:w="20" w:type="dxa"/>
          <w:jc w:val="center"/>
        </w:trPr>
        <w:tc>
          <w:tcPr>
            <w:tcW w:w="1380" w:type="dxa"/>
          </w:tcPr>
          <w:p w14:paraId="1157E65E"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742D4E8E"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092B9673"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68376CCD"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LA PALOMA</w:t>
            </w:r>
          </w:p>
        </w:tc>
        <w:tc>
          <w:tcPr>
            <w:tcW w:w="1220" w:type="dxa"/>
          </w:tcPr>
          <w:p w14:paraId="3155E910"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1</w:t>
            </w:r>
          </w:p>
        </w:tc>
        <w:tc>
          <w:tcPr>
            <w:tcW w:w="1920" w:type="dxa"/>
          </w:tcPr>
          <w:p w14:paraId="47DAD691"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2277B776" w14:textId="77777777" w:rsidTr="00B05F31">
        <w:trPr>
          <w:tblCellSpacing w:w="20" w:type="dxa"/>
          <w:jc w:val="center"/>
        </w:trPr>
        <w:tc>
          <w:tcPr>
            <w:tcW w:w="1380" w:type="dxa"/>
          </w:tcPr>
          <w:p w14:paraId="3B649B8D"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1DB044BF"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0E4A02AB"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48552533"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NUEVO OCOTLÁN</w:t>
            </w:r>
          </w:p>
        </w:tc>
        <w:tc>
          <w:tcPr>
            <w:tcW w:w="1220" w:type="dxa"/>
          </w:tcPr>
          <w:p w14:paraId="0580EF85"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88</w:t>
            </w:r>
          </w:p>
        </w:tc>
        <w:tc>
          <w:tcPr>
            <w:tcW w:w="1920" w:type="dxa"/>
          </w:tcPr>
          <w:p w14:paraId="3E717A90"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71749E86" w14:textId="77777777" w:rsidTr="00B05F31">
        <w:trPr>
          <w:tblCellSpacing w:w="20" w:type="dxa"/>
          <w:jc w:val="center"/>
        </w:trPr>
        <w:tc>
          <w:tcPr>
            <w:tcW w:w="1380" w:type="dxa"/>
          </w:tcPr>
          <w:p w14:paraId="65C5F8D7"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76E83B2D"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46331CD7"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31E648BC"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DOLORES HIDALGO</w:t>
            </w:r>
          </w:p>
        </w:tc>
        <w:tc>
          <w:tcPr>
            <w:tcW w:w="1220" w:type="dxa"/>
          </w:tcPr>
          <w:p w14:paraId="6A812BF6"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138</w:t>
            </w:r>
          </w:p>
        </w:tc>
        <w:tc>
          <w:tcPr>
            <w:tcW w:w="1920" w:type="dxa"/>
          </w:tcPr>
          <w:p w14:paraId="78806A22"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02705D4B" w14:textId="77777777" w:rsidTr="00B05F31">
        <w:trPr>
          <w:tblCellSpacing w:w="20" w:type="dxa"/>
          <w:jc w:val="center"/>
        </w:trPr>
        <w:tc>
          <w:tcPr>
            <w:tcW w:w="1380" w:type="dxa"/>
          </w:tcPr>
          <w:p w14:paraId="21F26468"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6B02A8A5"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600CAAFD"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61089F39"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LOS COQUITOS</w:t>
            </w:r>
          </w:p>
        </w:tc>
        <w:tc>
          <w:tcPr>
            <w:tcW w:w="1220" w:type="dxa"/>
          </w:tcPr>
          <w:p w14:paraId="22D13C74"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1</w:t>
            </w:r>
          </w:p>
        </w:tc>
        <w:tc>
          <w:tcPr>
            <w:tcW w:w="1920" w:type="dxa"/>
          </w:tcPr>
          <w:p w14:paraId="5008F373"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6D2BE307" w14:textId="77777777" w:rsidTr="00B05F31">
        <w:trPr>
          <w:tblCellSpacing w:w="20" w:type="dxa"/>
          <w:jc w:val="center"/>
        </w:trPr>
        <w:tc>
          <w:tcPr>
            <w:tcW w:w="1380" w:type="dxa"/>
          </w:tcPr>
          <w:p w14:paraId="2BB7C9E8"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44C9A3F2"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06A36385"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452D884F"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EL NARANJAL</w:t>
            </w:r>
          </w:p>
        </w:tc>
        <w:tc>
          <w:tcPr>
            <w:tcW w:w="1220" w:type="dxa"/>
          </w:tcPr>
          <w:p w14:paraId="7ED311DE"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17</w:t>
            </w:r>
          </w:p>
        </w:tc>
        <w:tc>
          <w:tcPr>
            <w:tcW w:w="1920" w:type="dxa"/>
          </w:tcPr>
          <w:p w14:paraId="02616352"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44AEC0F0" w14:textId="77777777" w:rsidTr="00B05F31">
        <w:trPr>
          <w:tblCellSpacing w:w="20" w:type="dxa"/>
          <w:jc w:val="center"/>
        </w:trPr>
        <w:tc>
          <w:tcPr>
            <w:tcW w:w="1380" w:type="dxa"/>
          </w:tcPr>
          <w:p w14:paraId="47B1841F"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00267E7E"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5FCF6A75"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3333FDAC" w14:textId="77777777" w:rsidR="00676010" w:rsidRPr="00CF2780" w:rsidRDefault="00676010" w:rsidP="00676010">
            <w:pPr>
              <w:spacing w:after="0" w:line="240" w:lineRule="auto"/>
              <w:rPr>
                <w:rFonts w:ascii="Arial" w:eastAsia="Times New Roman" w:hAnsi="Arial" w:cs="Arial"/>
                <w:sz w:val="18"/>
                <w:szCs w:val="24"/>
                <w:lang w:eastAsia="es-ES"/>
              </w:rPr>
            </w:pPr>
            <w:r w:rsidRPr="00CF2780">
              <w:rPr>
                <w:rFonts w:ascii="Arial" w:eastAsia="Times New Roman" w:hAnsi="Arial" w:cs="Arial"/>
                <w:sz w:val="18"/>
                <w:szCs w:val="24"/>
                <w:lang w:eastAsia="es-ES"/>
              </w:rPr>
              <w:t>GENERAL FRANCISCO VILLA</w:t>
            </w:r>
          </w:p>
        </w:tc>
        <w:tc>
          <w:tcPr>
            <w:tcW w:w="1220" w:type="dxa"/>
          </w:tcPr>
          <w:p w14:paraId="6C977850"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196</w:t>
            </w:r>
          </w:p>
        </w:tc>
        <w:tc>
          <w:tcPr>
            <w:tcW w:w="1920" w:type="dxa"/>
          </w:tcPr>
          <w:p w14:paraId="09EF842F"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1340DE95" w14:textId="77777777" w:rsidTr="00B05F31">
        <w:trPr>
          <w:tblCellSpacing w:w="20" w:type="dxa"/>
          <w:jc w:val="center"/>
        </w:trPr>
        <w:tc>
          <w:tcPr>
            <w:tcW w:w="1380" w:type="dxa"/>
          </w:tcPr>
          <w:p w14:paraId="7F2C840F"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69D34196"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6888075C"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458F3587"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TIERRA QUEMADA</w:t>
            </w:r>
          </w:p>
        </w:tc>
        <w:tc>
          <w:tcPr>
            <w:tcW w:w="1220" w:type="dxa"/>
          </w:tcPr>
          <w:p w14:paraId="22056578"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2</w:t>
            </w:r>
          </w:p>
        </w:tc>
        <w:tc>
          <w:tcPr>
            <w:tcW w:w="1920" w:type="dxa"/>
          </w:tcPr>
          <w:p w14:paraId="441275E0"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048396EB" w14:textId="77777777" w:rsidTr="00B05F31">
        <w:trPr>
          <w:tblCellSpacing w:w="20" w:type="dxa"/>
          <w:jc w:val="center"/>
        </w:trPr>
        <w:tc>
          <w:tcPr>
            <w:tcW w:w="1380" w:type="dxa"/>
          </w:tcPr>
          <w:p w14:paraId="3AA7A331"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4C2C56F5"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5C10CBC5"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0B662B72"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LA OAXAQUEÑA</w:t>
            </w:r>
          </w:p>
        </w:tc>
        <w:tc>
          <w:tcPr>
            <w:tcW w:w="1220" w:type="dxa"/>
          </w:tcPr>
          <w:p w14:paraId="699D76F3"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2</w:t>
            </w:r>
          </w:p>
        </w:tc>
        <w:tc>
          <w:tcPr>
            <w:tcW w:w="1920" w:type="dxa"/>
          </w:tcPr>
          <w:p w14:paraId="58E92D81"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0308FA91" w14:textId="77777777" w:rsidTr="00B05F31">
        <w:trPr>
          <w:tblCellSpacing w:w="20" w:type="dxa"/>
          <w:jc w:val="center"/>
        </w:trPr>
        <w:tc>
          <w:tcPr>
            <w:tcW w:w="1380" w:type="dxa"/>
          </w:tcPr>
          <w:p w14:paraId="47415BCF"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316BF502"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15A31B48"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2D5A4C8F"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SAN GABRIEL</w:t>
            </w:r>
          </w:p>
        </w:tc>
        <w:tc>
          <w:tcPr>
            <w:tcW w:w="1220" w:type="dxa"/>
          </w:tcPr>
          <w:p w14:paraId="7C37D4A6"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1</w:t>
            </w:r>
          </w:p>
        </w:tc>
        <w:tc>
          <w:tcPr>
            <w:tcW w:w="1920" w:type="dxa"/>
          </w:tcPr>
          <w:p w14:paraId="04E5E82F"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6E0210AE" w14:textId="77777777" w:rsidTr="00B05F31">
        <w:trPr>
          <w:tblCellSpacing w:w="20" w:type="dxa"/>
          <w:jc w:val="center"/>
        </w:trPr>
        <w:tc>
          <w:tcPr>
            <w:tcW w:w="1380" w:type="dxa"/>
          </w:tcPr>
          <w:p w14:paraId="0A813597"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19F19C14"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64FD7AE7"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6B60E418"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PALMIRA</w:t>
            </w:r>
          </w:p>
        </w:tc>
        <w:tc>
          <w:tcPr>
            <w:tcW w:w="1220" w:type="dxa"/>
          </w:tcPr>
          <w:p w14:paraId="7F1B4BB9"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2</w:t>
            </w:r>
          </w:p>
        </w:tc>
        <w:tc>
          <w:tcPr>
            <w:tcW w:w="1920" w:type="dxa"/>
          </w:tcPr>
          <w:p w14:paraId="553504B2"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40D4000A" w14:textId="77777777" w:rsidTr="00B05F31">
        <w:trPr>
          <w:tblCellSpacing w:w="20" w:type="dxa"/>
          <w:jc w:val="center"/>
        </w:trPr>
        <w:tc>
          <w:tcPr>
            <w:tcW w:w="1380" w:type="dxa"/>
          </w:tcPr>
          <w:p w14:paraId="6046D241"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17FCE8F3"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5C8163E1"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6AE19204"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DOS ARBOLITOS</w:t>
            </w:r>
          </w:p>
        </w:tc>
        <w:tc>
          <w:tcPr>
            <w:tcW w:w="1220" w:type="dxa"/>
          </w:tcPr>
          <w:p w14:paraId="6AAB9724"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3</w:t>
            </w:r>
          </w:p>
        </w:tc>
        <w:tc>
          <w:tcPr>
            <w:tcW w:w="1920" w:type="dxa"/>
          </w:tcPr>
          <w:p w14:paraId="53D22B4D"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7A3AEA83" w14:textId="77777777" w:rsidTr="00B05F31">
        <w:trPr>
          <w:tblCellSpacing w:w="20" w:type="dxa"/>
          <w:jc w:val="center"/>
        </w:trPr>
        <w:tc>
          <w:tcPr>
            <w:tcW w:w="1380" w:type="dxa"/>
          </w:tcPr>
          <w:p w14:paraId="20125C06"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7B61043A"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53EC3229"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274D29EF"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AGUA AZUL</w:t>
            </w:r>
          </w:p>
        </w:tc>
        <w:tc>
          <w:tcPr>
            <w:tcW w:w="1220" w:type="dxa"/>
          </w:tcPr>
          <w:p w14:paraId="564E83E6"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2</w:t>
            </w:r>
          </w:p>
        </w:tc>
        <w:tc>
          <w:tcPr>
            <w:tcW w:w="1920" w:type="dxa"/>
          </w:tcPr>
          <w:p w14:paraId="1D26F2BC"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082F46F4" w14:textId="77777777" w:rsidTr="00B05F31">
        <w:trPr>
          <w:tblCellSpacing w:w="20" w:type="dxa"/>
          <w:jc w:val="center"/>
        </w:trPr>
        <w:tc>
          <w:tcPr>
            <w:tcW w:w="1380" w:type="dxa"/>
          </w:tcPr>
          <w:p w14:paraId="4143AA16"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5BE0E9A1"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5E6FA4F2"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7C17C17C"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TEPEACA</w:t>
            </w:r>
          </w:p>
        </w:tc>
        <w:tc>
          <w:tcPr>
            <w:tcW w:w="1220" w:type="dxa"/>
          </w:tcPr>
          <w:p w14:paraId="3666AFA1"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1</w:t>
            </w:r>
          </w:p>
        </w:tc>
        <w:tc>
          <w:tcPr>
            <w:tcW w:w="1920" w:type="dxa"/>
          </w:tcPr>
          <w:p w14:paraId="1C6C7773"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69CC6949" w14:textId="77777777" w:rsidTr="00B05F31">
        <w:trPr>
          <w:tblCellSpacing w:w="20" w:type="dxa"/>
          <w:jc w:val="center"/>
        </w:trPr>
        <w:tc>
          <w:tcPr>
            <w:tcW w:w="1380" w:type="dxa"/>
          </w:tcPr>
          <w:p w14:paraId="18C1BFC2"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5BE62308"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26DAD488"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34182B17"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EL MILAGRO</w:t>
            </w:r>
          </w:p>
        </w:tc>
        <w:tc>
          <w:tcPr>
            <w:tcW w:w="1220" w:type="dxa"/>
          </w:tcPr>
          <w:p w14:paraId="1E39E859"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11</w:t>
            </w:r>
          </w:p>
        </w:tc>
        <w:tc>
          <w:tcPr>
            <w:tcW w:w="1920" w:type="dxa"/>
          </w:tcPr>
          <w:p w14:paraId="2E9373C0"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241741C5" w14:textId="77777777" w:rsidTr="00B05F31">
        <w:trPr>
          <w:tblCellSpacing w:w="20" w:type="dxa"/>
          <w:jc w:val="center"/>
        </w:trPr>
        <w:tc>
          <w:tcPr>
            <w:tcW w:w="1380" w:type="dxa"/>
          </w:tcPr>
          <w:p w14:paraId="61EFFBDF"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4E9E787F"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30817BDA"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72791A42"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SANTA FE</w:t>
            </w:r>
          </w:p>
        </w:tc>
        <w:tc>
          <w:tcPr>
            <w:tcW w:w="1220" w:type="dxa"/>
          </w:tcPr>
          <w:p w14:paraId="2AF13B6E"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1</w:t>
            </w:r>
          </w:p>
        </w:tc>
        <w:tc>
          <w:tcPr>
            <w:tcW w:w="1920" w:type="dxa"/>
          </w:tcPr>
          <w:p w14:paraId="0381C2B5"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34D05F03" w14:textId="77777777" w:rsidTr="00B05F31">
        <w:trPr>
          <w:tblCellSpacing w:w="20" w:type="dxa"/>
          <w:jc w:val="center"/>
        </w:trPr>
        <w:tc>
          <w:tcPr>
            <w:tcW w:w="1380" w:type="dxa"/>
          </w:tcPr>
          <w:p w14:paraId="2B42D5E5"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3E1475ED"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31FCE6BB"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4E2C6169"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AGUACHAL</w:t>
            </w:r>
          </w:p>
        </w:tc>
        <w:tc>
          <w:tcPr>
            <w:tcW w:w="1220" w:type="dxa"/>
          </w:tcPr>
          <w:p w14:paraId="17A1CBF1"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4</w:t>
            </w:r>
          </w:p>
        </w:tc>
        <w:tc>
          <w:tcPr>
            <w:tcW w:w="1920" w:type="dxa"/>
          </w:tcPr>
          <w:p w14:paraId="3519AB60"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0C86E50A" w14:textId="77777777" w:rsidTr="00B05F31">
        <w:trPr>
          <w:tblCellSpacing w:w="20" w:type="dxa"/>
          <w:jc w:val="center"/>
        </w:trPr>
        <w:tc>
          <w:tcPr>
            <w:tcW w:w="1380" w:type="dxa"/>
          </w:tcPr>
          <w:p w14:paraId="38D9C776"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15C5DDC0"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62D8C718"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315AD456"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PASO DE MACHO</w:t>
            </w:r>
          </w:p>
        </w:tc>
        <w:tc>
          <w:tcPr>
            <w:tcW w:w="1220" w:type="dxa"/>
          </w:tcPr>
          <w:p w14:paraId="0490C14F"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6</w:t>
            </w:r>
          </w:p>
        </w:tc>
        <w:tc>
          <w:tcPr>
            <w:tcW w:w="1920" w:type="dxa"/>
          </w:tcPr>
          <w:p w14:paraId="4054B3EA"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0FAB795C" w14:textId="77777777" w:rsidTr="00B05F31">
        <w:trPr>
          <w:tblCellSpacing w:w="20" w:type="dxa"/>
          <w:jc w:val="center"/>
        </w:trPr>
        <w:tc>
          <w:tcPr>
            <w:tcW w:w="1380" w:type="dxa"/>
          </w:tcPr>
          <w:p w14:paraId="2E0D599F"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5133E9F3"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4FA2EA2A"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37FE33C3"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CERRO ZAPATA</w:t>
            </w:r>
          </w:p>
        </w:tc>
        <w:tc>
          <w:tcPr>
            <w:tcW w:w="1220" w:type="dxa"/>
          </w:tcPr>
          <w:p w14:paraId="2E1485E6"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1</w:t>
            </w:r>
          </w:p>
        </w:tc>
        <w:tc>
          <w:tcPr>
            <w:tcW w:w="1920" w:type="dxa"/>
          </w:tcPr>
          <w:p w14:paraId="64619C06"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09BBD122" w14:textId="77777777" w:rsidTr="00B05F31">
        <w:trPr>
          <w:tblCellSpacing w:w="20" w:type="dxa"/>
          <w:jc w:val="center"/>
        </w:trPr>
        <w:tc>
          <w:tcPr>
            <w:tcW w:w="1380" w:type="dxa"/>
          </w:tcPr>
          <w:p w14:paraId="405B7678"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0FDCAE57"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201903CB"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7AB34175"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SANTA TERESA 1</w:t>
            </w:r>
          </w:p>
        </w:tc>
        <w:tc>
          <w:tcPr>
            <w:tcW w:w="1220" w:type="dxa"/>
          </w:tcPr>
          <w:p w14:paraId="49E326FB"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2</w:t>
            </w:r>
          </w:p>
        </w:tc>
        <w:tc>
          <w:tcPr>
            <w:tcW w:w="1920" w:type="dxa"/>
          </w:tcPr>
          <w:p w14:paraId="2A5B403B"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121A7DCB" w14:textId="77777777" w:rsidTr="00B05F31">
        <w:trPr>
          <w:tblCellSpacing w:w="20" w:type="dxa"/>
          <w:jc w:val="center"/>
        </w:trPr>
        <w:tc>
          <w:tcPr>
            <w:tcW w:w="1380" w:type="dxa"/>
          </w:tcPr>
          <w:p w14:paraId="0552B396"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50C037BD"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79273AFA"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710E898B"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LALANA</w:t>
            </w:r>
          </w:p>
        </w:tc>
        <w:tc>
          <w:tcPr>
            <w:tcW w:w="1220" w:type="dxa"/>
          </w:tcPr>
          <w:p w14:paraId="55BF9C18"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1</w:t>
            </w:r>
          </w:p>
        </w:tc>
        <w:tc>
          <w:tcPr>
            <w:tcW w:w="1920" w:type="dxa"/>
          </w:tcPr>
          <w:p w14:paraId="32D435A3"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7C42F1DE" w14:textId="77777777" w:rsidTr="00B05F31">
        <w:trPr>
          <w:tblCellSpacing w:w="20" w:type="dxa"/>
          <w:jc w:val="center"/>
        </w:trPr>
        <w:tc>
          <w:tcPr>
            <w:tcW w:w="1380" w:type="dxa"/>
          </w:tcPr>
          <w:p w14:paraId="1D58847A"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67DF0AD8"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72AFE818"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6167C293"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LA FRONTERA</w:t>
            </w:r>
          </w:p>
        </w:tc>
        <w:tc>
          <w:tcPr>
            <w:tcW w:w="1220" w:type="dxa"/>
          </w:tcPr>
          <w:p w14:paraId="64A063EE"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6</w:t>
            </w:r>
          </w:p>
        </w:tc>
        <w:tc>
          <w:tcPr>
            <w:tcW w:w="1920" w:type="dxa"/>
          </w:tcPr>
          <w:p w14:paraId="78269C31"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31D55C29" w14:textId="77777777" w:rsidTr="00B05F31">
        <w:trPr>
          <w:tblCellSpacing w:w="20" w:type="dxa"/>
          <w:jc w:val="center"/>
        </w:trPr>
        <w:tc>
          <w:tcPr>
            <w:tcW w:w="1380" w:type="dxa"/>
          </w:tcPr>
          <w:p w14:paraId="2F45CB69"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23993511"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47959050"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4FCE1D4F"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ARROYO ZAPATA</w:t>
            </w:r>
          </w:p>
        </w:tc>
        <w:tc>
          <w:tcPr>
            <w:tcW w:w="1220" w:type="dxa"/>
          </w:tcPr>
          <w:p w14:paraId="31474E25"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1</w:t>
            </w:r>
          </w:p>
        </w:tc>
        <w:tc>
          <w:tcPr>
            <w:tcW w:w="1920" w:type="dxa"/>
          </w:tcPr>
          <w:p w14:paraId="178DB13E"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679CE3AA" w14:textId="77777777" w:rsidTr="00B05F31">
        <w:trPr>
          <w:tblCellSpacing w:w="20" w:type="dxa"/>
          <w:jc w:val="center"/>
        </w:trPr>
        <w:tc>
          <w:tcPr>
            <w:tcW w:w="1380" w:type="dxa"/>
          </w:tcPr>
          <w:p w14:paraId="613D530E"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08A828D7"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36337109"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6E843132"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EL MIRADOR</w:t>
            </w:r>
          </w:p>
        </w:tc>
        <w:tc>
          <w:tcPr>
            <w:tcW w:w="1220" w:type="dxa"/>
          </w:tcPr>
          <w:p w14:paraId="60603D94"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1</w:t>
            </w:r>
          </w:p>
        </w:tc>
        <w:tc>
          <w:tcPr>
            <w:tcW w:w="1920" w:type="dxa"/>
          </w:tcPr>
          <w:p w14:paraId="67273EB0"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6DCEDFE5" w14:textId="77777777" w:rsidTr="00B05F31">
        <w:trPr>
          <w:tblCellSpacing w:w="20" w:type="dxa"/>
          <w:jc w:val="center"/>
        </w:trPr>
        <w:tc>
          <w:tcPr>
            <w:tcW w:w="1380" w:type="dxa"/>
          </w:tcPr>
          <w:p w14:paraId="08D6E905"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37B62CC0"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62DF839C"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33C8EAEA"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EL CANARIO</w:t>
            </w:r>
          </w:p>
        </w:tc>
        <w:tc>
          <w:tcPr>
            <w:tcW w:w="1220" w:type="dxa"/>
          </w:tcPr>
          <w:p w14:paraId="3DE8D46C"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2</w:t>
            </w:r>
          </w:p>
        </w:tc>
        <w:tc>
          <w:tcPr>
            <w:tcW w:w="1920" w:type="dxa"/>
          </w:tcPr>
          <w:p w14:paraId="2829FCAA"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3D73F58A" w14:textId="77777777" w:rsidTr="00B05F31">
        <w:trPr>
          <w:tblCellSpacing w:w="20" w:type="dxa"/>
          <w:jc w:val="center"/>
        </w:trPr>
        <w:tc>
          <w:tcPr>
            <w:tcW w:w="1380" w:type="dxa"/>
          </w:tcPr>
          <w:p w14:paraId="347041BD"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5196B8B7"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1E392225"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10DF9ADE"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LA AURORA</w:t>
            </w:r>
          </w:p>
        </w:tc>
        <w:tc>
          <w:tcPr>
            <w:tcW w:w="1220" w:type="dxa"/>
          </w:tcPr>
          <w:p w14:paraId="6D44FDAE"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2</w:t>
            </w:r>
          </w:p>
        </w:tc>
        <w:tc>
          <w:tcPr>
            <w:tcW w:w="1920" w:type="dxa"/>
          </w:tcPr>
          <w:p w14:paraId="0AC4DD8C"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15548B0D" w14:textId="77777777" w:rsidTr="00B05F31">
        <w:trPr>
          <w:tblCellSpacing w:w="20" w:type="dxa"/>
          <w:jc w:val="center"/>
        </w:trPr>
        <w:tc>
          <w:tcPr>
            <w:tcW w:w="1380" w:type="dxa"/>
          </w:tcPr>
          <w:p w14:paraId="249F7305"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140C5006"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3766BB6A"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7B30A50D" w14:textId="77777777" w:rsidR="00676010" w:rsidRPr="00CF2780" w:rsidRDefault="00676010" w:rsidP="00676010">
            <w:pPr>
              <w:spacing w:after="0" w:line="240" w:lineRule="auto"/>
              <w:rPr>
                <w:rFonts w:ascii="Arial" w:eastAsia="Times New Roman" w:hAnsi="Arial" w:cs="Arial"/>
                <w:sz w:val="18"/>
                <w:szCs w:val="24"/>
                <w:lang w:eastAsia="es-ES"/>
              </w:rPr>
            </w:pPr>
            <w:r w:rsidRPr="00CF2780">
              <w:rPr>
                <w:rFonts w:ascii="Arial" w:eastAsia="Times New Roman" w:hAnsi="Arial" w:cs="Arial"/>
                <w:sz w:val="18"/>
                <w:szCs w:val="24"/>
                <w:lang w:eastAsia="es-ES"/>
              </w:rPr>
              <w:t>LA PALMA DE LA ESPERANZA</w:t>
            </w:r>
          </w:p>
        </w:tc>
        <w:tc>
          <w:tcPr>
            <w:tcW w:w="1220" w:type="dxa"/>
          </w:tcPr>
          <w:p w14:paraId="1438D1DF"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10</w:t>
            </w:r>
          </w:p>
        </w:tc>
        <w:tc>
          <w:tcPr>
            <w:tcW w:w="1920" w:type="dxa"/>
          </w:tcPr>
          <w:p w14:paraId="62D80C16"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4943F49F" w14:textId="77777777" w:rsidTr="00B05F31">
        <w:trPr>
          <w:tblCellSpacing w:w="20" w:type="dxa"/>
          <w:jc w:val="center"/>
        </w:trPr>
        <w:tc>
          <w:tcPr>
            <w:tcW w:w="1380" w:type="dxa"/>
          </w:tcPr>
          <w:p w14:paraId="67672A24"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7BC89EA9"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5A7BB5B3"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56F67B0D"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ZAPATA</w:t>
            </w:r>
          </w:p>
        </w:tc>
        <w:tc>
          <w:tcPr>
            <w:tcW w:w="1220" w:type="dxa"/>
          </w:tcPr>
          <w:p w14:paraId="48DB988F"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1</w:t>
            </w:r>
          </w:p>
        </w:tc>
        <w:tc>
          <w:tcPr>
            <w:tcW w:w="1920" w:type="dxa"/>
          </w:tcPr>
          <w:p w14:paraId="2B7882F0"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531D45F9" w14:textId="77777777" w:rsidTr="00B05F31">
        <w:trPr>
          <w:tblCellSpacing w:w="20" w:type="dxa"/>
          <w:jc w:val="center"/>
        </w:trPr>
        <w:tc>
          <w:tcPr>
            <w:tcW w:w="1380" w:type="dxa"/>
          </w:tcPr>
          <w:p w14:paraId="4F0C63E2"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2960B310"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7DC23E1B"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1FD59516"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SANTA TERESA</w:t>
            </w:r>
          </w:p>
        </w:tc>
        <w:tc>
          <w:tcPr>
            <w:tcW w:w="1220" w:type="dxa"/>
          </w:tcPr>
          <w:p w14:paraId="5FC52975"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1</w:t>
            </w:r>
          </w:p>
        </w:tc>
        <w:tc>
          <w:tcPr>
            <w:tcW w:w="1920" w:type="dxa"/>
          </w:tcPr>
          <w:p w14:paraId="29D45DC0"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42D64852" w14:textId="77777777" w:rsidTr="00B05F31">
        <w:trPr>
          <w:tblCellSpacing w:w="20" w:type="dxa"/>
          <w:jc w:val="center"/>
        </w:trPr>
        <w:tc>
          <w:tcPr>
            <w:tcW w:w="1380" w:type="dxa"/>
          </w:tcPr>
          <w:p w14:paraId="25123647"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46B90CF2"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443280DF"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6086C67F"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OJOCHAL</w:t>
            </w:r>
          </w:p>
        </w:tc>
        <w:tc>
          <w:tcPr>
            <w:tcW w:w="1220" w:type="dxa"/>
          </w:tcPr>
          <w:p w14:paraId="2D79EE06"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1</w:t>
            </w:r>
          </w:p>
        </w:tc>
        <w:tc>
          <w:tcPr>
            <w:tcW w:w="1920" w:type="dxa"/>
          </w:tcPr>
          <w:p w14:paraId="39AD27A2"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769E9C62" w14:textId="77777777" w:rsidTr="00B05F31">
        <w:trPr>
          <w:tblCellSpacing w:w="20" w:type="dxa"/>
          <w:jc w:val="center"/>
        </w:trPr>
        <w:tc>
          <w:tcPr>
            <w:tcW w:w="1380" w:type="dxa"/>
          </w:tcPr>
          <w:p w14:paraId="31A13CCB"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11A60AC5"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29F7E4EF"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26167599"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LISTA HERMOSA</w:t>
            </w:r>
          </w:p>
        </w:tc>
        <w:tc>
          <w:tcPr>
            <w:tcW w:w="1220" w:type="dxa"/>
          </w:tcPr>
          <w:p w14:paraId="46AA4114"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1</w:t>
            </w:r>
          </w:p>
        </w:tc>
        <w:tc>
          <w:tcPr>
            <w:tcW w:w="1920" w:type="dxa"/>
          </w:tcPr>
          <w:p w14:paraId="0C8F7595"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1A9010B6" w14:textId="77777777" w:rsidTr="00B05F31">
        <w:trPr>
          <w:tblCellSpacing w:w="20" w:type="dxa"/>
          <w:jc w:val="center"/>
        </w:trPr>
        <w:tc>
          <w:tcPr>
            <w:tcW w:w="1380" w:type="dxa"/>
          </w:tcPr>
          <w:p w14:paraId="3DE251D7"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2E6A70DC"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447873E6"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5C031F70"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SAN SIMÓN</w:t>
            </w:r>
          </w:p>
        </w:tc>
        <w:tc>
          <w:tcPr>
            <w:tcW w:w="1220" w:type="dxa"/>
          </w:tcPr>
          <w:p w14:paraId="7ED9E034"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1</w:t>
            </w:r>
          </w:p>
        </w:tc>
        <w:tc>
          <w:tcPr>
            <w:tcW w:w="1920" w:type="dxa"/>
          </w:tcPr>
          <w:p w14:paraId="077B26E7"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68F286C3" w14:textId="77777777" w:rsidTr="00B05F31">
        <w:trPr>
          <w:tblCellSpacing w:w="20" w:type="dxa"/>
          <w:jc w:val="center"/>
        </w:trPr>
        <w:tc>
          <w:tcPr>
            <w:tcW w:w="1380" w:type="dxa"/>
          </w:tcPr>
          <w:p w14:paraId="23DDD0B7"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0F9CB19C"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095658D6"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509AAED5"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EL PROGRESO</w:t>
            </w:r>
          </w:p>
        </w:tc>
        <w:tc>
          <w:tcPr>
            <w:tcW w:w="1220" w:type="dxa"/>
          </w:tcPr>
          <w:p w14:paraId="5931F7D8"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1</w:t>
            </w:r>
          </w:p>
        </w:tc>
        <w:tc>
          <w:tcPr>
            <w:tcW w:w="1920" w:type="dxa"/>
          </w:tcPr>
          <w:p w14:paraId="6CFE0AD5"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48772D92" w14:textId="77777777" w:rsidTr="00B05F31">
        <w:trPr>
          <w:tblCellSpacing w:w="20" w:type="dxa"/>
          <w:jc w:val="center"/>
        </w:trPr>
        <w:tc>
          <w:tcPr>
            <w:tcW w:w="1380" w:type="dxa"/>
          </w:tcPr>
          <w:p w14:paraId="3B28CA92"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26F013D0"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6334E50F"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7F4449C3"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LA GINEBRA</w:t>
            </w:r>
          </w:p>
        </w:tc>
        <w:tc>
          <w:tcPr>
            <w:tcW w:w="1220" w:type="dxa"/>
          </w:tcPr>
          <w:p w14:paraId="79CEAB75"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1</w:t>
            </w:r>
          </w:p>
        </w:tc>
        <w:tc>
          <w:tcPr>
            <w:tcW w:w="1920" w:type="dxa"/>
          </w:tcPr>
          <w:p w14:paraId="08949DD2"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351F24F1" w14:textId="77777777" w:rsidTr="00B05F31">
        <w:trPr>
          <w:tblCellSpacing w:w="20" w:type="dxa"/>
          <w:jc w:val="center"/>
        </w:trPr>
        <w:tc>
          <w:tcPr>
            <w:tcW w:w="1380" w:type="dxa"/>
          </w:tcPr>
          <w:p w14:paraId="1F1C214B"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1535F944"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52A84FF6"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1E107B4B"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EL RETIRO</w:t>
            </w:r>
          </w:p>
        </w:tc>
        <w:tc>
          <w:tcPr>
            <w:tcW w:w="1220" w:type="dxa"/>
          </w:tcPr>
          <w:p w14:paraId="7956A770"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1</w:t>
            </w:r>
          </w:p>
        </w:tc>
        <w:tc>
          <w:tcPr>
            <w:tcW w:w="1920" w:type="dxa"/>
          </w:tcPr>
          <w:p w14:paraId="0C626090"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5BB885CA" w14:textId="77777777" w:rsidTr="00B05F31">
        <w:trPr>
          <w:tblCellSpacing w:w="20" w:type="dxa"/>
          <w:jc w:val="center"/>
        </w:trPr>
        <w:tc>
          <w:tcPr>
            <w:tcW w:w="1380" w:type="dxa"/>
          </w:tcPr>
          <w:p w14:paraId="06D906F9"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4EED34A1"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7D08EAD6"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5A261897"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LAS DELICIAS</w:t>
            </w:r>
          </w:p>
        </w:tc>
        <w:tc>
          <w:tcPr>
            <w:tcW w:w="1220" w:type="dxa"/>
          </w:tcPr>
          <w:p w14:paraId="028A34A6"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2</w:t>
            </w:r>
          </w:p>
        </w:tc>
        <w:tc>
          <w:tcPr>
            <w:tcW w:w="1920" w:type="dxa"/>
          </w:tcPr>
          <w:p w14:paraId="0B1264FA"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bl>
    <w:p w14:paraId="50F18557" w14:textId="77777777" w:rsidR="00676010" w:rsidRPr="00CF2780" w:rsidRDefault="00676010" w:rsidP="00676010">
      <w:pPr>
        <w:spacing w:after="0" w:line="240" w:lineRule="auto"/>
        <w:jc w:val="both"/>
        <w:rPr>
          <w:rFonts w:ascii="Arial" w:eastAsia="Times New Roman" w:hAnsi="Arial" w:cs="Arial"/>
          <w:b/>
          <w:bCs/>
          <w:sz w:val="14"/>
          <w:szCs w:val="24"/>
          <w:lang w:eastAsia="es-ES"/>
        </w:rPr>
      </w:pPr>
    </w:p>
    <w:tbl>
      <w:tblPr>
        <w:tblW w:w="0" w:type="auto"/>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shd w:val="clear" w:color="auto" w:fill="CCCCCC"/>
        <w:tblCellMar>
          <w:left w:w="70" w:type="dxa"/>
          <w:right w:w="70" w:type="dxa"/>
        </w:tblCellMar>
        <w:tblLook w:val="00A0" w:firstRow="1" w:lastRow="0" w:firstColumn="1" w:lastColumn="0" w:noHBand="0" w:noVBand="0"/>
      </w:tblPr>
      <w:tblGrid>
        <w:gridCol w:w="2520"/>
        <w:gridCol w:w="1980"/>
      </w:tblGrid>
      <w:tr w:rsidR="00676010" w:rsidRPr="00CF2780" w14:paraId="5DD85C28" w14:textId="77777777" w:rsidTr="00B05F31">
        <w:trPr>
          <w:tblCellSpacing w:w="20" w:type="dxa"/>
          <w:jc w:val="center"/>
        </w:trPr>
        <w:tc>
          <w:tcPr>
            <w:tcW w:w="2460" w:type="dxa"/>
            <w:shd w:val="clear" w:color="auto" w:fill="CCCCCC"/>
          </w:tcPr>
          <w:p w14:paraId="5C954BE5" w14:textId="77777777" w:rsidR="00676010" w:rsidRPr="00CF2780" w:rsidRDefault="00676010" w:rsidP="00676010">
            <w:pPr>
              <w:spacing w:after="0" w:line="240" w:lineRule="auto"/>
              <w:jc w:val="center"/>
              <w:rPr>
                <w:rFonts w:ascii="Arial" w:eastAsia="Times New Roman" w:hAnsi="Arial" w:cs="Arial"/>
                <w:b/>
                <w:bCs/>
                <w:sz w:val="24"/>
                <w:szCs w:val="24"/>
                <w:lang w:eastAsia="es-ES"/>
              </w:rPr>
            </w:pPr>
            <w:r w:rsidRPr="00CF2780">
              <w:rPr>
                <w:rFonts w:ascii="Arial" w:eastAsia="Times New Roman" w:hAnsi="Arial" w:cs="Arial"/>
                <w:b/>
                <w:bCs/>
                <w:sz w:val="24"/>
                <w:szCs w:val="24"/>
                <w:lang w:eastAsia="es-ES"/>
              </w:rPr>
              <w:t>TOTAL</w:t>
            </w:r>
          </w:p>
        </w:tc>
        <w:tc>
          <w:tcPr>
            <w:tcW w:w="1920" w:type="dxa"/>
            <w:shd w:val="clear" w:color="auto" w:fill="CCCCCC"/>
          </w:tcPr>
          <w:p w14:paraId="668D829B" w14:textId="77777777" w:rsidR="00676010" w:rsidRPr="00CF2780" w:rsidRDefault="00676010" w:rsidP="00676010">
            <w:pPr>
              <w:spacing w:after="0" w:line="240" w:lineRule="auto"/>
              <w:jc w:val="center"/>
              <w:rPr>
                <w:rFonts w:ascii="Arial" w:eastAsia="Times New Roman" w:hAnsi="Arial" w:cs="Arial"/>
                <w:b/>
                <w:bCs/>
                <w:sz w:val="24"/>
                <w:szCs w:val="24"/>
                <w:lang w:eastAsia="es-ES"/>
              </w:rPr>
            </w:pPr>
            <w:r w:rsidRPr="00CF2780">
              <w:rPr>
                <w:rFonts w:ascii="Arial" w:eastAsia="Times New Roman" w:hAnsi="Arial" w:cs="Arial"/>
                <w:b/>
                <w:bCs/>
                <w:sz w:val="24"/>
                <w:szCs w:val="24"/>
                <w:lang w:eastAsia="es-ES"/>
              </w:rPr>
              <w:t>545</w:t>
            </w:r>
          </w:p>
        </w:tc>
      </w:tr>
    </w:tbl>
    <w:p w14:paraId="5054614B" w14:textId="77777777" w:rsidR="00676010" w:rsidRPr="00CF2780" w:rsidRDefault="00676010" w:rsidP="00676010">
      <w:pPr>
        <w:spacing w:after="0" w:line="240" w:lineRule="auto"/>
        <w:jc w:val="both"/>
        <w:rPr>
          <w:rFonts w:ascii="Arial" w:eastAsia="Times New Roman" w:hAnsi="Arial" w:cs="Arial"/>
          <w:sz w:val="24"/>
          <w:szCs w:val="24"/>
          <w:lang w:eastAsia="es-ES"/>
        </w:rPr>
      </w:pPr>
    </w:p>
    <w:p w14:paraId="50255043" w14:textId="77777777" w:rsidR="00676010" w:rsidRPr="00CF2780" w:rsidRDefault="00676010" w:rsidP="00676010">
      <w:pPr>
        <w:spacing w:after="0" w:line="240" w:lineRule="auto"/>
        <w:jc w:val="both"/>
        <w:rPr>
          <w:rFonts w:ascii="Arial" w:eastAsia="Times New Roman" w:hAnsi="Arial" w:cs="Arial"/>
          <w:sz w:val="24"/>
          <w:szCs w:val="24"/>
          <w:lang w:eastAsia="es-ES"/>
        </w:rPr>
      </w:pPr>
    </w:p>
    <w:tbl>
      <w:tblPr>
        <w:tblW w:w="9900" w:type="dxa"/>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left w:w="70" w:type="dxa"/>
          <w:right w:w="70" w:type="dxa"/>
        </w:tblCellMar>
        <w:tblLook w:val="00A0" w:firstRow="1" w:lastRow="0" w:firstColumn="1" w:lastColumn="0" w:noHBand="0" w:noVBand="0"/>
      </w:tblPr>
      <w:tblGrid>
        <w:gridCol w:w="1440"/>
        <w:gridCol w:w="1620"/>
        <w:gridCol w:w="1260"/>
        <w:gridCol w:w="2340"/>
        <w:gridCol w:w="1260"/>
        <w:gridCol w:w="1980"/>
      </w:tblGrid>
      <w:tr w:rsidR="00676010" w:rsidRPr="00CF2780" w14:paraId="5F9B6E92" w14:textId="77777777" w:rsidTr="00B05F31">
        <w:trPr>
          <w:tblCellSpacing w:w="20" w:type="dxa"/>
          <w:jc w:val="center"/>
        </w:trPr>
        <w:tc>
          <w:tcPr>
            <w:tcW w:w="1380" w:type="dxa"/>
          </w:tcPr>
          <w:p w14:paraId="42850843" w14:textId="77777777" w:rsidR="00676010" w:rsidRPr="00CF2780" w:rsidRDefault="00676010" w:rsidP="00676010">
            <w:pPr>
              <w:spacing w:after="0" w:line="240" w:lineRule="auto"/>
              <w:jc w:val="center"/>
              <w:rPr>
                <w:rFonts w:ascii="Arial" w:eastAsia="Times New Roman" w:hAnsi="Arial" w:cs="Arial"/>
                <w:b/>
                <w:bCs/>
                <w:sz w:val="18"/>
                <w:szCs w:val="24"/>
                <w:lang w:eastAsia="es-ES"/>
              </w:rPr>
            </w:pPr>
            <w:r w:rsidRPr="00CF2780">
              <w:rPr>
                <w:rFonts w:ascii="Arial" w:eastAsia="Times New Roman" w:hAnsi="Arial" w:cs="Arial"/>
                <w:b/>
                <w:bCs/>
                <w:sz w:val="18"/>
                <w:szCs w:val="24"/>
                <w:lang w:eastAsia="es-ES"/>
              </w:rPr>
              <w:t>SECCIÓN</w:t>
            </w:r>
          </w:p>
        </w:tc>
        <w:tc>
          <w:tcPr>
            <w:tcW w:w="1580" w:type="dxa"/>
          </w:tcPr>
          <w:p w14:paraId="049AB7BA" w14:textId="77777777" w:rsidR="00676010" w:rsidRPr="00CF2780" w:rsidRDefault="00676010" w:rsidP="00676010">
            <w:pPr>
              <w:spacing w:after="0" w:line="240" w:lineRule="auto"/>
              <w:jc w:val="center"/>
              <w:rPr>
                <w:rFonts w:ascii="Arial" w:eastAsia="Times New Roman" w:hAnsi="Arial" w:cs="Arial"/>
                <w:b/>
                <w:bCs/>
                <w:sz w:val="18"/>
                <w:szCs w:val="24"/>
                <w:lang w:eastAsia="es-ES"/>
              </w:rPr>
            </w:pPr>
            <w:r w:rsidRPr="00CF2780">
              <w:rPr>
                <w:rFonts w:ascii="Arial" w:eastAsia="Times New Roman" w:hAnsi="Arial" w:cs="Arial"/>
                <w:b/>
                <w:bCs/>
                <w:sz w:val="18"/>
                <w:szCs w:val="24"/>
                <w:lang w:eastAsia="es-ES"/>
              </w:rPr>
              <w:t>LISTA NOMINAL</w:t>
            </w:r>
          </w:p>
          <w:p w14:paraId="3E8715B0" w14:textId="77777777" w:rsidR="00676010" w:rsidRPr="00CF2780" w:rsidRDefault="00676010" w:rsidP="00676010">
            <w:pPr>
              <w:spacing w:after="0" w:line="240" w:lineRule="auto"/>
              <w:jc w:val="center"/>
              <w:rPr>
                <w:rFonts w:ascii="Arial" w:eastAsia="Times New Roman" w:hAnsi="Arial" w:cs="Arial"/>
                <w:b/>
                <w:bCs/>
                <w:sz w:val="18"/>
                <w:szCs w:val="24"/>
                <w:lang w:eastAsia="es-ES"/>
              </w:rPr>
            </w:pPr>
            <w:r w:rsidRPr="00CF2780">
              <w:rPr>
                <w:rFonts w:ascii="Arial" w:eastAsia="Times New Roman" w:hAnsi="Arial" w:cs="Arial"/>
                <w:b/>
                <w:bCs/>
                <w:sz w:val="18"/>
                <w:szCs w:val="24"/>
                <w:lang w:eastAsia="es-ES"/>
              </w:rPr>
              <w:t>2001</w:t>
            </w:r>
          </w:p>
        </w:tc>
        <w:tc>
          <w:tcPr>
            <w:tcW w:w="1220" w:type="dxa"/>
          </w:tcPr>
          <w:p w14:paraId="5F57E6D7" w14:textId="77777777" w:rsidR="00676010" w:rsidRPr="00CF2780" w:rsidRDefault="00676010" w:rsidP="00676010">
            <w:pPr>
              <w:spacing w:after="0" w:line="240" w:lineRule="auto"/>
              <w:jc w:val="center"/>
              <w:rPr>
                <w:rFonts w:ascii="Arial" w:eastAsia="Times New Roman" w:hAnsi="Arial" w:cs="Arial"/>
                <w:b/>
                <w:bCs/>
                <w:sz w:val="18"/>
                <w:szCs w:val="24"/>
                <w:lang w:eastAsia="es-ES"/>
              </w:rPr>
            </w:pPr>
            <w:r w:rsidRPr="00CF2780">
              <w:rPr>
                <w:rFonts w:ascii="Arial" w:eastAsia="Times New Roman" w:hAnsi="Arial" w:cs="Arial"/>
                <w:b/>
                <w:bCs/>
                <w:sz w:val="18"/>
                <w:szCs w:val="24"/>
                <w:lang w:eastAsia="es-ES"/>
              </w:rPr>
              <w:t>TIPO DE CASILLA</w:t>
            </w:r>
          </w:p>
        </w:tc>
        <w:tc>
          <w:tcPr>
            <w:tcW w:w="2300" w:type="dxa"/>
          </w:tcPr>
          <w:p w14:paraId="4A3FA125" w14:textId="77777777" w:rsidR="00676010" w:rsidRPr="00CF2780" w:rsidRDefault="00676010" w:rsidP="00676010">
            <w:pPr>
              <w:keepNext/>
              <w:spacing w:after="0" w:line="240" w:lineRule="auto"/>
              <w:jc w:val="center"/>
              <w:outlineLvl w:val="3"/>
              <w:rPr>
                <w:rFonts w:ascii="Arial" w:eastAsia="Times New Roman" w:hAnsi="Arial" w:cs="Arial"/>
                <w:b/>
                <w:bCs/>
                <w:sz w:val="18"/>
                <w:szCs w:val="24"/>
                <w:lang w:eastAsia="es-ES"/>
              </w:rPr>
            </w:pPr>
            <w:r w:rsidRPr="00CF2780">
              <w:rPr>
                <w:rFonts w:ascii="Arial" w:eastAsia="Times New Roman" w:hAnsi="Arial" w:cs="Arial"/>
                <w:b/>
                <w:bCs/>
                <w:sz w:val="18"/>
                <w:szCs w:val="24"/>
                <w:lang w:eastAsia="es-ES"/>
              </w:rPr>
              <w:t>LOCALIDAD</w:t>
            </w:r>
          </w:p>
        </w:tc>
        <w:tc>
          <w:tcPr>
            <w:tcW w:w="1220" w:type="dxa"/>
          </w:tcPr>
          <w:p w14:paraId="0615D685" w14:textId="77777777" w:rsidR="00676010" w:rsidRPr="00CF2780" w:rsidRDefault="00676010" w:rsidP="00676010">
            <w:pPr>
              <w:spacing w:after="0" w:line="240" w:lineRule="auto"/>
              <w:jc w:val="center"/>
              <w:rPr>
                <w:rFonts w:ascii="Arial" w:eastAsia="Times New Roman" w:hAnsi="Arial" w:cs="Arial"/>
                <w:b/>
                <w:bCs/>
                <w:sz w:val="18"/>
                <w:szCs w:val="24"/>
                <w:lang w:eastAsia="es-ES"/>
              </w:rPr>
            </w:pPr>
            <w:r w:rsidRPr="00CF2780">
              <w:rPr>
                <w:rFonts w:ascii="Arial" w:eastAsia="Times New Roman" w:hAnsi="Arial" w:cs="Arial"/>
                <w:b/>
                <w:bCs/>
                <w:sz w:val="18"/>
                <w:szCs w:val="24"/>
                <w:lang w:eastAsia="es-ES"/>
              </w:rPr>
              <w:t>No. DE VOTANTES</w:t>
            </w:r>
          </w:p>
        </w:tc>
        <w:tc>
          <w:tcPr>
            <w:tcW w:w="1920" w:type="dxa"/>
          </w:tcPr>
          <w:p w14:paraId="0ED36A23" w14:textId="77777777" w:rsidR="00676010" w:rsidRPr="00CF2780" w:rsidRDefault="00676010" w:rsidP="00676010">
            <w:pPr>
              <w:keepNext/>
              <w:spacing w:after="0" w:line="240" w:lineRule="auto"/>
              <w:jc w:val="center"/>
              <w:outlineLvl w:val="3"/>
              <w:rPr>
                <w:rFonts w:ascii="Arial" w:eastAsia="Times New Roman" w:hAnsi="Arial" w:cs="Arial"/>
                <w:b/>
                <w:bCs/>
                <w:sz w:val="18"/>
                <w:szCs w:val="24"/>
                <w:lang w:eastAsia="es-ES"/>
              </w:rPr>
            </w:pPr>
            <w:r w:rsidRPr="00CF2780">
              <w:rPr>
                <w:rFonts w:ascii="Arial" w:eastAsia="Times New Roman" w:hAnsi="Arial" w:cs="Arial"/>
                <w:b/>
                <w:bCs/>
                <w:sz w:val="18"/>
                <w:szCs w:val="24"/>
                <w:lang w:eastAsia="es-ES"/>
              </w:rPr>
              <w:t>OBSERVACIONES</w:t>
            </w:r>
          </w:p>
        </w:tc>
      </w:tr>
    </w:tbl>
    <w:p w14:paraId="68EDB72B" w14:textId="77777777" w:rsidR="00676010" w:rsidRPr="00CF2780" w:rsidRDefault="00676010" w:rsidP="00676010">
      <w:pPr>
        <w:spacing w:after="0" w:line="240" w:lineRule="auto"/>
        <w:rPr>
          <w:rFonts w:ascii="Arial" w:eastAsia="Times New Roman" w:hAnsi="Arial" w:cs="Arial"/>
          <w:sz w:val="10"/>
          <w:szCs w:val="24"/>
          <w:lang w:eastAsia="es-ES"/>
        </w:rPr>
      </w:pPr>
    </w:p>
    <w:tbl>
      <w:tblPr>
        <w:tblW w:w="9900" w:type="dxa"/>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left w:w="70" w:type="dxa"/>
          <w:right w:w="70" w:type="dxa"/>
        </w:tblCellMar>
        <w:tblLook w:val="00A0" w:firstRow="1" w:lastRow="0" w:firstColumn="1" w:lastColumn="0" w:noHBand="0" w:noVBand="0"/>
      </w:tblPr>
      <w:tblGrid>
        <w:gridCol w:w="1440"/>
        <w:gridCol w:w="1620"/>
        <w:gridCol w:w="1260"/>
        <w:gridCol w:w="2340"/>
        <w:gridCol w:w="1260"/>
        <w:gridCol w:w="1980"/>
      </w:tblGrid>
      <w:tr w:rsidR="00676010" w:rsidRPr="00CF2780" w14:paraId="3ABADE6F" w14:textId="77777777" w:rsidTr="00B05F31">
        <w:trPr>
          <w:tblCellSpacing w:w="20" w:type="dxa"/>
          <w:jc w:val="center"/>
        </w:trPr>
        <w:tc>
          <w:tcPr>
            <w:tcW w:w="1380" w:type="dxa"/>
          </w:tcPr>
          <w:p w14:paraId="0298EE8D"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2153</w:t>
            </w:r>
          </w:p>
        </w:tc>
        <w:tc>
          <w:tcPr>
            <w:tcW w:w="1580" w:type="dxa"/>
          </w:tcPr>
          <w:p w14:paraId="4004495A"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545</w:t>
            </w:r>
          </w:p>
        </w:tc>
        <w:tc>
          <w:tcPr>
            <w:tcW w:w="1220" w:type="dxa"/>
          </w:tcPr>
          <w:p w14:paraId="7F7EC907"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CONTIGUA</w:t>
            </w:r>
          </w:p>
        </w:tc>
        <w:tc>
          <w:tcPr>
            <w:tcW w:w="2300" w:type="dxa"/>
          </w:tcPr>
          <w:p w14:paraId="3DF2FF63" w14:textId="77777777" w:rsidR="00676010" w:rsidRPr="00CF2780" w:rsidRDefault="00676010" w:rsidP="00676010">
            <w:pPr>
              <w:spacing w:after="0" w:line="240" w:lineRule="auto"/>
              <w:rPr>
                <w:rFonts w:ascii="Arial" w:eastAsia="Times New Roman" w:hAnsi="Arial" w:cs="Arial"/>
                <w:sz w:val="18"/>
                <w:szCs w:val="24"/>
                <w:lang w:eastAsia="es-ES"/>
              </w:rPr>
            </w:pPr>
            <w:r w:rsidRPr="00CF2780">
              <w:rPr>
                <w:rFonts w:ascii="Arial" w:eastAsia="Times New Roman" w:hAnsi="Arial" w:cs="Arial"/>
                <w:sz w:val="18"/>
                <w:szCs w:val="24"/>
                <w:lang w:eastAsia="es-ES"/>
              </w:rPr>
              <w:t>GENERAL FRANCISO VILLA</w:t>
            </w:r>
          </w:p>
        </w:tc>
        <w:tc>
          <w:tcPr>
            <w:tcW w:w="1220" w:type="dxa"/>
          </w:tcPr>
          <w:p w14:paraId="2E3C5DE5"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212</w:t>
            </w:r>
          </w:p>
        </w:tc>
        <w:tc>
          <w:tcPr>
            <w:tcW w:w="1920" w:type="dxa"/>
          </w:tcPr>
          <w:p w14:paraId="5CEAE75E"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5529499F" w14:textId="77777777" w:rsidTr="00B05F31">
        <w:trPr>
          <w:tblCellSpacing w:w="20" w:type="dxa"/>
          <w:jc w:val="center"/>
        </w:trPr>
        <w:tc>
          <w:tcPr>
            <w:tcW w:w="1380" w:type="dxa"/>
          </w:tcPr>
          <w:p w14:paraId="2DF427A2"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0AA14D7E"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692693DE"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0803953A"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NUEVO OCOTLÁN</w:t>
            </w:r>
          </w:p>
        </w:tc>
        <w:tc>
          <w:tcPr>
            <w:tcW w:w="1220" w:type="dxa"/>
          </w:tcPr>
          <w:p w14:paraId="0C8082ED"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74</w:t>
            </w:r>
          </w:p>
        </w:tc>
        <w:tc>
          <w:tcPr>
            <w:tcW w:w="1920" w:type="dxa"/>
          </w:tcPr>
          <w:p w14:paraId="392B820F"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43249557" w14:textId="77777777" w:rsidTr="00B05F31">
        <w:trPr>
          <w:tblCellSpacing w:w="20" w:type="dxa"/>
          <w:jc w:val="center"/>
        </w:trPr>
        <w:tc>
          <w:tcPr>
            <w:tcW w:w="1380" w:type="dxa"/>
          </w:tcPr>
          <w:p w14:paraId="2BFA403D"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3A7F3815"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3D9741E4"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6EC78D82"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LLANO GRANDE</w:t>
            </w:r>
          </w:p>
        </w:tc>
        <w:tc>
          <w:tcPr>
            <w:tcW w:w="1220" w:type="dxa"/>
          </w:tcPr>
          <w:p w14:paraId="788CB194"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47</w:t>
            </w:r>
          </w:p>
        </w:tc>
        <w:tc>
          <w:tcPr>
            <w:tcW w:w="1920" w:type="dxa"/>
          </w:tcPr>
          <w:p w14:paraId="4885769F"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3E9ACE69" w14:textId="77777777" w:rsidTr="00B05F31">
        <w:trPr>
          <w:tblCellSpacing w:w="20" w:type="dxa"/>
          <w:jc w:val="center"/>
        </w:trPr>
        <w:tc>
          <w:tcPr>
            <w:tcW w:w="1380" w:type="dxa"/>
          </w:tcPr>
          <w:p w14:paraId="6D8213CD"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323EA093"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27A3000B"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33457B44"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EL NARANJAL</w:t>
            </w:r>
          </w:p>
        </w:tc>
        <w:tc>
          <w:tcPr>
            <w:tcW w:w="1220" w:type="dxa"/>
          </w:tcPr>
          <w:p w14:paraId="0B96AE4E"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17</w:t>
            </w:r>
          </w:p>
        </w:tc>
        <w:tc>
          <w:tcPr>
            <w:tcW w:w="1920" w:type="dxa"/>
          </w:tcPr>
          <w:p w14:paraId="2EA9AE91"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6650A63C" w14:textId="77777777" w:rsidTr="00B05F31">
        <w:trPr>
          <w:tblCellSpacing w:w="20" w:type="dxa"/>
          <w:jc w:val="center"/>
        </w:trPr>
        <w:tc>
          <w:tcPr>
            <w:tcW w:w="1380" w:type="dxa"/>
          </w:tcPr>
          <w:p w14:paraId="53ED74E6"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57AA84D4"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43B69AB9"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4F5A7FA7"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DOLORES HIDALGO</w:t>
            </w:r>
          </w:p>
        </w:tc>
        <w:tc>
          <w:tcPr>
            <w:tcW w:w="1220" w:type="dxa"/>
          </w:tcPr>
          <w:p w14:paraId="5DDFF857"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105</w:t>
            </w:r>
          </w:p>
        </w:tc>
        <w:tc>
          <w:tcPr>
            <w:tcW w:w="1920" w:type="dxa"/>
          </w:tcPr>
          <w:p w14:paraId="7447172A"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65098884" w14:textId="77777777" w:rsidTr="00B05F31">
        <w:trPr>
          <w:tblCellSpacing w:w="20" w:type="dxa"/>
          <w:jc w:val="center"/>
        </w:trPr>
        <w:tc>
          <w:tcPr>
            <w:tcW w:w="1380" w:type="dxa"/>
          </w:tcPr>
          <w:p w14:paraId="3F062EED"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6B431FD9"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0929BB4D"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21032901" w14:textId="77777777" w:rsidR="00676010" w:rsidRPr="00CF2780" w:rsidRDefault="00676010" w:rsidP="00676010">
            <w:pPr>
              <w:spacing w:after="0" w:line="240" w:lineRule="auto"/>
              <w:rPr>
                <w:rFonts w:ascii="Arial" w:eastAsia="Times New Roman" w:hAnsi="Arial" w:cs="Arial"/>
                <w:sz w:val="18"/>
                <w:szCs w:val="24"/>
                <w:lang w:eastAsia="es-ES"/>
              </w:rPr>
            </w:pPr>
            <w:r w:rsidRPr="00CF2780">
              <w:rPr>
                <w:rFonts w:ascii="Arial" w:eastAsia="Times New Roman" w:hAnsi="Arial" w:cs="Arial"/>
                <w:sz w:val="18"/>
                <w:szCs w:val="24"/>
                <w:lang w:eastAsia="es-ES"/>
              </w:rPr>
              <w:t>LA PALMA DE LA ESPERANZA</w:t>
            </w:r>
          </w:p>
        </w:tc>
        <w:tc>
          <w:tcPr>
            <w:tcW w:w="1220" w:type="dxa"/>
          </w:tcPr>
          <w:p w14:paraId="1148CF67"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5</w:t>
            </w:r>
          </w:p>
        </w:tc>
        <w:tc>
          <w:tcPr>
            <w:tcW w:w="1920" w:type="dxa"/>
          </w:tcPr>
          <w:p w14:paraId="31495333"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782FB0B8" w14:textId="77777777" w:rsidTr="00B05F31">
        <w:trPr>
          <w:tblCellSpacing w:w="20" w:type="dxa"/>
          <w:jc w:val="center"/>
        </w:trPr>
        <w:tc>
          <w:tcPr>
            <w:tcW w:w="1380" w:type="dxa"/>
          </w:tcPr>
          <w:p w14:paraId="39C72A9D"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28BA89C6"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17444860"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31993D61"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EL CANARIO</w:t>
            </w:r>
          </w:p>
        </w:tc>
        <w:tc>
          <w:tcPr>
            <w:tcW w:w="1220" w:type="dxa"/>
          </w:tcPr>
          <w:p w14:paraId="5ED4760C"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6</w:t>
            </w:r>
          </w:p>
        </w:tc>
        <w:tc>
          <w:tcPr>
            <w:tcW w:w="1920" w:type="dxa"/>
          </w:tcPr>
          <w:p w14:paraId="17C192F6"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194E4C7C" w14:textId="77777777" w:rsidTr="00B05F31">
        <w:trPr>
          <w:tblCellSpacing w:w="20" w:type="dxa"/>
          <w:jc w:val="center"/>
        </w:trPr>
        <w:tc>
          <w:tcPr>
            <w:tcW w:w="1380" w:type="dxa"/>
          </w:tcPr>
          <w:p w14:paraId="589B7C60"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5FFF60B0"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632D3CC4"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59811C92"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EL PROGRESO</w:t>
            </w:r>
          </w:p>
        </w:tc>
        <w:tc>
          <w:tcPr>
            <w:tcW w:w="1220" w:type="dxa"/>
          </w:tcPr>
          <w:p w14:paraId="4931E00F"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9</w:t>
            </w:r>
          </w:p>
        </w:tc>
        <w:tc>
          <w:tcPr>
            <w:tcW w:w="1920" w:type="dxa"/>
          </w:tcPr>
          <w:p w14:paraId="196D832E"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7E27497A" w14:textId="77777777" w:rsidTr="00B05F31">
        <w:trPr>
          <w:tblCellSpacing w:w="20" w:type="dxa"/>
          <w:jc w:val="center"/>
        </w:trPr>
        <w:tc>
          <w:tcPr>
            <w:tcW w:w="1380" w:type="dxa"/>
          </w:tcPr>
          <w:p w14:paraId="6BD9038A"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7F69C4CF"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17B026D2"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5BCE163C"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LOS COQUITOS</w:t>
            </w:r>
          </w:p>
        </w:tc>
        <w:tc>
          <w:tcPr>
            <w:tcW w:w="1220" w:type="dxa"/>
          </w:tcPr>
          <w:p w14:paraId="0C37F4BC"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5</w:t>
            </w:r>
          </w:p>
        </w:tc>
        <w:tc>
          <w:tcPr>
            <w:tcW w:w="1920" w:type="dxa"/>
          </w:tcPr>
          <w:p w14:paraId="59B48A37"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69322977" w14:textId="77777777" w:rsidTr="00B05F31">
        <w:trPr>
          <w:tblCellSpacing w:w="20" w:type="dxa"/>
          <w:jc w:val="center"/>
        </w:trPr>
        <w:tc>
          <w:tcPr>
            <w:tcW w:w="1380" w:type="dxa"/>
          </w:tcPr>
          <w:p w14:paraId="443AC3EF"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1D7B6FFC"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2383C6F4"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11743F28"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LA VERACRUZANA</w:t>
            </w:r>
          </w:p>
        </w:tc>
        <w:tc>
          <w:tcPr>
            <w:tcW w:w="1220" w:type="dxa"/>
          </w:tcPr>
          <w:p w14:paraId="33A7A412"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3</w:t>
            </w:r>
          </w:p>
        </w:tc>
        <w:tc>
          <w:tcPr>
            <w:tcW w:w="1920" w:type="dxa"/>
          </w:tcPr>
          <w:p w14:paraId="414E0567"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2994D236" w14:textId="77777777" w:rsidTr="00B05F31">
        <w:trPr>
          <w:tblCellSpacing w:w="20" w:type="dxa"/>
          <w:jc w:val="center"/>
        </w:trPr>
        <w:tc>
          <w:tcPr>
            <w:tcW w:w="1380" w:type="dxa"/>
          </w:tcPr>
          <w:p w14:paraId="446DAD65"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3EA1DC80"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6294E80D"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0597147E"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LA FRONTERA</w:t>
            </w:r>
          </w:p>
        </w:tc>
        <w:tc>
          <w:tcPr>
            <w:tcW w:w="1220" w:type="dxa"/>
          </w:tcPr>
          <w:p w14:paraId="0FF9CA1E"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17</w:t>
            </w:r>
          </w:p>
        </w:tc>
        <w:tc>
          <w:tcPr>
            <w:tcW w:w="1920" w:type="dxa"/>
          </w:tcPr>
          <w:p w14:paraId="7CCB980B"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0983B0FF" w14:textId="77777777" w:rsidTr="00B05F31">
        <w:trPr>
          <w:tblCellSpacing w:w="20" w:type="dxa"/>
          <w:jc w:val="center"/>
        </w:trPr>
        <w:tc>
          <w:tcPr>
            <w:tcW w:w="1380" w:type="dxa"/>
          </w:tcPr>
          <w:p w14:paraId="4D5130F7"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3ED05B48"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5A4AB40B"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7EE9F07F"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TIERRA QUEMADA</w:t>
            </w:r>
          </w:p>
        </w:tc>
        <w:tc>
          <w:tcPr>
            <w:tcW w:w="1220" w:type="dxa"/>
          </w:tcPr>
          <w:p w14:paraId="6FBC248E"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3</w:t>
            </w:r>
          </w:p>
        </w:tc>
        <w:tc>
          <w:tcPr>
            <w:tcW w:w="1920" w:type="dxa"/>
          </w:tcPr>
          <w:p w14:paraId="1FD3557F"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733DF41B" w14:textId="77777777" w:rsidTr="00B05F31">
        <w:trPr>
          <w:tblCellSpacing w:w="20" w:type="dxa"/>
          <w:jc w:val="center"/>
        </w:trPr>
        <w:tc>
          <w:tcPr>
            <w:tcW w:w="1380" w:type="dxa"/>
          </w:tcPr>
          <w:p w14:paraId="1C29E188"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0DBDEF68"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4A9629D2"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7DCF2A3D"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EL 99</w:t>
            </w:r>
          </w:p>
        </w:tc>
        <w:tc>
          <w:tcPr>
            <w:tcW w:w="1220" w:type="dxa"/>
          </w:tcPr>
          <w:p w14:paraId="0F9454E8"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2</w:t>
            </w:r>
          </w:p>
        </w:tc>
        <w:tc>
          <w:tcPr>
            <w:tcW w:w="1920" w:type="dxa"/>
          </w:tcPr>
          <w:p w14:paraId="488A0DBD"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1D2D7BD2" w14:textId="77777777" w:rsidTr="00B05F31">
        <w:trPr>
          <w:tblCellSpacing w:w="20" w:type="dxa"/>
          <w:jc w:val="center"/>
        </w:trPr>
        <w:tc>
          <w:tcPr>
            <w:tcW w:w="1380" w:type="dxa"/>
          </w:tcPr>
          <w:p w14:paraId="2ACAB7F4"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3DFFE721"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1D52AE83"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07FDA30C"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EL MIRADOR</w:t>
            </w:r>
          </w:p>
        </w:tc>
        <w:tc>
          <w:tcPr>
            <w:tcW w:w="1220" w:type="dxa"/>
          </w:tcPr>
          <w:p w14:paraId="2864B377"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2</w:t>
            </w:r>
          </w:p>
        </w:tc>
        <w:tc>
          <w:tcPr>
            <w:tcW w:w="1920" w:type="dxa"/>
          </w:tcPr>
          <w:p w14:paraId="3A45A73C"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152B6884" w14:textId="77777777" w:rsidTr="00B05F31">
        <w:trPr>
          <w:tblCellSpacing w:w="20" w:type="dxa"/>
          <w:jc w:val="center"/>
        </w:trPr>
        <w:tc>
          <w:tcPr>
            <w:tcW w:w="1380" w:type="dxa"/>
          </w:tcPr>
          <w:p w14:paraId="74F3E4A7"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4B97D1CE"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1A589E7C"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54C4BBEF"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SANTE FE</w:t>
            </w:r>
          </w:p>
        </w:tc>
        <w:tc>
          <w:tcPr>
            <w:tcW w:w="1220" w:type="dxa"/>
          </w:tcPr>
          <w:p w14:paraId="1A6AA534"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3</w:t>
            </w:r>
          </w:p>
        </w:tc>
        <w:tc>
          <w:tcPr>
            <w:tcW w:w="1920" w:type="dxa"/>
          </w:tcPr>
          <w:p w14:paraId="08508C84"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256F4DE6" w14:textId="77777777" w:rsidTr="00B05F31">
        <w:trPr>
          <w:tblCellSpacing w:w="20" w:type="dxa"/>
          <w:jc w:val="center"/>
        </w:trPr>
        <w:tc>
          <w:tcPr>
            <w:tcW w:w="1380" w:type="dxa"/>
          </w:tcPr>
          <w:p w14:paraId="3D554B26"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0C30B751"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43F54EFB"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34E3C1A2"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EL MORAL</w:t>
            </w:r>
          </w:p>
        </w:tc>
        <w:tc>
          <w:tcPr>
            <w:tcW w:w="1220" w:type="dxa"/>
          </w:tcPr>
          <w:p w14:paraId="20884483"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2</w:t>
            </w:r>
          </w:p>
        </w:tc>
        <w:tc>
          <w:tcPr>
            <w:tcW w:w="1920" w:type="dxa"/>
          </w:tcPr>
          <w:p w14:paraId="26B91535"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473337DF" w14:textId="77777777" w:rsidTr="00B05F31">
        <w:trPr>
          <w:tblCellSpacing w:w="20" w:type="dxa"/>
          <w:jc w:val="center"/>
        </w:trPr>
        <w:tc>
          <w:tcPr>
            <w:tcW w:w="1380" w:type="dxa"/>
          </w:tcPr>
          <w:p w14:paraId="3A0C3A82"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022D71C9"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2472D65B"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64962C96"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SAN GABRIEL</w:t>
            </w:r>
          </w:p>
        </w:tc>
        <w:tc>
          <w:tcPr>
            <w:tcW w:w="1220" w:type="dxa"/>
          </w:tcPr>
          <w:p w14:paraId="70396AEE"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1</w:t>
            </w:r>
          </w:p>
        </w:tc>
        <w:tc>
          <w:tcPr>
            <w:tcW w:w="1920" w:type="dxa"/>
          </w:tcPr>
          <w:p w14:paraId="65C810A3"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1556A9C4" w14:textId="77777777" w:rsidTr="00B05F31">
        <w:trPr>
          <w:tblCellSpacing w:w="20" w:type="dxa"/>
          <w:jc w:val="center"/>
        </w:trPr>
        <w:tc>
          <w:tcPr>
            <w:tcW w:w="1380" w:type="dxa"/>
          </w:tcPr>
          <w:p w14:paraId="12F34D1E"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1AE228FB"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714AD7AF"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5F413EBF"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LA OAXAQUEÑA</w:t>
            </w:r>
          </w:p>
        </w:tc>
        <w:tc>
          <w:tcPr>
            <w:tcW w:w="1220" w:type="dxa"/>
          </w:tcPr>
          <w:p w14:paraId="65110E0F"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4</w:t>
            </w:r>
          </w:p>
        </w:tc>
        <w:tc>
          <w:tcPr>
            <w:tcW w:w="1920" w:type="dxa"/>
          </w:tcPr>
          <w:p w14:paraId="5A554C22"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27F38A21" w14:textId="77777777" w:rsidTr="00B05F31">
        <w:trPr>
          <w:tblCellSpacing w:w="20" w:type="dxa"/>
          <w:jc w:val="center"/>
        </w:trPr>
        <w:tc>
          <w:tcPr>
            <w:tcW w:w="1380" w:type="dxa"/>
          </w:tcPr>
          <w:p w14:paraId="38BB8FE2"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0E8B961D"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1C0A952D"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5D09B37E"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LA VEYOTA</w:t>
            </w:r>
          </w:p>
        </w:tc>
        <w:tc>
          <w:tcPr>
            <w:tcW w:w="1220" w:type="dxa"/>
          </w:tcPr>
          <w:p w14:paraId="5837C1F0"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3</w:t>
            </w:r>
          </w:p>
        </w:tc>
        <w:tc>
          <w:tcPr>
            <w:tcW w:w="1920" w:type="dxa"/>
          </w:tcPr>
          <w:p w14:paraId="6E17F3DE"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61AD42ED" w14:textId="77777777" w:rsidTr="00B05F31">
        <w:trPr>
          <w:tblCellSpacing w:w="20" w:type="dxa"/>
          <w:jc w:val="center"/>
        </w:trPr>
        <w:tc>
          <w:tcPr>
            <w:tcW w:w="1380" w:type="dxa"/>
          </w:tcPr>
          <w:p w14:paraId="4506DED7"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339FC98E"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14041233"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7B3AD82F"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LALANA</w:t>
            </w:r>
          </w:p>
        </w:tc>
        <w:tc>
          <w:tcPr>
            <w:tcW w:w="1220" w:type="dxa"/>
          </w:tcPr>
          <w:p w14:paraId="1B8482FB"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1</w:t>
            </w:r>
          </w:p>
        </w:tc>
        <w:tc>
          <w:tcPr>
            <w:tcW w:w="1920" w:type="dxa"/>
          </w:tcPr>
          <w:p w14:paraId="45A18D0F"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3CFF4A3E" w14:textId="77777777" w:rsidTr="00B05F31">
        <w:trPr>
          <w:tblCellSpacing w:w="20" w:type="dxa"/>
          <w:jc w:val="center"/>
        </w:trPr>
        <w:tc>
          <w:tcPr>
            <w:tcW w:w="1380" w:type="dxa"/>
          </w:tcPr>
          <w:p w14:paraId="4EED6D11"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057DFF65"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4DBB6D7A"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2A63CC78"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EL MILAGRO</w:t>
            </w:r>
          </w:p>
        </w:tc>
        <w:tc>
          <w:tcPr>
            <w:tcW w:w="1220" w:type="dxa"/>
          </w:tcPr>
          <w:p w14:paraId="51A7E7B1"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12</w:t>
            </w:r>
          </w:p>
        </w:tc>
        <w:tc>
          <w:tcPr>
            <w:tcW w:w="1920" w:type="dxa"/>
          </w:tcPr>
          <w:p w14:paraId="317051CF"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38E609D0" w14:textId="77777777" w:rsidTr="00B05F31">
        <w:trPr>
          <w:tblCellSpacing w:w="20" w:type="dxa"/>
          <w:jc w:val="center"/>
        </w:trPr>
        <w:tc>
          <w:tcPr>
            <w:tcW w:w="1380" w:type="dxa"/>
          </w:tcPr>
          <w:p w14:paraId="28CFF069"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4C46B559"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4FA802EE"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7B853801"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LA PALOMA</w:t>
            </w:r>
          </w:p>
        </w:tc>
        <w:tc>
          <w:tcPr>
            <w:tcW w:w="1220" w:type="dxa"/>
          </w:tcPr>
          <w:p w14:paraId="40C26C82"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2</w:t>
            </w:r>
          </w:p>
        </w:tc>
        <w:tc>
          <w:tcPr>
            <w:tcW w:w="1920" w:type="dxa"/>
          </w:tcPr>
          <w:p w14:paraId="7DC991A9"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6070B58B" w14:textId="77777777" w:rsidTr="00B05F31">
        <w:trPr>
          <w:tblCellSpacing w:w="20" w:type="dxa"/>
          <w:jc w:val="center"/>
        </w:trPr>
        <w:tc>
          <w:tcPr>
            <w:tcW w:w="1380" w:type="dxa"/>
          </w:tcPr>
          <w:p w14:paraId="6C134F7F"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3BDD9A4C"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3F752376"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0BDE3525"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LA ESPERANZA</w:t>
            </w:r>
          </w:p>
        </w:tc>
        <w:tc>
          <w:tcPr>
            <w:tcW w:w="1220" w:type="dxa"/>
          </w:tcPr>
          <w:p w14:paraId="66A986A9"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2</w:t>
            </w:r>
          </w:p>
        </w:tc>
        <w:tc>
          <w:tcPr>
            <w:tcW w:w="1920" w:type="dxa"/>
          </w:tcPr>
          <w:p w14:paraId="109FE068"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3EBA9F1A" w14:textId="77777777" w:rsidTr="00B05F31">
        <w:trPr>
          <w:tblCellSpacing w:w="20" w:type="dxa"/>
          <w:jc w:val="center"/>
        </w:trPr>
        <w:tc>
          <w:tcPr>
            <w:tcW w:w="1380" w:type="dxa"/>
          </w:tcPr>
          <w:p w14:paraId="5EF18570"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729901C3"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72E57B24"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68B20418"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AGUACHAL</w:t>
            </w:r>
          </w:p>
        </w:tc>
        <w:tc>
          <w:tcPr>
            <w:tcW w:w="1220" w:type="dxa"/>
          </w:tcPr>
          <w:p w14:paraId="1053FBD7"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2</w:t>
            </w:r>
          </w:p>
        </w:tc>
        <w:tc>
          <w:tcPr>
            <w:tcW w:w="1920" w:type="dxa"/>
          </w:tcPr>
          <w:p w14:paraId="00F128E6"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0BE177FD" w14:textId="77777777" w:rsidTr="00B05F31">
        <w:trPr>
          <w:tblCellSpacing w:w="20" w:type="dxa"/>
          <w:jc w:val="center"/>
        </w:trPr>
        <w:tc>
          <w:tcPr>
            <w:tcW w:w="1380" w:type="dxa"/>
          </w:tcPr>
          <w:p w14:paraId="18766DFC"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12660AB5"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6FB57108"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1EBE315A"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LISTA HERMOSA</w:t>
            </w:r>
          </w:p>
        </w:tc>
        <w:tc>
          <w:tcPr>
            <w:tcW w:w="1220" w:type="dxa"/>
          </w:tcPr>
          <w:p w14:paraId="0177FD7A"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1</w:t>
            </w:r>
          </w:p>
        </w:tc>
        <w:tc>
          <w:tcPr>
            <w:tcW w:w="1920" w:type="dxa"/>
          </w:tcPr>
          <w:p w14:paraId="7343D223"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46EA9D01" w14:textId="77777777" w:rsidTr="00B05F31">
        <w:trPr>
          <w:tblCellSpacing w:w="20" w:type="dxa"/>
          <w:jc w:val="center"/>
        </w:trPr>
        <w:tc>
          <w:tcPr>
            <w:tcW w:w="1380" w:type="dxa"/>
          </w:tcPr>
          <w:p w14:paraId="63C4D9E2"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11E79D0E"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7D80CF6A"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51A21197"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EL CACAO</w:t>
            </w:r>
          </w:p>
        </w:tc>
        <w:tc>
          <w:tcPr>
            <w:tcW w:w="1220" w:type="dxa"/>
          </w:tcPr>
          <w:p w14:paraId="51899FE7"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1</w:t>
            </w:r>
          </w:p>
        </w:tc>
        <w:tc>
          <w:tcPr>
            <w:tcW w:w="1920" w:type="dxa"/>
          </w:tcPr>
          <w:p w14:paraId="27C836CA"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44C1D526" w14:textId="77777777" w:rsidTr="00B05F31">
        <w:trPr>
          <w:tblCellSpacing w:w="20" w:type="dxa"/>
          <w:jc w:val="center"/>
        </w:trPr>
        <w:tc>
          <w:tcPr>
            <w:tcW w:w="1380" w:type="dxa"/>
          </w:tcPr>
          <w:p w14:paraId="3195FCFD"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621756A4"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3463BE86"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7190F890"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LA AURORA</w:t>
            </w:r>
          </w:p>
        </w:tc>
        <w:tc>
          <w:tcPr>
            <w:tcW w:w="1220" w:type="dxa"/>
          </w:tcPr>
          <w:p w14:paraId="619C9D01"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1</w:t>
            </w:r>
          </w:p>
        </w:tc>
        <w:tc>
          <w:tcPr>
            <w:tcW w:w="1920" w:type="dxa"/>
          </w:tcPr>
          <w:p w14:paraId="50401065"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0FFE9AB9" w14:textId="77777777" w:rsidTr="00B05F31">
        <w:trPr>
          <w:tblCellSpacing w:w="20" w:type="dxa"/>
          <w:jc w:val="center"/>
        </w:trPr>
        <w:tc>
          <w:tcPr>
            <w:tcW w:w="1380" w:type="dxa"/>
          </w:tcPr>
          <w:p w14:paraId="5B1AE034"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31181D15"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05208194"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4B17C12A"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SAN SIMÓN</w:t>
            </w:r>
          </w:p>
        </w:tc>
        <w:tc>
          <w:tcPr>
            <w:tcW w:w="1220" w:type="dxa"/>
          </w:tcPr>
          <w:p w14:paraId="695A3D26"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1</w:t>
            </w:r>
          </w:p>
        </w:tc>
        <w:tc>
          <w:tcPr>
            <w:tcW w:w="1920" w:type="dxa"/>
          </w:tcPr>
          <w:p w14:paraId="45E8D34A"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7297BB81" w14:textId="77777777" w:rsidTr="00B05F31">
        <w:trPr>
          <w:tblCellSpacing w:w="20" w:type="dxa"/>
          <w:jc w:val="center"/>
        </w:trPr>
        <w:tc>
          <w:tcPr>
            <w:tcW w:w="1380" w:type="dxa"/>
          </w:tcPr>
          <w:p w14:paraId="358260B5"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65C4CDC1"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4A164253"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52FB427E"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CHAPULTEPEC</w:t>
            </w:r>
          </w:p>
        </w:tc>
        <w:tc>
          <w:tcPr>
            <w:tcW w:w="1220" w:type="dxa"/>
          </w:tcPr>
          <w:p w14:paraId="0C32BB89"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1</w:t>
            </w:r>
          </w:p>
        </w:tc>
        <w:tc>
          <w:tcPr>
            <w:tcW w:w="1920" w:type="dxa"/>
          </w:tcPr>
          <w:p w14:paraId="11512F7E"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106F96CE" w14:textId="77777777" w:rsidTr="00B05F31">
        <w:trPr>
          <w:tblCellSpacing w:w="20" w:type="dxa"/>
          <w:jc w:val="center"/>
        </w:trPr>
        <w:tc>
          <w:tcPr>
            <w:tcW w:w="1380" w:type="dxa"/>
          </w:tcPr>
          <w:p w14:paraId="42012FAF"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428F3519"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0AF4E8D6"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70950AAB"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EL RETIRO</w:t>
            </w:r>
          </w:p>
        </w:tc>
        <w:tc>
          <w:tcPr>
            <w:tcW w:w="1220" w:type="dxa"/>
          </w:tcPr>
          <w:p w14:paraId="20C7336A"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1</w:t>
            </w:r>
          </w:p>
        </w:tc>
        <w:tc>
          <w:tcPr>
            <w:tcW w:w="1920" w:type="dxa"/>
          </w:tcPr>
          <w:p w14:paraId="150C3590"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bl>
    <w:p w14:paraId="23F906DF" w14:textId="77777777" w:rsidR="00676010" w:rsidRPr="00CF2780" w:rsidRDefault="00676010" w:rsidP="00676010">
      <w:pPr>
        <w:spacing w:after="0" w:line="240" w:lineRule="auto"/>
        <w:jc w:val="both"/>
        <w:rPr>
          <w:rFonts w:ascii="Arial" w:eastAsia="Times New Roman" w:hAnsi="Arial" w:cs="Arial"/>
          <w:b/>
          <w:bCs/>
          <w:sz w:val="14"/>
          <w:szCs w:val="24"/>
          <w:lang w:eastAsia="es-ES"/>
        </w:rPr>
      </w:pPr>
    </w:p>
    <w:tbl>
      <w:tblPr>
        <w:tblW w:w="0" w:type="auto"/>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shd w:val="clear" w:color="auto" w:fill="CCCCCC"/>
        <w:tblCellMar>
          <w:left w:w="70" w:type="dxa"/>
          <w:right w:w="70" w:type="dxa"/>
        </w:tblCellMar>
        <w:tblLook w:val="00A0" w:firstRow="1" w:lastRow="0" w:firstColumn="1" w:lastColumn="0" w:noHBand="0" w:noVBand="0"/>
      </w:tblPr>
      <w:tblGrid>
        <w:gridCol w:w="2520"/>
        <w:gridCol w:w="1980"/>
      </w:tblGrid>
      <w:tr w:rsidR="00676010" w:rsidRPr="00CF2780" w14:paraId="3129939E" w14:textId="77777777" w:rsidTr="00B05F31">
        <w:trPr>
          <w:tblCellSpacing w:w="20" w:type="dxa"/>
          <w:jc w:val="center"/>
        </w:trPr>
        <w:tc>
          <w:tcPr>
            <w:tcW w:w="2460" w:type="dxa"/>
            <w:shd w:val="clear" w:color="auto" w:fill="CCCCCC"/>
          </w:tcPr>
          <w:p w14:paraId="23896F08" w14:textId="77777777" w:rsidR="00676010" w:rsidRPr="00CF2780" w:rsidRDefault="00676010" w:rsidP="00676010">
            <w:pPr>
              <w:spacing w:after="0" w:line="240" w:lineRule="auto"/>
              <w:jc w:val="center"/>
              <w:rPr>
                <w:rFonts w:ascii="Arial" w:eastAsia="Times New Roman" w:hAnsi="Arial" w:cs="Arial"/>
                <w:b/>
                <w:bCs/>
                <w:sz w:val="24"/>
                <w:szCs w:val="24"/>
                <w:lang w:eastAsia="es-ES"/>
              </w:rPr>
            </w:pPr>
            <w:r w:rsidRPr="00CF2780">
              <w:rPr>
                <w:rFonts w:ascii="Arial" w:eastAsia="Times New Roman" w:hAnsi="Arial" w:cs="Arial"/>
                <w:b/>
                <w:bCs/>
                <w:sz w:val="24"/>
                <w:szCs w:val="24"/>
                <w:lang w:eastAsia="es-ES"/>
              </w:rPr>
              <w:t>TOTAL</w:t>
            </w:r>
          </w:p>
        </w:tc>
        <w:tc>
          <w:tcPr>
            <w:tcW w:w="1920" w:type="dxa"/>
            <w:shd w:val="clear" w:color="auto" w:fill="CCCCCC"/>
          </w:tcPr>
          <w:p w14:paraId="6A754D76" w14:textId="77777777" w:rsidR="00676010" w:rsidRPr="00CF2780" w:rsidRDefault="00676010" w:rsidP="00676010">
            <w:pPr>
              <w:spacing w:after="0" w:line="240" w:lineRule="auto"/>
              <w:jc w:val="center"/>
              <w:rPr>
                <w:rFonts w:ascii="Arial" w:eastAsia="Times New Roman" w:hAnsi="Arial" w:cs="Arial"/>
                <w:b/>
                <w:bCs/>
                <w:sz w:val="24"/>
                <w:szCs w:val="24"/>
                <w:lang w:eastAsia="es-ES"/>
              </w:rPr>
            </w:pPr>
            <w:r w:rsidRPr="00CF2780">
              <w:rPr>
                <w:rFonts w:ascii="Arial" w:eastAsia="Times New Roman" w:hAnsi="Arial" w:cs="Arial"/>
                <w:b/>
                <w:bCs/>
                <w:sz w:val="24"/>
                <w:szCs w:val="24"/>
                <w:lang w:eastAsia="es-ES"/>
              </w:rPr>
              <w:t>545</w:t>
            </w:r>
          </w:p>
        </w:tc>
      </w:tr>
    </w:tbl>
    <w:p w14:paraId="2310CF85" w14:textId="77777777" w:rsidR="00676010" w:rsidRPr="00CF2780" w:rsidRDefault="00676010" w:rsidP="00676010">
      <w:pPr>
        <w:spacing w:after="0" w:line="240" w:lineRule="auto"/>
        <w:jc w:val="both"/>
        <w:rPr>
          <w:rFonts w:ascii="Arial" w:eastAsia="Times New Roman" w:hAnsi="Arial" w:cs="Arial"/>
          <w:sz w:val="24"/>
          <w:szCs w:val="24"/>
          <w:lang w:eastAsia="es-ES"/>
        </w:rPr>
      </w:pPr>
    </w:p>
    <w:p w14:paraId="56F5E0DB" w14:textId="77777777" w:rsidR="00676010" w:rsidRPr="00CF2780" w:rsidRDefault="00676010" w:rsidP="00676010">
      <w:pPr>
        <w:spacing w:after="0" w:line="240" w:lineRule="auto"/>
        <w:jc w:val="both"/>
        <w:rPr>
          <w:rFonts w:ascii="Arial" w:eastAsia="Times New Roman" w:hAnsi="Arial" w:cs="Arial"/>
          <w:sz w:val="24"/>
          <w:szCs w:val="24"/>
          <w:lang w:eastAsia="es-ES"/>
        </w:rPr>
      </w:pPr>
    </w:p>
    <w:tbl>
      <w:tblPr>
        <w:tblW w:w="9900" w:type="dxa"/>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left w:w="70" w:type="dxa"/>
          <w:right w:w="70" w:type="dxa"/>
        </w:tblCellMar>
        <w:tblLook w:val="00A0" w:firstRow="1" w:lastRow="0" w:firstColumn="1" w:lastColumn="0" w:noHBand="0" w:noVBand="0"/>
      </w:tblPr>
      <w:tblGrid>
        <w:gridCol w:w="1440"/>
        <w:gridCol w:w="1620"/>
        <w:gridCol w:w="1260"/>
        <w:gridCol w:w="2340"/>
        <w:gridCol w:w="1260"/>
        <w:gridCol w:w="1980"/>
      </w:tblGrid>
      <w:tr w:rsidR="00676010" w:rsidRPr="00CF2780" w14:paraId="6C30658A" w14:textId="77777777" w:rsidTr="00B05F31">
        <w:trPr>
          <w:tblCellSpacing w:w="20" w:type="dxa"/>
          <w:jc w:val="center"/>
        </w:trPr>
        <w:tc>
          <w:tcPr>
            <w:tcW w:w="1380" w:type="dxa"/>
          </w:tcPr>
          <w:p w14:paraId="31C00C99" w14:textId="77777777" w:rsidR="00676010" w:rsidRPr="00CF2780" w:rsidRDefault="00676010" w:rsidP="00676010">
            <w:pPr>
              <w:spacing w:after="0" w:line="240" w:lineRule="auto"/>
              <w:jc w:val="center"/>
              <w:rPr>
                <w:rFonts w:ascii="Arial" w:eastAsia="Times New Roman" w:hAnsi="Arial" w:cs="Arial"/>
                <w:b/>
                <w:bCs/>
                <w:sz w:val="18"/>
                <w:szCs w:val="24"/>
                <w:lang w:eastAsia="es-ES"/>
              </w:rPr>
            </w:pPr>
            <w:r w:rsidRPr="00CF2780">
              <w:rPr>
                <w:rFonts w:ascii="Arial" w:eastAsia="Times New Roman" w:hAnsi="Arial" w:cs="Arial"/>
                <w:b/>
                <w:bCs/>
                <w:sz w:val="18"/>
                <w:szCs w:val="24"/>
                <w:lang w:eastAsia="es-ES"/>
              </w:rPr>
              <w:t>SECCIÓN</w:t>
            </w:r>
          </w:p>
        </w:tc>
        <w:tc>
          <w:tcPr>
            <w:tcW w:w="1580" w:type="dxa"/>
          </w:tcPr>
          <w:p w14:paraId="2FB017A9" w14:textId="77777777" w:rsidR="00676010" w:rsidRPr="00CF2780" w:rsidRDefault="00676010" w:rsidP="00676010">
            <w:pPr>
              <w:spacing w:after="0" w:line="240" w:lineRule="auto"/>
              <w:jc w:val="center"/>
              <w:rPr>
                <w:rFonts w:ascii="Arial" w:eastAsia="Times New Roman" w:hAnsi="Arial" w:cs="Arial"/>
                <w:b/>
                <w:bCs/>
                <w:sz w:val="18"/>
                <w:szCs w:val="24"/>
                <w:lang w:eastAsia="es-ES"/>
              </w:rPr>
            </w:pPr>
            <w:r w:rsidRPr="00CF2780">
              <w:rPr>
                <w:rFonts w:ascii="Arial" w:eastAsia="Times New Roman" w:hAnsi="Arial" w:cs="Arial"/>
                <w:b/>
                <w:bCs/>
                <w:sz w:val="18"/>
                <w:szCs w:val="24"/>
                <w:lang w:eastAsia="es-ES"/>
              </w:rPr>
              <w:t>LISTA NOMINAL</w:t>
            </w:r>
          </w:p>
          <w:p w14:paraId="11886C37" w14:textId="77777777" w:rsidR="00676010" w:rsidRPr="00CF2780" w:rsidRDefault="00676010" w:rsidP="00676010">
            <w:pPr>
              <w:spacing w:after="0" w:line="240" w:lineRule="auto"/>
              <w:jc w:val="center"/>
              <w:rPr>
                <w:rFonts w:ascii="Arial" w:eastAsia="Times New Roman" w:hAnsi="Arial" w:cs="Arial"/>
                <w:b/>
                <w:bCs/>
                <w:sz w:val="18"/>
                <w:szCs w:val="24"/>
                <w:lang w:eastAsia="es-ES"/>
              </w:rPr>
            </w:pPr>
            <w:r w:rsidRPr="00CF2780">
              <w:rPr>
                <w:rFonts w:ascii="Arial" w:eastAsia="Times New Roman" w:hAnsi="Arial" w:cs="Arial"/>
                <w:b/>
                <w:bCs/>
                <w:sz w:val="18"/>
                <w:szCs w:val="24"/>
                <w:lang w:eastAsia="es-ES"/>
              </w:rPr>
              <w:t>2001</w:t>
            </w:r>
          </w:p>
        </w:tc>
        <w:tc>
          <w:tcPr>
            <w:tcW w:w="1220" w:type="dxa"/>
          </w:tcPr>
          <w:p w14:paraId="39AC27D6" w14:textId="77777777" w:rsidR="00676010" w:rsidRPr="00CF2780" w:rsidRDefault="00676010" w:rsidP="00676010">
            <w:pPr>
              <w:spacing w:after="0" w:line="240" w:lineRule="auto"/>
              <w:jc w:val="center"/>
              <w:rPr>
                <w:rFonts w:ascii="Arial" w:eastAsia="Times New Roman" w:hAnsi="Arial" w:cs="Arial"/>
                <w:b/>
                <w:bCs/>
                <w:sz w:val="18"/>
                <w:szCs w:val="24"/>
                <w:lang w:eastAsia="es-ES"/>
              </w:rPr>
            </w:pPr>
            <w:r w:rsidRPr="00CF2780">
              <w:rPr>
                <w:rFonts w:ascii="Arial" w:eastAsia="Times New Roman" w:hAnsi="Arial" w:cs="Arial"/>
                <w:b/>
                <w:bCs/>
                <w:sz w:val="18"/>
                <w:szCs w:val="24"/>
                <w:lang w:eastAsia="es-ES"/>
              </w:rPr>
              <w:t>TIPO DE CASILLA</w:t>
            </w:r>
          </w:p>
        </w:tc>
        <w:tc>
          <w:tcPr>
            <w:tcW w:w="2300" w:type="dxa"/>
          </w:tcPr>
          <w:p w14:paraId="1C811CE1" w14:textId="77777777" w:rsidR="00676010" w:rsidRPr="00CF2780" w:rsidRDefault="00676010" w:rsidP="00676010">
            <w:pPr>
              <w:keepNext/>
              <w:spacing w:after="0" w:line="240" w:lineRule="auto"/>
              <w:jc w:val="center"/>
              <w:outlineLvl w:val="3"/>
              <w:rPr>
                <w:rFonts w:ascii="Arial" w:eastAsia="Times New Roman" w:hAnsi="Arial" w:cs="Arial"/>
                <w:b/>
                <w:bCs/>
                <w:sz w:val="18"/>
                <w:szCs w:val="24"/>
                <w:lang w:eastAsia="es-ES"/>
              </w:rPr>
            </w:pPr>
            <w:r w:rsidRPr="00CF2780">
              <w:rPr>
                <w:rFonts w:ascii="Arial" w:eastAsia="Times New Roman" w:hAnsi="Arial" w:cs="Arial"/>
                <w:b/>
                <w:bCs/>
                <w:sz w:val="18"/>
                <w:szCs w:val="24"/>
                <w:lang w:eastAsia="es-ES"/>
              </w:rPr>
              <w:t>LOCALIDAD</w:t>
            </w:r>
          </w:p>
        </w:tc>
        <w:tc>
          <w:tcPr>
            <w:tcW w:w="1220" w:type="dxa"/>
          </w:tcPr>
          <w:p w14:paraId="203D98F1" w14:textId="77777777" w:rsidR="00676010" w:rsidRPr="00CF2780" w:rsidRDefault="00676010" w:rsidP="00676010">
            <w:pPr>
              <w:spacing w:after="0" w:line="240" w:lineRule="auto"/>
              <w:jc w:val="center"/>
              <w:rPr>
                <w:rFonts w:ascii="Arial" w:eastAsia="Times New Roman" w:hAnsi="Arial" w:cs="Arial"/>
                <w:b/>
                <w:bCs/>
                <w:sz w:val="18"/>
                <w:szCs w:val="24"/>
                <w:lang w:eastAsia="es-ES"/>
              </w:rPr>
            </w:pPr>
            <w:r w:rsidRPr="00CF2780">
              <w:rPr>
                <w:rFonts w:ascii="Arial" w:eastAsia="Times New Roman" w:hAnsi="Arial" w:cs="Arial"/>
                <w:b/>
                <w:bCs/>
                <w:sz w:val="18"/>
                <w:szCs w:val="24"/>
                <w:lang w:eastAsia="es-ES"/>
              </w:rPr>
              <w:t>No. DE VOTANTES</w:t>
            </w:r>
          </w:p>
        </w:tc>
        <w:tc>
          <w:tcPr>
            <w:tcW w:w="1920" w:type="dxa"/>
          </w:tcPr>
          <w:p w14:paraId="762107AD" w14:textId="77777777" w:rsidR="00676010" w:rsidRPr="00CF2780" w:rsidRDefault="00676010" w:rsidP="00676010">
            <w:pPr>
              <w:keepNext/>
              <w:spacing w:after="0" w:line="240" w:lineRule="auto"/>
              <w:jc w:val="center"/>
              <w:outlineLvl w:val="3"/>
              <w:rPr>
                <w:rFonts w:ascii="Arial" w:eastAsia="Times New Roman" w:hAnsi="Arial" w:cs="Arial"/>
                <w:b/>
                <w:bCs/>
                <w:sz w:val="18"/>
                <w:szCs w:val="24"/>
                <w:lang w:eastAsia="es-ES"/>
              </w:rPr>
            </w:pPr>
            <w:r w:rsidRPr="00CF2780">
              <w:rPr>
                <w:rFonts w:ascii="Arial" w:eastAsia="Times New Roman" w:hAnsi="Arial" w:cs="Arial"/>
                <w:b/>
                <w:bCs/>
                <w:sz w:val="18"/>
                <w:szCs w:val="24"/>
                <w:lang w:eastAsia="es-ES"/>
              </w:rPr>
              <w:t>OBSERVACIONES</w:t>
            </w:r>
          </w:p>
        </w:tc>
      </w:tr>
    </w:tbl>
    <w:p w14:paraId="17B45C57" w14:textId="77777777" w:rsidR="00676010" w:rsidRPr="00CF2780" w:rsidRDefault="00676010" w:rsidP="00676010">
      <w:pPr>
        <w:spacing w:after="0" w:line="240" w:lineRule="auto"/>
        <w:rPr>
          <w:rFonts w:ascii="Arial" w:eastAsia="Times New Roman" w:hAnsi="Arial" w:cs="Arial"/>
          <w:sz w:val="10"/>
          <w:szCs w:val="24"/>
          <w:lang w:eastAsia="es-ES"/>
        </w:rPr>
      </w:pPr>
    </w:p>
    <w:tbl>
      <w:tblPr>
        <w:tblW w:w="9900" w:type="dxa"/>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left w:w="70" w:type="dxa"/>
          <w:right w:w="70" w:type="dxa"/>
        </w:tblCellMar>
        <w:tblLook w:val="00A0" w:firstRow="1" w:lastRow="0" w:firstColumn="1" w:lastColumn="0" w:noHBand="0" w:noVBand="0"/>
      </w:tblPr>
      <w:tblGrid>
        <w:gridCol w:w="1440"/>
        <w:gridCol w:w="1620"/>
        <w:gridCol w:w="1260"/>
        <w:gridCol w:w="2340"/>
        <w:gridCol w:w="1260"/>
        <w:gridCol w:w="1980"/>
      </w:tblGrid>
      <w:tr w:rsidR="00676010" w:rsidRPr="00CF2780" w14:paraId="340AF36E" w14:textId="77777777" w:rsidTr="00B05F31">
        <w:trPr>
          <w:tblCellSpacing w:w="20" w:type="dxa"/>
          <w:jc w:val="center"/>
        </w:trPr>
        <w:tc>
          <w:tcPr>
            <w:tcW w:w="1380" w:type="dxa"/>
          </w:tcPr>
          <w:p w14:paraId="7D473D29"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2154</w:t>
            </w:r>
          </w:p>
        </w:tc>
        <w:tc>
          <w:tcPr>
            <w:tcW w:w="1580" w:type="dxa"/>
          </w:tcPr>
          <w:p w14:paraId="310239A5"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581</w:t>
            </w:r>
          </w:p>
        </w:tc>
        <w:tc>
          <w:tcPr>
            <w:tcW w:w="1220" w:type="dxa"/>
          </w:tcPr>
          <w:p w14:paraId="3D6A2A36"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BÁSICA</w:t>
            </w:r>
          </w:p>
        </w:tc>
        <w:tc>
          <w:tcPr>
            <w:tcW w:w="2300" w:type="dxa"/>
          </w:tcPr>
          <w:p w14:paraId="2CE22718"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LA TRINIDAD</w:t>
            </w:r>
          </w:p>
        </w:tc>
        <w:tc>
          <w:tcPr>
            <w:tcW w:w="1220" w:type="dxa"/>
          </w:tcPr>
          <w:p w14:paraId="7B029683"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327</w:t>
            </w:r>
          </w:p>
        </w:tc>
        <w:tc>
          <w:tcPr>
            <w:tcW w:w="1920" w:type="dxa"/>
          </w:tcPr>
          <w:p w14:paraId="2D5514C7"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56EB6092" w14:textId="77777777" w:rsidTr="00B05F31">
        <w:trPr>
          <w:tblCellSpacing w:w="20" w:type="dxa"/>
          <w:jc w:val="center"/>
        </w:trPr>
        <w:tc>
          <w:tcPr>
            <w:tcW w:w="1380" w:type="dxa"/>
          </w:tcPr>
          <w:p w14:paraId="23299456"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0D2C64C3"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7B22452F"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6CC50CB0"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CAMPO NUEVO</w:t>
            </w:r>
          </w:p>
        </w:tc>
        <w:tc>
          <w:tcPr>
            <w:tcW w:w="1220" w:type="dxa"/>
          </w:tcPr>
          <w:p w14:paraId="5E84BC70"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112</w:t>
            </w:r>
          </w:p>
        </w:tc>
        <w:tc>
          <w:tcPr>
            <w:tcW w:w="1920" w:type="dxa"/>
          </w:tcPr>
          <w:p w14:paraId="253E024F"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00FBA9F5" w14:textId="77777777" w:rsidTr="00B05F31">
        <w:trPr>
          <w:tblCellSpacing w:w="20" w:type="dxa"/>
          <w:jc w:val="center"/>
        </w:trPr>
        <w:tc>
          <w:tcPr>
            <w:tcW w:w="1380" w:type="dxa"/>
          </w:tcPr>
          <w:p w14:paraId="1EE4B302"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46B411C4"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051A7555"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6313EB49"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SANTA MARÍA</w:t>
            </w:r>
          </w:p>
        </w:tc>
        <w:tc>
          <w:tcPr>
            <w:tcW w:w="1220" w:type="dxa"/>
          </w:tcPr>
          <w:p w14:paraId="0E362C36"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139</w:t>
            </w:r>
          </w:p>
        </w:tc>
        <w:tc>
          <w:tcPr>
            <w:tcW w:w="1920" w:type="dxa"/>
          </w:tcPr>
          <w:p w14:paraId="4F4ABB2E"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r w:rsidR="00676010" w:rsidRPr="00CF2780" w14:paraId="5B208852" w14:textId="77777777" w:rsidTr="00B05F31">
        <w:trPr>
          <w:tblCellSpacing w:w="20" w:type="dxa"/>
          <w:jc w:val="center"/>
        </w:trPr>
        <w:tc>
          <w:tcPr>
            <w:tcW w:w="1380" w:type="dxa"/>
          </w:tcPr>
          <w:p w14:paraId="51B3D21A"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c>
          <w:tcPr>
            <w:tcW w:w="1580" w:type="dxa"/>
          </w:tcPr>
          <w:p w14:paraId="7A900ED4"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1220" w:type="dxa"/>
          </w:tcPr>
          <w:p w14:paraId="0395C917" w14:textId="77777777" w:rsidR="00676010" w:rsidRPr="00CF2780" w:rsidRDefault="00676010" w:rsidP="00676010">
            <w:pPr>
              <w:spacing w:after="0" w:line="240" w:lineRule="auto"/>
              <w:jc w:val="center"/>
              <w:rPr>
                <w:rFonts w:ascii="Arial" w:eastAsia="Times New Roman" w:hAnsi="Arial" w:cs="Arial"/>
                <w:sz w:val="18"/>
                <w:szCs w:val="24"/>
                <w:lang w:eastAsia="es-ES"/>
              </w:rPr>
            </w:pPr>
          </w:p>
        </w:tc>
        <w:tc>
          <w:tcPr>
            <w:tcW w:w="2300" w:type="dxa"/>
          </w:tcPr>
          <w:p w14:paraId="24502464"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EL COYOLITO</w:t>
            </w:r>
          </w:p>
        </w:tc>
        <w:tc>
          <w:tcPr>
            <w:tcW w:w="1220" w:type="dxa"/>
          </w:tcPr>
          <w:p w14:paraId="3190CA2D"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3</w:t>
            </w:r>
          </w:p>
        </w:tc>
        <w:tc>
          <w:tcPr>
            <w:tcW w:w="1920" w:type="dxa"/>
          </w:tcPr>
          <w:p w14:paraId="1AA8DC85"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bl>
    <w:p w14:paraId="0A1A9FDD" w14:textId="77777777" w:rsidR="00676010" w:rsidRPr="00CF2780" w:rsidRDefault="00676010" w:rsidP="00676010">
      <w:pPr>
        <w:spacing w:after="0" w:line="240" w:lineRule="auto"/>
        <w:jc w:val="both"/>
        <w:rPr>
          <w:rFonts w:ascii="Arial" w:eastAsia="Times New Roman" w:hAnsi="Arial" w:cs="Arial"/>
          <w:b/>
          <w:bCs/>
          <w:sz w:val="14"/>
          <w:szCs w:val="24"/>
          <w:lang w:eastAsia="es-ES"/>
        </w:rPr>
      </w:pPr>
    </w:p>
    <w:tbl>
      <w:tblPr>
        <w:tblW w:w="0" w:type="auto"/>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shd w:val="clear" w:color="auto" w:fill="CCCCCC"/>
        <w:tblCellMar>
          <w:left w:w="70" w:type="dxa"/>
          <w:right w:w="70" w:type="dxa"/>
        </w:tblCellMar>
        <w:tblLook w:val="00A0" w:firstRow="1" w:lastRow="0" w:firstColumn="1" w:lastColumn="0" w:noHBand="0" w:noVBand="0"/>
      </w:tblPr>
      <w:tblGrid>
        <w:gridCol w:w="2520"/>
        <w:gridCol w:w="1980"/>
      </w:tblGrid>
      <w:tr w:rsidR="00676010" w:rsidRPr="00CF2780" w14:paraId="61F7547D" w14:textId="77777777" w:rsidTr="00B05F31">
        <w:trPr>
          <w:tblCellSpacing w:w="20" w:type="dxa"/>
          <w:jc w:val="center"/>
        </w:trPr>
        <w:tc>
          <w:tcPr>
            <w:tcW w:w="2460" w:type="dxa"/>
            <w:shd w:val="clear" w:color="auto" w:fill="CCCCCC"/>
          </w:tcPr>
          <w:p w14:paraId="3A738E3E" w14:textId="77777777" w:rsidR="00676010" w:rsidRPr="00CF2780" w:rsidRDefault="00676010" w:rsidP="00676010">
            <w:pPr>
              <w:spacing w:after="0" w:line="240" w:lineRule="auto"/>
              <w:jc w:val="center"/>
              <w:rPr>
                <w:rFonts w:ascii="Arial" w:eastAsia="Times New Roman" w:hAnsi="Arial" w:cs="Arial"/>
                <w:b/>
                <w:bCs/>
                <w:sz w:val="24"/>
                <w:szCs w:val="24"/>
                <w:lang w:eastAsia="es-ES"/>
              </w:rPr>
            </w:pPr>
            <w:r w:rsidRPr="00CF2780">
              <w:rPr>
                <w:rFonts w:ascii="Arial" w:eastAsia="Times New Roman" w:hAnsi="Arial" w:cs="Arial"/>
                <w:b/>
                <w:bCs/>
                <w:sz w:val="24"/>
                <w:szCs w:val="24"/>
                <w:lang w:eastAsia="es-ES"/>
              </w:rPr>
              <w:t>TOTAL</w:t>
            </w:r>
          </w:p>
        </w:tc>
        <w:tc>
          <w:tcPr>
            <w:tcW w:w="1920" w:type="dxa"/>
            <w:shd w:val="clear" w:color="auto" w:fill="CCCCCC"/>
          </w:tcPr>
          <w:p w14:paraId="7E24B9C2" w14:textId="77777777" w:rsidR="00676010" w:rsidRPr="00CF2780" w:rsidRDefault="00676010" w:rsidP="00676010">
            <w:pPr>
              <w:spacing w:after="0" w:line="240" w:lineRule="auto"/>
              <w:jc w:val="center"/>
              <w:rPr>
                <w:rFonts w:ascii="Arial" w:eastAsia="Times New Roman" w:hAnsi="Arial" w:cs="Arial"/>
                <w:b/>
                <w:bCs/>
                <w:sz w:val="24"/>
                <w:szCs w:val="24"/>
                <w:lang w:eastAsia="es-ES"/>
              </w:rPr>
            </w:pPr>
            <w:r w:rsidRPr="00CF2780">
              <w:rPr>
                <w:rFonts w:ascii="Arial" w:eastAsia="Times New Roman" w:hAnsi="Arial" w:cs="Arial"/>
                <w:b/>
                <w:bCs/>
                <w:sz w:val="24"/>
                <w:szCs w:val="24"/>
                <w:lang w:eastAsia="es-ES"/>
              </w:rPr>
              <w:t>581</w:t>
            </w:r>
          </w:p>
        </w:tc>
      </w:tr>
    </w:tbl>
    <w:p w14:paraId="687139EA" w14:textId="77777777" w:rsidR="00676010" w:rsidRPr="00CF2780" w:rsidRDefault="00676010" w:rsidP="00676010">
      <w:pPr>
        <w:spacing w:after="0" w:line="240" w:lineRule="auto"/>
        <w:jc w:val="both"/>
        <w:rPr>
          <w:rFonts w:ascii="Arial" w:eastAsia="Times New Roman" w:hAnsi="Arial" w:cs="Arial"/>
          <w:sz w:val="24"/>
          <w:szCs w:val="24"/>
          <w:lang w:eastAsia="es-ES"/>
        </w:rPr>
      </w:pPr>
    </w:p>
    <w:p w14:paraId="5AC7C589" w14:textId="77777777" w:rsidR="00676010" w:rsidRPr="00CF2780" w:rsidRDefault="00676010" w:rsidP="00676010">
      <w:pPr>
        <w:spacing w:after="0" w:line="240" w:lineRule="auto"/>
        <w:jc w:val="both"/>
        <w:rPr>
          <w:rFonts w:ascii="Arial" w:eastAsia="Times New Roman" w:hAnsi="Arial" w:cs="Arial"/>
          <w:sz w:val="24"/>
          <w:szCs w:val="24"/>
          <w:lang w:eastAsia="es-ES"/>
        </w:rPr>
      </w:pPr>
    </w:p>
    <w:tbl>
      <w:tblPr>
        <w:tblW w:w="9900" w:type="dxa"/>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left w:w="70" w:type="dxa"/>
          <w:right w:w="70" w:type="dxa"/>
        </w:tblCellMar>
        <w:tblLook w:val="00A0" w:firstRow="1" w:lastRow="0" w:firstColumn="1" w:lastColumn="0" w:noHBand="0" w:noVBand="0"/>
      </w:tblPr>
      <w:tblGrid>
        <w:gridCol w:w="1440"/>
        <w:gridCol w:w="1620"/>
        <w:gridCol w:w="1260"/>
        <w:gridCol w:w="2340"/>
        <w:gridCol w:w="1260"/>
        <w:gridCol w:w="1980"/>
      </w:tblGrid>
      <w:tr w:rsidR="00676010" w:rsidRPr="00CF2780" w14:paraId="3306941D" w14:textId="77777777" w:rsidTr="00B05F31">
        <w:trPr>
          <w:tblCellSpacing w:w="20" w:type="dxa"/>
          <w:jc w:val="center"/>
        </w:trPr>
        <w:tc>
          <w:tcPr>
            <w:tcW w:w="1380" w:type="dxa"/>
          </w:tcPr>
          <w:p w14:paraId="3CF1F874" w14:textId="77777777" w:rsidR="00676010" w:rsidRPr="00CF2780" w:rsidRDefault="00676010" w:rsidP="00676010">
            <w:pPr>
              <w:spacing w:after="0" w:line="240" w:lineRule="auto"/>
              <w:jc w:val="center"/>
              <w:rPr>
                <w:rFonts w:ascii="Arial" w:eastAsia="Times New Roman" w:hAnsi="Arial" w:cs="Arial"/>
                <w:b/>
                <w:bCs/>
                <w:sz w:val="18"/>
                <w:szCs w:val="24"/>
                <w:lang w:eastAsia="es-ES"/>
              </w:rPr>
            </w:pPr>
            <w:r w:rsidRPr="00CF2780">
              <w:rPr>
                <w:rFonts w:ascii="Arial" w:eastAsia="Times New Roman" w:hAnsi="Arial" w:cs="Arial"/>
                <w:b/>
                <w:bCs/>
                <w:sz w:val="18"/>
                <w:szCs w:val="24"/>
                <w:lang w:eastAsia="es-ES"/>
              </w:rPr>
              <w:t>SECCIÓN</w:t>
            </w:r>
          </w:p>
        </w:tc>
        <w:tc>
          <w:tcPr>
            <w:tcW w:w="1580" w:type="dxa"/>
          </w:tcPr>
          <w:p w14:paraId="29D55242" w14:textId="77777777" w:rsidR="00676010" w:rsidRPr="00CF2780" w:rsidRDefault="00676010" w:rsidP="00676010">
            <w:pPr>
              <w:spacing w:after="0" w:line="240" w:lineRule="auto"/>
              <w:jc w:val="center"/>
              <w:rPr>
                <w:rFonts w:ascii="Arial" w:eastAsia="Times New Roman" w:hAnsi="Arial" w:cs="Arial"/>
                <w:b/>
                <w:bCs/>
                <w:sz w:val="18"/>
                <w:szCs w:val="24"/>
                <w:lang w:eastAsia="es-ES"/>
              </w:rPr>
            </w:pPr>
            <w:r w:rsidRPr="00CF2780">
              <w:rPr>
                <w:rFonts w:ascii="Arial" w:eastAsia="Times New Roman" w:hAnsi="Arial" w:cs="Arial"/>
                <w:b/>
                <w:bCs/>
                <w:sz w:val="18"/>
                <w:szCs w:val="24"/>
                <w:lang w:eastAsia="es-ES"/>
              </w:rPr>
              <w:t>LISTA NOMINAL</w:t>
            </w:r>
          </w:p>
          <w:p w14:paraId="77C178D4" w14:textId="77777777" w:rsidR="00676010" w:rsidRPr="00CF2780" w:rsidRDefault="00676010" w:rsidP="00676010">
            <w:pPr>
              <w:spacing w:after="0" w:line="240" w:lineRule="auto"/>
              <w:jc w:val="center"/>
              <w:rPr>
                <w:rFonts w:ascii="Arial" w:eastAsia="Times New Roman" w:hAnsi="Arial" w:cs="Arial"/>
                <w:b/>
                <w:bCs/>
                <w:sz w:val="18"/>
                <w:szCs w:val="24"/>
                <w:lang w:eastAsia="es-ES"/>
              </w:rPr>
            </w:pPr>
            <w:r w:rsidRPr="00CF2780">
              <w:rPr>
                <w:rFonts w:ascii="Arial" w:eastAsia="Times New Roman" w:hAnsi="Arial" w:cs="Arial"/>
                <w:b/>
                <w:bCs/>
                <w:sz w:val="18"/>
                <w:szCs w:val="24"/>
                <w:lang w:eastAsia="es-ES"/>
              </w:rPr>
              <w:t>2001</w:t>
            </w:r>
          </w:p>
        </w:tc>
        <w:tc>
          <w:tcPr>
            <w:tcW w:w="1220" w:type="dxa"/>
          </w:tcPr>
          <w:p w14:paraId="54454876" w14:textId="77777777" w:rsidR="00676010" w:rsidRPr="00CF2780" w:rsidRDefault="00676010" w:rsidP="00676010">
            <w:pPr>
              <w:spacing w:after="0" w:line="240" w:lineRule="auto"/>
              <w:jc w:val="center"/>
              <w:rPr>
                <w:rFonts w:ascii="Arial" w:eastAsia="Times New Roman" w:hAnsi="Arial" w:cs="Arial"/>
                <w:b/>
                <w:bCs/>
                <w:sz w:val="18"/>
                <w:szCs w:val="24"/>
                <w:lang w:eastAsia="es-ES"/>
              </w:rPr>
            </w:pPr>
            <w:r w:rsidRPr="00CF2780">
              <w:rPr>
                <w:rFonts w:ascii="Arial" w:eastAsia="Times New Roman" w:hAnsi="Arial" w:cs="Arial"/>
                <w:b/>
                <w:bCs/>
                <w:sz w:val="18"/>
                <w:szCs w:val="24"/>
                <w:lang w:eastAsia="es-ES"/>
              </w:rPr>
              <w:t>TIPO DE CASILLA</w:t>
            </w:r>
          </w:p>
        </w:tc>
        <w:tc>
          <w:tcPr>
            <w:tcW w:w="2300" w:type="dxa"/>
          </w:tcPr>
          <w:p w14:paraId="00F9C2FE" w14:textId="77777777" w:rsidR="00676010" w:rsidRPr="00CF2780" w:rsidRDefault="00676010" w:rsidP="00676010">
            <w:pPr>
              <w:keepNext/>
              <w:spacing w:after="0" w:line="240" w:lineRule="auto"/>
              <w:jc w:val="center"/>
              <w:outlineLvl w:val="3"/>
              <w:rPr>
                <w:rFonts w:ascii="Arial" w:eastAsia="Times New Roman" w:hAnsi="Arial" w:cs="Arial"/>
                <w:b/>
                <w:bCs/>
                <w:sz w:val="18"/>
                <w:szCs w:val="24"/>
                <w:lang w:eastAsia="es-ES"/>
              </w:rPr>
            </w:pPr>
            <w:r w:rsidRPr="00CF2780">
              <w:rPr>
                <w:rFonts w:ascii="Arial" w:eastAsia="Times New Roman" w:hAnsi="Arial" w:cs="Arial"/>
                <w:b/>
                <w:bCs/>
                <w:sz w:val="18"/>
                <w:szCs w:val="24"/>
                <w:lang w:eastAsia="es-ES"/>
              </w:rPr>
              <w:t>LOCALIDAD</w:t>
            </w:r>
          </w:p>
        </w:tc>
        <w:tc>
          <w:tcPr>
            <w:tcW w:w="1220" w:type="dxa"/>
          </w:tcPr>
          <w:p w14:paraId="08BA41E0" w14:textId="77777777" w:rsidR="00676010" w:rsidRPr="00CF2780" w:rsidRDefault="00676010" w:rsidP="00676010">
            <w:pPr>
              <w:spacing w:after="0" w:line="240" w:lineRule="auto"/>
              <w:jc w:val="center"/>
              <w:rPr>
                <w:rFonts w:ascii="Arial" w:eastAsia="Times New Roman" w:hAnsi="Arial" w:cs="Arial"/>
                <w:b/>
                <w:bCs/>
                <w:sz w:val="18"/>
                <w:szCs w:val="24"/>
                <w:lang w:eastAsia="es-ES"/>
              </w:rPr>
            </w:pPr>
            <w:r w:rsidRPr="00CF2780">
              <w:rPr>
                <w:rFonts w:ascii="Arial" w:eastAsia="Times New Roman" w:hAnsi="Arial" w:cs="Arial"/>
                <w:b/>
                <w:bCs/>
                <w:sz w:val="18"/>
                <w:szCs w:val="24"/>
                <w:lang w:eastAsia="es-ES"/>
              </w:rPr>
              <w:t>No. DE VOTANTES</w:t>
            </w:r>
          </w:p>
        </w:tc>
        <w:tc>
          <w:tcPr>
            <w:tcW w:w="1920" w:type="dxa"/>
          </w:tcPr>
          <w:p w14:paraId="6C7DD94F" w14:textId="77777777" w:rsidR="00676010" w:rsidRPr="00CF2780" w:rsidRDefault="00676010" w:rsidP="00676010">
            <w:pPr>
              <w:keepNext/>
              <w:spacing w:after="0" w:line="240" w:lineRule="auto"/>
              <w:jc w:val="center"/>
              <w:outlineLvl w:val="3"/>
              <w:rPr>
                <w:rFonts w:ascii="Arial" w:eastAsia="Times New Roman" w:hAnsi="Arial" w:cs="Arial"/>
                <w:b/>
                <w:bCs/>
                <w:sz w:val="18"/>
                <w:szCs w:val="24"/>
                <w:lang w:eastAsia="es-ES"/>
              </w:rPr>
            </w:pPr>
            <w:r w:rsidRPr="00CF2780">
              <w:rPr>
                <w:rFonts w:ascii="Arial" w:eastAsia="Times New Roman" w:hAnsi="Arial" w:cs="Arial"/>
                <w:b/>
                <w:bCs/>
                <w:sz w:val="18"/>
                <w:szCs w:val="24"/>
                <w:lang w:eastAsia="es-ES"/>
              </w:rPr>
              <w:t>OBSERVACIONES</w:t>
            </w:r>
          </w:p>
        </w:tc>
      </w:tr>
    </w:tbl>
    <w:p w14:paraId="1E6CE7B1" w14:textId="77777777" w:rsidR="00676010" w:rsidRPr="00CF2780" w:rsidRDefault="00676010" w:rsidP="00676010">
      <w:pPr>
        <w:spacing w:after="0" w:line="240" w:lineRule="auto"/>
        <w:rPr>
          <w:rFonts w:ascii="Arial" w:eastAsia="Times New Roman" w:hAnsi="Arial" w:cs="Arial"/>
          <w:sz w:val="10"/>
          <w:szCs w:val="24"/>
          <w:lang w:eastAsia="es-ES"/>
        </w:rPr>
      </w:pPr>
    </w:p>
    <w:tbl>
      <w:tblPr>
        <w:tblW w:w="9900" w:type="dxa"/>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left w:w="70" w:type="dxa"/>
          <w:right w:w="70" w:type="dxa"/>
        </w:tblCellMar>
        <w:tblLook w:val="00A0" w:firstRow="1" w:lastRow="0" w:firstColumn="1" w:lastColumn="0" w:noHBand="0" w:noVBand="0"/>
      </w:tblPr>
      <w:tblGrid>
        <w:gridCol w:w="1440"/>
        <w:gridCol w:w="1620"/>
        <w:gridCol w:w="1260"/>
        <w:gridCol w:w="2340"/>
        <w:gridCol w:w="1260"/>
        <w:gridCol w:w="1980"/>
      </w:tblGrid>
      <w:tr w:rsidR="00676010" w:rsidRPr="00CF2780" w14:paraId="10E79E6E" w14:textId="77777777" w:rsidTr="00B05F31">
        <w:trPr>
          <w:tblCellSpacing w:w="20" w:type="dxa"/>
          <w:jc w:val="center"/>
        </w:trPr>
        <w:tc>
          <w:tcPr>
            <w:tcW w:w="1380" w:type="dxa"/>
          </w:tcPr>
          <w:p w14:paraId="53012BE5"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2155</w:t>
            </w:r>
          </w:p>
        </w:tc>
        <w:tc>
          <w:tcPr>
            <w:tcW w:w="1580" w:type="dxa"/>
          </w:tcPr>
          <w:p w14:paraId="6EFDCBAD"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734</w:t>
            </w:r>
          </w:p>
        </w:tc>
        <w:tc>
          <w:tcPr>
            <w:tcW w:w="1220" w:type="dxa"/>
          </w:tcPr>
          <w:p w14:paraId="197BA3BC"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BÁSICA</w:t>
            </w:r>
          </w:p>
        </w:tc>
        <w:tc>
          <w:tcPr>
            <w:tcW w:w="2300" w:type="dxa"/>
          </w:tcPr>
          <w:p w14:paraId="37452EC0" w14:textId="77777777" w:rsidR="00676010" w:rsidRPr="00CF2780" w:rsidRDefault="00676010" w:rsidP="00676010">
            <w:pPr>
              <w:spacing w:after="0" w:line="240" w:lineRule="auto"/>
              <w:jc w:val="both"/>
              <w:rPr>
                <w:rFonts w:ascii="Arial" w:eastAsia="Times New Roman" w:hAnsi="Arial" w:cs="Arial"/>
                <w:sz w:val="18"/>
                <w:szCs w:val="24"/>
                <w:lang w:eastAsia="es-ES"/>
              </w:rPr>
            </w:pPr>
            <w:r w:rsidRPr="00CF2780">
              <w:rPr>
                <w:rFonts w:ascii="Arial" w:eastAsia="Times New Roman" w:hAnsi="Arial" w:cs="Arial"/>
                <w:sz w:val="18"/>
                <w:szCs w:val="24"/>
                <w:lang w:eastAsia="es-ES"/>
              </w:rPr>
              <w:t>SAN JUAN JALTEPEC</w:t>
            </w:r>
          </w:p>
        </w:tc>
        <w:tc>
          <w:tcPr>
            <w:tcW w:w="1220" w:type="dxa"/>
          </w:tcPr>
          <w:p w14:paraId="741F5237" w14:textId="77777777" w:rsidR="00676010" w:rsidRPr="00CF2780" w:rsidRDefault="00676010" w:rsidP="00676010">
            <w:pPr>
              <w:spacing w:after="0" w:line="240" w:lineRule="auto"/>
              <w:jc w:val="center"/>
              <w:rPr>
                <w:rFonts w:ascii="Arial" w:eastAsia="Times New Roman" w:hAnsi="Arial" w:cs="Arial"/>
                <w:sz w:val="18"/>
                <w:szCs w:val="24"/>
                <w:lang w:eastAsia="es-ES"/>
              </w:rPr>
            </w:pPr>
            <w:r w:rsidRPr="00CF2780">
              <w:rPr>
                <w:rFonts w:ascii="Arial" w:eastAsia="Times New Roman" w:hAnsi="Arial" w:cs="Arial"/>
                <w:sz w:val="18"/>
                <w:szCs w:val="24"/>
                <w:lang w:eastAsia="es-ES"/>
              </w:rPr>
              <w:t>734</w:t>
            </w:r>
          </w:p>
        </w:tc>
        <w:tc>
          <w:tcPr>
            <w:tcW w:w="1920" w:type="dxa"/>
          </w:tcPr>
          <w:p w14:paraId="70A1F958" w14:textId="77777777" w:rsidR="00676010" w:rsidRPr="00CF2780" w:rsidRDefault="00676010" w:rsidP="00676010">
            <w:pPr>
              <w:spacing w:after="0" w:line="240" w:lineRule="auto"/>
              <w:jc w:val="both"/>
              <w:rPr>
                <w:rFonts w:ascii="Arial" w:eastAsia="Times New Roman" w:hAnsi="Arial" w:cs="Arial"/>
                <w:sz w:val="18"/>
                <w:szCs w:val="24"/>
                <w:lang w:eastAsia="es-ES"/>
              </w:rPr>
            </w:pPr>
          </w:p>
        </w:tc>
      </w:tr>
    </w:tbl>
    <w:p w14:paraId="20B5A65F" w14:textId="77777777" w:rsidR="00676010" w:rsidRPr="00CF2780" w:rsidRDefault="00676010" w:rsidP="00676010">
      <w:pPr>
        <w:spacing w:after="0" w:line="240" w:lineRule="auto"/>
        <w:jc w:val="both"/>
        <w:rPr>
          <w:rFonts w:ascii="Arial" w:eastAsia="Times New Roman" w:hAnsi="Arial" w:cs="Arial"/>
          <w:b/>
          <w:bCs/>
          <w:sz w:val="14"/>
          <w:szCs w:val="24"/>
          <w:lang w:eastAsia="es-ES"/>
        </w:rPr>
      </w:pPr>
    </w:p>
    <w:tbl>
      <w:tblPr>
        <w:tblW w:w="0" w:type="auto"/>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shd w:val="clear" w:color="auto" w:fill="CCCCCC"/>
        <w:tblCellMar>
          <w:left w:w="70" w:type="dxa"/>
          <w:right w:w="70" w:type="dxa"/>
        </w:tblCellMar>
        <w:tblLook w:val="00A0" w:firstRow="1" w:lastRow="0" w:firstColumn="1" w:lastColumn="0" w:noHBand="0" w:noVBand="0"/>
      </w:tblPr>
      <w:tblGrid>
        <w:gridCol w:w="2520"/>
        <w:gridCol w:w="1980"/>
      </w:tblGrid>
      <w:tr w:rsidR="00676010" w:rsidRPr="00CF2780" w14:paraId="2B2774B0" w14:textId="77777777" w:rsidTr="00B05F31">
        <w:trPr>
          <w:tblCellSpacing w:w="20" w:type="dxa"/>
          <w:jc w:val="center"/>
        </w:trPr>
        <w:tc>
          <w:tcPr>
            <w:tcW w:w="2460" w:type="dxa"/>
            <w:shd w:val="clear" w:color="auto" w:fill="CCCCCC"/>
          </w:tcPr>
          <w:p w14:paraId="73BC5E21" w14:textId="77777777" w:rsidR="00676010" w:rsidRPr="00CF2780" w:rsidRDefault="00676010" w:rsidP="00676010">
            <w:pPr>
              <w:spacing w:after="0" w:line="240" w:lineRule="auto"/>
              <w:jc w:val="center"/>
              <w:rPr>
                <w:rFonts w:ascii="Arial" w:eastAsia="Times New Roman" w:hAnsi="Arial" w:cs="Arial"/>
                <w:b/>
                <w:bCs/>
                <w:sz w:val="24"/>
                <w:szCs w:val="24"/>
                <w:lang w:eastAsia="es-ES"/>
              </w:rPr>
            </w:pPr>
            <w:r w:rsidRPr="00CF2780">
              <w:rPr>
                <w:rFonts w:ascii="Arial" w:eastAsia="Times New Roman" w:hAnsi="Arial" w:cs="Arial"/>
                <w:b/>
                <w:bCs/>
                <w:sz w:val="24"/>
                <w:szCs w:val="24"/>
                <w:lang w:eastAsia="es-ES"/>
              </w:rPr>
              <w:t>TOTAL</w:t>
            </w:r>
          </w:p>
        </w:tc>
        <w:tc>
          <w:tcPr>
            <w:tcW w:w="1920" w:type="dxa"/>
            <w:shd w:val="clear" w:color="auto" w:fill="CCCCCC"/>
          </w:tcPr>
          <w:p w14:paraId="1C740D1B" w14:textId="77777777" w:rsidR="00676010" w:rsidRPr="00CF2780" w:rsidRDefault="00676010" w:rsidP="00676010">
            <w:pPr>
              <w:spacing w:after="0" w:line="240" w:lineRule="auto"/>
              <w:jc w:val="center"/>
              <w:rPr>
                <w:rFonts w:ascii="Arial" w:eastAsia="Times New Roman" w:hAnsi="Arial" w:cs="Arial"/>
                <w:b/>
                <w:bCs/>
                <w:sz w:val="24"/>
                <w:szCs w:val="24"/>
                <w:lang w:eastAsia="es-ES"/>
              </w:rPr>
            </w:pPr>
            <w:r w:rsidRPr="00CF2780">
              <w:rPr>
                <w:rFonts w:ascii="Arial" w:eastAsia="Times New Roman" w:hAnsi="Arial" w:cs="Arial"/>
                <w:b/>
                <w:bCs/>
                <w:sz w:val="24"/>
                <w:szCs w:val="24"/>
                <w:lang w:eastAsia="es-ES"/>
              </w:rPr>
              <w:t>734</w:t>
            </w:r>
          </w:p>
        </w:tc>
      </w:tr>
    </w:tbl>
    <w:p w14:paraId="23B46067" w14:textId="77777777" w:rsidR="00676010" w:rsidRPr="00CF2780" w:rsidRDefault="00676010" w:rsidP="00676010">
      <w:pPr>
        <w:spacing w:after="0" w:line="240" w:lineRule="auto"/>
        <w:jc w:val="both"/>
        <w:rPr>
          <w:rFonts w:ascii="Arial" w:eastAsia="Times New Roman" w:hAnsi="Arial" w:cs="Arial"/>
          <w:sz w:val="24"/>
          <w:szCs w:val="24"/>
          <w:lang w:eastAsia="es-ES"/>
        </w:rPr>
      </w:pPr>
    </w:p>
    <w:p w14:paraId="59E30870" w14:textId="77777777" w:rsidR="00676010" w:rsidRPr="00CF2780" w:rsidRDefault="00676010" w:rsidP="00676010">
      <w:pPr>
        <w:spacing w:after="0" w:line="240" w:lineRule="auto"/>
        <w:jc w:val="both"/>
        <w:rPr>
          <w:rFonts w:ascii="Arial" w:eastAsia="Times New Roman" w:hAnsi="Arial" w:cs="Arial"/>
          <w:sz w:val="24"/>
          <w:szCs w:val="24"/>
          <w:lang w:eastAsia="es-ES"/>
        </w:rPr>
      </w:pPr>
    </w:p>
    <w:p w14:paraId="75C7934A"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En tanto, el concentrado municipal, global y por secciones, arroja los siguientes resultados:</w:t>
      </w:r>
    </w:p>
    <w:p w14:paraId="046A7F96" w14:textId="77777777" w:rsidR="00676010" w:rsidRPr="00CF2780" w:rsidRDefault="00676010" w:rsidP="00676010">
      <w:pPr>
        <w:spacing w:after="0" w:line="240" w:lineRule="auto"/>
        <w:jc w:val="both"/>
        <w:rPr>
          <w:rFonts w:ascii="Arial" w:eastAsia="Times New Roman" w:hAnsi="Arial" w:cs="Arial"/>
          <w:sz w:val="24"/>
          <w:szCs w:val="24"/>
          <w:lang w:eastAsia="es-ES"/>
        </w:rPr>
      </w:pPr>
    </w:p>
    <w:tbl>
      <w:tblPr>
        <w:tblW w:w="0" w:type="auto"/>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left w:w="70" w:type="dxa"/>
          <w:right w:w="70" w:type="dxa"/>
        </w:tblCellMar>
        <w:tblLook w:val="00A0" w:firstRow="1" w:lastRow="0" w:firstColumn="1" w:lastColumn="0" w:noHBand="0" w:noVBand="0"/>
      </w:tblPr>
      <w:tblGrid>
        <w:gridCol w:w="2195"/>
        <w:gridCol w:w="2194"/>
        <w:gridCol w:w="2194"/>
        <w:gridCol w:w="2195"/>
      </w:tblGrid>
      <w:tr w:rsidR="00676010" w:rsidRPr="00CF2780" w14:paraId="201CE8DF" w14:textId="77777777" w:rsidTr="00B05F31">
        <w:trPr>
          <w:tblCellSpacing w:w="20" w:type="dxa"/>
          <w:jc w:val="center"/>
        </w:trPr>
        <w:tc>
          <w:tcPr>
            <w:tcW w:w="2135" w:type="dxa"/>
          </w:tcPr>
          <w:p w14:paraId="04AD6128" w14:textId="77777777" w:rsidR="00676010" w:rsidRPr="00CF2780" w:rsidRDefault="00676010" w:rsidP="00676010">
            <w:pPr>
              <w:keepNext/>
              <w:spacing w:after="0" w:line="240" w:lineRule="auto"/>
              <w:jc w:val="center"/>
              <w:outlineLvl w:val="2"/>
              <w:rPr>
                <w:rFonts w:ascii="Arial" w:eastAsia="Times New Roman" w:hAnsi="Arial" w:cs="Arial"/>
                <w:b/>
                <w:bCs/>
                <w:sz w:val="18"/>
                <w:szCs w:val="24"/>
                <w:lang w:eastAsia="es-ES"/>
              </w:rPr>
            </w:pPr>
            <w:r w:rsidRPr="00CF2780">
              <w:rPr>
                <w:rFonts w:ascii="Arial" w:eastAsia="Times New Roman" w:hAnsi="Arial" w:cs="Arial"/>
                <w:b/>
                <w:bCs/>
                <w:sz w:val="18"/>
                <w:szCs w:val="24"/>
                <w:lang w:eastAsia="es-ES"/>
              </w:rPr>
              <w:t>SECCIÓN</w:t>
            </w:r>
          </w:p>
        </w:tc>
        <w:tc>
          <w:tcPr>
            <w:tcW w:w="2155" w:type="dxa"/>
          </w:tcPr>
          <w:p w14:paraId="0A74EFD6" w14:textId="77777777" w:rsidR="00676010" w:rsidRPr="00CF2780" w:rsidRDefault="00676010" w:rsidP="00676010">
            <w:pPr>
              <w:keepNext/>
              <w:spacing w:after="0" w:line="240" w:lineRule="auto"/>
              <w:jc w:val="center"/>
              <w:outlineLvl w:val="3"/>
              <w:rPr>
                <w:rFonts w:ascii="Arial" w:eastAsia="Times New Roman" w:hAnsi="Arial" w:cs="Arial"/>
                <w:b/>
                <w:bCs/>
                <w:sz w:val="18"/>
                <w:szCs w:val="24"/>
                <w:lang w:eastAsia="es-ES"/>
              </w:rPr>
            </w:pPr>
            <w:r w:rsidRPr="00CF2780">
              <w:rPr>
                <w:rFonts w:ascii="Arial" w:eastAsia="Times New Roman" w:hAnsi="Arial" w:cs="Arial"/>
                <w:b/>
                <w:bCs/>
                <w:sz w:val="18"/>
                <w:szCs w:val="24"/>
                <w:lang w:eastAsia="es-ES"/>
              </w:rPr>
              <w:t>TIPO DE CASILLA</w:t>
            </w:r>
          </w:p>
        </w:tc>
        <w:tc>
          <w:tcPr>
            <w:tcW w:w="2155" w:type="dxa"/>
          </w:tcPr>
          <w:p w14:paraId="43218FFA" w14:textId="77777777" w:rsidR="00676010" w:rsidRPr="00CF2780" w:rsidRDefault="00676010" w:rsidP="00676010">
            <w:pPr>
              <w:keepNext/>
              <w:spacing w:after="0" w:line="240" w:lineRule="auto"/>
              <w:jc w:val="center"/>
              <w:outlineLvl w:val="3"/>
              <w:rPr>
                <w:rFonts w:ascii="Arial" w:eastAsia="Times New Roman" w:hAnsi="Arial" w:cs="Arial"/>
                <w:b/>
                <w:bCs/>
                <w:sz w:val="18"/>
                <w:szCs w:val="24"/>
                <w:lang w:eastAsia="es-ES"/>
              </w:rPr>
            </w:pPr>
            <w:r w:rsidRPr="00CF2780">
              <w:rPr>
                <w:rFonts w:ascii="Arial" w:eastAsia="Times New Roman" w:hAnsi="Arial" w:cs="Arial"/>
                <w:b/>
                <w:bCs/>
                <w:sz w:val="18"/>
                <w:szCs w:val="24"/>
                <w:lang w:eastAsia="es-ES"/>
              </w:rPr>
              <w:t>LISTA NOMINAL 2001</w:t>
            </w:r>
          </w:p>
        </w:tc>
        <w:tc>
          <w:tcPr>
            <w:tcW w:w="2135" w:type="dxa"/>
          </w:tcPr>
          <w:p w14:paraId="799D3C3D" w14:textId="77777777" w:rsidR="00676010" w:rsidRPr="00CF2780" w:rsidRDefault="00676010" w:rsidP="00676010">
            <w:pPr>
              <w:keepNext/>
              <w:spacing w:after="0" w:line="240" w:lineRule="auto"/>
              <w:jc w:val="center"/>
              <w:outlineLvl w:val="2"/>
              <w:rPr>
                <w:rFonts w:ascii="Arial" w:eastAsia="Times New Roman" w:hAnsi="Arial" w:cs="Arial"/>
                <w:b/>
                <w:bCs/>
                <w:sz w:val="18"/>
                <w:szCs w:val="24"/>
                <w:lang w:eastAsia="es-ES"/>
              </w:rPr>
            </w:pPr>
            <w:r w:rsidRPr="00CF2780">
              <w:rPr>
                <w:rFonts w:ascii="Arial" w:eastAsia="Times New Roman" w:hAnsi="Arial" w:cs="Arial"/>
                <w:b/>
                <w:bCs/>
                <w:sz w:val="18"/>
                <w:szCs w:val="24"/>
                <w:lang w:eastAsia="es-ES"/>
              </w:rPr>
              <w:t>OBSERVACIONES</w:t>
            </w:r>
          </w:p>
        </w:tc>
      </w:tr>
    </w:tbl>
    <w:p w14:paraId="101E7E78" w14:textId="77777777" w:rsidR="00676010" w:rsidRPr="00CF2780" w:rsidRDefault="00676010" w:rsidP="00676010">
      <w:pPr>
        <w:spacing w:after="0" w:line="240" w:lineRule="auto"/>
        <w:rPr>
          <w:rFonts w:ascii="Arial" w:eastAsia="Times New Roman" w:hAnsi="Arial" w:cs="Arial"/>
          <w:sz w:val="10"/>
          <w:szCs w:val="24"/>
          <w:lang w:eastAsia="es-ES"/>
        </w:rPr>
      </w:pPr>
    </w:p>
    <w:tbl>
      <w:tblPr>
        <w:tblW w:w="0" w:type="auto"/>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left w:w="70" w:type="dxa"/>
          <w:right w:w="70" w:type="dxa"/>
        </w:tblCellMar>
        <w:tblLook w:val="00A0" w:firstRow="1" w:lastRow="0" w:firstColumn="1" w:lastColumn="0" w:noHBand="0" w:noVBand="0"/>
      </w:tblPr>
      <w:tblGrid>
        <w:gridCol w:w="2152"/>
        <w:gridCol w:w="2344"/>
        <w:gridCol w:w="2146"/>
        <w:gridCol w:w="2136"/>
      </w:tblGrid>
      <w:tr w:rsidR="00676010" w:rsidRPr="00CF2780" w14:paraId="70D4AEAD" w14:textId="77777777" w:rsidTr="00B05F31">
        <w:trPr>
          <w:tblCellSpacing w:w="20" w:type="dxa"/>
          <w:jc w:val="center"/>
        </w:trPr>
        <w:tc>
          <w:tcPr>
            <w:tcW w:w="2135" w:type="dxa"/>
          </w:tcPr>
          <w:p w14:paraId="7CE671B2" w14:textId="77777777" w:rsidR="00676010" w:rsidRPr="00CF2780" w:rsidRDefault="00676010" w:rsidP="00676010">
            <w:pPr>
              <w:spacing w:after="0" w:line="240" w:lineRule="auto"/>
              <w:jc w:val="center"/>
              <w:rPr>
                <w:rFonts w:ascii="Arial" w:eastAsia="Times New Roman" w:hAnsi="Arial" w:cs="Arial"/>
                <w:sz w:val="24"/>
                <w:szCs w:val="24"/>
                <w:lang w:eastAsia="es-ES"/>
              </w:rPr>
            </w:pPr>
            <w:r w:rsidRPr="00CF2780">
              <w:rPr>
                <w:rFonts w:ascii="Arial" w:eastAsia="Times New Roman" w:hAnsi="Arial" w:cs="Arial"/>
                <w:sz w:val="24"/>
                <w:szCs w:val="24"/>
                <w:lang w:eastAsia="es-ES"/>
              </w:rPr>
              <w:t>2151</w:t>
            </w:r>
          </w:p>
        </w:tc>
        <w:tc>
          <w:tcPr>
            <w:tcW w:w="2155" w:type="dxa"/>
          </w:tcPr>
          <w:p w14:paraId="2FA4AB08" w14:textId="77777777" w:rsidR="00676010" w:rsidRPr="00CF2780" w:rsidRDefault="00676010" w:rsidP="00676010">
            <w:pPr>
              <w:spacing w:after="0" w:line="240" w:lineRule="auto"/>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BÁSICA</w:t>
            </w:r>
          </w:p>
        </w:tc>
        <w:tc>
          <w:tcPr>
            <w:tcW w:w="2155" w:type="dxa"/>
          </w:tcPr>
          <w:p w14:paraId="5B422500" w14:textId="77777777" w:rsidR="00676010" w:rsidRPr="00CF2780" w:rsidRDefault="00676010" w:rsidP="00676010">
            <w:pPr>
              <w:spacing w:after="0" w:line="240" w:lineRule="auto"/>
              <w:jc w:val="center"/>
              <w:rPr>
                <w:rFonts w:ascii="Arial" w:eastAsia="Times New Roman" w:hAnsi="Arial" w:cs="Arial"/>
                <w:sz w:val="24"/>
                <w:szCs w:val="24"/>
                <w:lang w:eastAsia="es-ES"/>
              </w:rPr>
            </w:pPr>
            <w:r w:rsidRPr="00CF2780">
              <w:rPr>
                <w:rFonts w:ascii="Arial" w:eastAsia="Times New Roman" w:hAnsi="Arial" w:cs="Arial"/>
                <w:sz w:val="24"/>
                <w:szCs w:val="24"/>
                <w:lang w:eastAsia="es-ES"/>
              </w:rPr>
              <w:t>576</w:t>
            </w:r>
          </w:p>
        </w:tc>
        <w:tc>
          <w:tcPr>
            <w:tcW w:w="2135" w:type="dxa"/>
          </w:tcPr>
          <w:p w14:paraId="13925BB3" w14:textId="77777777" w:rsidR="00676010" w:rsidRPr="00CF2780" w:rsidRDefault="00676010" w:rsidP="00676010">
            <w:pPr>
              <w:spacing w:after="0" w:line="240" w:lineRule="auto"/>
              <w:jc w:val="both"/>
              <w:rPr>
                <w:rFonts w:ascii="Arial" w:eastAsia="Times New Roman" w:hAnsi="Arial" w:cs="Arial"/>
                <w:sz w:val="24"/>
                <w:szCs w:val="24"/>
                <w:lang w:eastAsia="es-ES"/>
              </w:rPr>
            </w:pPr>
          </w:p>
        </w:tc>
      </w:tr>
      <w:tr w:rsidR="00676010" w:rsidRPr="00CF2780" w14:paraId="5B738A66" w14:textId="77777777" w:rsidTr="00B05F31">
        <w:trPr>
          <w:tblCellSpacing w:w="20" w:type="dxa"/>
          <w:jc w:val="center"/>
        </w:trPr>
        <w:tc>
          <w:tcPr>
            <w:tcW w:w="2135" w:type="dxa"/>
          </w:tcPr>
          <w:p w14:paraId="2A3E1C15" w14:textId="77777777" w:rsidR="00676010" w:rsidRPr="00CF2780" w:rsidRDefault="00676010" w:rsidP="00676010">
            <w:pPr>
              <w:spacing w:after="0" w:line="240" w:lineRule="auto"/>
              <w:jc w:val="center"/>
              <w:rPr>
                <w:rFonts w:ascii="Arial" w:eastAsia="Times New Roman" w:hAnsi="Arial" w:cs="Arial"/>
                <w:sz w:val="24"/>
                <w:szCs w:val="24"/>
                <w:lang w:eastAsia="es-ES"/>
              </w:rPr>
            </w:pPr>
            <w:r w:rsidRPr="00CF2780">
              <w:rPr>
                <w:rFonts w:ascii="Arial" w:eastAsia="Times New Roman" w:hAnsi="Arial" w:cs="Arial"/>
                <w:sz w:val="24"/>
                <w:szCs w:val="24"/>
                <w:lang w:eastAsia="es-ES"/>
              </w:rPr>
              <w:t>2152</w:t>
            </w:r>
          </w:p>
        </w:tc>
        <w:tc>
          <w:tcPr>
            <w:tcW w:w="2155" w:type="dxa"/>
          </w:tcPr>
          <w:p w14:paraId="2BC82793" w14:textId="77777777" w:rsidR="00676010" w:rsidRPr="00CF2780" w:rsidRDefault="00676010" w:rsidP="00676010">
            <w:pPr>
              <w:spacing w:after="0" w:line="240" w:lineRule="auto"/>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BÁSICA</w:t>
            </w:r>
          </w:p>
        </w:tc>
        <w:tc>
          <w:tcPr>
            <w:tcW w:w="2155" w:type="dxa"/>
          </w:tcPr>
          <w:p w14:paraId="38A2F2FE" w14:textId="77777777" w:rsidR="00676010" w:rsidRPr="00CF2780" w:rsidRDefault="00676010" w:rsidP="00676010">
            <w:pPr>
              <w:spacing w:after="0" w:line="240" w:lineRule="auto"/>
              <w:jc w:val="center"/>
              <w:rPr>
                <w:rFonts w:ascii="Arial" w:eastAsia="Times New Roman" w:hAnsi="Arial" w:cs="Arial"/>
                <w:sz w:val="24"/>
                <w:szCs w:val="24"/>
                <w:lang w:eastAsia="es-ES"/>
              </w:rPr>
            </w:pPr>
            <w:r w:rsidRPr="00CF2780">
              <w:rPr>
                <w:rFonts w:ascii="Arial" w:eastAsia="Times New Roman" w:hAnsi="Arial" w:cs="Arial"/>
                <w:sz w:val="24"/>
                <w:szCs w:val="24"/>
                <w:lang w:eastAsia="es-ES"/>
              </w:rPr>
              <w:t>92</w:t>
            </w:r>
          </w:p>
        </w:tc>
        <w:tc>
          <w:tcPr>
            <w:tcW w:w="2135" w:type="dxa"/>
          </w:tcPr>
          <w:p w14:paraId="5E50C3C7" w14:textId="77777777" w:rsidR="00676010" w:rsidRPr="00CF2780" w:rsidRDefault="00676010" w:rsidP="00676010">
            <w:pPr>
              <w:spacing w:after="0" w:line="240" w:lineRule="auto"/>
              <w:jc w:val="both"/>
              <w:rPr>
                <w:rFonts w:ascii="Arial" w:eastAsia="Times New Roman" w:hAnsi="Arial" w:cs="Arial"/>
                <w:sz w:val="24"/>
                <w:szCs w:val="24"/>
                <w:lang w:eastAsia="es-ES"/>
              </w:rPr>
            </w:pPr>
          </w:p>
        </w:tc>
      </w:tr>
      <w:tr w:rsidR="00676010" w:rsidRPr="00CF2780" w14:paraId="6A01812F" w14:textId="77777777" w:rsidTr="00B05F31">
        <w:trPr>
          <w:tblCellSpacing w:w="20" w:type="dxa"/>
          <w:jc w:val="center"/>
        </w:trPr>
        <w:tc>
          <w:tcPr>
            <w:tcW w:w="2135" w:type="dxa"/>
          </w:tcPr>
          <w:p w14:paraId="7A91547A" w14:textId="77777777" w:rsidR="00676010" w:rsidRPr="00CF2780" w:rsidRDefault="00676010" w:rsidP="00676010">
            <w:pPr>
              <w:spacing w:after="0" w:line="240" w:lineRule="auto"/>
              <w:jc w:val="center"/>
              <w:rPr>
                <w:rFonts w:ascii="Arial" w:eastAsia="Times New Roman" w:hAnsi="Arial" w:cs="Arial"/>
                <w:sz w:val="24"/>
                <w:szCs w:val="24"/>
                <w:lang w:eastAsia="es-ES"/>
              </w:rPr>
            </w:pPr>
          </w:p>
        </w:tc>
        <w:tc>
          <w:tcPr>
            <w:tcW w:w="2155" w:type="dxa"/>
          </w:tcPr>
          <w:p w14:paraId="3462BBF7" w14:textId="77777777" w:rsidR="00676010" w:rsidRPr="00CF2780" w:rsidRDefault="00676010" w:rsidP="00676010">
            <w:pPr>
              <w:spacing w:after="0" w:line="240" w:lineRule="auto"/>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EXTRAORDINARIA</w:t>
            </w:r>
          </w:p>
        </w:tc>
        <w:tc>
          <w:tcPr>
            <w:tcW w:w="2155" w:type="dxa"/>
          </w:tcPr>
          <w:p w14:paraId="4AD1BF15" w14:textId="77777777" w:rsidR="00676010" w:rsidRPr="00CF2780" w:rsidRDefault="00676010" w:rsidP="00676010">
            <w:pPr>
              <w:spacing w:after="0" w:line="240" w:lineRule="auto"/>
              <w:jc w:val="center"/>
              <w:rPr>
                <w:rFonts w:ascii="Arial" w:eastAsia="Times New Roman" w:hAnsi="Arial" w:cs="Arial"/>
                <w:sz w:val="24"/>
                <w:szCs w:val="24"/>
                <w:lang w:eastAsia="es-ES"/>
              </w:rPr>
            </w:pPr>
            <w:r w:rsidRPr="00CF2780">
              <w:rPr>
                <w:rFonts w:ascii="Arial" w:eastAsia="Times New Roman" w:hAnsi="Arial" w:cs="Arial"/>
                <w:sz w:val="24"/>
                <w:szCs w:val="24"/>
                <w:lang w:eastAsia="es-ES"/>
              </w:rPr>
              <w:t>274</w:t>
            </w:r>
          </w:p>
        </w:tc>
        <w:tc>
          <w:tcPr>
            <w:tcW w:w="2135" w:type="dxa"/>
          </w:tcPr>
          <w:p w14:paraId="6B9C65FD" w14:textId="77777777" w:rsidR="00676010" w:rsidRPr="00CF2780" w:rsidRDefault="00676010" w:rsidP="00676010">
            <w:pPr>
              <w:spacing w:after="0" w:line="240" w:lineRule="auto"/>
              <w:jc w:val="both"/>
              <w:rPr>
                <w:rFonts w:ascii="Arial" w:eastAsia="Times New Roman" w:hAnsi="Arial" w:cs="Arial"/>
                <w:sz w:val="24"/>
                <w:szCs w:val="24"/>
                <w:lang w:eastAsia="es-ES"/>
              </w:rPr>
            </w:pPr>
          </w:p>
        </w:tc>
      </w:tr>
      <w:tr w:rsidR="00676010" w:rsidRPr="00CF2780" w14:paraId="25E2500F" w14:textId="77777777" w:rsidTr="00B05F31">
        <w:trPr>
          <w:tblCellSpacing w:w="20" w:type="dxa"/>
          <w:jc w:val="center"/>
        </w:trPr>
        <w:tc>
          <w:tcPr>
            <w:tcW w:w="2135" w:type="dxa"/>
          </w:tcPr>
          <w:p w14:paraId="56C5E607" w14:textId="77777777" w:rsidR="00676010" w:rsidRPr="00CF2780" w:rsidRDefault="00676010" w:rsidP="00676010">
            <w:pPr>
              <w:spacing w:after="0" w:line="240" w:lineRule="auto"/>
              <w:jc w:val="center"/>
              <w:rPr>
                <w:rFonts w:ascii="Arial" w:eastAsia="Times New Roman" w:hAnsi="Arial" w:cs="Arial"/>
                <w:sz w:val="24"/>
                <w:szCs w:val="24"/>
                <w:lang w:eastAsia="es-ES"/>
              </w:rPr>
            </w:pPr>
            <w:r w:rsidRPr="00CF2780">
              <w:rPr>
                <w:rFonts w:ascii="Arial" w:eastAsia="Times New Roman" w:hAnsi="Arial" w:cs="Arial"/>
                <w:sz w:val="24"/>
                <w:szCs w:val="24"/>
                <w:lang w:eastAsia="es-ES"/>
              </w:rPr>
              <w:t>2153</w:t>
            </w:r>
          </w:p>
        </w:tc>
        <w:tc>
          <w:tcPr>
            <w:tcW w:w="2155" w:type="dxa"/>
          </w:tcPr>
          <w:p w14:paraId="01168159" w14:textId="77777777" w:rsidR="00676010" w:rsidRPr="00CF2780" w:rsidRDefault="00676010" w:rsidP="00676010">
            <w:pPr>
              <w:spacing w:after="0" w:line="240" w:lineRule="auto"/>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BÁSICA</w:t>
            </w:r>
          </w:p>
        </w:tc>
        <w:tc>
          <w:tcPr>
            <w:tcW w:w="2155" w:type="dxa"/>
          </w:tcPr>
          <w:p w14:paraId="576CEEE6" w14:textId="77777777" w:rsidR="00676010" w:rsidRPr="00CF2780" w:rsidRDefault="00676010" w:rsidP="00676010">
            <w:pPr>
              <w:spacing w:after="0" w:line="240" w:lineRule="auto"/>
              <w:jc w:val="center"/>
              <w:rPr>
                <w:rFonts w:ascii="Arial" w:eastAsia="Times New Roman" w:hAnsi="Arial" w:cs="Arial"/>
                <w:sz w:val="24"/>
                <w:szCs w:val="24"/>
                <w:lang w:eastAsia="es-ES"/>
              </w:rPr>
            </w:pPr>
            <w:r w:rsidRPr="00CF2780">
              <w:rPr>
                <w:rFonts w:ascii="Arial" w:eastAsia="Times New Roman" w:hAnsi="Arial" w:cs="Arial"/>
                <w:sz w:val="24"/>
                <w:szCs w:val="24"/>
                <w:lang w:eastAsia="es-ES"/>
              </w:rPr>
              <w:t>545</w:t>
            </w:r>
          </w:p>
        </w:tc>
        <w:tc>
          <w:tcPr>
            <w:tcW w:w="2135" w:type="dxa"/>
          </w:tcPr>
          <w:p w14:paraId="0915D6E9" w14:textId="77777777" w:rsidR="00676010" w:rsidRPr="00CF2780" w:rsidRDefault="00676010" w:rsidP="00676010">
            <w:pPr>
              <w:spacing w:after="0" w:line="240" w:lineRule="auto"/>
              <w:jc w:val="both"/>
              <w:rPr>
                <w:rFonts w:ascii="Arial" w:eastAsia="Times New Roman" w:hAnsi="Arial" w:cs="Arial"/>
                <w:sz w:val="24"/>
                <w:szCs w:val="24"/>
                <w:lang w:eastAsia="es-ES"/>
              </w:rPr>
            </w:pPr>
          </w:p>
        </w:tc>
      </w:tr>
      <w:tr w:rsidR="00676010" w:rsidRPr="00CF2780" w14:paraId="1F53EDC5" w14:textId="77777777" w:rsidTr="00B05F31">
        <w:trPr>
          <w:tblCellSpacing w:w="20" w:type="dxa"/>
          <w:jc w:val="center"/>
        </w:trPr>
        <w:tc>
          <w:tcPr>
            <w:tcW w:w="2135" w:type="dxa"/>
          </w:tcPr>
          <w:p w14:paraId="762617C1" w14:textId="77777777" w:rsidR="00676010" w:rsidRPr="00CF2780" w:rsidRDefault="00676010" w:rsidP="00676010">
            <w:pPr>
              <w:spacing w:after="0" w:line="240" w:lineRule="auto"/>
              <w:jc w:val="center"/>
              <w:rPr>
                <w:rFonts w:ascii="Arial" w:eastAsia="Times New Roman" w:hAnsi="Arial" w:cs="Arial"/>
                <w:sz w:val="24"/>
                <w:szCs w:val="24"/>
                <w:lang w:eastAsia="es-ES"/>
              </w:rPr>
            </w:pPr>
          </w:p>
        </w:tc>
        <w:tc>
          <w:tcPr>
            <w:tcW w:w="2155" w:type="dxa"/>
          </w:tcPr>
          <w:p w14:paraId="2E6A2BD1" w14:textId="77777777" w:rsidR="00676010" w:rsidRPr="00CF2780" w:rsidRDefault="00676010" w:rsidP="00676010">
            <w:pPr>
              <w:spacing w:after="0" w:line="240" w:lineRule="auto"/>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CONTIGUA</w:t>
            </w:r>
          </w:p>
        </w:tc>
        <w:tc>
          <w:tcPr>
            <w:tcW w:w="2155" w:type="dxa"/>
          </w:tcPr>
          <w:p w14:paraId="3A1FCF90" w14:textId="77777777" w:rsidR="00676010" w:rsidRPr="00CF2780" w:rsidRDefault="00676010" w:rsidP="00676010">
            <w:pPr>
              <w:spacing w:after="0" w:line="240" w:lineRule="auto"/>
              <w:jc w:val="center"/>
              <w:rPr>
                <w:rFonts w:ascii="Arial" w:eastAsia="Times New Roman" w:hAnsi="Arial" w:cs="Arial"/>
                <w:sz w:val="24"/>
                <w:szCs w:val="24"/>
                <w:lang w:eastAsia="es-ES"/>
              </w:rPr>
            </w:pPr>
            <w:r w:rsidRPr="00CF2780">
              <w:rPr>
                <w:rFonts w:ascii="Arial" w:eastAsia="Times New Roman" w:hAnsi="Arial" w:cs="Arial"/>
                <w:sz w:val="24"/>
                <w:szCs w:val="24"/>
                <w:lang w:eastAsia="es-ES"/>
              </w:rPr>
              <w:t>545</w:t>
            </w:r>
          </w:p>
        </w:tc>
        <w:tc>
          <w:tcPr>
            <w:tcW w:w="2135" w:type="dxa"/>
          </w:tcPr>
          <w:p w14:paraId="716A8A98" w14:textId="77777777" w:rsidR="00676010" w:rsidRPr="00CF2780" w:rsidRDefault="00676010" w:rsidP="00676010">
            <w:pPr>
              <w:spacing w:after="0" w:line="240" w:lineRule="auto"/>
              <w:jc w:val="both"/>
              <w:rPr>
                <w:rFonts w:ascii="Arial" w:eastAsia="Times New Roman" w:hAnsi="Arial" w:cs="Arial"/>
                <w:sz w:val="24"/>
                <w:szCs w:val="24"/>
                <w:lang w:eastAsia="es-ES"/>
              </w:rPr>
            </w:pPr>
          </w:p>
        </w:tc>
      </w:tr>
      <w:tr w:rsidR="00676010" w:rsidRPr="00CF2780" w14:paraId="7EAA5DEE" w14:textId="77777777" w:rsidTr="00B05F31">
        <w:trPr>
          <w:tblCellSpacing w:w="20" w:type="dxa"/>
          <w:jc w:val="center"/>
        </w:trPr>
        <w:tc>
          <w:tcPr>
            <w:tcW w:w="2135" w:type="dxa"/>
          </w:tcPr>
          <w:p w14:paraId="71D55E7A" w14:textId="77777777" w:rsidR="00676010" w:rsidRPr="00CF2780" w:rsidRDefault="00676010" w:rsidP="00676010">
            <w:pPr>
              <w:spacing w:after="0" w:line="240" w:lineRule="auto"/>
              <w:jc w:val="center"/>
              <w:rPr>
                <w:rFonts w:ascii="Arial" w:eastAsia="Times New Roman" w:hAnsi="Arial" w:cs="Arial"/>
                <w:sz w:val="24"/>
                <w:szCs w:val="24"/>
                <w:lang w:eastAsia="es-ES"/>
              </w:rPr>
            </w:pPr>
            <w:r w:rsidRPr="00CF2780">
              <w:rPr>
                <w:rFonts w:ascii="Arial" w:eastAsia="Times New Roman" w:hAnsi="Arial" w:cs="Arial"/>
                <w:sz w:val="24"/>
                <w:szCs w:val="24"/>
                <w:lang w:eastAsia="es-ES"/>
              </w:rPr>
              <w:t>2154</w:t>
            </w:r>
          </w:p>
        </w:tc>
        <w:tc>
          <w:tcPr>
            <w:tcW w:w="2155" w:type="dxa"/>
          </w:tcPr>
          <w:p w14:paraId="21966C34" w14:textId="77777777" w:rsidR="00676010" w:rsidRPr="00CF2780" w:rsidRDefault="00676010" w:rsidP="00676010">
            <w:pPr>
              <w:spacing w:after="0" w:line="240" w:lineRule="auto"/>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BÁSICA</w:t>
            </w:r>
          </w:p>
        </w:tc>
        <w:tc>
          <w:tcPr>
            <w:tcW w:w="2155" w:type="dxa"/>
          </w:tcPr>
          <w:p w14:paraId="22C1C05D" w14:textId="77777777" w:rsidR="00676010" w:rsidRPr="00CF2780" w:rsidRDefault="00676010" w:rsidP="00676010">
            <w:pPr>
              <w:spacing w:after="0" w:line="240" w:lineRule="auto"/>
              <w:jc w:val="center"/>
              <w:rPr>
                <w:rFonts w:ascii="Arial" w:eastAsia="Times New Roman" w:hAnsi="Arial" w:cs="Arial"/>
                <w:sz w:val="24"/>
                <w:szCs w:val="24"/>
                <w:lang w:eastAsia="es-ES"/>
              </w:rPr>
            </w:pPr>
            <w:r w:rsidRPr="00CF2780">
              <w:rPr>
                <w:rFonts w:ascii="Arial" w:eastAsia="Times New Roman" w:hAnsi="Arial" w:cs="Arial"/>
                <w:sz w:val="24"/>
                <w:szCs w:val="24"/>
                <w:lang w:eastAsia="es-ES"/>
              </w:rPr>
              <w:t>581</w:t>
            </w:r>
          </w:p>
        </w:tc>
        <w:tc>
          <w:tcPr>
            <w:tcW w:w="2135" w:type="dxa"/>
          </w:tcPr>
          <w:p w14:paraId="7DFD6F79" w14:textId="77777777" w:rsidR="00676010" w:rsidRPr="00CF2780" w:rsidRDefault="00676010" w:rsidP="00676010">
            <w:pPr>
              <w:spacing w:after="0" w:line="240" w:lineRule="auto"/>
              <w:jc w:val="both"/>
              <w:rPr>
                <w:rFonts w:ascii="Arial" w:eastAsia="Times New Roman" w:hAnsi="Arial" w:cs="Arial"/>
                <w:sz w:val="24"/>
                <w:szCs w:val="24"/>
                <w:lang w:eastAsia="es-ES"/>
              </w:rPr>
            </w:pPr>
          </w:p>
        </w:tc>
      </w:tr>
      <w:tr w:rsidR="00676010" w:rsidRPr="00CF2780" w14:paraId="382AAA8A" w14:textId="77777777" w:rsidTr="00B05F31">
        <w:trPr>
          <w:tblCellSpacing w:w="20" w:type="dxa"/>
          <w:jc w:val="center"/>
        </w:trPr>
        <w:tc>
          <w:tcPr>
            <w:tcW w:w="2135" w:type="dxa"/>
          </w:tcPr>
          <w:p w14:paraId="68E25FBB" w14:textId="77777777" w:rsidR="00676010" w:rsidRPr="00CF2780" w:rsidRDefault="00676010" w:rsidP="00676010">
            <w:pPr>
              <w:spacing w:after="0" w:line="240" w:lineRule="auto"/>
              <w:jc w:val="center"/>
              <w:rPr>
                <w:rFonts w:ascii="Arial" w:eastAsia="Times New Roman" w:hAnsi="Arial" w:cs="Arial"/>
                <w:sz w:val="24"/>
                <w:szCs w:val="24"/>
                <w:lang w:eastAsia="es-ES"/>
              </w:rPr>
            </w:pPr>
            <w:r w:rsidRPr="00CF2780">
              <w:rPr>
                <w:rFonts w:ascii="Arial" w:eastAsia="Times New Roman" w:hAnsi="Arial" w:cs="Arial"/>
                <w:sz w:val="24"/>
                <w:szCs w:val="24"/>
                <w:lang w:eastAsia="es-ES"/>
              </w:rPr>
              <w:t>2155</w:t>
            </w:r>
          </w:p>
        </w:tc>
        <w:tc>
          <w:tcPr>
            <w:tcW w:w="2155" w:type="dxa"/>
          </w:tcPr>
          <w:p w14:paraId="4F7F74E8" w14:textId="77777777" w:rsidR="00676010" w:rsidRPr="00CF2780" w:rsidRDefault="00676010" w:rsidP="00676010">
            <w:pPr>
              <w:spacing w:after="0" w:line="240" w:lineRule="auto"/>
              <w:jc w:val="both"/>
              <w:rPr>
                <w:rFonts w:ascii="Arial" w:eastAsia="Times New Roman" w:hAnsi="Arial" w:cs="Arial"/>
                <w:sz w:val="24"/>
                <w:szCs w:val="24"/>
                <w:lang w:eastAsia="es-ES"/>
              </w:rPr>
            </w:pPr>
            <w:r w:rsidRPr="00CF2780">
              <w:rPr>
                <w:rFonts w:ascii="Arial" w:eastAsia="Times New Roman" w:hAnsi="Arial" w:cs="Arial"/>
                <w:sz w:val="24"/>
                <w:szCs w:val="24"/>
                <w:lang w:eastAsia="es-ES"/>
              </w:rPr>
              <w:t>BÁSICA</w:t>
            </w:r>
          </w:p>
        </w:tc>
        <w:tc>
          <w:tcPr>
            <w:tcW w:w="2155" w:type="dxa"/>
          </w:tcPr>
          <w:p w14:paraId="67B4B84D" w14:textId="77777777" w:rsidR="00676010" w:rsidRPr="00CF2780" w:rsidRDefault="00676010" w:rsidP="00676010">
            <w:pPr>
              <w:spacing w:after="0" w:line="240" w:lineRule="auto"/>
              <w:jc w:val="center"/>
              <w:rPr>
                <w:rFonts w:ascii="Arial" w:eastAsia="Times New Roman" w:hAnsi="Arial" w:cs="Arial"/>
                <w:sz w:val="24"/>
                <w:szCs w:val="24"/>
                <w:lang w:eastAsia="es-ES"/>
              </w:rPr>
            </w:pPr>
            <w:r w:rsidRPr="00CF2780">
              <w:rPr>
                <w:rFonts w:ascii="Arial" w:eastAsia="Times New Roman" w:hAnsi="Arial" w:cs="Arial"/>
                <w:sz w:val="24"/>
                <w:szCs w:val="24"/>
                <w:lang w:eastAsia="es-ES"/>
              </w:rPr>
              <w:t>734</w:t>
            </w:r>
          </w:p>
        </w:tc>
        <w:tc>
          <w:tcPr>
            <w:tcW w:w="2135" w:type="dxa"/>
          </w:tcPr>
          <w:p w14:paraId="1B0F61E1" w14:textId="77777777" w:rsidR="00676010" w:rsidRPr="00CF2780" w:rsidRDefault="00676010" w:rsidP="00676010">
            <w:pPr>
              <w:spacing w:after="0" w:line="240" w:lineRule="auto"/>
              <w:jc w:val="both"/>
              <w:rPr>
                <w:rFonts w:ascii="Arial" w:eastAsia="Times New Roman" w:hAnsi="Arial" w:cs="Arial"/>
                <w:sz w:val="24"/>
                <w:szCs w:val="24"/>
                <w:lang w:eastAsia="es-ES"/>
              </w:rPr>
            </w:pPr>
          </w:p>
        </w:tc>
      </w:tr>
    </w:tbl>
    <w:p w14:paraId="57DD33A4" w14:textId="77777777" w:rsidR="00676010" w:rsidRPr="00CF2780" w:rsidRDefault="00676010" w:rsidP="00676010">
      <w:pPr>
        <w:spacing w:after="0" w:line="240" w:lineRule="auto"/>
        <w:jc w:val="both"/>
        <w:rPr>
          <w:rFonts w:ascii="Arial" w:eastAsia="Times New Roman" w:hAnsi="Arial" w:cs="Arial"/>
          <w:sz w:val="24"/>
          <w:szCs w:val="24"/>
          <w:lang w:eastAsia="es-ES"/>
        </w:rPr>
      </w:pPr>
    </w:p>
    <w:tbl>
      <w:tblPr>
        <w:tblW w:w="0" w:type="auto"/>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shd w:val="clear" w:color="auto" w:fill="CCCCCC"/>
        <w:tblCellMar>
          <w:left w:w="70" w:type="dxa"/>
          <w:right w:w="70" w:type="dxa"/>
        </w:tblCellMar>
        <w:tblLook w:val="00A0" w:firstRow="1" w:lastRow="0" w:firstColumn="1" w:lastColumn="0" w:noHBand="0" w:noVBand="0"/>
      </w:tblPr>
      <w:tblGrid>
        <w:gridCol w:w="2520"/>
        <w:gridCol w:w="1980"/>
      </w:tblGrid>
      <w:tr w:rsidR="00676010" w:rsidRPr="00CF2780" w14:paraId="3CAFD90A" w14:textId="77777777" w:rsidTr="00B05F31">
        <w:trPr>
          <w:tblCellSpacing w:w="20" w:type="dxa"/>
          <w:jc w:val="center"/>
        </w:trPr>
        <w:tc>
          <w:tcPr>
            <w:tcW w:w="2460" w:type="dxa"/>
            <w:shd w:val="clear" w:color="auto" w:fill="CCCCCC"/>
          </w:tcPr>
          <w:p w14:paraId="5C130DAB" w14:textId="77777777" w:rsidR="00676010" w:rsidRPr="00CF2780" w:rsidRDefault="00676010" w:rsidP="00676010">
            <w:pPr>
              <w:spacing w:after="0" w:line="240" w:lineRule="auto"/>
              <w:jc w:val="center"/>
              <w:rPr>
                <w:rFonts w:ascii="Arial" w:eastAsia="Times New Roman" w:hAnsi="Arial" w:cs="Arial"/>
                <w:b/>
                <w:bCs/>
                <w:sz w:val="24"/>
                <w:szCs w:val="24"/>
                <w:lang w:eastAsia="es-ES"/>
              </w:rPr>
            </w:pPr>
            <w:r w:rsidRPr="00CF2780">
              <w:rPr>
                <w:rFonts w:ascii="Arial" w:eastAsia="Times New Roman" w:hAnsi="Arial" w:cs="Arial"/>
                <w:b/>
                <w:bCs/>
                <w:sz w:val="24"/>
                <w:szCs w:val="24"/>
                <w:lang w:eastAsia="es-ES"/>
              </w:rPr>
              <w:t>TOTAL</w:t>
            </w:r>
          </w:p>
        </w:tc>
        <w:tc>
          <w:tcPr>
            <w:tcW w:w="1920" w:type="dxa"/>
            <w:shd w:val="clear" w:color="auto" w:fill="CCCCCC"/>
          </w:tcPr>
          <w:p w14:paraId="620032F5" w14:textId="77777777" w:rsidR="00676010" w:rsidRPr="00CF2780" w:rsidRDefault="00676010" w:rsidP="00676010">
            <w:pPr>
              <w:spacing w:after="0" w:line="240" w:lineRule="auto"/>
              <w:jc w:val="center"/>
              <w:rPr>
                <w:rFonts w:ascii="Arial" w:eastAsia="Times New Roman" w:hAnsi="Arial" w:cs="Arial"/>
                <w:b/>
                <w:bCs/>
                <w:sz w:val="24"/>
                <w:szCs w:val="24"/>
                <w:lang w:eastAsia="es-ES"/>
              </w:rPr>
            </w:pPr>
            <w:r w:rsidRPr="00CF2780">
              <w:rPr>
                <w:rFonts w:ascii="Arial" w:eastAsia="Times New Roman" w:hAnsi="Arial" w:cs="Arial"/>
                <w:b/>
                <w:bCs/>
                <w:sz w:val="24"/>
                <w:szCs w:val="24"/>
                <w:lang w:eastAsia="es-ES"/>
              </w:rPr>
              <w:t>3347</w:t>
            </w:r>
          </w:p>
        </w:tc>
      </w:tr>
    </w:tbl>
    <w:p w14:paraId="41262E06" w14:textId="77777777" w:rsidR="00676010" w:rsidRPr="00CF2780" w:rsidRDefault="00676010" w:rsidP="00676010">
      <w:pPr>
        <w:spacing w:after="0" w:line="240" w:lineRule="auto"/>
        <w:jc w:val="both"/>
        <w:rPr>
          <w:rFonts w:ascii="Arial" w:eastAsia="Times New Roman" w:hAnsi="Arial" w:cs="Arial"/>
          <w:sz w:val="24"/>
          <w:szCs w:val="24"/>
          <w:lang w:eastAsia="es-ES"/>
        </w:rPr>
      </w:pPr>
    </w:p>
    <w:p w14:paraId="70C06A67" w14:textId="77777777" w:rsidR="00676010" w:rsidRPr="00CF2780" w:rsidRDefault="00676010" w:rsidP="00676010">
      <w:pPr>
        <w:spacing w:after="0" w:line="240" w:lineRule="auto"/>
        <w:jc w:val="both"/>
        <w:rPr>
          <w:rFonts w:ascii="Arial" w:eastAsia="Times New Roman" w:hAnsi="Arial" w:cs="Arial"/>
          <w:sz w:val="24"/>
          <w:szCs w:val="24"/>
          <w:lang w:eastAsia="es-ES"/>
        </w:rPr>
      </w:pPr>
    </w:p>
    <w:p w14:paraId="20BEE389"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El análisis de las cifras contenidas en los cuadros transcritos conduce a concluir a esta Sala Superior que de tres mil trescientos cuarenta y siete ciudadanos que se encuentran inscritos en el municipio de Santiago Yaveo, únicamente cuatrocientos noventa y siete pertenecen a la cabecera municipal.</w:t>
      </w:r>
    </w:p>
    <w:p w14:paraId="562BCAD2"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6910C223"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 xml:space="preserve">Por ende, conforme este parámetro, de habérseles permitido, pudieron haber comparecido a la asamblea comunitaria celebrada el dos de </w:t>
      </w:r>
      <w:r w:rsidRPr="00CF2780">
        <w:rPr>
          <w:rFonts w:ascii="Arial" w:eastAsia="Times New Roman" w:hAnsi="Arial" w:cs="Arial"/>
          <w:sz w:val="28"/>
          <w:szCs w:val="24"/>
          <w:lang w:eastAsia="es-ES"/>
        </w:rPr>
        <w:lastRenderedPageBreak/>
        <w:t>diciembre del año pasado hasta dos mil ochocientos cincuenta individuos, lo que evidencia la magnitud de la violación cometida, toda vez que los ciudadanos residentes en las agencias municipales y de policía prácticamente sextuplican a los de la cabecera municipal.</w:t>
      </w:r>
    </w:p>
    <w:p w14:paraId="42F4AF7A"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3FFCB157"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Acreditadas las irregularidades sustanciales que se cometieron en el pasado proceso electoral para renovar concejales en el municipio de Santiago Yaveo, Oaxaca, mismas que actualizan la nulidad de la asamblea comunitaria celebrada el dos de diciembre de dos mil uno y sus resultados, deviene innecesario verificar si, en la especie, se cumplieron los demás requisitos legalmente exigidos para la validez de este tipo de elecciones, dado que la conclusión a la que se ha arribado no podría modificarse por resultar afirmativa esa verificación.</w:t>
      </w:r>
    </w:p>
    <w:p w14:paraId="5C2C1E29"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238DF6A5"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De ahí que, pese a asistirles la razón a los actores, por no haber sido fundado y motivado el acto impugnado, el agravio en cuestión se torna inoperante puesto que, de cualquier forma, la declaración de validez emitida por el Consejo General del Instituto Estatal Electoral de Oaxaca, respecto de la elección municipal bajo el régimen de derecho consuetudinario celebrada en Santiago Yaveo, Choápam, para renovar a los miembros del ayuntamiento correspondiente al período 2002-2004, debía revocarse, al resultar contraria a derecho.</w:t>
      </w:r>
    </w:p>
    <w:p w14:paraId="183BD310"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4A1CCC5A"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 xml:space="preserve">Ahora bien, por lo que respecta al agravio identificado con el número </w:t>
      </w:r>
      <w:r w:rsidRPr="00CF2780">
        <w:rPr>
          <w:rFonts w:ascii="Arial" w:eastAsia="Times New Roman" w:hAnsi="Arial" w:cs="Arial"/>
          <w:b/>
          <w:bCs/>
          <w:sz w:val="28"/>
          <w:szCs w:val="24"/>
          <w:lang w:eastAsia="es-ES"/>
        </w:rPr>
        <w:t xml:space="preserve">2), </w:t>
      </w:r>
      <w:r w:rsidRPr="00CF2780">
        <w:rPr>
          <w:rFonts w:ascii="Arial" w:eastAsia="Times New Roman" w:hAnsi="Arial" w:cs="Arial"/>
          <w:sz w:val="28"/>
          <w:szCs w:val="24"/>
          <w:lang w:eastAsia="es-ES"/>
        </w:rPr>
        <w:t xml:space="preserve">el mismo resulta inatendible, pues además de que el mismo no está relacionado con el acto reclamado, es evidente que a los promoventes no les para perjuicio la falta de un medio ordinario para impugnar los </w:t>
      </w:r>
      <w:r w:rsidRPr="00CF2780">
        <w:rPr>
          <w:rFonts w:ascii="Arial" w:eastAsia="Times New Roman" w:hAnsi="Arial" w:cs="Arial"/>
          <w:sz w:val="28"/>
          <w:szCs w:val="24"/>
          <w:lang w:eastAsia="es-ES"/>
        </w:rPr>
        <w:lastRenderedPageBreak/>
        <w:t xml:space="preserve">actos electorales del Congreso del Estado de Oaxaca, ya que por disposición de la Carta Magna (artículo 41, segundo párrafo, fracción IV) y de la constitución local (artículo 25) los medios de impugnación se han establecido para garantizar, que todos los actos y resoluciones electorales se encuentren apegados al principio de legalidad. </w:t>
      </w:r>
    </w:p>
    <w:p w14:paraId="4DD873BC"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4"/>
          <w:lang w:eastAsia="es-ES"/>
        </w:rPr>
      </w:pPr>
    </w:p>
    <w:p w14:paraId="03DCC160"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r w:rsidRPr="00CF2780">
        <w:rPr>
          <w:rFonts w:ascii="Arial" w:eastAsia="Times New Roman" w:hAnsi="Arial" w:cs="Arial"/>
          <w:sz w:val="28"/>
          <w:szCs w:val="24"/>
          <w:lang w:eastAsia="es-ES"/>
        </w:rPr>
        <w:t xml:space="preserve">Esto es, </w:t>
      </w:r>
      <w:r w:rsidRPr="00CF2780">
        <w:rPr>
          <w:rFonts w:ascii="Arial" w:eastAsia="Times New Roman" w:hAnsi="Arial" w:cs="Arial"/>
          <w:sz w:val="28"/>
          <w:szCs w:val="29"/>
          <w:lang w:eastAsia="es-ES"/>
        </w:rPr>
        <w:t xml:space="preserve">la emisión de los actos o resoluciones en materia electoral del Congreso del Estado (como en el caso lo es la calificación de la elección de ayuntamientos por usos y costumbres), debe sujetarse también al principio de legalidad previsto en el artículo 116, fracción IV, inciso d), de la Constitución Política de los Estados Unidos Mexicanos. </w:t>
      </w:r>
    </w:p>
    <w:p w14:paraId="46F33DB1"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p>
    <w:p w14:paraId="7C928384"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r w:rsidRPr="00CF2780">
        <w:rPr>
          <w:rFonts w:ascii="Arial" w:eastAsia="Times New Roman" w:hAnsi="Arial" w:cs="Arial"/>
          <w:sz w:val="28"/>
          <w:szCs w:val="29"/>
          <w:lang w:eastAsia="es-ES"/>
        </w:rPr>
        <w:t>De ahí que el decreto del referido Congreso sobre la validez o invalidez de la elección de ayuntamientos por usos y costumbres admita ser cuestionado, como efectivamente aconteció, a través del juicio para la protección de los derechos político-electorales del ciudadano, es decir, el acto impugnado no queda fuera de los medios de control constitucional, como lo afirman los incoantes.</w:t>
      </w:r>
    </w:p>
    <w:p w14:paraId="1BCC6574" w14:textId="77777777" w:rsidR="00676010" w:rsidRPr="00CF2780" w:rsidRDefault="00676010" w:rsidP="00676010">
      <w:pPr>
        <w:tabs>
          <w:tab w:val="left" w:pos="-720"/>
          <w:tab w:val="left" w:pos="4678"/>
        </w:tabs>
        <w:suppressAutoHyphens/>
        <w:spacing w:after="0" w:line="360" w:lineRule="auto"/>
        <w:ind w:right="51"/>
        <w:jc w:val="both"/>
        <w:rPr>
          <w:rFonts w:ascii="Arial" w:eastAsia="Times New Roman" w:hAnsi="Arial" w:cs="Arial"/>
          <w:spacing w:val="-3"/>
          <w:sz w:val="28"/>
          <w:szCs w:val="28"/>
          <w:lang w:eastAsia="es-ES"/>
        </w:rPr>
      </w:pPr>
    </w:p>
    <w:p w14:paraId="0B5CC86B" w14:textId="77777777" w:rsidR="00676010" w:rsidRPr="00CF2780" w:rsidRDefault="00676010" w:rsidP="00676010">
      <w:pPr>
        <w:autoSpaceDE w:val="0"/>
        <w:autoSpaceDN w:val="0"/>
        <w:adjustRightInd w:val="0"/>
        <w:spacing w:after="0" w:line="360" w:lineRule="auto"/>
        <w:jc w:val="both"/>
        <w:rPr>
          <w:rFonts w:ascii="Arial" w:eastAsia="Times New Roman" w:hAnsi="Arial" w:cs="Arial"/>
          <w:snapToGrid w:val="0"/>
          <w:spacing w:val="-3"/>
          <w:sz w:val="28"/>
          <w:szCs w:val="20"/>
          <w:lang w:val="es-ES_tradnl" w:eastAsia="es-ES"/>
        </w:rPr>
      </w:pPr>
      <w:r w:rsidRPr="00CF2780">
        <w:rPr>
          <w:rFonts w:ascii="Arial" w:eastAsia="Times New Roman" w:hAnsi="Arial" w:cs="Arial"/>
          <w:snapToGrid w:val="0"/>
          <w:spacing w:val="-3"/>
          <w:sz w:val="28"/>
          <w:szCs w:val="20"/>
          <w:lang w:val="es-ES_tradnl" w:eastAsia="es-ES"/>
        </w:rPr>
        <w:t xml:space="preserve">Por otra parte, también resultan inatendibles los agravios </w:t>
      </w:r>
      <w:r w:rsidRPr="00CF2780">
        <w:rPr>
          <w:rFonts w:ascii="Arial" w:eastAsia="Times New Roman" w:hAnsi="Arial" w:cs="Arial"/>
          <w:b/>
          <w:bCs/>
          <w:snapToGrid w:val="0"/>
          <w:spacing w:val="-3"/>
          <w:sz w:val="28"/>
          <w:szCs w:val="20"/>
          <w:lang w:val="es-ES_tradnl" w:eastAsia="es-ES"/>
        </w:rPr>
        <w:t>3)</w:t>
      </w:r>
      <w:r w:rsidRPr="00CF2780">
        <w:rPr>
          <w:rFonts w:ascii="Arial" w:eastAsia="Times New Roman" w:hAnsi="Arial" w:cs="Arial"/>
          <w:snapToGrid w:val="0"/>
          <w:spacing w:val="-3"/>
          <w:sz w:val="28"/>
          <w:szCs w:val="20"/>
          <w:lang w:val="es-ES_tradnl" w:eastAsia="es-ES"/>
        </w:rPr>
        <w:t xml:space="preserve"> y </w:t>
      </w:r>
      <w:r w:rsidRPr="00CF2780">
        <w:rPr>
          <w:rFonts w:ascii="Arial" w:eastAsia="Times New Roman" w:hAnsi="Arial" w:cs="Arial"/>
          <w:b/>
          <w:bCs/>
          <w:snapToGrid w:val="0"/>
          <w:spacing w:val="-3"/>
          <w:sz w:val="28"/>
          <w:szCs w:val="20"/>
          <w:lang w:val="es-ES_tradnl" w:eastAsia="es-ES"/>
        </w:rPr>
        <w:t>4)</w:t>
      </w:r>
      <w:r w:rsidRPr="00CF2780">
        <w:rPr>
          <w:rFonts w:ascii="Arial" w:eastAsia="Times New Roman" w:hAnsi="Arial" w:cs="Arial"/>
          <w:snapToGrid w:val="0"/>
          <w:spacing w:val="-3"/>
          <w:sz w:val="28"/>
          <w:szCs w:val="20"/>
          <w:lang w:val="es-ES_tradnl" w:eastAsia="es-ES"/>
        </w:rPr>
        <w:t>, pues como quedó demostrado en párrafos anteriores, contrariamente a lo afirmado por los enjuiciantes, el proceso electoral no reunió los requisitos necesarios para considerarse válido, es decir, los impetrantes parten de una premisa falsa al afirmar que, como se cumplieron las condiciones constitucionales y legales, debían declararse válidas las elecciones.</w:t>
      </w:r>
    </w:p>
    <w:p w14:paraId="018169F8" w14:textId="77777777" w:rsidR="00676010" w:rsidRPr="00CF2780" w:rsidRDefault="00676010" w:rsidP="00676010">
      <w:pPr>
        <w:autoSpaceDE w:val="0"/>
        <w:autoSpaceDN w:val="0"/>
        <w:adjustRightInd w:val="0"/>
        <w:spacing w:after="0" w:line="360" w:lineRule="auto"/>
        <w:jc w:val="both"/>
        <w:rPr>
          <w:rFonts w:ascii="Arial" w:eastAsia="Times New Roman" w:hAnsi="Arial" w:cs="Arial"/>
          <w:snapToGrid w:val="0"/>
          <w:spacing w:val="-3"/>
          <w:sz w:val="28"/>
          <w:szCs w:val="20"/>
          <w:lang w:val="es-ES_tradnl" w:eastAsia="es-ES"/>
        </w:rPr>
      </w:pPr>
    </w:p>
    <w:p w14:paraId="5CCB124E" w14:textId="77777777" w:rsidR="00676010" w:rsidRPr="00CF2780" w:rsidRDefault="00676010" w:rsidP="00676010">
      <w:pPr>
        <w:autoSpaceDE w:val="0"/>
        <w:autoSpaceDN w:val="0"/>
        <w:adjustRightInd w:val="0"/>
        <w:spacing w:after="0" w:line="360" w:lineRule="auto"/>
        <w:jc w:val="both"/>
        <w:rPr>
          <w:rFonts w:ascii="Arial" w:eastAsia="Times New Roman" w:hAnsi="Arial" w:cs="Arial"/>
          <w:snapToGrid w:val="0"/>
          <w:spacing w:val="-3"/>
          <w:sz w:val="28"/>
          <w:szCs w:val="20"/>
          <w:lang w:val="es-ES_tradnl" w:eastAsia="es-ES"/>
        </w:rPr>
      </w:pPr>
      <w:r w:rsidRPr="00CF2780">
        <w:rPr>
          <w:rFonts w:ascii="Arial" w:eastAsia="Times New Roman" w:hAnsi="Arial" w:cs="Arial"/>
          <w:snapToGrid w:val="0"/>
          <w:spacing w:val="-3"/>
          <w:sz w:val="28"/>
          <w:szCs w:val="20"/>
          <w:lang w:val="es-ES_tradnl" w:eastAsia="es-ES"/>
        </w:rPr>
        <w:lastRenderedPageBreak/>
        <w:t>En efecto, si los usos y costumbres bajo los cuales se llevó a cabo la renovación del ayuntamiento de Santiago Yaveo, Oaxaca, no merecen el calificativo de democráticos, por las razones que fueron expuestas, resulta innegable que el Congreso del Estado, erigido en Colegio Electoral, no contravino el artículo 25, penúltimo párrafo, de la Constitución particular, con motivo de la revocación de la declaración de validez conferida originalmente por la autoridad electoral administrativa. Del mismo modo, en modo alguno se produjo con ello una conculcación del artículo 115 de la Constitución federal, puesto que de unos comicios en los que se han conculcado principios y derechos constitucionales, con las consecuencia y magnitudes precisadas, no deviene legitimidad alguna.</w:t>
      </w:r>
    </w:p>
    <w:p w14:paraId="758A118D" w14:textId="77777777" w:rsidR="00676010" w:rsidRPr="00CF2780" w:rsidRDefault="00676010" w:rsidP="00676010">
      <w:pPr>
        <w:autoSpaceDE w:val="0"/>
        <w:autoSpaceDN w:val="0"/>
        <w:adjustRightInd w:val="0"/>
        <w:spacing w:after="0" w:line="360" w:lineRule="auto"/>
        <w:jc w:val="both"/>
        <w:rPr>
          <w:rFonts w:ascii="Arial" w:eastAsia="Times New Roman" w:hAnsi="Arial" w:cs="Arial"/>
          <w:snapToGrid w:val="0"/>
          <w:spacing w:val="-3"/>
          <w:sz w:val="28"/>
          <w:szCs w:val="20"/>
          <w:lang w:val="es-ES_tradnl" w:eastAsia="es-ES"/>
        </w:rPr>
      </w:pPr>
    </w:p>
    <w:p w14:paraId="4CD04402" w14:textId="77777777" w:rsidR="00676010" w:rsidRPr="00CF2780" w:rsidRDefault="00676010" w:rsidP="00676010">
      <w:pPr>
        <w:autoSpaceDE w:val="0"/>
        <w:autoSpaceDN w:val="0"/>
        <w:adjustRightInd w:val="0"/>
        <w:spacing w:after="0" w:line="360" w:lineRule="auto"/>
        <w:jc w:val="both"/>
        <w:rPr>
          <w:rFonts w:ascii="Arial" w:eastAsia="Times New Roman" w:hAnsi="Arial" w:cs="Arial"/>
          <w:snapToGrid w:val="0"/>
          <w:spacing w:val="-3"/>
          <w:sz w:val="28"/>
          <w:szCs w:val="20"/>
          <w:lang w:val="es-ES_tradnl" w:eastAsia="es-ES"/>
        </w:rPr>
      </w:pPr>
      <w:r w:rsidRPr="00CF2780">
        <w:rPr>
          <w:rFonts w:ascii="Arial" w:eastAsia="Times New Roman" w:hAnsi="Arial" w:cs="Arial"/>
          <w:snapToGrid w:val="0"/>
          <w:spacing w:val="-3"/>
          <w:sz w:val="28"/>
          <w:szCs w:val="20"/>
          <w:lang w:val="es-ES_tradnl" w:eastAsia="es-ES"/>
        </w:rPr>
        <w:t>Asimismo, resulta evidente que al no ser constitucional la elección no pudo haberse originado violación alguna al artículo 115 de la Constitución Federal, pues además, contrariamente a lo señalado por los promoventes, no basta con que aparentemente se cumpla con los extremos de los artículos 114, 115, 116, 117, 118, 119, 120, 121, 122, 123, 124 y 125 del Código de Instituciones Políticas y Procedimientos Electorales de Oaxaca, para que se esté en condiciones de declarar válidas unas elecciones.</w:t>
      </w:r>
    </w:p>
    <w:p w14:paraId="6CCDEF3E" w14:textId="77777777" w:rsidR="00676010" w:rsidRPr="00CF2780" w:rsidRDefault="00676010" w:rsidP="00676010">
      <w:pPr>
        <w:autoSpaceDE w:val="0"/>
        <w:autoSpaceDN w:val="0"/>
        <w:adjustRightInd w:val="0"/>
        <w:spacing w:after="0" w:line="360" w:lineRule="auto"/>
        <w:jc w:val="both"/>
        <w:rPr>
          <w:rFonts w:ascii="Arial" w:eastAsia="Times New Roman" w:hAnsi="Arial" w:cs="Arial"/>
          <w:snapToGrid w:val="0"/>
          <w:spacing w:val="-3"/>
          <w:sz w:val="28"/>
          <w:szCs w:val="20"/>
          <w:lang w:val="es-ES_tradnl" w:eastAsia="es-ES"/>
        </w:rPr>
      </w:pPr>
    </w:p>
    <w:p w14:paraId="33601AA8" w14:textId="77777777" w:rsidR="00676010" w:rsidRPr="00CF2780" w:rsidRDefault="00676010" w:rsidP="00676010">
      <w:pPr>
        <w:autoSpaceDE w:val="0"/>
        <w:autoSpaceDN w:val="0"/>
        <w:adjustRightInd w:val="0"/>
        <w:spacing w:after="0" w:line="360" w:lineRule="auto"/>
        <w:jc w:val="both"/>
        <w:rPr>
          <w:rFonts w:ascii="Arial" w:eastAsia="Times New Roman" w:hAnsi="Arial" w:cs="Arial"/>
          <w:snapToGrid w:val="0"/>
          <w:spacing w:val="-3"/>
          <w:sz w:val="28"/>
          <w:szCs w:val="20"/>
          <w:lang w:val="es-ES_tradnl" w:eastAsia="es-ES"/>
        </w:rPr>
      </w:pPr>
      <w:r w:rsidRPr="00CF2780">
        <w:rPr>
          <w:rFonts w:ascii="Arial" w:eastAsia="Times New Roman" w:hAnsi="Arial" w:cs="Arial"/>
          <w:snapToGrid w:val="0"/>
          <w:spacing w:val="-3"/>
          <w:sz w:val="28"/>
          <w:szCs w:val="20"/>
          <w:lang w:val="es-ES_tradnl" w:eastAsia="es-ES"/>
        </w:rPr>
        <w:t xml:space="preserve">En este sentido, como ya se mencionó en párrafos anteriores, la declaración de validez de una elección </w:t>
      </w:r>
      <w:r w:rsidRPr="00CF2780">
        <w:rPr>
          <w:rFonts w:ascii="Arial" w:eastAsia="Times New Roman" w:hAnsi="Arial" w:cs="Arial"/>
          <w:snapToGrid w:val="0"/>
          <w:spacing w:val="-3"/>
          <w:sz w:val="28"/>
          <w:szCs w:val="29"/>
          <w:lang w:val="es-ES_tradnl" w:eastAsia="es-ES"/>
        </w:rPr>
        <w:t xml:space="preserve">debe ser producto del examen de todas las circunstancias, hechos y actos que conforman el proceso electoral, todo lo cual debe ser confrontado con normas y principios </w:t>
      </w:r>
      <w:r w:rsidRPr="00CF2780">
        <w:rPr>
          <w:rFonts w:ascii="Arial" w:eastAsia="Times New Roman" w:hAnsi="Arial" w:cs="Arial"/>
          <w:snapToGrid w:val="0"/>
          <w:spacing w:val="-3"/>
          <w:sz w:val="28"/>
          <w:szCs w:val="29"/>
          <w:lang w:val="es-ES_tradnl" w:eastAsia="es-ES"/>
        </w:rPr>
        <w:lastRenderedPageBreak/>
        <w:t>constitucionales que rigen este tipo de elecciones; y no solamente la verificación de las actividades especificadas en la ley.</w:t>
      </w:r>
    </w:p>
    <w:p w14:paraId="08EB5FB3"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val="es-ES_tradnl" w:eastAsia="es-ES"/>
        </w:rPr>
      </w:pPr>
    </w:p>
    <w:p w14:paraId="48C30023"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 xml:space="preserve">Por último, en lo que atañe al motivo de queja identificado con el número </w:t>
      </w:r>
      <w:r w:rsidRPr="00CF2780">
        <w:rPr>
          <w:rFonts w:ascii="Arial" w:eastAsia="Times New Roman" w:hAnsi="Arial" w:cs="Arial"/>
          <w:b/>
          <w:bCs/>
          <w:sz w:val="28"/>
          <w:szCs w:val="24"/>
          <w:lang w:eastAsia="es-ES"/>
        </w:rPr>
        <w:t>6)</w:t>
      </w:r>
      <w:r w:rsidRPr="00CF2780">
        <w:rPr>
          <w:rFonts w:ascii="Arial" w:eastAsia="Times New Roman" w:hAnsi="Arial" w:cs="Arial"/>
          <w:sz w:val="28"/>
          <w:szCs w:val="24"/>
          <w:lang w:eastAsia="es-ES"/>
        </w:rPr>
        <w:t>, este órgano jurisdiccional lo estima también inatendible, en virtud de que es un acto no atribuible a la responsable, pues para considerar que el Congreso del Estado conculcó los derechos de los promoventes por la publicación tardía del Decreto impugnado, primero debía quedar plenamente acreditado, que efectivamente tal publicación estuvo a cargo del Congreso, lo cual en la especie no ocurre, pues es claro que la publicación de referencia corresponde a una oficina administrativa estatal, cuyo titular incluso manifestó la imposibilidad material de publicar y difundir en tiempo y forma, debido a la “carga de trabajo que hubo en esas fechas”.</w:t>
      </w:r>
    </w:p>
    <w:p w14:paraId="7BE91BB3"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38D88BD4" w14:textId="77777777" w:rsidR="00676010" w:rsidRPr="00CF2780" w:rsidRDefault="00676010" w:rsidP="00676010">
      <w:pPr>
        <w:spacing w:after="0" w:line="360" w:lineRule="auto"/>
        <w:jc w:val="both"/>
        <w:rPr>
          <w:rFonts w:ascii="Arial" w:eastAsia="Times New Roman" w:hAnsi="Arial" w:cs="Arial"/>
          <w:b/>
          <w:bCs/>
          <w:sz w:val="28"/>
          <w:szCs w:val="24"/>
          <w:lang w:eastAsia="es-ES"/>
        </w:rPr>
      </w:pPr>
      <w:r w:rsidRPr="00CF2780">
        <w:rPr>
          <w:rFonts w:ascii="Arial" w:eastAsia="Times New Roman" w:hAnsi="Arial" w:cs="Arial"/>
          <w:sz w:val="28"/>
          <w:szCs w:val="24"/>
          <w:lang w:eastAsia="es-ES"/>
        </w:rPr>
        <w:t>Además, si bien el hecho de que el Decreto 32 se haya publicado con fecha treinta y uno de diciembre de dos mil uno, y se haya puesto en circulación hasta el ocho de enero del año que transcurre, constituye una irregularidad; tal irregularidad, por sí misma, en todo caso irroga un perjuicio a la parte actora que no es susceptible de reparación a través del juicio para la protección de los derechos político-electorales del ciudadano, sino que sólo sería motivo de una responsabilidad de carácter administrativo que de manera alguna sería competencia de esta Sala Superior.</w:t>
      </w:r>
    </w:p>
    <w:p w14:paraId="667909C6"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p>
    <w:p w14:paraId="4C78CEE4"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r w:rsidRPr="00CF2780">
        <w:rPr>
          <w:rFonts w:ascii="Arial" w:eastAsia="Times New Roman" w:hAnsi="Arial" w:cs="Arial"/>
          <w:sz w:val="28"/>
          <w:szCs w:val="29"/>
          <w:lang w:eastAsia="es-ES"/>
        </w:rPr>
        <w:t xml:space="preserve">Máxime que, como se razonó en el considerando anterior, a juicio de esta Sala el cómputo del plazo para combatir el acto de que se trata, </w:t>
      </w:r>
      <w:r w:rsidRPr="00CF2780">
        <w:rPr>
          <w:rFonts w:ascii="Arial" w:eastAsia="Times New Roman" w:hAnsi="Arial" w:cs="Arial"/>
          <w:sz w:val="28"/>
          <w:szCs w:val="29"/>
          <w:lang w:eastAsia="es-ES"/>
        </w:rPr>
        <w:lastRenderedPageBreak/>
        <w:t>corrió del nueve al doce de enero de este año, porque el acto reclamado fue del conocimiento de los actores hasta el ocho de enero del año que transcurre, de tal suerte que este órgano colegiado consideró que debía admitirse la demanda porque se presentó el once de enero, es decir, dentro del plazo que prevé el artículo 8 de la ley de la materia, para promover este juicio. Así las cosas, es evidente que en el caso, no se hicieron nugatorios los medios de impugnación en contra de la determinación de la LVIII Legislatura del Estado de Oaxaca, pues los actores tuvieron oportunidad de ocurrir ante una instancia jurisdiccional para defender los derechos que estiman conculcados.</w:t>
      </w:r>
    </w:p>
    <w:p w14:paraId="51A5D220" w14:textId="77777777" w:rsidR="00676010" w:rsidRPr="00CF2780" w:rsidRDefault="00676010" w:rsidP="00676010">
      <w:pPr>
        <w:spacing w:after="0" w:line="360" w:lineRule="auto"/>
        <w:jc w:val="both"/>
        <w:rPr>
          <w:rFonts w:ascii="Arial" w:eastAsia="Times New Roman" w:hAnsi="Arial" w:cs="Arial"/>
          <w:sz w:val="24"/>
          <w:szCs w:val="24"/>
          <w:u w:val="single"/>
          <w:lang w:eastAsia="es-ES"/>
        </w:rPr>
      </w:pPr>
    </w:p>
    <w:p w14:paraId="617AF289"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Como consecuencia de lo fundado y motivado a lo largo del presente fallo, al resultar infundados e inatendibles los motivos de inconformidad enderezados por los ciudadanos actores, en tanto que el único que se estimó fundado resultó a la postre inoperante, lo conducente es que este órgano jurisdiccional confirme, en cuanto fue materia de impugnación en el presente juicio, el Decreto número 32 de treinta y uno de diciembre de dos mil uno, emitido por la Quincuagésima Octava Legislatura Constitucional del Estado Libre y Soberano de Oaxaca, erigida en Colegio Electoral.</w:t>
      </w:r>
    </w:p>
    <w:p w14:paraId="44B7549A"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483561D3"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 xml:space="preserve">Consecuentemente, en atención a lo previsto en el artículo 99, párrafo cuarto de la Ley Fundamental, adquiere el calificativo de definitivo e inatacable lo ordenado en el artículo tercero del decreto referido, respecto de la celebración de elecciones extraordinarias para elegir concejales al ayuntamiento de Santiago Yaveo, Oaxaca, por el régimen de normas de derecho consuetudinario. </w:t>
      </w:r>
    </w:p>
    <w:p w14:paraId="42F6B93D"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0E2D2DFB" w14:textId="77777777" w:rsidR="00676010" w:rsidRPr="00CF2780" w:rsidRDefault="00676010" w:rsidP="00676010">
      <w:pPr>
        <w:spacing w:after="0" w:line="360" w:lineRule="auto"/>
        <w:jc w:val="both"/>
        <w:rPr>
          <w:rFonts w:ascii="Arial" w:eastAsia="Times New Roman" w:hAnsi="Arial" w:cs="Arial"/>
          <w:sz w:val="28"/>
          <w:szCs w:val="24"/>
          <w:lang w:eastAsia="es-ES"/>
        </w:rPr>
      </w:pPr>
      <w:r w:rsidRPr="00CF2780">
        <w:rPr>
          <w:rFonts w:ascii="Arial" w:eastAsia="Times New Roman" w:hAnsi="Arial" w:cs="Arial"/>
          <w:sz w:val="28"/>
          <w:szCs w:val="24"/>
          <w:lang w:eastAsia="es-ES"/>
        </w:rPr>
        <w:t>Desde luego, para la consecución de dicho objetivo, de acuerdo con los artículos 57, 58, párrafo 1, incisos a), d), e) y f), y 125 del Código de Instituciones y Procedimientos electorales de Oaxaca, el Consejo General del Instituto Estatal Electoral de dicha entidad federativa se encuentra investido para tomar todas las medidas que resulten conducentes y adecuadas para que el nuevo proceso electoral se desarrolle de manera pacífica, estableciendo todas las condiciones de diálogo y consenso que sean necesarias para evitar la generación de violencia o la comisión de cualquier tipo de desórdenes sociales al seno de las comunidades que conforman el municipio de Santiago Yaveo, Choápam, Oaxaca.</w:t>
      </w:r>
    </w:p>
    <w:p w14:paraId="7649C155" w14:textId="77777777" w:rsidR="00676010" w:rsidRPr="00CF2780" w:rsidRDefault="00676010" w:rsidP="00676010">
      <w:pPr>
        <w:autoSpaceDE w:val="0"/>
        <w:autoSpaceDN w:val="0"/>
        <w:adjustRightInd w:val="0"/>
        <w:spacing w:after="0" w:line="360" w:lineRule="auto"/>
        <w:jc w:val="both"/>
        <w:rPr>
          <w:rFonts w:ascii="Arial" w:eastAsia="Times New Roman" w:hAnsi="Arial" w:cs="Arial"/>
          <w:sz w:val="28"/>
          <w:szCs w:val="29"/>
          <w:lang w:eastAsia="es-ES"/>
        </w:rPr>
      </w:pPr>
    </w:p>
    <w:p w14:paraId="068AE134" w14:textId="77777777" w:rsidR="00676010" w:rsidRPr="00CF2780" w:rsidRDefault="00676010" w:rsidP="00676010">
      <w:pPr>
        <w:tabs>
          <w:tab w:val="left" w:pos="-720"/>
        </w:tabs>
        <w:suppressAutoHyphens/>
        <w:spacing w:after="0" w:line="360" w:lineRule="auto"/>
        <w:ind w:right="-23"/>
        <w:jc w:val="both"/>
        <w:rPr>
          <w:rFonts w:ascii="Arial" w:eastAsia="Times New Roman" w:hAnsi="Arial" w:cs="Arial"/>
          <w:spacing w:val="-3"/>
          <w:sz w:val="28"/>
          <w:szCs w:val="24"/>
          <w:lang w:eastAsia="es-ES"/>
        </w:rPr>
      </w:pPr>
      <w:r w:rsidRPr="00CF2780">
        <w:rPr>
          <w:rFonts w:ascii="Arial" w:eastAsia="Times New Roman" w:hAnsi="Arial" w:cs="Arial"/>
          <w:spacing w:val="-3"/>
          <w:sz w:val="28"/>
          <w:szCs w:val="24"/>
          <w:lang w:eastAsia="es-ES"/>
        </w:rPr>
        <w:t>Por lo expuesto y con fundamento, además, en los artículos 41, base IV, y 99, párrafo cuarto, fracción IV de la Constitución Política de los Estados Unidos Mexicanos; 199 de la Ley Orgánica del Poder Judicial de la Federación; 17, 18, 26, párrafo 3, 27, párrafo 6 de la Ley General del Sistema de Medios de Impugnación en Materia Electoral, así como 85 del Reglamento Interno del Tribunal Electoral del Poder Judicial de la Federación, se</w:t>
      </w:r>
    </w:p>
    <w:p w14:paraId="18EE3D2B" w14:textId="77777777" w:rsidR="00676010" w:rsidRPr="00CF2780" w:rsidRDefault="00676010" w:rsidP="00676010">
      <w:pPr>
        <w:tabs>
          <w:tab w:val="left" w:pos="-720"/>
        </w:tabs>
        <w:suppressAutoHyphens/>
        <w:spacing w:after="0" w:line="360" w:lineRule="auto"/>
        <w:ind w:right="-23"/>
        <w:jc w:val="both"/>
        <w:rPr>
          <w:rFonts w:ascii="Arial" w:eastAsia="Times New Roman" w:hAnsi="Arial" w:cs="Arial"/>
          <w:spacing w:val="-3"/>
          <w:sz w:val="28"/>
          <w:szCs w:val="24"/>
          <w:lang w:eastAsia="es-ES"/>
        </w:rPr>
      </w:pPr>
    </w:p>
    <w:p w14:paraId="06AD53B8" w14:textId="77777777" w:rsidR="00676010" w:rsidRPr="00CF2780" w:rsidRDefault="00676010" w:rsidP="00676010">
      <w:pPr>
        <w:tabs>
          <w:tab w:val="center" w:pos="5388"/>
        </w:tabs>
        <w:suppressAutoHyphens/>
        <w:spacing w:after="0" w:line="360" w:lineRule="auto"/>
        <w:ind w:right="-23"/>
        <w:jc w:val="center"/>
        <w:rPr>
          <w:rFonts w:ascii="Arial" w:eastAsia="Times New Roman" w:hAnsi="Arial" w:cs="Arial"/>
          <w:spacing w:val="-3"/>
          <w:sz w:val="28"/>
          <w:szCs w:val="24"/>
          <w:lang w:eastAsia="es-ES"/>
        </w:rPr>
      </w:pPr>
      <w:r w:rsidRPr="00CF2780">
        <w:rPr>
          <w:rFonts w:ascii="Arial" w:eastAsia="Times New Roman" w:hAnsi="Arial" w:cs="Arial"/>
          <w:b/>
          <w:spacing w:val="-3"/>
          <w:sz w:val="28"/>
          <w:szCs w:val="24"/>
          <w:lang w:eastAsia="es-ES"/>
        </w:rPr>
        <w:t>R E S U E L V E :</w:t>
      </w:r>
    </w:p>
    <w:p w14:paraId="42717D0E" w14:textId="77777777" w:rsidR="00676010" w:rsidRPr="00CF2780" w:rsidRDefault="00676010" w:rsidP="00676010">
      <w:pPr>
        <w:tabs>
          <w:tab w:val="left" w:pos="-720"/>
        </w:tabs>
        <w:suppressAutoHyphens/>
        <w:spacing w:after="0" w:line="360" w:lineRule="auto"/>
        <w:ind w:right="-23"/>
        <w:jc w:val="both"/>
        <w:rPr>
          <w:rFonts w:ascii="Arial" w:eastAsia="Times New Roman" w:hAnsi="Arial" w:cs="Arial"/>
          <w:spacing w:val="-3"/>
          <w:sz w:val="28"/>
          <w:szCs w:val="24"/>
          <w:lang w:eastAsia="es-ES"/>
        </w:rPr>
      </w:pPr>
    </w:p>
    <w:p w14:paraId="16D7594E" w14:textId="77777777" w:rsidR="00676010" w:rsidRPr="00CF2780" w:rsidRDefault="00676010" w:rsidP="00676010">
      <w:pPr>
        <w:tabs>
          <w:tab w:val="left" w:pos="-720"/>
        </w:tabs>
        <w:suppressAutoHyphens/>
        <w:spacing w:after="0" w:line="360" w:lineRule="auto"/>
        <w:ind w:right="-23"/>
        <w:jc w:val="both"/>
        <w:rPr>
          <w:rFonts w:ascii="Arial" w:eastAsia="Times New Roman" w:hAnsi="Arial" w:cs="Arial"/>
          <w:spacing w:val="-3"/>
          <w:sz w:val="28"/>
          <w:szCs w:val="24"/>
          <w:lang w:eastAsia="es-ES"/>
        </w:rPr>
      </w:pPr>
      <w:r w:rsidRPr="00CF2780">
        <w:rPr>
          <w:rFonts w:ascii="Arial" w:eastAsia="Times New Roman" w:hAnsi="Arial" w:cs="Arial"/>
          <w:b/>
          <w:spacing w:val="-3"/>
          <w:sz w:val="28"/>
          <w:szCs w:val="24"/>
          <w:lang w:eastAsia="es-ES"/>
        </w:rPr>
        <w:t>UNICO.</w:t>
      </w:r>
      <w:r w:rsidRPr="00CF2780">
        <w:rPr>
          <w:rFonts w:ascii="Arial" w:eastAsia="Times New Roman" w:hAnsi="Arial" w:cs="Arial"/>
          <w:spacing w:val="-3"/>
          <w:sz w:val="28"/>
          <w:szCs w:val="24"/>
          <w:lang w:eastAsia="es-ES"/>
        </w:rPr>
        <w:t xml:space="preserve"> Se confirma </w:t>
      </w:r>
      <w:r w:rsidRPr="00CF2780">
        <w:rPr>
          <w:rFonts w:ascii="Arial" w:eastAsia="Times New Roman" w:hAnsi="Arial" w:cs="Arial"/>
          <w:spacing w:val="-3"/>
          <w:sz w:val="28"/>
          <w:szCs w:val="28"/>
          <w:lang w:val="es-ES_tradnl" w:eastAsia="es-ES"/>
        </w:rPr>
        <w:t xml:space="preserve">el Decreto número 32 de la Quincuagésima Octava Legislatura Constitucional del Estado Libre y Soberano de Oaxaca, erigida en Colegio Electoral, emitido el treinta y uno de diciembre de dos mil uno, </w:t>
      </w:r>
      <w:r w:rsidRPr="00CF2780">
        <w:rPr>
          <w:rFonts w:ascii="Arial" w:eastAsia="Times New Roman" w:hAnsi="Arial" w:cs="Arial"/>
          <w:spacing w:val="-3"/>
          <w:sz w:val="28"/>
          <w:szCs w:val="28"/>
          <w:lang w:val="es-ES_tradnl" w:eastAsia="es-ES"/>
        </w:rPr>
        <w:lastRenderedPageBreak/>
        <w:t>sólo por cuanto hace a la elección de concejales efectuado el municipio de Santiago Yaveo, Choápam, Oaxaca.</w:t>
      </w:r>
    </w:p>
    <w:p w14:paraId="5E89C94B" w14:textId="77777777" w:rsidR="00676010" w:rsidRPr="00CF2780" w:rsidRDefault="00676010" w:rsidP="00676010">
      <w:pPr>
        <w:tabs>
          <w:tab w:val="left" w:pos="-720"/>
        </w:tabs>
        <w:suppressAutoHyphens/>
        <w:spacing w:after="0" w:line="360" w:lineRule="auto"/>
        <w:ind w:right="-23"/>
        <w:jc w:val="both"/>
        <w:rPr>
          <w:rFonts w:ascii="Arial" w:eastAsia="Times New Roman" w:hAnsi="Arial" w:cs="Arial"/>
          <w:b/>
          <w:spacing w:val="-3"/>
          <w:sz w:val="28"/>
          <w:szCs w:val="24"/>
          <w:lang w:eastAsia="es-ES"/>
        </w:rPr>
      </w:pPr>
    </w:p>
    <w:p w14:paraId="66FC38C8" w14:textId="77777777" w:rsidR="00676010" w:rsidRPr="00CF2780" w:rsidRDefault="00676010" w:rsidP="00676010">
      <w:pPr>
        <w:tabs>
          <w:tab w:val="left" w:pos="-720"/>
        </w:tabs>
        <w:suppressAutoHyphens/>
        <w:spacing w:after="0" w:line="360" w:lineRule="auto"/>
        <w:ind w:right="-23"/>
        <w:jc w:val="both"/>
        <w:rPr>
          <w:rFonts w:ascii="Arial" w:eastAsia="Times New Roman" w:hAnsi="Arial" w:cs="Arial"/>
          <w:spacing w:val="-3"/>
          <w:sz w:val="28"/>
          <w:szCs w:val="24"/>
          <w:lang w:eastAsia="es-ES"/>
        </w:rPr>
      </w:pPr>
      <w:r w:rsidRPr="00CF2780">
        <w:rPr>
          <w:rFonts w:ascii="Arial" w:eastAsia="Times New Roman" w:hAnsi="Arial" w:cs="Arial"/>
          <w:spacing w:val="-3"/>
          <w:sz w:val="28"/>
          <w:szCs w:val="24"/>
          <w:lang w:eastAsia="es-ES"/>
        </w:rPr>
        <w:t xml:space="preserve">Notifíquese, por </w:t>
      </w:r>
      <w:r w:rsidRPr="00CF2780">
        <w:rPr>
          <w:rFonts w:ascii="Arial" w:eastAsia="Times New Roman" w:hAnsi="Arial" w:cs="Arial"/>
          <w:b/>
          <w:bCs/>
          <w:spacing w:val="-3"/>
          <w:sz w:val="28"/>
          <w:szCs w:val="24"/>
          <w:lang w:eastAsia="es-ES"/>
        </w:rPr>
        <w:t>correo certificado</w:t>
      </w:r>
      <w:r w:rsidRPr="00CF2780">
        <w:rPr>
          <w:rFonts w:ascii="Arial" w:eastAsia="Times New Roman" w:hAnsi="Arial" w:cs="Arial"/>
          <w:spacing w:val="-3"/>
          <w:sz w:val="28"/>
          <w:szCs w:val="24"/>
          <w:lang w:eastAsia="es-ES"/>
        </w:rPr>
        <w:t xml:space="preserve"> a los promoventes </w:t>
      </w:r>
      <w:r w:rsidRPr="00CF2780">
        <w:rPr>
          <w:rFonts w:ascii="Arial" w:eastAsia="Times New Roman" w:hAnsi="Arial" w:cs="Arial"/>
          <w:spacing w:val="-3"/>
          <w:sz w:val="28"/>
          <w:szCs w:val="28"/>
          <w:lang w:val="es-ES_tradnl" w:eastAsia="es-ES"/>
        </w:rPr>
        <w:t xml:space="preserve">Indalecio Martínez Domínguez, Raúl Lorenzo Hernández, Miguel Ortíz Pacheco, Rolando Bartolo López y Evergisto Díaz Pérez, </w:t>
      </w:r>
      <w:r w:rsidRPr="00CF2780">
        <w:rPr>
          <w:rFonts w:ascii="Arial" w:eastAsia="Times New Roman" w:hAnsi="Arial" w:cs="Arial"/>
          <w:spacing w:val="-3"/>
          <w:sz w:val="28"/>
          <w:szCs w:val="24"/>
          <w:lang w:eastAsia="es-ES"/>
        </w:rPr>
        <w:t xml:space="preserve">en el domicilio ubicado en Privada de Almendros número 106-11, colonia Reforma, código postal 68050, Oaxaca, Oaxaca; </w:t>
      </w:r>
      <w:r w:rsidRPr="00CF2780">
        <w:rPr>
          <w:rFonts w:ascii="Arial" w:eastAsia="Times New Roman" w:hAnsi="Arial" w:cs="Arial"/>
          <w:b/>
          <w:bCs/>
          <w:spacing w:val="-3"/>
          <w:sz w:val="28"/>
          <w:szCs w:val="24"/>
          <w:lang w:eastAsia="es-ES"/>
        </w:rPr>
        <w:t xml:space="preserve">personalmente, </w:t>
      </w:r>
      <w:r w:rsidRPr="00CF2780">
        <w:rPr>
          <w:rFonts w:ascii="Arial" w:eastAsia="Times New Roman" w:hAnsi="Arial" w:cs="Arial"/>
          <w:spacing w:val="-3"/>
          <w:sz w:val="28"/>
          <w:szCs w:val="24"/>
          <w:lang w:eastAsia="es-ES"/>
        </w:rPr>
        <w:t xml:space="preserve">a Celedonio Cortés Lara, Fausto Gonzáles de la Rosa, Aleyda Alicia Pérez Guizar y Dagoberto Miguel Juárez, terceros interesados en este juicio, en el domicilio ubicado en calle Lesina número 62, colonia Lomas Estrella, delegación Iztapalapa, código postal 09890 de esta ciudad; por </w:t>
      </w:r>
      <w:r w:rsidRPr="00CF2780">
        <w:rPr>
          <w:rFonts w:ascii="Arial" w:eastAsia="Times New Roman" w:hAnsi="Arial" w:cs="Arial"/>
          <w:b/>
          <w:bCs/>
          <w:spacing w:val="-3"/>
          <w:sz w:val="28"/>
          <w:szCs w:val="24"/>
          <w:lang w:eastAsia="es-ES"/>
        </w:rPr>
        <w:t>oficio</w:t>
      </w:r>
      <w:r w:rsidRPr="00CF2780">
        <w:rPr>
          <w:rFonts w:ascii="Arial" w:eastAsia="Times New Roman" w:hAnsi="Arial" w:cs="Arial"/>
          <w:spacing w:val="-3"/>
          <w:sz w:val="28"/>
          <w:szCs w:val="24"/>
          <w:lang w:eastAsia="es-ES"/>
        </w:rPr>
        <w:t>, tanto</w:t>
      </w:r>
      <w:r w:rsidRPr="00CF2780">
        <w:rPr>
          <w:rFonts w:ascii="Arial" w:eastAsia="Times New Roman" w:hAnsi="Arial" w:cs="Arial"/>
          <w:spacing w:val="-3"/>
          <w:sz w:val="28"/>
          <w:szCs w:val="24"/>
          <w:u w:val="single"/>
          <w:lang w:eastAsia="es-ES"/>
        </w:rPr>
        <w:t xml:space="preserve"> </w:t>
      </w:r>
      <w:r w:rsidRPr="00CF2780">
        <w:rPr>
          <w:rFonts w:ascii="Arial" w:eastAsia="Times New Roman" w:hAnsi="Arial" w:cs="Arial"/>
          <w:spacing w:val="-3"/>
          <w:sz w:val="28"/>
          <w:szCs w:val="24"/>
          <w:lang w:eastAsia="es-ES"/>
        </w:rPr>
        <w:t xml:space="preserve">a la autoridad señalada como responsable, como al Consejo General del Instituto Estatal Electoral de Oaxaca, acompañando en ambos casos copia certificada de la presente sentencia; y, por </w:t>
      </w:r>
      <w:r w:rsidRPr="00CF2780">
        <w:rPr>
          <w:rFonts w:ascii="Arial" w:eastAsia="Times New Roman" w:hAnsi="Arial" w:cs="Arial"/>
          <w:b/>
          <w:bCs/>
          <w:spacing w:val="-3"/>
          <w:sz w:val="28"/>
          <w:szCs w:val="24"/>
          <w:lang w:eastAsia="es-ES"/>
        </w:rPr>
        <w:t>estrados</w:t>
      </w:r>
      <w:r w:rsidRPr="00CF2780">
        <w:rPr>
          <w:rFonts w:ascii="Arial" w:eastAsia="Times New Roman" w:hAnsi="Arial" w:cs="Arial"/>
          <w:spacing w:val="-3"/>
          <w:sz w:val="28"/>
          <w:szCs w:val="24"/>
          <w:lang w:eastAsia="es-ES"/>
        </w:rPr>
        <w:t xml:space="preserve">, a todos los demás interesados. </w:t>
      </w:r>
    </w:p>
    <w:p w14:paraId="751B3821" w14:textId="77777777" w:rsidR="00676010" w:rsidRPr="00CF2780" w:rsidRDefault="00676010" w:rsidP="00676010">
      <w:pPr>
        <w:tabs>
          <w:tab w:val="left" w:pos="-720"/>
        </w:tabs>
        <w:suppressAutoHyphens/>
        <w:spacing w:after="0" w:line="360" w:lineRule="auto"/>
        <w:ind w:right="-23"/>
        <w:jc w:val="both"/>
        <w:rPr>
          <w:rFonts w:ascii="Arial" w:eastAsia="Times New Roman" w:hAnsi="Arial" w:cs="Arial"/>
          <w:spacing w:val="-3"/>
          <w:sz w:val="28"/>
          <w:szCs w:val="24"/>
          <w:lang w:eastAsia="es-ES"/>
        </w:rPr>
      </w:pPr>
    </w:p>
    <w:p w14:paraId="30454446" w14:textId="77777777" w:rsidR="00676010" w:rsidRPr="00CF2780" w:rsidRDefault="00676010" w:rsidP="00676010">
      <w:pPr>
        <w:tabs>
          <w:tab w:val="left" w:pos="-720"/>
        </w:tabs>
        <w:suppressAutoHyphens/>
        <w:spacing w:after="0" w:line="360" w:lineRule="auto"/>
        <w:ind w:right="-23"/>
        <w:jc w:val="both"/>
        <w:rPr>
          <w:rFonts w:ascii="Arial" w:eastAsia="Times New Roman" w:hAnsi="Arial" w:cs="Arial"/>
          <w:spacing w:val="-3"/>
          <w:sz w:val="28"/>
          <w:szCs w:val="24"/>
          <w:lang w:eastAsia="es-ES"/>
        </w:rPr>
      </w:pPr>
      <w:r w:rsidRPr="00CF2780">
        <w:rPr>
          <w:rFonts w:ascii="Arial" w:eastAsia="Times New Roman" w:hAnsi="Arial" w:cs="Arial"/>
          <w:spacing w:val="-3"/>
          <w:sz w:val="28"/>
          <w:szCs w:val="24"/>
          <w:lang w:eastAsia="es-ES"/>
        </w:rPr>
        <w:t>Así lo resolvieron por unanimidad de votos los Magistrados que integran la Sala Superior del Tribunal Electoral del Poder Judicial de la Federación, ante el Secretario General de Acuerdos quien autoriza y da fe. CONSTE.</w:t>
      </w:r>
    </w:p>
    <w:p w14:paraId="6C58F5B0" w14:textId="77777777" w:rsidR="00676010" w:rsidRPr="00CF2780" w:rsidRDefault="00676010" w:rsidP="00676010">
      <w:pPr>
        <w:tabs>
          <w:tab w:val="left" w:pos="-720"/>
        </w:tabs>
        <w:suppressAutoHyphens/>
        <w:spacing w:after="0" w:line="240" w:lineRule="auto"/>
        <w:ind w:right="-23"/>
        <w:jc w:val="both"/>
        <w:rPr>
          <w:rFonts w:ascii="Arial" w:eastAsia="Times New Roman" w:hAnsi="Arial" w:cs="Arial"/>
          <w:spacing w:val="-3"/>
          <w:sz w:val="28"/>
          <w:szCs w:val="24"/>
          <w:lang w:eastAsia="es-ES"/>
        </w:rPr>
      </w:pPr>
    </w:p>
    <w:p w14:paraId="2BD64CFC" w14:textId="77777777" w:rsidR="00676010" w:rsidRPr="00CF2780" w:rsidRDefault="00676010" w:rsidP="00676010">
      <w:pPr>
        <w:tabs>
          <w:tab w:val="left" w:pos="-720"/>
        </w:tabs>
        <w:suppressAutoHyphens/>
        <w:spacing w:after="0" w:line="240" w:lineRule="auto"/>
        <w:ind w:right="-23"/>
        <w:jc w:val="both"/>
        <w:rPr>
          <w:rFonts w:ascii="Arial" w:eastAsia="Times New Roman" w:hAnsi="Arial" w:cs="Arial"/>
          <w:spacing w:val="-3"/>
          <w:sz w:val="28"/>
          <w:szCs w:val="24"/>
          <w:lang w:eastAsia="es-ES"/>
        </w:rPr>
      </w:pPr>
    </w:p>
    <w:p w14:paraId="575436B0" w14:textId="77777777" w:rsidR="00676010" w:rsidRPr="00CF2780" w:rsidRDefault="00676010" w:rsidP="00676010">
      <w:pPr>
        <w:tabs>
          <w:tab w:val="left" w:pos="-720"/>
        </w:tabs>
        <w:suppressAutoHyphens/>
        <w:spacing w:after="0" w:line="240" w:lineRule="auto"/>
        <w:ind w:right="-23"/>
        <w:jc w:val="both"/>
        <w:rPr>
          <w:rFonts w:ascii="Arial" w:eastAsia="Times New Roman" w:hAnsi="Arial" w:cs="Arial"/>
          <w:spacing w:val="-3"/>
          <w:sz w:val="28"/>
          <w:szCs w:val="24"/>
          <w:lang w:eastAsia="es-ES"/>
        </w:rPr>
      </w:pPr>
    </w:p>
    <w:tbl>
      <w:tblPr>
        <w:tblW w:w="0" w:type="auto"/>
        <w:tblCellMar>
          <w:left w:w="70" w:type="dxa"/>
          <w:right w:w="70" w:type="dxa"/>
        </w:tblCellMar>
        <w:tblLook w:val="0000" w:firstRow="0" w:lastRow="0" w:firstColumn="0" w:lastColumn="0" w:noHBand="0" w:noVBand="0"/>
      </w:tblPr>
      <w:tblGrid>
        <w:gridCol w:w="8129"/>
      </w:tblGrid>
      <w:tr w:rsidR="00676010" w:rsidRPr="00CF2780" w14:paraId="51856B3C" w14:textId="77777777" w:rsidTr="00B05F31">
        <w:tc>
          <w:tcPr>
            <w:tcW w:w="8129" w:type="dxa"/>
          </w:tcPr>
          <w:p w14:paraId="54C2E14B" w14:textId="77777777" w:rsidR="00676010" w:rsidRPr="00CF2780" w:rsidRDefault="00676010" w:rsidP="00676010">
            <w:pPr>
              <w:tabs>
                <w:tab w:val="left" w:pos="-720"/>
              </w:tabs>
              <w:suppressAutoHyphens/>
              <w:spacing w:after="0" w:line="240" w:lineRule="auto"/>
              <w:ind w:right="-23"/>
              <w:jc w:val="center"/>
              <w:rPr>
                <w:rFonts w:ascii="Arial" w:eastAsia="Times New Roman" w:hAnsi="Arial" w:cs="Arial"/>
                <w:b/>
                <w:bCs/>
                <w:sz w:val="28"/>
                <w:szCs w:val="24"/>
                <w:lang w:eastAsia="es-ES"/>
              </w:rPr>
            </w:pPr>
            <w:r w:rsidRPr="00CF2780">
              <w:rPr>
                <w:rFonts w:ascii="Arial" w:eastAsia="Times New Roman" w:hAnsi="Arial" w:cs="Arial"/>
                <w:b/>
                <w:bCs/>
                <w:spacing w:val="-3"/>
                <w:sz w:val="28"/>
                <w:szCs w:val="24"/>
                <w:lang w:eastAsia="es-ES"/>
              </w:rPr>
              <w:t>MAGISTRADO</w:t>
            </w:r>
            <w:r w:rsidRPr="00CF2780">
              <w:rPr>
                <w:rFonts w:ascii="Arial" w:eastAsia="Times New Roman" w:hAnsi="Arial" w:cs="Arial"/>
                <w:b/>
                <w:bCs/>
                <w:sz w:val="28"/>
                <w:szCs w:val="24"/>
                <w:lang w:eastAsia="es-ES"/>
              </w:rPr>
              <w:t xml:space="preserve"> PRESIDENTE</w:t>
            </w:r>
          </w:p>
          <w:p w14:paraId="5349CE8A" w14:textId="77777777" w:rsidR="00676010" w:rsidRPr="00CF2780" w:rsidRDefault="00676010" w:rsidP="00676010">
            <w:pPr>
              <w:tabs>
                <w:tab w:val="left" w:pos="-720"/>
              </w:tabs>
              <w:suppressAutoHyphens/>
              <w:spacing w:after="0" w:line="240" w:lineRule="auto"/>
              <w:ind w:right="-23"/>
              <w:jc w:val="center"/>
              <w:rPr>
                <w:rFonts w:ascii="Arial" w:eastAsia="Times New Roman" w:hAnsi="Arial" w:cs="Arial"/>
                <w:spacing w:val="-3"/>
                <w:sz w:val="28"/>
                <w:szCs w:val="24"/>
                <w:lang w:eastAsia="es-ES"/>
              </w:rPr>
            </w:pPr>
          </w:p>
        </w:tc>
      </w:tr>
      <w:tr w:rsidR="00676010" w:rsidRPr="00CF2780" w14:paraId="6DC912F6" w14:textId="77777777" w:rsidTr="00B05F31">
        <w:tc>
          <w:tcPr>
            <w:tcW w:w="8129" w:type="dxa"/>
          </w:tcPr>
          <w:p w14:paraId="066FB43E" w14:textId="77777777" w:rsidR="00676010" w:rsidRPr="00CF2780" w:rsidRDefault="00676010" w:rsidP="00676010">
            <w:pPr>
              <w:spacing w:after="0" w:line="240" w:lineRule="auto"/>
              <w:rPr>
                <w:rFonts w:ascii="Arial" w:eastAsia="Times New Roman" w:hAnsi="Arial" w:cs="Arial"/>
                <w:sz w:val="24"/>
                <w:szCs w:val="24"/>
                <w:lang w:val="es-ES" w:eastAsia="es-ES"/>
              </w:rPr>
            </w:pPr>
          </w:p>
          <w:p w14:paraId="06626107" w14:textId="77777777" w:rsidR="00676010" w:rsidRPr="00CF2780" w:rsidRDefault="00676010" w:rsidP="00676010">
            <w:pPr>
              <w:spacing w:after="0" w:line="240" w:lineRule="auto"/>
              <w:rPr>
                <w:rFonts w:ascii="Arial" w:eastAsia="Times New Roman" w:hAnsi="Arial" w:cs="Arial"/>
                <w:sz w:val="24"/>
                <w:szCs w:val="24"/>
                <w:lang w:val="es-ES" w:eastAsia="es-ES"/>
              </w:rPr>
            </w:pPr>
          </w:p>
          <w:p w14:paraId="07310D5B" w14:textId="77777777" w:rsidR="00676010" w:rsidRPr="00CF2780" w:rsidRDefault="00676010" w:rsidP="00676010">
            <w:pPr>
              <w:spacing w:after="0" w:line="240" w:lineRule="auto"/>
              <w:rPr>
                <w:rFonts w:ascii="Arial" w:eastAsia="Times New Roman" w:hAnsi="Arial" w:cs="Arial"/>
                <w:sz w:val="24"/>
                <w:szCs w:val="24"/>
                <w:lang w:val="es-ES" w:eastAsia="es-ES"/>
              </w:rPr>
            </w:pPr>
          </w:p>
          <w:p w14:paraId="7FDA1E4B" w14:textId="77777777" w:rsidR="00676010" w:rsidRPr="00CF2780" w:rsidRDefault="00676010" w:rsidP="00676010">
            <w:pPr>
              <w:keepNext/>
              <w:tabs>
                <w:tab w:val="left" w:pos="-720"/>
              </w:tabs>
              <w:suppressAutoHyphens/>
              <w:spacing w:after="0" w:line="240" w:lineRule="auto"/>
              <w:ind w:right="-23"/>
              <w:jc w:val="center"/>
              <w:outlineLvl w:val="6"/>
              <w:rPr>
                <w:rFonts w:ascii="Arial" w:eastAsia="Times New Roman" w:hAnsi="Arial" w:cs="Arial"/>
                <w:b/>
                <w:bCs/>
                <w:spacing w:val="-3"/>
                <w:sz w:val="28"/>
                <w:szCs w:val="24"/>
                <w:lang w:val="es-ES" w:eastAsia="es-ES"/>
              </w:rPr>
            </w:pPr>
            <w:r w:rsidRPr="00CF2780">
              <w:rPr>
                <w:rFonts w:ascii="Arial" w:eastAsia="Times New Roman" w:hAnsi="Arial" w:cs="Arial"/>
                <w:b/>
                <w:bCs/>
                <w:sz w:val="28"/>
                <w:szCs w:val="24"/>
                <w:lang w:val="es-ES" w:eastAsia="es-ES"/>
              </w:rPr>
              <w:t>JOSE FERNANDO OJESTO MARTINEZ PORCAYO</w:t>
            </w:r>
          </w:p>
        </w:tc>
      </w:tr>
    </w:tbl>
    <w:p w14:paraId="55E960FA" w14:textId="77777777" w:rsidR="00676010" w:rsidRPr="00CF2780" w:rsidRDefault="00676010" w:rsidP="00676010">
      <w:pPr>
        <w:spacing w:after="0" w:line="240" w:lineRule="auto"/>
        <w:rPr>
          <w:rFonts w:ascii="Arial" w:eastAsia="Times New Roman" w:hAnsi="Arial" w:cs="Arial"/>
          <w:sz w:val="28"/>
          <w:szCs w:val="24"/>
          <w:lang w:eastAsia="es-ES"/>
        </w:rPr>
      </w:pPr>
    </w:p>
    <w:p w14:paraId="753A292A" w14:textId="77777777" w:rsidR="00676010" w:rsidRPr="00CF2780" w:rsidRDefault="00676010" w:rsidP="00676010">
      <w:pPr>
        <w:spacing w:after="0" w:line="240" w:lineRule="auto"/>
        <w:rPr>
          <w:rFonts w:ascii="Arial" w:eastAsia="Times New Roman" w:hAnsi="Arial" w:cs="Arial"/>
          <w:sz w:val="24"/>
          <w:szCs w:val="24"/>
          <w:lang w:val="es-ES_tradnl" w:eastAsia="es-ES"/>
        </w:rPr>
      </w:pPr>
    </w:p>
    <w:p w14:paraId="534A2200" w14:textId="77777777" w:rsidR="00676010" w:rsidRPr="00CF2780" w:rsidRDefault="00676010" w:rsidP="00676010">
      <w:pPr>
        <w:spacing w:after="0" w:line="240" w:lineRule="auto"/>
        <w:rPr>
          <w:rFonts w:ascii="Arial" w:eastAsia="Times New Roman" w:hAnsi="Arial" w:cs="Arial"/>
          <w:sz w:val="24"/>
          <w:szCs w:val="24"/>
          <w:lang w:val="es-ES_tradnl" w:eastAsia="es-ES"/>
        </w:rPr>
      </w:pPr>
    </w:p>
    <w:p w14:paraId="5E0729A6" w14:textId="77777777" w:rsidR="00676010" w:rsidRPr="00CF2780" w:rsidRDefault="00676010" w:rsidP="00676010">
      <w:pPr>
        <w:spacing w:after="0" w:line="240" w:lineRule="auto"/>
        <w:rPr>
          <w:rFonts w:ascii="Arial" w:eastAsia="Times New Roman" w:hAnsi="Arial" w:cs="Arial"/>
          <w:sz w:val="24"/>
          <w:szCs w:val="24"/>
          <w:lang w:val="es-ES_tradnl" w:eastAsia="es-ES"/>
        </w:rPr>
      </w:pPr>
    </w:p>
    <w:tbl>
      <w:tblPr>
        <w:tblW w:w="0" w:type="auto"/>
        <w:tblCellMar>
          <w:left w:w="70" w:type="dxa"/>
          <w:right w:w="70" w:type="dxa"/>
        </w:tblCellMar>
        <w:tblLook w:val="0000" w:firstRow="0" w:lastRow="0" w:firstColumn="0" w:lastColumn="0" w:noHBand="0" w:noVBand="0"/>
      </w:tblPr>
      <w:tblGrid>
        <w:gridCol w:w="4064"/>
        <w:gridCol w:w="4065"/>
      </w:tblGrid>
      <w:tr w:rsidR="00676010" w:rsidRPr="00CF2780" w14:paraId="52FEB80A" w14:textId="77777777" w:rsidTr="00B05F31">
        <w:tc>
          <w:tcPr>
            <w:tcW w:w="4064" w:type="dxa"/>
          </w:tcPr>
          <w:p w14:paraId="53D5A25D" w14:textId="77777777" w:rsidR="00676010" w:rsidRPr="00CF2780" w:rsidRDefault="00676010" w:rsidP="00676010">
            <w:pPr>
              <w:keepNext/>
              <w:autoSpaceDE w:val="0"/>
              <w:autoSpaceDN w:val="0"/>
              <w:adjustRightInd w:val="0"/>
              <w:spacing w:after="0" w:line="240" w:lineRule="auto"/>
              <w:jc w:val="center"/>
              <w:outlineLvl w:val="2"/>
              <w:rPr>
                <w:rFonts w:ascii="Arial" w:eastAsia="Times New Roman" w:hAnsi="Arial" w:cs="Arial"/>
                <w:b/>
                <w:bCs/>
                <w:sz w:val="28"/>
                <w:szCs w:val="20"/>
                <w:lang w:val="es-ES" w:eastAsia="es-ES"/>
              </w:rPr>
            </w:pPr>
            <w:r w:rsidRPr="00CF2780">
              <w:rPr>
                <w:rFonts w:ascii="Arial" w:eastAsia="Times New Roman" w:hAnsi="Arial" w:cs="Arial"/>
                <w:b/>
                <w:bCs/>
                <w:sz w:val="28"/>
                <w:szCs w:val="20"/>
                <w:lang w:val="es-ES" w:eastAsia="es-ES"/>
              </w:rPr>
              <w:t>MAGISTRADO</w:t>
            </w:r>
          </w:p>
          <w:p w14:paraId="45C2BA8D" w14:textId="77777777" w:rsidR="00676010" w:rsidRPr="00CF2780" w:rsidRDefault="00676010" w:rsidP="00676010">
            <w:pPr>
              <w:spacing w:after="0" w:line="240" w:lineRule="auto"/>
              <w:rPr>
                <w:rFonts w:ascii="Arial" w:eastAsia="Times New Roman" w:hAnsi="Arial" w:cs="Arial"/>
                <w:sz w:val="24"/>
                <w:szCs w:val="24"/>
                <w:lang w:val="es-ES_tradnl" w:eastAsia="es-ES"/>
              </w:rPr>
            </w:pPr>
          </w:p>
        </w:tc>
        <w:tc>
          <w:tcPr>
            <w:tcW w:w="4065" w:type="dxa"/>
          </w:tcPr>
          <w:p w14:paraId="5A7B9B39" w14:textId="77777777" w:rsidR="00676010" w:rsidRPr="00CF2780" w:rsidRDefault="00676010" w:rsidP="00676010">
            <w:pPr>
              <w:keepNext/>
              <w:autoSpaceDE w:val="0"/>
              <w:autoSpaceDN w:val="0"/>
              <w:adjustRightInd w:val="0"/>
              <w:spacing w:after="0" w:line="240" w:lineRule="auto"/>
              <w:jc w:val="center"/>
              <w:outlineLvl w:val="2"/>
              <w:rPr>
                <w:rFonts w:ascii="Arial" w:eastAsia="Times New Roman" w:hAnsi="Arial" w:cs="Arial"/>
                <w:b/>
                <w:bCs/>
                <w:sz w:val="28"/>
                <w:szCs w:val="20"/>
                <w:lang w:val="es-ES" w:eastAsia="es-ES"/>
              </w:rPr>
            </w:pPr>
            <w:r w:rsidRPr="00CF2780">
              <w:rPr>
                <w:rFonts w:ascii="Arial" w:eastAsia="Times New Roman" w:hAnsi="Arial" w:cs="Arial"/>
                <w:b/>
                <w:bCs/>
                <w:sz w:val="28"/>
                <w:szCs w:val="20"/>
                <w:lang w:val="es-ES" w:eastAsia="es-ES"/>
              </w:rPr>
              <w:t>MAGISTRADO</w:t>
            </w:r>
          </w:p>
        </w:tc>
      </w:tr>
      <w:tr w:rsidR="00676010" w:rsidRPr="00CF2780" w14:paraId="1D29AB58" w14:textId="77777777" w:rsidTr="00B05F31">
        <w:tc>
          <w:tcPr>
            <w:tcW w:w="4064" w:type="dxa"/>
          </w:tcPr>
          <w:p w14:paraId="10E74BC6" w14:textId="77777777" w:rsidR="00676010" w:rsidRPr="00CF2780" w:rsidRDefault="00676010" w:rsidP="00676010">
            <w:pPr>
              <w:keepNext/>
              <w:tabs>
                <w:tab w:val="left" w:pos="4320"/>
              </w:tabs>
              <w:spacing w:after="0" w:line="240" w:lineRule="auto"/>
              <w:jc w:val="center"/>
              <w:outlineLvl w:val="3"/>
              <w:rPr>
                <w:rFonts w:ascii="Arial" w:eastAsia="Times New Roman" w:hAnsi="Arial" w:cs="Arial"/>
                <w:b/>
                <w:bCs/>
                <w:sz w:val="28"/>
                <w:szCs w:val="24"/>
                <w:lang w:eastAsia="es-ES"/>
              </w:rPr>
            </w:pPr>
          </w:p>
          <w:p w14:paraId="1452B33D" w14:textId="77777777" w:rsidR="00676010" w:rsidRPr="00CF2780" w:rsidRDefault="00676010" w:rsidP="00676010">
            <w:pPr>
              <w:spacing w:after="0" w:line="240" w:lineRule="auto"/>
              <w:rPr>
                <w:rFonts w:ascii="Arial" w:eastAsia="Times New Roman" w:hAnsi="Arial" w:cs="Arial"/>
                <w:sz w:val="24"/>
                <w:szCs w:val="24"/>
                <w:lang w:eastAsia="es-ES"/>
              </w:rPr>
            </w:pPr>
          </w:p>
          <w:p w14:paraId="43B2E980" w14:textId="77777777" w:rsidR="00676010" w:rsidRPr="00CF2780" w:rsidRDefault="00676010" w:rsidP="00676010">
            <w:pPr>
              <w:keepNext/>
              <w:tabs>
                <w:tab w:val="left" w:pos="4320"/>
              </w:tabs>
              <w:spacing w:after="0" w:line="240" w:lineRule="auto"/>
              <w:jc w:val="center"/>
              <w:outlineLvl w:val="3"/>
              <w:rPr>
                <w:rFonts w:ascii="Arial" w:eastAsia="Times New Roman" w:hAnsi="Arial" w:cs="Arial"/>
                <w:b/>
                <w:bCs/>
                <w:sz w:val="28"/>
                <w:szCs w:val="24"/>
                <w:lang w:eastAsia="es-ES"/>
              </w:rPr>
            </w:pPr>
            <w:r w:rsidRPr="00CF2780">
              <w:rPr>
                <w:rFonts w:ascii="Arial" w:eastAsia="Times New Roman" w:hAnsi="Arial" w:cs="Arial"/>
                <w:b/>
                <w:bCs/>
                <w:sz w:val="28"/>
                <w:szCs w:val="24"/>
                <w:lang w:eastAsia="es-ES"/>
              </w:rPr>
              <w:t>LEONEL CASTILLO</w:t>
            </w:r>
          </w:p>
          <w:p w14:paraId="41B4B222" w14:textId="77777777" w:rsidR="00676010" w:rsidRPr="00CF2780" w:rsidRDefault="00676010" w:rsidP="00676010">
            <w:pPr>
              <w:keepNext/>
              <w:autoSpaceDE w:val="0"/>
              <w:autoSpaceDN w:val="0"/>
              <w:adjustRightInd w:val="0"/>
              <w:spacing w:after="0" w:line="240" w:lineRule="auto"/>
              <w:jc w:val="center"/>
              <w:outlineLvl w:val="2"/>
              <w:rPr>
                <w:rFonts w:ascii="Arial" w:eastAsia="Times New Roman" w:hAnsi="Arial" w:cs="Arial"/>
                <w:b/>
                <w:bCs/>
                <w:sz w:val="28"/>
                <w:szCs w:val="20"/>
                <w:lang w:val="es-ES" w:eastAsia="es-ES"/>
              </w:rPr>
            </w:pPr>
            <w:r w:rsidRPr="00CF2780">
              <w:rPr>
                <w:rFonts w:ascii="Arial" w:eastAsia="Times New Roman" w:hAnsi="Arial" w:cs="Arial"/>
                <w:b/>
                <w:bCs/>
                <w:sz w:val="28"/>
                <w:szCs w:val="20"/>
                <w:lang w:val="es-ES" w:eastAsia="es-ES"/>
              </w:rPr>
              <w:t>GONZÁLEZ</w:t>
            </w:r>
          </w:p>
        </w:tc>
        <w:tc>
          <w:tcPr>
            <w:tcW w:w="4065" w:type="dxa"/>
          </w:tcPr>
          <w:p w14:paraId="4C22AC00" w14:textId="77777777" w:rsidR="00676010" w:rsidRPr="00CF2780" w:rsidRDefault="00676010" w:rsidP="00676010">
            <w:pPr>
              <w:keepNext/>
              <w:autoSpaceDE w:val="0"/>
              <w:autoSpaceDN w:val="0"/>
              <w:adjustRightInd w:val="0"/>
              <w:spacing w:after="0" w:line="240" w:lineRule="auto"/>
              <w:jc w:val="center"/>
              <w:outlineLvl w:val="2"/>
              <w:rPr>
                <w:rFonts w:ascii="Arial" w:eastAsia="Times New Roman" w:hAnsi="Arial" w:cs="Arial"/>
                <w:b/>
                <w:bCs/>
                <w:sz w:val="28"/>
                <w:szCs w:val="20"/>
                <w:lang w:val="es-ES" w:eastAsia="es-ES"/>
              </w:rPr>
            </w:pPr>
          </w:p>
          <w:p w14:paraId="692D5A2F" w14:textId="77777777" w:rsidR="00676010" w:rsidRPr="00CF2780" w:rsidRDefault="00676010" w:rsidP="00676010">
            <w:pPr>
              <w:spacing w:after="0" w:line="240" w:lineRule="auto"/>
              <w:rPr>
                <w:rFonts w:ascii="Arial" w:eastAsia="Times New Roman" w:hAnsi="Arial" w:cs="Arial"/>
                <w:sz w:val="24"/>
                <w:szCs w:val="24"/>
                <w:lang w:val="es-ES" w:eastAsia="es-ES"/>
              </w:rPr>
            </w:pPr>
          </w:p>
          <w:p w14:paraId="0BE9A348" w14:textId="77777777" w:rsidR="00676010" w:rsidRPr="00CF2780" w:rsidRDefault="00676010" w:rsidP="00676010">
            <w:pPr>
              <w:keepNext/>
              <w:autoSpaceDE w:val="0"/>
              <w:autoSpaceDN w:val="0"/>
              <w:adjustRightInd w:val="0"/>
              <w:spacing w:after="0" w:line="240" w:lineRule="auto"/>
              <w:jc w:val="center"/>
              <w:outlineLvl w:val="2"/>
              <w:rPr>
                <w:rFonts w:ascii="Arial" w:eastAsia="Times New Roman" w:hAnsi="Arial" w:cs="Arial"/>
                <w:b/>
                <w:bCs/>
                <w:sz w:val="28"/>
                <w:szCs w:val="20"/>
                <w:lang w:val="es-ES" w:eastAsia="es-ES"/>
              </w:rPr>
            </w:pPr>
            <w:r w:rsidRPr="00CF2780">
              <w:rPr>
                <w:rFonts w:ascii="Arial" w:eastAsia="Times New Roman" w:hAnsi="Arial" w:cs="Arial"/>
                <w:b/>
                <w:bCs/>
                <w:sz w:val="28"/>
                <w:szCs w:val="20"/>
                <w:lang w:val="es-ES" w:eastAsia="es-ES"/>
              </w:rPr>
              <w:t>JOSÉ LUIS DE LA PEZA</w:t>
            </w:r>
          </w:p>
        </w:tc>
      </w:tr>
    </w:tbl>
    <w:p w14:paraId="629F0C8F" w14:textId="77777777" w:rsidR="00676010" w:rsidRPr="00CF2780" w:rsidRDefault="00676010" w:rsidP="00676010">
      <w:pPr>
        <w:spacing w:after="0" w:line="240" w:lineRule="auto"/>
        <w:rPr>
          <w:rFonts w:ascii="Arial" w:eastAsia="Times New Roman" w:hAnsi="Arial" w:cs="Arial"/>
          <w:sz w:val="28"/>
          <w:szCs w:val="24"/>
          <w:lang w:eastAsia="es-ES"/>
        </w:rPr>
      </w:pPr>
    </w:p>
    <w:p w14:paraId="0AB1AFA1" w14:textId="77777777" w:rsidR="00676010" w:rsidRPr="00CF2780" w:rsidRDefault="00676010" w:rsidP="00676010">
      <w:pPr>
        <w:spacing w:after="0" w:line="240" w:lineRule="auto"/>
        <w:rPr>
          <w:rFonts w:ascii="Arial" w:eastAsia="Times New Roman" w:hAnsi="Arial" w:cs="Arial"/>
          <w:sz w:val="24"/>
          <w:szCs w:val="24"/>
          <w:lang w:val="es-ES_tradnl" w:eastAsia="es-ES"/>
        </w:rPr>
      </w:pPr>
    </w:p>
    <w:p w14:paraId="5DAB799F" w14:textId="77777777" w:rsidR="00676010" w:rsidRPr="00CF2780" w:rsidRDefault="00676010" w:rsidP="00676010">
      <w:pPr>
        <w:spacing w:after="0" w:line="240" w:lineRule="auto"/>
        <w:rPr>
          <w:rFonts w:ascii="Arial" w:eastAsia="Times New Roman" w:hAnsi="Arial" w:cs="Arial"/>
          <w:sz w:val="24"/>
          <w:szCs w:val="24"/>
          <w:lang w:val="es-ES_tradnl" w:eastAsia="es-ES"/>
        </w:rPr>
      </w:pPr>
    </w:p>
    <w:tbl>
      <w:tblPr>
        <w:tblW w:w="0" w:type="auto"/>
        <w:tblCellMar>
          <w:left w:w="70" w:type="dxa"/>
          <w:right w:w="70" w:type="dxa"/>
        </w:tblCellMar>
        <w:tblLook w:val="0000" w:firstRow="0" w:lastRow="0" w:firstColumn="0" w:lastColumn="0" w:noHBand="0" w:noVBand="0"/>
      </w:tblPr>
      <w:tblGrid>
        <w:gridCol w:w="4064"/>
        <w:gridCol w:w="4065"/>
      </w:tblGrid>
      <w:tr w:rsidR="00676010" w:rsidRPr="00CF2780" w14:paraId="04823A3C" w14:textId="77777777" w:rsidTr="00B05F31">
        <w:tc>
          <w:tcPr>
            <w:tcW w:w="4064" w:type="dxa"/>
          </w:tcPr>
          <w:p w14:paraId="1665A334" w14:textId="77777777" w:rsidR="00676010" w:rsidRPr="00CF2780" w:rsidRDefault="00676010" w:rsidP="00676010">
            <w:pPr>
              <w:keepNext/>
              <w:autoSpaceDE w:val="0"/>
              <w:autoSpaceDN w:val="0"/>
              <w:adjustRightInd w:val="0"/>
              <w:spacing w:after="0" w:line="240" w:lineRule="auto"/>
              <w:jc w:val="center"/>
              <w:outlineLvl w:val="2"/>
              <w:rPr>
                <w:rFonts w:ascii="Arial" w:eastAsia="Times New Roman" w:hAnsi="Arial" w:cs="Arial"/>
                <w:b/>
                <w:bCs/>
                <w:sz w:val="28"/>
                <w:szCs w:val="20"/>
                <w:lang w:val="es-ES" w:eastAsia="es-ES"/>
              </w:rPr>
            </w:pPr>
            <w:r w:rsidRPr="00CF2780">
              <w:rPr>
                <w:rFonts w:ascii="Arial" w:eastAsia="Times New Roman" w:hAnsi="Arial" w:cs="Arial"/>
                <w:b/>
                <w:bCs/>
                <w:sz w:val="28"/>
                <w:szCs w:val="20"/>
                <w:lang w:val="es-ES" w:eastAsia="es-ES"/>
              </w:rPr>
              <w:t>MAGISTRADO</w:t>
            </w:r>
          </w:p>
          <w:p w14:paraId="5432BE95" w14:textId="77777777" w:rsidR="00676010" w:rsidRPr="00CF2780" w:rsidRDefault="00676010" w:rsidP="00676010">
            <w:pPr>
              <w:spacing w:after="0" w:line="240" w:lineRule="auto"/>
              <w:rPr>
                <w:rFonts w:ascii="Arial" w:eastAsia="Times New Roman" w:hAnsi="Arial" w:cs="Arial"/>
                <w:sz w:val="24"/>
                <w:szCs w:val="24"/>
                <w:lang w:val="es-ES_tradnl" w:eastAsia="es-ES"/>
              </w:rPr>
            </w:pPr>
          </w:p>
        </w:tc>
        <w:tc>
          <w:tcPr>
            <w:tcW w:w="4065" w:type="dxa"/>
          </w:tcPr>
          <w:p w14:paraId="39C638EA" w14:textId="77777777" w:rsidR="00676010" w:rsidRPr="00CF2780" w:rsidRDefault="00676010" w:rsidP="00676010">
            <w:pPr>
              <w:keepNext/>
              <w:autoSpaceDE w:val="0"/>
              <w:autoSpaceDN w:val="0"/>
              <w:adjustRightInd w:val="0"/>
              <w:spacing w:after="0" w:line="240" w:lineRule="auto"/>
              <w:jc w:val="center"/>
              <w:outlineLvl w:val="2"/>
              <w:rPr>
                <w:rFonts w:ascii="Arial" w:eastAsia="Times New Roman" w:hAnsi="Arial" w:cs="Arial"/>
                <w:b/>
                <w:bCs/>
                <w:sz w:val="28"/>
                <w:szCs w:val="20"/>
                <w:lang w:val="es-ES" w:eastAsia="es-ES"/>
              </w:rPr>
            </w:pPr>
            <w:r w:rsidRPr="00CF2780">
              <w:rPr>
                <w:rFonts w:ascii="Arial" w:eastAsia="Times New Roman" w:hAnsi="Arial" w:cs="Arial"/>
                <w:b/>
                <w:bCs/>
                <w:sz w:val="28"/>
                <w:szCs w:val="20"/>
                <w:lang w:val="es-ES" w:eastAsia="es-ES"/>
              </w:rPr>
              <w:t>MAGISTRADA</w:t>
            </w:r>
          </w:p>
        </w:tc>
      </w:tr>
      <w:tr w:rsidR="00676010" w:rsidRPr="00CF2780" w14:paraId="3F13AC26" w14:textId="77777777" w:rsidTr="00B05F31">
        <w:tc>
          <w:tcPr>
            <w:tcW w:w="4064" w:type="dxa"/>
          </w:tcPr>
          <w:p w14:paraId="1300BF61" w14:textId="77777777" w:rsidR="00676010" w:rsidRPr="00CF2780" w:rsidRDefault="00676010" w:rsidP="00676010">
            <w:pPr>
              <w:keepNext/>
              <w:tabs>
                <w:tab w:val="left" w:pos="4320"/>
              </w:tabs>
              <w:spacing w:after="0" w:line="240" w:lineRule="auto"/>
              <w:jc w:val="center"/>
              <w:outlineLvl w:val="3"/>
              <w:rPr>
                <w:rFonts w:ascii="Arial" w:eastAsia="Times New Roman" w:hAnsi="Arial" w:cs="Arial"/>
                <w:b/>
                <w:bCs/>
                <w:sz w:val="28"/>
                <w:szCs w:val="24"/>
                <w:lang w:eastAsia="es-ES"/>
              </w:rPr>
            </w:pPr>
          </w:p>
          <w:p w14:paraId="1EBAACD4" w14:textId="77777777" w:rsidR="00676010" w:rsidRPr="00CF2780" w:rsidRDefault="00676010" w:rsidP="00676010">
            <w:pPr>
              <w:spacing w:after="0" w:line="240" w:lineRule="auto"/>
              <w:rPr>
                <w:rFonts w:ascii="Arial" w:eastAsia="Times New Roman" w:hAnsi="Arial" w:cs="Arial"/>
                <w:sz w:val="24"/>
                <w:szCs w:val="24"/>
                <w:lang w:eastAsia="es-ES"/>
              </w:rPr>
            </w:pPr>
          </w:p>
          <w:p w14:paraId="7A850A84" w14:textId="77777777" w:rsidR="00676010" w:rsidRPr="00CF2780" w:rsidRDefault="00676010" w:rsidP="00676010">
            <w:pPr>
              <w:keepNext/>
              <w:tabs>
                <w:tab w:val="left" w:pos="4320"/>
              </w:tabs>
              <w:spacing w:after="0" w:line="240" w:lineRule="auto"/>
              <w:jc w:val="center"/>
              <w:outlineLvl w:val="3"/>
              <w:rPr>
                <w:rFonts w:ascii="Arial" w:eastAsia="Times New Roman" w:hAnsi="Arial" w:cs="Arial"/>
                <w:b/>
                <w:bCs/>
                <w:sz w:val="28"/>
                <w:szCs w:val="24"/>
                <w:lang w:eastAsia="es-ES"/>
              </w:rPr>
            </w:pPr>
            <w:r w:rsidRPr="00CF2780">
              <w:rPr>
                <w:rFonts w:ascii="Arial" w:eastAsia="Times New Roman" w:hAnsi="Arial" w:cs="Arial"/>
                <w:b/>
                <w:bCs/>
                <w:sz w:val="28"/>
                <w:szCs w:val="24"/>
                <w:lang w:eastAsia="es-ES"/>
              </w:rPr>
              <w:t>ELOY FUENTES CERDA</w:t>
            </w:r>
          </w:p>
          <w:p w14:paraId="5CF1716C" w14:textId="77777777" w:rsidR="00676010" w:rsidRPr="00CF2780" w:rsidRDefault="00676010" w:rsidP="00676010">
            <w:pPr>
              <w:keepNext/>
              <w:autoSpaceDE w:val="0"/>
              <w:autoSpaceDN w:val="0"/>
              <w:adjustRightInd w:val="0"/>
              <w:spacing w:after="0" w:line="240" w:lineRule="auto"/>
              <w:jc w:val="center"/>
              <w:outlineLvl w:val="2"/>
              <w:rPr>
                <w:rFonts w:ascii="Arial" w:eastAsia="Times New Roman" w:hAnsi="Arial" w:cs="Arial"/>
                <w:b/>
                <w:bCs/>
                <w:sz w:val="28"/>
                <w:szCs w:val="20"/>
                <w:lang w:val="es-ES" w:eastAsia="es-ES"/>
              </w:rPr>
            </w:pPr>
          </w:p>
        </w:tc>
        <w:tc>
          <w:tcPr>
            <w:tcW w:w="4065" w:type="dxa"/>
          </w:tcPr>
          <w:p w14:paraId="359925A9" w14:textId="77777777" w:rsidR="00676010" w:rsidRPr="00CF2780" w:rsidRDefault="00676010" w:rsidP="00676010">
            <w:pPr>
              <w:keepNext/>
              <w:autoSpaceDE w:val="0"/>
              <w:autoSpaceDN w:val="0"/>
              <w:adjustRightInd w:val="0"/>
              <w:spacing w:after="0" w:line="240" w:lineRule="auto"/>
              <w:jc w:val="center"/>
              <w:outlineLvl w:val="2"/>
              <w:rPr>
                <w:rFonts w:ascii="Arial" w:eastAsia="Times New Roman" w:hAnsi="Arial" w:cs="Arial"/>
                <w:b/>
                <w:bCs/>
                <w:sz w:val="28"/>
                <w:szCs w:val="20"/>
                <w:lang w:val="es-ES" w:eastAsia="es-ES"/>
              </w:rPr>
            </w:pPr>
          </w:p>
          <w:p w14:paraId="4F468DAC" w14:textId="77777777" w:rsidR="00676010" w:rsidRPr="00CF2780" w:rsidRDefault="00676010" w:rsidP="00676010">
            <w:pPr>
              <w:spacing w:after="0" w:line="240" w:lineRule="auto"/>
              <w:rPr>
                <w:rFonts w:ascii="Arial" w:eastAsia="Times New Roman" w:hAnsi="Arial" w:cs="Arial"/>
                <w:sz w:val="24"/>
                <w:szCs w:val="24"/>
                <w:lang w:val="es-ES" w:eastAsia="es-ES"/>
              </w:rPr>
            </w:pPr>
          </w:p>
          <w:p w14:paraId="60B5F20C" w14:textId="77777777" w:rsidR="00676010" w:rsidRPr="00CF2780" w:rsidRDefault="00676010" w:rsidP="00676010">
            <w:pPr>
              <w:keepNext/>
              <w:autoSpaceDE w:val="0"/>
              <w:autoSpaceDN w:val="0"/>
              <w:adjustRightInd w:val="0"/>
              <w:spacing w:after="0" w:line="240" w:lineRule="auto"/>
              <w:jc w:val="center"/>
              <w:outlineLvl w:val="2"/>
              <w:rPr>
                <w:rFonts w:ascii="Arial" w:eastAsia="Times New Roman" w:hAnsi="Arial" w:cs="Arial"/>
                <w:b/>
                <w:bCs/>
                <w:sz w:val="28"/>
                <w:szCs w:val="20"/>
                <w:lang w:val="es-ES" w:eastAsia="es-ES"/>
              </w:rPr>
            </w:pPr>
            <w:r w:rsidRPr="00CF2780">
              <w:rPr>
                <w:rFonts w:ascii="Arial" w:eastAsia="Times New Roman" w:hAnsi="Arial" w:cs="Arial"/>
                <w:b/>
                <w:bCs/>
                <w:sz w:val="28"/>
                <w:szCs w:val="20"/>
                <w:lang w:val="es-ES" w:eastAsia="es-ES"/>
              </w:rPr>
              <w:t>ALFONSINA BERTA</w:t>
            </w:r>
            <w:r w:rsidRPr="00CF2780">
              <w:rPr>
                <w:rFonts w:ascii="Arial" w:eastAsia="Times New Roman" w:hAnsi="Arial" w:cs="Arial"/>
                <w:b/>
                <w:sz w:val="28"/>
                <w:szCs w:val="20"/>
                <w:lang w:val="es-ES" w:eastAsia="es-ES"/>
              </w:rPr>
              <w:t xml:space="preserve"> NAVARRO HIDALGO</w:t>
            </w:r>
          </w:p>
        </w:tc>
      </w:tr>
    </w:tbl>
    <w:p w14:paraId="70BFF5F5" w14:textId="77777777" w:rsidR="00676010" w:rsidRPr="00CF2780" w:rsidRDefault="00676010" w:rsidP="00D72CE5">
      <w:pPr>
        <w:rPr>
          <w:rFonts w:ascii="Arial" w:eastAsia="Times New Roman" w:hAnsi="Arial" w:cs="Arial"/>
          <w:b/>
          <w:bCs/>
          <w:sz w:val="28"/>
          <w:szCs w:val="20"/>
          <w:lang w:val="es-ES" w:eastAsia="es-ES"/>
        </w:rPr>
      </w:pPr>
    </w:p>
    <w:p w14:paraId="0F4BB523" w14:textId="77777777" w:rsidR="00676010" w:rsidRPr="00CF2780" w:rsidRDefault="00676010" w:rsidP="00676010">
      <w:pPr>
        <w:spacing w:after="0" w:line="240" w:lineRule="auto"/>
        <w:rPr>
          <w:rFonts w:ascii="Arial" w:eastAsia="Times New Roman" w:hAnsi="Arial" w:cs="Arial"/>
          <w:sz w:val="24"/>
          <w:szCs w:val="24"/>
          <w:lang w:val="es-ES" w:eastAsia="es-ES"/>
        </w:rPr>
      </w:pPr>
    </w:p>
    <w:p w14:paraId="6670C060" w14:textId="77777777" w:rsidR="00676010" w:rsidRPr="00CF2780" w:rsidRDefault="00676010" w:rsidP="00676010">
      <w:pPr>
        <w:spacing w:after="0" w:line="240" w:lineRule="auto"/>
        <w:rPr>
          <w:rFonts w:ascii="Arial" w:eastAsia="Times New Roman" w:hAnsi="Arial" w:cs="Arial"/>
          <w:sz w:val="24"/>
          <w:szCs w:val="24"/>
          <w:lang w:val="es-ES_tradnl" w:eastAsia="es-ES"/>
        </w:rPr>
      </w:pPr>
    </w:p>
    <w:tbl>
      <w:tblPr>
        <w:tblW w:w="0" w:type="auto"/>
        <w:tblCellMar>
          <w:left w:w="70" w:type="dxa"/>
          <w:right w:w="70" w:type="dxa"/>
        </w:tblCellMar>
        <w:tblLook w:val="0000" w:firstRow="0" w:lastRow="0" w:firstColumn="0" w:lastColumn="0" w:noHBand="0" w:noVBand="0"/>
      </w:tblPr>
      <w:tblGrid>
        <w:gridCol w:w="4064"/>
        <w:gridCol w:w="4065"/>
      </w:tblGrid>
      <w:tr w:rsidR="00676010" w:rsidRPr="00CF2780" w14:paraId="3FA361A5" w14:textId="77777777" w:rsidTr="00B05F31">
        <w:tc>
          <w:tcPr>
            <w:tcW w:w="4064" w:type="dxa"/>
          </w:tcPr>
          <w:p w14:paraId="0E9119B7" w14:textId="77777777" w:rsidR="00676010" w:rsidRPr="00CF2780" w:rsidRDefault="00676010" w:rsidP="00676010">
            <w:pPr>
              <w:keepNext/>
              <w:autoSpaceDE w:val="0"/>
              <w:autoSpaceDN w:val="0"/>
              <w:adjustRightInd w:val="0"/>
              <w:spacing w:after="0" w:line="240" w:lineRule="auto"/>
              <w:jc w:val="center"/>
              <w:outlineLvl w:val="2"/>
              <w:rPr>
                <w:rFonts w:ascii="Arial" w:eastAsia="Times New Roman" w:hAnsi="Arial" w:cs="Arial"/>
                <w:b/>
                <w:bCs/>
                <w:sz w:val="28"/>
                <w:szCs w:val="20"/>
                <w:lang w:val="es-ES" w:eastAsia="es-ES"/>
              </w:rPr>
            </w:pPr>
            <w:r w:rsidRPr="00CF2780">
              <w:rPr>
                <w:rFonts w:ascii="Arial" w:eastAsia="Times New Roman" w:hAnsi="Arial" w:cs="Arial"/>
                <w:b/>
                <w:bCs/>
                <w:sz w:val="28"/>
                <w:szCs w:val="20"/>
                <w:lang w:val="es-ES" w:eastAsia="es-ES"/>
              </w:rPr>
              <w:t>MAGISTRADO</w:t>
            </w:r>
          </w:p>
          <w:p w14:paraId="6F94381A" w14:textId="77777777" w:rsidR="00676010" w:rsidRPr="00CF2780" w:rsidRDefault="00676010" w:rsidP="00676010">
            <w:pPr>
              <w:spacing w:after="0" w:line="240" w:lineRule="auto"/>
              <w:rPr>
                <w:rFonts w:ascii="Arial" w:eastAsia="Times New Roman" w:hAnsi="Arial" w:cs="Arial"/>
                <w:sz w:val="24"/>
                <w:szCs w:val="24"/>
                <w:lang w:val="es-ES_tradnl" w:eastAsia="es-ES"/>
              </w:rPr>
            </w:pPr>
          </w:p>
        </w:tc>
        <w:tc>
          <w:tcPr>
            <w:tcW w:w="4065" w:type="dxa"/>
          </w:tcPr>
          <w:p w14:paraId="2439273F" w14:textId="77777777" w:rsidR="00676010" w:rsidRPr="00CF2780" w:rsidRDefault="00676010" w:rsidP="00676010">
            <w:pPr>
              <w:keepNext/>
              <w:autoSpaceDE w:val="0"/>
              <w:autoSpaceDN w:val="0"/>
              <w:adjustRightInd w:val="0"/>
              <w:spacing w:after="0" w:line="240" w:lineRule="auto"/>
              <w:jc w:val="center"/>
              <w:outlineLvl w:val="2"/>
              <w:rPr>
                <w:rFonts w:ascii="Arial" w:eastAsia="Times New Roman" w:hAnsi="Arial" w:cs="Arial"/>
                <w:b/>
                <w:bCs/>
                <w:sz w:val="28"/>
                <w:szCs w:val="20"/>
                <w:lang w:val="es-ES" w:eastAsia="es-ES"/>
              </w:rPr>
            </w:pPr>
            <w:r w:rsidRPr="00CF2780">
              <w:rPr>
                <w:rFonts w:ascii="Arial" w:eastAsia="Times New Roman" w:hAnsi="Arial" w:cs="Arial"/>
                <w:b/>
                <w:bCs/>
                <w:sz w:val="28"/>
                <w:szCs w:val="20"/>
                <w:lang w:val="es-ES" w:eastAsia="es-ES"/>
              </w:rPr>
              <w:t>MAGISTRADO</w:t>
            </w:r>
          </w:p>
        </w:tc>
      </w:tr>
      <w:tr w:rsidR="00676010" w:rsidRPr="00CF2780" w14:paraId="79A82572" w14:textId="77777777" w:rsidTr="00B05F31">
        <w:tc>
          <w:tcPr>
            <w:tcW w:w="4064" w:type="dxa"/>
          </w:tcPr>
          <w:p w14:paraId="79E5D4E6" w14:textId="77777777" w:rsidR="00676010" w:rsidRPr="00CF2780" w:rsidRDefault="00676010" w:rsidP="00676010">
            <w:pPr>
              <w:keepNext/>
              <w:tabs>
                <w:tab w:val="left" w:pos="4320"/>
              </w:tabs>
              <w:spacing w:after="0" w:line="240" w:lineRule="auto"/>
              <w:jc w:val="center"/>
              <w:outlineLvl w:val="3"/>
              <w:rPr>
                <w:rFonts w:ascii="Arial" w:eastAsia="Times New Roman" w:hAnsi="Arial" w:cs="Arial"/>
                <w:b/>
                <w:bCs/>
                <w:sz w:val="28"/>
                <w:szCs w:val="24"/>
                <w:lang w:eastAsia="es-ES"/>
              </w:rPr>
            </w:pPr>
          </w:p>
          <w:p w14:paraId="01257338" w14:textId="77777777" w:rsidR="00676010" w:rsidRPr="00CF2780" w:rsidRDefault="00676010" w:rsidP="00676010">
            <w:pPr>
              <w:spacing w:after="0" w:line="240" w:lineRule="auto"/>
              <w:rPr>
                <w:rFonts w:ascii="Arial" w:eastAsia="Times New Roman" w:hAnsi="Arial" w:cs="Arial"/>
                <w:sz w:val="24"/>
                <w:szCs w:val="24"/>
                <w:lang w:eastAsia="es-ES"/>
              </w:rPr>
            </w:pPr>
          </w:p>
          <w:p w14:paraId="14C1E1F8" w14:textId="77777777" w:rsidR="00676010" w:rsidRPr="00CF2780" w:rsidRDefault="00676010" w:rsidP="00676010">
            <w:pPr>
              <w:keepNext/>
              <w:tabs>
                <w:tab w:val="left" w:pos="4320"/>
              </w:tabs>
              <w:spacing w:after="0" w:line="240" w:lineRule="auto"/>
              <w:jc w:val="center"/>
              <w:outlineLvl w:val="3"/>
              <w:rPr>
                <w:rFonts w:ascii="Arial" w:eastAsia="Times New Roman" w:hAnsi="Arial" w:cs="Arial"/>
                <w:b/>
                <w:bCs/>
                <w:sz w:val="28"/>
                <w:szCs w:val="24"/>
                <w:lang w:eastAsia="es-ES"/>
              </w:rPr>
            </w:pPr>
            <w:r w:rsidRPr="00CF2780">
              <w:rPr>
                <w:rFonts w:ascii="Arial" w:eastAsia="Times New Roman" w:hAnsi="Arial" w:cs="Arial"/>
                <w:b/>
                <w:bCs/>
                <w:sz w:val="28"/>
                <w:szCs w:val="24"/>
                <w:lang w:eastAsia="es-ES"/>
              </w:rPr>
              <w:t xml:space="preserve">JOSÉ DE JESÚS OROZCO </w:t>
            </w:r>
            <w:r w:rsidRPr="00CF2780">
              <w:rPr>
                <w:rFonts w:ascii="Arial" w:eastAsia="Times New Roman" w:hAnsi="Arial" w:cs="Arial"/>
                <w:b/>
                <w:sz w:val="28"/>
                <w:szCs w:val="24"/>
                <w:lang w:eastAsia="es-ES"/>
              </w:rPr>
              <w:t>HENRÍQUEZ</w:t>
            </w:r>
          </w:p>
          <w:p w14:paraId="6D06AA87" w14:textId="77777777" w:rsidR="00676010" w:rsidRPr="00CF2780" w:rsidRDefault="00676010" w:rsidP="00676010">
            <w:pPr>
              <w:keepNext/>
              <w:autoSpaceDE w:val="0"/>
              <w:autoSpaceDN w:val="0"/>
              <w:adjustRightInd w:val="0"/>
              <w:spacing w:after="0" w:line="240" w:lineRule="auto"/>
              <w:jc w:val="center"/>
              <w:outlineLvl w:val="2"/>
              <w:rPr>
                <w:rFonts w:ascii="Arial" w:eastAsia="Times New Roman" w:hAnsi="Arial" w:cs="Arial"/>
                <w:b/>
                <w:bCs/>
                <w:sz w:val="28"/>
                <w:szCs w:val="20"/>
                <w:lang w:val="es-ES" w:eastAsia="es-ES"/>
              </w:rPr>
            </w:pPr>
          </w:p>
        </w:tc>
        <w:tc>
          <w:tcPr>
            <w:tcW w:w="4065" w:type="dxa"/>
          </w:tcPr>
          <w:p w14:paraId="33C8F4AB" w14:textId="77777777" w:rsidR="00676010" w:rsidRPr="00CF2780" w:rsidRDefault="00676010" w:rsidP="00676010">
            <w:pPr>
              <w:keepNext/>
              <w:autoSpaceDE w:val="0"/>
              <w:autoSpaceDN w:val="0"/>
              <w:adjustRightInd w:val="0"/>
              <w:spacing w:after="0" w:line="240" w:lineRule="auto"/>
              <w:jc w:val="center"/>
              <w:outlineLvl w:val="2"/>
              <w:rPr>
                <w:rFonts w:ascii="Arial" w:eastAsia="Times New Roman" w:hAnsi="Arial" w:cs="Arial"/>
                <w:b/>
                <w:bCs/>
                <w:sz w:val="28"/>
                <w:szCs w:val="20"/>
                <w:lang w:val="es-ES" w:eastAsia="es-ES"/>
              </w:rPr>
            </w:pPr>
          </w:p>
          <w:p w14:paraId="3F5F0A7B" w14:textId="77777777" w:rsidR="00676010" w:rsidRPr="00CF2780" w:rsidRDefault="00676010" w:rsidP="00676010">
            <w:pPr>
              <w:spacing w:after="0" w:line="240" w:lineRule="auto"/>
              <w:rPr>
                <w:rFonts w:ascii="Arial" w:eastAsia="Times New Roman" w:hAnsi="Arial" w:cs="Arial"/>
                <w:sz w:val="24"/>
                <w:szCs w:val="24"/>
                <w:lang w:val="es-ES" w:eastAsia="es-ES"/>
              </w:rPr>
            </w:pPr>
          </w:p>
          <w:p w14:paraId="3C21D9AA" w14:textId="77777777" w:rsidR="00676010" w:rsidRPr="00CF2780" w:rsidRDefault="00676010" w:rsidP="00676010">
            <w:pPr>
              <w:keepNext/>
              <w:autoSpaceDE w:val="0"/>
              <w:autoSpaceDN w:val="0"/>
              <w:adjustRightInd w:val="0"/>
              <w:spacing w:after="0" w:line="240" w:lineRule="auto"/>
              <w:jc w:val="center"/>
              <w:outlineLvl w:val="2"/>
              <w:rPr>
                <w:rFonts w:ascii="Arial" w:eastAsia="Times New Roman" w:hAnsi="Arial" w:cs="Arial"/>
                <w:b/>
                <w:bCs/>
                <w:sz w:val="28"/>
                <w:szCs w:val="20"/>
                <w:lang w:val="es-ES" w:eastAsia="es-ES"/>
              </w:rPr>
            </w:pPr>
            <w:r w:rsidRPr="00CF2780">
              <w:rPr>
                <w:rFonts w:ascii="Arial" w:eastAsia="Times New Roman" w:hAnsi="Arial" w:cs="Arial"/>
                <w:b/>
                <w:bCs/>
                <w:sz w:val="28"/>
                <w:szCs w:val="20"/>
                <w:lang w:val="es-ES" w:eastAsia="es-ES"/>
              </w:rPr>
              <w:t>MAURO MIGUEL REYES ZAPATA</w:t>
            </w:r>
          </w:p>
        </w:tc>
      </w:tr>
    </w:tbl>
    <w:p w14:paraId="42B18CB0" w14:textId="77777777" w:rsidR="00676010" w:rsidRPr="00CF2780" w:rsidRDefault="00676010" w:rsidP="00676010">
      <w:pPr>
        <w:tabs>
          <w:tab w:val="left" w:pos="-720"/>
        </w:tabs>
        <w:suppressAutoHyphens/>
        <w:spacing w:after="0" w:line="240" w:lineRule="auto"/>
        <w:ind w:right="-23"/>
        <w:jc w:val="both"/>
        <w:rPr>
          <w:rFonts w:ascii="Arial" w:eastAsia="Times New Roman" w:hAnsi="Arial" w:cs="Arial"/>
          <w:spacing w:val="-3"/>
          <w:sz w:val="28"/>
          <w:szCs w:val="24"/>
          <w:lang w:eastAsia="es-ES"/>
        </w:rPr>
      </w:pPr>
    </w:p>
    <w:p w14:paraId="306F0299" w14:textId="77777777" w:rsidR="00676010" w:rsidRPr="00CF2780" w:rsidRDefault="00676010" w:rsidP="00676010">
      <w:pPr>
        <w:tabs>
          <w:tab w:val="left" w:pos="-720"/>
        </w:tabs>
        <w:suppressAutoHyphens/>
        <w:spacing w:after="0" w:line="240" w:lineRule="auto"/>
        <w:ind w:right="-23"/>
        <w:jc w:val="both"/>
        <w:rPr>
          <w:rFonts w:ascii="Arial" w:eastAsia="Times New Roman" w:hAnsi="Arial" w:cs="Arial"/>
          <w:spacing w:val="-3"/>
          <w:sz w:val="28"/>
          <w:szCs w:val="24"/>
          <w:lang w:eastAsia="es-ES"/>
        </w:rPr>
      </w:pPr>
    </w:p>
    <w:p w14:paraId="2DC36613" w14:textId="77777777" w:rsidR="00676010" w:rsidRPr="00CF2780" w:rsidRDefault="00676010" w:rsidP="00676010">
      <w:pPr>
        <w:tabs>
          <w:tab w:val="left" w:pos="-720"/>
        </w:tabs>
        <w:suppressAutoHyphens/>
        <w:spacing w:after="0" w:line="240" w:lineRule="auto"/>
        <w:ind w:right="-23"/>
        <w:jc w:val="both"/>
        <w:rPr>
          <w:rFonts w:ascii="Arial" w:eastAsia="Times New Roman" w:hAnsi="Arial" w:cs="Arial"/>
          <w:spacing w:val="-3"/>
          <w:sz w:val="28"/>
          <w:szCs w:val="24"/>
          <w:lang w:eastAsia="es-ES"/>
        </w:rPr>
      </w:pPr>
    </w:p>
    <w:tbl>
      <w:tblPr>
        <w:tblW w:w="0" w:type="auto"/>
        <w:tblCellMar>
          <w:left w:w="70" w:type="dxa"/>
          <w:right w:w="70" w:type="dxa"/>
        </w:tblCellMar>
        <w:tblLook w:val="0000" w:firstRow="0" w:lastRow="0" w:firstColumn="0" w:lastColumn="0" w:noHBand="0" w:noVBand="0"/>
      </w:tblPr>
      <w:tblGrid>
        <w:gridCol w:w="8129"/>
      </w:tblGrid>
      <w:tr w:rsidR="00676010" w:rsidRPr="00CF2780" w14:paraId="0050C8B4" w14:textId="77777777" w:rsidTr="00B05F31">
        <w:tc>
          <w:tcPr>
            <w:tcW w:w="8129" w:type="dxa"/>
          </w:tcPr>
          <w:p w14:paraId="3C2FAD1C" w14:textId="77777777" w:rsidR="00676010" w:rsidRPr="00CF2780" w:rsidRDefault="00676010" w:rsidP="00676010">
            <w:pPr>
              <w:keepNext/>
              <w:tabs>
                <w:tab w:val="left" w:pos="-720"/>
              </w:tabs>
              <w:suppressAutoHyphens/>
              <w:spacing w:after="0" w:line="240" w:lineRule="auto"/>
              <w:ind w:right="-23"/>
              <w:jc w:val="center"/>
              <w:outlineLvl w:val="6"/>
              <w:rPr>
                <w:rFonts w:ascii="Arial" w:eastAsia="Times New Roman" w:hAnsi="Arial" w:cs="Arial"/>
                <w:b/>
                <w:bCs/>
                <w:sz w:val="28"/>
                <w:szCs w:val="24"/>
                <w:lang w:val="es-ES" w:eastAsia="es-ES"/>
              </w:rPr>
            </w:pPr>
            <w:r w:rsidRPr="00CF2780">
              <w:rPr>
                <w:rFonts w:ascii="Arial" w:eastAsia="Times New Roman" w:hAnsi="Arial" w:cs="Arial"/>
                <w:b/>
                <w:bCs/>
                <w:sz w:val="28"/>
                <w:szCs w:val="24"/>
                <w:lang w:val="es-ES" w:eastAsia="es-ES"/>
              </w:rPr>
              <w:t>SECRETARIO GENERAL DE ACUERDOS</w:t>
            </w:r>
          </w:p>
          <w:p w14:paraId="0C10EC95" w14:textId="77777777" w:rsidR="00676010" w:rsidRPr="00CF2780" w:rsidRDefault="00676010" w:rsidP="00676010">
            <w:pPr>
              <w:spacing w:after="0" w:line="240" w:lineRule="auto"/>
              <w:rPr>
                <w:rFonts w:ascii="Arial" w:eastAsia="Times New Roman" w:hAnsi="Arial" w:cs="Arial"/>
                <w:sz w:val="24"/>
                <w:szCs w:val="24"/>
                <w:lang w:eastAsia="es-ES"/>
              </w:rPr>
            </w:pPr>
          </w:p>
        </w:tc>
      </w:tr>
      <w:tr w:rsidR="00676010" w:rsidRPr="00CF2780" w14:paraId="6EB87980" w14:textId="77777777" w:rsidTr="00B05F31">
        <w:tc>
          <w:tcPr>
            <w:tcW w:w="8129" w:type="dxa"/>
          </w:tcPr>
          <w:p w14:paraId="36305A30" w14:textId="77777777" w:rsidR="00676010" w:rsidRPr="00CF2780" w:rsidRDefault="00676010" w:rsidP="00676010">
            <w:pPr>
              <w:keepNext/>
              <w:tabs>
                <w:tab w:val="left" w:pos="-720"/>
              </w:tabs>
              <w:suppressAutoHyphens/>
              <w:spacing w:after="0" w:line="240" w:lineRule="auto"/>
              <w:ind w:right="-23"/>
              <w:jc w:val="center"/>
              <w:outlineLvl w:val="6"/>
              <w:rPr>
                <w:rFonts w:ascii="Arial" w:eastAsia="Times New Roman" w:hAnsi="Arial" w:cs="Arial"/>
                <w:b/>
                <w:bCs/>
                <w:sz w:val="28"/>
                <w:szCs w:val="24"/>
                <w:lang w:val="es-ES" w:eastAsia="es-ES"/>
              </w:rPr>
            </w:pPr>
          </w:p>
          <w:p w14:paraId="7800B123" w14:textId="77777777" w:rsidR="00676010" w:rsidRPr="00CF2780" w:rsidRDefault="00676010" w:rsidP="00676010">
            <w:pPr>
              <w:spacing w:after="0" w:line="240" w:lineRule="auto"/>
              <w:rPr>
                <w:rFonts w:ascii="Arial" w:eastAsia="Times New Roman" w:hAnsi="Arial" w:cs="Arial"/>
                <w:sz w:val="24"/>
                <w:szCs w:val="24"/>
                <w:lang w:val="es-ES" w:eastAsia="es-ES"/>
              </w:rPr>
            </w:pPr>
          </w:p>
          <w:p w14:paraId="4D9881CD" w14:textId="77777777" w:rsidR="00676010" w:rsidRPr="00CF2780" w:rsidRDefault="00676010" w:rsidP="00676010">
            <w:pPr>
              <w:keepNext/>
              <w:tabs>
                <w:tab w:val="left" w:pos="-720"/>
              </w:tabs>
              <w:suppressAutoHyphens/>
              <w:spacing w:after="0" w:line="240" w:lineRule="auto"/>
              <w:ind w:right="-23"/>
              <w:jc w:val="center"/>
              <w:outlineLvl w:val="6"/>
              <w:rPr>
                <w:rFonts w:ascii="Arial" w:eastAsia="Times New Roman" w:hAnsi="Arial" w:cs="Arial"/>
                <w:b/>
                <w:bCs/>
                <w:spacing w:val="-3"/>
                <w:sz w:val="28"/>
                <w:szCs w:val="24"/>
                <w:lang w:val="es-ES" w:eastAsia="es-ES"/>
              </w:rPr>
            </w:pPr>
            <w:r w:rsidRPr="00CF2780">
              <w:rPr>
                <w:rFonts w:ascii="Arial" w:eastAsia="Times New Roman" w:hAnsi="Arial" w:cs="Arial"/>
                <w:b/>
                <w:bCs/>
                <w:sz w:val="28"/>
                <w:szCs w:val="24"/>
                <w:lang w:val="es-ES" w:eastAsia="es-ES"/>
              </w:rPr>
              <w:t>FLAVIO GALVÁN RIVERA</w:t>
            </w:r>
          </w:p>
        </w:tc>
      </w:tr>
    </w:tbl>
    <w:p w14:paraId="361A1026" w14:textId="77777777" w:rsidR="00676010" w:rsidRPr="00CF2780" w:rsidRDefault="00676010" w:rsidP="00676010">
      <w:pPr>
        <w:spacing w:after="0" w:line="360" w:lineRule="auto"/>
        <w:jc w:val="both"/>
        <w:rPr>
          <w:rFonts w:ascii="Arial" w:eastAsia="Times New Roman" w:hAnsi="Arial" w:cs="Arial"/>
          <w:sz w:val="28"/>
          <w:szCs w:val="24"/>
          <w:lang w:eastAsia="es-ES"/>
        </w:rPr>
      </w:pPr>
    </w:p>
    <w:p w14:paraId="70B403FF" w14:textId="5B1EAACD" w:rsidR="00AD58E8" w:rsidRPr="00CF2780" w:rsidRDefault="00AD58E8" w:rsidP="00AD58E8">
      <w:pPr>
        <w:rPr>
          <w:rFonts w:ascii="Arial" w:hAnsi="Arial" w:cs="Arial"/>
          <w:lang w:eastAsia="es-MX"/>
        </w:rPr>
      </w:pPr>
    </w:p>
    <w:p w14:paraId="428B6253" w14:textId="7847DA8C" w:rsidR="00676010" w:rsidRPr="00CF2780" w:rsidRDefault="00676010" w:rsidP="00AD58E8">
      <w:pPr>
        <w:rPr>
          <w:rFonts w:ascii="Arial" w:hAnsi="Arial" w:cs="Arial"/>
          <w:lang w:eastAsia="es-MX"/>
        </w:rPr>
      </w:pPr>
    </w:p>
    <w:p w14:paraId="7798293D" w14:textId="2372F715" w:rsidR="00676010" w:rsidRPr="00CF2780" w:rsidRDefault="00676010" w:rsidP="00AD58E8">
      <w:pPr>
        <w:rPr>
          <w:rFonts w:ascii="Arial" w:hAnsi="Arial" w:cs="Arial"/>
          <w:lang w:eastAsia="es-MX"/>
        </w:rPr>
      </w:pPr>
    </w:p>
    <w:p w14:paraId="0C7DA617" w14:textId="77777777" w:rsidR="00676010" w:rsidRPr="00CF2780" w:rsidRDefault="00676010" w:rsidP="00AD58E8">
      <w:pPr>
        <w:rPr>
          <w:rFonts w:ascii="Arial" w:hAnsi="Arial" w:cs="Arial"/>
          <w:lang w:eastAsia="es-MX"/>
        </w:rPr>
      </w:pPr>
    </w:p>
    <w:p w14:paraId="656BB2DF" w14:textId="7A5ECDF4" w:rsidR="00AD58E8" w:rsidRPr="00CF2780" w:rsidRDefault="00AD58E8" w:rsidP="00AD58E8">
      <w:pPr>
        <w:pStyle w:val="Ttulo3"/>
        <w:numPr>
          <w:ilvl w:val="0"/>
          <w:numId w:val="1"/>
        </w:numPr>
        <w:rPr>
          <w:rFonts w:ascii="Arial" w:eastAsia="Times New Roman" w:hAnsi="Arial" w:cs="Arial"/>
          <w:b/>
          <w:bCs/>
          <w:color w:val="auto"/>
          <w:sz w:val="28"/>
          <w:szCs w:val="28"/>
          <w:lang w:eastAsia="es-MX"/>
        </w:rPr>
      </w:pPr>
      <w:r w:rsidRPr="00CF2780">
        <w:rPr>
          <w:rFonts w:ascii="Arial" w:eastAsia="Times New Roman" w:hAnsi="Arial" w:cs="Arial"/>
          <w:b/>
          <w:bCs/>
          <w:color w:val="auto"/>
          <w:sz w:val="28"/>
          <w:szCs w:val="28"/>
          <w:lang w:eastAsia="es-MX"/>
        </w:rPr>
        <w:lastRenderedPageBreak/>
        <w:t xml:space="preserve">SENTENCIA </w:t>
      </w:r>
      <w:hyperlink r:id="rId12" w:tgtFrame="_blank" w:history="1">
        <w:r w:rsidR="00A50356" w:rsidRPr="00CF2780">
          <w:rPr>
            <w:rFonts w:ascii="Arial" w:eastAsia="Times New Roman" w:hAnsi="Arial" w:cs="Arial"/>
            <w:b/>
            <w:bCs/>
            <w:color w:val="C00000"/>
            <w:sz w:val="28"/>
            <w:szCs w:val="28"/>
            <w:lang w:eastAsia="es-MX"/>
          </w:rPr>
          <w:t>SUP-JDC-9167/2011</w:t>
        </w:r>
      </w:hyperlink>
    </w:p>
    <w:p w14:paraId="4296C96C" w14:textId="2210104A" w:rsidR="00AD59FF" w:rsidRPr="00CF2780" w:rsidRDefault="00AD59FF" w:rsidP="00AD58E8">
      <w:pPr>
        <w:rPr>
          <w:rFonts w:ascii="Arial" w:hAnsi="Arial" w:cs="Arial"/>
          <w:lang w:eastAsia="es-MX"/>
        </w:rPr>
      </w:pPr>
    </w:p>
    <w:p w14:paraId="5D4DAA18" w14:textId="77777777" w:rsidR="004D5F2B" w:rsidRPr="00CF2780" w:rsidRDefault="004D5F2B" w:rsidP="00AD58E8">
      <w:pPr>
        <w:rPr>
          <w:rFonts w:ascii="Arial" w:hAnsi="Arial" w:cs="Arial"/>
          <w:lang w:eastAsia="es-MX"/>
        </w:rPr>
      </w:pPr>
    </w:p>
    <w:tbl>
      <w:tblPr>
        <w:tblW w:w="4809" w:type="dxa"/>
        <w:jc w:val="right"/>
        <w:tblCellSpacing w:w="0" w:type="dxa"/>
        <w:tblCellMar>
          <w:top w:w="60" w:type="dxa"/>
          <w:left w:w="60" w:type="dxa"/>
          <w:bottom w:w="60" w:type="dxa"/>
          <w:right w:w="60" w:type="dxa"/>
        </w:tblCellMar>
        <w:tblLook w:val="0000" w:firstRow="0" w:lastRow="0" w:firstColumn="0" w:lastColumn="0" w:noHBand="0" w:noVBand="0"/>
      </w:tblPr>
      <w:tblGrid>
        <w:gridCol w:w="4809"/>
      </w:tblGrid>
      <w:tr w:rsidR="00AD59FF" w:rsidRPr="00CF2780" w14:paraId="01897F7C" w14:textId="77777777" w:rsidTr="00B05F31">
        <w:trPr>
          <w:trHeight w:val="3855"/>
          <w:tblCellSpacing w:w="0" w:type="dxa"/>
          <w:jc w:val="right"/>
        </w:trPr>
        <w:tc>
          <w:tcPr>
            <w:tcW w:w="4809" w:type="dxa"/>
            <w:shd w:val="clear" w:color="auto" w:fill="auto"/>
          </w:tcPr>
          <w:p w14:paraId="1454A376" w14:textId="77777777" w:rsidR="00AD59FF" w:rsidRPr="00CF2780" w:rsidRDefault="00AD59FF" w:rsidP="00AD59FF">
            <w:pPr>
              <w:spacing w:after="0" w:line="240" w:lineRule="auto"/>
              <w:jc w:val="both"/>
              <w:rPr>
                <w:rFonts w:ascii="Arial" w:eastAsia="Times New Roman" w:hAnsi="Arial" w:cs="Arial"/>
                <w:b/>
                <w:bCs/>
                <w:sz w:val="28"/>
                <w:szCs w:val="28"/>
                <w:lang w:val="es-ES" w:eastAsia="es-ES"/>
              </w:rPr>
            </w:pPr>
            <w:r w:rsidRPr="00CF2780">
              <w:rPr>
                <w:rFonts w:ascii="Arial" w:eastAsia="Times New Roman" w:hAnsi="Arial" w:cs="Arial"/>
                <w:b/>
                <w:bCs/>
                <w:sz w:val="28"/>
                <w:szCs w:val="28"/>
                <w:lang w:val="es-ES" w:eastAsia="es-ES"/>
              </w:rPr>
              <w:t xml:space="preserve">JUICIO PARA </w:t>
            </w:r>
            <w:smartTag w:uri="urn:schemas-microsoft-com:office:smarttags" w:element="PersonName">
              <w:smartTagPr>
                <w:attr w:name="ProductID" w:val="LA PROTECCIￓN DE"/>
              </w:smartTagPr>
              <w:smartTag w:uri="urn:schemas-microsoft-com:office:smarttags" w:element="PersonName">
                <w:smartTagPr>
                  <w:attr w:name="ProductID" w:val="LA PROTECCIￓN"/>
                </w:smartTagPr>
                <w:r w:rsidRPr="00CF2780">
                  <w:rPr>
                    <w:rFonts w:ascii="Arial" w:eastAsia="Times New Roman" w:hAnsi="Arial" w:cs="Arial"/>
                    <w:b/>
                    <w:bCs/>
                    <w:sz w:val="28"/>
                    <w:szCs w:val="28"/>
                    <w:lang w:val="es-ES" w:eastAsia="es-ES"/>
                  </w:rPr>
                  <w:t>LA PROTECCIÓN</w:t>
                </w:r>
              </w:smartTag>
              <w:r w:rsidRPr="00CF2780">
                <w:rPr>
                  <w:rFonts w:ascii="Arial" w:eastAsia="Times New Roman" w:hAnsi="Arial" w:cs="Arial"/>
                  <w:b/>
                  <w:bCs/>
                  <w:sz w:val="28"/>
                  <w:szCs w:val="28"/>
                  <w:lang w:val="es-ES" w:eastAsia="es-ES"/>
                </w:rPr>
                <w:t xml:space="preserve"> DE</w:t>
              </w:r>
            </w:smartTag>
            <w:r w:rsidRPr="00CF2780">
              <w:rPr>
                <w:rFonts w:ascii="Arial" w:eastAsia="Times New Roman" w:hAnsi="Arial" w:cs="Arial"/>
                <w:b/>
                <w:bCs/>
                <w:sz w:val="28"/>
                <w:szCs w:val="28"/>
                <w:lang w:val="es-ES" w:eastAsia="es-ES"/>
              </w:rPr>
              <w:t xml:space="preserve"> LOS DERECHOS POLÍTICO-ELECTORALES DEL CIUDADANO.</w:t>
            </w:r>
          </w:p>
          <w:p w14:paraId="0E0F9453" w14:textId="77777777" w:rsidR="00AD59FF" w:rsidRPr="00CF2780" w:rsidRDefault="00AD59FF" w:rsidP="00AD59FF">
            <w:pPr>
              <w:spacing w:after="0" w:line="240" w:lineRule="auto"/>
              <w:jc w:val="both"/>
              <w:rPr>
                <w:rFonts w:ascii="Arial" w:eastAsia="Times New Roman" w:hAnsi="Arial" w:cs="Arial"/>
                <w:b/>
                <w:bCs/>
                <w:sz w:val="28"/>
                <w:szCs w:val="28"/>
                <w:lang w:val="es-ES" w:eastAsia="es-ES"/>
              </w:rPr>
            </w:pPr>
          </w:p>
          <w:p w14:paraId="06B9FF4F" w14:textId="77777777" w:rsidR="00AD59FF" w:rsidRPr="00CF2780" w:rsidRDefault="00AD59FF" w:rsidP="00AD59FF">
            <w:pPr>
              <w:spacing w:after="0" w:line="240" w:lineRule="auto"/>
              <w:jc w:val="both"/>
              <w:rPr>
                <w:rFonts w:ascii="Arial" w:eastAsia="Times New Roman" w:hAnsi="Arial" w:cs="Arial"/>
                <w:bCs/>
                <w:sz w:val="28"/>
                <w:szCs w:val="28"/>
                <w:lang w:val="es-ES" w:eastAsia="es-ES"/>
              </w:rPr>
            </w:pPr>
            <w:r w:rsidRPr="00CF2780">
              <w:rPr>
                <w:rFonts w:ascii="Arial" w:eastAsia="Times New Roman" w:hAnsi="Arial" w:cs="Arial"/>
                <w:b/>
                <w:bCs/>
                <w:sz w:val="28"/>
                <w:szCs w:val="28"/>
                <w:lang w:val="es-ES" w:eastAsia="es-ES"/>
              </w:rPr>
              <w:t xml:space="preserve">EXPEDIENTE: </w:t>
            </w:r>
            <w:r w:rsidRPr="00CF2780">
              <w:rPr>
                <w:rFonts w:ascii="Arial" w:eastAsia="Times New Roman" w:hAnsi="Arial" w:cs="Arial"/>
                <w:bCs/>
                <w:sz w:val="28"/>
                <w:szCs w:val="28"/>
                <w:lang w:val="es-ES" w:eastAsia="es-ES"/>
              </w:rPr>
              <w:t>SUP-JDC-9167/2011</w:t>
            </w:r>
          </w:p>
          <w:p w14:paraId="2884344B" w14:textId="77777777" w:rsidR="00AD59FF" w:rsidRPr="00CF2780" w:rsidRDefault="00AD59FF" w:rsidP="00AD59FF">
            <w:pPr>
              <w:spacing w:after="0" w:line="240" w:lineRule="auto"/>
              <w:jc w:val="both"/>
              <w:rPr>
                <w:rFonts w:ascii="Arial" w:eastAsia="Times New Roman" w:hAnsi="Arial" w:cs="Arial"/>
                <w:bCs/>
                <w:sz w:val="28"/>
                <w:szCs w:val="28"/>
                <w:lang w:val="es-ES" w:eastAsia="es-ES"/>
              </w:rPr>
            </w:pPr>
          </w:p>
          <w:p w14:paraId="72D6FCBB" w14:textId="77777777" w:rsidR="00AD59FF" w:rsidRPr="00CF2780" w:rsidRDefault="00AD59FF" w:rsidP="00AD59FF">
            <w:pPr>
              <w:spacing w:after="0" w:line="240" w:lineRule="auto"/>
              <w:jc w:val="both"/>
              <w:rPr>
                <w:rFonts w:ascii="Arial" w:eastAsia="Times New Roman" w:hAnsi="Arial" w:cs="Arial"/>
                <w:bCs/>
                <w:sz w:val="28"/>
                <w:szCs w:val="28"/>
                <w:lang w:val="es-ES" w:eastAsia="es-ES"/>
              </w:rPr>
            </w:pPr>
            <w:r w:rsidRPr="00CF2780">
              <w:rPr>
                <w:rFonts w:ascii="Arial" w:eastAsia="Times New Roman" w:hAnsi="Arial" w:cs="Arial"/>
                <w:b/>
                <w:bCs/>
                <w:sz w:val="28"/>
                <w:szCs w:val="28"/>
                <w:lang w:val="es-ES" w:eastAsia="es-ES"/>
              </w:rPr>
              <w:t xml:space="preserve">ACTORES: </w:t>
            </w:r>
            <w:r w:rsidRPr="00CF2780">
              <w:rPr>
                <w:rFonts w:ascii="Arial" w:eastAsia="Times New Roman" w:hAnsi="Arial" w:cs="Arial"/>
                <w:bCs/>
                <w:sz w:val="28"/>
                <w:szCs w:val="28"/>
                <w:lang w:val="es-ES" w:eastAsia="es-ES"/>
              </w:rPr>
              <w:t>ROSALVA DURÁN CAMPOS Y OTROS.</w:t>
            </w:r>
          </w:p>
          <w:p w14:paraId="3CAA89D2" w14:textId="77777777" w:rsidR="00AD59FF" w:rsidRPr="00CF2780" w:rsidRDefault="00AD59FF" w:rsidP="00AD59FF">
            <w:pPr>
              <w:spacing w:after="0" w:line="240" w:lineRule="auto"/>
              <w:jc w:val="both"/>
              <w:rPr>
                <w:rFonts w:ascii="Arial" w:eastAsia="Times New Roman" w:hAnsi="Arial" w:cs="Arial"/>
                <w:b/>
                <w:bCs/>
                <w:sz w:val="28"/>
                <w:szCs w:val="28"/>
                <w:lang w:val="es-ES" w:eastAsia="es-ES"/>
              </w:rPr>
            </w:pPr>
          </w:p>
          <w:p w14:paraId="757608BD" w14:textId="77777777" w:rsidR="00AD59FF" w:rsidRPr="00CF2780" w:rsidRDefault="00AD59FF" w:rsidP="00AD59FF">
            <w:pPr>
              <w:spacing w:after="0" w:line="240" w:lineRule="auto"/>
              <w:jc w:val="both"/>
              <w:rPr>
                <w:rFonts w:ascii="Arial" w:eastAsia="Times New Roman" w:hAnsi="Arial" w:cs="Arial"/>
                <w:bCs/>
                <w:sz w:val="28"/>
                <w:szCs w:val="28"/>
                <w:lang w:val="es-ES" w:eastAsia="es-ES"/>
              </w:rPr>
            </w:pPr>
            <w:r w:rsidRPr="00CF2780">
              <w:rPr>
                <w:rFonts w:ascii="Arial" w:eastAsia="Times New Roman" w:hAnsi="Arial" w:cs="Arial"/>
                <w:b/>
                <w:bCs/>
                <w:sz w:val="28"/>
                <w:szCs w:val="28"/>
                <w:lang w:val="es-ES" w:eastAsia="es-ES"/>
              </w:rPr>
              <w:t>AUTORIDAD RESPONSABLE:</w:t>
            </w:r>
            <w:r w:rsidRPr="00CF2780">
              <w:rPr>
                <w:rFonts w:ascii="Arial" w:eastAsia="Times New Roman" w:hAnsi="Arial" w:cs="Arial"/>
                <w:bCs/>
                <w:sz w:val="28"/>
                <w:szCs w:val="28"/>
                <w:lang w:val="es-ES" w:eastAsia="es-ES"/>
              </w:rPr>
              <w:t xml:space="preserve"> CONSEJO GENERAL DEL INSTITUTO ELECTORAL DE MICHOACÁN</w:t>
            </w:r>
          </w:p>
          <w:p w14:paraId="4C3A377E" w14:textId="77777777" w:rsidR="00AD59FF" w:rsidRPr="00CF2780" w:rsidRDefault="00AD59FF" w:rsidP="00AD59FF">
            <w:pPr>
              <w:spacing w:after="0" w:line="240" w:lineRule="auto"/>
              <w:jc w:val="both"/>
              <w:rPr>
                <w:rFonts w:ascii="Arial" w:eastAsia="Times New Roman" w:hAnsi="Arial" w:cs="Arial"/>
                <w:bCs/>
                <w:sz w:val="28"/>
                <w:szCs w:val="28"/>
                <w:lang w:val="es-ES" w:eastAsia="es-ES"/>
              </w:rPr>
            </w:pPr>
          </w:p>
          <w:p w14:paraId="706FA7ED" w14:textId="77777777" w:rsidR="00AD59FF" w:rsidRPr="00CF2780" w:rsidRDefault="00AD59FF" w:rsidP="00AD59FF">
            <w:pPr>
              <w:spacing w:after="0" w:line="240" w:lineRule="auto"/>
              <w:jc w:val="both"/>
              <w:rPr>
                <w:rFonts w:ascii="Arial" w:eastAsia="Times New Roman" w:hAnsi="Arial" w:cs="Arial"/>
                <w:bCs/>
                <w:sz w:val="28"/>
                <w:szCs w:val="28"/>
                <w:lang w:val="es-ES" w:eastAsia="es-ES"/>
              </w:rPr>
            </w:pPr>
            <w:r w:rsidRPr="00CF2780">
              <w:rPr>
                <w:rFonts w:ascii="Arial" w:eastAsia="Times New Roman" w:hAnsi="Arial" w:cs="Arial"/>
                <w:b/>
                <w:bCs/>
                <w:sz w:val="28"/>
                <w:szCs w:val="28"/>
                <w:lang w:val="es-ES" w:eastAsia="es-ES"/>
              </w:rPr>
              <w:t xml:space="preserve">MAGISTRADO PONENTE: </w:t>
            </w:r>
            <w:r w:rsidRPr="00CF2780">
              <w:rPr>
                <w:rFonts w:ascii="Arial" w:eastAsia="Times New Roman" w:hAnsi="Arial" w:cs="Arial"/>
                <w:bCs/>
                <w:sz w:val="28"/>
                <w:szCs w:val="28"/>
                <w:lang w:val="es-ES" w:eastAsia="es-ES"/>
              </w:rPr>
              <w:t>JOSÉ ALEJANDRO LUNA RAMOS</w:t>
            </w:r>
          </w:p>
          <w:p w14:paraId="068A100F" w14:textId="77777777" w:rsidR="00AD59FF" w:rsidRPr="00CF2780" w:rsidRDefault="00AD59FF" w:rsidP="00AD59FF">
            <w:pPr>
              <w:spacing w:after="0" w:line="240" w:lineRule="auto"/>
              <w:jc w:val="both"/>
              <w:rPr>
                <w:rFonts w:ascii="Arial" w:eastAsia="Times New Roman" w:hAnsi="Arial" w:cs="Arial"/>
                <w:bCs/>
                <w:sz w:val="28"/>
                <w:szCs w:val="28"/>
                <w:lang w:val="es-ES" w:eastAsia="es-ES"/>
              </w:rPr>
            </w:pPr>
          </w:p>
          <w:p w14:paraId="7996C4B8" w14:textId="77777777" w:rsidR="00AD59FF" w:rsidRPr="00CF2780" w:rsidRDefault="00AD59FF" w:rsidP="00AD59FF">
            <w:pPr>
              <w:spacing w:after="0" w:line="240" w:lineRule="auto"/>
              <w:jc w:val="both"/>
              <w:rPr>
                <w:rFonts w:ascii="Arial" w:eastAsia="Times New Roman" w:hAnsi="Arial" w:cs="Arial"/>
                <w:bCs/>
                <w:sz w:val="28"/>
                <w:szCs w:val="28"/>
                <w:lang w:val="es-ES" w:eastAsia="es-ES"/>
              </w:rPr>
            </w:pPr>
            <w:r w:rsidRPr="00CF2780">
              <w:rPr>
                <w:rFonts w:ascii="Arial" w:eastAsia="Times New Roman" w:hAnsi="Arial" w:cs="Arial"/>
                <w:b/>
                <w:bCs/>
                <w:sz w:val="28"/>
                <w:szCs w:val="28"/>
                <w:lang w:val="es-ES" w:eastAsia="es-ES"/>
              </w:rPr>
              <w:t xml:space="preserve">SECRETARIO: </w:t>
            </w:r>
            <w:r w:rsidRPr="00CF2780">
              <w:rPr>
                <w:rFonts w:ascii="Arial" w:eastAsia="Times New Roman" w:hAnsi="Arial" w:cs="Arial"/>
                <w:bCs/>
                <w:sz w:val="28"/>
                <w:szCs w:val="28"/>
                <w:lang w:val="es-ES" w:eastAsia="es-ES"/>
              </w:rPr>
              <w:t>FERNANDO RAMÍREZ BARRIOS</w:t>
            </w:r>
          </w:p>
          <w:p w14:paraId="2805CCAB" w14:textId="77777777" w:rsidR="00AD59FF" w:rsidRPr="00CF2780" w:rsidRDefault="00AD59FF" w:rsidP="00AD59FF">
            <w:pPr>
              <w:spacing w:after="0" w:line="360" w:lineRule="auto"/>
              <w:jc w:val="both"/>
              <w:rPr>
                <w:rFonts w:ascii="Arial" w:eastAsia="Times New Roman" w:hAnsi="Arial" w:cs="Arial"/>
                <w:b/>
                <w:bCs/>
                <w:sz w:val="28"/>
                <w:szCs w:val="28"/>
                <w:lang w:val="es-ES" w:eastAsia="es-ES"/>
              </w:rPr>
            </w:pPr>
          </w:p>
        </w:tc>
      </w:tr>
    </w:tbl>
    <w:p w14:paraId="12EC76D7"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México, Distrito Federal, a dos de noviembre de dos mil once.</w:t>
      </w:r>
    </w:p>
    <w:p w14:paraId="1497D1D4" w14:textId="77777777" w:rsidR="00AD59FF" w:rsidRPr="00CF2780" w:rsidRDefault="00AD59FF" w:rsidP="00AD59FF">
      <w:pPr>
        <w:spacing w:after="0" w:line="360" w:lineRule="auto"/>
        <w:jc w:val="both"/>
        <w:rPr>
          <w:rFonts w:ascii="Arial" w:eastAsia="Times New Roman" w:hAnsi="Arial" w:cs="Arial"/>
          <w:sz w:val="28"/>
          <w:szCs w:val="28"/>
          <w:lang w:val="es-ES" w:eastAsia="es-ES"/>
        </w:rPr>
      </w:pPr>
    </w:p>
    <w:p w14:paraId="1F596814" w14:textId="77777777" w:rsidR="00AD59FF" w:rsidRPr="00CF2780" w:rsidRDefault="00AD59FF" w:rsidP="00AD59FF">
      <w:pPr>
        <w:spacing w:after="0" w:line="360" w:lineRule="auto"/>
        <w:ind w:firstLine="720"/>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VISTOS</w:t>
      </w:r>
      <w:r w:rsidRPr="00CF2780">
        <w:rPr>
          <w:rFonts w:ascii="Arial" w:eastAsia="Times New Roman" w:hAnsi="Arial" w:cs="Arial"/>
          <w:sz w:val="28"/>
          <w:szCs w:val="28"/>
          <w:lang w:val="es-ES" w:eastAsia="es-ES"/>
        </w:rPr>
        <w:t xml:space="preserve">, para resolver, los autos del expediente en el rubro indicado, integrado con motivo del juicio para la protección de los derechos político-electorales del ciudadano promovido por varios ciudadanos integrantes de la comunidad indígena de Cherán, cabecera del municipio del mismo nombre, en el Estado de Michoacán, contra el </w:t>
      </w:r>
      <w:r w:rsidRPr="00CF2780">
        <w:rPr>
          <w:rFonts w:ascii="Arial" w:eastAsia="Times New Roman" w:hAnsi="Arial" w:cs="Arial"/>
          <w:bCs/>
          <w:color w:val="000000"/>
          <w:spacing w:val="3"/>
          <w:sz w:val="28"/>
          <w:szCs w:val="28"/>
          <w:lang w:val="es-ES_tradnl" w:eastAsia="es-ES"/>
        </w:rPr>
        <w:t xml:space="preserve">Acuerdo CG-38/2011 de nueve de septiembre de dos mil once emitido por el Consejo General del Instituto Electoral de Michoacán por el que </w:t>
      </w:r>
      <w:r w:rsidRPr="00CF2780">
        <w:rPr>
          <w:rFonts w:ascii="Arial" w:eastAsia="Times New Roman" w:hAnsi="Arial" w:cs="Arial"/>
          <w:bCs/>
          <w:color w:val="000000"/>
          <w:spacing w:val="3"/>
          <w:sz w:val="28"/>
          <w:szCs w:val="28"/>
          <w:lang w:val="es-ES_tradnl" w:eastAsia="es-ES"/>
        </w:rPr>
        <w:lastRenderedPageBreak/>
        <w:t xml:space="preserve">se da </w:t>
      </w:r>
      <w:r w:rsidRPr="00CF2780">
        <w:rPr>
          <w:rFonts w:ascii="Arial" w:eastAsia="Times New Roman" w:hAnsi="Arial" w:cs="Arial"/>
          <w:bCs/>
          <w:color w:val="000000"/>
          <w:spacing w:val="2"/>
          <w:sz w:val="28"/>
          <w:szCs w:val="28"/>
          <w:lang w:val="es-ES_tradnl" w:eastAsia="es-ES"/>
        </w:rPr>
        <w:t xml:space="preserve">respuesta a la petición de la Comunidad Indígena de Cherán para celebrar elecciones </w:t>
      </w:r>
      <w:r w:rsidRPr="00CF2780">
        <w:rPr>
          <w:rFonts w:ascii="Arial" w:eastAsia="Times New Roman" w:hAnsi="Arial" w:cs="Arial"/>
          <w:bCs/>
          <w:color w:val="000000"/>
          <w:spacing w:val="3"/>
          <w:sz w:val="28"/>
          <w:szCs w:val="28"/>
          <w:lang w:val="es-ES_tradnl" w:eastAsia="es-ES"/>
        </w:rPr>
        <w:t>bajo sus usos y costumbres</w:t>
      </w:r>
      <w:r w:rsidRPr="00CF2780">
        <w:rPr>
          <w:rFonts w:ascii="Arial" w:eastAsia="Times New Roman" w:hAnsi="Arial" w:cs="Arial"/>
          <w:sz w:val="28"/>
          <w:szCs w:val="28"/>
          <w:lang w:val="es-ES" w:eastAsia="es-ES"/>
        </w:rPr>
        <w:t xml:space="preserve">, y </w:t>
      </w:r>
    </w:p>
    <w:p w14:paraId="43FA8FFC"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7E728807" w14:textId="77777777" w:rsidR="00AD59FF" w:rsidRPr="00CF2780" w:rsidRDefault="00AD59FF" w:rsidP="00AD59FF">
      <w:pPr>
        <w:spacing w:after="0" w:line="360" w:lineRule="auto"/>
        <w:ind w:firstLine="709"/>
        <w:jc w:val="center"/>
        <w:rPr>
          <w:rFonts w:ascii="Arial" w:eastAsia="Times New Roman" w:hAnsi="Arial" w:cs="Arial"/>
          <w:b/>
          <w:bCs/>
          <w:sz w:val="28"/>
          <w:szCs w:val="28"/>
          <w:lang w:val="pt-BR" w:eastAsia="es-ES"/>
        </w:rPr>
      </w:pPr>
      <w:bookmarkStart w:id="1" w:name="resultando"/>
      <w:r w:rsidRPr="00CF2780">
        <w:rPr>
          <w:rFonts w:ascii="Arial" w:eastAsia="Times New Roman" w:hAnsi="Arial" w:cs="Arial"/>
          <w:b/>
          <w:bCs/>
          <w:sz w:val="28"/>
          <w:szCs w:val="28"/>
          <w:lang w:val="pt-BR" w:eastAsia="es-ES"/>
        </w:rPr>
        <w:t>R E S U L T A N D O</w:t>
      </w:r>
      <w:bookmarkEnd w:id="1"/>
    </w:p>
    <w:p w14:paraId="0AD97606" w14:textId="77777777" w:rsidR="00AD59FF" w:rsidRPr="00CF2780" w:rsidRDefault="00AD59FF" w:rsidP="00AD59FF">
      <w:pPr>
        <w:spacing w:after="0" w:line="360" w:lineRule="auto"/>
        <w:ind w:firstLine="709"/>
        <w:jc w:val="center"/>
        <w:rPr>
          <w:rFonts w:ascii="Arial" w:eastAsia="Times New Roman" w:hAnsi="Arial" w:cs="Arial"/>
          <w:b/>
          <w:bCs/>
          <w:sz w:val="28"/>
          <w:szCs w:val="28"/>
          <w:lang w:val="pt-BR" w:eastAsia="es-ES"/>
        </w:rPr>
      </w:pPr>
    </w:p>
    <w:p w14:paraId="539172DC" w14:textId="77777777" w:rsidR="00AD59FF" w:rsidRPr="00CF2780" w:rsidRDefault="00AD59FF" w:rsidP="00AD59FF">
      <w:pPr>
        <w:spacing w:after="0" w:line="360" w:lineRule="auto"/>
        <w:ind w:firstLine="720"/>
        <w:jc w:val="both"/>
        <w:rPr>
          <w:rFonts w:ascii="Arial" w:eastAsia="Times New Roman" w:hAnsi="Arial" w:cs="Arial"/>
          <w:sz w:val="28"/>
          <w:szCs w:val="28"/>
          <w:lang w:val="es-ES" w:eastAsia="es-ES"/>
        </w:rPr>
      </w:pPr>
      <w:r w:rsidRPr="00CF2780">
        <w:rPr>
          <w:rFonts w:ascii="Arial" w:eastAsia="Times New Roman" w:hAnsi="Arial" w:cs="Arial"/>
          <w:b/>
          <w:bCs/>
          <w:sz w:val="28"/>
          <w:szCs w:val="28"/>
          <w:lang w:val="es-ES" w:eastAsia="es-ES"/>
        </w:rPr>
        <w:t>I. Antecedentes.</w:t>
      </w:r>
      <w:r w:rsidRPr="00CF2780">
        <w:rPr>
          <w:rFonts w:ascii="Arial" w:eastAsia="Times New Roman" w:hAnsi="Arial" w:cs="Arial"/>
          <w:sz w:val="28"/>
          <w:szCs w:val="28"/>
          <w:lang w:val="es-ES" w:eastAsia="es-ES"/>
        </w:rPr>
        <w:t xml:space="preserve"> De la narración de hechos efectuada en el escrito inicial, así como de las constancias que obran en autos se tiene lo siguiente:</w:t>
      </w:r>
    </w:p>
    <w:p w14:paraId="0DF041FC" w14:textId="77777777" w:rsidR="00AD59FF" w:rsidRPr="00CF2780" w:rsidRDefault="00AD59FF" w:rsidP="00AD59FF">
      <w:pPr>
        <w:spacing w:after="0" w:line="360" w:lineRule="auto"/>
        <w:ind w:left="1669"/>
        <w:jc w:val="both"/>
        <w:rPr>
          <w:rFonts w:ascii="Arial" w:eastAsia="Times New Roman" w:hAnsi="Arial" w:cs="Arial"/>
          <w:sz w:val="28"/>
          <w:szCs w:val="28"/>
          <w:lang w:val="es-ES" w:eastAsia="es-ES"/>
        </w:rPr>
      </w:pPr>
    </w:p>
    <w:p w14:paraId="55200EC7" w14:textId="77777777" w:rsidR="00AD59FF" w:rsidRPr="00CF2780" w:rsidRDefault="00AD59FF" w:rsidP="00AD59FF">
      <w:pPr>
        <w:spacing w:after="0" w:line="360" w:lineRule="auto"/>
        <w:ind w:firstLine="720"/>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a) Solicitud</w:t>
      </w:r>
      <w:r w:rsidRPr="00CF2780">
        <w:rPr>
          <w:rFonts w:ascii="Arial" w:eastAsia="Times New Roman" w:hAnsi="Arial" w:cs="Arial"/>
          <w:sz w:val="28"/>
          <w:szCs w:val="28"/>
          <w:lang w:val="es-ES" w:eastAsia="es-ES"/>
        </w:rPr>
        <w:t>. El seis de junio de dos mil once, integrantes de la comunidad indígena de Cherán, Michoacán, presentaron escrito de petición ante el Instituto Electoral de Michoacán, para celebrar elecciones bajo sus usos y costumbres, así como hacer del conocimiento que, en asamblea general de primero de junio de dos mil once, se acordó no participar ni permitir el proceso electoral ordinario de este año, en el que habrán de elegirse Gobernador, Diputados y Ayuntamientos de esa entidad federativa.</w:t>
      </w:r>
    </w:p>
    <w:p w14:paraId="49E3C4E7" w14:textId="77777777" w:rsidR="00AD59FF" w:rsidRPr="00CF2780" w:rsidRDefault="00AD59FF" w:rsidP="00AD59FF">
      <w:pPr>
        <w:spacing w:after="0" w:line="360" w:lineRule="auto"/>
        <w:ind w:firstLine="720"/>
        <w:jc w:val="both"/>
        <w:rPr>
          <w:rFonts w:ascii="Arial" w:eastAsia="Times New Roman" w:hAnsi="Arial" w:cs="Arial"/>
          <w:sz w:val="28"/>
          <w:szCs w:val="28"/>
          <w:lang w:val="es-ES" w:eastAsia="es-ES"/>
        </w:rPr>
      </w:pPr>
    </w:p>
    <w:p w14:paraId="4205BF3D" w14:textId="77777777" w:rsidR="00AD59FF" w:rsidRPr="00CF2780" w:rsidRDefault="00AD59FF" w:rsidP="00AD59FF">
      <w:pPr>
        <w:spacing w:after="0" w:line="360" w:lineRule="auto"/>
        <w:ind w:firstLine="720"/>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b) Determinación del instituto electoral local.</w:t>
      </w:r>
      <w:r w:rsidRPr="00CF2780">
        <w:rPr>
          <w:rFonts w:ascii="Arial" w:eastAsia="Times New Roman" w:hAnsi="Arial" w:cs="Arial"/>
          <w:sz w:val="28"/>
          <w:szCs w:val="28"/>
          <w:lang w:val="es-ES" w:eastAsia="es-ES"/>
        </w:rPr>
        <w:t xml:space="preserve"> El nueve de septiembre de dos mil once, el Consejo General del Instituto Electoral de Michoacán emitió el acuerdo CG-38/2011, mediante el cual estableció:</w:t>
      </w:r>
    </w:p>
    <w:p w14:paraId="71866185" w14:textId="77777777" w:rsidR="00AD59FF" w:rsidRPr="00CF2780" w:rsidRDefault="00AD59FF" w:rsidP="00AD59FF">
      <w:pPr>
        <w:spacing w:after="0" w:line="360" w:lineRule="auto"/>
        <w:ind w:firstLine="720"/>
        <w:jc w:val="both"/>
        <w:rPr>
          <w:rFonts w:ascii="Arial" w:eastAsia="Times New Roman" w:hAnsi="Arial" w:cs="Arial"/>
          <w:sz w:val="28"/>
          <w:szCs w:val="28"/>
          <w:lang w:val="es-ES" w:eastAsia="es-ES"/>
        </w:rPr>
      </w:pPr>
    </w:p>
    <w:p w14:paraId="4B582DC4" w14:textId="77777777" w:rsidR="00AD59FF" w:rsidRPr="00CF2780" w:rsidRDefault="00AD59FF" w:rsidP="00AD59FF">
      <w:pPr>
        <w:spacing w:after="0" w:line="240" w:lineRule="auto"/>
        <w:ind w:left="708"/>
        <w:jc w:val="both"/>
        <w:rPr>
          <w:rFonts w:ascii="Arial" w:eastAsia="Times New Roman" w:hAnsi="Arial" w:cs="Arial"/>
          <w:i/>
          <w:sz w:val="24"/>
          <w:szCs w:val="24"/>
          <w:lang w:val="es-ES" w:eastAsia="es-ES"/>
        </w:rPr>
      </w:pPr>
      <w:r w:rsidRPr="00CF2780">
        <w:rPr>
          <w:rFonts w:ascii="Arial" w:eastAsia="Times New Roman" w:hAnsi="Arial" w:cs="Arial"/>
          <w:i/>
          <w:sz w:val="24"/>
          <w:szCs w:val="24"/>
          <w:lang w:val="es-ES" w:eastAsia="es-ES"/>
        </w:rPr>
        <w:t xml:space="preserve">“Único. El Instituto Electoral de Michoacán carece de atribuciones para resolver sobre la celebración de elecciones bajo el principio de los usos y costumbres en los términos que lo solicita la Comunidad Indígena de Cherán”. </w:t>
      </w:r>
    </w:p>
    <w:p w14:paraId="10E09B30" w14:textId="77777777" w:rsidR="00AD59FF" w:rsidRPr="00CF2780" w:rsidRDefault="00AD59FF" w:rsidP="00AD59FF">
      <w:pPr>
        <w:spacing w:after="0" w:line="360" w:lineRule="auto"/>
        <w:ind w:firstLine="720"/>
        <w:jc w:val="both"/>
        <w:rPr>
          <w:rFonts w:ascii="Arial" w:eastAsia="Times New Roman" w:hAnsi="Arial" w:cs="Arial"/>
          <w:sz w:val="28"/>
          <w:szCs w:val="28"/>
          <w:lang w:val="es-ES" w:eastAsia="es-ES"/>
        </w:rPr>
      </w:pPr>
    </w:p>
    <w:p w14:paraId="13AE31E5" w14:textId="77777777" w:rsidR="00AD59FF" w:rsidRPr="00CF2780" w:rsidRDefault="00AD59FF" w:rsidP="00AD59FF">
      <w:pPr>
        <w:spacing w:after="0" w:line="360" w:lineRule="auto"/>
        <w:ind w:firstLine="720"/>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lastRenderedPageBreak/>
        <w:t>Dicha determinación fue notificada a los integrantes de la citada comunidad el once de septiembre del presente año.</w:t>
      </w:r>
    </w:p>
    <w:p w14:paraId="1CBCCD2D" w14:textId="77777777" w:rsidR="00AD59FF" w:rsidRPr="00CF2780" w:rsidRDefault="00AD59FF" w:rsidP="00AD59FF">
      <w:pPr>
        <w:spacing w:after="0" w:line="360" w:lineRule="auto"/>
        <w:ind w:firstLine="720"/>
        <w:jc w:val="both"/>
        <w:rPr>
          <w:rFonts w:ascii="Arial" w:eastAsia="Times New Roman" w:hAnsi="Arial" w:cs="Arial"/>
          <w:sz w:val="28"/>
          <w:szCs w:val="28"/>
          <w:lang w:val="es-ES" w:eastAsia="es-ES"/>
        </w:rPr>
      </w:pPr>
    </w:p>
    <w:p w14:paraId="1217E68E" w14:textId="77777777" w:rsidR="00AD59FF" w:rsidRPr="00CF2780" w:rsidRDefault="00AD59FF" w:rsidP="00AD59FF">
      <w:pPr>
        <w:spacing w:after="0" w:line="360" w:lineRule="auto"/>
        <w:ind w:firstLine="720"/>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c) Medio de impugnación.</w:t>
      </w:r>
      <w:r w:rsidRPr="00CF2780">
        <w:rPr>
          <w:rFonts w:ascii="Arial" w:eastAsia="Times New Roman" w:hAnsi="Arial" w:cs="Arial"/>
          <w:sz w:val="28"/>
          <w:szCs w:val="28"/>
          <w:lang w:val="es-ES" w:eastAsia="es-ES"/>
        </w:rPr>
        <w:t xml:space="preserve"> Disconformes con dicha determinación, el quince de septiembre dos mil once, Rosalva Durán Campos y otros ciudadanos por su propio derecho, ostentándose como integrantes de la comunidad indígena de Cherán, en el Estado de Michoacán, promovieron acción </w:t>
      </w:r>
      <w:r w:rsidRPr="00CF2780">
        <w:rPr>
          <w:rFonts w:ascii="Arial" w:eastAsia="Times New Roman" w:hAnsi="Arial" w:cs="Arial"/>
          <w:i/>
          <w:sz w:val="28"/>
          <w:szCs w:val="28"/>
          <w:lang w:val="es-ES" w:eastAsia="es-ES"/>
        </w:rPr>
        <w:t xml:space="preserve">per saltum </w:t>
      </w:r>
      <w:r w:rsidRPr="00CF2780">
        <w:rPr>
          <w:rFonts w:ascii="Arial" w:eastAsia="Times New Roman" w:hAnsi="Arial" w:cs="Arial"/>
          <w:sz w:val="28"/>
          <w:szCs w:val="28"/>
          <w:lang w:val="es-ES" w:eastAsia="es-ES"/>
        </w:rPr>
        <w:t>ante la responsable, juicio para la protección de los derechos político-electorales del ciudadano.</w:t>
      </w:r>
    </w:p>
    <w:p w14:paraId="39F499B2" w14:textId="77777777" w:rsidR="00AD59FF" w:rsidRPr="00CF2780" w:rsidRDefault="00AD59FF" w:rsidP="00AD59FF">
      <w:pPr>
        <w:spacing w:after="0" w:line="360" w:lineRule="auto"/>
        <w:ind w:firstLine="720"/>
        <w:jc w:val="both"/>
        <w:rPr>
          <w:rFonts w:ascii="Arial" w:eastAsia="Times New Roman" w:hAnsi="Arial" w:cs="Arial"/>
          <w:sz w:val="28"/>
          <w:szCs w:val="28"/>
          <w:lang w:val="es-ES" w:eastAsia="es-ES"/>
        </w:rPr>
      </w:pPr>
    </w:p>
    <w:p w14:paraId="77B91FC5" w14:textId="77777777" w:rsidR="00AD59FF" w:rsidRPr="00CF2780" w:rsidRDefault="00AD59FF" w:rsidP="00AD59FF">
      <w:pPr>
        <w:spacing w:after="0" w:line="360" w:lineRule="auto"/>
        <w:ind w:firstLine="720"/>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d) Remisión de la demanda de juicio para la protección de los derechos político-electorales del ciudadano y sus anexos.</w:t>
      </w:r>
      <w:r w:rsidRPr="00CF2780">
        <w:rPr>
          <w:rFonts w:ascii="Arial" w:eastAsia="Times New Roman" w:hAnsi="Arial" w:cs="Arial"/>
          <w:sz w:val="28"/>
          <w:szCs w:val="28"/>
          <w:lang w:val="es-ES" w:eastAsia="es-ES"/>
        </w:rPr>
        <w:t xml:space="preserve"> El diecinueve de septiembre de dos mil once, la demanda y sus anexos fueron recibidos en la Sala Regional del Tribunal Electoral del Poder Judicial de la Federación, correspondiente a la Quinta Circunscripción Plurinominal Electoral, con sede en la ciudad de Toluca de Lerdo, Estado de México, en la cual se acordó integrar el expediente ST-JDC-187/2011.</w:t>
      </w:r>
    </w:p>
    <w:p w14:paraId="1404CE2B" w14:textId="77777777" w:rsidR="00AD59FF" w:rsidRPr="00CF2780" w:rsidRDefault="00AD59FF" w:rsidP="00AD59FF">
      <w:pPr>
        <w:spacing w:after="0" w:line="360" w:lineRule="auto"/>
        <w:ind w:firstLine="720"/>
        <w:jc w:val="both"/>
        <w:rPr>
          <w:rFonts w:ascii="Arial" w:eastAsia="Times New Roman" w:hAnsi="Arial" w:cs="Arial"/>
          <w:sz w:val="28"/>
          <w:szCs w:val="28"/>
          <w:lang w:val="es-ES" w:eastAsia="es-ES"/>
        </w:rPr>
      </w:pPr>
    </w:p>
    <w:p w14:paraId="1765F601" w14:textId="77777777" w:rsidR="00AD59FF" w:rsidRPr="00CF2780" w:rsidRDefault="00AD59FF" w:rsidP="00AD59FF">
      <w:pPr>
        <w:spacing w:after="0" w:line="360" w:lineRule="auto"/>
        <w:ind w:firstLine="720"/>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II. Acuerdo de Sala Regional</w:t>
      </w:r>
      <w:r w:rsidRPr="00CF2780">
        <w:rPr>
          <w:rFonts w:ascii="Arial" w:eastAsia="Times New Roman" w:hAnsi="Arial" w:cs="Arial"/>
          <w:sz w:val="28"/>
          <w:szCs w:val="28"/>
          <w:lang w:val="es-ES" w:eastAsia="es-ES"/>
        </w:rPr>
        <w:t>. El veintiuno de septiembre de dos mil once, los magistrados integrantes de la Sala Regional del Tribunal Electoral del Poder Judicial de la Federación, correspondiente a la Quinta Circunscripción Plurinominal Electoral, con sede en la ciudad de Toluca de Lerdo, Estado de México,  de este Tribunal Electoral, en el expediente ST-JDC-187/2011 acordaron:</w:t>
      </w:r>
    </w:p>
    <w:p w14:paraId="3D9B488C" w14:textId="77777777" w:rsidR="00AD59FF" w:rsidRPr="00CF2780" w:rsidRDefault="00AD59FF" w:rsidP="00AD59FF">
      <w:pPr>
        <w:spacing w:after="0" w:line="240" w:lineRule="auto"/>
        <w:ind w:left="708"/>
        <w:jc w:val="both"/>
        <w:rPr>
          <w:rFonts w:ascii="Arial" w:eastAsia="Times New Roman" w:hAnsi="Arial" w:cs="Arial"/>
          <w:i/>
          <w:sz w:val="24"/>
          <w:szCs w:val="24"/>
          <w:lang w:val="es-ES" w:eastAsia="es-ES"/>
        </w:rPr>
      </w:pPr>
    </w:p>
    <w:p w14:paraId="093B07F1" w14:textId="77777777" w:rsidR="00AD59FF" w:rsidRPr="00CF2780" w:rsidRDefault="00AD59FF" w:rsidP="00AD59FF">
      <w:pPr>
        <w:spacing w:after="0" w:line="240" w:lineRule="auto"/>
        <w:ind w:left="708"/>
        <w:jc w:val="both"/>
        <w:rPr>
          <w:rFonts w:ascii="Arial" w:eastAsia="Times New Roman" w:hAnsi="Arial" w:cs="Arial"/>
          <w:i/>
          <w:sz w:val="24"/>
          <w:szCs w:val="24"/>
          <w:lang w:val="es-ES" w:eastAsia="es-ES"/>
        </w:rPr>
      </w:pPr>
      <w:r w:rsidRPr="00CF2780">
        <w:rPr>
          <w:rFonts w:ascii="Arial" w:eastAsia="Times New Roman" w:hAnsi="Arial" w:cs="Arial"/>
          <w:i/>
          <w:sz w:val="24"/>
          <w:szCs w:val="24"/>
          <w:lang w:val="es-ES" w:eastAsia="es-ES"/>
        </w:rPr>
        <w:t>“</w:t>
      </w:r>
      <w:r w:rsidRPr="00CF2780">
        <w:rPr>
          <w:rFonts w:ascii="Arial" w:eastAsia="Times New Roman" w:hAnsi="Arial" w:cs="Arial"/>
          <w:b/>
          <w:i/>
          <w:sz w:val="24"/>
          <w:szCs w:val="24"/>
          <w:lang w:val="es-ES" w:eastAsia="es-ES"/>
        </w:rPr>
        <w:t>PRIMERO</w:t>
      </w:r>
      <w:r w:rsidRPr="00CF2780">
        <w:rPr>
          <w:rFonts w:ascii="Arial" w:eastAsia="Times New Roman" w:hAnsi="Arial" w:cs="Arial"/>
          <w:i/>
          <w:sz w:val="24"/>
          <w:szCs w:val="24"/>
          <w:lang w:val="es-ES" w:eastAsia="es-ES"/>
        </w:rPr>
        <w:t xml:space="preserve">. Esta Sala Regional Toluca, correspondiente a la V circunscripción plurinominal electoral del Tribunal Electoral del Poder Judicial </w:t>
      </w:r>
      <w:r w:rsidRPr="00CF2780">
        <w:rPr>
          <w:rFonts w:ascii="Arial" w:eastAsia="Times New Roman" w:hAnsi="Arial" w:cs="Arial"/>
          <w:i/>
          <w:sz w:val="24"/>
          <w:szCs w:val="24"/>
          <w:lang w:val="es-ES" w:eastAsia="es-ES"/>
        </w:rPr>
        <w:lastRenderedPageBreak/>
        <w:t>de la Federación, solicita de la Sala Superior de este órgano jurisdiccional el ejercicio de la facultad de atracción del juicio ciudadano ST-JDC-187/2011.</w:t>
      </w:r>
    </w:p>
    <w:p w14:paraId="38AC5D4D" w14:textId="77777777" w:rsidR="00AD59FF" w:rsidRPr="00CF2780" w:rsidRDefault="00AD59FF" w:rsidP="00AD59FF">
      <w:pPr>
        <w:spacing w:after="0" w:line="240" w:lineRule="auto"/>
        <w:ind w:left="708"/>
        <w:jc w:val="both"/>
        <w:rPr>
          <w:rFonts w:ascii="Arial" w:eastAsia="Times New Roman" w:hAnsi="Arial" w:cs="Arial"/>
          <w:i/>
          <w:sz w:val="24"/>
          <w:szCs w:val="24"/>
          <w:lang w:val="es-ES" w:eastAsia="es-ES"/>
        </w:rPr>
      </w:pPr>
    </w:p>
    <w:p w14:paraId="47842804" w14:textId="77777777" w:rsidR="00AD59FF" w:rsidRPr="00CF2780" w:rsidRDefault="00AD59FF" w:rsidP="00AD59FF">
      <w:pPr>
        <w:spacing w:after="0" w:line="240" w:lineRule="auto"/>
        <w:ind w:left="708"/>
        <w:jc w:val="both"/>
        <w:rPr>
          <w:rFonts w:ascii="Arial" w:eastAsia="Times New Roman" w:hAnsi="Arial" w:cs="Arial"/>
          <w:i/>
          <w:sz w:val="24"/>
          <w:szCs w:val="24"/>
          <w:lang w:val="es-ES" w:eastAsia="es-ES"/>
        </w:rPr>
      </w:pPr>
      <w:r w:rsidRPr="00CF2780">
        <w:rPr>
          <w:rFonts w:ascii="Arial" w:eastAsia="Times New Roman" w:hAnsi="Arial" w:cs="Arial"/>
          <w:b/>
          <w:i/>
          <w:sz w:val="24"/>
          <w:szCs w:val="24"/>
          <w:lang w:val="es-ES" w:eastAsia="es-ES"/>
        </w:rPr>
        <w:t>SEGUNDO</w:t>
      </w:r>
      <w:r w:rsidRPr="00CF2780">
        <w:rPr>
          <w:rFonts w:ascii="Arial" w:eastAsia="Times New Roman" w:hAnsi="Arial" w:cs="Arial"/>
          <w:i/>
          <w:sz w:val="24"/>
          <w:szCs w:val="24"/>
          <w:lang w:val="es-ES" w:eastAsia="es-ES"/>
        </w:rPr>
        <w:t xml:space="preserve">. En consecuencia, para los efectos legales conducentes, se ordena la remisión inmediata del presente acuerdo y del respectivo expediente a la Sala superior de este órgano jurisdiccional, para que, a su consideración, determine lo que en derecho proceda. </w:t>
      </w:r>
    </w:p>
    <w:p w14:paraId="34000183" w14:textId="77777777" w:rsidR="00AD59FF" w:rsidRPr="00CF2780" w:rsidRDefault="00AD59FF" w:rsidP="00AD59FF">
      <w:pPr>
        <w:spacing w:after="0" w:line="240" w:lineRule="auto"/>
        <w:ind w:left="708"/>
        <w:jc w:val="both"/>
        <w:rPr>
          <w:rFonts w:ascii="Arial" w:eastAsia="Times New Roman" w:hAnsi="Arial" w:cs="Arial"/>
          <w:i/>
          <w:sz w:val="24"/>
          <w:szCs w:val="24"/>
          <w:lang w:val="es-ES" w:eastAsia="es-ES"/>
        </w:rPr>
      </w:pPr>
    </w:p>
    <w:p w14:paraId="7F46D32E" w14:textId="77777777" w:rsidR="00AD59FF" w:rsidRPr="00CF2780" w:rsidRDefault="00AD59FF" w:rsidP="00AD59FF">
      <w:pPr>
        <w:spacing w:after="0" w:line="240" w:lineRule="auto"/>
        <w:ind w:left="708"/>
        <w:jc w:val="both"/>
        <w:rPr>
          <w:rFonts w:ascii="Arial" w:eastAsia="Times New Roman" w:hAnsi="Arial" w:cs="Arial"/>
          <w:i/>
          <w:sz w:val="24"/>
          <w:szCs w:val="24"/>
          <w:lang w:val="es-ES" w:eastAsia="es-ES"/>
        </w:rPr>
      </w:pPr>
      <w:r w:rsidRPr="00CF2780">
        <w:rPr>
          <w:rFonts w:ascii="Arial" w:eastAsia="Times New Roman" w:hAnsi="Arial" w:cs="Arial"/>
          <w:b/>
          <w:i/>
          <w:sz w:val="24"/>
          <w:szCs w:val="24"/>
          <w:lang w:val="es-ES" w:eastAsia="es-ES"/>
        </w:rPr>
        <w:t>TERCERO</w:t>
      </w:r>
      <w:r w:rsidRPr="00CF2780">
        <w:rPr>
          <w:rFonts w:ascii="Arial" w:eastAsia="Times New Roman" w:hAnsi="Arial" w:cs="Arial"/>
          <w:i/>
          <w:sz w:val="24"/>
          <w:szCs w:val="24"/>
          <w:lang w:val="es-ES" w:eastAsia="es-ES"/>
        </w:rPr>
        <w:t xml:space="preserve">. Fórmese el correspondiente cuaderno de antecedentes, con copia debidamente certificada del expediente citado, y de este acuerdo”. </w:t>
      </w:r>
    </w:p>
    <w:p w14:paraId="5B208EAF" w14:textId="77777777" w:rsidR="00AD59FF" w:rsidRPr="00CF2780" w:rsidRDefault="00AD59FF" w:rsidP="00AD59FF">
      <w:pPr>
        <w:spacing w:after="0" w:line="360" w:lineRule="auto"/>
        <w:ind w:firstLine="540"/>
        <w:jc w:val="both"/>
        <w:rPr>
          <w:rFonts w:ascii="Arial" w:eastAsia="Times New Roman" w:hAnsi="Arial" w:cs="Arial"/>
          <w:b/>
          <w:bCs/>
          <w:sz w:val="28"/>
          <w:szCs w:val="28"/>
          <w:lang w:val="es-ES" w:eastAsia="es-ES"/>
        </w:rPr>
      </w:pPr>
    </w:p>
    <w:p w14:paraId="0B0EBCE6" w14:textId="77777777" w:rsidR="00AD59FF" w:rsidRPr="00CF2780" w:rsidRDefault="00AD59FF" w:rsidP="00AD59FF">
      <w:pPr>
        <w:spacing w:after="0" w:line="360" w:lineRule="auto"/>
        <w:ind w:firstLine="720"/>
        <w:jc w:val="both"/>
        <w:rPr>
          <w:rFonts w:ascii="Arial" w:eastAsia="Times New Roman" w:hAnsi="Arial" w:cs="Arial"/>
          <w:sz w:val="28"/>
          <w:szCs w:val="28"/>
          <w:lang w:val="es-ES" w:eastAsia="es-ES"/>
        </w:rPr>
      </w:pPr>
      <w:r w:rsidRPr="00CF2780">
        <w:rPr>
          <w:rFonts w:ascii="Arial" w:eastAsia="Times New Roman" w:hAnsi="Arial" w:cs="Arial"/>
          <w:b/>
          <w:bCs/>
          <w:sz w:val="28"/>
          <w:szCs w:val="28"/>
          <w:lang w:val="es-ES" w:eastAsia="es-ES"/>
        </w:rPr>
        <w:t xml:space="preserve">III. Remisión. </w:t>
      </w:r>
      <w:r w:rsidRPr="00CF2780">
        <w:rPr>
          <w:rFonts w:ascii="Arial" w:eastAsia="Times New Roman" w:hAnsi="Arial" w:cs="Arial"/>
          <w:sz w:val="28"/>
          <w:szCs w:val="28"/>
          <w:lang w:val="es-ES" w:eastAsia="es-ES"/>
        </w:rPr>
        <w:t>El veintiuno de septiembre del año en curso, mediante oficio TEPJF-ST-SGA-OA-956/2011, recibido en la  Oficialía de Partes de este órgano jurisdiccional en al propia fecha,  la Sala Regional Toluca remitió la demanda y sus anexos, así como el expediente relacionado con la solicitud de ejercer la facultad de atracción.</w:t>
      </w:r>
    </w:p>
    <w:p w14:paraId="4F71778E" w14:textId="77777777" w:rsidR="00AD59FF" w:rsidRPr="00CF2780" w:rsidRDefault="00AD59FF" w:rsidP="00AD59FF">
      <w:pPr>
        <w:spacing w:after="0" w:line="360" w:lineRule="auto"/>
        <w:ind w:firstLine="720"/>
        <w:jc w:val="both"/>
        <w:rPr>
          <w:rFonts w:ascii="Arial" w:eastAsia="Times New Roman" w:hAnsi="Arial" w:cs="Arial"/>
          <w:sz w:val="28"/>
          <w:szCs w:val="28"/>
          <w:lang w:val="es-ES" w:eastAsia="es-ES"/>
        </w:rPr>
      </w:pPr>
    </w:p>
    <w:p w14:paraId="4F045EAC" w14:textId="77777777" w:rsidR="00AD59FF" w:rsidRPr="00CF2780" w:rsidRDefault="00AD59FF" w:rsidP="00AD59FF">
      <w:pPr>
        <w:spacing w:after="0" w:line="360" w:lineRule="auto"/>
        <w:ind w:firstLine="720"/>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El expediente de la facultad de atracción se integró con la clave SUP-SFA-35/2011.</w:t>
      </w:r>
    </w:p>
    <w:p w14:paraId="75B0CF63" w14:textId="77777777" w:rsidR="00AD59FF" w:rsidRPr="00CF2780" w:rsidRDefault="00AD59FF" w:rsidP="00AD59FF">
      <w:pPr>
        <w:spacing w:after="0" w:line="360" w:lineRule="auto"/>
        <w:ind w:firstLine="708"/>
        <w:jc w:val="both"/>
        <w:rPr>
          <w:rFonts w:ascii="Arial" w:eastAsia="Times New Roman" w:hAnsi="Arial" w:cs="Arial"/>
          <w:b/>
          <w:bCs/>
          <w:sz w:val="28"/>
          <w:szCs w:val="28"/>
          <w:lang w:val="es-ES" w:eastAsia="es-ES"/>
        </w:rPr>
      </w:pPr>
    </w:p>
    <w:p w14:paraId="1B11002E"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r w:rsidRPr="00CF2780">
        <w:rPr>
          <w:rFonts w:ascii="Arial" w:eastAsia="Times New Roman" w:hAnsi="Arial" w:cs="Arial"/>
          <w:b/>
          <w:bCs/>
          <w:sz w:val="28"/>
          <w:szCs w:val="28"/>
          <w:lang w:val="es-ES" w:eastAsia="es-ES"/>
        </w:rPr>
        <w:t xml:space="preserve">IV. Resolución en la facultad de atracción. </w:t>
      </w:r>
      <w:r w:rsidRPr="00CF2780">
        <w:rPr>
          <w:rFonts w:ascii="Arial" w:eastAsia="Times New Roman" w:hAnsi="Arial" w:cs="Arial"/>
          <w:bCs/>
          <w:sz w:val="28"/>
          <w:szCs w:val="28"/>
          <w:lang w:val="es-ES" w:eastAsia="es-ES"/>
        </w:rPr>
        <w:t xml:space="preserve">Mediante acuerdo de veinticuatro de septiembre de dos mil once, por mayoría de votos, los integrantes de la Sala Superior emitieron resolución en el expediente </w:t>
      </w:r>
      <w:r w:rsidRPr="00CF2780">
        <w:rPr>
          <w:rFonts w:ascii="Arial" w:eastAsia="Times New Roman" w:hAnsi="Arial" w:cs="Arial"/>
          <w:sz w:val="28"/>
          <w:szCs w:val="28"/>
          <w:lang w:val="es-ES" w:eastAsia="es-ES"/>
        </w:rPr>
        <w:t>SUP-SFA-35/2011 y al efecto determinaron:</w:t>
      </w:r>
    </w:p>
    <w:p w14:paraId="764097E2"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p>
    <w:p w14:paraId="270FBBA1" w14:textId="77777777" w:rsidR="00AD59FF" w:rsidRPr="00CF2780" w:rsidRDefault="00AD59FF" w:rsidP="00AD59FF">
      <w:pPr>
        <w:spacing w:after="0" w:line="240" w:lineRule="auto"/>
        <w:ind w:left="708"/>
        <w:jc w:val="both"/>
        <w:rPr>
          <w:rFonts w:ascii="Arial" w:eastAsia="Times New Roman" w:hAnsi="Arial" w:cs="Arial"/>
          <w:i/>
          <w:sz w:val="24"/>
          <w:szCs w:val="24"/>
          <w:lang w:val="es-ES" w:eastAsia="es-ES"/>
        </w:rPr>
      </w:pPr>
      <w:r w:rsidRPr="00CF2780">
        <w:rPr>
          <w:rFonts w:ascii="Arial" w:eastAsia="Times New Roman" w:hAnsi="Arial" w:cs="Arial"/>
          <w:i/>
          <w:sz w:val="24"/>
          <w:szCs w:val="24"/>
          <w:lang w:val="es-ES" w:eastAsia="es-ES"/>
        </w:rPr>
        <w:t>“</w:t>
      </w:r>
      <w:r w:rsidRPr="00CF2780">
        <w:rPr>
          <w:rFonts w:ascii="Arial" w:eastAsia="Times New Roman" w:hAnsi="Arial" w:cs="Arial"/>
          <w:b/>
          <w:i/>
          <w:sz w:val="24"/>
          <w:szCs w:val="24"/>
          <w:lang w:val="es-ES" w:eastAsia="es-ES"/>
        </w:rPr>
        <w:t>PRIMERO</w:t>
      </w:r>
      <w:r w:rsidRPr="00CF2780">
        <w:rPr>
          <w:rFonts w:ascii="Arial" w:eastAsia="Times New Roman" w:hAnsi="Arial" w:cs="Arial"/>
          <w:i/>
          <w:sz w:val="24"/>
          <w:szCs w:val="24"/>
          <w:lang w:val="es-ES" w:eastAsia="es-ES"/>
        </w:rPr>
        <w:t>. No es procedente la solicitud de ejercicio de la facultad de atracción de la Sala Superior, planteada por la Sala Regional del Tribunal Electoral del Poder Judicial de la Federación, correspondiente a la Quinta Circunscripción Plurinominal electoral, con sede en Toluca de Lerdo, Estado de México, respecto del juicio para la protección de los derechos político-electorales del ciudadano ST-JDC-187/2011.</w:t>
      </w:r>
    </w:p>
    <w:p w14:paraId="219DD327" w14:textId="77777777" w:rsidR="00AD59FF" w:rsidRPr="00CF2780" w:rsidRDefault="00AD59FF" w:rsidP="00AD59FF">
      <w:pPr>
        <w:spacing w:after="0" w:line="240" w:lineRule="auto"/>
        <w:ind w:left="708"/>
        <w:jc w:val="both"/>
        <w:rPr>
          <w:rFonts w:ascii="Arial" w:eastAsia="Times New Roman" w:hAnsi="Arial" w:cs="Arial"/>
          <w:i/>
          <w:sz w:val="24"/>
          <w:szCs w:val="24"/>
          <w:lang w:val="es-ES" w:eastAsia="es-ES"/>
        </w:rPr>
      </w:pPr>
    </w:p>
    <w:p w14:paraId="3EBA3378" w14:textId="77777777" w:rsidR="00AD59FF" w:rsidRPr="00CF2780" w:rsidRDefault="00AD59FF" w:rsidP="00AD59FF">
      <w:pPr>
        <w:spacing w:after="0" w:line="240" w:lineRule="auto"/>
        <w:ind w:left="708"/>
        <w:jc w:val="both"/>
        <w:rPr>
          <w:rFonts w:ascii="Arial" w:eastAsia="Times New Roman" w:hAnsi="Arial" w:cs="Arial"/>
          <w:i/>
          <w:sz w:val="24"/>
          <w:szCs w:val="24"/>
          <w:lang w:val="es-ES" w:eastAsia="es-ES"/>
        </w:rPr>
      </w:pPr>
      <w:r w:rsidRPr="00CF2780">
        <w:rPr>
          <w:rFonts w:ascii="Arial" w:eastAsia="Times New Roman" w:hAnsi="Arial" w:cs="Arial"/>
          <w:b/>
          <w:i/>
          <w:sz w:val="24"/>
          <w:szCs w:val="24"/>
          <w:lang w:val="es-ES" w:eastAsia="es-ES"/>
        </w:rPr>
        <w:t>SEGUNDO</w:t>
      </w:r>
      <w:r w:rsidRPr="00CF2780">
        <w:rPr>
          <w:rFonts w:ascii="Arial" w:eastAsia="Times New Roman" w:hAnsi="Arial" w:cs="Arial"/>
          <w:i/>
          <w:sz w:val="24"/>
          <w:szCs w:val="24"/>
          <w:lang w:val="es-ES" w:eastAsia="es-ES"/>
        </w:rPr>
        <w:t xml:space="preserve">. Es competente la Sala Superior del Tribunal Electoral del Poder Judicial de la Federación para conocer el juicio para la protección de los </w:t>
      </w:r>
      <w:r w:rsidRPr="00CF2780">
        <w:rPr>
          <w:rFonts w:ascii="Arial" w:eastAsia="Times New Roman" w:hAnsi="Arial" w:cs="Arial"/>
          <w:i/>
          <w:sz w:val="24"/>
          <w:szCs w:val="24"/>
          <w:lang w:val="es-ES" w:eastAsia="es-ES"/>
        </w:rPr>
        <w:lastRenderedPageBreak/>
        <w:t>derechos político-electorales del ciudadano promovido, per saltum, por Rosalva Duran Campos y otros integrantes de la comunidad indígena de San Francisco Cherán, Michoacán, en contra del acuerdo de nueve de septiembre de dos mil once aprobado por el Instituto Electoral de esa Entidad Federativa.</w:t>
      </w:r>
    </w:p>
    <w:p w14:paraId="08555432" w14:textId="77777777" w:rsidR="00AD59FF" w:rsidRPr="00CF2780" w:rsidRDefault="00AD59FF" w:rsidP="00AD59FF">
      <w:pPr>
        <w:spacing w:after="0" w:line="240" w:lineRule="auto"/>
        <w:ind w:left="708"/>
        <w:jc w:val="both"/>
        <w:rPr>
          <w:rFonts w:ascii="Arial" w:eastAsia="Times New Roman" w:hAnsi="Arial" w:cs="Arial"/>
          <w:i/>
          <w:sz w:val="24"/>
          <w:szCs w:val="24"/>
          <w:lang w:val="es-ES" w:eastAsia="es-ES"/>
        </w:rPr>
      </w:pPr>
    </w:p>
    <w:p w14:paraId="4C8BAE39" w14:textId="77777777" w:rsidR="00AD59FF" w:rsidRPr="00CF2780" w:rsidRDefault="00AD59FF" w:rsidP="00AD59FF">
      <w:pPr>
        <w:spacing w:after="0" w:line="240" w:lineRule="auto"/>
        <w:ind w:left="708"/>
        <w:jc w:val="both"/>
        <w:rPr>
          <w:rFonts w:ascii="Arial" w:eastAsia="Times New Roman" w:hAnsi="Arial" w:cs="Arial"/>
          <w:i/>
          <w:sz w:val="24"/>
          <w:szCs w:val="24"/>
          <w:lang w:val="es-ES" w:eastAsia="es-ES"/>
        </w:rPr>
      </w:pPr>
      <w:r w:rsidRPr="00CF2780">
        <w:rPr>
          <w:rFonts w:ascii="Arial" w:eastAsia="Times New Roman" w:hAnsi="Arial" w:cs="Arial"/>
          <w:b/>
          <w:i/>
          <w:sz w:val="24"/>
          <w:szCs w:val="24"/>
          <w:lang w:val="es-ES" w:eastAsia="es-ES"/>
        </w:rPr>
        <w:t>TERCERO</w:t>
      </w:r>
      <w:r w:rsidRPr="00CF2780">
        <w:rPr>
          <w:rFonts w:ascii="Arial" w:eastAsia="Times New Roman" w:hAnsi="Arial" w:cs="Arial"/>
          <w:i/>
          <w:sz w:val="24"/>
          <w:szCs w:val="24"/>
          <w:lang w:val="es-ES" w:eastAsia="es-ES"/>
        </w:rPr>
        <w:t>. Devuélvase a la Secretaría General de Acuerdos de esta Sala Superior, el expediente para los efectos precisados en la parte final de esta determinación”.</w:t>
      </w:r>
    </w:p>
    <w:p w14:paraId="25A7930E" w14:textId="77777777" w:rsidR="00AD59FF" w:rsidRPr="00CF2780" w:rsidRDefault="00AD59FF" w:rsidP="00AD59FF">
      <w:pPr>
        <w:spacing w:after="0" w:line="360" w:lineRule="auto"/>
        <w:ind w:firstLine="708"/>
        <w:jc w:val="both"/>
        <w:rPr>
          <w:rFonts w:ascii="Arial" w:eastAsia="Times New Roman" w:hAnsi="Arial" w:cs="Arial"/>
          <w:b/>
          <w:bCs/>
          <w:sz w:val="28"/>
          <w:szCs w:val="28"/>
          <w:lang w:val="es-ES" w:eastAsia="es-ES"/>
        </w:rPr>
      </w:pPr>
    </w:p>
    <w:p w14:paraId="28C14B77"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r w:rsidRPr="00CF2780">
        <w:rPr>
          <w:rFonts w:ascii="Arial" w:eastAsia="Times New Roman" w:hAnsi="Arial" w:cs="Arial"/>
          <w:b/>
          <w:bCs/>
          <w:sz w:val="28"/>
          <w:szCs w:val="28"/>
          <w:lang w:val="es-ES" w:eastAsia="es-ES"/>
        </w:rPr>
        <w:t xml:space="preserve">V. Turno. </w:t>
      </w:r>
      <w:r w:rsidRPr="00CF2780">
        <w:rPr>
          <w:rFonts w:ascii="Arial" w:eastAsia="Times New Roman" w:hAnsi="Arial" w:cs="Arial"/>
          <w:bCs/>
          <w:sz w:val="28"/>
          <w:szCs w:val="28"/>
          <w:lang w:val="es-ES" w:eastAsia="es-ES"/>
        </w:rPr>
        <w:t>En cumplimiento</w:t>
      </w:r>
      <w:r w:rsidRPr="00CF2780">
        <w:rPr>
          <w:rFonts w:ascii="Arial" w:eastAsia="Times New Roman" w:hAnsi="Arial" w:cs="Arial"/>
          <w:b/>
          <w:bCs/>
          <w:sz w:val="28"/>
          <w:szCs w:val="28"/>
          <w:lang w:val="es-ES" w:eastAsia="es-ES"/>
        </w:rPr>
        <w:t xml:space="preserve"> </w:t>
      </w:r>
      <w:r w:rsidRPr="00CF2780">
        <w:rPr>
          <w:rFonts w:ascii="Arial" w:eastAsia="Times New Roman" w:hAnsi="Arial" w:cs="Arial"/>
          <w:bCs/>
          <w:sz w:val="28"/>
          <w:szCs w:val="28"/>
          <w:lang w:val="es-ES" w:eastAsia="es-ES"/>
        </w:rPr>
        <w:t>a la resolución referida,</w:t>
      </w:r>
      <w:r w:rsidRPr="00CF2780">
        <w:rPr>
          <w:rFonts w:ascii="Arial" w:eastAsia="Times New Roman" w:hAnsi="Arial" w:cs="Arial"/>
          <w:sz w:val="28"/>
          <w:szCs w:val="28"/>
          <w:lang w:val="es-ES" w:eastAsia="es-ES"/>
        </w:rPr>
        <w:t xml:space="preserve"> el Magistrado Presidente de </w:t>
      </w:r>
      <w:smartTag w:uri="urn:schemas-microsoft-com:office:smarttags" w:element="PersonName">
        <w:smartTagPr>
          <w:attr w:name="ProductID" w:val="la Sala Superior"/>
        </w:smartTagPr>
        <w:r w:rsidRPr="00CF2780">
          <w:rPr>
            <w:rFonts w:ascii="Arial" w:eastAsia="Times New Roman" w:hAnsi="Arial" w:cs="Arial"/>
            <w:sz w:val="28"/>
            <w:szCs w:val="28"/>
            <w:lang w:val="es-ES" w:eastAsia="es-ES"/>
          </w:rPr>
          <w:t>la Sala Superior</w:t>
        </w:r>
      </w:smartTag>
      <w:r w:rsidRPr="00CF2780">
        <w:rPr>
          <w:rFonts w:ascii="Arial" w:eastAsia="Times New Roman" w:hAnsi="Arial" w:cs="Arial"/>
          <w:sz w:val="28"/>
          <w:szCs w:val="28"/>
          <w:lang w:val="es-ES" w:eastAsia="es-ES"/>
        </w:rPr>
        <w:t xml:space="preserve"> del Tribunal Electoral del Poder Judicial de </w:t>
      </w:r>
      <w:smartTag w:uri="urn:schemas-microsoft-com:office:smarttags" w:element="PersonName">
        <w:smartTagPr>
          <w:attr w:name="ProductID" w:val="la Federaci￳n"/>
        </w:smartTagPr>
        <w:r w:rsidRPr="00CF2780">
          <w:rPr>
            <w:rFonts w:ascii="Arial" w:eastAsia="Times New Roman" w:hAnsi="Arial" w:cs="Arial"/>
            <w:sz w:val="28"/>
            <w:szCs w:val="28"/>
            <w:lang w:val="es-ES" w:eastAsia="es-ES"/>
          </w:rPr>
          <w:t>la Federación</w:t>
        </w:r>
      </w:smartTag>
      <w:r w:rsidRPr="00CF2780">
        <w:rPr>
          <w:rFonts w:ascii="Arial" w:eastAsia="Times New Roman" w:hAnsi="Arial" w:cs="Arial"/>
          <w:sz w:val="28"/>
          <w:szCs w:val="28"/>
          <w:lang w:val="es-ES" w:eastAsia="es-ES"/>
        </w:rPr>
        <w:t xml:space="preserve"> ordenó la integración del expediente y su turno a la ponencia a su cargo, para los efectos señalados en el artículo 19 de </w:t>
      </w:r>
      <w:smartTag w:uri="urn:schemas-microsoft-com:office:smarttags" w:element="PersonName">
        <w:smartTagPr>
          <w:attr w:name="ProductID" w:val="la Ley General"/>
        </w:smartTagPr>
        <w:r w:rsidRPr="00CF2780">
          <w:rPr>
            <w:rFonts w:ascii="Arial" w:eastAsia="Times New Roman" w:hAnsi="Arial" w:cs="Arial"/>
            <w:sz w:val="28"/>
            <w:szCs w:val="28"/>
            <w:lang w:val="es-ES" w:eastAsia="es-ES"/>
          </w:rPr>
          <w:t>la Ley General</w:t>
        </w:r>
      </w:smartTag>
      <w:r w:rsidRPr="00CF2780">
        <w:rPr>
          <w:rFonts w:ascii="Arial" w:eastAsia="Times New Roman" w:hAnsi="Arial" w:cs="Arial"/>
          <w:sz w:val="28"/>
          <w:szCs w:val="28"/>
          <w:lang w:val="es-ES" w:eastAsia="es-ES"/>
        </w:rPr>
        <w:t xml:space="preserve"> del Sistema de Medios de Impugnación en Materia Electoral, turno que se cumplió a través del oficio TEPJF-SGA-11748/11, suscrito por el Secretario General de Acuerdos de esta Sala Superior.</w:t>
      </w:r>
    </w:p>
    <w:p w14:paraId="1A78E3BB"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p>
    <w:p w14:paraId="2AC54C0F"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V. Admisión y cierre de instrucción.</w:t>
      </w:r>
      <w:r w:rsidRPr="00CF2780">
        <w:rPr>
          <w:rFonts w:ascii="Arial" w:eastAsia="Times New Roman" w:hAnsi="Arial" w:cs="Arial"/>
          <w:sz w:val="28"/>
          <w:szCs w:val="28"/>
          <w:lang w:val="es-ES" w:eastAsia="es-ES"/>
        </w:rPr>
        <w:t xml:space="preserve"> En su oportunidad, el Magistrado Instructor admitió a trámite la demanda del presente juicio y, una vez concluida su sustanciación, declaró cerrada la instrucción, quedando el asunto en estado de dictar sentencia, y</w:t>
      </w:r>
    </w:p>
    <w:p w14:paraId="6E03AE18"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1E3AB5F9" w14:textId="77777777" w:rsidR="00AD59FF" w:rsidRPr="00CF2780" w:rsidRDefault="00AD59FF" w:rsidP="00AD59FF">
      <w:pPr>
        <w:spacing w:after="0" w:line="360" w:lineRule="auto"/>
        <w:ind w:firstLine="709"/>
        <w:jc w:val="center"/>
        <w:rPr>
          <w:rFonts w:ascii="Arial" w:eastAsia="Times New Roman" w:hAnsi="Arial" w:cs="Arial"/>
          <w:b/>
          <w:bCs/>
          <w:sz w:val="28"/>
          <w:szCs w:val="28"/>
          <w:lang w:val="pt-BR" w:eastAsia="es-ES"/>
        </w:rPr>
      </w:pPr>
      <w:r w:rsidRPr="00CF2780">
        <w:rPr>
          <w:rFonts w:ascii="Arial" w:eastAsia="Times New Roman" w:hAnsi="Arial" w:cs="Arial"/>
          <w:b/>
          <w:bCs/>
          <w:sz w:val="28"/>
          <w:szCs w:val="28"/>
          <w:lang w:val="pt-BR" w:eastAsia="es-ES"/>
        </w:rPr>
        <w:t>C O N S I D E R A N D O</w:t>
      </w:r>
    </w:p>
    <w:p w14:paraId="4D63D09F" w14:textId="77777777" w:rsidR="00AD59FF" w:rsidRPr="00CF2780" w:rsidRDefault="00AD59FF" w:rsidP="00AD59FF">
      <w:pPr>
        <w:spacing w:after="0" w:line="360" w:lineRule="auto"/>
        <w:ind w:firstLine="709"/>
        <w:jc w:val="center"/>
        <w:rPr>
          <w:rFonts w:ascii="Arial" w:eastAsia="Times New Roman" w:hAnsi="Arial" w:cs="Arial"/>
          <w:b/>
          <w:bCs/>
          <w:sz w:val="28"/>
          <w:szCs w:val="28"/>
          <w:lang w:val="pt-BR" w:eastAsia="es-ES"/>
        </w:rPr>
      </w:pPr>
    </w:p>
    <w:p w14:paraId="09474253"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PRIMERO. Jurisdicción y competencia</w:t>
      </w:r>
      <w:r w:rsidRPr="00CF2780">
        <w:rPr>
          <w:rFonts w:ascii="Arial" w:eastAsia="Times New Roman" w:hAnsi="Arial" w:cs="Arial"/>
          <w:sz w:val="28"/>
          <w:szCs w:val="28"/>
          <w:lang w:val="es-ES" w:eastAsia="es-ES"/>
        </w:rPr>
        <w:t xml:space="preserve">. El Tribunal Electoral del Poder Judicial de </w:t>
      </w:r>
      <w:smartTag w:uri="urn:schemas-microsoft-com:office:smarttags" w:element="PersonName">
        <w:smartTagPr>
          <w:attr w:name="ProductID" w:val="la Federaci￳n"/>
        </w:smartTagPr>
        <w:r w:rsidRPr="00CF2780">
          <w:rPr>
            <w:rFonts w:ascii="Arial" w:eastAsia="Times New Roman" w:hAnsi="Arial" w:cs="Arial"/>
            <w:sz w:val="28"/>
            <w:szCs w:val="28"/>
            <w:lang w:val="es-ES" w:eastAsia="es-ES"/>
          </w:rPr>
          <w:t>la Federación</w:t>
        </w:r>
      </w:smartTag>
      <w:r w:rsidRPr="00CF2780">
        <w:rPr>
          <w:rFonts w:ascii="Arial" w:eastAsia="Times New Roman" w:hAnsi="Arial" w:cs="Arial"/>
          <w:sz w:val="28"/>
          <w:szCs w:val="28"/>
          <w:lang w:val="es-ES" w:eastAsia="es-ES"/>
        </w:rPr>
        <w:t xml:space="preserve"> ejerce jurisdicción y </w:t>
      </w:r>
      <w:smartTag w:uri="urn:schemas-microsoft-com:office:smarttags" w:element="PersonName">
        <w:smartTagPr>
          <w:attr w:name="ProductID" w:val="la Sala Superior"/>
        </w:smartTagPr>
        <w:r w:rsidRPr="00CF2780">
          <w:rPr>
            <w:rFonts w:ascii="Arial" w:eastAsia="Times New Roman" w:hAnsi="Arial" w:cs="Arial"/>
            <w:sz w:val="28"/>
            <w:szCs w:val="28"/>
            <w:lang w:val="es-ES" w:eastAsia="es-ES"/>
          </w:rPr>
          <w:t>la Sala Superior</w:t>
        </w:r>
      </w:smartTag>
      <w:r w:rsidRPr="00CF2780">
        <w:rPr>
          <w:rFonts w:ascii="Arial" w:eastAsia="Times New Roman" w:hAnsi="Arial" w:cs="Arial"/>
          <w:sz w:val="28"/>
          <w:szCs w:val="28"/>
          <w:lang w:val="es-ES" w:eastAsia="es-ES"/>
        </w:rPr>
        <w:t xml:space="preserve"> tiene competencia, para conocer y resolver el presente juicio, con fundamento en lo dispuesto por los artículos 41, párrafo segundo, base VI, y 99, párrafo cuarto, fracción V, de la Constitución Política de los </w:t>
      </w:r>
      <w:r w:rsidRPr="00CF2780">
        <w:rPr>
          <w:rFonts w:ascii="Arial" w:eastAsia="Times New Roman" w:hAnsi="Arial" w:cs="Arial"/>
          <w:sz w:val="28"/>
          <w:szCs w:val="28"/>
          <w:lang w:val="es-ES" w:eastAsia="es-ES"/>
        </w:rPr>
        <w:lastRenderedPageBreak/>
        <w:t xml:space="preserve">Estados Unidos Mexicanos; 186, fracción III, inciso c), y 189, fracción I, inciso e), de la Ley Orgánica del Poder Judicial de la Federación; 79, párrafo 1, 80, párrafo 1, inciso f), y 83, párrafo 1, inciso a), fracción III, de la Ley General del Sistema de Medios de Impugnación en Materia Electoral, porque se trata de un juicio para la protección de los derechos político-electorales del ciudadano, promovido varios ciudadanos integrantes de la comunidad indígena de Cherán, en el Estado de Michoacán, contra el </w:t>
      </w:r>
      <w:r w:rsidRPr="00CF2780">
        <w:rPr>
          <w:rFonts w:ascii="Arial" w:eastAsia="Times New Roman" w:hAnsi="Arial" w:cs="Arial"/>
          <w:bCs/>
          <w:color w:val="000000"/>
          <w:spacing w:val="3"/>
          <w:sz w:val="28"/>
          <w:szCs w:val="28"/>
          <w:lang w:val="es-ES_tradnl" w:eastAsia="es-ES"/>
        </w:rPr>
        <w:t xml:space="preserve">Acuerdo CG-38/2011 de nueve de septiembre de dos mil once emitido por el Consejo General del Instituto Electoral de Michoacán por el que se da </w:t>
      </w:r>
      <w:r w:rsidRPr="00CF2780">
        <w:rPr>
          <w:rFonts w:ascii="Arial" w:eastAsia="Times New Roman" w:hAnsi="Arial" w:cs="Arial"/>
          <w:bCs/>
          <w:color w:val="000000"/>
          <w:spacing w:val="2"/>
          <w:sz w:val="28"/>
          <w:szCs w:val="28"/>
          <w:lang w:val="es-ES_tradnl" w:eastAsia="es-ES"/>
        </w:rPr>
        <w:t xml:space="preserve">respuesta a la petición para celebrar elecciones </w:t>
      </w:r>
      <w:r w:rsidRPr="00CF2780">
        <w:rPr>
          <w:rFonts w:ascii="Arial" w:eastAsia="Times New Roman" w:hAnsi="Arial" w:cs="Arial"/>
          <w:bCs/>
          <w:color w:val="000000"/>
          <w:spacing w:val="3"/>
          <w:sz w:val="28"/>
          <w:szCs w:val="28"/>
          <w:lang w:val="es-ES_tradnl" w:eastAsia="es-ES"/>
        </w:rPr>
        <w:t>bajo sus usos y costumbres</w:t>
      </w:r>
      <w:r w:rsidRPr="00CF2780">
        <w:rPr>
          <w:rFonts w:ascii="Arial" w:eastAsia="Times New Roman" w:hAnsi="Arial" w:cs="Arial"/>
          <w:sz w:val="28"/>
          <w:szCs w:val="28"/>
          <w:lang w:val="es-ES" w:eastAsia="es-ES"/>
        </w:rPr>
        <w:t>, pues como se determinó en la resolución del expediente SUP-SFA-35/2011:</w:t>
      </w:r>
    </w:p>
    <w:p w14:paraId="0DC82679"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5278ABE6"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a)</w:t>
      </w:r>
      <w:r w:rsidRPr="00CF2780">
        <w:rPr>
          <w:rFonts w:ascii="Arial" w:eastAsia="Times New Roman" w:hAnsi="Arial" w:cs="Arial"/>
          <w:sz w:val="28"/>
          <w:szCs w:val="28"/>
          <w:lang w:val="es-ES" w:eastAsia="es-ES"/>
        </w:rPr>
        <w:t xml:space="preserve"> En el caso, la presunta violación al derecho que aducen los promoventes se relaciona tanto con la elección de Gobernador en el Estado de Michoacán, como con la elección de diputados e integrantes de ayuntamientos en el mismo Estado, así como el reconocimiento de su derecho de decidir, mediante el sistema de usos y costumbres, la manera de designar a sus autoridades.</w:t>
      </w:r>
    </w:p>
    <w:p w14:paraId="7A677C61"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6F1B8FAB"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Por ello, el presente juicio ciudadano debe resolverse por este órgano jurisdiccional, si se toma en cuenta la imposibilidad de escindir la continencia de la causa con determinaciones parciales, con perjuicio del mejor conocimiento que puede proporcionar la vista conjunta de todas las cuestiones planteadas, en su individualidad y correlación en un mismo proceso impugnativo, pues ha sido criterio de Sala Superior que en aquellos medios de impugnación en que se controviertan actos </w:t>
      </w:r>
      <w:r w:rsidRPr="00CF2780">
        <w:rPr>
          <w:rFonts w:ascii="Arial" w:eastAsia="Times New Roman" w:hAnsi="Arial" w:cs="Arial"/>
          <w:sz w:val="28"/>
          <w:szCs w:val="28"/>
          <w:lang w:val="es-ES" w:eastAsia="es-ES"/>
        </w:rPr>
        <w:lastRenderedPageBreak/>
        <w:t>o resoluciones cuya materia pueda ser del conocimiento de ésta y de las Salas Regionales y la materia de la controversia es inescindible, entonces el asunto debe decidirse en una única resolución y, por tanto, debe conocerse por un solo órgano jurisdiccional, a fin de evitar la división en la continencia de la causa.</w:t>
      </w:r>
    </w:p>
    <w:p w14:paraId="0F638BD5"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78F835D4"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Sirve de apoyo a lo anterior, lo establecido en la jurisprudencia 05/2004, correspondiente a la Tercera Época, consultable en la “</w:t>
      </w:r>
      <w:r w:rsidRPr="00CF2780">
        <w:rPr>
          <w:rFonts w:ascii="Arial" w:eastAsia="Times New Roman" w:hAnsi="Arial" w:cs="Arial"/>
          <w:i/>
          <w:sz w:val="28"/>
          <w:szCs w:val="28"/>
          <w:lang w:val="es-ES" w:eastAsia="es-ES"/>
        </w:rPr>
        <w:t>Compilación 1997-2010: Jurisprudencia y tesis en materia electoral”</w:t>
      </w:r>
      <w:r w:rsidRPr="00CF2780">
        <w:rPr>
          <w:rFonts w:ascii="Arial" w:eastAsia="Times New Roman" w:hAnsi="Arial" w:cs="Arial"/>
          <w:sz w:val="28"/>
          <w:szCs w:val="28"/>
          <w:lang w:val="es-ES" w:eastAsia="es-ES"/>
        </w:rPr>
        <w:t>, tomo Jurisprudencia, volumen 1, publicada por el Tribunal Electoral del Poder Judicial de la Federación, visible en las páginas 210 y 211, con el rubro y texto siguientes:</w:t>
      </w:r>
    </w:p>
    <w:p w14:paraId="653602D8" w14:textId="77777777" w:rsidR="00AD59FF" w:rsidRPr="00CF2780" w:rsidRDefault="00AD59FF" w:rsidP="00AD59FF">
      <w:pPr>
        <w:spacing w:after="0" w:line="240" w:lineRule="auto"/>
        <w:jc w:val="both"/>
        <w:rPr>
          <w:rFonts w:ascii="Arial" w:eastAsia="Times New Roman" w:hAnsi="Arial" w:cs="Arial"/>
          <w:b/>
          <w:bCs/>
          <w:sz w:val="28"/>
          <w:szCs w:val="28"/>
          <w:lang w:val="es-ES" w:eastAsia="es-ES"/>
        </w:rPr>
      </w:pPr>
    </w:p>
    <w:p w14:paraId="641809FC"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r w:rsidRPr="00CF2780">
        <w:rPr>
          <w:rFonts w:ascii="Arial" w:eastAsia="Times New Roman" w:hAnsi="Arial" w:cs="Arial"/>
          <w:b/>
          <w:bCs/>
          <w:sz w:val="24"/>
          <w:szCs w:val="24"/>
          <w:lang w:val="es-ES" w:eastAsia="es-ES"/>
        </w:rPr>
        <w:t xml:space="preserve">“CONTINENCIA DE LA CAUSA. ES INACEPTABLE DIVIDIRLA PARA SU IMPUGNACIÓN. </w:t>
      </w:r>
      <w:r w:rsidRPr="00CF2780">
        <w:rPr>
          <w:rFonts w:ascii="Arial" w:eastAsia="Times New Roman" w:hAnsi="Arial" w:cs="Arial"/>
          <w:sz w:val="24"/>
          <w:szCs w:val="24"/>
          <w:lang w:val="es-ES" w:eastAsia="es-ES"/>
        </w:rPr>
        <w:t xml:space="preserve">De la interpretación funcional de los artículos 41 y 116 de la Constitución Política de los Estados Unidos Mexicanos y de las leyes electorales estatales que recogen las reglas y principios jurídicos propios de los medios de impugnación, se concluye que no se puede escindir la continencia de la causa con determinaciones parciales. Lo anterior es así, porque cualquier proceso impugnativo debe concluir necesariamente con una sola resolución, en la que se comprendan todas las cuestiones concernientes al mismo, en su individualidad y en su correlación, desde lo relativo a su procedencia hasta la decisión del mérito sustancial de la controversia, con el pronunciamiento sobre las pretensiones y defensas opuestas. Esta situación resulta de la naturaleza de la jurisdicción electoral, de los valores que protege y de los fines que persigue, toda vez que se trata de procesos concentrados en muy pocas actuaciones, en donde se tiene el propósito de hacer frente eficazmente a las necesidades de especial celeridad en la tramitación, sustanciación y resolución, como únicos instrumentos idóneos para resarcir a los promoventes en el goce y disfrute de los derechos conculcados o de enmendar oportunamente las irregularidades de un proceso, antes de que se tornen irreparables por la definitividad; esto con el objeto de concluir el ejercicio democrático con apego a los principios fijados en la ley fundamental, en donde la fragmentación de la contienda constituiría un atentado a dichas calidades definitorias, en tanto que multiplicaría innecesariamente las actuaciones, en contravención al principio de concentración; fomentaría mayor extensión en la prosecución de la causa; propiciaría el incremento de </w:t>
      </w:r>
      <w:r w:rsidRPr="00CF2780">
        <w:rPr>
          <w:rFonts w:ascii="Arial" w:eastAsia="Times New Roman" w:hAnsi="Arial" w:cs="Arial"/>
          <w:sz w:val="24"/>
          <w:szCs w:val="24"/>
          <w:lang w:val="es-ES" w:eastAsia="es-ES"/>
        </w:rPr>
        <w:lastRenderedPageBreak/>
        <w:t>instancias; dividiría la continencia de la causa con perjuicio del mejor conocimiento que puede proporcionar la vista conjunta de todas las cuestiones planteadas, en su individualidad y correlación; generaría la posibilidad de resoluciones incompletas; abriría cauces para resoluciones contradictorias; podría dar lugar a reposiciones de procedimientos en detrimento de los plazos breves que son necesarios para su resolución definitiva; rompería con la continuidad necesaria y conveniente en el trámite y en el tiempo, y hasta podría generar la irreparabilidad de las violaciones u obstaculizar o hacer imposible la ejecución de las sentencias”.</w:t>
      </w:r>
    </w:p>
    <w:p w14:paraId="0943E982"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0D61D55B"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b)</w:t>
      </w:r>
      <w:r w:rsidRPr="00CF2780">
        <w:rPr>
          <w:rFonts w:ascii="Arial" w:eastAsia="Times New Roman" w:hAnsi="Arial" w:cs="Arial"/>
          <w:sz w:val="28"/>
          <w:szCs w:val="28"/>
          <w:lang w:val="es-ES" w:eastAsia="es-ES"/>
        </w:rPr>
        <w:t xml:space="preserve"> Asimismo, uno de los planteamientos de fondo que subyace en las peticiones presentadas por los actores ante la autoridad responsable, consiste en pretender modificar, al menos dentro de su comunidad, el régimen jurídico ordinario que regula la celebración de elecciones de integrantes de ayuntamiento en el sistema electoral del Estado de Michoacán, regido por el sistema de partidos políticos, por otro diverso, basado en el sistema de usos y costumbres invocado por aquellos.</w:t>
      </w:r>
    </w:p>
    <w:p w14:paraId="7D42AF37"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0248C2CD"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Este tipo de planteamiento y la consiguiente respuesta que emitió la responsable, no están contemplados como alguno de los supuestos de los que tengan competencia expresa la Sala Superior ni las Salas Regionales, pues en el artículo 83 de la Ley General del Sistema de Medios de Impugnación en Materia Electoral, no se prevé algún supuesto que incluya el acto reclamado por los actores, de tal manera que, por esta razón, también corresponde a esta Sala Superior conocer del asunto, a fin de observar el principio de acceso a la justicia en materia electoral.</w:t>
      </w:r>
    </w:p>
    <w:p w14:paraId="3C65E2A7"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 xml:space="preserve">SEGUNDO. Procedencia de la acción </w:t>
      </w:r>
      <w:r w:rsidRPr="00CF2780">
        <w:rPr>
          <w:rFonts w:ascii="Arial" w:eastAsia="Times New Roman" w:hAnsi="Arial" w:cs="Arial"/>
          <w:b/>
          <w:i/>
          <w:sz w:val="28"/>
          <w:szCs w:val="28"/>
          <w:lang w:val="es-ES" w:eastAsia="es-ES"/>
        </w:rPr>
        <w:t>per saltum</w:t>
      </w:r>
      <w:r w:rsidRPr="00CF2780">
        <w:rPr>
          <w:rFonts w:ascii="Arial" w:eastAsia="Times New Roman" w:hAnsi="Arial" w:cs="Arial"/>
          <w:b/>
          <w:sz w:val="28"/>
          <w:szCs w:val="28"/>
          <w:lang w:val="es-ES" w:eastAsia="es-ES"/>
        </w:rPr>
        <w:t>.</w:t>
      </w:r>
      <w:r w:rsidRPr="00CF2780">
        <w:rPr>
          <w:rFonts w:ascii="Arial" w:eastAsia="Times New Roman" w:hAnsi="Arial" w:cs="Arial"/>
          <w:sz w:val="28"/>
          <w:szCs w:val="28"/>
          <w:lang w:val="es-ES" w:eastAsia="es-ES"/>
        </w:rPr>
        <w:t xml:space="preserve">  Los actores ejercen acción </w:t>
      </w:r>
      <w:r w:rsidRPr="00CF2780">
        <w:rPr>
          <w:rFonts w:ascii="Arial" w:eastAsia="Times New Roman" w:hAnsi="Arial" w:cs="Arial"/>
          <w:i/>
          <w:sz w:val="28"/>
          <w:szCs w:val="28"/>
          <w:lang w:val="es-ES" w:eastAsia="es-ES"/>
        </w:rPr>
        <w:t>per saltum</w:t>
      </w:r>
      <w:r w:rsidRPr="00CF2780">
        <w:rPr>
          <w:rFonts w:ascii="Arial" w:eastAsia="Times New Roman" w:hAnsi="Arial" w:cs="Arial"/>
          <w:sz w:val="28"/>
          <w:szCs w:val="28"/>
          <w:lang w:val="es-ES" w:eastAsia="es-ES"/>
        </w:rPr>
        <w:t xml:space="preserve">, al considerar que si el Instituto carece de atribuciones para conocer de lo solicitado es claro que cualquier recurso </w:t>
      </w:r>
      <w:r w:rsidRPr="00CF2780">
        <w:rPr>
          <w:rFonts w:ascii="Arial" w:eastAsia="Times New Roman" w:hAnsi="Arial" w:cs="Arial"/>
          <w:sz w:val="28"/>
          <w:szCs w:val="28"/>
          <w:lang w:val="es-ES" w:eastAsia="es-ES"/>
        </w:rPr>
        <w:lastRenderedPageBreak/>
        <w:t>local resultaría ineficaz para alcanzar su pretensión de que se les reconozca el derecho histórico a elegir autoridades municipales conforme a usos y costumbres de la comunidad y organizarlas conforme a sus prácticas tradicionales.</w:t>
      </w:r>
    </w:p>
    <w:p w14:paraId="2BB4F2A5"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57CD637B"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Esta Sala Superior considera procedente la petición de los promoventes, atento a las consideraciones siguientes.</w:t>
      </w:r>
    </w:p>
    <w:p w14:paraId="7D6E40B8"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09B5C749"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Los artículos 99, párrafo cuarto, fracción V, de la Constitución Política de los Estados Unidos Mexicanos, y 80, apartado 2, de la Ley General del Sistema de Medios de Impugnación en Materia Electoral, el juicio para la protección de los derechos político-electorales del ciudadano sólo procede en contra de actos y resoluciones definitivas y firmes, y se exige el agotamiento de todas las instancias previas establecidas en la ley o en la norma partidaria en virtud de las cuales se pueda modificar, revocar o anular el acto impugnado.</w:t>
      </w:r>
    </w:p>
    <w:p w14:paraId="1DAAF97D"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4331EC34"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Al respecto, la Sala Superior ha sostenido que el principio de definitividad, rector del juicio de revisión constitucional electoral, se cumple, cuando se agotan previamente a la promoción de aquél, las instancias que reúnan las dos siguientes características: a) que sean las idóneas, conforme a las leyes locales respectivas, para impugnar el acto o resolución electoral de que se trate, y b) que conforme a los propios ordenamientos sean aptas para modificar, revocar o anular a éstos.</w:t>
      </w:r>
    </w:p>
    <w:p w14:paraId="6D3F5EC7"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3323FAF8"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lastRenderedPageBreak/>
        <w:t>En ese orden de ideas, la exigencia de agotar las instancias previas tiene como presupuesto que éstas sean idóneas, aptas, suficientes y eficaces para alcanzar las pretensiones de los justiciables en el pleno uso y goce del derecho presuntamente violado; pues sólo de esta manera se da cumplimiento a la máxima constitucional de justicia pronta, completa y expedita.</w:t>
      </w:r>
    </w:p>
    <w:p w14:paraId="065FCD8B"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245D11FC"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Sin embargo, este órgano jurisdiccional también ha considerado que cuando el agotamiento previo de los medios de impugnación, se traduzca en una amenaza seria para los derechos sustanciales que son objeto de litigio, porque los trámites de que consten y el tiempo necesario para llevarlos a cabo puedan implicar la merma considerable o incluso la extinción del contenido de las pretensiones o de sus efectos o consecuencias, está justificada la acción </w:t>
      </w:r>
      <w:r w:rsidRPr="00CF2780">
        <w:rPr>
          <w:rFonts w:ascii="Arial" w:eastAsia="Times New Roman" w:hAnsi="Arial" w:cs="Arial"/>
          <w:i/>
          <w:sz w:val="28"/>
          <w:szCs w:val="28"/>
          <w:lang w:val="es-ES" w:eastAsia="es-ES"/>
        </w:rPr>
        <w:t>per saltum</w:t>
      </w:r>
      <w:r w:rsidRPr="00CF2780">
        <w:rPr>
          <w:rFonts w:ascii="Arial" w:eastAsia="Times New Roman" w:hAnsi="Arial" w:cs="Arial"/>
          <w:sz w:val="28"/>
          <w:szCs w:val="28"/>
          <w:lang w:val="es-ES" w:eastAsia="es-ES"/>
        </w:rPr>
        <w:t xml:space="preserve"> al medio de defensa federal.</w:t>
      </w:r>
    </w:p>
    <w:p w14:paraId="2187A4C6"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6BC90A8E"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Este criterio tiene sustento en la jurisprudencia 23/2000, consultable en la “</w:t>
      </w:r>
      <w:r w:rsidRPr="00CF2780">
        <w:rPr>
          <w:rFonts w:ascii="Arial" w:eastAsia="Times New Roman" w:hAnsi="Arial" w:cs="Arial"/>
          <w:i/>
          <w:sz w:val="28"/>
          <w:szCs w:val="28"/>
          <w:lang w:val="es-ES" w:eastAsia="es-ES"/>
        </w:rPr>
        <w:t>Compilación 1997-2010: Jurisprudencia y tesis en materia electoral”</w:t>
      </w:r>
      <w:r w:rsidRPr="00CF2780">
        <w:rPr>
          <w:rFonts w:ascii="Arial" w:eastAsia="Times New Roman" w:hAnsi="Arial" w:cs="Arial"/>
          <w:sz w:val="28"/>
          <w:szCs w:val="28"/>
          <w:lang w:val="es-ES" w:eastAsia="es-ES"/>
        </w:rPr>
        <w:t>, tomo Jurisprudencia, volumen 1, publicada por el Tribunal Electoral del Poder Judicial de la Federación, visible en las páginas 236 a 238, con el rubro y texto siguientes:</w:t>
      </w:r>
    </w:p>
    <w:p w14:paraId="1AA6E67E"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0FE541D3"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r w:rsidRPr="00CF2780">
        <w:rPr>
          <w:rFonts w:ascii="Arial" w:eastAsia="Times New Roman" w:hAnsi="Arial" w:cs="Arial"/>
          <w:b/>
          <w:sz w:val="24"/>
          <w:szCs w:val="24"/>
          <w:lang w:val="es-ES" w:eastAsia="es-ES"/>
        </w:rPr>
        <w:t xml:space="preserve">“DEFINITIVIDAD Y FIRMEZA. SI EL AGOTAMIENTO DE LOS MEDIOS IMPUGNATIVOS ORDINARIOS IMPLICAN LA MERMA O EXTINCIÓN DE LA PRETENSIÓN DEL ACTOR, DEBE TENERSE POR CUMPLIDO EL REQUISITO. </w:t>
      </w:r>
      <w:r w:rsidRPr="00CF2780">
        <w:rPr>
          <w:rFonts w:ascii="Arial" w:eastAsia="Times New Roman" w:hAnsi="Arial" w:cs="Arial"/>
          <w:sz w:val="24"/>
          <w:szCs w:val="24"/>
          <w:lang w:val="es-ES" w:eastAsia="es-ES"/>
        </w:rPr>
        <w:t xml:space="preserve">El actor queda exonerado de agotar los medios de impugnación previstos en la ley electoral local, en los casos en que el agotamiento previo de los medios de impugnación, se traduzca en una amenaza seria para los derechos sustanciales que son objeto del litigio, porque los trámites de que consten y el tiempo necesario para llevarlos a cabo puedan implicar la merma </w:t>
      </w:r>
      <w:r w:rsidRPr="00CF2780">
        <w:rPr>
          <w:rFonts w:ascii="Arial" w:eastAsia="Times New Roman" w:hAnsi="Arial" w:cs="Arial"/>
          <w:sz w:val="24"/>
          <w:szCs w:val="24"/>
          <w:lang w:val="es-ES" w:eastAsia="es-ES"/>
        </w:rPr>
        <w:lastRenderedPageBreak/>
        <w:t>considerable o hasta la extinción del contenido de las pretensiones o de sus efectos o consecuencias, por lo que el acto electoral se considera firme y definitivo. En efecto, la razón que constituye la base lógica y jurídica para imponer al justiciable la carga de recurrir previamente a los medios ordinarios, antes de acceder a la justicia constitucional federal, radica en la explicación de sentido común de que tales medios de impugnación no son meras exigencias formales para retardar la impartición de la justicia, obstáculos impuestos al gobernado con el afán de dificultarle la preservación de sus derechos ni requisitos inocuos que deben cumplirse para conseguir la tutela efectiva que les garantiza la Constitución federal, sino instrumentos aptos y suficientes para reparar, oportuna y adecuadamente, las violaciones a las leyes que se hayan cometido en el acto o resolución que se combata; y al ser así las cosas, se impone deducir que, cuando ese propósito o finalidad no se puede satisfacer en algún caso concreto, ya sea por las especiales peculiaridades del asunto, por la forma en que se encuentren regulados los procesos impugnativos comunes, o por las actitudes de la propia autoridad responsable o de la que conoce o deba conocer de algún juicio o recurso de los aludidos, entonces se extingue la carga procesal de agotarlos, y por tanto se puede ocurrir directamente a la vía constitucional, pues las situaciones apuntadas imposibilitan la finalidad restitutoria plena que por naturaleza corresponde a los procesos impugnativos, lo que se robustece si se toma en cuenta que en la jurisdicción electoral no existen medidas o procesos cautelares, ni es posible fáctica ni jurídicamente retrotraer las cosas al tiempo pasado en que se cometieron las violaciones, mediante la reposición de un proceso electoral”.</w:t>
      </w:r>
    </w:p>
    <w:p w14:paraId="691AEB28"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48BC3D84"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En el caso,</w:t>
      </w:r>
      <w:r w:rsidRPr="00CF2780">
        <w:rPr>
          <w:rFonts w:ascii="Arial" w:eastAsia="Times New Roman" w:hAnsi="Arial" w:cs="Arial"/>
          <w:bCs/>
          <w:color w:val="000000"/>
          <w:spacing w:val="3"/>
          <w:sz w:val="28"/>
          <w:szCs w:val="28"/>
          <w:lang w:val="es-ES_tradnl" w:eastAsia="es-ES"/>
        </w:rPr>
        <w:t xml:space="preserve"> el acuerdo CG-38/2011 de nueve de septiembre de dos mil once emitido por el Consejo General del Instituto Electoral de Michoacán por el que se da </w:t>
      </w:r>
      <w:r w:rsidRPr="00CF2780">
        <w:rPr>
          <w:rFonts w:ascii="Arial" w:eastAsia="Times New Roman" w:hAnsi="Arial" w:cs="Arial"/>
          <w:bCs/>
          <w:color w:val="000000"/>
          <w:spacing w:val="2"/>
          <w:sz w:val="28"/>
          <w:szCs w:val="28"/>
          <w:lang w:val="es-ES_tradnl" w:eastAsia="es-ES"/>
        </w:rPr>
        <w:t xml:space="preserve">respuesta a la petición de la comunidad indígena de Cherán para celebrar elecciones </w:t>
      </w:r>
      <w:r w:rsidRPr="00CF2780">
        <w:rPr>
          <w:rFonts w:ascii="Arial" w:eastAsia="Times New Roman" w:hAnsi="Arial" w:cs="Arial"/>
          <w:bCs/>
          <w:color w:val="000000"/>
          <w:spacing w:val="3"/>
          <w:sz w:val="28"/>
          <w:szCs w:val="28"/>
          <w:lang w:val="es-ES_tradnl" w:eastAsia="es-ES"/>
        </w:rPr>
        <w:t>bajo sus usos y costumbres.</w:t>
      </w:r>
    </w:p>
    <w:p w14:paraId="7890BE93"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63EC147F"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Todos los agravios de los promoventes se encuentran dirigidos a controvertir, en esencia, que la determinación emitida por el Consejo General del Instituto Electoral de Michoacán conculca sus derechos político-electorales, pues en tanto integrantes de una comunidad o pueblo indígena tienen derecho a elegir a sus autoridades o </w:t>
      </w:r>
      <w:r w:rsidRPr="00CF2780">
        <w:rPr>
          <w:rFonts w:ascii="Arial" w:eastAsia="Times New Roman" w:hAnsi="Arial" w:cs="Arial"/>
          <w:sz w:val="28"/>
          <w:szCs w:val="28"/>
          <w:lang w:val="es-ES" w:eastAsia="es-ES"/>
        </w:rPr>
        <w:lastRenderedPageBreak/>
        <w:t>representantes, conforme a sus propias normas, procedimientos y prácticas tradicionales.</w:t>
      </w:r>
    </w:p>
    <w:p w14:paraId="72DB3928"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5F2C9862"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Al respecto, aducen que el Instituto Electoral de Michoacán se limitó a declararse incompetente, sin generar ninguna acción tendente a que los integrantes de la comunidad indígena de Cherán obtuvieran un acceso efectivo a la justicia del Estado.</w:t>
      </w:r>
    </w:p>
    <w:p w14:paraId="4CDED452" w14:textId="77777777" w:rsidR="00AD59FF" w:rsidRPr="00CF2780" w:rsidRDefault="00AD59FF" w:rsidP="00AD59FF">
      <w:pPr>
        <w:spacing w:after="0" w:line="240" w:lineRule="auto"/>
        <w:jc w:val="both"/>
        <w:rPr>
          <w:rFonts w:ascii="Arial" w:eastAsia="Times New Roman" w:hAnsi="Arial" w:cs="Arial"/>
          <w:b/>
          <w:bCs/>
          <w:sz w:val="28"/>
          <w:szCs w:val="28"/>
          <w:lang w:val="es-ES" w:eastAsia="es-ES"/>
        </w:rPr>
      </w:pPr>
    </w:p>
    <w:p w14:paraId="1B843D23"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Lo anterior, sobre la base de que el acceso a la justicia del Estado por parte de los pueblos indígenas debe ser real y material, lo que se traduce en la obligación de las autoridades de dar una solución de fondo a la problemática que se le presenta, tomando como punto de partida, que el texto constitucional reconoce la libre determinación de los pueblos indígenas y también garantiza el derecho que tienen éstos para elegir a sus autoridades de acuerdo a sus procedimientos y prácticas tradicionales.</w:t>
      </w:r>
    </w:p>
    <w:p w14:paraId="3B2A180B"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58E93DE7"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Como se advierte, la resolución del presente asunto se relaciona con el proceso electoral local que actualmente se desarrolla en la correspondiente entidad federativa y con el reconocimiento de su derecho de decidir, mediante el sistema de usos y costumbres, la manera de designar a sus autoridades.</w:t>
      </w:r>
    </w:p>
    <w:p w14:paraId="06F8B3F1"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0E1BE30B"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Establecido lo anterior, debe considerarse que la jornada electoral en la entidad federativa en cuestión tendrá verificativo el trece de noviembre de dos mil once, en términos de lo establecido por los artículos Cuarto, segundo párrafo; Quinto, segundo párrafo, y Sexto, </w:t>
      </w:r>
      <w:r w:rsidRPr="00CF2780">
        <w:rPr>
          <w:rFonts w:ascii="Arial" w:eastAsia="Times New Roman" w:hAnsi="Arial" w:cs="Arial"/>
          <w:sz w:val="28"/>
          <w:szCs w:val="28"/>
          <w:lang w:val="es-ES" w:eastAsia="es-ES"/>
        </w:rPr>
        <w:lastRenderedPageBreak/>
        <w:t>segundo párrafo, transitorios del Decreto número 69 por el que se reforma la Constitución Política del Estado Libre y Soberano de Michoacán de Ocampo, publicado en el Periódico Oficial el veintidós de septiembre de dos mil seis y con fe de errata publicada el veintiséis siguiente.</w:t>
      </w:r>
    </w:p>
    <w:p w14:paraId="5EE1E334"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1AD6234D"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Atento a lo anterior, dada la cercanía de la jornada electoral, es inconcuso que cualquier dilación en la resolución del medio de impugnación que se analiza, repercute en la eficacia de la pretensión de las enjuiciantes, consistente en que se les reconozca y garantice el ejercicio de su derecho a elegir a sus autoridades o representantes, conforme a sus propias normas, procedimientos y prácticas tradicionales.</w:t>
      </w:r>
    </w:p>
    <w:p w14:paraId="2414F98C"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53B628A7"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En ese sentido, si bien se ha determinado que en virtud de lo dispuesto en los artículos 46 y 48 fracción II, de la Ley de Justicia Electoral del Estado de Michoacán de Ocampo, el recurso de apelación puede ser interpuesto por los ciudadanos por violación a sus derechos político-electorales</w:t>
      </w:r>
      <w:r w:rsidRPr="00CF2780">
        <w:rPr>
          <w:rFonts w:ascii="Arial" w:eastAsia="Times New Roman" w:hAnsi="Arial" w:cs="Arial"/>
          <w:sz w:val="28"/>
          <w:szCs w:val="28"/>
          <w:vertAlign w:val="superscript"/>
          <w:lang w:val="es-ES" w:eastAsia="es-ES"/>
        </w:rPr>
        <w:footnoteReference w:id="1"/>
      </w:r>
      <w:r w:rsidRPr="00CF2780">
        <w:rPr>
          <w:rFonts w:ascii="Arial" w:eastAsia="Times New Roman" w:hAnsi="Arial" w:cs="Arial"/>
          <w:sz w:val="28"/>
          <w:szCs w:val="28"/>
          <w:lang w:val="es-ES" w:eastAsia="es-ES"/>
        </w:rPr>
        <w:t xml:space="preserve">, lo cierto es que agotar tal medio de impugnación podría traducirse en un riesgo o merma en la eventual restitución del derecho reclamado por los actores, toda vez que su pretensión final consiste en modificar, al menos dentro de su comunidad, el régimen jurídico ordinario que regula la celebración de elecciones de integrantes de ayuntamiento en el sistema electoral del Estado de Michoacán, </w:t>
      </w:r>
      <w:r w:rsidRPr="00CF2780">
        <w:rPr>
          <w:rFonts w:ascii="Arial" w:eastAsia="Times New Roman" w:hAnsi="Arial" w:cs="Arial"/>
          <w:sz w:val="28"/>
          <w:szCs w:val="28"/>
          <w:lang w:val="es-ES" w:eastAsia="es-ES"/>
        </w:rPr>
        <w:lastRenderedPageBreak/>
        <w:t>regido por el sistema de partidos políticos, por otro diverso, basado en sus de usos y costumbres.</w:t>
      </w:r>
    </w:p>
    <w:p w14:paraId="0E4282BC" w14:textId="77777777" w:rsidR="00AD59FF" w:rsidRPr="00CF2780" w:rsidRDefault="00AD59FF" w:rsidP="00AD59FF">
      <w:pPr>
        <w:spacing w:after="0" w:line="360" w:lineRule="auto"/>
        <w:jc w:val="both"/>
        <w:rPr>
          <w:rFonts w:ascii="Arial" w:eastAsia="Times New Roman" w:hAnsi="Arial" w:cs="Arial"/>
          <w:sz w:val="28"/>
          <w:szCs w:val="28"/>
          <w:lang w:val="es-ES" w:eastAsia="es-ES"/>
        </w:rPr>
      </w:pPr>
    </w:p>
    <w:p w14:paraId="289E27A3"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Por lo anterior, dada la cercanía de la jornada electoral es preciso resolver a la brevedad posible la controversia planteada en el presente juicio a fin de evitar demoras injustificadas o una eventual merma o extinción de la pretensión de los actores.</w:t>
      </w:r>
    </w:p>
    <w:p w14:paraId="56635AAD"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3C9A7D1C"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En consecuencia, resulta procedente la acción </w:t>
      </w:r>
      <w:r w:rsidRPr="00CF2780">
        <w:rPr>
          <w:rFonts w:ascii="Arial" w:eastAsia="Times New Roman" w:hAnsi="Arial" w:cs="Arial"/>
          <w:i/>
          <w:sz w:val="28"/>
          <w:szCs w:val="28"/>
          <w:lang w:val="es-ES" w:eastAsia="es-ES"/>
        </w:rPr>
        <w:t>per saltum</w:t>
      </w:r>
      <w:r w:rsidRPr="00CF2780">
        <w:rPr>
          <w:rFonts w:ascii="Arial" w:eastAsia="Times New Roman" w:hAnsi="Arial" w:cs="Arial"/>
          <w:sz w:val="28"/>
          <w:szCs w:val="28"/>
          <w:lang w:val="es-ES" w:eastAsia="es-ES"/>
        </w:rPr>
        <w:t xml:space="preserve"> formulada por los actores.</w:t>
      </w:r>
    </w:p>
    <w:p w14:paraId="0DBE61FC"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5BC1A69C"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 xml:space="preserve">TERCERO. Procedencia. </w:t>
      </w:r>
      <w:r w:rsidRPr="00CF2780">
        <w:rPr>
          <w:rFonts w:ascii="Arial" w:eastAsia="Times New Roman" w:hAnsi="Arial" w:cs="Arial"/>
          <w:sz w:val="28"/>
          <w:szCs w:val="28"/>
          <w:lang w:val="es-ES" w:eastAsia="es-ES"/>
        </w:rPr>
        <w:t xml:space="preserve">Previamente debe tenerse presente que, en términos de lo preceptuado en el artículo 4°, párrafo primero, de la Constitución federal, se establece que, en la ley, se debe garantizar a los integrantes de los pueblos indígenas "el efectivo acceso a la jurisdicción del Estado", lo cual, aunado a lo dispuesto en el artículo 17, párrafos segundo y tercero, de la propia Constitución, por cuanto a que los tribunales deben estar expeditos para impartir justicia en los plazos y términos que fijen las leyes, emitiendo sus resoluciones de manera pronta, completa e imparcial, así como el que se garantizará la independencia judicial y la plena ejecución de sus resoluciones, obligan a esta Sala Superior a tener un mayor celo en la aplicación de las causales de improcedencia que se prevén expresamente en la Ley General del Sistema de Medios de Impugnación en Materia Electoral y las que derivan de la normativa aplicable en la materia. </w:t>
      </w:r>
    </w:p>
    <w:p w14:paraId="2F219301"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p>
    <w:p w14:paraId="36114928"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lastRenderedPageBreak/>
        <w:t>Esta última conclusión se apunta porque los integrantes de dichas comunidades deben tener un acceso a la jurisdicción del Estado real, no virtual, formal o teórica, si fuera el caso de que indebidamente se prescindiera de sus particulares condiciones, por lo que se debe dispensar una justicia en la que se puedan defender en forma real y no retórica, sin que se interpongan impedimentos procesales por los que se prescinda de sus particulares circunstancias, ya que la efectividad de la administración de justicia debe traducirse en un actuar que sustraiga al ciudadano de esas comunidades de una resolución o sentencia alejada de formalismos exagerados e innecesarios, para que, en forma completa y real, el órgano jurisdiccional decida materialmente o en el fondo el problema planteado. De esta manera, una intelección cabal del enunciado constitucional "efectivo acceso a la jurisdicción del Estado", derivada de una interpretación sistemática y funcional de las disposiciones citadas, debe entenderse como el derecho de los ciudadanos a lo siguiente: a) La obtención de una sentencia de los órganos jurisdiccionales del Estado; b) La real resolución del problema planteado; c) La motivación y fundamentación de dicha decisión jurisdiccional, y d) La ejecución de la sentencia judicial.</w:t>
      </w:r>
    </w:p>
    <w:p w14:paraId="50305B6C" w14:textId="77777777" w:rsidR="00AD59FF" w:rsidRPr="00CF2780" w:rsidRDefault="00AD59FF" w:rsidP="00AD59FF">
      <w:pPr>
        <w:spacing w:after="0" w:line="360" w:lineRule="auto"/>
        <w:ind w:firstLine="708"/>
        <w:jc w:val="both"/>
        <w:rPr>
          <w:rFonts w:ascii="Arial" w:eastAsia="Times New Roman" w:hAnsi="Arial" w:cs="Arial"/>
          <w:b/>
          <w:sz w:val="28"/>
          <w:szCs w:val="28"/>
          <w:lang w:val="es-ES" w:eastAsia="es-ES"/>
        </w:rPr>
      </w:pPr>
    </w:p>
    <w:p w14:paraId="6A301A8B" w14:textId="77777777" w:rsidR="00AD59FF" w:rsidRPr="00CF2780" w:rsidRDefault="00AD59FF" w:rsidP="00AD59FF">
      <w:pPr>
        <w:spacing w:after="0" w:line="360" w:lineRule="auto"/>
        <w:ind w:firstLine="708"/>
        <w:jc w:val="both"/>
        <w:rPr>
          <w:rFonts w:ascii="Arial" w:eastAsia="Times New Roman" w:hAnsi="Arial" w:cs="Arial"/>
          <w:b/>
          <w:sz w:val="28"/>
          <w:szCs w:val="28"/>
          <w:lang w:val="es-ES" w:eastAsia="es-ES"/>
        </w:rPr>
      </w:pPr>
    </w:p>
    <w:p w14:paraId="52773E4E"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Esta Sala Superior considera que el medio de impugnación reúne los requisitos de procedencia previstos en los artículos 7, párrafo 2; 8; 9, párrafo 1; 79 y 80, párrafo 1, inciso g), de </w:t>
      </w:r>
      <w:smartTag w:uri="urn:schemas-microsoft-com:office:smarttags" w:element="PersonName">
        <w:smartTagPr>
          <w:attr w:name="ProductID" w:val="la Ley General"/>
        </w:smartTagPr>
        <w:r w:rsidRPr="00CF2780">
          <w:rPr>
            <w:rFonts w:ascii="Arial" w:eastAsia="Times New Roman" w:hAnsi="Arial" w:cs="Arial"/>
            <w:sz w:val="28"/>
            <w:szCs w:val="28"/>
            <w:lang w:val="es-ES" w:eastAsia="es-ES"/>
          </w:rPr>
          <w:t>la Ley General</w:t>
        </w:r>
      </w:smartTag>
      <w:r w:rsidRPr="00CF2780">
        <w:rPr>
          <w:rFonts w:ascii="Arial" w:eastAsia="Times New Roman" w:hAnsi="Arial" w:cs="Arial"/>
          <w:sz w:val="28"/>
          <w:szCs w:val="28"/>
          <w:lang w:val="es-ES" w:eastAsia="es-ES"/>
        </w:rPr>
        <w:t xml:space="preserve"> del Sistema de Medios de Impugnación en Materia Electoral.</w:t>
      </w:r>
    </w:p>
    <w:p w14:paraId="439E212F"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p>
    <w:p w14:paraId="246BE2AA"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b/>
          <w:sz w:val="28"/>
          <w:szCs w:val="28"/>
          <w:lang w:val="es-ES" w:eastAsia="es-ES"/>
        </w:rPr>
        <w:lastRenderedPageBreak/>
        <w:t>a) Forma.</w:t>
      </w:r>
      <w:r w:rsidRPr="00CF2780">
        <w:rPr>
          <w:rFonts w:ascii="Arial" w:eastAsia="Times New Roman" w:hAnsi="Arial" w:cs="Arial"/>
          <w:sz w:val="28"/>
          <w:szCs w:val="28"/>
          <w:lang w:val="es-ES" w:eastAsia="es-ES"/>
        </w:rPr>
        <w:t xml:space="preserve"> </w:t>
      </w:r>
      <w:r w:rsidRPr="00CF2780">
        <w:rPr>
          <w:rFonts w:ascii="Arial" w:eastAsia="Times New Roman" w:hAnsi="Arial" w:cs="Arial"/>
          <w:sz w:val="28"/>
          <w:szCs w:val="24"/>
          <w:lang w:val="es-ES" w:eastAsia="es-ES"/>
        </w:rPr>
        <w:t xml:space="preserve">Se cumplen los requisitos esenciales previstos en el artículo 9, apartado 1 de </w:t>
      </w:r>
      <w:smartTag w:uri="urn:schemas-microsoft-com:office:smarttags" w:element="PersonName">
        <w:smartTagPr>
          <w:attr w:name="ProductID" w:val="la Ley General"/>
        </w:smartTagPr>
        <w:r w:rsidRPr="00CF2780">
          <w:rPr>
            <w:rFonts w:ascii="Arial" w:eastAsia="Times New Roman" w:hAnsi="Arial" w:cs="Arial"/>
            <w:sz w:val="28"/>
            <w:szCs w:val="24"/>
            <w:lang w:val="es-ES" w:eastAsia="es-ES"/>
          </w:rPr>
          <w:t>la Ley General</w:t>
        </w:r>
      </w:smartTag>
      <w:r w:rsidRPr="00CF2780">
        <w:rPr>
          <w:rFonts w:ascii="Arial" w:eastAsia="Times New Roman" w:hAnsi="Arial" w:cs="Arial"/>
          <w:sz w:val="28"/>
          <w:szCs w:val="24"/>
          <w:lang w:val="es-ES" w:eastAsia="es-ES"/>
        </w:rPr>
        <w:t xml:space="preserve"> del Sistema de Medios de Impugnación en Materia Electoral, porque el escrito inicial se presentó ante el responsable, y en el escrito relativo se satisfacen las exigencias formales previstas en ese precepto, a saber:  el señalamiento del nombre de los promoventes, su domicilio para recibir notificaciones, la identificación de la resolución impugnada y de la autoridad responsable, la mención de los hechos y agravios que el actor estima le causa el acto reclamado, además de que el medio impugnativo cuenta con el nombre y la firma autógrafa de los demandantes.</w:t>
      </w:r>
    </w:p>
    <w:p w14:paraId="59E35E63"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02A8D283"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Conviene señalar que en torno a la firma de los comparecientes, el criterio fundamental consistió en estimar como cumplido tal requisito cuando en las listas correspondientes, en el espacio reservado a la firma se asentará cualquier signo o conjunto de signos.</w:t>
      </w:r>
    </w:p>
    <w:p w14:paraId="21A09733"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28D54E6E"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Asimismo, respecto de cuarenta y siete ciudadanos se estimó cumplido el requisito por la circunstancia de que hubieran asentado de manera autógrafa su nombre, a pesar de que el espacio reservado a la firma se encontrará en blanco. Los ciudadanos en cuestión se encuentran contenidos en el cuadro siguiente:</w:t>
      </w:r>
    </w:p>
    <w:p w14:paraId="1A2EA6B5"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tbl>
      <w:tblPr>
        <w:tblW w:w="8243" w:type="dxa"/>
        <w:tblInd w:w="40" w:type="dxa"/>
        <w:tblLayout w:type="fixed"/>
        <w:tblCellMar>
          <w:left w:w="40" w:type="dxa"/>
          <w:right w:w="40" w:type="dxa"/>
        </w:tblCellMar>
        <w:tblLook w:val="0000" w:firstRow="0" w:lastRow="0" w:firstColumn="0" w:lastColumn="0" w:noHBand="0" w:noVBand="0"/>
      </w:tblPr>
      <w:tblGrid>
        <w:gridCol w:w="691"/>
        <w:gridCol w:w="7"/>
        <w:gridCol w:w="5508"/>
        <w:gridCol w:w="7"/>
        <w:gridCol w:w="1080"/>
        <w:gridCol w:w="936"/>
        <w:gridCol w:w="14"/>
      </w:tblGrid>
      <w:tr w:rsidR="00AD59FF" w:rsidRPr="00CF2780" w14:paraId="77E7C826" w14:textId="77777777" w:rsidTr="00B05F31">
        <w:trPr>
          <w:gridAfter w:val="1"/>
          <w:wAfter w:w="14" w:type="dxa"/>
          <w:tblHeader/>
        </w:trPr>
        <w:tc>
          <w:tcPr>
            <w:tcW w:w="698" w:type="dxa"/>
            <w:gridSpan w:val="2"/>
            <w:tcBorders>
              <w:top w:val="single" w:sz="6" w:space="0" w:color="auto"/>
              <w:left w:val="single" w:sz="6" w:space="0" w:color="auto"/>
              <w:bottom w:val="nil"/>
              <w:right w:val="single" w:sz="6" w:space="0" w:color="auto"/>
            </w:tcBorders>
            <w:shd w:val="clear" w:color="auto" w:fill="BFBFBF"/>
          </w:tcPr>
          <w:p w14:paraId="0ABE31F1"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b/>
                <w:lang w:val="es-ES_tradnl" w:eastAsia="es-ES_tradnl"/>
              </w:rPr>
            </w:pPr>
            <w:r w:rsidRPr="00CF2780">
              <w:rPr>
                <w:rFonts w:ascii="Arial" w:eastAsia="Times New Roman" w:hAnsi="Arial" w:cs="Arial"/>
                <w:b/>
                <w:lang w:val="es-ES_tradnl" w:eastAsia="es-ES_tradnl"/>
              </w:rPr>
              <w:t>No.</w:t>
            </w:r>
          </w:p>
        </w:tc>
        <w:tc>
          <w:tcPr>
            <w:tcW w:w="5508" w:type="dxa"/>
            <w:tcBorders>
              <w:top w:val="single" w:sz="6" w:space="0" w:color="auto"/>
              <w:left w:val="single" w:sz="6" w:space="0" w:color="auto"/>
              <w:bottom w:val="nil"/>
              <w:right w:val="single" w:sz="6" w:space="0" w:color="auto"/>
            </w:tcBorders>
            <w:shd w:val="clear" w:color="auto" w:fill="BFBFBF"/>
          </w:tcPr>
          <w:p w14:paraId="3D8EA944"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b/>
                <w:lang w:val="es-ES_tradnl" w:eastAsia="es-ES_tradnl"/>
              </w:rPr>
            </w:pPr>
            <w:r w:rsidRPr="00CF2780">
              <w:rPr>
                <w:rFonts w:ascii="Arial" w:eastAsia="Times New Roman" w:hAnsi="Arial" w:cs="Arial"/>
                <w:b/>
                <w:lang w:val="es-ES_tradnl" w:eastAsia="es-ES_tradnl"/>
              </w:rPr>
              <w:t>PERSONA</w:t>
            </w:r>
          </w:p>
        </w:tc>
        <w:tc>
          <w:tcPr>
            <w:tcW w:w="1087" w:type="dxa"/>
            <w:gridSpan w:val="2"/>
            <w:tcBorders>
              <w:top w:val="single" w:sz="6" w:space="0" w:color="auto"/>
              <w:left w:val="single" w:sz="6" w:space="0" w:color="auto"/>
              <w:bottom w:val="nil"/>
              <w:right w:val="single" w:sz="6" w:space="0" w:color="auto"/>
            </w:tcBorders>
            <w:shd w:val="clear" w:color="auto" w:fill="BFBFBF"/>
          </w:tcPr>
          <w:p w14:paraId="250070D1" w14:textId="77777777" w:rsidR="00AD59FF" w:rsidRPr="00CF2780" w:rsidRDefault="00AD59FF" w:rsidP="00AD59FF">
            <w:pPr>
              <w:spacing w:after="0" w:line="240" w:lineRule="auto"/>
              <w:jc w:val="center"/>
              <w:rPr>
                <w:rFonts w:ascii="Arial" w:eastAsia="Times New Roman" w:hAnsi="Arial" w:cs="Arial"/>
                <w:b/>
                <w:lang w:val="es-ES" w:eastAsia="es-ES"/>
              </w:rPr>
            </w:pPr>
            <w:r w:rsidRPr="00CF2780">
              <w:rPr>
                <w:rFonts w:ascii="Arial" w:eastAsia="Times New Roman" w:hAnsi="Arial" w:cs="Arial"/>
                <w:b/>
                <w:lang w:val="es-ES" w:eastAsia="es-ES"/>
              </w:rPr>
              <w:t>FOJA</w:t>
            </w:r>
            <w:r w:rsidRPr="00CF2780">
              <w:rPr>
                <w:rFonts w:ascii="Arial" w:eastAsia="Times New Roman" w:hAnsi="Arial" w:cs="Arial"/>
                <w:b/>
                <w:vertAlign w:val="superscript"/>
                <w:lang w:val="es-ES" w:eastAsia="es-ES"/>
              </w:rPr>
              <w:footnoteReference w:id="2"/>
            </w:r>
          </w:p>
        </w:tc>
        <w:tc>
          <w:tcPr>
            <w:tcW w:w="936" w:type="dxa"/>
            <w:tcBorders>
              <w:top w:val="single" w:sz="6" w:space="0" w:color="auto"/>
              <w:left w:val="single" w:sz="6" w:space="0" w:color="auto"/>
              <w:bottom w:val="nil"/>
              <w:right w:val="single" w:sz="4" w:space="0" w:color="auto"/>
            </w:tcBorders>
            <w:shd w:val="clear" w:color="auto" w:fill="BFBFBF"/>
          </w:tcPr>
          <w:p w14:paraId="1CF4D6F9" w14:textId="77777777" w:rsidR="00AD59FF" w:rsidRPr="00CF2780" w:rsidRDefault="00AD59FF" w:rsidP="00AD59FF">
            <w:pPr>
              <w:spacing w:after="0" w:line="240" w:lineRule="auto"/>
              <w:jc w:val="center"/>
              <w:rPr>
                <w:rFonts w:ascii="Arial" w:eastAsia="Times New Roman" w:hAnsi="Arial" w:cs="Arial"/>
                <w:b/>
                <w:lang w:val="es-ES" w:eastAsia="es-ES"/>
              </w:rPr>
            </w:pPr>
            <w:r w:rsidRPr="00CF2780">
              <w:rPr>
                <w:rFonts w:ascii="Arial" w:eastAsia="Times New Roman" w:hAnsi="Arial" w:cs="Arial"/>
                <w:b/>
                <w:lang w:val="es-ES" w:eastAsia="es-ES"/>
              </w:rPr>
              <w:t>LÍNEA</w:t>
            </w:r>
            <w:r w:rsidRPr="00CF2780">
              <w:rPr>
                <w:rFonts w:ascii="Arial" w:eastAsia="Times New Roman" w:hAnsi="Arial" w:cs="Arial"/>
                <w:b/>
                <w:vertAlign w:val="superscript"/>
                <w:lang w:val="es-ES" w:eastAsia="es-ES"/>
              </w:rPr>
              <w:footnoteReference w:id="3"/>
            </w:r>
          </w:p>
        </w:tc>
      </w:tr>
      <w:tr w:rsidR="00AD59FF" w:rsidRPr="00CF2780" w14:paraId="0D3C04B5" w14:textId="77777777" w:rsidTr="00B05F31">
        <w:trPr>
          <w:gridAfter w:val="1"/>
          <w:wAfter w:w="14" w:type="dxa"/>
        </w:trPr>
        <w:tc>
          <w:tcPr>
            <w:tcW w:w="698" w:type="dxa"/>
            <w:gridSpan w:val="2"/>
            <w:tcBorders>
              <w:top w:val="single" w:sz="6" w:space="0" w:color="auto"/>
              <w:left w:val="single" w:sz="6" w:space="0" w:color="auto"/>
              <w:bottom w:val="nil"/>
              <w:right w:val="single" w:sz="6" w:space="0" w:color="auto"/>
            </w:tcBorders>
          </w:tcPr>
          <w:p w14:paraId="11F654C4"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1.</w:t>
            </w:r>
          </w:p>
        </w:tc>
        <w:tc>
          <w:tcPr>
            <w:tcW w:w="5508" w:type="dxa"/>
            <w:tcBorders>
              <w:top w:val="single" w:sz="6" w:space="0" w:color="auto"/>
              <w:left w:val="single" w:sz="6" w:space="0" w:color="auto"/>
              <w:bottom w:val="nil"/>
              <w:right w:val="single" w:sz="6" w:space="0" w:color="auto"/>
            </w:tcBorders>
          </w:tcPr>
          <w:p w14:paraId="321E9987"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SARA CAMPOS MORALES</w:t>
            </w:r>
          </w:p>
        </w:tc>
        <w:tc>
          <w:tcPr>
            <w:tcW w:w="1087" w:type="dxa"/>
            <w:gridSpan w:val="2"/>
            <w:tcBorders>
              <w:top w:val="single" w:sz="6" w:space="0" w:color="auto"/>
              <w:left w:val="single" w:sz="6" w:space="0" w:color="auto"/>
              <w:bottom w:val="nil"/>
              <w:right w:val="single" w:sz="6" w:space="0" w:color="auto"/>
            </w:tcBorders>
          </w:tcPr>
          <w:p w14:paraId="5AF49DF8"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05</w:t>
            </w:r>
          </w:p>
        </w:tc>
        <w:tc>
          <w:tcPr>
            <w:tcW w:w="936" w:type="dxa"/>
            <w:tcBorders>
              <w:top w:val="single" w:sz="6" w:space="0" w:color="auto"/>
              <w:left w:val="single" w:sz="6" w:space="0" w:color="auto"/>
              <w:bottom w:val="nil"/>
              <w:right w:val="single" w:sz="4" w:space="0" w:color="auto"/>
            </w:tcBorders>
          </w:tcPr>
          <w:p w14:paraId="755D0955" w14:textId="77777777" w:rsidR="00AD59FF" w:rsidRPr="00CF2780" w:rsidRDefault="00AD59FF" w:rsidP="00AD59FF">
            <w:pPr>
              <w:autoSpaceDE w:val="0"/>
              <w:autoSpaceDN w:val="0"/>
              <w:adjustRightInd w:val="0"/>
              <w:spacing w:after="0" w:line="240" w:lineRule="auto"/>
              <w:ind w:left="223"/>
              <w:rPr>
                <w:rFonts w:ascii="Arial" w:eastAsia="Times New Roman" w:hAnsi="Arial" w:cs="Arial"/>
                <w:lang w:val="es-ES_tradnl" w:eastAsia="es-ES_tradnl"/>
              </w:rPr>
            </w:pPr>
            <w:r w:rsidRPr="00CF2780">
              <w:rPr>
                <w:rFonts w:ascii="Arial" w:eastAsia="Times New Roman" w:hAnsi="Arial" w:cs="Arial"/>
                <w:lang w:val="es-ES_tradnl" w:eastAsia="es-ES_tradnl"/>
              </w:rPr>
              <w:t>20</w:t>
            </w:r>
          </w:p>
        </w:tc>
      </w:tr>
      <w:tr w:rsidR="00AD59FF" w:rsidRPr="00CF2780" w14:paraId="61F422E8" w14:textId="77777777" w:rsidTr="00B05F31">
        <w:trPr>
          <w:gridAfter w:val="1"/>
          <w:wAfter w:w="14" w:type="dxa"/>
        </w:trPr>
        <w:tc>
          <w:tcPr>
            <w:tcW w:w="698" w:type="dxa"/>
            <w:gridSpan w:val="2"/>
            <w:tcBorders>
              <w:top w:val="nil"/>
              <w:left w:val="single" w:sz="6" w:space="0" w:color="auto"/>
              <w:bottom w:val="single" w:sz="6" w:space="0" w:color="auto"/>
              <w:right w:val="single" w:sz="6" w:space="0" w:color="auto"/>
            </w:tcBorders>
          </w:tcPr>
          <w:p w14:paraId="528D4CEC"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5508" w:type="dxa"/>
            <w:tcBorders>
              <w:top w:val="nil"/>
              <w:left w:val="single" w:sz="6" w:space="0" w:color="auto"/>
              <w:bottom w:val="single" w:sz="6" w:space="0" w:color="auto"/>
              <w:right w:val="single" w:sz="6" w:space="0" w:color="auto"/>
            </w:tcBorders>
          </w:tcPr>
          <w:p w14:paraId="11CCEA48"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1087" w:type="dxa"/>
            <w:gridSpan w:val="2"/>
            <w:tcBorders>
              <w:top w:val="nil"/>
              <w:left w:val="single" w:sz="6" w:space="0" w:color="auto"/>
              <w:bottom w:val="single" w:sz="6" w:space="0" w:color="auto"/>
              <w:right w:val="single" w:sz="6" w:space="0" w:color="auto"/>
            </w:tcBorders>
          </w:tcPr>
          <w:p w14:paraId="7D4478E3"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63</w:t>
            </w:r>
          </w:p>
        </w:tc>
        <w:tc>
          <w:tcPr>
            <w:tcW w:w="936" w:type="dxa"/>
            <w:tcBorders>
              <w:top w:val="nil"/>
              <w:left w:val="single" w:sz="6" w:space="0" w:color="auto"/>
              <w:bottom w:val="single" w:sz="6" w:space="0" w:color="auto"/>
              <w:right w:val="single" w:sz="4" w:space="0" w:color="auto"/>
            </w:tcBorders>
          </w:tcPr>
          <w:p w14:paraId="46DE872A" w14:textId="77777777" w:rsidR="00AD59FF" w:rsidRPr="00CF2780" w:rsidRDefault="00AD59FF" w:rsidP="00AD59FF">
            <w:pPr>
              <w:autoSpaceDE w:val="0"/>
              <w:autoSpaceDN w:val="0"/>
              <w:adjustRightInd w:val="0"/>
              <w:spacing w:after="0" w:line="240" w:lineRule="auto"/>
              <w:ind w:left="223"/>
              <w:rPr>
                <w:rFonts w:ascii="Arial" w:eastAsia="Times New Roman" w:hAnsi="Arial" w:cs="Arial"/>
                <w:lang w:val="es-ES_tradnl" w:eastAsia="es-ES_tradnl"/>
              </w:rPr>
            </w:pPr>
            <w:r w:rsidRPr="00CF2780">
              <w:rPr>
                <w:rFonts w:ascii="Arial" w:eastAsia="Times New Roman" w:hAnsi="Arial" w:cs="Arial"/>
                <w:lang w:val="es-ES_tradnl" w:eastAsia="es-ES_tradnl"/>
              </w:rPr>
              <w:t>21</w:t>
            </w:r>
          </w:p>
        </w:tc>
      </w:tr>
      <w:tr w:rsidR="00AD59FF" w:rsidRPr="00CF2780" w14:paraId="11B54282" w14:textId="77777777" w:rsidTr="00B05F31">
        <w:trPr>
          <w:gridAfter w:val="1"/>
          <w:wAfter w:w="14" w:type="dxa"/>
        </w:trPr>
        <w:tc>
          <w:tcPr>
            <w:tcW w:w="698" w:type="dxa"/>
            <w:gridSpan w:val="2"/>
            <w:tcBorders>
              <w:top w:val="single" w:sz="6" w:space="0" w:color="auto"/>
              <w:left w:val="single" w:sz="6" w:space="0" w:color="auto"/>
              <w:bottom w:val="nil"/>
              <w:right w:val="single" w:sz="6" w:space="0" w:color="auto"/>
            </w:tcBorders>
          </w:tcPr>
          <w:p w14:paraId="6DEC1783"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2.</w:t>
            </w:r>
          </w:p>
        </w:tc>
        <w:tc>
          <w:tcPr>
            <w:tcW w:w="5508" w:type="dxa"/>
            <w:tcBorders>
              <w:top w:val="single" w:sz="6" w:space="0" w:color="auto"/>
              <w:left w:val="single" w:sz="6" w:space="0" w:color="auto"/>
              <w:bottom w:val="nil"/>
              <w:right w:val="single" w:sz="6" w:space="0" w:color="auto"/>
            </w:tcBorders>
          </w:tcPr>
          <w:p w14:paraId="154EF8C0"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CELESTE SÁNCHEZ PAHUA</w:t>
            </w:r>
          </w:p>
        </w:tc>
        <w:tc>
          <w:tcPr>
            <w:tcW w:w="1087" w:type="dxa"/>
            <w:gridSpan w:val="2"/>
            <w:tcBorders>
              <w:top w:val="single" w:sz="6" w:space="0" w:color="auto"/>
              <w:left w:val="single" w:sz="6" w:space="0" w:color="auto"/>
              <w:bottom w:val="nil"/>
              <w:right w:val="single" w:sz="6" w:space="0" w:color="auto"/>
            </w:tcBorders>
          </w:tcPr>
          <w:p w14:paraId="11A9907B"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06</w:t>
            </w:r>
          </w:p>
        </w:tc>
        <w:tc>
          <w:tcPr>
            <w:tcW w:w="936" w:type="dxa"/>
            <w:tcBorders>
              <w:top w:val="single" w:sz="6" w:space="0" w:color="auto"/>
              <w:left w:val="single" w:sz="6" w:space="0" w:color="auto"/>
              <w:bottom w:val="nil"/>
              <w:right w:val="single" w:sz="4" w:space="0" w:color="auto"/>
            </w:tcBorders>
          </w:tcPr>
          <w:p w14:paraId="31187109" w14:textId="77777777" w:rsidR="00AD59FF" w:rsidRPr="00CF2780" w:rsidRDefault="00AD59FF" w:rsidP="00AD59FF">
            <w:pPr>
              <w:autoSpaceDE w:val="0"/>
              <w:autoSpaceDN w:val="0"/>
              <w:adjustRightInd w:val="0"/>
              <w:spacing w:after="0" w:line="240" w:lineRule="auto"/>
              <w:ind w:left="245"/>
              <w:rPr>
                <w:rFonts w:ascii="Arial" w:eastAsia="Times New Roman" w:hAnsi="Arial" w:cs="Arial"/>
                <w:lang w:val="es-ES_tradnl" w:eastAsia="es-ES_tradnl"/>
              </w:rPr>
            </w:pPr>
            <w:r w:rsidRPr="00CF2780">
              <w:rPr>
                <w:rFonts w:ascii="Arial" w:eastAsia="Times New Roman" w:hAnsi="Arial" w:cs="Arial"/>
                <w:lang w:val="es-ES_tradnl" w:eastAsia="es-ES_tradnl"/>
              </w:rPr>
              <w:t>10</w:t>
            </w:r>
          </w:p>
        </w:tc>
      </w:tr>
      <w:tr w:rsidR="00AD59FF" w:rsidRPr="00CF2780" w14:paraId="0753A5D4" w14:textId="77777777" w:rsidTr="00B05F31">
        <w:trPr>
          <w:gridAfter w:val="1"/>
          <w:wAfter w:w="14" w:type="dxa"/>
        </w:trPr>
        <w:tc>
          <w:tcPr>
            <w:tcW w:w="698" w:type="dxa"/>
            <w:gridSpan w:val="2"/>
            <w:tcBorders>
              <w:top w:val="nil"/>
              <w:left w:val="single" w:sz="6" w:space="0" w:color="auto"/>
              <w:bottom w:val="single" w:sz="6" w:space="0" w:color="auto"/>
              <w:right w:val="single" w:sz="6" w:space="0" w:color="auto"/>
            </w:tcBorders>
          </w:tcPr>
          <w:p w14:paraId="71C53FB4"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5508" w:type="dxa"/>
            <w:tcBorders>
              <w:top w:val="nil"/>
              <w:left w:val="single" w:sz="6" w:space="0" w:color="auto"/>
              <w:bottom w:val="single" w:sz="6" w:space="0" w:color="auto"/>
              <w:right w:val="single" w:sz="6" w:space="0" w:color="auto"/>
            </w:tcBorders>
          </w:tcPr>
          <w:p w14:paraId="3729CB5C"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1087" w:type="dxa"/>
            <w:gridSpan w:val="2"/>
            <w:tcBorders>
              <w:top w:val="nil"/>
              <w:left w:val="single" w:sz="6" w:space="0" w:color="auto"/>
              <w:bottom w:val="single" w:sz="6" w:space="0" w:color="auto"/>
              <w:right w:val="single" w:sz="6" w:space="0" w:color="auto"/>
            </w:tcBorders>
          </w:tcPr>
          <w:p w14:paraId="596B62B6"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67</w:t>
            </w:r>
          </w:p>
        </w:tc>
        <w:tc>
          <w:tcPr>
            <w:tcW w:w="936" w:type="dxa"/>
            <w:tcBorders>
              <w:top w:val="nil"/>
              <w:left w:val="single" w:sz="6" w:space="0" w:color="auto"/>
              <w:bottom w:val="single" w:sz="6" w:space="0" w:color="auto"/>
              <w:right w:val="single" w:sz="4" w:space="0" w:color="auto"/>
            </w:tcBorders>
          </w:tcPr>
          <w:p w14:paraId="07B6B53D" w14:textId="77777777" w:rsidR="00AD59FF" w:rsidRPr="00CF2780" w:rsidRDefault="00AD59FF" w:rsidP="00AD59FF">
            <w:pPr>
              <w:autoSpaceDE w:val="0"/>
              <w:autoSpaceDN w:val="0"/>
              <w:adjustRightInd w:val="0"/>
              <w:spacing w:after="0" w:line="240" w:lineRule="auto"/>
              <w:ind w:left="223"/>
              <w:rPr>
                <w:rFonts w:ascii="Arial" w:eastAsia="Times New Roman" w:hAnsi="Arial" w:cs="Arial"/>
                <w:lang w:val="es-ES_tradnl" w:eastAsia="es-ES_tradnl"/>
              </w:rPr>
            </w:pPr>
            <w:r w:rsidRPr="00CF2780">
              <w:rPr>
                <w:rFonts w:ascii="Arial" w:eastAsia="Times New Roman" w:hAnsi="Arial" w:cs="Arial"/>
                <w:lang w:val="es-ES_tradnl" w:eastAsia="es-ES_tradnl"/>
              </w:rPr>
              <w:t>24</w:t>
            </w:r>
          </w:p>
        </w:tc>
      </w:tr>
      <w:tr w:rsidR="00AD59FF" w:rsidRPr="00CF2780" w14:paraId="71EFF770" w14:textId="77777777" w:rsidTr="00B05F31">
        <w:trPr>
          <w:gridAfter w:val="1"/>
          <w:wAfter w:w="14" w:type="dxa"/>
        </w:trPr>
        <w:tc>
          <w:tcPr>
            <w:tcW w:w="698" w:type="dxa"/>
            <w:gridSpan w:val="2"/>
            <w:tcBorders>
              <w:top w:val="single" w:sz="6" w:space="0" w:color="auto"/>
              <w:left w:val="single" w:sz="6" w:space="0" w:color="auto"/>
              <w:bottom w:val="nil"/>
              <w:right w:val="single" w:sz="6" w:space="0" w:color="auto"/>
            </w:tcBorders>
          </w:tcPr>
          <w:p w14:paraId="2F0D6020"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3.</w:t>
            </w:r>
          </w:p>
        </w:tc>
        <w:tc>
          <w:tcPr>
            <w:tcW w:w="5508" w:type="dxa"/>
            <w:tcBorders>
              <w:top w:val="single" w:sz="6" w:space="0" w:color="auto"/>
              <w:left w:val="single" w:sz="6" w:space="0" w:color="auto"/>
              <w:bottom w:val="nil"/>
              <w:right w:val="single" w:sz="6" w:space="0" w:color="auto"/>
            </w:tcBorders>
          </w:tcPr>
          <w:p w14:paraId="2F2D889D"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CELIA DURAN V</w:t>
            </w:r>
          </w:p>
        </w:tc>
        <w:tc>
          <w:tcPr>
            <w:tcW w:w="1087" w:type="dxa"/>
            <w:gridSpan w:val="2"/>
            <w:tcBorders>
              <w:top w:val="single" w:sz="6" w:space="0" w:color="auto"/>
              <w:left w:val="single" w:sz="6" w:space="0" w:color="auto"/>
              <w:bottom w:val="nil"/>
              <w:right w:val="single" w:sz="6" w:space="0" w:color="auto"/>
            </w:tcBorders>
          </w:tcPr>
          <w:p w14:paraId="00DEB27A"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06</w:t>
            </w:r>
          </w:p>
        </w:tc>
        <w:tc>
          <w:tcPr>
            <w:tcW w:w="936" w:type="dxa"/>
            <w:tcBorders>
              <w:top w:val="single" w:sz="6" w:space="0" w:color="auto"/>
              <w:left w:val="single" w:sz="6" w:space="0" w:color="auto"/>
              <w:bottom w:val="nil"/>
              <w:right w:val="single" w:sz="4" w:space="0" w:color="auto"/>
            </w:tcBorders>
          </w:tcPr>
          <w:p w14:paraId="7A7191B6" w14:textId="77777777" w:rsidR="00AD59FF" w:rsidRPr="00CF2780" w:rsidRDefault="00AD59FF" w:rsidP="00AD59FF">
            <w:pPr>
              <w:autoSpaceDE w:val="0"/>
              <w:autoSpaceDN w:val="0"/>
              <w:adjustRightInd w:val="0"/>
              <w:spacing w:after="0" w:line="240" w:lineRule="auto"/>
              <w:ind w:left="245"/>
              <w:rPr>
                <w:rFonts w:ascii="Arial" w:eastAsia="Times New Roman" w:hAnsi="Arial" w:cs="Arial"/>
                <w:bCs/>
                <w:iCs/>
                <w:spacing w:val="20"/>
                <w:lang w:val="es-ES_tradnl" w:eastAsia="es-ES_tradnl"/>
              </w:rPr>
            </w:pPr>
            <w:r w:rsidRPr="00CF2780">
              <w:rPr>
                <w:rFonts w:ascii="Arial" w:eastAsia="Times New Roman" w:hAnsi="Arial" w:cs="Arial"/>
                <w:bCs/>
                <w:iCs/>
                <w:spacing w:val="20"/>
                <w:lang w:val="es-ES_tradnl" w:eastAsia="es-ES_tradnl"/>
              </w:rPr>
              <w:t>14</w:t>
            </w:r>
          </w:p>
        </w:tc>
      </w:tr>
      <w:tr w:rsidR="00AD59FF" w:rsidRPr="00CF2780" w14:paraId="50F2AEE0" w14:textId="77777777" w:rsidTr="00B05F31">
        <w:trPr>
          <w:gridAfter w:val="1"/>
          <w:wAfter w:w="14" w:type="dxa"/>
        </w:trPr>
        <w:tc>
          <w:tcPr>
            <w:tcW w:w="698" w:type="dxa"/>
            <w:gridSpan w:val="2"/>
            <w:tcBorders>
              <w:top w:val="nil"/>
              <w:left w:val="single" w:sz="6" w:space="0" w:color="auto"/>
              <w:bottom w:val="single" w:sz="6" w:space="0" w:color="auto"/>
              <w:right w:val="single" w:sz="6" w:space="0" w:color="auto"/>
            </w:tcBorders>
          </w:tcPr>
          <w:p w14:paraId="1DF486E4"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5508" w:type="dxa"/>
            <w:tcBorders>
              <w:top w:val="nil"/>
              <w:left w:val="single" w:sz="6" w:space="0" w:color="auto"/>
              <w:bottom w:val="single" w:sz="6" w:space="0" w:color="auto"/>
              <w:right w:val="single" w:sz="6" w:space="0" w:color="auto"/>
            </w:tcBorders>
          </w:tcPr>
          <w:p w14:paraId="48E78E67"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1087" w:type="dxa"/>
            <w:gridSpan w:val="2"/>
            <w:tcBorders>
              <w:top w:val="nil"/>
              <w:left w:val="single" w:sz="6" w:space="0" w:color="auto"/>
              <w:bottom w:val="single" w:sz="6" w:space="0" w:color="auto"/>
              <w:right w:val="single" w:sz="6" w:space="0" w:color="auto"/>
            </w:tcBorders>
          </w:tcPr>
          <w:p w14:paraId="764EDA62"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68</w:t>
            </w:r>
          </w:p>
        </w:tc>
        <w:tc>
          <w:tcPr>
            <w:tcW w:w="936" w:type="dxa"/>
            <w:tcBorders>
              <w:top w:val="nil"/>
              <w:left w:val="single" w:sz="6" w:space="0" w:color="auto"/>
              <w:bottom w:val="single" w:sz="6" w:space="0" w:color="auto"/>
              <w:right w:val="single" w:sz="4" w:space="0" w:color="auto"/>
            </w:tcBorders>
          </w:tcPr>
          <w:p w14:paraId="4A1CE10E" w14:textId="77777777" w:rsidR="00AD59FF" w:rsidRPr="00CF2780" w:rsidRDefault="00AD59FF" w:rsidP="00AD59FF">
            <w:pPr>
              <w:autoSpaceDE w:val="0"/>
              <w:autoSpaceDN w:val="0"/>
              <w:adjustRightInd w:val="0"/>
              <w:spacing w:after="0" w:line="240" w:lineRule="auto"/>
              <w:ind w:left="230"/>
              <w:rPr>
                <w:rFonts w:ascii="Arial" w:eastAsia="Times New Roman" w:hAnsi="Arial" w:cs="Arial"/>
                <w:lang w:val="es-ES_tradnl" w:eastAsia="es-ES_tradnl"/>
              </w:rPr>
            </w:pPr>
            <w:r w:rsidRPr="00CF2780">
              <w:rPr>
                <w:rFonts w:ascii="Arial" w:eastAsia="Times New Roman" w:hAnsi="Arial" w:cs="Arial"/>
                <w:lang w:val="es-ES_tradnl" w:eastAsia="es-ES_tradnl"/>
              </w:rPr>
              <w:t>07</w:t>
            </w:r>
          </w:p>
        </w:tc>
      </w:tr>
      <w:tr w:rsidR="00AD59FF" w:rsidRPr="00CF2780" w14:paraId="51BEF68A" w14:textId="77777777" w:rsidTr="00B05F31">
        <w:trPr>
          <w:gridAfter w:val="1"/>
          <w:wAfter w:w="14" w:type="dxa"/>
        </w:trPr>
        <w:tc>
          <w:tcPr>
            <w:tcW w:w="698" w:type="dxa"/>
            <w:gridSpan w:val="2"/>
            <w:tcBorders>
              <w:top w:val="single" w:sz="6" w:space="0" w:color="auto"/>
              <w:left w:val="single" w:sz="6" w:space="0" w:color="auto"/>
              <w:bottom w:val="nil"/>
              <w:right w:val="single" w:sz="6" w:space="0" w:color="auto"/>
            </w:tcBorders>
          </w:tcPr>
          <w:p w14:paraId="092BAA95"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4.</w:t>
            </w:r>
          </w:p>
        </w:tc>
        <w:tc>
          <w:tcPr>
            <w:tcW w:w="5508" w:type="dxa"/>
            <w:tcBorders>
              <w:top w:val="single" w:sz="6" w:space="0" w:color="auto"/>
              <w:left w:val="single" w:sz="6" w:space="0" w:color="auto"/>
              <w:bottom w:val="nil"/>
              <w:right w:val="single" w:sz="6" w:space="0" w:color="auto"/>
            </w:tcBorders>
          </w:tcPr>
          <w:p w14:paraId="6B3BDC7C"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JUANA HURTADO S</w:t>
            </w:r>
          </w:p>
        </w:tc>
        <w:tc>
          <w:tcPr>
            <w:tcW w:w="1087" w:type="dxa"/>
            <w:gridSpan w:val="2"/>
            <w:tcBorders>
              <w:top w:val="single" w:sz="6" w:space="0" w:color="auto"/>
              <w:left w:val="single" w:sz="6" w:space="0" w:color="auto"/>
              <w:bottom w:val="nil"/>
              <w:right w:val="single" w:sz="6" w:space="0" w:color="auto"/>
            </w:tcBorders>
          </w:tcPr>
          <w:p w14:paraId="72867063"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06</w:t>
            </w:r>
          </w:p>
        </w:tc>
        <w:tc>
          <w:tcPr>
            <w:tcW w:w="936" w:type="dxa"/>
            <w:tcBorders>
              <w:top w:val="single" w:sz="6" w:space="0" w:color="auto"/>
              <w:left w:val="single" w:sz="6" w:space="0" w:color="auto"/>
              <w:bottom w:val="nil"/>
              <w:right w:val="single" w:sz="4" w:space="0" w:color="auto"/>
            </w:tcBorders>
          </w:tcPr>
          <w:p w14:paraId="2A92832C" w14:textId="77777777" w:rsidR="00AD59FF" w:rsidRPr="00CF2780" w:rsidRDefault="00AD59FF" w:rsidP="00AD59FF">
            <w:pPr>
              <w:autoSpaceDE w:val="0"/>
              <w:autoSpaceDN w:val="0"/>
              <w:adjustRightInd w:val="0"/>
              <w:spacing w:after="0" w:line="240" w:lineRule="auto"/>
              <w:ind w:left="245"/>
              <w:rPr>
                <w:rFonts w:ascii="Arial" w:eastAsia="Times New Roman" w:hAnsi="Arial" w:cs="Arial"/>
                <w:bCs/>
                <w:iCs/>
                <w:spacing w:val="20"/>
                <w:lang w:val="es-ES_tradnl" w:eastAsia="es-ES_tradnl"/>
              </w:rPr>
            </w:pPr>
            <w:r w:rsidRPr="00CF2780">
              <w:rPr>
                <w:rFonts w:ascii="Arial" w:eastAsia="Times New Roman" w:hAnsi="Arial" w:cs="Arial"/>
                <w:bCs/>
                <w:iCs/>
                <w:spacing w:val="20"/>
                <w:lang w:val="es-ES_tradnl" w:eastAsia="es-ES_tradnl"/>
              </w:rPr>
              <w:t>14</w:t>
            </w:r>
          </w:p>
        </w:tc>
      </w:tr>
      <w:tr w:rsidR="00AD59FF" w:rsidRPr="00CF2780" w14:paraId="66A44F2C" w14:textId="77777777" w:rsidTr="00B05F31">
        <w:trPr>
          <w:gridAfter w:val="1"/>
          <w:wAfter w:w="14" w:type="dxa"/>
        </w:trPr>
        <w:tc>
          <w:tcPr>
            <w:tcW w:w="698" w:type="dxa"/>
            <w:gridSpan w:val="2"/>
            <w:tcBorders>
              <w:top w:val="nil"/>
              <w:left w:val="single" w:sz="6" w:space="0" w:color="auto"/>
              <w:bottom w:val="single" w:sz="6" w:space="0" w:color="auto"/>
              <w:right w:val="single" w:sz="6" w:space="0" w:color="auto"/>
            </w:tcBorders>
          </w:tcPr>
          <w:p w14:paraId="2604F7E2"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5508" w:type="dxa"/>
            <w:tcBorders>
              <w:top w:val="nil"/>
              <w:left w:val="single" w:sz="6" w:space="0" w:color="auto"/>
              <w:bottom w:val="single" w:sz="6" w:space="0" w:color="auto"/>
              <w:right w:val="single" w:sz="6" w:space="0" w:color="auto"/>
            </w:tcBorders>
          </w:tcPr>
          <w:p w14:paraId="27A65439"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1087" w:type="dxa"/>
            <w:gridSpan w:val="2"/>
            <w:tcBorders>
              <w:top w:val="nil"/>
              <w:left w:val="single" w:sz="6" w:space="0" w:color="auto"/>
              <w:bottom w:val="single" w:sz="6" w:space="0" w:color="auto"/>
              <w:right w:val="single" w:sz="6" w:space="0" w:color="auto"/>
            </w:tcBorders>
          </w:tcPr>
          <w:p w14:paraId="32F9CE3F"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68</w:t>
            </w:r>
          </w:p>
        </w:tc>
        <w:tc>
          <w:tcPr>
            <w:tcW w:w="936" w:type="dxa"/>
            <w:tcBorders>
              <w:top w:val="nil"/>
              <w:left w:val="single" w:sz="6" w:space="0" w:color="auto"/>
              <w:bottom w:val="single" w:sz="6" w:space="0" w:color="auto"/>
              <w:right w:val="single" w:sz="4" w:space="0" w:color="auto"/>
            </w:tcBorders>
          </w:tcPr>
          <w:p w14:paraId="346A21ED" w14:textId="77777777" w:rsidR="00AD59FF" w:rsidRPr="00CF2780" w:rsidRDefault="00AD59FF" w:rsidP="00AD59FF">
            <w:pPr>
              <w:autoSpaceDE w:val="0"/>
              <w:autoSpaceDN w:val="0"/>
              <w:adjustRightInd w:val="0"/>
              <w:spacing w:after="0" w:line="240" w:lineRule="auto"/>
              <w:ind w:left="230"/>
              <w:rPr>
                <w:rFonts w:ascii="Arial" w:eastAsia="Times New Roman" w:hAnsi="Arial" w:cs="Arial"/>
                <w:lang w:val="es-ES_tradnl" w:eastAsia="es-ES_tradnl"/>
              </w:rPr>
            </w:pPr>
            <w:r w:rsidRPr="00CF2780">
              <w:rPr>
                <w:rFonts w:ascii="Arial" w:eastAsia="Times New Roman" w:hAnsi="Arial" w:cs="Arial"/>
                <w:lang w:val="es-ES_tradnl" w:eastAsia="es-ES_tradnl"/>
              </w:rPr>
              <w:t>08</w:t>
            </w:r>
          </w:p>
        </w:tc>
      </w:tr>
      <w:tr w:rsidR="00AD59FF" w:rsidRPr="00CF2780" w14:paraId="6EB55D07" w14:textId="77777777" w:rsidTr="00B05F31">
        <w:trPr>
          <w:gridAfter w:val="1"/>
          <w:wAfter w:w="14" w:type="dxa"/>
        </w:trPr>
        <w:tc>
          <w:tcPr>
            <w:tcW w:w="698" w:type="dxa"/>
            <w:gridSpan w:val="2"/>
            <w:tcBorders>
              <w:top w:val="single" w:sz="6" w:space="0" w:color="auto"/>
              <w:left w:val="single" w:sz="6" w:space="0" w:color="auto"/>
              <w:bottom w:val="nil"/>
              <w:right w:val="single" w:sz="6" w:space="0" w:color="auto"/>
            </w:tcBorders>
          </w:tcPr>
          <w:p w14:paraId="487E2F2A"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5.</w:t>
            </w:r>
          </w:p>
        </w:tc>
        <w:tc>
          <w:tcPr>
            <w:tcW w:w="5508" w:type="dxa"/>
            <w:tcBorders>
              <w:top w:val="single" w:sz="6" w:space="0" w:color="auto"/>
              <w:left w:val="single" w:sz="6" w:space="0" w:color="auto"/>
              <w:bottom w:val="nil"/>
              <w:right w:val="single" w:sz="6" w:space="0" w:color="auto"/>
            </w:tcBorders>
          </w:tcPr>
          <w:p w14:paraId="2BE4327B"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SABINA RAMOS G</w:t>
            </w:r>
          </w:p>
        </w:tc>
        <w:tc>
          <w:tcPr>
            <w:tcW w:w="1087" w:type="dxa"/>
            <w:gridSpan w:val="2"/>
            <w:tcBorders>
              <w:top w:val="single" w:sz="6" w:space="0" w:color="auto"/>
              <w:left w:val="single" w:sz="6" w:space="0" w:color="auto"/>
              <w:bottom w:val="nil"/>
              <w:right w:val="single" w:sz="6" w:space="0" w:color="auto"/>
            </w:tcBorders>
          </w:tcPr>
          <w:p w14:paraId="6C715273"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06</w:t>
            </w:r>
          </w:p>
        </w:tc>
        <w:tc>
          <w:tcPr>
            <w:tcW w:w="936" w:type="dxa"/>
            <w:tcBorders>
              <w:top w:val="single" w:sz="6" w:space="0" w:color="auto"/>
              <w:left w:val="single" w:sz="6" w:space="0" w:color="auto"/>
              <w:bottom w:val="nil"/>
              <w:right w:val="single" w:sz="4" w:space="0" w:color="auto"/>
            </w:tcBorders>
          </w:tcPr>
          <w:p w14:paraId="527507B4"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27</w:t>
            </w:r>
          </w:p>
        </w:tc>
      </w:tr>
      <w:tr w:rsidR="00AD59FF" w:rsidRPr="00CF2780" w14:paraId="13C5F79B" w14:textId="77777777" w:rsidTr="00B05F31">
        <w:trPr>
          <w:gridAfter w:val="1"/>
          <w:wAfter w:w="14" w:type="dxa"/>
        </w:trPr>
        <w:tc>
          <w:tcPr>
            <w:tcW w:w="698" w:type="dxa"/>
            <w:gridSpan w:val="2"/>
            <w:tcBorders>
              <w:top w:val="nil"/>
              <w:left w:val="single" w:sz="6" w:space="0" w:color="auto"/>
              <w:bottom w:val="single" w:sz="6" w:space="0" w:color="auto"/>
              <w:right w:val="single" w:sz="6" w:space="0" w:color="auto"/>
            </w:tcBorders>
          </w:tcPr>
          <w:p w14:paraId="3EBED12D"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5508" w:type="dxa"/>
            <w:tcBorders>
              <w:top w:val="nil"/>
              <w:left w:val="single" w:sz="6" w:space="0" w:color="auto"/>
              <w:bottom w:val="single" w:sz="6" w:space="0" w:color="auto"/>
              <w:right w:val="single" w:sz="6" w:space="0" w:color="auto"/>
            </w:tcBorders>
          </w:tcPr>
          <w:p w14:paraId="396B7A19"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1087" w:type="dxa"/>
            <w:gridSpan w:val="2"/>
            <w:tcBorders>
              <w:top w:val="nil"/>
              <w:left w:val="single" w:sz="6" w:space="0" w:color="auto"/>
              <w:bottom w:val="single" w:sz="6" w:space="0" w:color="auto"/>
              <w:right w:val="single" w:sz="6" w:space="0" w:color="auto"/>
            </w:tcBorders>
          </w:tcPr>
          <w:p w14:paraId="6B37E73F"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70</w:t>
            </w:r>
          </w:p>
        </w:tc>
        <w:tc>
          <w:tcPr>
            <w:tcW w:w="936" w:type="dxa"/>
            <w:tcBorders>
              <w:top w:val="nil"/>
              <w:left w:val="single" w:sz="6" w:space="0" w:color="auto"/>
              <w:bottom w:val="single" w:sz="6" w:space="0" w:color="auto"/>
              <w:right w:val="single" w:sz="4" w:space="0" w:color="auto"/>
            </w:tcBorders>
          </w:tcPr>
          <w:p w14:paraId="5AAF57BE" w14:textId="77777777" w:rsidR="00AD59FF" w:rsidRPr="00CF2780" w:rsidRDefault="00AD59FF" w:rsidP="00AD59FF">
            <w:pPr>
              <w:autoSpaceDE w:val="0"/>
              <w:autoSpaceDN w:val="0"/>
              <w:adjustRightInd w:val="0"/>
              <w:spacing w:after="0" w:line="240" w:lineRule="auto"/>
              <w:ind w:left="230"/>
              <w:rPr>
                <w:rFonts w:ascii="Arial" w:eastAsia="Times New Roman" w:hAnsi="Arial" w:cs="Arial"/>
                <w:lang w:val="es-ES_tradnl" w:eastAsia="es-ES_tradnl"/>
              </w:rPr>
            </w:pPr>
            <w:r w:rsidRPr="00CF2780">
              <w:rPr>
                <w:rFonts w:ascii="Arial" w:eastAsia="Times New Roman" w:hAnsi="Arial" w:cs="Arial"/>
                <w:lang w:val="es-ES_tradnl" w:eastAsia="es-ES_tradnl"/>
              </w:rPr>
              <w:t>07</w:t>
            </w:r>
          </w:p>
        </w:tc>
      </w:tr>
      <w:tr w:rsidR="00AD59FF" w:rsidRPr="00CF2780" w14:paraId="136B7084" w14:textId="77777777" w:rsidTr="00B05F31">
        <w:trPr>
          <w:gridAfter w:val="1"/>
          <w:wAfter w:w="14" w:type="dxa"/>
        </w:trPr>
        <w:tc>
          <w:tcPr>
            <w:tcW w:w="698" w:type="dxa"/>
            <w:gridSpan w:val="2"/>
            <w:tcBorders>
              <w:top w:val="single" w:sz="6" w:space="0" w:color="auto"/>
              <w:left w:val="single" w:sz="6" w:space="0" w:color="auto"/>
              <w:bottom w:val="nil"/>
              <w:right w:val="single" w:sz="6" w:space="0" w:color="auto"/>
            </w:tcBorders>
          </w:tcPr>
          <w:p w14:paraId="2CB8B825"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6.</w:t>
            </w:r>
          </w:p>
        </w:tc>
        <w:tc>
          <w:tcPr>
            <w:tcW w:w="5508" w:type="dxa"/>
            <w:tcBorders>
              <w:top w:val="single" w:sz="6" w:space="0" w:color="auto"/>
              <w:left w:val="single" w:sz="6" w:space="0" w:color="auto"/>
              <w:bottom w:val="nil"/>
              <w:right w:val="single" w:sz="6" w:space="0" w:color="auto"/>
            </w:tcBorders>
          </w:tcPr>
          <w:p w14:paraId="457D3E2E"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LEONEL JUÁREZ</w:t>
            </w:r>
          </w:p>
        </w:tc>
        <w:tc>
          <w:tcPr>
            <w:tcW w:w="1087" w:type="dxa"/>
            <w:gridSpan w:val="2"/>
            <w:tcBorders>
              <w:top w:val="single" w:sz="6" w:space="0" w:color="auto"/>
              <w:left w:val="single" w:sz="6" w:space="0" w:color="auto"/>
              <w:bottom w:val="nil"/>
              <w:right w:val="single" w:sz="6" w:space="0" w:color="auto"/>
            </w:tcBorders>
          </w:tcPr>
          <w:p w14:paraId="70C74346"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07</w:t>
            </w:r>
          </w:p>
        </w:tc>
        <w:tc>
          <w:tcPr>
            <w:tcW w:w="936" w:type="dxa"/>
            <w:tcBorders>
              <w:top w:val="single" w:sz="6" w:space="0" w:color="auto"/>
              <w:left w:val="single" w:sz="6" w:space="0" w:color="auto"/>
              <w:bottom w:val="nil"/>
              <w:right w:val="single" w:sz="4" w:space="0" w:color="auto"/>
            </w:tcBorders>
          </w:tcPr>
          <w:p w14:paraId="276CC918" w14:textId="77777777" w:rsidR="00AD59FF" w:rsidRPr="00CF2780" w:rsidRDefault="00AD59FF" w:rsidP="00AD59FF">
            <w:pPr>
              <w:autoSpaceDE w:val="0"/>
              <w:autoSpaceDN w:val="0"/>
              <w:adjustRightInd w:val="0"/>
              <w:spacing w:after="0" w:line="240" w:lineRule="auto"/>
              <w:ind w:left="238"/>
              <w:rPr>
                <w:rFonts w:ascii="Arial" w:eastAsia="Times New Roman" w:hAnsi="Arial" w:cs="Arial"/>
                <w:lang w:val="es-ES_tradnl" w:eastAsia="es-ES_tradnl"/>
              </w:rPr>
            </w:pPr>
            <w:r w:rsidRPr="00CF2780">
              <w:rPr>
                <w:rFonts w:ascii="Arial" w:eastAsia="Times New Roman" w:hAnsi="Arial" w:cs="Arial"/>
                <w:lang w:val="es-ES_tradnl" w:eastAsia="es-ES_tradnl"/>
              </w:rPr>
              <w:t>01</w:t>
            </w:r>
          </w:p>
        </w:tc>
      </w:tr>
      <w:tr w:rsidR="00AD59FF" w:rsidRPr="00CF2780" w14:paraId="4051D6ED" w14:textId="77777777" w:rsidTr="00B05F31">
        <w:trPr>
          <w:gridAfter w:val="1"/>
          <w:wAfter w:w="14" w:type="dxa"/>
        </w:trPr>
        <w:tc>
          <w:tcPr>
            <w:tcW w:w="698" w:type="dxa"/>
            <w:gridSpan w:val="2"/>
            <w:tcBorders>
              <w:top w:val="nil"/>
              <w:left w:val="single" w:sz="6" w:space="0" w:color="auto"/>
              <w:bottom w:val="single" w:sz="6" w:space="0" w:color="auto"/>
              <w:right w:val="single" w:sz="6" w:space="0" w:color="auto"/>
            </w:tcBorders>
          </w:tcPr>
          <w:p w14:paraId="1BC846C8"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5508" w:type="dxa"/>
            <w:tcBorders>
              <w:top w:val="nil"/>
              <w:left w:val="single" w:sz="6" w:space="0" w:color="auto"/>
              <w:bottom w:val="single" w:sz="6" w:space="0" w:color="auto"/>
              <w:right w:val="single" w:sz="6" w:space="0" w:color="auto"/>
            </w:tcBorders>
          </w:tcPr>
          <w:p w14:paraId="6D501D6D"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1087" w:type="dxa"/>
            <w:gridSpan w:val="2"/>
            <w:tcBorders>
              <w:top w:val="nil"/>
              <w:left w:val="single" w:sz="6" w:space="0" w:color="auto"/>
              <w:bottom w:val="single" w:sz="6" w:space="0" w:color="auto"/>
              <w:right w:val="single" w:sz="6" w:space="0" w:color="auto"/>
            </w:tcBorders>
          </w:tcPr>
          <w:p w14:paraId="3585D656"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74</w:t>
            </w:r>
          </w:p>
        </w:tc>
        <w:tc>
          <w:tcPr>
            <w:tcW w:w="936" w:type="dxa"/>
            <w:tcBorders>
              <w:top w:val="nil"/>
              <w:left w:val="single" w:sz="6" w:space="0" w:color="auto"/>
              <w:bottom w:val="single" w:sz="6" w:space="0" w:color="auto"/>
              <w:right w:val="single" w:sz="4" w:space="0" w:color="auto"/>
            </w:tcBorders>
          </w:tcPr>
          <w:p w14:paraId="6A7C5EE8" w14:textId="77777777" w:rsidR="00AD59FF" w:rsidRPr="00CF2780" w:rsidRDefault="00AD59FF" w:rsidP="00AD59FF">
            <w:pPr>
              <w:autoSpaceDE w:val="0"/>
              <w:autoSpaceDN w:val="0"/>
              <w:adjustRightInd w:val="0"/>
              <w:spacing w:after="0" w:line="240" w:lineRule="auto"/>
              <w:ind w:left="252"/>
              <w:rPr>
                <w:rFonts w:ascii="Arial" w:eastAsia="Times New Roman" w:hAnsi="Arial" w:cs="Arial"/>
                <w:lang w:val="es-ES_tradnl" w:eastAsia="es-ES_tradnl"/>
              </w:rPr>
            </w:pPr>
            <w:r w:rsidRPr="00CF2780">
              <w:rPr>
                <w:rFonts w:ascii="Arial" w:eastAsia="Times New Roman" w:hAnsi="Arial" w:cs="Arial"/>
                <w:lang w:val="es-ES_tradnl" w:eastAsia="es-ES_tradnl"/>
              </w:rPr>
              <w:t>17</w:t>
            </w:r>
          </w:p>
        </w:tc>
      </w:tr>
      <w:tr w:rsidR="00AD59FF" w:rsidRPr="00CF2780" w14:paraId="1D6AE339" w14:textId="77777777" w:rsidTr="00B05F31">
        <w:trPr>
          <w:gridAfter w:val="1"/>
          <w:wAfter w:w="14" w:type="dxa"/>
        </w:trPr>
        <w:tc>
          <w:tcPr>
            <w:tcW w:w="698" w:type="dxa"/>
            <w:gridSpan w:val="2"/>
            <w:tcBorders>
              <w:top w:val="single" w:sz="6" w:space="0" w:color="auto"/>
              <w:left w:val="single" w:sz="6" w:space="0" w:color="auto"/>
              <w:bottom w:val="nil"/>
              <w:right w:val="single" w:sz="6" w:space="0" w:color="auto"/>
            </w:tcBorders>
          </w:tcPr>
          <w:p w14:paraId="1EAF2A7A"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7.</w:t>
            </w:r>
          </w:p>
        </w:tc>
        <w:tc>
          <w:tcPr>
            <w:tcW w:w="5508" w:type="dxa"/>
            <w:tcBorders>
              <w:top w:val="single" w:sz="6" w:space="0" w:color="auto"/>
              <w:left w:val="single" w:sz="6" w:space="0" w:color="auto"/>
              <w:bottom w:val="nil"/>
              <w:right w:val="single" w:sz="6" w:space="0" w:color="auto"/>
            </w:tcBorders>
          </w:tcPr>
          <w:p w14:paraId="40FD3EC5"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LUCAS ROMERO</w:t>
            </w:r>
          </w:p>
        </w:tc>
        <w:tc>
          <w:tcPr>
            <w:tcW w:w="1087" w:type="dxa"/>
            <w:gridSpan w:val="2"/>
            <w:tcBorders>
              <w:top w:val="single" w:sz="6" w:space="0" w:color="auto"/>
              <w:left w:val="single" w:sz="6" w:space="0" w:color="auto"/>
              <w:bottom w:val="nil"/>
              <w:right w:val="single" w:sz="6" w:space="0" w:color="auto"/>
            </w:tcBorders>
          </w:tcPr>
          <w:p w14:paraId="4E5DEB19"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07</w:t>
            </w:r>
          </w:p>
        </w:tc>
        <w:tc>
          <w:tcPr>
            <w:tcW w:w="936" w:type="dxa"/>
            <w:tcBorders>
              <w:top w:val="single" w:sz="6" w:space="0" w:color="auto"/>
              <w:left w:val="single" w:sz="6" w:space="0" w:color="auto"/>
              <w:bottom w:val="nil"/>
              <w:right w:val="single" w:sz="4" w:space="0" w:color="auto"/>
            </w:tcBorders>
          </w:tcPr>
          <w:p w14:paraId="04110EA1" w14:textId="77777777" w:rsidR="00AD59FF" w:rsidRPr="00CF2780" w:rsidRDefault="00AD59FF" w:rsidP="00AD59FF">
            <w:pPr>
              <w:autoSpaceDE w:val="0"/>
              <w:autoSpaceDN w:val="0"/>
              <w:adjustRightInd w:val="0"/>
              <w:spacing w:after="0" w:line="240" w:lineRule="auto"/>
              <w:ind w:left="216"/>
              <w:rPr>
                <w:rFonts w:ascii="Arial" w:eastAsia="Times New Roman" w:hAnsi="Arial" w:cs="Arial"/>
                <w:bCs/>
                <w:iCs/>
                <w:spacing w:val="20"/>
                <w:lang w:val="es-ES_tradnl" w:eastAsia="es-ES_tradnl"/>
              </w:rPr>
            </w:pPr>
            <w:r w:rsidRPr="00CF2780">
              <w:rPr>
                <w:rFonts w:ascii="Arial" w:eastAsia="Times New Roman" w:hAnsi="Arial" w:cs="Arial"/>
                <w:bCs/>
                <w:iCs/>
                <w:spacing w:val="20"/>
                <w:lang w:val="es-ES_tradnl" w:eastAsia="es-ES_tradnl"/>
              </w:rPr>
              <w:t>20</w:t>
            </w:r>
          </w:p>
        </w:tc>
      </w:tr>
      <w:tr w:rsidR="00AD59FF" w:rsidRPr="00CF2780" w14:paraId="661C2CD5" w14:textId="77777777" w:rsidTr="00B05F31">
        <w:trPr>
          <w:gridAfter w:val="1"/>
          <w:wAfter w:w="14" w:type="dxa"/>
        </w:trPr>
        <w:tc>
          <w:tcPr>
            <w:tcW w:w="698" w:type="dxa"/>
            <w:gridSpan w:val="2"/>
            <w:tcBorders>
              <w:top w:val="nil"/>
              <w:left w:val="single" w:sz="6" w:space="0" w:color="auto"/>
              <w:bottom w:val="single" w:sz="6" w:space="0" w:color="auto"/>
              <w:right w:val="single" w:sz="6" w:space="0" w:color="auto"/>
            </w:tcBorders>
          </w:tcPr>
          <w:p w14:paraId="289BC60B"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5508" w:type="dxa"/>
            <w:tcBorders>
              <w:top w:val="nil"/>
              <w:left w:val="single" w:sz="6" w:space="0" w:color="auto"/>
              <w:bottom w:val="single" w:sz="6" w:space="0" w:color="auto"/>
              <w:right w:val="single" w:sz="6" w:space="0" w:color="auto"/>
            </w:tcBorders>
          </w:tcPr>
          <w:p w14:paraId="7B0960A5"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1087" w:type="dxa"/>
            <w:gridSpan w:val="2"/>
            <w:tcBorders>
              <w:top w:val="nil"/>
              <w:left w:val="single" w:sz="6" w:space="0" w:color="auto"/>
              <w:bottom w:val="single" w:sz="6" w:space="0" w:color="auto"/>
              <w:right w:val="single" w:sz="6" w:space="0" w:color="auto"/>
            </w:tcBorders>
          </w:tcPr>
          <w:p w14:paraId="31CD932D"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78</w:t>
            </w:r>
          </w:p>
        </w:tc>
        <w:tc>
          <w:tcPr>
            <w:tcW w:w="936" w:type="dxa"/>
            <w:tcBorders>
              <w:top w:val="nil"/>
              <w:left w:val="single" w:sz="6" w:space="0" w:color="auto"/>
              <w:bottom w:val="single" w:sz="6" w:space="0" w:color="auto"/>
              <w:right w:val="single" w:sz="4" w:space="0" w:color="auto"/>
            </w:tcBorders>
          </w:tcPr>
          <w:p w14:paraId="3693FB4B" w14:textId="77777777" w:rsidR="00AD59FF" w:rsidRPr="00CF2780" w:rsidRDefault="00AD59FF" w:rsidP="00AD59FF">
            <w:pPr>
              <w:autoSpaceDE w:val="0"/>
              <w:autoSpaceDN w:val="0"/>
              <w:adjustRightInd w:val="0"/>
              <w:spacing w:after="0" w:line="240" w:lineRule="auto"/>
              <w:ind w:left="252"/>
              <w:rPr>
                <w:rFonts w:ascii="Arial" w:eastAsia="Times New Roman" w:hAnsi="Arial" w:cs="Arial"/>
                <w:lang w:val="es-ES_tradnl" w:eastAsia="es-ES_tradnl"/>
              </w:rPr>
            </w:pPr>
            <w:r w:rsidRPr="00CF2780">
              <w:rPr>
                <w:rFonts w:ascii="Arial" w:eastAsia="Times New Roman" w:hAnsi="Arial" w:cs="Arial"/>
                <w:lang w:val="es-ES_tradnl" w:eastAsia="es-ES_tradnl"/>
              </w:rPr>
              <w:t>11</w:t>
            </w:r>
          </w:p>
        </w:tc>
      </w:tr>
      <w:tr w:rsidR="00AD59FF" w:rsidRPr="00CF2780" w14:paraId="1359CBC6" w14:textId="77777777" w:rsidTr="00B05F31">
        <w:trPr>
          <w:gridAfter w:val="1"/>
          <w:wAfter w:w="14" w:type="dxa"/>
        </w:trPr>
        <w:tc>
          <w:tcPr>
            <w:tcW w:w="698" w:type="dxa"/>
            <w:gridSpan w:val="2"/>
            <w:tcBorders>
              <w:top w:val="single" w:sz="6" w:space="0" w:color="auto"/>
              <w:left w:val="single" w:sz="6" w:space="0" w:color="auto"/>
              <w:bottom w:val="nil"/>
              <w:right w:val="single" w:sz="6" w:space="0" w:color="auto"/>
            </w:tcBorders>
          </w:tcPr>
          <w:p w14:paraId="61F0D73F"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8.</w:t>
            </w:r>
          </w:p>
        </w:tc>
        <w:tc>
          <w:tcPr>
            <w:tcW w:w="5508" w:type="dxa"/>
            <w:tcBorders>
              <w:top w:val="single" w:sz="6" w:space="0" w:color="auto"/>
              <w:left w:val="single" w:sz="6" w:space="0" w:color="auto"/>
              <w:bottom w:val="nil"/>
              <w:right w:val="single" w:sz="6" w:space="0" w:color="auto"/>
            </w:tcBorders>
          </w:tcPr>
          <w:p w14:paraId="6F7E6CFE"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JOSEFINA LECO JUÁREZ</w:t>
            </w:r>
          </w:p>
        </w:tc>
        <w:tc>
          <w:tcPr>
            <w:tcW w:w="1087" w:type="dxa"/>
            <w:gridSpan w:val="2"/>
            <w:tcBorders>
              <w:top w:val="single" w:sz="6" w:space="0" w:color="auto"/>
              <w:left w:val="single" w:sz="6" w:space="0" w:color="auto"/>
              <w:bottom w:val="nil"/>
              <w:right w:val="single" w:sz="6" w:space="0" w:color="auto"/>
            </w:tcBorders>
          </w:tcPr>
          <w:p w14:paraId="602835B2"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08</w:t>
            </w:r>
          </w:p>
        </w:tc>
        <w:tc>
          <w:tcPr>
            <w:tcW w:w="936" w:type="dxa"/>
            <w:tcBorders>
              <w:top w:val="single" w:sz="6" w:space="0" w:color="auto"/>
              <w:left w:val="single" w:sz="6" w:space="0" w:color="auto"/>
              <w:bottom w:val="nil"/>
              <w:right w:val="single" w:sz="4" w:space="0" w:color="auto"/>
            </w:tcBorders>
          </w:tcPr>
          <w:p w14:paraId="01A0DD63" w14:textId="77777777" w:rsidR="00AD59FF" w:rsidRPr="00CF2780" w:rsidRDefault="00AD59FF" w:rsidP="00AD59FF">
            <w:pPr>
              <w:autoSpaceDE w:val="0"/>
              <w:autoSpaceDN w:val="0"/>
              <w:adjustRightInd w:val="0"/>
              <w:spacing w:after="0" w:line="240" w:lineRule="auto"/>
              <w:ind w:left="238"/>
              <w:rPr>
                <w:rFonts w:ascii="Arial" w:eastAsia="Times New Roman" w:hAnsi="Arial" w:cs="Arial"/>
                <w:lang w:val="es-ES_tradnl" w:eastAsia="es-ES_tradnl"/>
              </w:rPr>
            </w:pPr>
            <w:r w:rsidRPr="00CF2780">
              <w:rPr>
                <w:rFonts w:ascii="Arial" w:eastAsia="Times New Roman" w:hAnsi="Arial" w:cs="Arial"/>
                <w:lang w:val="es-ES_tradnl" w:eastAsia="es-ES_tradnl"/>
              </w:rPr>
              <w:t>04</w:t>
            </w:r>
          </w:p>
        </w:tc>
      </w:tr>
      <w:tr w:rsidR="00AD59FF" w:rsidRPr="00CF2780" w14:paraId="3DB4CD2A" w14:textId="77777777" w:rsidTr="00B05F31">
        <w:trPr>
          <w:gridAfter w:val="1"/>
          <w:wAfter w:w="14" w:type="dxa"/>
        </w:trPr>
        <w:tc>
          <w:tcPr>
            <w:tcW w:w="698" w:type="dxa"/>
            <w:gridSpan w:val="2"/>
            <w:tcBorders>
              <w:top w:val="nil"/>
              <w:left w:val="single" w:sz="6" w:space="0" w:color="auto"/>
              <w:bottom w:val="single" w:sz="6" w:space="0" w:color="auto"/>
              <w:right w:val="single" w:sz="6" w:space="0" w:color="auto"/>
            </w:tcBorders>
          </w:tcPr>
          <w:p w14:paraId="76EB363B"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5508" w:type="dxa"/>
            <w:tcBorders>
              <w:top w:val="nil"/>
              <w:left w:val="single" w:sz="6" w:space="0" w:color="auto"/>
              <w:bottom w:val="single" w:sz="6" w:space="0" w:color="auto"/>
              <w:right w:val="single" w:sz="6" w:space="0" w:color="auto"/>
            </w:tcBorders>
          </w:tcPr>
          <w:p w14:paraId="388C6FD4"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1087" w:type="dxa"/>
            <w:gridSpan w:val="2"/>
            <w:tcBorders>
              <w:top w:val="nil"/>
              <w:left w:val="single" w:sz="6" w:space="0" w:color="auto"/>
              <w:bottom w:val="single" w:sz="6" w:space="0" w:color="auto"/>
              <w:right w:val="single" w:sz="6" w:space="0" w:color="auto"/>
            </w:tcBorders>
          </w:tcPr>
          <w:p w14:paraId="7EAAF9F2"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83</w:t>
            </w:r>
          </w:p>
        </w:tc>
        <w:tc>
          <w:tcPr>
            <w:tcW w:w="936" w:type="dxa"/>
            <w:tcBorders>
              <w:top w:val="nil"/>
              <w:left w:val="single" w:sz="6" w:space="0" w:color="auto"/>
              <w:bottom w:val="single" w:sz="6" w:space="0" w:color="auto"/>
              <w:right w:val="single" w:sz="4" w:space="0" w:color="auto"/>
            </w:tcBorders>
          </w:tcPr>
          <w:p w14:paraId="0043A244" w14:textId="77777777" w:rsidR="00AD59FF" w:rsidRPr="00CF2780" w:rsidRDefault="00AD59FF" w:rsidP="00AD59FF">
            <w:pPr>
              <w:autoSpaceDE w:val="0"/>
              <w:autoSpaceDN w:val="0"/>
              <w:adjustRightInd w:val="0"/>
              <w:spacing w:after="0" w:line="240" w:lineRule="auto"/>
              <w:ind w:left="252"/>
              <w:rPr>
                <w:rFonts w:ascii="Arial" w:eastAsia="Times New Roman" w:hAnsi="Arial" w:cs="Arial"/>
                <w:bCs/>
                <w:lang w:val="es-ES_tradnl" w:eastAsia="es-ES_tradnl"/>
              </w:rPr>
            </w:pPr>
            <w:r w:rsidRPr="00CF2780">
              <w:rPr>
                <w:rFonts w:ascii="Arial" w:eastAsia="Times New Roman" w:hAnsi="Arial" w:cs="Arial"/>
                <w:bCs/>
                <w:lang w:val="es-ES_tradnl" w:eastAsia="es-ES_tradnl"/>
              </w:rPr>
              <w:t>16</w:t>
            </w:r>
          </w:p>
        </w:tc>
      </w:tr>
      <w:tr w:rsidR="00AD59FF" w:rsidRPr="00CF2780" w14:paraId="33BE39D0" w14:textId="77777777" w:rsidTr="00B05F31">
        <w:trPr>
          <w:gridAfter w:val="1"/>
          <w:wAfter w:w="14" w:type="dxa"/>
        </w:trPr>
        <w:tc>
          <w:tcPr>
            <w:tcW w:w="698" w:type="dxa"/>
            <w:gridSpan w:val="2"/>
            <w:tcBorders>
              <w:top w:val="single" w:sz="6" w:space="0" w:color="auto"/>
              <w:left w:val="single" w:sz="6" w:space="0" w:color="auto"/>
              <w:bottom w:val="nil"/>
              <w:right w:val="single" w:sz="6" w:space="0" w:color="auto"/>
            </w:tcBorders>
          </w:tcPr>
          <w:p w14:paraId="5C2FA285"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9.</w:t>
            </w:r>
          </w:p>
        </w:tc>
        <w:tc>
          <w:tcPr>
            <w:tcW w:w="5508" w:type="dxa"/>
            <w:tcBorders>
              <w:top w:val="single" w:sz="6" w:space="0" w:color="auto"/>
              <w:left w:val="single" w:sz="6" w:space="0" w:color="auto"/>
              <w:bottom w:val="nil"/>
              <w:right w:val="single" w:sz="6" w:space="0" w:color="auto"/>
            </w:tcBorders>
          </w:tcPr>
          <w:p w14:paraId="2A7A9D83"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EVANGELINA LEMUS SÁNCHEZ</w:t>
            </w:r>
          </w:p>
        </w:tc>
        <w:tc>
          <w:tcPr>
            <w:tcW w:w="1087" w:type="dxa"/>
            <w:gridSpan w:val="2"/>
            <w:tcBorders>
              <w:top w:val="single" w:sz="6" w:space="0" w:color="auto"/>
              <w:left w:val="single" w:sz="6" w:space="0" w:color="auto"/>
              <w:bottom w:val="nil"/>
              <w:right w:val="single" w:sz="6" w:space="0" w:color="auto"/>
            </w:tcBorders>
          </w:tcPr>
          <w:p w14:paraId="3CF97239"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09</w:t>
            </w:r>
          </w:p>
        </w:tc>
        <w:tc>
          <w:tcPr>
            <w:tcW w:w="936" w:type="dxa"/>
            <w:tcBorders>
              <w:top w:val="single" w:sz="6" w:space="0" w:color="auto"/>
              <w:left w:val="single" w:sz="6" w:space="0" w:color="auto"/>
              <w:bottom w:val="nil"/>
              <w:right w:val="single" w:sz="4" w:space="0" w:color="auto"/>
            </w:tcBorders>
          </w:tcPr>
          <w:p w14:paraId="489FC10F" w14:textId="77777777" w:rsidR="00AD59FF" w:rsidRPr="00CF2780" w:rsidRDefault="00AD59FF" w:rsidP="00AD59FF">
            <w:pPr>
              <w:autoSpaceDE w:val="0"/>
              <w:autoSpaceDN w:val="0"/>
              <w:adjustRightInd w:val="0"/>
              <w:spacing w:after="0" w:line="240" w:lineRule="auto"/>
              <w:ind w:left="238"/>
              <w:rPr>
                <w:rFonts w:ascii="Arial" w:eastAsia="Times New Roman" w:hAnsi="Arial" w:cs="Arial"/>
                <w:lang w:val="es-ES_tradnl" w:eastAsia="es-ES_tradnl"/>
              </w:rPr>
            </w:pPr>
            <w:r w:rsidRPr="00CF2780">
              <w:rPr>
                <w:rFonts w:ascii="Arial" w:eastAsia="Times New Roman" w:hAnsi="Arial" w:cs="Arial"/>
                <w:lang w:val="es-ES_tradnl" w:eastAsia="es-ES_tradnl"/>
              </w:rPr>
              <w:t>01</w:t>
            </w:r>
          </w:p>
        </w:tc>
      </w:tr>
      <w:tr w:rsidR="00AD59FF" w:rsidRPr="00CF2780" w14:paraId="6F64D81D" w14:textId="77777777" w:rsidTr="00B05F31">
        <w:trPr>
          <w:gridAfter w:val="1"/>
          <w:wAfter w:w="14" w:type="dxa"/>
        </w:trPr>
        <w:tc>
          <w:tcPr>
            <w:tcW w:w="698" w:type="dxa"/>
            <w:gridSpan w:val="2"/>
            <w:tcBorders>
              <w:top w:val="nil"/>
              <w:left w:val="single" w:sz="6" w:space="0" w:color="auto"/>
              <w:bottom w:val="single" w:sz="6" w:space="0" w:color="auto"/>
              <w:right w:val="single" w:sz="6" w:space="0" w:color="auto"/>
            </w:tcBorders>
          </w:tcPr>
          <w:p w14:paraId="23BCA07A"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5508" w:type="dxa"/>
            <w:tcBorders>
              <w:top w:val="nil"/>
              <w:left w:val="single" w:sz="6" w:space="0" w:color="auto"/>
              <w:bottom w:val="single" w:sz="6" w:space="0" w:color="auto"/>
              <w:right w:val="single" w:sz="6" w:space="0" w:color="auto"/>
            </w:tcBorders>
          </w:tcPr>
          <w:p w14:paraId="16653FD7"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1087" w:type="dxa"/>
            <w:gridSpan w:val="2"/>
            <w:tcBorders>
              <w:top w:val="nil"/>
              <w:left w:val="single" w:sz="6" w:space="0" w:color="auto"/>
              <w:bottom w:val="single" w:sz="6" w:space="0" w:color="auto"/>
              <w:right w:val="single" w:sz="6" w:space="0" w:color="auto"/>
            </w:tcBorders>
          </w:tcPr>
          <w:p w14:paraId="454ED493"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88</w:t>
            </w:r>
          </w:p>
        </w:tc>
        <w:tc>
          <w:tcPr>
            <w:tcW w:w="936" w:type="dxa"/>
            <w:tcBorders>
              <w:top w:val="nil"/>
              <w:left w:val="single" w:sz="6" w:space="0" w:color="auto"/>
              <w:bottom w:val="single" w:sz="6" w:space="0" w:color="auto"/>
              <w:right w:val="single" w:sz="4" w:space="0" w:color="auto"/>
            </w:tcBorders>
          </w:tcPr>
          <w:p w14:paraId="7C3DF174" w14:textId="77777777" w:rsidR="00AD59FF" w:rsidRPr="00CF2780" w:rsidRDefault="00AD59FF" w:rsidP="00AD59FF">
            <w:pPr>
              <w:autoSpaceDE w:val="0"/>
              <w:autoSpaceDN w:val="0"/>
              <w:adjustRightInd w:val="0"/>
              <w:spacing w:after="0" w:line="240" w:lineRule="auto"/>
              <w:ind w:left="252"/>
              <w:rPr>
                <w:rFonts w:ascii="Arial" w:eastAsia="Times New Roman" w:hAnsi="Arial" w:cs="Arial"/>
                <w:lang w:val="es-ES_tradnl" w:eastAsia="es-ES_tradnl"/>
              </w:rPr>
            </w:pPr>
            <w:r w:rsidRPr="00CF2780">
              <w:rPr>
                <w:rFonts w:ascii="Arial" w:eastAsia="Times New Roman" w:hAnsi="Arial" w:cs="Arial"/>
                <w:lang w:val="es-ES_tradnl" w:eastAsia="es-ES_tradnl"/>
              </w:rPr>
              <w:t>10</w:t>
            </w:r>
          </w:p>
        </w:tc>
      </w:tr>
      <w:tr w:rsidR="00AD59FF" w:rsidRPr="00CF2780" w14:paraId="017A4C0D" w14:textId="77777777" w:rsidTr="00B05F31">
        <w:trPr>
          <w:gridAfter w:val="1"/>
          <w:wAfter w:w="14" w:type="dxa"/>
        </w:trPr>
        <w:tc>
          <w:tcPr>
            <w:tcW w:w="698" w:type="dxa"/>
            <w:gridSpan w:val="2"/>
            <w:tcBorders>
              <w:top w:val="single" w:sz="6" w:space="0" w:color="auto"/>
              <w:left w:val="single" w:sz="6" w:space="0" w:color="auto"/>
              <w:bottom w:val="nil"/>
              <w:right w:val="single" w:sz="6" w:space="0" w:color="auto"/>
            </w:tcBorders>
          </w:tcPr>
          <w:p w14:paraId="0AC3BCCF"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10.</w:t>
            </w:r>
          </w:p>
        </w:tc>
        <w:tc>
          <w:tcPr>
            <w:tcW w:w="5508" w:type="dxa"/>
            <w:tcBorders>
              <w:top w:val="single" w:sz="6" w:space="0" w:color="auto"/>
              <w:left w:val="single" w:sz="6" w:space="0" w:color="auto"/>
              <w:bottom w:val="nil"/>
              <w:right w:val="single" w:sz="6" w:space="0" w:color="auto"/>
            </w:tcBorders>
          </w:tcPr>
          <w:p w14:paraId="122F16D0"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MA. DE LOS ANGELES ENRIQUEZ SÁNCHEZ</w:t>
            </w:r>
          </w:p>
        </w:tc>
        <w:tc>
          <w:tcPr>
            <w:tcW w:w="1087" w:type="dxa"/>
            <w:gridSpan w:val="2"/>
            <w:tcBorders>
              <w:top w:val="single" w:sz="6" w:space="0" w:color="auto"/>
              <w:left w:val="single" w:sz="6" w:space="0" w:color="auto"/>
              <w:bottom w:val="nil"/>
              <w:right w:val="single" w:sz="6" w:space="0" w:color="auto"/>
            </w:tcBorders>
          </w:tcPr>
          <w:p w14:paraId="338AD339"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10</w:t>
            </w:r>
          </w:p>
        </w:tc>
        <w:tc>
          <w:tcPr>
            <w:tcW w:w="936" w:type="dxa"/>
            <w:tcBorders>
              <w:top w:val="single" w:sz="6" w:space="0" w:color="auto"/>
              <w:left w:val="single" w:sz="6" w:space="0" w:color="auto"/>
              <w:bottom w:val="nil"/>
              <w:right w:val="single" w:sz="4" w:space="0" w:color="auto"/>
            </w:tcBorders>
          </w:tcPr>
          <w:p w14:paraId="6FD60B3E" w14:textId="77777777" w:rsidR="00AD59FF" w:rsidRPr="00CF2780" w:rsidRDefault="00AD59FF" w:rsidP="00AD59FF">
            <w:pPr>
              <w:autoSpaceDE w:val="0"/>
              <w:autoSpaceDN w:val="0"/>
              <w:adjustRightInd w:val="0"/>
              <w:spacing w:after="0" w:line="240" w:lineRule="auto"/>
              <w:ind w:left="245"/>
              <w:rPr>
                <w:rFonts w:ascii="Arial" w:eastAsia="Times New Roman" w:hAnsi="Arial" w:cs="Arial"/>
                <w:spacing w:val="-10"/>
                <w:lang w:val="es-ES_tradnl" w:eastAsia="es-ES_tradnl"/>
              </w:rPr>
            </w:pPr>
            <w:r w:rsidRPr="00CF2780">
              <w:rPr>
                <w:rFonts w:ascii="Arial" w:eastAsia="Times New Roman" w:hAnsi="Arial" w:cs="Arial"/>
                <w:spacing w:val="-10"/>
                <w:lang w:val="es-ES_tradnl" w:eastAsia="es-ES_tradnl"/>
              </w:rPr>
              <w:t>42</w:t>
            </w:r>
          </w:p>
        </w:tc>
      </w:tr>
      <w:tr w:rsidR="00AD59FF" w:rsidRPr="00CF2780" w14:paraId="19DBE050" w14:textId="77777777" w:rsidTr="00B05F31">
        <w:trPr>
          <w:gridAfter w:val="1"/>
          <w:wAfter w:w="14" w:type="dxa"/>
        </w:trPr>
        <w:tc>
          <w:tcPr>
            <w:tcW w:w="698" w:type="dxa"/>
            <w:gridSpan w:val="2"/>
            <w:tcBorders>
              <w:top w:val="nil"/>
              <w:left w:val="single" w:sz="6" w:space="0" w:color="auto"/>
              <w:bottom w:val="single" w:sz="6" w:space="0" w:color="auto"/>
              <w:right w:val="single" w:sz="6" w:space="0" w:color="auto"/>
            </w:tcBorders>
          </w:tcPr>
          <w:p w14:paraId="4BC45262"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5508" w:type="dxa"/>
            <w:tcBorders>
              <w:top w:val="nil"/>
              <w:left w:val="single" w:sz="6" w:space="0" w:color="auto"/>
              <w:bottom w:val="single" w:sz="6" w:space="0" w:color="auto"/>
              <w:right w:val="single" w:sz="6" w:space="0" w:color="auto"/>
            </w:tcBorders>
          </w:tcPr>
          <w:p w14:paraId="45995444"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1087" w:type="dxa"/>
            <w:gridSpan w:val="2"/>
            <w:tcBorders>
              <w:top w:val="nil"/>
              <w:left w:val="single" w:sz="6" w:space="0" w:color="auto"/>
              <w:bottom w:val="single" w:sz="6" w:space="0" w:color="auto"/>
              <w:right w:val="single" w:sz="6" w:space="0" w:color="auto"/>
            </w:tcBorders>
          </w:tcPr>
          <w:p w14:paraId="264291C4"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bCs/>
                <w:lang w:val="es-ES_tradnl" w:eastAsia="es-ES_tradnl"/>
              </w:rPr>
            </w:pPr>
            <w:r w:rsidRPr="00CF2780">
              <w:rPr>
                <w:rFonts w:ascii="Arial" w:eastAsia="Times New Roman" w:hAnsi="Arial" w:cs="Arial"/>
                <w:bCs/>
                <w:lang w:val="es-ES_tradnl" w:eastAsia="es-ES_tradnl"/>
              </w:rPr>
              <w:t>100</w:t>
            </w:r>
          </w:p>
        </w:tc>
        <w:tc>
          <w:tcPr>
            <w:tcW w:w="936" w:type="dxa"/>
            <w:tcBorders>
              <w:top w:val="nil"/>
              <w:left w:val="single" w:sz="6" w:space="0" w:color="auto"/>
              <w:bottom w:val="single" w:sz="6" w:space="0" w:color="auto"/>
              <w:right w:val="single" w:sz="4" w:space="0" w:color="auto"/>
            </w:tcBorders>
          </w:tcPr>
          <w:p w14:paraId="62DED69B" w14:textId="77777777" w:rsidR="00AD59FF" w:rsidRPr="00CF2780" w:rsidRDefault="00AD59FF" w:rsidP="00AD59FF">
            <w:pPr>
              <w:autoSpaceDE w:val="0"/>
              <w:autoSpaceDN w:val="0"/>
              <w:adjustRightInd w:val="0"/>
              <w:spacing w:after="0" w:line="240" w:lineRule="auto"/>
              <w:ind w:left="238"/>
              <w:rPr>
                <w:rFonts w:ascii="Arial" w:eastAsia="Times New Roman" w:hAnsi="Arial" w:cs="Arial"/>
                <w:lang w:val="es-ES_tradnl" w:eastAsia="es-ES_tradnl"/>
              </w:rPr>
            </w:pPr>
            <w:r w:rsidRPr="00CF2780">
              <w:rPr>
                <w:rFonts w:ascii="Arial" w:eastAsia="Times New Roman" w:hAnsi="Arial" w:cs="Arial"/>
                <w:lang w:val="es-ES_tradnl" w:eastAsia="es-ES_tradnl"/>
              </w:rPr>
              <w:t>22</w:t>
            </w:r>
          </w:p>
        </w:tc>
      </w:tr>
      <w:tr w:rsidR="00AD59FF" w:rsidRPr="00CF2780" w14:paraId="2B84CF81" w14:textId="77777777" w:rsidTr="00B05F31">
        <w:trPr>
          <w:gridAfter w:val="1"/>
          <w:wAfter w:w="14" w:type="dxa"/>
        </w:trPr>
        <w:tc>
          <w:tcPr>
            <w:tcW w:w="698" w:type="dxa"/>
            <w:gridSpan w:val="2"/>
            <w:tcBorders>
              <w:top w:val="single" w:sz="6" w:space="0" w:color="auto"/>
              <w:left w:val="single" w:sz="6" w:space="0" w:color="auto"/>
              <w:bottom w:val="nil"/>
              <w:right w:val="single" w:sz="6" w:space="0" w:color="auto"/>
            </w:tcBorders>
          </w:tcPr>
          <w:p w14:paraId="23391509"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11.</w:t>
            </w:r>
          </w:p>
        </w:tc>
        <w:tc>
          <w:tcPr>
            <w:tcW w:w="5508" w:type="dxa"/>
            <w:tcBorders>
              <w:top w:val="single" w:sz="6" w:space="0" w:color="auto"/>
              <w:left w:val="single" w:sz="6" w:space="0" w:color="auto"/>
              <w:bottom w:val="nil"/>
              <w:right w:val="single" w:sz="6" w:space="0" w:color="auto"/>
            </w:tcBorders>
          </w:tcPr>
          <w:p w14:paraId="5FE8C80B"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WENDY FABIÁN ENRIQUEZ SÁNCHEZ</w:t>
            </w:r>
          </w:p>
        </w:tc>
        <w:tc>
          <w:tcPr>
            <w:tcW w:w="1087" w:type="dxa"/>
            <w:gridSpan w:val="2"/>
            <w:tcBorders>
              <w:top w:val="single" w:sz="6" w:space="0" w:color="auto"/>
              <w:left w:val="single" w:sz="6" w:space="0" w:color="auto"/>
              <w:bottom w:val="nil"/>
              <w:right w:val="single" w:sz="6" w:space="0" w:color="auto"/>
            </w:tcBorders>
          </w:tcPr>
          <w:p w14:paraId="004F3CAB"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10</w:t>
            </w:r>
          </w:p>
        </w:tc>
        <w:tc>
          <w:tcPr>
            <w:tcW w:w="936" w:type="dxa"/>
            <w:tcBorders>
              <w:top w:val="single" w:sz="6" w:space="0" w:color="auto"/>
              <w:left w:val="single" w:sz="6" w:space="0" w:color="auto"/>
              <w:bottom w:val="nil"/>
              <w:right w:val="single" w:sz="4" w:space="0" w:color="auto"/>
            </w:tcBorders>
          </w:tcPr>
          <w:p w14:paraId="7AD72A75" w14:textId="77777777" w:rsidR="00AD59FF" w:rsidRPr="00CF2780" w:rsidRDefault="00AD59FF" w:rsidP="00AD59FF">
            <w:pPr>
              <w:autoSpaceDE w:val="0"/>
              <w:autoSpaceDN w:val="0"/>
              <w:adjustRightInd w:val="0"/>
              <w:spacing w:after="0" w:line="240" w:lineRule="auto"/>
              <w:ind w:left="223"/>
              <w:rPr>
                <w:rFonts w:ascii="Arial" w:eastAsia="Times New Roman" w:hAnsi="Arial" w:cs="Arial"/>
                <w:bCs/>
                <w:lang w:val="es-ES_tradnl" w:eastAsia="es-ES_tradnl"/>
              </w:rPr>
            </w:pPr>
            <w:r w:rsidRPr="00CF2780">
              <w:rPr>
                <w:rFonts w:ascii="Arial" w:eastAsia="Times New Roman" w:hAnsi="Arial" w:cs="Arial"/>
                <w:bCs/>
                <w:lang w:val="es-ES_tradnl" w:eastAsia="es-ES_tradnl"/>
              </w:rPr>
              <w:t>43</w:t>
            </w:r>
          </w:p>
        </w:tc>
      </w:tr>
      <w:tr w:rsidR="00AD59FF" w:rsidRPr="00CF2780" w14:paraId="0101A2CE" w14:textId="77777777" w:rsidTr="00B05F31">
        <w:trPr>
          <w:gridAfter w:val="1"/>
          <w:wAfter w:w="14" w:type="dxa"/>
        </w:trPr>
        <w:tc>
          <w:tcPr>
            <w:tcW w:w="698" w:type="dxa"/>
            <w:gridSpan w:val="2"/>
            <w:tcBorders>
              <w:top w:val="nil"/>
              <w:left w:val="single" w:sz="6" w:space="0" w:color="auto"/>
              <w:bottom w:val="single" w:sz="6" w:space="0" w:color="auto"/>
              <w:right w:val="single" w:sz="6" w:space="0" w:color="auto"/>
            </w:tcBorders>
          </w:tcPr>
          <w:p w14:paraId="2119599D"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5508" w:type="dxa"/>
            <w:tcBorders>
              <w:top w:val="nil"/>
              <w:left w:val="single" w:sz="6" w:space="0" w:color="auto"/>
              <w:bottom w:val="single" w:sz="6" w:space="0" w:color="auto"/>
              <w:right w:val="single" w:sz="6" w:space="0" w:color="auto"/>
            </w:tcBorders>
          </w:tcPr>
          <w:p w14:paraId="648F9607"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1087" w:type="dxa"/>
            <w:gridSpan w:val="2"/>
            <w:tcBorders>
              <w:top w:val="nil"/>
              <w:left w:val="single" w:sz="6" w:space="0" w:color="auto"/>
              <w:bottom w:val="single" w:sz="6" w:space="0" w:color="auto"/>
              <w:right w:val="single" w:sz="6" w:space="0" w:color="auto"/>
            </w:tcBorders>
          </w:tcPr>
          <w:p w14:paraId="737B7B02"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100</w:t>
            </w:r>
          </w:p>
        </w:tc>
        <w:tc>
          <w:tcPr>
            <w:tcW w:w="936" w:type="dxa"/>
            <w:tcBorders>
              <w:top w:val="nil"/>
              <w:left w:val="single" w:sz="6" w:space="0" w:color="auto"/>
              <w:bottom w:val="single" w:sz="6" w:space="0" w:color="auto"/>
              <w:right w:val="single" w:sz="4" w:space="0" w:color="auto"/>
            </w:tcBorders>
          </w:tcPr>
          <w:p w14:paraId="632AEE37" w14:textId="77777777" w:rsidR="00AD59FF" w:rsidRPr="00CF2780" w:rsidRDefault="00AD59FF" w:rsidP="00AD59FF">
            <w:pPr>
              <w:autoSpaceDE w:val="0"/>
              <w:autoSpaceDN w:val="0"/>
              <w:adjustRightInd w:val="0"/>
              <w:spacing w:after="0" w:line="240" w:lineRule="auto"/>
              <w:ind w:left="245"/>
              <w:rPr>
                <w:rFonts w:ascii="Arial" w:eastAsia="Times New Roman" w:hAnsi="Arial" w:cs="Arial"/>
                <w:lang w:val="es-ES_tradnl" w:eastAsia="es-ES_tradnl"/>
              </w:rPr>
            </w:pPr>
            <w:r w:rsidRPr="00CF2780">
              <w:rPr>
                <w:rFonts w:ascii="Arial" w:eastAsia="Times New Roman" w:hAnsi="Arial" w:cs="Arial"/>
                <w:lang w:val="es-ES_tradnl" w:eastAsia="es-ES_tradnl"/>
              </w:rPr>
              <w:t>23</w:t>
            </w:r>
          </w:p>
        </w:tc>
      </w:tr>
      <w:tr w:rsidR="00AD59FF" w:rsidRPr="00CF2780" w14:paraId="3E9CEF7E" w14:textId="77777777" w:rsidTr="00B05F31">
        <w:trPr>
          <w:gridAfter w:val="1"/>
          <w:wAfter w:w="14" w:type="dxa"/>
        </w:trPr>
        <w:tc>
          <w:tcPr>
            <w:tcW w:w="698" w:type="dxa"/>
            <w:gridSpan w:val="2"/>
            <w:tcBorders>
              <w:top w:val="single" w:sz="6" w:space="0" w:color="auto"/>
              <w:left w:val="single" w:sz="6" w:space="0" w:color="auto"/>
              <w:bottom w:val="nil"/>
              <w:right w:val="single" w:sz="6" w:space="0" w:color="auto"/>
            </w:tcBorders>
          </w:tcPr>
          <w:p w14:paraId="36CF5EC0"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12.</w:t>
            </w:r>
          </w:p>
        </w:tc>
        <w:tc>
          <w:tcPr>
            <w:tcW w:w="5508" w:type="dxa"/>
            <w:tcBorders>
              <w:top w:val="single" w:sz="6" w:space="0" w:color="auto"/>
              <w:left w:val="single" w:sz="6" w:space="0" w:color="auto"/>
              <w:bottom w:val="nil"/>
              <w:right w:val="single" w:sz="6" w:space="0" w:color="auto"/>
            </w:tcBorders>
          </w:tcPr>
          <w:p w14:paraId="4C72C225"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FLORÍNA GUERRERO</w:t>
            </w:r>
          </w:p>
        </w:tc>
        <w:tc>
          <w:tcPr>
            <w:tcW w:w="1087" w:type="dxa"/>
            <w:gridSpan w:val="2"/>
            <w:tcBorders>
              <w:top w:val="single" w:sz="6" w:space="0" w:color="auto"/>
              <w:left w:val="single" w:sz="6" w:space="0" w:color="auto"/>
              <w:bottom w:val="nil"/>
              <w:right w:val="single" w:sz="6" w:space="0" w:color="auto"/>
            </w:tcBorders>
          </w:tcPr>
          <w:p w14:paraId="698ED4F0"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bCs/>
                <w:lang w:val="es-ES_tradnl" w:eastAsia="es-ES_tradnl"/>
              </w:rPr>
            </w:pPr>
            <w:r w:rsidRPr="00CF2780">
              <w:rPr>
                <w:rFonts w:ascii="Arial" w:eastAsia="Times New Roman" w:hAnsi="Arial" w:cs="Arial"/>
                <w:bCs/>
                <w:lang w:val="es-ES_tradnl" w:eastAsia="es-ES_tradnl"/>
              </w:rPr>
              <w:t>11</w:t>
            </w:r>
          </w:p>
        </w:tc>
        <w:tc>
          <w:tcPr>
            <w:tcW w:w="936" w:type="dxa"/>
            <w:tcBorders>
              <w:top w:val="single" w:sz="6" w:space="0" w:color="auto"/>
              <w:left w:val="single" w:sz="6" w:space="0" w:color="auto"/>
              <w:bottom w:val="nil"/>
              <w:right w:val="single" w:sz="4" w:space="0" w:color="auto"/>
            </w:tcBorders>
          </w:tcPr>
          <w:p w14:paraId="278BF0AD"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16</w:t>
            </w:r>
          </w:p>
        </w:tc>
      </w:tr>
      <w:tr w:rsidR="00AD59FF" w:rsidRPr="00CF2780" w14:paraId="4F1C7EEC" w14:textId="77777777" w:rsidTr="00B05F31">
        <w:trPr>
          <w:gridAfter w:val="1"/>
          <w:wAfter w:w="14" w:type="dxa"/>
        </w:trPr>
        <w:tc>
          <w:tcPr>
            <w:tcW w:w="698" w:type="dxa"/>
            <w:gridSpan w:val="2"/>
            <w:tcBorders>
              <w:top w:val="nil"/>
              <w:left w:val="single" w:sz="6" w:space="0" w:color="auto"/>
              <w:bottom w:val="single" w:sz="6" w:space="0" w:color="auto"/>
              <w:right w:val="single" w:sz="6" w:space="0" w:color="auto"/>
            </w:tcBorders>
          </w:tcPr>
          <w:p w14:paraId="259C9C07"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5508" w:type="dxa"/>
            <w:tcBorders>
              <w:top w:val="nil"/>
              <w:left w:val="single" w:sz="6" w:space="0" w:color="auto"/>
              <w:bottom w:val="single" w:sz="6" w:space="0" w:color="auto"/>
              <w:right w:val="single" w:sz="6" w:space="0" w:color="auto"/>
            </w:tcBorders>
          </w:tcPr>
          <w:p w14:paraId="041A7790"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1087" w:type="dxa"/>
            <w:gridSpan w:val="2"/>
            <w:tcBorders>
              <w:top w:val="nil"/>
              <w:left w:val="single" w:sz="6" w:space="0" w:color="auto"/>
              <w:bottom w:val="single" w:sz="6" w:space="0" w:color="auto"/>
              <w:right w:val="single" w:sz="6" w:space="0" w:color="auto"/>
            </w:tcBorders>
          </w:tcPr>
          <w:p w14:paraId="06697993"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105</w:t>
            </w:r>
          </w:p>
        </w:tc>
        <w:tc>
          <w:tcPr>
            <w:tcW w:w="936" w:type="dxa"/>
            <w:tcBorders>
              <w:top w:val="nil"/>
              <w:left w:val="single" w:sz="6" w:space="0" w:color="auto"/>
              <w:bottom w:val="single" w:sz="6" w:space="0" w:color="auto"/>
              <w:right w:val="single" w:sz="4" w:space="0" w:color="auto"/>
            </w:tcBorders>
          </w:tcPr>
          <w:p w14:paraId="1769C0F7" w14:textId="77777777" w:rsidR="00AD59FF" w:rsidRPr="00CF2780" w:rsidRDefault="00AD59FF" w:rsidP="00AD59FF">
            <w:pPr>
              <w:autoSpaceDE w:val="0"/>
              <w:autoSpaceDN w:val="0"/>
              <w:adjustRightInd w:val="0"/>
              <w:spacing w:after="0" w:line="240" w:lineRule="auto"/>
              <w:ind w:left="259"/>
              <w:rPr>
                <w:rFonts w:ascii="Arial" w:eastAsia="Times New Roman" w:hAnsi="Arial" w:cs="Arial"/>
                <w:lang w:val="es-ES_tradnl" w:eastAsia="es-ES_tradnl"/>
              </w:rPr>
            </w:pPr>
            <w:r w:rsidRPr="00CF2780">
              <w:rPr>
                <w:rFonts w:ascii="Arial" w:eastAsia="Times New Roman" w:hAnsi="Arial" w:cs="Arial"/>
                <w:lang w:val="es-ES_tradnl" w:eastAsia="es-ES_tradnl"/>
              </w:rPr>
              <w:t>19</w:t>
            </w:r>
          </w:p>
        </w:tc>
      </w:tr>
      <w:tr w:rsidR="00AD59FF" w:rsidRPr="00CF2780" w14:paraId="1E6C2870" w14:textId="77777777" w:rsidTr="00B05F31">
        <w:trPr>
          <w:gridAfter w:val="1"/>
          <w:wAfter w:w="14" w:type="dxa"/>
        </w:trPr>
        <w:tc>
          <w:tcPr>
            <w:tcW w:w="698" w:type="dxa"/>
            <w:gridSpan w:val="2"/>
            <w:tcBorders>
              <w:top w:val="single" w:sz="6" w:space="0" w:color="auto"/>
              <w:left w:val="single" w:sz="6" w:space="0" w:color="auto"/>
              <w:bottom w:val="nil"/>
              <w:right w:val="single" w:sz="6" w:space="0" w:color="auto"/>
            </w:tcBorders>
          </w:tcPr>
          <w:p w14:paraId="133E109C"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13.</w:t>
            </w:r>
          </w:p>
        </w:tc>
        <w:tc>
          <w:tcPr>
            <w:tcW w:w="5508" w:type="dxa"/>
            <w:tcBorders>
              <w:top w:val="single" w:sz="6" w:space="0" w:color="auto"/>
              <w:left w:val="single" w:sz="6" w:space="0" w:color="auto"/>
              <w:bottom w:val="nil"/>
              <w:right w:val="single" w:sz="6" w:space="0" w:color="auto"/>
            </w:tcBorders>
          </w:tcPr>
          <w:p w14:paraId="4F0FE13A"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MARTHA TORRES AMBROCIO</w:t>
            </w:r>
          </w:p>
        </w:tc>
        <w:tc>
          <w:tcPr>
            <w:tcW w:w="1087" w:type="dxa"/>
            <w:gridSpan w:val="2"/>
            <w:tcBorders>
              <w:top w:val="single" w:sz="6" w:space="0" w:color="auto"/>
              <w:left w:val="single" w:sz="6" w:space="0" w:color="auto"/>
              <w:bottom w:val="nil"/>
              <w:right w:val="single" w:sz="6" w:space="0" w:color="auto"/>
            </w:tcBorders>
          </w:tcPr>
          <w:p w14:paraId="2F403C86"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11</w:t>
            </w:r>
          </w:p>
        </w:tc>
        <w:tc>
          <w:tcPr>
            <w:tcW w:w="936" w:type="dxa"/>
            <w:tcBorders>
              <w:top w:val="single" w:sz="6" w:space="0" w:color="auto"/>
              <w:left w:val="single" w:sz="6" w:space="0" w:color="auto"/>
              <w:bottom w:val="nil"/>
              <w:right w:val="single" w:sz="4" w:space="0" w:color="auto"/>
            </w:tcBorders>
          </w:tcPr>
          <w:p w14:paraId="4E5E9AF9" w14:textId="77777777" w:rsidR="00AD59FF" w:rsidRPr="00CF2780" w:rsidRDefault="00AD59FF" w:rsidP="00AD59FF">
            <w:pPr>
              <w:autoSpaceDE w:val="0"/>
              <w:autoSpaceDN w:val="0"/>
              <w:adjustRightInd w:val="0"/>
              <w:spacing w:after="0" w:line="240" w:lineRule="auto"/>
              <w:ind w:left="238"/>
              <w:rPr>
                <w:rFonts w:ascii="Arial" w:eastAsia="Times New Roman" w:hAnsi="Arial" w:cs="Arial"/>
                <w:bCs/>
                <w:iCs/>
                <w:spacing w:val="-20"/>
                <w:lang w:val="es-ES_tradnl" w:eastAsia="es-ES_tradnl"/>
              </w:rPr>
            </w:pPr>
            <w:r w:rsidRPr="00CF2780">
              <w:rPr>
                <w:rFonts w:ascii="Arial" w:eastAsia="Times New Roman" w:hAnsi="Arial" w:cs="Arial"/>
                <w:bCs/>
                <w:iCs/>
                <w:spacing w:val="-20"/>
                <w:lang w:val="es-ES_tradnl" w:eastAsia="es-ES_tradnl"/>
              </w:rPr>
              <w:t>47</w:t>
            </w:r>
          </w:p>
        </w:tc>
      </w:tr>
      <w:tr w:rsidR="00AD59FF" w:rsidRPr="00CF2780" w14:paraId="449E0DF3" w14:textId="77777777" w:rsidTr="00B05F31">
        <w:trPr>
          <w:gridAfter w:val="1"/>
          <w:wAfter w:w="14" w:type="dxa"/>
        </w:trPr>
        <w:tc>
          <w:tcPr>
            <w:tcW w:w="698" w:type="dxa"/>
            <w:gridSpan w:val="2"/>
            <w:tcBorders>
              <w:top w:val="nil"/>
              <w:left w:val="single" w:sz="6" w:space="0" w:color="auto"/>
              <w:bottom w:val="single" w:sz="6" w:space="0" w:color="auto"/>
              <w:right w:val="single" w:sz="6" w:space="0" w:color="auto"/>
            </w:tcBorders>
          </w:tcPr>
          <w:p w14:paraId="36580C55"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5508" w:type="dxa"/>
            <w:tcBorders>
              <w:top w:val="nil"/>
              <w:left w:val="single" w:sz="6" w:space="0" w:color="auto"/>
              <w:bottom w:val="single" w:sz="6" w:space="0" w:color="auto"/>
              <w:right w:val="single" w:sz="6" w:space="0" w:color="auto"/>
            </w:tcBorders>
          </w:tcPr>
          <w:p w14:paraId="6ADDE2D5"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1087" w:type="dxa"/>
            <w:gridSpan w:val="2"/>
            <w:tcBorders>
              <w:top w:val="nil"/>
              <w:left w:val="single" w:sz="6" w:space="0" w:color="auto"/>
              <w:bottom w:val="single" w:sz="6" w:space="0" w:color="auto"/>
              <w:right w:val="single" w:sz="6" w:space="0" w:color="auto"/>
            </w:tcBorders>
          </w:tcPr>
          <w:p w14:paraId="5D53E9EE"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110</w:t>
            </w:r>
          </w:p>
        </w:tc>
        <w:tc>
          <w:tcPr>
            <w:tcW w:w="936" w:type="dxa"/>
            <w:tcBorders>
              <w:top w:val="nil"/>
              <w:left w:val="single" w:sz="6" w:space="0" w:color="auto"/>
              <w:bottom w:val="single" w:sz="6" w:space="0" w:color="auto"/>
              <w:right w:val="single" w:sz="4" w:space="0" w:color="auto"/>
            </w:tcBorders>
          </w:tcPr>
          <w:p w14:paraId="774246AB" w14:textId="77777777" w:rsidR="00AD59FF" w:rsidRPr="00CF2780" w:rsidRDefault="00AD59FF" w:rsidP="00AD59FF">
            <w:pPr>
              <w:autoSpaceDE w:val="0"/>
              <w:autoSpaceDN w:val="0"/>
              <w:adjustRightInd w:val="0"/>
              <w:spacing w:after="0" w:line="240" w:lineRule="auto"/>
              <w:ind w:left="245"/>
              <w:rPr>
                <w:rFonts w:ascii="Arial" w:eastAsia="Times New Roman" w:hAnsi="Arial" w:cs="Arial"/>
                <w:lang w:val="es-ES_tradnl" w:eastAsia="es-ES_tradnl"/>
              </w:rPr>
            </w:pPr>
            <w:r w:rsidRPr="00CF2780">
              <w:rPr>
                <w:rFonts w:ascii="Arial" w:eastAsia="Times New Roman" w:hAnsi="Arial" w:cs="Arial"/>
                <w:lang w:val="es-ES_tradnl" w:eastAsia="es-ES_tradnl"/>
              </w:rPr>
              <w:t>02</w:t>
            </w:r>
          </w:p>
        </w:tc>
      </w:tr>
      <w:tr w:rsidR="00AD59FF" w:rsidRPr="00CF2780" w14:paraId="456D5FD5" w14:textId="77777777" w:rsidTr="00B05F31">
        <w:trPr>
          <w:gridAfter w:val="1"/>
          <w:wAfter w:w="14" w:type="dxa"/>
        </w:trPr>
        <w:tc>
          <w:tcPr>
            <w:tcW w:w="698" w:type="dxa"/>
            <w:gridSpan w:val="2"/>
            <w:tcBorders>
              <w:top w:val="single" w:sz="6" w:space="0" w:color="auto"/>
              <w:left w:val="single" w:sz="6" w:space="0" w:color="auto"/>
              <w:bottom w:val="nil"/>
              <w:right w:val="single" w:sz="6" w:space="0" w:color="auto"/>
            </w:tcBorders>
          </w:tcPr>
          <w:p w14:paraId="7E89F89E"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14.</w:t>
            </w:r>
          </w:p>
        </w:tc>
        <w:tc>
          <w:tcPr>
            <w:tcW w:w="5508" w:type="dxa"/>
            <w:tcBorders>
              <w:top w:val="single" w:sz="6" w:space="0" w:color="auto"/>
              <w:left w:val="single" w:sz="6" w:space="0" w:color="auto"/>
              <w:bottom w:val="nil"/>
              <w:right w:val="single" w:sz="6" w:space="0" w:color="auto"/>
            </w:tcBorders>
          </w:tcPr>
          <w:p w14:paraId="0E13C155"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ALBERTO SÁNCHEZ SERVIN</w:t>
            </w:r>
          </w:p>
        </w:tc>
        <w:tc>
          <w:tcPr>
            <w:tcW w:w="1087" w:type="dxa"/>
            <w:gridSpan w:val="2"/>
            <w:tcBorders>
              <w:top w:val="single" w:sz="6" w:space="0" w:color="auto"/>
              <w:left w:val="single" w:sz="6" w:space="0" w:color="auto"/>
              <w:bottom w:val="nil"/>
              <w:right w:val="single" w:sz="6" w:space="0" w:color="auto"/>
            </w:tcBorders>
          </w:tcPr>
          <w:p w14:paraId="26EC9E24"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12</w:t>
            </w:r>
          </w:p>
        </w:tc>
        <w:tc>
          <w:tcPr>
            <w:tcW w:w="936" w:type="dxa"/>
            <w:tcBorders>
              <w:top w:val="single" w:sz="6" w:space="0" w:color="auto"/>
              <w:left w:val="single" w:sz="6" w:space="0" w:color="auto"/>
              <w:bottom w:val="nil"/>
              <w:right w:val="single" w:sz="4" w:space="0" w:color="auto"/>
            </w:tcBorders>
          </w:tcPr>
          <w:p w14:paraId="5E7B90C3" w14:textId="77777777" w:rsidR="00AD59FF" w:rsidRPr="00CF2780" w:rsidRDefault="00AD59FF" w:rsidP="00AD59FF">
            <w:pPr>
              <w:autoSpaceDE w:val="0"/>
              <w:autoSpaceDN w:val="0"/>
              <w:adjustRightInd w:val="0"/>
              <w:spacing w:after="0" w:line="240" w:lineRule="auto"/>
              <w:ind w:left="245"/>
              <w:rPr>
                <w:rFonts w:ascii="Arial" w:eastAsia="Times New Roman" w:hAnsi="Arial" w:cs="Arial"/>
                <w:lang w:val="es-ES_tradnl" w:eastAsia="es-ES_tradnl"/>
              </w:rPr>
            </w:pPr>
            <w:r w:rsidRPr="00CF2780">
              <w:rPr>
                <w:rFonts w:ascii="Arial" w:eastAsia="Times New Roman" w:hAnsi="Arial" w:cs="Arial"/>
                <w:lang w:val="es-ES_tradnl" w:eastAsia="es-ES_tradnl"/>
              </w:rPr>
              <w:t>24</w:t>
            </w:r>
          </w:p>
        </w:tc>
      </w:tr>
      <w:tr w:rsidR="00AD59FF" w:rsidRPr="00CF2780" w14:paraId="792E29A5" w14:textId="77777777" w:rsidTr="00B05F31">
        <w:trPr>
          <w:gridAfter w:val="1"/>
          <w:wAfter w:w="14" w:type="dxa"/>
        </w:trPr>
        <w:tc>
          <w:tcPr>
            <w:tcW w:w="698" w:type="dxa"/>
            <w:gridSpan w:val="2"/>
            <w:tcBorders>
              <w:top w:val="nil"/>
              <w:left w:val="single" w:sz="6" w:space="0" w:color="auto"/>
              <w:bottom w:val="single" w:sz="6" w:space="0" w:color="auto"/>
              <w:right w:val="single" w:sz="6" w:space="0" w:color="auto"/>
            </w:tcBorders>
          </w:tcPr>
          <w:p w14:paraId="100243CD"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5508" w:type="dxa"/>
            <w:tcBorders>
              <w:top w:val="nil"/>
              <w:left w:val="single" w:sz="6" w:space="0" w:color="auto"/>
              <w:bottom w:val="single" w:sz="6" w:space="0" w:color="auto"/>
              <w:right w:val="single" w:sz="6" w:space="0" w:color="auto"/>
            </w:tcBorders>
          </w:tcPr>
          <w:p w14:paraId="41EFC5A5"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1087" w:type="dxa"/>
            <w:gridSpan w:val="2"/>
            <w:tcBorders>
              <w:top w:val="nil"/>
              <w:left w:val="single" w:sz="6" w:space="0" w:color="auto"/>
              <w:bottom w:val="single" w:sz="6" w:space="0" w:color="auto"/>
              <w:right w:val="single" w:sz="6" w:space="0" w:color="auto"/>
            </w:tcBorders>
          </w:tcPr>
          <w:p w14:paraId="267E314C"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113</w:t>
            </w:r>
          </w:p>
        </w:tc>
        <w:tc>
          <w:tcPr>
            <w:tcW w:w="936" w:type="dxa"/>
            <w:tcBorders>
              <w:top w:val="nil"/>
              <w:left w:val="single" w:sz="6" w:space="0" w:color="auto"/>
              <w:bottom w:val="single" w:sz="6" w:space="0" w:color="auto"/>
              <w:right w:val="single" w:sz="4" w:space="0" w:color="auto"/>
            </w:tcBorders>
          </w:tcPr>
          <w:p w14:paraId="5235E8BB" w14:textId="77777777" w:rsidR="00AD59FF" w:rsidRPr="00CF2780" w:rsidRDefault="00AD59FF" w:rsidP="00AD59FF">
            <w:pPr>
              <w:autoSpaceDE w:val="0"/>
              <w:autoSpaceDN w:val="0"/>
              <w:adjustRightInd w:val="0"/>
              <w:spacing w:after="0" w:line="240" w:lineRule="auto"/>
              <w:ind w:left="259"/>
              <w:rPr>
                <w:rFonts w:ascii="Arial" w:eastAsia="Times New Roman" w:hAnsi="Arial" w:cs="Arial"/>
                <w:lang w:val="es-ES_tradnl" w:eastAsia="es-ES_tradnl"/>
              </w:rPr>
            </w:pPr>
            <w:r w:rsidRPr="00CF2780">
              <w:rPr>
                <w:rFonts w:ascii="Arial" w:eastAsia="Times New Roman" w:hAnsi="Arial" w:cs="Arial"/>
                <w:lang w:val="es-ES_tradnl" w:eastAsia="es-ES_tradnl"/>
              </w:rPr>
              <w:t>15</w:t>
            </w:r>
          </w:p>
        </w:tc>
      </w:tr>
      <w:tr w:rsidR="00AD59FF" w:rsidRPr="00CF2780" w14:paraId="446F7210" w14:textId="77777777" w:rsidTr="00B05F31">
        <w:trPr>
          <w:gridAfter w:val="1"/>
          <w:wAfter w:w="14" w:type="dxa"/>
        </w:trPr>
        <w:tc>
          <w:tcPr>
            <w:tcW w:w="698" w:type="dxa"/>
            <w:gridSpan w:val="2"/>
            <w:tcBorders>
              <w:top w:val="single" w:sz="6" w:space="0" w:color="auto"/>
              <w:left w:val="single" w:sz="6" w:space="0" w:color="auto"/>
              <w:bottom w:val="nil"/>
              <w:right w:val="single" w:sz="6" w:space="0" w:color="auto"/>
            </w:tcBorders>
          </w:tcPr>
          <w:p w14:paraId="7B00855D"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15.</w:t>
            </w:r>
          </w:p>
        </w:tc>
        <w:tc>
          <w:tcPr>
            <w:tcW w:w="5508" w:type="dxa"/>
            <w:tcBorders>
              <w:top w:val="single" w:sz="6" w:space="0" w:color="auto"/>
              <w:left w:val="single" w:sz="6" w:space="0" w:color="auto"/>
              <w:bottom w:val="nil"/>
              <w:right w:val="single" w:sz="6" w:space="0" w:color="auto"/>
            </w:tcBorders>
          </w:tcPr>
          <w:p w14:paraId="5E094CAD"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JUAN CARLOS DURAN GEMBE</w:t>
            </w:r>
          </w:p>
        </w:tc>
        <w:tc>
          <w:tcPr>
            <w:tcW w:w="1087" w:type="dxa"/>
            <w:gridSpan w:val="2"/>
            <w:tcBorders>
              <w:top w:val="single" w:sz="6" w:space="0" w:color="auto"/>
              <w:left w:val="single" w:sz="6" w:space="0" w:color="auto"/>
              <w:bottom w:val="nil"/>
              <w:right w:val="single" w:sz="6" w:space="0" w:color="auto"/>
            </w:tcBorders>
          </w:tcPr>
          <w:p w14:paraId="25CF677C"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bCs/>
                <w:lang w:val="es-ES_tradnl" w:eastAsia="es-ES_tradnl"/>
              </w:rPr>
            </w:pPr>
            <w:r w:rsidRPr="00CF2780">
              <w:rPr>
                <w:rFonts w:ascii="Arial" w:eastAsia="Times New Roman" w:hAnsi="Arial" w:cs="Arial"/>
                <w:bCs/>
                <w:lang w:val="es-ES_tradnl" w:eastAsia="es-ES_tradnl"/>
              </w:rPr>
              <w:t>12</w:t>
            </w:r>
          </w:p>
        </w:tc>
        <w:tc>
          <w:tcPr>
            <w:tcW w:w="936" w:type="dxa"/>
            <w:tcBorders>
              <w:top w:val="single" w:sz="6" w:space="0" w:color="auto"/>
              <w:left w:val="single" w:sz="6" w:space="0" w:color="auto"/>
              <w:bottom w:val="nil"/>
              <w:right w:val="single" w:sz="4" w:space="0" w:color="auto"/>
            </w:tcBorders>
          </w:tcPr>
          <w:p w14:paraId="20C1C356" w14:textId="77777777" w:rsidR="00AD59FF" w:rsidRPr="00CF2780" w:rsidRDefault="00AD59FF" w:rsidP="00AD59FF">
            <w:pPr>
              <w:autoSpaceDE w:val="0"/>
              <w:autoSpaceDN w:val="0"/>
              <w:adjustRightInd w:val="0"/>
              <w:spacing w:after="0" w:line="240" w:lineRule="auto"/>
              <w:ind w:left="245"/>
              <w:rPr>
                <w:rFonts w:ascii="Arial" w:eastAsia="Times New Roman" w:hAnsi="Arial" w:cs="Arial"/>
                <w:lang w:val="es-ES_tradnl" w:eastAsia="es-ES_tradnl"/>
              </w:rPr>
            </w:pPr>
            <w:r w:rsidRPr="00CF2780">
              <w:rPr>
                <w:rFonts w:ascii="Arial" w:eastAsia="Times New Roman" w:hAnsi="Arial" w:cs="Arial"/>
                <w:lang w:val="es-ES_tradnl" w:eastAsia="es-ES_tradnl"/>
              </w:rPr>
              <w:t>31</w:t>
            </w:r>
          </w:p>
        </w:tc>
      </w:tr>
      <w:tr w:rsidR="00AD59FF" w:rsidRPr="00CF2780" w14:paraId="42C54938" w14:textId="77777777" w:rsidTr="00B05F31">
        <w:trPr>
          <w:gridAfter w:val="1"/>
          <w:wAfter w:w="14" w:type="dxa"/>
        </w:trPr>
        <w:tc>
          <w:tcPr>
            <w:tcW w:w="698" w:type="dxa"/>
            <w:gridSpan w:val="2"/>
            <w:tcBorders>
              <w:top w:val="nil"/>
              <w:left w:val="single" w:sz="6" w:space="0" w:color="auto"/>
              <w:bottom w:val="single" w:sz="6" w:space="0" w:color="auto"/>
              <w:right w:val="single" w:sz="6" w:space="0" w:color="auto"/>
            </w:tcBorders>
          </w:tcPr>
          <w:p w14:paraId="0277B605"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5508" w:type="dxa"/>
            <w:tcBorders>
              <w:top w:val="nil"/>
              <w:left w:val="single" w:sz="6" w:space="0" w:color="auto"/>
              <w:bottom w:val="single" w:sz="6" w:space="0" w:color="auto"/>
              <w:right w:val="single" w:sz="6" w:space="0" w:color="auto"/>
            </w:tcBorders>
          </w:tcPr>
          <w:p w14:paraId="458E8800"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1087" w:type="dxa"/>
            <w:gridSpan w:val="2"/>
            <w:tcBorders>
              <w:top w:val="nil"/>
              <w:left w:val="single" w:sz="6" w:space="0" w:color="auto"/>
              <w:bottom w:val="single" w:sz="6" w:space="0" w:color="auto"/>
              <w:right w:val="single" w:sz="6" w:space="0" w:color="auto"/>
            </w:tcBorders>
          </w:tcPr>
          <w:p w14:paraId="08044BF6"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114</w:t>
            </w:r>
          </w:p>
        </w:tc>
        <w:tc>
          <w:tcPr>
            <w:tcW w:w="936" w:type="dxa"/>
            <w:tcBorders>
              <w:top w:val="nil"/>
              <w:left w:val="single" w:sz="6" w:space="0" w:color="auto"/>
              <w:bottom w:val="single" w:sz="6" w:space="0" w:color="auto"/>
              <w:right w:val="single" w:sz="4" w:space="0" w:color="auto"/>
            </w:tcBorders>
          </w:tcPr>
          <w:p w14:paraId="27E2CC53" w14:textId="77777777" w:rsidR="00AD59FF" w:rsidRPr="00CF2780" w:rsidRDefault="00AD59FF" w:rsidP="00AD59FF">
            <w:pPr>
              <w:autoSpaceDE w:val="0"/>
              <w:autoSpaceDN w:val="0"/>
              <w:adjustRightInd w:val="0"/>
              <w:spacing w:after="0" w:line="240" w:lineRule="auto"/>
              <w:ind w:left="245"/>
              <w:rPr>
                <w:rFonts w:ascii="Arial" w:eastAsia="Times New Roman" w:hAnsi="Arial" w:cs="Arial"/>
                <w:lang w:val="es-ES_tradnl" w:eastAsia="es-ES_tradnl"/>
              </w:rPr>
            </w:pPr>
            <w:r w:rsidRPr="00CF2780">
              <w:rPr>
                <w:rFonts w:ascii="Arial" w:eastAsia="Times New Roman" w:hAnsi="Arial" w:cs="Arial"/>
                <w:lang w:val="es-ES_tradnl" w:eastAsia="es-ES_tradnl"/>
              </w:rPr>
              <w:t>05</w:t>
            </w:r>
          </w:p>
        </w:tc>
      </w:tr>
      <w:tr w:rsidR="00AD59FF" w:rsidRPr="00CF2780" w14:paraId="5C418D14" w14:textId="77777777" w:rsidTr="00B05F31">
        <w:trPr>
          <w:gridAfter w:val="1"/>
          <w:wAfter w:w="14" w:type="dxa"/>
        </w:trPr>
        <w:tc>
          <w:tcPr>
            <w:tcW w:w="698" w:type="dxa"/>
            <w:gridSpan w:val="2"/>
            <w:tcBorders>
              <w:top w:val="single" w:sz="6" w:space="0" w:color="auto"/>
              <w:left w:val="single" w:sz="6" w:space="0" w:color="auto"/>
              <w:bottom w:val="nil"/>
              <w:right w:val="single" w:sz="6" w:space="0" w:color="auto"/>
            </w:tcBorders>
          </w:tcPr>
          <w:p w14:paraId="2596C49C"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16.</w:t>
            </w:r>
          </w:p>
        </w:tc>
        <w:tc>
          <w:tcPr>
            <w:tcW w:w="5508" w:type="dxa"/>
            <w:tcBorders>
              <w:top w:val="single" w:sz="6" w:space="0" w:color="auto"/>
              <w:left w:val="single" w:sz="6" w:space="0" w:color="auto"/>
              <w:bottom w:val="nil"/>
              <w:right w:val="single" w:sz="6" w:space="0" w:color="auto"/>
            </w:tcBorders>
          </w:tcPr>
          <w:p w14:paraId="2401514A"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ANAYELI SILVA</w:t>
            </w:r>
          </w:p>
        </w:tc>
        <w:tc>
          <w:tcPr>
            <w:tcW w:w="1087" w:type="dxa"/>
            <w:gridSpan w:val="2"/>
            <w:tcBorders>
              <w:top w:val="single" w:sz="6" w:space="0" w:color="auto"/>
              <w:left w:val="single" w:sz="6" w:space="0" w:color="auto"/>
              <w:bottom w:val="nil"/>
              <w:right w:val="single" w:sz="6" w:space="0" w:color="auto"/>
            </w:tcBorders>
          </w:tcPr>
          <w:p w14:paraId="61985BB2"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bCs/>
                <w:lang w:val="es-ES_tradnl" w:eastAsia="es-ES_tradnl"/>
              </w:rPr>
            </w:pPr>
            <w:r w:rsidRPr="00CF2780">
              <w:rPr>
                <w:rFonts w:ascii="Arial" w:eastAsia="Times New Roman" w:hAnsi="Arial" w:cs="Arial"/>
                <w:bCs/>
                <w:lang w:val="es-ES_tradnl" w:eastAsia="es-ES_tradnl"/>
              </w:rPr>
              <w:t>12</w:t>
            </w:r>
          </w:p>
        </w:tc>
        <w:tc>
          <w:tcPr>
            <w:tcW w:w="936" w:type="dxa"/>
            <w:tcBorders>
              <w:top w:val="single" w:sz="6" w:space="0" w:color="auto"/>
              <w:left w:val="single" w:sz="6" w:space="0" w:color="auto"/>
              <w:bottom w:val="nil"/>
              <w:right w:val="single" w:sz="4" w:space="0" w:color="auto"/>
            </w:tcBorders>
          </w:tcPr>
          <w:p w14:paraId="2D02B75F" w14:textId="77777777" w:rsidR="00AD59FF" w:rsidRPr="00CF2780" w:rsidRDefault="00AD59FF" w:rsidP="00AD59FF">
            <w:pPr>
              <w:autoSpaceDE w:val="0"/>
              <w:autoSpaceDN w:val="0"/>
              <w:adjustRightInd w:val="0"/>
              <w:spacing w:after="0" w:line="240" w:lineRule="auto"/>
              <w:ind w:left="245"/>
              <w:rPr>
                <w:rFonts w:ascii="Arial" w:eastAsia="Times New Roman" w:hAnsi="Arial" w:cs="Arial"/>
                <w:lang w:val="es-ES_tradnl" w:eastAsia="es-ES_tradnl"/>
              </w:rPr>
            </w:pPr>
            <w:r w:rsidRPr="00CF2780">
              <w:rPr>
                <w:rFonts w:ascii="Arial" w:eastAsia="Times New Roman" w:hAnsi="Arial" w:cs="Arial"/>
                <w:lang w:val="es-ES_tradnl" w:eastAsia="es-ES_tradnl"/>
              </w:rPr>
              <w:t>31</w:t>
            </w:r>
          </w:p>
        </w:tc>
      </w:tr>
      <w:tr w:rsidR="00AD59FF" w:rsidRPr="00CF2780" w14:paraId="7334B7A8" w14:textId="77777777" w:rsidTr="00B05F31">
        <w:trPr>
          <w:gridAfter w:val="1"/>
          <w:wAfter w:w="14" w:type="dxa"/>
        </w:trPr>
        <w:tc>
          <w:tcPr>
            <w:tcW w:w="698" w:type="dxa"/>
            <w:gridSpan w:val="2"/>
            <w:tcBorders>
              <w:top w:val="nil"/>
              <w:left w:val="single" w:sz="6" w:space="0" w:color="auto"/>
              <w:bottom w:val="single" w:sz="6" w:space="0" w:color="auto"/>
              <w:right w:val="single" w:sz="6" w:space="0" w:color="auto"/>
            </w:tcBorders>
          </w:tcPr>
          <w:p w14:paraId="59CE22BD"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5508" w:type="dxa"/>
            <w:tcBorders>
              <w:top w:val="nil"/>
              <w:left w:val="single" w:sz="6" w:space="0" w:color="auto"/>
              <w:bottom w:val="single" w:sz="6" w:space="0" w:color="auto"/>
              <w:right w:val="single" w:sz="6" w:space="0" w:color="auto"/>
            </w:tcBorders>
          </w:tcPr>
          <w:p w14:paraId="54178AC5"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1087" w:type="dxa"/>
            <w:gridSpan w:val="2"/>
            <w:tcBorders>
              <w:top w:val="nil"/>
              <w:left w:val="single" w:sz="6" w:space="0" w:color="auto"/>
              <w:bottom w:val="single" w:sz="6" w:space="0" w:color="auto"/>
              <w:right w:val="single" w:sz="6" w:space="0" w:color="auto"/>
            </w:tcBorders>
          </w:tcPr>
          <w:p w14:paraId="263386CD"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114</w:t>
            </w:r>
          </w:p>
        </w:tc>
        <w:tc>
          <w:tcPr>
            <w:tcW w:w="936" w:type="dxa"/>
            <w:tcBorders>
              <w:top w:val="nil"/>
              <w:left w:val="single" w:sz="6" w:space="0" w:color="auto"/>
              <w:bottom w:val="single" w:sz="6" w:space="0" w:color="auto"/>
              <w:right w:val="single" w:sz="4" w:space="0" w:color="auto"/>
            </w:tcBorders>
          </w:tcPr>
          <w:p w14:paraId="21C73B25" w14:textId="77777777" w:rsidR="00AD59FF" w:rsidRPr="00CF2780" w:rsidRDefault="00AD59FF" w:rsidP="00AD59FF">
            <w:pPr>
              <w:autoSpaceDE w:val="0"/>
              <w:autoSpaceDN w:val="0"/>
              <w:adjustRightInd w:val="0"/>
              <w:spacing w:after="0" w:line="240" w:lineRule="auto"/>
              <w:ind w:left="245"/>
              <w:rPr>
                <w:rFonts w:ascii="Arial" w:eastAsia="Times New Roman" w:hAnsi="Arial" w:cs="Arial"/>
                <w:lang w:val="es-ES_tradnl" w:eastAsia="es-ES_tradnl"/>
              </w:rPr>
            </w:pPr>
            <w:r w:rsidRPr="00CF2780">
              <w:rPr>
                <w:rFonts w:ascii="Arial" w:eastAsia="Times New Roman" w:hAnsi="Arial" w:cs="Arial"/>
                <w:lang w:val="es-ES_tradnl" w:eastAsia="es-ES_tradnl"/>
              </w:rPr>
              <w:t>06</w:t>
            </w:r>
          </w:p>
        </w:tc>
      </w:tr>
      <w:tr w:rsidR="00AD59FF" w:rsidRPr="00CF2780" w14:paraId="59818566" w14:textId="77777777" w:rsidTr="00B05F31">
        <w:trPr>
          <w:gridAfter w:val="1"/>
          <w:wAfter w:w="14" w:type="dxa"/>
        </w:trPr>
        <w:tc>
          <w:tcPr>
            <w:tcW w:w="698" w:type="dxa"/>
            <w:gridSpan w:val="2"/>
            <w:tcBorders>
              <w:top w:val="single" w:sz="6" w:space="0" w:color="auto"/>
              <w:left w:val="single" w:sz="6" w:space="0" w:color="auto"/>
              <w:bottom w:val="nil"/>
              <w:right w:val="single" w:sz="6" w:space="0" w:color="auto"/>
            </w:tcBorders>
          </w:tcPr>
          <w:p w14:paraId="4876913B"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17.</w:t>
            </w:r>
          </w:p>
        </w:tc>
        <w:tc>
          <w:tcPr>
            <w:tcW w:w="5508" w:type="dxa"/>
            <w:tcBorders>
              <w:top w:val="single" w:sz="6" w:space="0" w:color="auto"/>
              <w:left w:val="single" w:sz="6" w:space="0" w:color="auto"/>
              <w:bottom w:val="nil"/>
              <w:right w:val="single" w:sz="6" w:space="0" w:color="auto"/>
            </w:tcBorders>
          </w:tcPr>
          <w:p w14:paraId="07AE5F2D"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JESÚS ESTRADA HERNÁNDEZ</w:t>
            </w:r>
          </w:p>
        </w:tc>
        <w:tc>
          <w:tcPr>
            <w:tcW w:w="1087" w:type="dxa"/>
            <w:gridSpan w:val="2"/>
            <w:tcBorders>
              <w:top w:val="single" w:sz="6" w:space="0" w:color="auto"/>
              <w:left w:val="single" w:sz="6" w:space="0" w:color="auto"/>
              <w:bottom w:val="nil"/>
              <w:right w:val="single" w:sz="6" w:space="0" w:color="auto"/>
            </w:tcBorders>
          </w:tcPr>
          <w:p w14:paraId="4785F38D"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13</w:t>
            </w:r>
          </w:p>
        </w:tc>
        <w:tc>
          <w:tcPr>
            <w:tcW w:w="936" w:type="dxa"/>
            <w:tcBorders>
              <w:top w:val="single" w:sz="6" w:space="0" w:color="auto"/>
              <w:left w:val="single" w:sz="6" w:space="0" w:color="auto"/>
              <w:bottom w:val="nil"/>
              <w:right w:val="single" w:sz="4" w:space="0" w:color="auto"/>
            </w:tcBorders>
          </w:tcPr>
          <w:p w14:paraId="78DD3685" w14:textId="77777777" w:rsidR="00AD59FF" w:rsidRPr="00CF2780" w:rsidRDefault="00AD59FF" w:rsidP="00AD59FF">
            <w:pPr>
              <w:autoSpaceDE w:val="0"/>
              <w:autoSpaceDN w:val="0"/>
              <w:adjustRightInd w:val="0"/>
              <w:spacing w:after="0" w:line="240" w:lineRule="auto"/>
              <w:ind w:left="245"/>
              <w:rPr>
                <w:rFonts w:ascii="Arial" w:eastAsia="Times New Roman" w:hAnsi="Arial" w:cs="Arial"/>
                <w:lang w:val="es-ES_tradnl" w:eastAsia="es-ES_tradnl"/>
              </w:rPr>
            </w:pPr>
            <w:r w:rsidRPr="00CF2780">
              <w:rPr>
                <w:rFonts w:ascii="Arial" w:eastAsia="Times New Roman" w:hAnsi="Arial" w:cs="Arial"/>
                <w:lang w:val="es-ES_tradnl" w:eastAsia="es-ES_tradnl"/>
              </w:rPr>
              <w:t xml:space="preserve">09   </w:t>
            </w:r>
          </w:p>
        </w:tc>
      </w:tr>
      <w:tr w:rsidR="00AD59FF" w:rsidRPr="00CF2780" w14:paraId="7C0B828F" w14:textId="77777777" w:rsidTr="00B05F31">
        <w:trPr>
          <w:gridAfter w:val="1"/>
          <w:wAfter w:w="14" w:type="dxa"/>
        </w:trPr>
        <w:tc>
          <w:tcPr>
            <w:tcW w:w="698" w:type="dxa"/>
            <w:gridSpan w:val="2"/>
            <w:tcBorders>
              <w:top w:val="nil"/>
              <w:left w:val="single" w:sz="6" w:space="0" w:color="auto"/>
              <w:bottom w:val="single" w:sz="6" w:space="0" w:color="auto"/>
              <w:right w:val="single" w:sz="6" w:space="0" w:color="auto"/>
            </w:tcBorders>
          </w:tcPr>
          <w:p w14:paraId="58E78846"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5508" w:type="dxa"/>
            <w:tcBorders>
              <w:top w:val="nil"/>
              <w:left w:val="single" w:sz="6" w:space="0" w:color="auto"/>
              <w:bottom w:val="single" w:sz="6" w:space="0" w:color="auto"/>
              <w:right w:val="single" w:sz="6" w:space="0" w:color="auto"/>
            </w:tcBorders>
          </w:tcPr>
          <w:p w14:paraId="4563C6B0"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1087" w:type="dxa"/>
            <w:gridSpan w:val="2"/>
            <w:tcBorders>
              <w:top w:val="nil"/>
              <w:left w:val="single" w:sz="6" w:space="0" w:color="auto"/>
              <w:bottom w:val="single" w:sz="6" w:space="0" w:color="auto"/>
              <w:right w:val="single" w:sz="6" w:space="0" w:color="auto"/>
            </w:tcBorders>
          </w:tcPr>
          <w:p w14:paraId="1FCA1EF0"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120</w:t>
            </w:r>
          </w:p>
        </w:tc>
        <w:tc>
          <w:tcPr>
            <w:tcW w:w="936" w:type="dxa"/>
            <w:tcBorders>
              <w:top w:val="nil"/>
              <w:left w:val="single" w:sz="6" w:space="0" w:color="auto"/>
              <w:bottom w:val="single" w:sz="6" w:space="0" w:color="auto"/>
              <w:right w:val="single" w:sz="4" w:space="0" w:color="auto"/>
            </w:tcBorders>
          </w:tcPr>
          <w:p w14:paraId="28119E3A" w14:textId="77777777" w:rsidR="00AD59FF" w:rsidRPr="00CF2780" w:rsidRDefault="00AD59FF" w:rsidP="00AD59FF">
            <w:pPr>
              <w:autoSpaceDE w:val="0"/>
              <w:autoSpaceDN w:val="0"/>
              <w:adjustRightInd w:val="0"/>
              <w:spacing w:after="0" w:line="240" w:lineRule="auto"/>
              <w:ind w:left="259"/>
              <w:rPr>
                <w:rFonts w:ascii="Arial" w:eastAsia="Times New Roman" w:hAnsi="Arial" w:cs="Arial"/>
                <w:bCs/>
                <w:lang w:val="es-ES_tradnl" w:eastAsia="es-ES_tradnl"/>
              </w:rPr>
            </w:pPr>
            <w:r w:rsidRPr="00CF2780">
              <w:rPr>
                <w:rFonts w:ascii="Arial" w:eastAsia="Times New Roman" w:hAnsi="Arial" w:cs="Arial"/>
                <w:bCs/>
                <w:lang w:val="es-ES_tradnl" w:eastAsia="es-ES_tradnl"/>
              </w:rPr>
              <w:t>13</w:t>
            </w:r>
          </w:p>
          <w:p w14:paraId="46EFE406" w14:textId="77777777" w:rsidR="00AD59FF" w:rsidRPr="00CF2780" w:rsidRDefault="00AD59FF" w:rsidP="00AD59FF">
            <w:pPr>
              <w:autoSpaceDE w:val="0"/>
              <w:autoSpaceDN w:val="0"/>
              <w:adjustRightInd w:val="0"/>
              <w:spacing w:after="0" w:line="240" w:lineRule="auto"/>
              <w:ind w:left="259"/>
              <w:rPr>
                <w:rFonts w:ascii="Arial" w:eastAsia="Times New Roman" w:hAnsi="Arial" w:cs="Arial"/>
                <w:bCs/>
                <w:lang w:val="es-ES_tradnl" w:eastAsia="es-ES_tradnl"/>
              </w:rPr>
            </w:pPr>
          </w:p>
        </w:tc>
      </w:tr>
      <w:tr w:rsidR="00AD59FF" w:rsidRPr="00CF2780" w14:paraId="336714A3" w14:textId="77777777" w:rsidTr="00B05F31">
        <w:trPr>
          <w:gridAfter w:val="1"/>
          <w:wAfter w:w="14" w:type="dxa"/>
        </w:trPr>
        <w:tc>
          <w:tcPr>
            <w:tcW w:w="698" w:type="dxa"/>
            <w:gridSpan w:val="2"/>
            <w:tcBorders>
              <w:top w:val="single" w:sz="6" w:space="0" w:color="auto"/>
              <w:left w:val="single" w:sz="6" w:space="0" w:color="auto"/>
              <w:bottom w:val="nil"/>
              <w:right w:val="single" w:sz="6" w:space="0" w:color="auto"/>
            </w:tcBorders>
          </w:tcPr>
          <w:p w14:paraId="609C939F"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18.</w:t>
            </w:r>
          </w:p>
        </w:tc>
        <w:tc>
          <w:tcPr>
            <w:tcW w:w="5508" w:type="dxa"/>
            <w:tcBorders>
              <w:top w:val="single" w:sz="6" w:space="0" w:color="auto"/>
              <w:left w:val="single" w:sz="6" w:space="0" w:color="auto"/>
              <w:bottom w:val="nil"/>
              <w:right w:val="single" w:sz="6" w:space="0" w:color="auto"/>
            </w:tcBorders>
          </w:tcPr>
          <w:p w14:paraId="71D81559"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SAMUEL SANTACLARA VILLANUEVA</w:t>
            </w:r>
          </w:p>
        </w:tc>
        <w:tc>
          <w:tcPr>
            <w:tcW w:w="1087" w:type="dxa"/>
            <w:gridSpan w:val="2"/>
            <w:tcBorders>
              <w:top w:val="single" w:sz="6" w:space="0" w:color="auto"/>
              <w:left w:val="single" w:sz="6" w:space="0" w:color="auto"/>
              <w:bottom w:val="nil"/>
              <w:right w:val="single" w:sz="6" w:space="0" w:color="auto"/>
            </w:tcBorders>
          </w:tcPr>
          <w:p w14:paraId="09B7E854"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13</w:t>
            </w:r>
          </w:p>
        </w:tc>
        <w:tc>
          <w:tcPr>
            <w:tcW w:w="936" w:type="dxa"/>
            <w:tcBorders>
              <w:top w:val="single" w:sz="6" w:space="0" w:color="auto"/>
              <w:left w:val="single" w:sz="6" w:space="0" w:color="auto"/>
              <w:bottom w:val="nil"/>
              <w:right w:val="single" w:sz="4" w:space="0" w:color="auto"/>
            </w:tcBorders>
          </w:tcPr>
          <w:p w14:paraId="6F588EB1" w14:textId="77777777" w:rsidR="00AD59FF" w:rsidRPr="00CF2780" w:rsidRDefault="00AD59FF" w:rsidP="00AD59FF">
            <w:pPr>
              <w:autoSpaceDE w:val="0"/>
              <w:autoSpaceDN w:val="0"/>
              <w:adjustRightInd w:val="0"/>
              <w:spacing w:after="0" w:line="240" w:lineRule="auto"/>
              <w:ind w:left="259"/>
              <w:rPr>
                <w:rFonts w:ascii="Arial" w:eastAsia="Times New Roman" w:hAnsi="Arial" w:cs="Arial"/>
                <w:lang w:val="es-ES_tradnl" w:eastAsia="es-ES_tradnl"/>
              </w:rPr>
            </w:pPr>
            <w:r w:rsidRPr="00CF2780">
              <w:rPr>
                <w:rFonts w:ascii="Arial" w:eastAsia="Times New Roman" w:hAnsi="Arial" w:cs="Arial"/>
                <w:lang w:val="es-ES_tradnl" w:eastAsia="es-ES_tradnl"/>
              </w:rPr>
              <w:t>12</w:t>
            </w:r>
          </w:p>
        </w:tc>
      </w:tr>
      <w:tr w:rsidR="00AD59FF" w:rsidRPr="00CF2780" w14:paraId="28BE51FE" w14:textId="77777777" w:rsidTr="00B05F31">
        <w:trPr>
          <w:gridAfter w:val="1"/>
          <w:wAfter w:w="14" w:type="dxa"/>
        </w:trPr>
        <w:tc>
          <w:tcPr>
            <w:tcW w:w="698" w:type="dxa"/>
            <w:gridSpan w:val="2"/>
            <w:tcBorders>
              <w:top w:val="nil"/>
              <w:left w:val="single" w:sz="6" w:space="0" w:color="auto"/>
              <w:bottom w:val="single" w:sz="6" w:space="0" w:color="auto"/>
              <w:right w:val="single" w:sz="6" w:space="0" w:color="auto"/>
            </w:tcBorders>
          </w:tcPr>
          <w:p w14:paraId="148F8044"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5508" w:type="dxa"/>
            <w:tcBorders>
              <w:top w:val="nil"/>
              <w:left w:val="single" w:sz="6" w:space="0" w:color="auto"/>
              <w:bottom w:val="single" w:sz="6" w:space="0" w:color="auto"/>
              <w:right w:val="single" w:sz="6" w:space="0" w:color="auto"/>
            </w:tcBorders>
          </w:tcPr>
          <w:p w14:paraId="60387C61"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1087" w:type="dxa"/>
            <w:gridSpan w:val="2"/>
            <w:tcBorders>
              <w:top w:val="nil"/>
              <w:left w:val="single" w:sz="6" w:space="0" w:color="auto"/>
              <w:bottom w:val="single" w:sz="6" w:space="0" w:color="auto"/>
              <w:right w:val="single" w:sz="6" w:space="0" w:color="auto"/>
            </w:tcBorders>
          </w:tcPr>
          <w:p w14:paraId="7208809C"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120</w:t>
            </w:r>
          </w:p>
        </w:tc>
        <w:tc>
          <w:tcPr>
            <w:tcW w:w="936" w:type="dxa"/>
            <w:tcBorders>
              <w:top w:val="nil"/>
              <w:left w:val="single" w:sz="6" w:space="0" w:color="auto"/>
              <w:bottom w:val="single" w:sz="6" w:space="0" w:color="auto"/>
              <w:right w:val="single" w:sz="4" w:space="0" w:color="auto"/>
            </w:tcBorders>
          </w:tcPr>
          <w:p w14:paraId="4B3AC5AD" w14:textId="77777777" w:rsidR="00AD59FF" w:rsidRPr="00CF2780" w:rsidRDefault="00AD59FF" w:rsidP="00AD59FF">
            <w:pPr>
              <w:autoSpaceDE w:val="0"/>
              <w:autoSpaceDN w:val="0"/>
              <w:adjustRightInd w:val="0"/>
              <w:spacing w:after="0" w:line="240" w:lineRule="auto"/>
              <w:ind w:left="245"/>
              <w:rPr>
                <w:rFonts w:ascii="Arial" w:eastAsia="Times New Roman" w:hAnsi="Arial" w:cs="Arial"/>
                <w:lang w:val="es-ES_tradnl" w:eastAsia="es-ES_tradnl"/>
              </w:rPr>
            </w:pPr>
            <w:r w:rsidRPr="00CF2780">
              <w:rPr>
                <w:rFonts w:ascii="Arial" w:eastAsia="Times New Roman" w:hAnsi="Arial" w:cs="Arial"/>
                <w:lang w:val="es-ES_tradnl" w:eastAsia="es-ES_tradnl"/>
              </w:rPr>
              <w:t>23</w:t>
            </w:r>
          </w:p>
        </w:tc>
      </w:tr>
      <w:tr w:rsidR="00AD59FF" w:rsidRPr="00CF2780" w14:paraId="293C860E" w14:textId="77777777" w:rsidTr="00B05F31">
        <w:trPr>
          <w:gridAfter w:val="1"/>
          <w:wAfter w:w="14" w:type="dxa"/>
        </w:trPr>
        <w:tc>
          <w:tcPr>
            <w:tcW w:w="698" w:type="dxa"/>
            <w:gridSpan w:val="2"/>
            <w:tcBorders>
              <w:top w:val="single" w:sz="6" w:space="0" w:color="auto"/>
              <w:left w:val="single" w:sz="6" w:space="0" w:color="auto"/>
              <w:bottom w:val="nil"/>
              <w:right w:val="single" w:sz="6" w:space="0" w:color="auto"/>
            </w:tcBorders>
          </w:tcPr>
          <w:p w14:paraId="285C5671"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19.</w:t>
            </w:r>
          </w:p>
        </w:tc>
        <w:tc>
          <w:tcPr>
            <w:tcW w:w="5508" w:type="dxa"/>
            <w:tcBorders>
              <w:top w:val="single" w:sz="6" w:space="0" w:color="auto"/>
              <w:left w:val="single" w:sz="6" w:space="0" w:color="auto"/>
              <w:bottom w:val="nil"/>
              <w:right w:val="single" w:sz="6" w:space="0" w:color="auto"/>
            </w:tcBorders>
          </w:tcPr>
          <w:p w14:paraId="796CE65E"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MARÍA NIEVES QUERIAPA</w:t>
            </w:r>
          </w:p>
        </w:tc>
        <w:tc>
          <w:tcPr>
            <w:tcW w:w="1087" w:type="dxa"/>
            <w:gridSpan w:val="2"/>
            <w:tcBorders>
              <w:top w:val="single" w:sz="6" w:space="0" w:color="auto"/>
              <w:left w:val="single" w:sz="6" w:space="0" w:color="auto"/>
              <w:bottom w:val="nil"/>
              <w:right w:val="single" w:sz="6" w:space="0" w:color="auto"/>
            </w:tcBorders>
          </w:tcPr>
          <w:p w14:paraId="61CEA2A0"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14</w:t>
            </w:r>
          </w:p>
        </w:tc>
        <w:tc>
          <w:tcPr>
            <w:tcW w:w="936" w:type="dxa"/>
            <w:tcBorders>
              <w:top w:val="single" w:sz="6" w:space="0" w:color="auto"/>
              <w:left w:val="single" w:sz="6" w:space="0" w:color="auto"/>
              <w:bottom w:val="nil"/>
              <w:right w:val="single" w:sz="4" w:space="0" w:color="auto"/>
            </w:tcBorders>
          </w:tcPr>
          <w:p w14:paraId="4F41C557" w14:textId="77777777" w:rsidR="00AD59FF" w:rsidRPr="00CF2780" w:rsidRDefault="00AD59FF" w:rsidP="00AD59FF">
            <w:pPr>
              <w:autoSpaceDE w:val="0"/>
              <w:autoSpaceDN w:val="0"/>
              <w:adjustRightInd w:val="0"/>
              <w:spacing w:after="0" w:line="240" w:lineRule="auto"/>
              <w:ind w:left="238"/>
              <w:rPr>
                <w:rFonts w:ascii="Arial" w:eastAsia="Times New Roman" w:hAnsi="Arial" w:cs="Arial"/>
                <w:lang w:val="es-ES_tradnl" w:eastAsia="es-ES_tradnl"/>
              </w:rPr>
            </w:pPr>
            <w:r w:rsidRPr="00CF2780">
              <w:rPr>
                <w:rFonts w:ascii="Arial" w:eastAsia="Times New Roman" w:hAnsi="Arial" w:cs="Arial"/>
                <w:lang w:val="es-ES_tradnl" w:eastAsia="es-ES_tradnl"/>
              </w:rPr>
              <w:t>44</w:t>
            </w:r>
          </w:p>
        </w:tc>
      </w:tr>
      <w:tr w:rsidR="00AD59FF" w:rsidRPr="00CF2780" w14:paraId="7D32E58E" w14:textId="77777777" w:rsidTr="00B05F31">
        <w:trPr>
          <w:gridAfter w:val="1"/>
          <w:wAfter w:w="14" w:type="dxa"/>
        </w:trPr>
        <w:tc>
          <w:tcPr>
            <w:tcW w:w="698" w:type="dxa"/>
            <w:gridSpan w:val="2"/>
            <w:tcBorders>
              <w:top w:val="nil"/>
              <w:left w:val="single" w:sz="6" w:space="0" w:color="auto"/>
              <w:bottom w:val="single" w:sz="6" w:space="0" w:color="auto"/>
              <w:right w:val="single" w:sz="6" w:space="0" w:color="auto"/>
            </w:tcBorders>
          </w:tcPr>
          <w:p w14:paraId="11EF8CB3"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5508" w:type="dxa"/>
            <w:tcBorders>
              <w:top w:val="nil"/>
              <w:left w:val="single" w:sz="6" w:space="0" w:color="auto"/>
              <w:bottom w:val="single" w:sz="6" w:space="0" w:color="auto"/>
              <w:right w:val="single" w:sz="6" w:space="0" w:color="auto"/>
            </w:tcBorders>
          </w:tcPr>
          <w:p w14:paraId="2DF558B0"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1087" w:type="dxa"/>
            <w:gridSpan w:val="2"/>
            <w:tcBorders>
              <w:top w:val="nil"/>
              <w:left w:val="single" w:sz="6" w:space="0" w:color="auto"/>
              <w:bottom w:val="single" w:sz="6" w:space="0" w:color="auto"/>
              <w:right w:val="single" w:sz="6" w:space="0" w:color="auto"/>
            </w:tcBorders>
          </w:tcPr>
          <w:p w14:paraId="3858317A"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128</w:t>
            </w:r>
          </w:p>
        </w:tc>
        <w:tc>
          <w:tcPr>
            <w:tcW w:w="936" w:type="dxa"/>
            <w:tcBorders>
              <w:top w:val="nil"/>
              <w:left w:val="single" w:sz="6" w:space="0" w:color="auto"/>
              <w:bottom w:val="single" w:sz="6" w:space="0" w:color="auto"/>
              <w:right w:val="single" w:sz="4" w:space="0" w:color="auto"/>
            </w:tcBorders>
          </w:tcPr>
          <w:p w14:paraId="2A6EF17C" w14:textId="77777777" w:rsidR="00AD59FF" w:rsidRPr="00CF2780" w:rsidRDefault="00AD59FF" w:rsidP="00AD59FF">
            <w:pPr>
              <w:autoSpaceDE w:val="0"/>
              <w:autoSpaceDN w:val="0"/>
              <w:adjustRightInd w:val="0"/>
              <w:spacing w:after="0" w:line="240" w:lineRule="auto"/>
              <w:ind w:left="245"/>
              <w:rPr>
                <w:rFonts w:ascii="Arial" w:eastAsia="Times New Roman" w:hAnsi="Arial" w:cs="Arial"/>
                <w:lang w:val="es-ES_tradnl" w:eastAsia="es-ES_tradnl"/>
              </w:rPr>
            </w:pPr>
            <w:r w:rsidRPr="00CF2780">
              <w:rPr>
                <w:rFonts w:ascii="Arial" w:eastAsia="Times New Roman" w:hAnsi="Arial" w:cs="Arial"/>
                <w:lang w:val="es-ES_tradnl" w:eastAsia="es-ES_tradnl"/>
              </w:rPr>
              <w:t>08</w:t>
            </w:r>
          </w:p>
        </w:tc>
      </w:tr>
      <w:tr w:rsidR="00AD59FF" w:rsidRPr="00CF2780" w14:paraId="46C9F80A" w14:textId="77777777" w:rsidTr="00B05F31">
        <w:trPr>
          <w:gridAfter w:val="1"/>
          <w:wAfter w:w="14" w:type="dxa"/>
        </w:trPr>
        <w:tc>
          <w:tcPr>
            <w:tcW w:w="698" w:type="dxa"/>
            <w:gridSpan w:val="2"/>
            <w:tcBorders>
              <w:top w:val="single" w:sz="6" w:space="0" w:color="auto"/>
              <w:left w:val="single" w:sz="6" w:space="0" w:color="auto"/>
              <w:bottom w:val="nil"/>
              <w:right w:val="single" w:sz="6" w:space="0" w:color="auto"/>
            </w:tcBorders>
          </w:tcPr>
          <w:p w14:paraId="249D6BAE"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20.</w:t>
            </w:r>
          </w:p>
        </w:tc>
        <w:tc>
          <w:tcPr>
            <w:tcW w:w="5508" w:type="dxa"/>
            <w:tcBorders>
              <w:top w:val="single" w:sz="6" w:space="0" w:color="auto"/>
              <w:left w:val="single" w:sz="6" w:space="0" w:color="auto"/>
              <w:bottom w:val="nil"/>
              <w:right w:val="single" w:sz="6" w:space="0" w:color="auto"/>
            </w:tcBorders>
          </w:tcPr>
          <w:p w14:paraId="4638A5B0"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ARMANDO CAMPANUR</w:t>
            </w:r>
          </w:p>
        </w:tc>
        <w:tc>
          <w:tcPr>
            <w:tcW w:w="1087" w:type="dxa"/>
            <w:gridSpan w:val="2"/>
            <w:tcBorders>
              <w:top w:val="single" w:sz="6" w:space="0" w:color="auto"/>
              <w:left w:val="single" w:sz="6" w:space="0" w:color="auto"/>
              <w:bottom w:val="nil"/>
              <w:right w:val="single" w:sz="6" w:space="0" w:color="auto"/>
            </w:tcBorders>
          </w:tcPr>
          <w:p w14:paraId="0639229D"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19</w:t>
            </w:r>
          </w:p>
        </w:tc>
        <w:tc>
          <w:tcPr>
            <w:tcW w:w="936" w:type="dxa"/>
            <w:tcBorders>
              <w:top w:val="single" w:sz="6" w:space="0" w:color="auto"/>
              <w:left w:val="single" w:sz="6" w:space="0" w:color="auto"/>
              <w:bottom w:val="nil"/>
              <w:right w:val="single" w:sz="4" w:space="0" w:color="auto"/>
            </w:tcBorders>
          </w:tcPr>
          <w:p w14:paraId="58F1940F" w14:textId="77777777" w:rsidR="00AD59FF" w:rsidRPr="00CF2780" w:rsidRDefault="00AD59FF" w:rsidP="00AD59FF">
            <w:pPr>
              <w:autoSpaceDE w:val="0"/>
              <w:autoSpaceDN w:val="0"/>
              <w:adjustRightInd w:val="0"/>
              <w:spacing w:after="0" w:line="240" w:lineRule="auto"/>
              <w:ind w:left="245"/>
              <w:rPr>
                <w:rFonts w:ascii="Arial" w:eastAsia="Times New Roman" w:hAnsi="Arial" w:cs="Arial"/>
                <w:lang w:val="es-ES_tradnl" w:eastAsia="es-ES_tradnl"/>
              </w:rPr>
            </w:pPr>
            <w:r w:rsidRPr="00CF2780">
              <w:rPr>
                <w:rFonts w:ascii="Arial" w:eastAsia="Times New Roman" w:hAnsi="Arial" w:cs="Arial"/>
                <w:lang w:val="es-ES_tradnl" w:eastAsia="es-ES_tradnl"/>
              </w:rPr>
              <w:t>27</w:t>
            </w:r>
          </w:p>
        </w:tc>
      </w:tr>
      <w:tr w:rsidR="00AD59FF" w:rsidRPr="00CF2780" w14:paraId="4DA7781C" w14:textId="77777777" w:rsidTr="00B05F31">
        <w:trPr>
          <w:gridAfter w:val="1"/>
          <w:wAfter w:w="14" w:type="dxa"/>
        </w:trPr>
        <w:tc>
          <w:tcPr>
            <w:tcW w:w="698" w:type="dxa"/>
            <w:gridSpan w:val="2"/>
            <w:tcBorders>
              <w:top w:val="nil"/>
              <w:left w:val="single" w:sz="6" w:space="0" w:color="auto"/>
              <w:bottom w:val="single" w:sz="6" w:space="0" w:color="auto"/>
              <w:right w:val="single" w:sz="6" w:space="0" w:color="auto"/>
            </w:tcBorders>
          </w:tcPr>
          <w:p w14:paraId="4D3D6363"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5508" w:type="dxa"/>
            <w:tcBorders>
              <w:top w:val="nil"/>
              <w:left w:val="single" w:sz="6" w:space="0" w:color="auto"/>
              <w:bottom w:val="single" w:sz="6" w:space="0" w:color="auto"/>
              <w:right w:val="single" w:sz="6" w:space="0" w:color="auto"/>
            </w:tcBorders>
          </w:tcPr>
          <w:p w14:paraId="471A98F1"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1087" w:type="dxa"/>
            <w:gridSpan w:val="2"/>
            <w:tcBorders>
              <w:top w:val="nil"/>
              <w:left w:val="single" w:sz="6" w:space="0" w:color="auto"/>
              <w:bottom w:val="single" w:sz="6" w:space="0" w:color="auto"/>
              <w:right w:val="single" w:sz="6" w:space="0" w:color="auto"/>
            </w:tcBorders>
          </w:tcPr>
          <w:p w14:paraId="626A366E"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bCs/>
                <w:lang w:val="es-ES_tradnl" w:eastAsia="es-ES_tradnl"/>
              </w:rPr>
            </w:pPr>
            <w:r w:rsidRPr="00CF2780">
              <w:rPr>
                <w:rFonts w:ascii="Arial" w:eastAsia="Times New Roman" w:hAnsi="Arial" w:cs="Arial"/>
                <w:bCs/>
                <w:lang w:val="es-ES_tradnl" w:eastAsia="es-ES_tradnl"/>
              </w:rPr>
              <w:t>128</w:t>
            </w:r>
          </w:p>
        </w:tc>
        <w:tc>
          <w:tcPr>
            <w:tcW w:w="936" w:type="dxa"/>
            <w:tcBorders>
              <w:top w:val="nil"/>
              <w:left w:val="single" w:sz="6" w:space="0" w:color="auto"/>
              <w:bottom w:val="single" w:sz="6" w:space="0" w:color="auto"/>
              <w:right w:val="single" w:sz="4" w:space="0" w:color="auto"/>
            </w:tcBorders>
          </w:tcPr>
          <w:p w14:paraId="1FB714D8" w14:textId="77777777" w:rsidR="00AD59FF" w:rsidRPr="00CF2780" w:rsidRDefault="00AD59FF" w:rsidP="00AD59FF">
            <w:pPr>
              <w:autoSpaceDE w:val="0"/>
              <w:autoSpaceDN w:val="0"/>
              <w:adjustRightInd w:val="0"/>
              <w:spacing w:after="0" w:line="240" w:lineRule="auto"/>
              <w:ind w:left="266"/>
              <w:rPr>
                <w:rFonts w:ascii="Arial" w:eastAsia="Times New Roman" w:hAnsi="Arial" w:cs="Arial"/>
                <w:lang w:val="es-ES_tradnl" w:eastAsia="es-ES_tradnl"/>
              </w:rPr>
            </w:pPr>
            <w:r w:rsidRPr="00CF2780">
              <w:rPr>
                <w:rFonts w:ascii="Arial" w:eastAsia="Times New Roman" w:hAnsi="Arial" w:cs="Arial"/>
                <w:lang w:val="es-ES_tradnl" w:eastAsia="es-ES_tradnl"/>
              </w:rPr>
              <w:t>12</w:t>
            </w:r>
          </w:p>
        </w:tc>
      </w:tr>
      <w:tr w:rsidR="00AD59FF" w:rsidRPr="00CF2780" w14:paraId="77076B61" w14:textId="77777777" w:rsidTr="00B05F31">
        <w:trPr>
          <w:gridAfter w:val="1"/>
          <w:wAfter w:w="14" w:type="dxa"/>
        </w:trPr>
        <w:tc>
          <w:tcPr>
            <w:tcW w:w="698" w:type="dxa"/>
            <w:gridSpan w:val="2"/>
            <w:tcBorders>
              <w:top w:val="single" w:sz="6" w:space="0" w:color="auto"/>
              <w:left w:val="single" w:sz="6" w:space="0" w:color="auto"/>
              <w:bottom w:val="nil"/>
              <w:right w:val="single" w:sz="6" w:space="0" w:color="auto"/>
            </w:tcBorders>
          </w:tcPr>
          <w:p w14:paraId="2CB7BB9D"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21.</w:t>
            </w:r>
          </w:p>
        </w:tc>
        <w:tc>
          <w:tcPr>
            <w:tcW w:w="5508" w:type="dxa"/>
            <w:tcBorders>
              <w:top w:val="single" w:sz="6" w:space="0" w:color="auto"/>
              <w:left w:val="single" w:sz="6" w:space="0" w:color="auto"/>
              <w:bottom w:val="nil"/>
              <w:right w:val="single" w:sz="6" w:space="0" w:color="auto"/>
            </w:tcBorders>
          </w:tcPr>
          <w:p w14:paraId="1FA55007"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WILVER MORALES FABIÁN</w:t>
            </w:r>
          </w:p>
        </w:tc>
        <w:tc>
          <w:tcPr>
            <w:tcW w:w="1087" w:type="dxa"/>
            <w:gridSpan w:val="2"/>
            <w:tcBorders>
              <w:top w:val="single" w:sz="6" w:space="0" w:color="auto"/>
              <w:left w:val="single" w:sz="6" w:space="0" w:color="auto"/>
              <w:bottom w:val="nil"/>
              <w:right w:val="single" w:sz="6" w:space="0" w:color="auto"/>
            </w:tcBorders>
          </w:tcPr>
          <w:p w14:paraId="23FBD5CA"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13</w:t>
            </w:r>
          </w:p>
        </w:tc>
        <w:tc>
          <w:tcPr>
            <w:tcW w:w="936" w:type="dxa"/>
            <w:tcBorders>
              <w:top w:val="single" w:sz="6" w:space="0" w:color="auto"/>
              <w:left w:val="single" w:sz="6" w:space="0" w:color="auto"/>
              <w:bottom w:val="nil"/>
              <w:right w:val="single" w:sz="4" w:space="0" w:color="auto"/>
            </w:tcBorders>
          </w:tcPr>
          <w:p w14:paraId="0F457789" w14:textId="77777777" w:rsidR="00AD59FF" w:rsidRPr="00CF2780" w:rsidRDefault="00AD59FF" w:rsidP="00AD59FF">
            <w:pPr>
              <w:autoSpaceDE w:val="0"/>
              <w:autoSpaceDN w:val="0"/>
              <w:adjustRightInd w:val="0"/>
              <w:spacing w:after="0" w:line="240" w:lineRule="auto"/>
              <w:ind w:left="245"/>
              <w:rPr>
                <w:rFonts w:ascii="Arial" w:eastAsia="Times New Roman" w:hAnsi="Arial" w:cs="Arial"/>
                <w:lang w:val="es-ES_tradnl" w:eastAsia="es-ES_tradnl"/>
              </w:rPr>
            </w:pPr>
            <w:r w:rsidRPr="00CF2780">
              <w:rPr>
                <w:rFonts w:ascii="Arial" w:eastAsia="Times New Roman" w:hAnsi="Arial" w:cs="Arial"/>
                <w:lang w:val="es-ES_tradnl" w:eastAsia="es-ES_tradnl"/>
              </w:rPr>
              <w:t>29</w:t>
            </w:r>
          </w:p>
        </w:tc>
      </w:tr>
      <w:tr w:rsidR="00AD59FF" w:rsidRPr="00CF2780" w14:paraId="579385FD" w14:textId="77777777" w:rsidTr="00B05F31">
        <w:trPr>
          <w:gridAfter w:val="1"/>
          <w:wAfter w:w="14" w:type="dxa"/>
        </w:trPr>
        <w:tc>
          <w:tcPr>
            <w:tcW w:w="698" w:type="dxa"/>
            <w:gridSpan w:val="2"/>
            <w:tcBorders>
              <w:top w:val="nil"/>
              <w:left w:val="single" w:sz="6" w:space="0" w:color="auto"/>
              <w:bottom w:val="single" w:sz="6" w:space="0" w:color="auto"/>
              <w:right w:val="single" w:sz="6" w:space="0" w:color="auto"/>
            </w:tcBorders>
          </w:tcPr>
          <w:p w14:paraId="72AF534F"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5508" w:type="dxa"/>
            <w:tcBorders>
              <w:top w:val="nil"/>
              <w:left w:val="single" w:sz="6" w:space="0" w:color="auto"/>
              <w:bottom w:val="single" w:sz="6" w:space="0" w:color="auto"/>
              <w:right w:val="single" w:sz="6" w:space="0" w:color="auto"/>
            </w:tcBorders>
          </w:tcPr>
          <w:p w14:paraId="4B1BED44"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1087" w:type="dxa"/>
            <w:gridSpan w:val="2"/>
            <w:tcBorders>
              <w:top w:val="nil"/>
              <w:left w:val="single" w:sz="6" w:space="0" w:color="auto"/>
              <w:bottom w:val="single" w:sz="6" w:space="0" w:color="auto"/>
              <w:right w:val="single" w:sz="6" w:space="0" w:color="auto"/>
            </w:tcBorders>
          </w:tcPr>
          <w:p w14:paraId="096A3561"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128</w:t>
            </w:r>
          </w:p>
        </w:tc>
        <w:tc>
          <w:tcPr>
            <w:tcW w:w="936" w:type="dxa"/>
            <w:tcBorders>
              <w:top w:val="nil"/>
              <w:left w:val="single" w:sz="6" w:space="0" w:color="auto"/>
              <w:bottom w:val="single" w:sz="6" w:space="0" w:color="auto"/>
              <w:right w:val="single" w:sz="4" w:space="0" w:color="auto"/>
            </w:tcBorders>
          </w:tcPr>
          <w:p w14:paraId="4A8E7E63" w14:textId="77777777" w:rsidR="00AD59FF" w:rsidRPr="00CF2780" w:rsidRDefault="00AD59FF" w:rsidP="00AD59FF">
            <w:pPr>
              <w:autoSpaceDE w:val="0"/>
              <w:autoSpaceDN w:val="0"/>
              <w:adjustRightInd w:val="0"/>
              <w:spacing w:after="0" w:line="240" w:lineRule="auto"/>
              <w:ind w:left="266"/>
              <w:rPr>
                <w:rFonts w:ascii="Arial" w:eastAsia="Times New Roman" w:hAnsi="Arial" w:cs="Arial"/>
                <w:lang w:val="es-ES_tradnl" w:eastAsia="es-ES_tradnl"/>
              </w:rPr>
            </w:pPr>
            <w:r w:rsidRPr="00CF2780">
              <w:rPr>
                <w:rFonts w:ascii="Arial" w:eastAsia="Times New Roman" w:hAnsi="Arial" w:cs="Arial"/>
                <w:lang w:val="es-ES_tradnl" w:eastAsia="es-ES_tradnl"/>
              </w:rPr>
              <w:t>18</w:t>
            </w:r>
          </w:p>
        </w:tc>
      </w:tr>
      <w:tr w:rsidR="00AD59FF" w:rsidRPr="00CF2780" w14:paraId="31AFC082" w14:textId="77777777" w:rsidTr="00B05F31">
        <w:trPr>
          <w:gridAfter w:val="1"/>
          <w:wAfter w:w="14" w:type="dxa"/>
        </w:trPr>
        <w:tc>
          <w:tcPr>
            <w:tcW w:w="698" w:type="dxa"/>
            <w:gridSpan w:val="2"/>
            <w:tcBorders>
              <w:top w:val="single" w:sz="6" w:space="0" w:color="auto"/>
              <w:left w:val="single" w:sz="6" w:space="0" w:color="auto"/>
              <w:bottom w:val="nil"/>
              <w:right w:val="single" w:sz="6" w:space="0" w:color="auto"/>
            </w:tcBorders>
          </w:tcPr>
          <w:p w14:paraId="51881593"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22.</w:t>
            </w:r>
          </w:p>
        </w:tc>
        <w:tc>
          <w:tcPr>
            <w:tcW w:w="5508" w:type="dxa"/>
            <w:tcBorders>
              <w:top w:val="single" w:sz="6" w:space="0" w:color="auto"/>
              <w:left w:val="single" w:sz="6" w:space="0" w:color="auto"/>
              <w:bottom w:val="nil"/>
              <w:right w:val="single" w:sz="6" w:space="0" w:color="auto"/>
            </w:tcBorders>
          </w:tcPr>
          <w:p w14:paraId="6CB079FF"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ALBERTO HERRERA MEDIAN</w:t>
            </w:r>
          </w:p>
        </w:tc>
        <w:tc>
          <w:tcPr>
            <w:tcW w:w="1087" w:type="dxa"/>
            <w:gridSpan w:val="2"/>
            <w:tcBorders>
              <w:top w:val="single" w:sz="6" w:space="0" w:color="auto"/>
              <w:left w:val="single" w:sz="6" w:space="0" w:color="auto"/>
              <w:bottom w:val="nil"/>
              <w:right w:val="single" w:sz="6" w:space="0" w:color="auto"/>
            </w:tcBorders>
          </w:tcPr>
          <w:p w14:paraId="4945246C"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12</w:t>
            </w:r>
          </w:p>
        </w:tc>
        <w:tc>
          <w:tcPr>
            <w:tcW w:w="936" w:type="dxa"/>
            <w:tcBorders>
              <w:top w:val="single" w:sz="6" w:space="0" w:color="auto"/>
              <w:left w:val="single" w:sz="6" w:space="0" w:color="auto"/>
              <w:bottom w:val="nil"/>
              <w:right w:val="single" w:sz="4" w:space="0" w:color="auto"/>
            </w:tcBorders>
          </w:tcPr>
          <w:p w14:paraId="7C931594" w14:textId="77777777" w:rsidR="00AD59FF" w:rsidRPr="00CF2780" w:rsidRDefault="00AD59FF" w:rsidP="00AD59FF">
            <w:pPr>
              <w:autoSpaceDE w:val="0"/>
              <w:autoSpaceDN w:val="0"/>
              <w:adjustRightInd w:val="0"/>
              <w:spacing w:after="0" w:line="240" w:lineRule="auto"/>
              <w:ind w:left="252"/>
              <w:rPr>
                <w:rFonts w:ascii="Arial" w:eastAsia="Times New Roman" w:hAnsi="Arial" w:cs="Arial"/>
                <w:lang w:val="es-ES_tradnl" w:eastAsia="es-ES_tradnl"/>
              </w:rPr>
            </w:pPr>
            <w:r w:rsidRPr="00CF2780">
              <w:rPr>
                <w:rFonts w:ascii="Arial" w:eastAsia="Times New Roman" w:hAnsi="Arial" w:cs="Arial"/>
                <w:lang w:val="es-ES_tradnl" w:eastAsia="es-ES_tradnl"/>
              </w:rPr>
              <w:t>31</w:t>
            </w:r>
          </w:p>
        </w:tc>
      </w:tr>
      <w:tr w:rsidR="00AD59FF" w:rsidRPr="00CF2780" w14:paraId="15D5EE65" w14:textId="77777777" w:rsidTr="00B05F31">
        <w:trPr>
          <w:gridAfter w:val="1"/>
          <w:wAfter w:w="14" w:type="dxa"/>
        </w:trPr>
        <w:tc>
          <w:tcPr>
            <w:tcW w:w="698" w:type="dxa"/>
            <w:gridSpan w:val="2"/>
            <w:tcBorders>
              <w:top w:val="nil"/>
              <w:left w:val="single" w:sz="6" w:space="0" w:color="auto"/>
              <w:bottom w:val="single" w:sz="6" w:space="0" w:color="auto"/>
              <w:right w:val="single" w:sz="6" w:space="0" w:color="auto"/>
            </w:tcBorders>
          </w:tcPr>
          <w:p w14:paraId="3E790AE0"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5508" w:type="dxa"/>
            <w:tcBorders>
              <w:top w:val="nil"/>
              <w:left w:val="single" w:sz="6" w:space="0" w:color="auto"/>
              <w:bottom w:val="single" w:sz="6" w:space="0" w:color="auto"/>
              <w:right w:val="single" w:sz="6" w:space="0" w:color="auto"/>
            </w:tcBorders>
          </w:tcPr>
          <w:p w14:paraId="44A31070"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1087" w:type="dxa"/>
            <w:gridSpan w:val="2"/>
            <w:tcBorders>
              <w:top w:val="nil"/>
              <w:left w:val="single" w:sz="6" w:space="0" w:color="auto"/>
              <w:bottom w:val="single" w:sz="6" w:space="0" w:color="auto"/>
              <w:right w:val="single" w:sz="6" w:space="0" w:color="auto"/>
            </w:tcBorders>
          </w:tcPr>
          <w:p w14:paraId="3EBA6317"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128</w:t>
            </w:r>
          </w:p>
        </w:tc>
        <w:tc>
          <w:tcPr>
            <w:tcW w:w="936" w:type="dxa"/>
            <w:tcBorders>
              <w:top w:val="nil"/>
              <w:left w:val="single" w:sz="6" w:space="0" w:color="auto"/>
              <w:bottom w:val="single" w:sz="6" w:space="0" w:color="auto"/>
              <w:right w:val="single" w:sz="4" w:space="0" w:color="auto"/>
            </w:tcBorders>
          </w:tcPr>
          <w:p w14:paraId="0F78515C" w14:textId="77777777" w:rsidR="00AD59FF" w:rsidRPr="00CF2780" w:rsidRDefault="00AD59FF" w:rsidP="00AD59FF">
            <w:pPr>
              <w:autoSpaceDE w:val="0"/>
              <w:autoSpaceDN w:val="0"/>
              <w:adjustRightInd w:val="0"/>
              <w:spacing w:after="0" w:line="240" w:lineRule="auto"/>
              <w:ind w:left="245"/>
              <w:rPr>
                <w:rFonts w:ascii="Arial" w:eastAsia="Times New Roman" w:hAnsi="Arial" w:cs="Arial"/>
                <w:lang w:val="es-ES_tradnl" w:eastAsia="es-ES_tradnl"/>
              </w:rPr>
            </w:pPr>
            <w:r w:rsidRPr="00CF2780">
              <w:rPr>
                <w:rFonts w:ascii="Arial" w:eastAsia="Times New Roman" w:hAnsi="Arial" w:cs="Arial"/>
                <w:lang w:val="es-ES_tradnl" w:eastAsia="es-ES_tradnl"/>
              </w:rPr>
              <w:t>22</w:t>
            </w:r>
          </w:p>
        </w:tc>
      </w:tr>
      <w:tr w:rsidR="00AD59FF" w:rsidRPr="00CF2780" w14:paraId="0856DEAA" w14:textId="77777777" w:rsidTr="00B05F31">
        <w:tc>
          <w:tcPr>
            <w:tcW w:w="691" w:type="dxa"/>
            <w:tcBorders>
              <w:top w:val="single" w:sz="6" w:space="0" w:color="auto"/>
              <w:left w:val="single" w:sz="6" w:space="0" w:color="auto"/>
              <w:bottom w:val="nil"/>
              <w:right w:val="single" w:sz="6" w:space="0" w:color="auto"/>
            </w:tcBorders>
          </w:tcPr>
          <w:p w14:paraId="4B276677"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23.</w:t>
            </w:r>
          </w:p>
        </w:tc>
        <w:tc>
          <w:tcPr>
            <w:tcW w:w="5522" w:type="dxa"/>
            <w:gridSpan w:val="3"/>
            <w:tcBorders>
              <w:top w:val="single" w:sz="6" w:space="0" w:color="auto"/>
              <w:left w:val="single" w:sz="6" w:space="0" w:color="auto"/>
              <w:bottom w:val="nil"/>
              <w:right w:val="single" w:sz="6" w:space="0" w:color="auto"/>
            </w:tcBorders>
          </w:tcPr>
          <w:p w14:paraId="4192D1E6"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MARÍA GUADALUPE NUÑEZ FABIÁN</w:t>
            </w:r>
          </w:p>
        </w:tc>
        <w:tc>
          <w:tcPr>
            <w:tcW w:w="1080" w:type="dxa"/>
            <w:tcBorders>
              <w:top w:val="single" w:sz="6" w:space="0" w:color="auto"/>
              <w:left w:val="single" w:sz="6" w:space="0" w:color="auto"/>
              <w:bottom w:val="nil"/>
              <w:right w:val="single" w:sz="6" w:space="0" w:color="auto"/>
            </w:tcBorders>
          </w:tcPr>
          <w:p w14:paraId="388B4942"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13</w:t>
            </w:r>
          </w:p>
          <w:p w14:paraId="5286479C"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135</w:t>
            </w:r>
          </w:p>
        </w:tc>
        <w:tc>
          <w:tcPr>
            <w:tcW w:w="950" w:type="dxa"/>
            <w:gridSpan w:val="2"/>
            <w:tcBorders>
              <w:top w:val="single" w:sz="6" w:space="0" w:color="auto"/>
              <w:left w:val="single" w:sz="6" w:space="0" w:color="auto"/>
              <w:bottom w:val="nil"/>
              <w:right w:val="single" w:sz="6" w:space="0" w:color="auto"/>
            </w:tcBorders>
          </w:tcPr>
          <w:p w14:paraId="04761553"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28</w:t>
            </w:r>
          </w:p>
          <w:p w14:paraId="411CC8F9"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09</w:t>
            </w:r>
          </w:p>
        </w:tc>
      </w:tr>
      <w:tr w:rsidR="00AD59FF" w:rsidRPr="00CF2780" w14:paraId="0A5BA629" w14:textId="77777777" w:rsidTr="00B05F31">
        <w:tc>
          <w:tcPr>
            <w:tcW w:w="691" w:type="dxa"/>
            <w:tcBorders>
              <w:top w:val="single" w:sz="6" w:space="0" w:color="auto"/>
              <w:left w:val="single" w:sz="6" w:space="0" w:color="auto"/>
              <w:bottom w:val="nil"/>
              <w:right w:val="single" w:sz="6" w:space="0" w:color="auto"/>
            </w:tcBorders>
          </w:tcPr>
          <w:p w14:paraId="07A8C9F2"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24.</w:t>
            </w:r>
          </w:p>
        </w:tc>
        <w:tc>
          <w:tcPr>
            <w:tcW w:w="5522" w:type="dxa"/>
            <w:gridSpan w:val="3"/>
            <w:tcBorders>
              <w:top w:val="single" w:sz="6" w:space="0" w:color="auto"/>
              <w:left w:val="single" w:sz="6" w:space="0" w:color="auto"/>
              <w:bottom w:val="nil"/>
              <w:right w:val="single" w:sz="6" w:space="0" w:color="auto"/>
            </w:tcBorders>
          </w:tcPr>
          <w:p w14:paraId="71580681"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ADRIÁN LECO CARRILLO</w:t>
            </w:r>
          </w:p>
        </w:tc>
        <w:tc>
          <w:tcPr>
            <w:tcW w:w="1080" w:type="dxa"/>
            <w:tcBorders>
              <w:top w:val="single" w:sz="6" w:space="0" w:color="auto"/>
              <w:left w:val="single" w:sz="6" w:space="0" w:color="auto"/>
              <w:bottom w:val="nil"/>
              <w:right w:val="single" w:sz="6" w:space="0" w:color="auto"/>
            </w:tcBorders>
          </w:tcPr>
          <w:p w14:paraId="58FE688A"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15</w:t>
            </w:r>
          </w:p>
          <w:p w14:paraId="32FD62B4"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136</w:t>
            </w:r>
          </w:p>
        </w:tc>
        <w:tc>
          <w:tcPr>
            <w:tcW w:w="950" w:type="dxa"/>
            <w:gridSpan w:val="2"/>
            <w:tcBorders>
              <w:top w:val="single" w:sz="6" w:space="0" w:color="auto"/>
              <w:left w:val="single" w:sz="6" w:space="0" w:color="auto"/>
              <w:bottom w:val="nil"/>
              <w:right w:val="single" w:sz="6" w:space="0" w:color="auto"/>
            </w:tcBorders>
          </w:tcPr>
          <w:p w14:paraId="3DC074CC"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34</w:t>
            </w:r>
          </w:p>
          <w:p w14:paraId="1B4D950C"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08</w:t>
            </w:r>
          </w:p>
        </w:tc>
      </w:tr>
      <w:tr w:rsidR="00AD59FF" w:rsidRPr="00CF2780" w14:paraId="7A1D917A" w14:textId="77777777" w:rsidTr="00B05F31">
        <w:tc>
          <w:tcPr>
            <w:tcW w:w="691" w:type="dxa"/>
            <w:tcBorders>
              <w:top w:val="single" w:sz="6" w:space="0" w:color="auto"/>
              <w:left w:val="single" w:sz="6" w:space="0" w:color="auto"/>
              <w:bottom w:val="nil"/>
              <w:right w:val="single" w:sz="6" w:space="0" w:color="auto"/>
            </w:tcBorders>
          </w:tcPr>
          <w:p w14:paraId="79021A3B"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lastRenderedPageBreak/>
              <w:t>25.</w:t>
            </w:r>
          </w:p>
        </w:tc>
        <w:tc>
          <w:tcPr>
            <w:tcW w:w="5522" w:type="dxa"/>
            <w:gridSpan w:val="3"/>
            <w:tcBorders>
              <w:top w:val="single" w:sz="6" w:space="0" w:color="auto"/>
              <w:left w:val="single" w:sz="6" w:space="0" w:color="auto"/>
              <w:bottom w:val="nil"/>
              <w:right w:val="single" w:sz="6" w:space="0" w:color="auto"/>
            </w:tcBorders>
          </w:tcPr>
          <w:p w14:paraId="60B53122"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IMELDA ROMERO QUERIAPA</w:t>
            </w:r>
          </w:p>
        </w:tc>
        <w:tc>
          <w:tcPr>
            <w:tcW w:w="1080" w:type="dxa"/>
            <w:tcBorders>
              <w:top w:val="single" w:sz="6" w:space="0" w:color="auto"/>
              <w:left w:val="single" w:sz="6" w:space="0" w:color="auto"/>
              <w:bottom w:val="nil"/>
              <w:right w:val="single" w:sz="6" w:space="0" w:color="auto"/>
            </w:tcBorders>
          </w:tcPr>
          <w:p w14:paraId="222ACE2E"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15</w:t>
            </w:r>
          </w:p>
        </w:tc>
        <w:tc>
          <w:tcPr>
            <w:tcW w:w="950" w:type="dxa"/>
            <w:gridSpan w:val="2"/>
            <w:tcBorders>
              <w:top w:val="single" w:sz="6" w:space="0" w:color="auto"/>
              <w:left w:val="single" w:sz="6" w:space="0" w:color="auto"/>
              <w:bottom w:val="nil"/>
              <w:right w:val="single" w:sz="6" w:space="0" w:color="auto"/>
            </w:tcBorders>
          </w:tcPr>
          <w:p w14:paraId="5F34729B"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34</w:t>
            </w:r>
          </w:p>
        </w:tc>
      </w:tr>
      <w:tr w:rsidR="00AD59FF" w:rsidRPr="00CF2780" w14:paraId="6E36D3C9" w14:textId="77777777" w:rsidTr="00B05F31">
        <w:tc>
          <w:tcPr>
            <w:tcW w:w="691" w:type="dxa"/>
            <w:tcBorders>
              <w:top w:val="nil"/>
              <w:left w:val="single" w:sz="6" w:space="0" w:color="auto"/>
              <w:bottom w:val="single" w:sz="6" w:space="0" w:color="auto"/>
              <w:right w:val="single" w:sz="6" w:space="0" w:color="auto"/>
            </w:tcBorders>
          </w:tcPr>
          <w:p w14:paraId="5B62E81C"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5522" w:type="dxa"/>
            <w:gridSpan w:val="3"/>
            <w:tcBorders>
              <w:top w:val="nil"/>
              <w:left w:val="single" w:sz="6" w:space="0" w:color="auto"/>
              <w:bottom w:val="single" w:sz="6" w:space="0" w:color="auto"/>
              <w:right w:val="single" w:sz="6" w:space="0" w:color="auto"/>
            </w:tcBorders>
          </w:tcPr>
          <w:p w14:paraId="7C6F5E7F"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1080" w:type="dxa"/>
            <w:tcBorders>
              <w:top w:val="nil"/>
              <w:left w:val="single" w:sz="6" w:space="0" w:color="auto"/>
              <w:bottom w:val="single" w:sz="6" w:space="0" w:color="auto"/>
              <w:right w:val="single" w:sz="6" w:space="0" w:color="auto"/>
            </w:tcBorders>
          </w:tcPr>
          <w:p w14:paraId="578936A8"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136</w:t>
            </w:r>
          </w:p>
        </w:tc>
        <w:tc>
          <w:tcPr>
            <w:tcW w:w="950" w:type="dxa"/>
            <w:gridSpan w:val="2"/>
            <w:tcBorders>
              <w:top w:val="nil"/>
              <w:left w:val="single" w:sz="6" w:space="0" w:color="auto"/>
              <w:bottom w:val="single" w:sz="6" w:space="0" w:color="auto"/>
              <w:right w:val="single" w:sz="6" w:space="0" w:color="auto"/>
            </w:tcBorders>
          </w:tcPr>
          <w:p w14:paraId="4602A312"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09</w:t>
            </w:r>
          </w:p>
        </w:tc>
      </w:tr>
      <w:tr w:rsidR="00AD59FF" w:rsidRPr="00CF2780" w14:paraId="7D3F9E84" w14:textId="77777777" w:rsidTr="00B05F31">
        <w:tc>
          <w:tcPr>
            <w:tcW w:w="691" w:type="dxa"/>
            <w:tcBorders>
              <w:top w:val="single" w:sz="6" w:space="0" w:color="auto"/>
              <w:left w:val="single" w:sz="6" w:space="0" w:color="auto"/>
              <w:bottom w:val="nil"/>
              <w:right w:val="single" w:sz="6" w:space="0" w:color="auto"/>
            </w:tcBorders>
          </w:tcPr>
          <w:p w14:paraId="4867B596"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26.</w:t>
            </w:r>
          </w:p>
        </w:tc>
        <w:tc>
          <w:tcPr>
            <w:tcW w:w="5522" w:type="dxa"/>
            <w:gridSpan w:val="3"/>
            <w:tcBorders>
              <w:top w:val="single" w:sz="6" w:space="0" w:color="auto"/>
              <w:left w:val="single" w:sz="6" w:space="0" w:color="auto"/>
              <w:bottom w:val="nil"/>
              <w:right w:val="single" w:sz="6" w:space="0" w:color="auto"/>
            </w:tcBorders>
          </w:tcPr>
          <w:p w14:paraId="4DAE272A"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FELIPE MENDOZA LEYVA</w:t>
            </w:r>
          </w:p>
        </w:tc>
        <w:tc>
          <w:tcPr>
            <w:tcW w:w="1080" w:type="dxa"/>
            <w:tcBorders>
              <w:top w:val="single" w:sz="6" w:space="0" w:color="auto"/>
              <w:left w:val="single" w:sz="6" w:space="0" w:color="auto"/>
              <w:bottom w:val="nil"/>
              <w:right w:val="single" w:sz="6" w:space="0" w:color="auto"/>
            </w:tcBorders>
          </w:tcPr>
          <w:p w14:paraId="2D2150C6"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16</w:t>
            </w:r>
          </w:p>
        </w:tc>
        <w:tc>
          <w:tcPr>
            <w:tcW w:w="950" w:type="dxa"/>
            <w:gridSpan w:val="2"/>
            <w:tcBorders>
              <w:top w:val="single" w:sz="6" w:space="0" w:color="auto"/>
              <w:left w:val="single" w:sz="6" w:space="0" w:color="auto"/>
              <w:bottom w:val="nil"/>
              <w:right w:val="single" w:sz="6" w:space="0" w:color="auto"/>
            </w:tcBorders>
          </w:tcPr>
          <w:p w14:paraId="72247F96"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02</w:t>
            </w:r>
          </w:p>
        </w:tc>
      </w:tr>
      <w:tr w:rsidR="00AD59FF" w:rsidRPr="00CF2780" w14:paraId="16FEA0B6" w14:textId="77777777" w:rsidTr="00B05F31">
        <w:tc>
          <w:tcPr>
            <w:tcW w:w="691" w:type="dxa"/>
            <w:tcBorders>
              <w:top w:val="nil"/>
              <w:left w:val="single" w:sz="6" w:space="0" w:color="auto"/>
              <w:bottom w:val="single" w:sz="6" w:space="0" w:color="auto"/>
              <w:right w:val="single" w:sz="6" w:space="0" w:color="auto"/>
            </w:tcBorders>
          </w:tcPr>
          <w:p w14:paraId="0CB12611"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5522" w:type="dxa"/>
            <w:gridSpan w:val="3"/>
            <w:tcBorders>
              <w:top w:val="nil"/>
              <w:left w:val="single" w:sz="6" w:space="0" w:color="auto"/>
              <w:bottom w:val="single" w:sz="6" w:space="0" w:color="auto"/>
              <w:right w:val="single" w:sz="6" w:space="0" w:color="auto"/>
            </w:tcBorders>
          </w:tcPr>
          <w:p w14:paraId="030E1440"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1080" w:type="dxa"/>
            <w:tcBorders>
              <w:top w:val="nil"/>
              <w:left w:val="single" w:sz="6" w:space="0" w:color="auto"/>
              <w:bottom w:val="single" w:sz="6" w:space="0" w:color="auto"/>
              <w:right w:val="single" w:sz="6" w:space="0" w:color="auto"/>
            </w:tcBorders>
          </w:tcPr>
          <w:p w14:paraId="4E2B85F5"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137</w:t>
            </w:r>
          </w:p>
        </w:tc>
        <w:tc>
          <w:tcPr>
            <w:tcW w:w="950" w:type="dxa"/>
            <w:gridSpan w:val="2"/>
            <w:tcBorders>
              <w:top w:val="nil"/>
              <w:left w:val="single" w:sz="6" w:space="0" w:color="auto"/>
              <w:bottom w:val="single" w:sz="6" w:space="0" w:color="auto"/>
              <w:right w:val="single" w:sz="6" w:space="0" w:color="auto"/>
            </w:tcBorders>
          </w:tcPr>
          <w:p w14:paraId="76BEF65F"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27</w:t>
            </w:r>
          </w:p>
        </w:tc>
      </w:tr>
      <w:tr w:rsidR="00AD59FF" w:rsidRPr="00CF2780" w14:paraId="66A7544E" w14:textId="77777777" w:rsidTr="00B05F31">
        <w:tc>
          <w:tcPr>
            <w:tcW w:w="691" w:type="dxa"/>
            <w:tcBorders>
              <w:top w:val="single" w:sz="6" w:space="0" w:color="auto"/>
              <w:left w:val="single" w:sz="6" w:space="0" w:color="auto"/>
              <w:bottom w:val="nil"/>
              <w:right w:val="single" w:sz="6" w:space="0" w:color="auto"/>
            </w:tcBorders>
          </w:tcPr>
          <w:p w14:paraId="416825E2"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27,</w:t>
            </w:r>
          </w:p>
        </w:tc>
        <w:tc>
          <w:tcPr>
            <w:tcW w:w="5522" w:type="dxa"/>
            <w:gridSpan w:val="3"/>
            <w:tcBorders>
              <w:top w:val="single" w:sz="6" w:space="0" w:color="auto"/>
              <w:left w:val="single" w:sz="6" w:space="0" w:color="auto"/>
              <w:bottom w:val="nil"/>
              <w:right w:val="single" w:sz="6" w:space="0" w:color="auto"/>
            </w:tcBorders>
          </w:tcPr>
          <w:p w14:paraId="538218AE"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FROYLAN DURAN FLORES</w:t>
            </w:r>
          </w:p>
        </w:tc>
        <w:tc>
          <w:tcPr>
            <w:tcW w:w="1080" w:type="dxa"/>
            <w:tcBorders>
              <w:top w:val="single" w:sz="6" w:space="0" w:color="auto"/>
              <w:left w:val="single" w:sz="6" w:space="0" w:color="auto"/>
              <w:bottom w:val="nil"/>
              <w:right w:val="single" w:sz="6" w:space="0" w:color="auto"/>
            </w:tcBorders>
          </w:tcPr>
          <w:p w14:paraId="40F9B349"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16</w:t>
            </w:r>
          </w:p>
        </w:tc>
        <w:tc>
          <w:tcPr>
            <w:tcW w:w="950" w:type="dxa"/>
            <w:gridSpan w:val="2"/>
            <w:tcBorders>
              <w:top w:val="single" w:sz="6" w:space="0" w:color="auto"/>
              <w:left w:val="single" w:sz="6" w:space="0" w:color="auto"/>
              <w:bottom w:val="nil"/>
              <w:right w:val="single" w:sz="6" w:space="0" w:color="auto"/>
            </w:tcBorders>
          </w:tcPr>
          <w:p w14:paraId="465FDCD3"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03</w:t>
            </w:r>
          </w:p>
        </w:tc>
      </w:tr>
      <w:tr w:rsidR="00AD59FF" w:rsidRPr="00CF2780" w14:paraId="097C11DE" w14:textId="77777777" w:rsidTr="00B05F31">
        <w:tc>
          <w:tcPr>
            <w:tcW w:w="691" w:type="dxa"/>
            <w:tcBorders>
              <w:top w:val="nil"/>
              <w:left w:val="single" w:sz="6" w:space="0" w:color="auto"/>
              <w:bottom w:val="single" w:sz="6" w:space="0" w:color="auto"/>
              <w:right w:val="single" w:sz="6" w:space="0" w:color="auto"/>
            </w:tcBorders>
          </w:tcPr>
          <w:p w14:paraId="3C5A2361"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5522" w:type="dxa"/>
            <w:gridSpan w:val="3"/>
            <w:tcBorders>
              <w:top w:val="nil"/>
              <w:left w:val="single" w:sz="6" w:space="0" w:color="auto"/>
              <w:bottom w:val="single" w:sz="6" w:space="0" w:color="auto"/>
              <w:right w:val="single" w:sz="6" w:space="0" w:color="auto"/>
            </w:tcBorders>
          </w:tcPr>
          <w:p w14:paraId="690C216B"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1080" w:type="dxa"/>
            <w:tcBorders>
              <w:top w:val="nil"/>
              <w:left w:val="single" w:sz="6" w:space="0" w:color="auto"/>
              <w:bottom w:val="single" w:sz="6" w:space="0" w:color="auto"/>
              <w:right w:val="single" w:sz="6" w:space="0" w:color="auto"/>
            </w:tcBorders>
          </w:tcPr>
          <w:p w14:paraId="116AF644"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138</w:t>
            </w:r>
          </w:p>
        </w:tc>
        <w:tc>
          <w:tcPr>
            <w:tcW w:w="950" w:type="dxa"/>
            <w:gridSpan w:val="2"/>
            <w:tcBorders>
              <w:top w:val="nil"/>
              <w:left w:val="single" w:sz="6" w:space="0" w:color="auto"/>
              <w:bottom w:val="single" w:sz="6" w:space="0" w:color="auto"/>
              <w:right w:val="single" w:sz="6" w:space="0" w:color="auto"/>
            </w:tcBorders>
          </w:tcPr>
          <w:p w14:paraId="4F7653DC"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02</w:t>
            </w:r>
          </w:p>
        </w:tc>
      </w:tr>
      <w:tr w:rsidR="00AD59FF" w:rsidRPr="00CF2780" w14:paraId="052C0332" w14:textId="77777777" w:rsidTr="00B05F31">
        <w:tc>
          <w:tcPr>
            <w:tcW w:w="691" w:type="dxa"/>
            <w:tcBorders>
              <w:top w:val="single" w:sz="6" w:space="0" w:color="auto"/>
              <w:left w:val="single" w:sz="6" w:space="0" w:color="auto"/>
              <w:bottom w:val="nil"/>
              <w:right w:val="single" w:sz="6" w:space="0" w:color="auto"/>
            </w:tcBorders>
          </w:tcPr>
          <w:p w14:paraId="77C6172F"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28.</w:t>
            </w:r>
          </w:p>
        </w:tc>
        <w:tc>
          <w:tcPr>
            <w:tcW w:w="5522" w:type="dxa"/>
            <w:gridSpan w:val="3"/>
            <w:tcBorders>
              <w:top w:val="single" w:sz="6" w:space="0" w:color="auto"/>
              <w:left w:val="single" w:sz="6" w:space="0" w:color="auto"/>
              <w:bottom w:val="nil"/>
              <w:right w:val="single" w:sz="6" w:space="0" w:color="auto"/>
            </w:tcBorders>
          </w:tcPr>
          <w:p w14:paraId="0574665B"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JUANA AGUÍ LAR SOTELO</w:t>
            </w:r>
          </w:p>
        </w:tc>
        <w:tc>
          <w:tcPr>
            <w:tcW w:w="1080" w:type="dxa"/>
            <w:tcBorders>
              <w:top w:val="single" w:sz="6" w:space="0" w:color="auto"/>
              <w:left w:val="single" w:sz="6" w:space="0" w:color="auto"/>
              <w:bottom w:val="nil"/>
              <w:right w:val="single" w:sz="6" w:space="0" w:color="auto"/>
            </w:tcBorders>
          </w:tcPr>
          <w:p w14:paraId="5D876356"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16</w:t>
            </w:r>
          </w:p>
        </w:tc>
        <w:tc>
          <w:tcPr>
            <w:tcW w:w="950" w:type="dxa"/>
            <w:gridSpan w:val="2"/>
            <w:tcBorders>
              <w:top w:val="single" w:sz="6" w:space="0" w:color="auto"/>
              <w:left w:val="single" w:sz="6" w:space="0" w:color="auto"/>
              <w:bottom w:val="nil"/>
              <w:right w:val="single" w:sz="6" w:space="0" w:color="auto"/>
            </w:tcBorders>
          </w:tcPr>
          <w:p w14:paraId="2DFAAF83"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03</w:t>
            </w:r>
          </w:p>
        </w:tc>
      </w:tr>
      <w:tr w:rsidR="00AD59FF" w:rsidRPr="00CF2780" w14:paraId="5296E4F3" w14:textId="77777777" w:rsidTr="00B05F31">
        <w:tc>
          <w:tcPr>
            <w:tcW w:w="691" w:type="dxa"/>
            <w:tcBorders>
              <w:top w:val="nil"/>
              <w:left w:val="single" w:sz="6" w:space="0" w:color="auto"/>
              <w:bottom w:val="single" w:sz="6" w:space="0" w:color="auto"/>
              <w:right w:val="single" w:sz="6" w:space="0" w:color="auto"/>
            </w:tcBorders>
          </w:tcPr>
          <w:p w14:paraId="04833709"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5522" w:type="dxa"/>
            <w:gridSpan w:val="3"/>
            <w:tcBorders>
              <w:top w:val="nil"/>
              <w:left w:val="single" w:sz="6" w:space="0" w:color="auto"/>
              <w:bottom w:val="single" w:sz="6" w:space="0" w:color="auto"/>
              <w:right w:val="single" w:sz="6" w:space="0" w:color="auto"/>
            </w:tcBorders>
          </w:tcPr>
          <w:p w14:paraId="38E30BA4"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1080" w:type="dxa"/>
            <w:tcBorders>
              <w:top w:val="nil"/>
              <w:left w:val="single" w:sz="6" w:space="0" w:color="auto"/>
              <w:bottom w:val="single" w:sz="6" w:space="0" w:color="auto"/>
              <w:right w:val="single" w:sz="6" w:space="0" w:color="auto"/>
            </w:tcBorders>
          </w:tcPr>
          <w:p w14:paraId="79427555"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138</w:t>
            </w:r>
          </w:p>
        </w:tc>
        <w:tc>
          <w:tcPr>
            <w:tcW w:w="950" w:type="dxa"/>
            <w:gridSpan w:val="2"/>
            <w:tcBorders>
              <w:top w:val="nil"/>
              <w:left w:val="single" w:sz="6" w:space="0" w:color="auto"/>
              <w:bottom w:val="single" w:sz="6" w:space="0" w:color="auto"/>
              <w:right w:val="single" w:sz="6" w:space="0" w:color="auto"/>
            </w:tcBorders>
          </w:tcPr>
          <w:p w14:paraId="059C2728"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03</w:t>
            </w:r>
          </w:p>
        </w:tc>
      </w:tr>
      <w:tr w:rsidR="00AD59FF" w:rsidRPr="00CF2780" w14:paraId="547A343C" w14:textId="77777777" w:rsidTr="00B05F31">
        <w:tc>
          <w:tcPr>
            <w:tcW w:w="691" w:type="dxa"/>
            <w:tcBorders>
              <w:top w:val="single" w:sz="6" w:space="0" w:color="auto"/>
              <w:left w:val="single" w:sz="6" w:space="0" w:color="auto"/>
              <w:bottom w:val="nil"/>
              <w:right w:val="single" w:sz="6" w:space="0" w:color="auto"/>
            </w:tcBorders>
          </w:tcPr>
          <w:p w14:paraId="01DA19B2"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29.</w:t>
            </w:r>
          </w:p>
        </w:tc>
        <w:tc>
          <w:tcPr>
            <w:tcW w:w="5522" w:type="dxa"/>
            <w:gridSpan w:val="3"/>
            <w:tcBorders>
              <w:top w:val="single" w:sz="6" w:space="0" w:color="auto"/>
              <w:left w:val="single" w:sz="6" w:space="0" w:color="auto"/>
              <w:bottom w:val="nil"/>
              <w:right w:val="single" w:sz="6" w:space="0" w:color="auto"/>
            </w:tcBorders>
          </w:tcPr>
          <w:p w14:paraId="271865DB"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MARTIN VICENTE SÁNCHEZ</w:t>
            </w:r>
          </w:p>
        </w:tc>
        <w:tc>
          <w:tcPr>
            <w:tcW w:w="1080" w:type="dxa"/>
            <w:tcBorders>
              <w:top w:val="single" w:sz="6" w:space="0" w:color="auto"/>
              <w:left w:val="single" w:sz="6" w:space="0" w:color="auto"/>
              <w:bottom w:val="nil"/>
              <w:right w:val="single" w:sz="6" w:space="0" w:color="auto"/>
            </w:tcBorders>
          </w:tcPr>
          <w:p w14:paraId="6E085222"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16</w:t>
            </w:r>
          </w:p>
        </w:tc>
        <w:tc>
          <w:tcPr>
            <w:tcW w:w="950" w:type="dxa"/>
            <w:gridSpan w:val="2"/>
            <w:tcBorders>
              <w:top w:val="single" w:sz="6" w:space="0" w:color="auto"/>
              <w:left w:val="single" w:sz="6" w:space="0" w:color="auto"/>
              <w:bottom w:val="nil"/>
              <w:right w:val="single" w:sz="6" w:space="0" w:color="auto"/>
            </w:tcBorders>
          </w:tcPr>
          <w:p w14:paraId="5043CF72"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21</w:t>
            </w:r>
          </w:p>
        </w:tc>
      </w:tr>
      <w:tr w:rsidR="00AD59FF" w:rsidRPr="00CF2780" w14:paraId="5AE88A9E" w14:textId="77777777" w:rsidTr="00B05F31">
        <w:tc>
          <w:tcPr>
            <w:tcW w:w="691" w:type="dxa"/>
            <w:tcBorders>
              <w:top w:val="nil"/>
              <w:left w:val="single" w:sz="6" w:space="0" w:color="auto"/>
              <w:bottom w:val="single" w:sz="6" w:space="0" w:color="auto"/>
              <w:right w:val="single" w:sz="6" w:space="0" w:color="auto"/>
            </w:tcBorders>
          </w:tcPr>
          <w:p w14:paraId="6F32CA3F"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5522" w:type="dxa"/>
            <w:gridSpan w:val="3"/>
            <w:tcBorders>
              <w:top w:val="nil"/>
              <w:left w:val="single" w:sz="6" w:space="0" w:color="auto"/>
              <w:bottom w:val="single" w:sz="6" w:space="0" w:color="auto"/>
              <w:right w:val="single" w:sz="6" w:space="0" w:color="auto"/>
            </w:tcBorders>
          </w:tcPr>
          <w:p w14:paraId="0A85B4AC"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1080" w:type="dxa"/>
            <w:tcBorders>
              <w:top w:val="nil"/>
              <w:left w:val="single" w:sz="6" w:space="0" w:color="auto"/>
              <w:bottom w:val="single" w:sz="6" w:space="0" w:color="auto"/>
              <w:right w:val="single" w:sz="6" w:space="0" w:color="auto"/>
            </w:tcBorders>
          </w:tcPr>
          <w:p w14:paraId="4670DF9C"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140</w:t>
            </w:r>
          </w:p>
        </w:tc>
        <w:tc>
          <w:tcPr>
            <w:tcW w:w="950" w:type="dxa"/>
            <w:gridSpan w:val="2"/>
            <w:tcBorders>
              <w:top w:val="nil"/>
              <w:left w:val="single" w:sz="6" w:space="0" w:color="auto"/>
              <w:bottom w:val="single" w:sz="6" w:space="0" w:color="auto"/>
              <w:right w:val="single" w:sz="6" w:space="0" w:color="auto"/>
            </w:tcBorders>
          </w:tcPr>
          <w:p w14:paraId="733F3531"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18</w:t>
            </w:r>
          </w:p>
        </w:tc>
      </w:tr>
      <w:tr w:rsidR="00AD59FF" w:rsidRPr="00CF2780" w14:paraId="50AB0043" w14:textId="77777777" w:rsidTr="00B05F31">
        <w:tc>
          <w:tcPr>
            <w:tcW w:w="691" w:type="dxa"/>
            <w:tcBorders>
              <w:top w:val="single" w:sz="6" w:space="0" w:color="auto"/>
              <w:left w:val="single" w:sz="6" w:space="0" w:color="auto"/>
              <w:bottom w:val="nil"/>
              <w:right w:val="single" w:sz="6" w:space="0" w:color="auto"/>
            </w:tcBorders>
          </w:tcPr>
          <w:p w14:paraId="261AA5F1"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30.</w:t>
            </w:r>
          </w:p>
        </w:tc>
        <w:tc>
          <w:tcPr>
            <w:tcW w:w="5522" w:type="dxa"/>
            <w:gridSpan w:val="3"/>
            <w:tcBorders>
              <w:top w:val="single" w:sz="6" w:space="0" w:color="auto"/>
              <w:left w:val="single" w:sz="6" w:space="0" w:color="auto"/>
              <w:bottom w:val="nil"/>
              <w:right w:val="single" w:sz="6" w:space="0" w:color="auto"/>
            </w:tcBorders>
          </w:tcPr>
          <w:p w14:paraId="675CE085"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GUILLERMINA GUERRERO E</w:t>
            </w:r>
          </w:p>
        </w:tc>
        <w:tc>
          <w:tcPr>
            <w:tcW w:w="1080" w:type="dxa"/>
            <w:tcBorders>
              <w:top w:val="single" w:sz="6" w:space="0" w:color="auto"/>
              <w:left w:val="single" w:sz="6" w:space="0" w:color="auto"/>
              <w:bottom w:val="nil"/>
              <w:right w:val="single" w:sz="6" w:space="0" w:color="auto"/>
            </w:tcBorders>
          </w:tcPr>
          <w:p w14:paraId="711E4394"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16</w:t>
            </w:r>
          </w:p>
        </w:tc>
        <w:tc>
          <w:tcPr>
            <w:tcW w:w="950" w:type="dxa"/>
            <w:gridSpan w:val="2"/>
            <w:tcBorders>
              <w:top w:val="single" w:sz="6" w:space="0" w:color="auto"/>
              <w:left w:val="single" w:sz="6" w:space="0" w:color="auto"/>
              <w:bottom w:val="nil"/>
              <w:right w:val="single" w:sz="6" w:space="0" w:color="auto"/>
            </w:tcBorders>
          </w:tcPr>
          <w:p w14:paraId="311368DF"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34</w:t>
            </w:r>
          </w:p>
        </w:tc>
      </w:tr>
      <w:tr w:rsidR="00AD59FF" w:rsidRPr="00CF2780" w14:paraId="3C370A8B" w14:textId="77777777" w:rsidTr="00B05F31">
        <w:tc>
          <w:tcPr>
            <w:tcW w:w="691" w:type="dxa"/>
            <w:tcBorders>
              <w:top w:val="nil"/>
              <w:left w:val="single" w:sz="6" w:space="0" w:color="auto"/>
              <w:bottom w:val="single" w:sz="6" w:space="0" w:color="auto"/>
              <w:right w:val="single" w:sz="6" w:space="0" w:color="auto"/>
            </w:tcBorders>
          </w:tcPr>
          <w:p w14:paraId="4B35EE98"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5522" w:type="dxa"/>
            <w:gridSpan w:val="3"/>
            <w:tcBorders>
              <w:top w:val="nil"/>
              <w:left w:val="single" w:sz="6" w:space="0" w:color="auto"/>
              <w:bottom w:val="single" w:sz="6" w:space="0" w:color="auto"/>
              <w:right w:val="single" w:sz="6" w:space="0" w:color="auto"/>
            </w:tcBorders>
          </w:tcPr>
          <w:p w14:paraId="6F0F1867"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1080" w:type="dxa"/>
            <w:tcBorders>
              <w:top w:val="nil"/>
              <w:left w:val="single" w:sz="6" w:space="0" w:color="auto"/>
              <w:bottom w:val="single" w:sz="6" w:space="0" w:color="auto"/>
              <w:right w:val="single" w:sz="6" w:space="0" w:color="auto"/>
            </w:tcBorders>
          </w:tcPr>
          <w:p w14:paraId="312829CB"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142</w:t>
            </w:r>
          </w:p>
        </w:tc>
        <w:tc>
          <w:tcPr>
            <w:tcW w:w="950" w:type="dxa"/>
            <w:gridSpan w:val="2"/>
            <w:tcBorders>
              <w:top w:val="nil"/>
              <w:left w:val="single" w:sz="6" w:space="0" w:color="auto"/>
              <w:bottom w:val="single" w:sz="6" w:space="0" w:color="auto"/>
              <w:right w:val="single" w:sz="6" w:space="0" w:color="auto"/>
            </w:tcBorders>
          </w:tcPr>
          <w:p w14:paraId="6CD82CAE"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02</w:t>
            </w:r>
          </w:p>
        </w:tc>
      </w:tr>
      <w:tr w:rsidR="00AD59FF" w:rsidRPr="00CF2780" w14:paraId="1AFDC3F6" w14:textId="77777777" w:rsidTr="00B05F31">
        <w:tc>
          <w:tcPr>
            <w:tcW w:w="691" w:type="dxa"/>
            <w:tcBorders>
              <w:top w:val="single" w:sz="6" w:space="0" w:color="auto"/>
              <w:left w:val="single" w:sz="6" w:space="0" w:color="auto"/>
              <w:bottom w:val="nil"/>
              <w:right w:val="single" w:sz="6" w:space="0" w:color="auto"/>
            </w:tcBorders>
          </w:tcPr>
          <w:p w14:paraId="269C4FBD"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31.</w:t>
            </w:r>
          </w:p>
        </w:tc>
        <w:tc>
          <w:tcPr>
            <w:tcW w:w="5522" w:type="dxa"/>
            <w:gridSpan w:val="3"/>
            <w:tcBorders>
              <w:top w:val="single" w:sz="6" w:space="0" w:color="auto"/>
              <w:left w:val="single" w:sz="6" w:space="0" w:color="auto"/>
              <w:bottom w:val="nil"/>
              <w:right w:val="single" w:sz="6" w:space="0" w:color="auto"/>
            </w:tcBorders>
          </w:tcPr>
          <w:p w14:paraId="55ABC5F3"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SEFERINO FLORES</w:t>
            </w:r>
          </w:p>
        </w:tc>
        <w:tc>
          <w:tcPr>
            <w:tcW w:w="1080" w:type="dxa"/>
            <w:tcBorders>
              <w:top w:val="single" w:sz="6" w:space="0" w:color="auto"/>
              <w:left w:val="single" w:sz="6" w:space="0" w:color="auto"/>
              <w:bottom w:val="nil"/>
              <w:right w:val="single" w:sz="6" w:space="0" w:color="auto"/>
            </w:tcBorders>
          </w:tcPr>
          <w:p w14:paraId="39D5CF46"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17</w:t>
            </w:r>
          </w:p>
        </w:tc>
        <w:tc>
          <w:tcPr>
            <w:tcW w:w="950" w:type="dxa"/>
            <w:gridSpan w:val="2"/>
            <w:tcBorders>
              <w:top w:val="single" w:sz="6" w:space="0" w:color="auto"/>
              <w:left w:val="single" w:sz="6" w:space="0" w:color="auto"/>
              <w:bottom w:val="nil"/>
              <w:right w:val="single" w:sz="6" w:space="0" w:color="auto"/>
            </w:tcBorders>
          </w:tcPr>
          <w:p w14:paraId="5A7D7BA8"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17</w:t>
            </w:r>
          </w:p>
        </w:tc>
      </w:tr>
      <w:tr w:rsidR="00AD59FF" w:rsidRPr="00CF2780" w14:paraId="13783ADE" w14:textId="77777777" w:rsidTr="00B05F31">
        <w:tc>
          <w:tcPr>
            <w:tcW w:w="691" w:type="dxa"/>
            <w:tcBorders>
              <w:top w:val="nil"/>
              <w:left w:val="single" w:sz="6" w:space="0" w:color="auto"/>
              <w:bottom w:val="single" w:sz="6" w:space="0" w:color="auto"/>
              <w:right w:val="single" w:sz="6" w:space="0" w:color="auto"/>
            </w:tcBorders>
          </w:tcPr>
          <w:p w14:paraId="14536560"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5522" w:type="dxa"/>
            <w:gridSpan w:val="3"/>
            <w:tcBorders>
              <w:top w:val="nil"/>
              <w:left w:val="single" w:sz="6" w:space="0" w:color="auto"/>
              <w:bottom w:val="single" w:sz="6" w:space="0" w:color="auto"/>
              <w:right w:val="single" w:sz="6" w:space="0" w:color="auto"/>
            </w:tcBorders>
          </w:tcPr>
          <w:p w14:paraId="5E64BF68"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1080" w:type="dxa"/>
            <w:tcBorders>
              <w:top w:val="nil"/>
              <w:left w:val="single" w:sz="6" w:space="0" w:color="auto"/>
              <w:bottom w:val="single" w:sz="6" w:space="0" w:color="auto"/>
              <w:right w:val="single" w:sz="6" w:space="0" w:color="auto"/>
            </w:tcBorders>
          </w:tcPr>
          <w:p w14:paraId="5A0FE713"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145</w:t>
            </w:r>
          </w:p>
        </w:tc>
        <w:tc>
          <w:tcPr>
            <w:tcW w:w="950" w:type="dxa"/>
            <w:gridSpan w:val="2"/>
            <w:tcBorders>
              <w:top w:val="nil"/>
              <w:left w:val="single" w:sz="6" w:space="0" w:color="auto"/>
              <w:bottom w:val="single" w:sz="6" w:space="0" w:color="auto"/>
              <w:right w:val="single" w:sz="6" w:space="0" w:color="auto"/>
            </w:tcBorders>
          </w:tcPr>
          <w:p w14:paraId="2F20AC21"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22</w:t>
            </w:r>
          </w:p>
        </w:tc>
      </w:tr>
      <w:tr w:rsidR="00AD59FF" w:rsidRPr="00CF2780" w14:paraId="7172ED74" w14:textId="77777777" w:rsidTr="00B05F31">
        <w:tc>
          <w:tcPr>
            <w:tcW w:w="691" w:type="dxa"/>
            <w:tcBorders>
              <w:top w:val="single" w:sz="6" w:space="0" w:color="auto"/>
              <w:left w:val="single" w:sz="6" w:space="0" w:color="auto"/>
              <w:bottom w:val="nil"/>
              <w:right w:val="single" w:sz="6" w:space="0" w:color="auto"/>
            </w:tcBorders>
          </w:tcPr>
          <w:p w14:paraId="06771811"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32.</w:t>
            </w:r>
          </w:p>
        </w:tc>
        <w:tc>
          <w:tcPr>
            <w:tcW w:w="5522" w:type="dxa"/>
            <w:gridSpan w:val="3"/>
            <w:tcBorders>
              <w:top w:val="single" w:sz="6" w:space="0" w:color="auto"/>
              <w:left w:val="single" w:sz="6" w:space="0" w:color="auto"/>
              <w:bottom w:val="nil"/>
              <w:right w:val="single" w:sz="6" w:space="0" w:color="auto"/>
            </w:tcBorders>
          </w:tcPr>
          <w:p w14:paraId="21E2E73F"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CRISTINA SERVIN SÁNCHEZ</w:t>
            </w:r>
          </w:p>
        </w:tc>
        <w:tc>
          <w:tcPr>
            <w:tcW w:w="1080" w:type="dxa"/>
            <w:tcBorders>
              <w:top w:val="single" w:sz="6" w:space="0" w:color="auto"/>
              <w:left w:val="single" w:sz="6" w:space="0" w:color="auto"/>
              <w:bottom w:val="nil"/>
              <w:right w:val="single" w:sz="6" w:space="0" w:color="auto"/>
            </w:tcBorders>
          </w:tcPr>
          <w:p w14:paraId="18CE0FAA"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17</w:t>
            </w:r>
          </w:p>
        </w:tc>
        <w:tc>
          <w:tcPr>
            <w:tcW w:w="950" w:type="dxa"/>
            <w:gridSpan w:val="2"/>
            <w:tcBorders>
              <w:top w:val="single" w:sz="6" w:space="0" w:color="auto"/>
              <w:left w:val="single" w:sz="6" w:space="0" w:color="auto"/>
              <w:bottom w:val="nil"/>
              <w:right w:val="single" w:sz="6" w:space="0" w:color="auto"/>
            </w:tcBorders>
          </w:tcPr>
          <w:p w14:paraId="343BB3F1"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17</w:t>
            </w:r>
          </w:p>
        </w:tc>
      </w:tr>
      <w:tr w:rsidR="00AD59FF" w:rsidRPr="00CF2780" w14:paraId="3953D6BA" w14:textId="77777777" w:rsidTr="00B05F31">
        <w:tc>
          <w:tcPr>
            <w:tcW w:w="691" w:type="dxa"/>
            <w:tcBorders>
              <w:top w:val="nil"/>
              <w:left w:val="single" w:sz="6" w:space="0" w:color="auto"/>
              <w:bottom w:val="single" w:sz="6" w:space="0" w:color="auto"/>
              <w:right w:val="single" w:sz="6" w:space="0" w:color="auto"/>
            </w:tcBorders>
          </w:tcPr>
          <w:p w14:paraId="610C713A"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5522" w:type="dxa"/>
            <w:gridSpan w:val="3"/>
            <w:tcBorders>
              <w:top w:val="nil"/>
              <w:left w:val="single" w:sz="6" w:space="0" w:color="auto"/>
              <w:bottom w:val="single" w:sz="6" w:space="0" w:color="auto"/>
              <w:right w:val="single" w:sz="6" w:space="0" w:color="auto"/>
            </w:tcBorders>
          </w:tcPr>
          <w:p w14:paraId="3560A21A"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1080" w:type="dxa"/>
            <w:tcBorders>
              <w:top w:val="nil"/>
              <w:left w:val="single" w:sz="6" w:space="0" w:color="auto"/>
              <w:bottom w:val="single" w:sz="6" w:space="0" w:color="auto"/>
              <w:right w:val="single" w:sz="6" w:space="0" w:color="auto"/>
            </w:tcBorders>
          </w:tcPr>
          <w:p w14:paraId="573785BA"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145</w:t>
            </w:r>
          </w:p>
        </w:tc>
        <w:tc>
          <w:tcPr>
            <w:tcW w:w="950" w:type="dxa"/>
            <w:gridSpan w:val="2"/>
            <w:tcBorders>
              <w:top w:val="nil"/>
              <w:left w:val="single" w:sz="6" w:space="0" w:color="auto"/>
              <w:bottom w:val="single" w:sz="6" w:space="0" w:color="auto"/>
              <w:right w:val="single" w:sz="6" w:space="0" w:color="auto"/>
            </w:tcBorders>
          </w:tcPr>
          <w:p w14:paraId="081218F3"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24</w:t>
            </w:r>
          </w:p>
        </w:tc>
      </w:tr>
      <w:tr w:rsidR="00AD59FF" w:rsidRPr="00CF2780" w14:paraId="7851FA76" w14:textId="77777777" w:rsidTr="00B05F31">
        <w:tc>
          <w:tcPr>
            <w:tcW w:w="691" w:type="dxa"/>
            <w:tcBorders>
              <w:top w:val="single" w:sz="6" w:space="0" w:color="auto"/>
              <w:left w:val="single" w:sz="6" w:space="0" w:color="auto"/>
              <w:bottom w:val="nil"/>
              <w:right w:val="single" w:sz="6" w:space="0" w:color="auto"/>
            </w:tcBorders>
          </w:tcPr>
          <w:p w14:paraId="60617D1A"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33.</w:t>
            </w:r>
          </w:p>
        </w:tc>
        <w:tc>
          <w:tcPr>
            <w:tcW w:w="5522" w:type="dxa"/>
            <w:gridSpan w:val="3"/>
            <w:tcBorders>
              <w:top w:val="single" w:sz="6" w:space="0" w:color="auto"/>
              <w:left w:val="single" w:sz="6" w:space="0" w:color="auto"/>
              <w:bottom w:val="nil"/>
              <w:right w:val="single" w:sz="6" w:space="0" w:color="auto"/>
            </w:tcBorders>
          </w:tcPr>
          <w:p w14:paraId="17093EFE"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FRANCISCO ROMERO FLORES</w:t>
            </w:r>
          </w:p>
        </w:tc>
        <w:tc>
          <w:tcPr>
            <w:tcW w:w="1080" w:type="dxa"/>
            <w:tcBorders>
              <w:top w:val="single" w:sz="6" w:space="0" w:color="auto"/>
              <w:left w:val="single" w:sz="6" w:space="0" w:color="auto"/>
              <w:bottom w:val="nil"/>
              <w:right w:val="single" w:sz="6" w:space="0" w:color="auto"/>
            </w:tcBorders>
          </w:tcPr>
          <w:p w14:paraId="58C24301"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17</w:t>
            </w:r>
          </w:p>
        </w:tc>
        <w:tc>
          <w:tcPr>
            <w:tcW w:w="950" w:type="dxa"/>
            <w:gridSpan w:val="2"/>
            <w:tcBorders>
              <w:top w:val="single" w:sz="6" w:space="0" w:color="auto"/>
              <w:left w:val="single" w:sz="6" w:space="0" w:color="auto"/>
              <w:bottom w:val="nil"/>
              <w:right w:val="single" w:sz="6" w:space="0" w:color="auto"/>
            </w:tcBorders>
          </w:tcPr>
          <w:p w14:paraId="2F916810"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18</w:t>
            </w:r>
          </w:p>
        </w:tc>
      </w:tr>
      <w:tr w:rsidR="00AD59FF" w:rsidRPr="00CF2780" w14:paraId="47FEB95F" w14:textId="77777777" w:rsidTr="00B05F31">
        <w:tc>
          <w:tcPr>
            <w:tcW w:w="691" w:type="dxa"/>
            <w:tcBorders>
              <w:top w:val="nil"/>
              <w:left w:val="single" w:sz="6" w:space="0" w:color="auto"/>
              <w:bottom w:val="single" w:sz="6" w:space="0" w:color="auto"/>
              <w:right w:val="single" w:sz="6" w:space="0" w:color="auto"/>
            </w:tcBorders>
          </w:tcPr>
          <w:p w14:paraId="7C027A19"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5522" w:type="dxa"/>
            <w:gridSpan w:val="3"/>
            <w:tcBorders>
              <w:top w:val="nil"/>
              <w:left w:val="single" w:sz="6" w:space="0" w:color="auto"/>
              <w:bottom w:val="single" w:sz="6" w:space="0" w:color="auto"/>
              <w:right w:val="single" w:sz="6" w:space="0" w:color="auto"/>
            </w:tcBorders>
          </w:tcPr>
          <w:p w14:paraId="06130D64"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1080" w:type="dxa"/>
            <w:tcBorders>
              <w:top w:val="nil"/>
              <w:left w:val="single" w:sz="6" w:space="0" w:color="auto"/>
              <w:bottom w:val="single" w:sz="6" w:space="0" w:color="auto"/>
              <w:right w:val="single" w:sz="6" w:space="0" w:color="auto"/>
            </w:tcBorders>
          </w:tcPr>
          <w:p w14:paraId="23F575FE"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145</w:t>
            </w:r>
          </w:p>
        </w:tc>
        <w:tc>
          <w:tcPr>
            <w:tcW w:w="950" w:type="dxa"/>
            <w:gridSpan w:val="2"/>
            <w:tcBorders>
              <w:top w:val="nil"/>
              <w:left w:val="single" w:sz="6" w:space="0" w:color="auto"/>
              <w:bottom w:val="single" w:sz="6" w:space="0" w:color="auto"/>
              <w:right w:val="single" w:sz="6" w:space="0" w:color="auto"/>
            </w:tcBorders>
          </w:tcPr>
          <w:p w14:paraId="1ABC61C0"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26</w:t>
            </w:r>
          </w:p>
        </w:tc>
      </w:tr>
      <w:tr w:rsidR="00AD59FF" w:rsidRPr="00CF2780" w14:paraId="08303AC6" w14:textId="77777777" w:rsidTr="00B05F31">
        <w:tc>
          <w:tcPr>
            <w:tcW w:w="691" w:type="dxa"/>
            <w:tcBorders>
              <w:top w:val="single" w:sz="6" w:space="0" w:color="auto"/>
              <w:left w:val="single" w:sz="6" w:space="0" w:color="auto"/>
              <w:bottom w:val="nil"/>
              <w:right w:val="single" w:sz="6" w:space="0" w:color="auto"/>
            </w:tcBorders>
          </w:tcPr>
          <w:p w14:paraId="121A5B50"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34.</w:t>
            </w:r>
          </w:p>
        </w:tc>
        <w:tc>
          <w:tcPr>
            <w:tcW w:w="5522" w:type="dxa"/>
            <w:gridSpan w:val="3"/>
            <w:tcBorders>
              <w:top w:val="single" w:sz="6" w:space="0" w:color="auto"/>
              <w:left w:val="single" w:sz="6" w:space="0" w:color="auto"/>
              <w:bottom w:val="nil"/>
              <w:right w:val="single" w:sz="6" w:space="0" w:color="auto"/>
            </w:tcBorders>
          </w:tcPr>
          <w:p w14:paraId="182DD1D3"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MA. INÉS CUCUE LEMUS</w:t>
            </w:r>
          </w:p>
        </w:tc>
        <w:tc>
          <w:tcPr>
            <w:tcW w:w="1080" w:type="dxa"/>
            <w:tcBorders>
              <w:top w:val="single" w:sz="6" w:space="0" w:color="auto"/>
              <w:left w:val="single" w:sz="6" w:space="0" w:color="auto"/>
              <w:bottom w:val="nil"/>
              <w:right w:val="single" w:sz="6" w:space="0" w:color="auto"/>
            </w:tcBorders>
          </w:tcPr>
          <w:p w14:paraId="30D74340"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17</w:t>
            </w:r>
          </w:p>
        </w:tc>
        <w:tc>
          <w:tcPr>
            <w:tcW w:w="950" w:type="dxa"/>
            <w:gridSpan w:val="2"/>
            <w:tcBorders>
              <w:top w:val="single" w:sz="6" w:space="0" w:color="auto"/>
              <w:left w:val="single" w:sz="6" w:space="0" w:color="auto"/>
              <w:bottom w:val="nil"/>
              <w:right w:val="single" w:sz="6" w:space="0" w:color="auto"/>
            </w:tcBorders>
          </w:tcPr>
          <w:p w14:paraId="4D3BBF8C"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42</w:t>
            </w:r>
          </w:p>
        </w:tc>
      </w:tr>
      <w:tr w:rsidR="00AD59FF" w:rsidRPr="00CF2780" w14:paraId="41F1B0E2" w14:textId="77777777" w:rsidTr="00B05F31">
        <w:tc>
          <w:tcPr>
            <w:tcW w:w="691" w:type="dxa"/>
            <w:tcBorders>
              <w:top w:val="nil"/>
              <w:left w:val="single" w:sz="6" w:space="0" w:color="auto"/>
              <w:bottom w:val="single" w:sz="6" w:space="0" w:color="auto"/>
              <w:right w:val="single" w:sz="6" w:space="0" w:color="auto"/>
            </w:tcBorders>
          </w:tcPr>
          <w:p w14:paraId="3D4B7A66"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5522" w:type="dxa"/>
            <w:gridSpan w:val="3"/>
            <w:tcBorders>
              <w:top w:val="nil"/>
              <w:left w:val="single" w:sz="6" w:space="0" w:color="auto"/>
              <w:bottom w:val="single" w:sz="6" w:space="0" w:color="auto"/>
              <w:right w:val="single" w:sz="6" w:space="0" w:color="auto"/>
            </w:tcBorders>
          </w:tcPr>
          <w:p w14:paraId="13A364F0"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1080" w:type="dxa"/>
            <w:tcBorders>
              <w:top w:val="nil"/>
              <w:left w:val="single" w:sz="6" w:space="0" w:color="auto"/>
              <w:bottom w:val="single" w:sz="6" w:space="0" w:color="auto"/>
              <w:right w:val="single" w:sz="6" w:space="0" w:color="auto"/>
            </w:tcBorders>
          </w:tcPr>
          <w:p w14:paraId="7E640268"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146</w:t>
            </w:r>
          </w:p>
        </w:tc>
        <w:tc>
          <w:tcPr>
            <w:tcW w:w="950" w:type="dxa"/>
            <w:gridSpan w:val="2"/>
            <w:tcBorders>
              <w:top w:val="nil"/>
              <w:left w:val="single" w:sz="6" w:space="0" w:color="auto"/>
              <w:bottom w:val="single" w:sz="6" w:space="0" w:color="auto"/>
              <w:right w:val="single" w:sz="6" w:space="0" w:color="auto"/>
            </w:tcBorders>
          </w:tcPr>
          <w:p w14:paraId="5DBD4AF6"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04</w:t>
            </w:r>
          </w:p>
        </w:tc>
      </w:tr>
      <w:tr w:rsidR="00AD59FF" w:rsidRPr="00CF2780" w14:paraId="3A139745" w14:textId="77777777" w:rsidTr="00B05F31">
        <w:tc>
          <w:tcPr>
            <w:tcW w:w="691" w:type="dxa"/>
            <w:tcBorders>
              <w:top w:val="single" w:sz="6" w:space="0" w:color="auto"/>
              <w:left w:val="single" w:sz="6" w:space="0" w:color="auto"/>
              <w:bottom w:val="nil"/>
              <w:right w:val="single" w:sz="6" w:space="0" w:color="auto"/>
            </w:tcBorders>
          </w:tcPr>
          <w:p w14:paraId="701BAF0E"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35.</w:t>
            </w:r>
          </w:p>
        </w:tc>
        <w:tc>
          <w:tcPr>
            <w:tcW w:w="5522" w:type="dxa"/>
            <w:gridSpan w:val="3"/>
            <w:tcBorders>
              <w:top w:val="single" w:sz="6" w:space="0" w:color="auto"/>
              <w:left w:val="single" w:sz="6" w:space="0" w:color="auto"/>
              <w:bottom w:val="nil"/>
              <w:right w:val="single" w:sz="6" w:space="0" w:color="auto"/>
            </w:tcBorders>
          </w:tcPr>
          <w:p w14:paraId="7117ADEF"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JOSEFINA CUCUE GERÓNIMO</w:t>
            </w:r>
          </w:p>
        </w:tc>
        <w:tc>
          <w:tcPr>
            <w:tcW w:w="1080" w:type="dxa"/>
            <w:tcBorders>
              <w:top w:val="single" w:sz="6" w:space="0" w:color="auto"/>
              <w:left w:val="single" w:sz="6" w:space="0" w:color="auto"/>
              <w:bottom w:val="nil"/>
              <w:right w:val="single" w:sz="6" w:space="0" w:color="auto"/>
            </w:tcBorders>
          </w:tcPr>
          <w:p w14:paraId="3478A1C9"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17</w:t>
            </w:r>
          </w:p>
        </w:tc>
        <w:tc>
          <w:tcPr>
            <w:tcW w:w="950" w:type="dxa"/>
            <w:gridSpan w:val="2"/>
            <w:tcBorders>
              <w:top w:val="single" w:sz="6" w:space="0" w:color="auto"/>
              <w:left w:val="single" w:sz="6" w:space="0" w:color="auto"/>
              <w:bottom w:val="nil"/>
              <w:right w:val="single" w:sz="6" w:space="0" w:color="auto"/>
            </w:tcBorders>
          </w:tcPr>
          <w:p w14:paraId="12E36E85"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42</w:t>
            </w:r>
          </w:p>
        </w:tc>
      </w:tr>
      <w:tr w:rsidR="00AD59FF" w:rsidRPr="00CF2780" w14:paraId="4126BB98" w14:textId="77777777" w:rsidTr="00B05F31">
        <w:tc>
          <w:tcPr>
            <w:tcW w:w="691" w:type="dxa"/>
            <w:tcBorders>
              <w:top w:val="nil"/>
              <w:left w:val="single" w:sz="6" w:space="0" w:color="auto"/>
              <w:bottom w:val="single" w:sz="6" w:space="0" w:color="auto"/>
              <w:right w:val="single" w:sz="6" w:space="0" w:color="auto"/>
            </w:tcBorders>
          </w:tcPr>
          <w:p w14:paraId="1C9EF953"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5522" w:type="dxa"/>
            <w:gridSpan w:val="3"/>
            <w:tcBorders>
              <w:top w:val="nil"/>
              <w:left w:val="single" w:sz="6" w:space="0" w:color="auto"/>
              <w:bottom w:val="single" w:sz="6" w:space="0" w:color="auto"/>
              <w:right w:val="single" w:sz="6" w:space="0" w:color="auto"/>
            </w:tcBorders>
          </w:tcPr>
          <w:p w14:paraId="19CFB507"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1080" w:type="dxa"/>
            <w:tcBorders>
              <w:top w:val="nil"/>
              <w:left w:val="single" w:sz="6" w:space="0" w:color="auto"/>
              <w:bottom w:val="single" w:sz="6" w:space="0" w:color="auto"/>
              <w:right w:val="single" w:sz="6" w:space="0" w:color="auto"/>
            </w:tcBorders>
          </w:tcPr>
          <w:p w14:paraId="50609925"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146</w:t>
            </w:r>
          </w:p>
        </w:tc>
        <w:tc>
          <w:tcPr>
            <w:tcW w:w="950" w:type="dxa"/>
            <w:gridSpan w:val="2"/>
            <w:tcBorders>
              <w:top w:val="nil"/>
              <w:left w:val="single" w:sz="6" w:space="0" w:color="auto"/>
              <w:bottom w:val="single" w:sz="6" w:space="0" w:color="auto"/>
              <w:right w:val="single" w:sz="6" w:space="0" w:color="auto"/>
            </w:tcBorders>
          </w:tcPr>
          <w:p w14:paraId="24E004D9"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06</w:t>
            </w:r>
          </w:p>
        </w:tc>
      </w:tr>
      <w:tr w:rsidR="00AD59FF" w:rsidRPr="00CF2780" w14:paraId="72E2CF0D" w14:textId="77777777" w:rsidTr="00B05F31">
        <w:tc>
          <w:tcPr>
            <w:tcW w:w="691" w:type="dxa"/>
            <w:tcBorders>
              <w:top w:val="single" w:sz="6" w:space="0" w:color="auto"/>
              <w:left w:val="single" w:sz="6" w:space="0" w:color="auto"/>
              <w:bottom w:val="nil"/>
              <w:right w:val="single" w:sz="6" w:space="0" w:color="auto"/>
            </w:tcBorders>
          </w:tcPr>
          <w:p w14:paraId="05F789FE"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36.</w:t>
            </w:r>
          </w:p>
        </w:tc>
        <w:tc>
          <w:tcPr>
            <w:tcW w:w="5522" w:type="dxa"/>
            <w:gridSpan w:val="3"/>
            <w:tcBorders>
              <w:top w:val="single" w:sz="6" w:space="0" w:color="auto"/>
              <w:left w:val="single" w:sz="6" w:space="0" w:color="auto"/>
              <w:bottom w:val="nil"/>
              <w:right w:val="single" w:sz="6" w:space="0" w:color="auto"/>
            </w:tcBorders>
          </w:tcPr>
          <w:p w14:paraId="04758B9A"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ALBERTO ROJAS HERNÁNDEZ</w:t>
            </w:r>
          </w:p>
        </w:tc>
        <w:tc>
          <w:tcPr>
            <w:tcW w:w="1080" w:type="dxa"/>
            <w:tcBorders>
              <w:top w:val="single" w:sz="6" w:space="0" w:color="auto"/>
              <w:left w:val="single" w:sz="6" w:space="0" w:color="auto"/>
              <w:bottom w:val="nil"/>
              <w:right w:val="single" w:sz="6" w:space="0" w:color="auto"/>
            </w:tcBorders>
          </w:tcPr>
          <w:p w14:paraId="2C793A82"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18</w:t>
            </w:r>
          </w:p>
        </w:tc>
        <w:tc>
          <w:tcPr>
            <w:tcW w:w="950" w:type="dxa"/>
            <w:gridSpan w:val="2"/>
            <w:tcBorders>
              <w:top w:val="single" w:sz="6" w:space="0" w:color="auto"/>
              <w:left w:val="single" w:sz="6" w:space="0" w:color="auto"/>
              <w:bottom w:val="nil"/>
              <w:right w:val="single" w:sz="6" w:space="0" w:color="auto"/>
            </w:tcBorders>
          </w:tcPr>
          <w:p w14:paraId="41C66378"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14</w:t>
            </w:r>
          </w:p>
        </w:tc>
      </w:tr>
      <w:tr w:rsidR="00AD59FF" w:rsidRPr="00CF2780" w14:paraId="56A0AA24" w14:textId="77777777" w:rsidTr="00B05F31">
        <w:tc>
          <w:tcPr>
            <w:tcW w:w="691" w:type="dxa"/>
            <w:tcBorders>
              <w:top w:val="nil"/>
              <w:left w:val="single" w:sz="6" w:space="0" w:color="auto"/>
              <w:bottom w:val="single" w:sz="6" w:space="0" w:color="auto"/>
              <w:right w:val="single" w:sz="6" w:space="0" w:color="auto"/>
            </w:tcBorders>
          </w:tcPr>
          <w:p w14:paraId="022E2B79"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5522" w:type="dxa"/>
            <w:gridSpan w:val="3"/>
            <w:tcBorders>
              <w:top w:val="nil"/>
              <w:left w:val="single" w:sz="6" w:space="0" w:color="auto"/>
              <w:bottom w:val="single" w:sz="6" w:space="0" w:color="auto"/>
              <w:right w:val="single" w:sz="6" w:space="0" w:color="auto"/>
            </w:tcBorders>
          </w:tcPr>
          <w:p w14:paraId="40467D46"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1080" w:type="dxa"/>
            <w:tcBorders>
              <w:top w:val="nil"/>
              <w:left w:val="single" w:sz="6" w:space="0" w:color="auto"/>
              <w:bottom w:val="single" w:sz="6" w:space="0" w:color="auto"/>
              <w:right w:val="single" w:sz="6" w:space="0" w:color="auto"/>
            </w:tcBorders>
          </w:tcPr>
          <w:p w14:paraId="6B40C8BC"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150</w:t>
            </w:r>
          </w:p>
        </w:tc>
        <w:tc>
          <w:tcPr>
            <w:tcW w:w="950" w:type="dxa"/>
            <w:gridSpan w:val="2"/>
            <w:tcBorders>
              <w:top w:val="nil"/>
              <w:left w:val="single" w:sz="6" w:space="0" w:color="auto"/>
              <w:bottom w:val="single" w:sz="6" w:space="0" w:color="auto"/>
              <w:right w:val="single" w:sz="6" w:space="0" w:color="auto"/>
            </w:tcBorders>
          </w:tcPr>
          <w:p w14:paraId="2F61D121"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13</w:t>
            </w:r>
          </w:p>
        </w:tc>
      </w:tr>
      <w:tr w:rsidR="00AD59FF" w:rsidRPr="00CF2780" w14:paraId="0BF5F181" w14:textId="77777777" w:rsidTr="00B05F31">
        <w:tc>
          <w:tcPr>
            <w:tcW w:w="691" w:type="dxa"/>
            <w:tcBorders>
              <w:top w:val="single" w:sz="6" w:space="0" w:color="auto"/>
              <w:left w:val="single" w:sz="6" w:space="0" w:color="auto"/>
              <w:bottom w:val="nil"/>
              <w:right w:val="single" w:sz="6" w:space="0" w:color="auto"/>
            </w:tcBorders>
          </w:tcPr>
          <w:p w14:paraId="6CAC0808"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37.</w:t>
            </w:r>
          </w:p>
        </w:tc>
        <w:tc>
          <w:tcPr>
            <w:tcW w:w="5522" w:type="dxa"/>
            <w:gridSpan w:val="3"/>
            <w:tcBorders>
              <w:top w:val="single" w:sz="6" w:space="0" w:color="auto"/>
              <w:left w:val="single" w:sz="6" w:space="0" w:color="auto"/>
              <w:bottom w:val="nil"/>
              <w:right w:val="single" w:sz="6" w:space="0" w:color="auto"/>
            </w:tcBorders>
          </w:tcPr>
          <w:p w14:paraId="1EBD1CC2"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JOSÉ LUIS FLORES BASILIO</w:t>
            </w:r>
          </w:p>
        </w:tc>
        <w:tc>
          <w:tcPr>
            <w:tcW w:w="1080" w:type="dxa"/>
            <w:tcBorders>
              <w:top w:val="single" w:sz="6" w:space="0" w:color="auto"/>
              <w:left w:val="single" w:sz="6" w:space="0" w:color="auto"/>
              <w:bottom w:val="nil"/>
              <w:right w:val="single" w:sz="6" w:space="0" w:color="auto"/>
            </w:tcBorders>
          </w:tcPr>
          <w:p w14:paraId="58051013"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18</w:t>
            </w:r>
          </w:p>
        </w:tc>
        <w:tc>
          <w:tcPr>
            <w:tcW w:w="950" w:type="dxa"/>
            <w:gridSpan w:val="2"/>
            <w:tcBorders>
              <w:top w:val="single" w:sz="6" w:space="0" w:color="auto"/>
              <w:left w:val="single" w:sz="6" w:space="0" w:color="auto"/>
              <w:bottom w:val="nil"/>
              <w:right w:val="single" w:sz="6" w:space="0" w:color="auto"/>
            </w:tcBorders>
          </w:tcPr>
          <w:p w14:paraId="55467B53"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17</w:t>
            </w:r>
          </w:p>
        </w:tc>
      </w:tr>
      <w:tr w:rsidR="00AD59FF" w:rsidRPr="00CF2780" w14:paraId="73E92744" w14:textId="77777777" w:rsidTr="00B05F31">
        <w:tc>
          <w:tcPr>
            <w:tcW w:w="691" w:type="dxa"/>
            <w:tcBorders>
              <w:top w:val="nil"/>
              <w:left w:val="single" w:sz="6" w:space="0" w:color="auto"/>
              <w:bottom w:val="single" w:sz="6" w:space="0" w:color="auto"/>
              <w:right w:val="single" w:sz="6" w:space="0" w:color="auto"/>
            </w:tcBorders>
          </w:tcPr>
          <w:p w14:paraId="753E86E0"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5522" w:type="dxa"/>
            <w:gridSpan w:val="3"/>
            <w:tcBorders>
              <w:top w:val="nil"/>
              <w:left w:val="single" w:sz="6" w:space="0" w:color="auto"/>
              <w:bottom w:val="single" w:sz="6" w:space="0" w:color="auto"/>
              <w:right w:val="single" w:sz="6" w:space="0" w:color="auto"/>
            </w:tcBorders>
          </w:tcPr>
          <w:p w14:paraId="7AC9353C"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1080" w:type="dxa"/>
            <w:tcBorders>
              <w:top w:val="nil"/>
              <w:left w:val="single" w:sz="6" w:space="0" w:color="auto"/>
              <w:bottom w:val="single" w:sz="6" w:space="0" w:color="auto"/>
              <w:right w:val="single" w:sz="6" w:space="0" w:color="auto"/>
            </w:tcBorders>
          </w:tcPr>
          <w:p w14:paraId="140C345D"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151</w:t>
            </w:r>
          </w:p>
        </w:tc>
        <w:tc>
          <w:tcPr>
            <w:tcW w:w="950" w:type="dxa"/>
            <w:gridSpan w:val="2"/>
            <w:tcBorders>
              <w:top w:val="nil"/>
              <w:left w:val="single" w:sz="6" w:space="0" w:color="auto"/>
              <w:bottom w:val="single" w:sz="6" w:space="0" w:color="auto"/>
              <w:right w:val="single" w:sz="6" w:space="0" w:color="auto"/>
            </w:tcBorders>
          </w:tcPr>
          <w:p w14:paraId="3341871D"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01</w:t>
            </w:r>
          </w:p>
        </w:tc>
      </w:tr>
      <w:tr w:rsidR="00AD59FF" w:rsidRPr="00CF2780" w14:paraId="22117DAF" w14:textId="77777777" w:rsidTr="00B05F31">
        <w:tc>
          <w:tcPr>
            <w:tcW w:w="691" w:type="dxa"/>
            <w:tcBorders>
              <w:top w:val="single" w:sz="6" w:space="0" w:color="auto"/>
              <w:left w:val="single" w:sz="6" w:space="0" w:color="auto"/>
              <w:bottom w:val="nil"/>
              <w:right w:val="single" w:sz="6" w:space="0" w:color="auto"/>
            </w:tcBorders>
          </w:tcPr>
          <w:p w14:paraId="529463B2"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38.</w:t>
            </w:r>
          </w:p>
        </w:tc>
        <w:tc>
          <w:tcPr>
            <w:tcW w:w="5522" w:type="dxa"/>
            <w:gridSpan w:val="3"/>
            <w:tcBorders>
              <w:top w:val="single" w:sz="6" w:space="0" w:color="auto"/>
              <w:left w:val="single" w:sz="6" w:space="0" w:color="auto"/>
              <w:bottom w:val="nil"/>
              <w:right w:val="single" w:sz="6" w:space="0" w:color="auto"/>
            </w:tcBorders>
          </w:tcPr>
          <w:p w14:paraId="21C19795"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MARGARITA VELASQUES F.</w:t>
            </w:r>
          </w:p>
        </w:tc>
        <w:tc>
          <w:tcPr>
            <w:tcW w:w="1080" w:type="dxa"/>
            <w:tcBorders>
              <w:top w:val="single" w:sz="6" w:space="0" w:color="auto"/>
              <w:left w:val="single" w:sz="6" w:space="0" w:color="auto"/>
              <w:bottom w:val="nil"/>
              <w:right w:val="single" w:sz="6" w:space="0" w:color="auto"/>
            </w:tcBorders>
          </w:tcPr>
          <w:p w14:paraId="1AE0E288"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14</w:t>
            </w:r>
          </w:p>
        </w:tc>
        <w:tc>
          <w:tcPr>
            <w:tcW w:w="950" w:type="dxa"/>
            <w:gridSpan w:val="2"/>
            <w:tcBorders>
              <w:top w:val="single" w:sz="6" w:space="0" w:color="auto"/>
              <w:left w:val="single" w:sz="6" w:space="0" w:color="auto"/>
              <w:bottom w:val="nil"/>
              <w:right w:val="single" w:sz="6" w:space="0" w:color="auto"/>
            </w:tcBorders>
          </w:tcPr>
          <w:p w14:paraId="405F461C"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24</w:t>
            </w:r>
          </w:p>
        </w:tc>
      </w:tr>
      <w:tr w:rsidR="00AD59FF" w:rsidRPr="00CF2780" w14:paraId="49C0EC33" w14:textId="77777777" w:rsidTr="00B05F31">
        <w:tc>
          <w:tcPr>
            <w:tcW w:w="691" w:type="dxa"/>
            <w:tcBorders>
              <w:top w:val="nil"/>
              <w:left w:val="single" w:sz="6" w:space="0" w:color="auto"/>
              <w:bottom w:val="single" w:sz="6" w:space="0" w:color="auto"/>
              <w:right w:val="single" w:sz="6" w:space="0" w:color="auto"/>
            </w:tcBorders>
          </w:tcPr>
          <w:p w14:paraId="140F706D"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5522" w:type="dxa"/>
            <w:gridSpan w:val="3"/>
            <w:tcBorders>
              <w:top w:val="nil"/>
              <w:left w:val="single" w:sz="6" w:space="0" w:color="auto"/>
              <w:bottom w:val="single" w:sz="6" w:space="0" w:color="auto"/>
              <w:right w:val="single" w:sz="6" w:space="0" w:color="auto"/>
            </w:tcBorders>
          </w:tcPr>
          <w:p w14:paraId="2F58D4E0"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1080" w:type="dxa"/>
            <w:tcBorders>
              <w:top w:val="nil"/>
              <w:left w:val="single" w:sz="6" w:space="0" w:color="auto"/>
              <w:bottom w:val="single" w:sz="6" w:space="0" w:color="auto"/>
              <w:right w:val="single" w:sz="6" w:space="0" w:color="auto"/>
            </w:tcBorders>
          </w:tcPr>
          <w:p w14:paraId="7DEB4F97"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151</w:t>
            </w:r>
          </w:p>
        </w:tc>
        <w:tc>
          <w:tcPr>
            <w:tcW w:w="950" w:type="dxa"/>
            <w:gridSpan w:val="2"/>
            <w:tcBorders>
              <w:top w:val="nil"/>
              <w:left w:val="single" w:sz="6" w:space="0" w:color="auto"/>
              <w:bottom w:val="single" w:sz="6" w:space="0" w:color="auto"/>
              <w:right w:val="single" w:sz="6" w:space="0" w:color="auto"/>
            </w:tcBorders>
          </w:tcPr>
          <w:p w14:paraId="4759593A"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02</w:t>
            </w:r>
          </w:p>
        </w:tc>
      </w:tr>
      <w:tr w:rsidR="00AD59FF" w:rsidRPr="00CF2780" w14:paraId="043B385F" w14:textId="77777777" w:rsidTr="00B05F31">
        <w:tc>
          <w:tcPr>
            <w:tcW w:w="691" w:type="dxa"/>
            <w:tcBorders>
              <w:top w:val="single" w:sz="6" w:space="0" w:color="auto"/>
              <w:left w:val="single" w:sz="6" w:space="0" w:color="auto"/>
              <w:bottom w:val="nil"/>
              <w:right w:val="single" w:sz="6" w:space="0" w:color="auto"/>
            </w:tcBorders>
          </w:tcPr>
          <w:p w14:paraId="09322A1C"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39.</w:t>
            </w:r>
          </w:p>
        </w:tc>
        <w:tc>
          <w:tcPr>
            <w:tcW w:w="5522" w:type="dxa"/>
            <w:gridSpan w:val="3"/>
            <w:tcBorders>
              <w:top w:val="single" w:sz="6" w:space="0" w:color="auto"/>
              <w:left w:val="single" w:sz="6" w:space="0" w:color="auto"/>
              <w:bottom w:val="nil"/>
              <w:right w:val="single" w:sz="6" w:space="0" w:color="auto"/>
            </w:tcBorders>
          </w:tcPr>
          <w:p w14:paraId="648635E2"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ANTONIO LEMUS PAHUAMBA</w:t>
            </w:r>
          </w:p>
        </w:tc>
        <w:tc>
          <w:tcPr>
            <w:tcW w:w="1080" w:type="dxa"/>
            <w:tcBorders>
              <w:top w:val="single" w:sz="6" w:space="0" w:color="auto"/>
              <w:left w:val="single" w:sz="6" w:space="0" w:color="auto"/>
              <w:bottom w:val="nil"/>
              <w:right w:val="single" w:sz="6" w:space="0" w:color="auto"/>
            </w:tcBorders>
          </w:tcPr>
          <w:p w14:paraId="0BCE0468"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17</w:t>
            </w:r>
          </w:p>
        </w:tc>
        <w:tc>
          <w:tcPr>
            <w:tcW w:w="950" w:type="dxa"/>
            <w:gridSpan w:val="2"/>
            <w:tcBorders>
              <w:top w:val="single" w:sz="6" w:space="0" w:color="auto"/>
              <w:left w:val="single" w:sz="6" w:space="0" w:color="auto"/>
              <w:bottom w:val="nil"/>
              <w:right w:val="single" w:sz="6" w:space="0" w:color="auto"/>
            </w:tcBorders>
          </w:tcPr>
          <w:p w14:paraId="798BD36F"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27</w:t>
            </w:r>
          </w:p>
        </w:tc>
      </w:tr>
      <w:tr w:rsidR="00AD59FF" w:rsidRPr="00CF2780" w14:paraId="3954D3EE" w14:textId="77777777" w:rsidTr="00B05F31">
        <w:tc>
          <w:tcPr>
            <w:tcW w:w="691" w:type="dxa"/>
            <w:tcBorders>
              <w:top w:val="nil"/>
              <w:left w:val="single" w:sz="6" w:space="0" w:color="auto"/>
              <w:bottom w:val="single" w:sz="6" w:space="0" w:color="auto"/>
              <w:right w:val="single" w:sz="6" w:space="0" w:color="auto"/>
            </w:tcBorders>
          </w:tcPr>
          <w:p w14:paraId="6EEE4F7A"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5522" w:type="dxa"/>
            <w:gridSpan w:val="3"/>
            <w:tcBorders>
              <w:top w:val="nil"/>
              <w:left w:val="single" w:sz="6" w:space="0" w:color="auto"/>
              <w:bottom w:val="single" w:sz="6" w:space="0" w:color="auto"/>
              <w:right w:val="single" w:sz="6" w:space="0" w:color="auto"/>
            </w:tcBorders>
          </w:tcPr>
          <w:p w14:paraId="476BF9A6"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1080" w:type="dxa"/>
            <w:tcBorders>
              <w:top w:val="nil"/>
              <w:left w:val="single" w:sz="6" w:space="0" w:color="auto"/>
              <w:bottom w:val="single" w:sz="6" w:space="0" w:color="auto"/>
              <w:right w:val="single" w:sz="6" w:space="0" w:color="auto"/>
            </w:tcBorders>
          </w:tcPr>
          <w:p w14:paraId="145538BD"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153</w:t>
            </w:r>
          </w:p>
        </w:tc>
        <w:tc>
          <w:tcPr>
            <w:tcW w:w="950" w:type="dxa"/>
            <w:gridSpan w:val="2"/>
            <w:tcBorders>
              <w:top w:val="nil"/>
              <w:left w:val="single" w:sz="6" w:space="0" w:color="auto"/>
              <w:bottom w:val="single" w:sz="6" w:space="0" w:color="auto"/>
              <w:right w:val="single" w:sz="6" w:space="0" w:color="auto"/>
            </w:tcBorders>
          </w:tcPr>
          <w:p w14:paraId="246E5F90"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17</w:t>
            </w:r>
          </w:p>
        </w:tc>
      </w:tr>
      <w:tr w:rsidR="00AD59FF" w:rsidRPr="00CF2780" w14:paraId="55CFEC99" w14:textId="77777777" w:rsidTr="00B05F31">
        <w:tc>
          <w:tcPr>
            <w:tcW w:w="691" w:type="dxa"/>
            <w:tcBorders>
              <w:top w:val="single" w:sz="6" w:space="0" w:color="auto"/>
              <w:left w:val="single" w:sz="6" w:space="0" w:color="auto"/>
              <w:bottom w:val="nil"/>
              <w:right w:val="single" w:sz="6" w:space="0" w:color="auto"/>
            </w:tcBorders>
          </w:tcPr>
          <w:p w14:paraId="06532948"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40.</w:t>
            </w:r>
          </w:p>
        </w:tc>
        <w:tc>
          <w:tcPr>
            <w:tcW w:w="5522" w:type="dxa"/>
            <w:gridSpan w:val="3"/>
            <w:tcBorders>
              <w:top w:val="single" w:sz="6" w:space="0" w:color="auto"/>
              <w:left w:val="single" w:sz="6" w:space="0" w:color="auto"/>
              <w:bottom w:val="nil"/>
              <w:right w:val="single" w:sz="6" w:space="0" w:color="auto"/>
            </w:tcBorders>
          </w:tcPr>
          <w:p w14:paraId="3F635E23"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INOCENCIA PAHUAMBA LEMUS</w:t>
            </w:r>
          </w:p>
        </w:tc>
        <w:tc>
          <w:tcPr>
            <w:tcW w:w="1080" w:type="dxa"/>
            <w:tcBorders>
              <w:top w:val="single" w:sz="6" w:space="0" w:color="auto"/>
              <w:left w:val="single" w:sz="6" w:space="0" w:color="auto"/>
              <w:bottom w:val="nil"/>
              <w:right w:val="single" w:sz="6" w:space="0" w:color="auto"/>
            </w:tcBorders>
          </w:tcPr>
          <w:p w14:paraId="621F3A48"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17</w:t>
            </w:r>
          </w:p>
        </w:tc>
        <w:tc>
          <w:tcPr>
            <w:tcW w:w="950" w:type="dxa"/>
            <w:gridSpan w:val="2"/>
            <w:tcBorders>
              <w:top w:val="single" w:sz="6" w:space="0" w:color="auto"/>
              <w:left w:val="single" w:sz="6" w:space="0" w:color="auto"/>
              <w:bottom w:val="nil"/>
              <w:right w:val="single" w:sz="6" w:space="0" w:color="auto"/>
            </w:tcBorders>
          </w:tcPr>
          <w:p w14:paraId="630BC6A1"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27</w:t>
            </w:r>
          </w:p>
        </w:tc>
      </w:tr>
      <w:tr w:rsidR="00AD59FF" w:rsidRPr="00CF2780" w14:paraId="5950A070" w14:textId="77777777" w:rsidTr="00B05F31">
        <w:tc>
          <w:tcPr>
            <w:tcW w:w="691" w:type="dxa"/>
            <w:tcBorders>
              <w:top w:val="nil"/>
              <w:left w:val="single" w:sz="6" w:space="0" w:color="auto"/>
              <w:bottom w:val="single" w:sz="6" w:space="0" w:color="auto"/>
              <w:right w:val="single" w:sz="6" w:space="0" w:color="auto"/>
            </w:tcBorders>
          </w:tcPr>
          <w:p w14:paraId="24B488D1"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5522" w:type="dxa"/>
            <w:gridSpan w:val="3"/>
            <w:tcBorders>
              <w:top w:val="nil"/>
              <w:left w:val="single" w:sz="6" w:space="0" w:color="auto"/>
              <w:bottom w:val="single" w:sz="6" w:space="0" w:color="auto"/>
              <w:right w:val="single" w:sz="6" w:space="0" w:color="auto"/>
            </w:tcBorders>
          </w:tcPr>
          <w:p w14:paraId="3CF18E98"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1080" w:type="dxa"/>
            <w:tcBorders>
              <w:top w:val="nil"/>
              <w:left w:val="single" w:sz="6" w:space="0" w:color="auto"/>
              <w:bottom w:val="single" w:sz="6" w:space="0" w:color="auto"/>
              <w:right w:val="single" w:sz="6" w:space="0" w:color="auto"/>
            </w:tcBorders>
          </w:tcPr>
          <w:p w14:paraId="19F840CD"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153</w:t>
            </w:r>
          </w:p>
        </w:tc>
        <w:tc>
          <w:tcPr>
            <w:tcW w:w="950" w:type="dxa"/>
            <w:gridSpan w:val="2"/>
            <w:tcBorders>
              <w:top w:val="nil"/>
              <w:left w:val="single" w:sz="6" w:space="0" w:color="auto"/>
              <w:bottom w:val="single" w:sz="6" w:space="0" w:color="auto"/>
              <w:right w:val="single" w:sz="6" w:space="0" w:color="auto"/>
            </w:tcBorders>
          </w:tcPr>
          <w:p w14:paraId="63DABB4F"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18</w:t>
            </w:r>
          </w:p>
        </w:tc>
      </w:tr>
      <w:tr w:rsidR="00AD59FF" w:rsidRPr="00CF2780" w14:paraId="20C022A4" w14:textId="77777777" w:rsidTr="00B05F31">
        <w:tc>
          <w:tcPr>
            <w:tcW w:w="691" w:type="dxa"/>
            <w:tcBorders>
              <w:top w:val="single" w:sz="6" w:space="0" w:color="auto"/>
              <w:left w:val="single" w:sz="6" w:space="0" w:color="auto"/>
              <w:bottom w:val="nil"/>
              <w:right w:val="single" w:sz="6" w:space="0" w:color="auto"/>
            </w:tcBorders>
          </w:tcPr>
          <w:p w14:paraId="0527C142"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41.</w:t>
            </w:r>
          </w:p>
        </w:tc>
        <w:tc>
          <w:tcPr>
            <w:tcW w:w="5522" w:type="dxa"/>
            <w:gridSpan w:val="3"/>
            <w:tcBorders>
              <w:top w:val="single" w:sz="6" w:space="0" w:color="auto"/>
              <w:left w:val="single" w:sz="6" w:space="0" w:color="auto"/>
              <w:bottom w:val="nil"/>
              <w:right w:val="single" w:sz="6" w:space="0" w:color="auto"/>
            </w:tcBorders>
          </w:tcPr>
          <w:p w14:paraId="612DA8E9"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YOVANA GUERRERO ORTIZ</w:t>
            </w:r>
          </w:p>
        </w:tc>
        <w:tc>
          <w:tcPr>
            <w:tcW w:w="1080" w:type="dxa"/>
            <w:tcBorders>
              <w:top w:val="single" w:sz="6" w:space="0" w:color="auto"/>
              <w:left w:val="single" w:sz="6" w:space="0" w:color="auto"/>
              <w:bottom w:val="nil"/>
              <w:right w:val="single" w:sz="6" w:space="0" w:color="auto"/>
            </w:tcBorders>
          </w:tcPr>
          <w:p w14:paraId="2FB5EBBB"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17</w:t>
            </w:r>
          </w:p>
        </w:tc>
        <w:tc>
          <w:tcPr>
            <w:tcW w:w="950" w:type="dxa"/>
            <w:gridSpan w:val="2"/>
            <w:tcBorders>
              <w:top w:val="single" w:sz="6" w:space="0" w:color="auto"/>
              <w:left w:val="single" w:sz="6" w:space="0" w:color="auto"/>
              <w:bottom w:val="nil"/>
              <w:right w:val="single" w:sz="6" w:space="0" w:color="auto"/>
            </w:tcBorders>
          </w:tcPr>
          <w:p w14:paraId="71212CCA"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30</w:t>
            </w:r>
          </w:p>
        </w:tc>
      </w:tr>
      <w:tr w:rsidR="00AD59FF" w:rsidRPr="00CF2780" w14:paraId="49C1731F" w14:textId="77777777" w:rsidTr="00B05F31">
        <w:tc>
          <w:tcPr>
            <w:tcW w:w="691" w:type="dxa"/>
            <w:tcBorders>
              <w:top w:val="nil"/>
              <w:left w:val="single" w:sz="6" w:space="0" w:color="auto"/>
              <w:bottom w:val="single" w:sz="6" w:space="0" w:color="auto"/>
              <w:right w:val="single" w:sz="6" w:space="0" w:color="auto"/>
            </w:tcBorders>
          </w:tcPr>
          <w:p w14:paraId="05FDBEBB"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5522" w:type="dxa"/>
            <w:gridSpan w:val="3"/>
            <w:tcBorders>
              <w:top w:val="nil"/>
              <w:left w:val="single" w:sz="6" w:space="0" w:color="auto"/>
              <w:bottom w:val="single" w:sz="6" w:space="0" w:color="auto"/>
              <w:right w:val="single" w:sz="6" w:space="0" w:color="auto"/>
            </w:tcBorders>
          </w:tcPr>
          <w:p w14:paraId="728AB48B"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1080" w:type="dxa"/>
            <w:tcBorders>
              <w:top w:val="nil"/>
              <w:left w:val="single" w:sz="6" w:space="0" w:color="auto"/>
              <w:bottom w:val="single" w:sz="6" w:space="0" w:color="auto"/>
              <w:right w:val="single" w:sz="6" w:space="0" w:color="auto"/>
            </w:tcBorders>
          </w:tcPr>
          <w:p w14:paraId="4E3D2391"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153</w:t>
            </w:r>
          </w:p>
        </w:tc>
        <w:tc>
          <w:tcPr>
            <w:tcW w:w="950" w:type="dxa"/>
            <w:gridSpan w:val="2"/>
            <w:tcBorders>
              <w:top w:val="nil"/>
              <w:left w:val="single" w:sz="6" w:space="0" w:color="auto"/>
              <w:bottom w:val="single" w:sz="6" w:space="0" w:color="auto"/>
              <w:right w:val="single" w:sz="6" w:space="0" w:color="auto"/>
            </w:tcBorders>
          </w:tcPr>
          <w:p w14:paraId="1A8A613F"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28</w:t>
            </w:r>
          </w:p>
        </w:tc>
      </w:tr>
      <w:tr w:rsidR="00AD59FF" w:rsidRPr="00CF2780" w14:paraId="79C554ED" w14:textId="77777777" w:rsidTr="00B05F31">
        <w:tc>
          <w:tcPr>
            <w:tcW w:w="691" w:type="dxa"/>
            <w:tcBorders>
              <w:top w:val="single" w:sz="6" w:space="0" w:color="auto"/>
              <w:left w:val="single" w:sz="6" w:space="0" w:color="auto"/>
              <w:bottom w:val="nil"/>
              <w:right w:val="single" w:sz="6" w:space="0" w:color="auto"/>
            </w:tcBorders>
          </w:tcPr>
          <w:p w14:paraId="1D6A3FCF"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42.</w:t>
            </w:r>
          </w:p>
        </w:tc>
        <w:tc>
          <w:tcPr>
            <w:tcW w:w="5522" w:type="dxa"/>
            <w:gridSpan w:val="3"/>
            <w:tcBorders>
              <w:top w:val="single" w:sz="6" w:space="0" w:color="auto"/>
              <w:left w:val="single" w:sz="6" w:space="0" w:color="auto"/>
              <w:bottom w:val="nil"/>
              <w:right w:val="single" w:sz="6" w:space="0" w:color="auto"/>
            </w:tcBorders>
          </w:tcPr>
          <w:p w14:paraId="101EAFFC"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MA. DE LA LUZ FABIÁN MURRILLO</w:t>
            </w:r>
          </w:p>
        </w:tc>
        <w:tc>
          <w:tcPr>
            <w:tcW w:w="1080" w:type="dxa"/>
            <w:tcBorders>
              <w:top w:val="single" w:sz="6" w:space="0" w:color="auto"/>
              <w:left w:val="single" w:sz="6" w:space="0" w:color="auto"/>
              <w:bottom w:val="nil"/>
              <w:right w:val="single" w:sz="6" w:space="0" w:color="auto"/>
            </w:tcBorders>
          </w:tcPr>
          <w:p w14:paraId="04520A7A"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17</w:t>
            </w:r>
          </w:p>
        </w:tc>
        <w:tc>
          <w:tcPr>
            <w:tcW w:w="950" w:type="dxa"/>
            <w:gridSpan w:val="2"/>
            <w:tcBorders>
              <w:top w:val="single" w:sz="6" w:space="0" w:color="auto"/>
              <w:left w:val="single" w:sz="6" w:space="0" w:color="auto"/>
              <w:bottom w:val="nil"/>
              <w:right w:val="single" w:sz="6" w:space="0" w:color="auto"/>
            </w:tcBorders>
          </w:tcPr>
          <w:p w14:paraId="5A689913"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31</w:t>
            </w:r>
          </w:p>
        </w:tc>
      </w:tr>
      <w:tr w:rsidR="00AD59FF" w:rsidRPr="00CF2780" w14:paraId="47B987D8" w14:textId="77777777" w:rsidTr="00B05F31">
        <w:tc>
          <w:tcPr>
            <w:tcW w:w="691" w:type="dxa"/>
            <w:tcBorders>
              <w:top w:val="nil"/>
              <w:left w:val="single" w:sz="6" w:space="0" w:color="auto"/>
              <w:bottom w:val="single" w:sz="6" w:space="0" w:color="auto"/>
              <w:right w:val="single" w:sz="6" w:space="0" w:color="auto"/>
            </w:tcBorders>
          </w:tcPr>
          <w:p w14:paraId="2257FEF0"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5522" w:type="dxa"/>
            <w:gridSpan w:val="3"/>
            <w:tcBorders>
              <w:top w:val="nil"/>
              <w:left w:val="single" w:sz="6" w:space="0" w:color="auto"/>
              <w:bottom w:val="single" w:sz="6" w:space="0" w:color="auto"/>
              <w:right w:val="single" w:sz="6" w:space="0" w:color="auto"/>
            </w:tcBorders>
          </w:tcPr>
          <w:p w14:paraId="24DBF3F6"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1080" w:type="dxa"/>
            <w:tcBorders>
              <w:top w:val="nil"/>
              <w:left w:val="single" w:sz="6" w:space="0" w:color="auto"/>
              <w:bottom w:val="single" w:sz="6" w:space="0" w:color="auto"/>
              <w:right w:val="single" w:sz="6" w:space="0" w:color="auto"/>
            </w:tcBorders>
          </w:tcPr>
          <w:p w14:paraId="252AF5BE"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154</w:t>
            </w:r>
          </w:p>
        </w:tc>
        <w:tc>
          <w:tcPr>
            <w:tcW w:w="950" w:type="dxa"/>
            <w:gridSpan w:val="2"/>
            <w:tcBorders>
              <w:top w:val="nil"/>
              <w:left w:val="single" w:sz="6" w:space="0" w:color="auto"/>
              <w:bottom w:val="single" w:sz="6" w:space="0" w:color="auto"/>
              <w:right w:val="single" w:sz="6" w:space="0" w:color="auto"/>
            </w:tcBorders>
          </w:tcPr>
          <w:p w14:paraId="7C223789"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04</w:t>
            </w:r>
          </w:p>
        </w:tc>
      </w:tr>
      <w:tr w:rsidR="00AD59FF" w:rsidRPr="00CF2780" w14:paraId="207E0E72" w14:textId="77777777" w:rsidTr="00B05F31">
        <w:tc>
          <w:tcPr>
            <w:tcW w:w="691" w:type="dxa"/>
            <w:tcBorders>
              <w:top w:val="single" w:sz="6" w:space="0" w:color="auto"/>
              <w:left w:val="single" w:sz="6" w:space="0" w:color="auto"/>
              <w:bottom w:val="nil"/>
              <w:right w:val="single" w:sz="6" w:space="0" w:color="auto"/>
            </w:tcBorders>
          </w:tcPr>
          <w:p w14:paraId="339D33B9"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43.</w:t>
            </w:r>
          </w:p>
        </w:tc>
        <w:tc>
          <w:tcPr>
            <w:tcW w:w="5522" w:type="dxa"/>
            <w:gridSpan w:val="3"/>
            <w:tcBorders>
              <w:top w:val="single" w:sz="6" w:space="0" w:color="auto"/>
              <w:left w:val="single" w:sz="6" w:space="0" w:color="auto"/>
              <w:bottom w:val="nil"/>
              <w:right w:val="single" w:sz="6" w:space="0" w:color="auto"/>
            </w:tcBorders>
          </w:tcPr>
          <w:p w14:paraId="30D61A46"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INOCENCIA PAHUAMBA LECO</w:t>
            </w:r>
          </w:p>
        </w:tc>
        <w:tc>
          <w:tcPr>
            <w:tcW w:w="1080" w:type="dxa"/>
            <w:tcBorders>
              <w:top w:val="single" w:sz="6" w:space="0" w:color="auto"/>
              <w:left w:val="single" w:sz="6" w:space="0" w:color="auto"/>
              <w:bottom w:val="nil"/>
              <w:right w:val="single" w:sz="6" w:space="0" w:color="auto"/>
            </w:tcBorders>
          </w:tcPr>
          <w:p w14:paraId="20BAAFA5"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17</w:t>
            </w:r>
          </w:p>
        </w:tc>
        <w:tc>
          <w:tcPr>
            <w:tcW w:w="950" w:type="dxa"/>
            <w:gridSpan w:val="2"/>
            <w:tcBorders>
              <w:top w:val="single" w:sz="6" w:space="0" w:color="auto"/>
              <w:left w:val="single" w:sz="6" w:space="0" w:color="auto"/>
              <w:bottom w:val="nil"/>
              <w:right w:val="single" w:sz="6" w:space="0" w:color="auto"/>
            </w:tcBorders>
          </w:tcPr>
          <w:p w14:paraId="34F119F8"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35</w:t>
            </w:r>
          </w:p>
        </w:tc>
      </w:tr>
      <w:tr w:rsidR="00AD59FF" w:rsidRPr="00CF2780" w14:paraId="15EDF771" w14:textId="77777777" w:rsidTr="00B05F31">
        <w:tc>
          <w:tcPr>
            <w:tcW w:w="691" w:type="dxa"/>
            <w:tcBorders>
              <w:top w:val="nil"/>
              <w:left w:val="single" w:sz="6" w:space="0" w:color="auto"/>
              <w:bottom w:val="single" w:sz="6" w:space="0" w:color="auto"/>
              <w:right w:val="single" w:sz="6" w:space="0" w:color="auto"/>
            </w:tcBorders>
          </w:tcPr>
          <w:p w14:paraId="1EFCEC9B"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5522" w:type="dxa"/>
            <w:gridSpan w:val="3"/>
            <w:tcBorders>
              <w:top w:val="nil"/>
              <w:left w:val="single" w:sz="6" w:space="0" w:color="auto"/>
              <w:bottom w:val="single" w:sz="6" w:space="0" w:color="auto"/>
              <w:right w:val="single" w:sz="6" w:space="0" w:color="auto"/>
            </w:tcBorders>
          </w:tcPr>
          <w:p w14:paraId="680DAAD5"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1080" w:type="dxa"/>
            <w:tcBorders>
              <w:top w:val="nil"/>
              <w:left w:val="single" w:sz="6" w:space="0" w:color="auto"/>
              <w:bottom w:val="single" w:sz="6" w:space="0" w:color="auto"/>
              <w:right w:val="single" w:sz="6" w:space="0" w:color="auto"/>
            </w:tcBorders>
          </w:tcPr>
          <w:p w14:paraId="6F5F93E1"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154</w:t>
            </w:r>
          </w:p>
        </w:tc>
        <w:tc>
          <w:tcPr>
            <w:tcW w:w="950" w:type="dxa"/>
            <w:gridSpan w:val="2"/>
            <w:tcBorders>
              <w:top w:val="nil"/>
              <w:left w:val="single" w:sz="6" w:space="0" w:color="auto"/>
              <w:bottom w:val="single" w:sz="6" w:space="0" w:color="auto"/>
              <w:right w:val="single" w:sz="6" w:space="0" w:color="auto"/>
            </w:tcBorders>
          </w:tcPr>
          <w:p w14:paraId="40B90B29"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22</w:t>
            </w:r>
          </w:p>
        </w:tc>
      </w:tr>
      <w:tr w:rsidR="00AD59FF" w:rsidRPr="00CF2780" w14:paraId="613FF7E9" w14:textId="77777777" w:rsidTr="00B05F31">
        <w:tc>
          <w:tcPr>
            <w:tcW w:w="691" w:type="dxa"/>
            <w:tcBorders>
              <w:top w:val="single" w:sz="6" w:space="0" w:color="auto"/>
              <w:left w:val="single" w:sz="6" w:space="0" w:color="auto"/>
              <w:bottom w:val="nil"/>
              <w:right w:val="single" w:sz="6" w:space="0" w:color="auto"/>
            </w:tcBorders>
          </w:tcPr>
          <w:p w14:paraId="653A71D5"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44.</w:t>
            </w:r>
          </w:p>
        </w:tc>
        <w:tc>
          <w:tcPr>
            <w:tcW w:w="5522" w:type="dxa"/>
            <w:gridSpan w:val="3"/>
            <w:tcBorders>
              <w:top w:val="single" w:sz="6" w:space="0" w:color="auto"/>
              <w:left w:val="single" w:sz="6" w:space="0" w:color="auto"/>
              <w:bottom w:val="nil"/>
              <w:right w:val="single" w:sz="6" w:space="0" w:color="auto"/>
            </w:tcBorders>
          </w:tcPr>
          <w:p w14:paraId="0E2DD2AC"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SALVADOR GUERRERO SÁNCHEZ</w:t>
            </w:r>
          </w:p>
        </w:tc>
        <w:tc>
          <w:tcPr>
            <w:tcW w:w="1080" w:type="dxa"/>
            <w:tcBorders>
              <w:top w:val="single" w:sz="6" w:space="0" w:color="auto"/>
              <w:left w:val="single" w:sz="6" w:space="0" w:color="auto"/>
              <w:bottom w:val="nil"/>
              <w:right w:val="single" w:sz="6" w:space="0" w:color="auto"/>
            </w:tcBorders>
          </w:tcPr>
          <w:p w14:paraId="0EF7BF3E"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07</w:t>
            </w:r>
          </w:p>
        </w:tc>
        <w:tc>
          <w:tcPr>
            <w:tcW w:w="950" w:type="dxa"/>
            <w:gridSpan w:val="2"/>
            <w:tcBorders>
              <w:top w:val="single" w:sz="6" w:space="0" w:color="auto"/>
              <w:left w:val="single" w:sz="6" w:space="0" w:color="auto"/>
              <w:bottom w:val="nil"/>
              <w:right w:val="single" w:sz="6" w:space="0" w:color="auto"/>
            </w:tcBorders>
          </w:tcPr>
          <w:p w14:paraId="51706E30"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14</w:t>
            </w:r>
          </w:p>
        </w:tc>
      </w:tr>
      <w:tr w:rsidR="00AD59FF" w:rsidRPr="00CF2780" w14:paraId="71E37C4D" w14:textId="77777777" w:rsidTr="00B05F31">
        <w:trPr>
          <w:trHeight w:val="317"/>
        </w:trPr>
        <w:tc>
          <w:tcPr>
            <w:tcW w:w="691" w:type="dxa"/>
            <w:tcBorders>
              <w:top w:val="nil"/>
              <w:left w:val="single" w:sz="6" w:space="0" w:color="auto"/>
              <w:bottom w:val="single" w:sz="6" w:space="0" w:color="auto"/>
              <w:right w:val="single" w:sz="6" w:space="0" w:color="auto"/>
            </w:tcBorders>
          </w:tcPr>
          <w:p w14:paraId="6E1682A1"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5522" w:type="dxa"/>
            <w:gridSpan w:val="3"/>
            <w:tcBorders>
              <w:top w:val="nil"/>
              <w:left w:val="single" w:sz="6" w:space="0" w:color="auto"/>
              <w:bottom w:val="single" w:sz="6" w:space="0" w:color="auto"/>
              <w:right w:val="single" w:sz="6" w:space="0" w:color="auto"/>
            </w:tcBorders>
          </w:tcPr>
          <w:p w14:paraId="709E4449"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1080" w:type="dxa"/>
            <w:tcBorders>
              <w:top w:val="nil"/>
              <w:left w:val="single" w:sz="6" w:space="0" w:color="auto"/>
              <w:bottom w:val="single" w:sz="6" w:space="0" w:color="auto"/>
              <w:right w:val="single" w:sz="6" w:space="0" w:color="auto"/>
            </w:tcBorders>
          </w:tcPr>
          <w:p w14:paraId="02AE90A5"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158</w:t>
            </w:r>
          </w:p>
        </w:tc>
        <w:tc>
          <w:tcPr>
            <w:tcW w:w="950" w:type="dxa"/>
            <w:gridSpan w:val="2"/>
            <w:tcBorders>
              <w:top w:val="nil"/>
              <w:left w:val="single" w:sz="6" w:space="0" w:color="auto"/>
              <w:bottom w:val="single" w:sz="6" w:space="0" w:color="auto"/>
              <w:right w:val="single" w:sz="6" w:space="0" w:color="auto"/>
            </w:tcBorders>
          </w:tcPr>
          <w:p w14:paraId="7DEFC19C"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09</w:t>
            </w:r>
          </w:p>
        </w:tc>
      </w:tr>
      <w:tr w:rsidR="00AD59FF" w:rsidRPr="00CF2780" w14:paraId="5813EE46" w14:textId="77777777" w:rsidTr="00B05F31">
        <w:tc>
          <w:tcPr>
            <w:tcW w:w="691" w:type="dxa"/>
            <w:tcBorders>
              <w:top w:val="single" w:sz="6" w:space="0" w:color="auto"/>
              <w:left w:val="single" w:sz="6" w:space="0" w:color="auto"/>
              <w:bottom w:val="nil"/>
              <w:right w:val="single" w:sz="6" w:space="0" w:color="auto"/>
            </w:tcBorders>
          </w:tcPr>
          <w:p w14:paraId="3F2485D7"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45.</w:t>
            </w:r>
          </w:p>
        </w:tc>
        <w:tc>
          <w:tcPr>
            <w:tcW w:w="5522" w:type="dxa"/>
            <w:gridSpan w:val="3"/>
            <w:tcBorders>
              <w:top w:val="single" w:sz="6" w:space="0" w:color="auto"/>
              <w:left w:val="single" w:sz="6" w:space="0" w:color="auto"/>
              <w:bottom w:val="nil"/>
              <w:right w:val="single" w:sz="6" w:space="0" w:color="auto"/>
            </w:tcBorders>
          </w:tcPr>
          <w:p w14:paraId="772F6A49"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ROSALVA MADRIGAL AVILA</w:t>
            </w:r>
          </w:p>
        </w:tc>
        <w:tc>
          <w:tcPr>
            <w:tcW w:w="1080" w:type="dxa"/>
            <w:tcBorders>
              <w:top w:val="single" w:sz="6" w:space="0" w:color="auto"/>
              <w:left w:val="single" w:sz="6" w:space="0" w:color="auto"/>
              <w:bottom w:val="nil"/>
              <w:right w:val="single" w:sz="6" w:space="0" w:color="auto"/>
            </w:tcBorders>
          </w:tcPr>
          <w:p w14:paraId="710D62E9"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19</w:t>
            </w:r>
          </w:p>
        </w:tc>
        <w:tc>
          <w:tcPr>
            <w:tcW w:w="950" w:type="dxa"/>
            <w:gridSpan w:val="2"/>
            <w:tcBorders>
              <w:top w:val="single" w:sz="6" w:space="0" w:color="auto"/>
              <w:left w:val="single" w:sz="6" w:space="0" w:color="auto"/>
              <w:bottom w:val="nil"/>
              <w:right w:val="single" w:sz="6" w:space="0" w:color="auto"/>
            </w:tcBorders>
          </w:tcPr>
          <w:p w14:paraId="2998702B"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20</w:t>
            </w:r>
          </w:p>
        </w:tc>
      </w:tr>
      <w:tr w:rsidR="00AD59FF" w:rsidRPr="00CF2780" w14:paraId="2E6C69B7" w14:textId="77777777" w:rsidTr="00B05F31">
        <w:tc>
          <w:tcPr>
            <w:tcW w:w="691" w:type="dxa"/>
            <w:tcBorders>
              <w:top w:val="nil"/>
              <w:left w:val="single" w:sz="6" w:space="0" w:color="auto"/>
              <w:bottom w:val="single" w:sz="6" w:space="0" w:color="auto"/>
              <w:right w:val="single" w:sz="6" w:space="0" w:color="auto"/>
            </w:tcBorders>
          </w:tcPr>
          <w:p w14:paraId="0FA8C64E"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5522" w:type="dxa"/>
            <w:gridSpan w:val="3"/>
            <w:tcBorders>
              <w:top w:val="nil"/>
              <w:left w:val="single" w:sz="6" w:space="0" w:color="auto"/>
              <w:bottom w:val="single" w:sz="6" w:space="0" w:color="auto"/>
              <w:right w:val="single" w:sz="6" w:space="0" w:color="auto"/>
            </w:tcBorders>
          </w:tcPr>
          <w:p w14:paraId="58CC4DC4"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1080" w:type="dxa"/>
            <w:tcBorders>
              <w:top w:val="nil"/>
              <w:left w:val="single" w:sz="6" w:space="0" w:color="auto"/>
              <w:bottom w:val="single" w:sz="6" w:space="0" w:color="auto"/>
              <w:right w:val="single" w:sz="6" w:space="0" w:color="auto"/>
            </w:tcBorders>
          </w:tcPr>
          <w:p w14:paraId="30D03138"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183</w:t>
            </w:r>
          </w:p>
        </w:tc>
        <w:tc>
          <w:tcPr>
            <w:tcW w:w="950" w:type="dxa"/>
            <w:gridSpan w:val="2"/>
            <w:tcBorders>
              <w:top w:val="nil"/>
              <w:left w:val="single" w:sz="6" w:space="0" w:color="auto"/>
              <w:bottom w:val="single" w:sz="6" w:space="0" w:color="auto"/>
              <w:right w:val="single" w:sz="6" w:space="0" w:color="auto"/>
            </w:tcBorders>
          </w:tcPr>
          <w:p w14:paraId="3DFD0317"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08</w:t>
            </w:r>
          </w:p>
        </w:tc>
      </w:tr>
      <w:tr w:rsidR="00AD59FF" w:rsidRPr="00CF2780" w14:paraId="29493F28" w14:textId="77777777" w:rsidTr="00B05F31">
        <w:tc>
          <w:tcPr>
            <w:tcW w:w="691" w:type="dxa"/>
            <w:tcBorders>
              <w:top w:val="single" w:sz="6" w:space="0" w:color="auto"/>
              <w:left w:val="single" w:sz="6" w:space="0" w:color="auto"/>
              <w:bottom w:val="nil"/>
              <w:right w:val="single" w:sz="6" w:space="0" w:color="auto"/>
            </w:tcBorders>
          </w:tcPr>
          <w:p w14:paraId="10205B96"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46.</w:t>
            </w:r>
          </w:p>
        </w:tc>
        <w:tc>
          <w:tcPr>
            <w:tcW w:w="5522" w:type="dxa"/>
            <w:gridSpan w:val="3"/>
            <w:tcBorders>
              <w:top w:val="single" w:sz="6" w:space="0" w:color="auto"/>
              <w:left w:val="single" w:sz="6" w:space="0" w:color="auto"/>
              <w:bottom w:val="nil"/>
              <w:right w:val="single" w:sz="6" w:space="0" w:color="auto"/>
            </w:tcBorders>
          </w:tcPr>
          <w:p w14:paraId="4466559F" w14:textId="77777777" w:rsidR="00AD59FF" w:rsidRPr="00CF2780" w:rsidRDefault="00AD59FF" w:rsidP="00AD59FF">
            <w:pPr>
              <w:autoSpaceDE w:val="0"/>
              <w:autoSpaceDN w:val="0"/>
              <w:adjustRightInd w:val="0"/>
              <w:spacing w:after="0" w:line="240" w:lineRule="auto"/>
              <w:rPr>
                <w:rFonts w:ascii="Arial" w:eastAsia="Times New Roman" w:hAnsi="Arial" w:cs="Arial"/>
                <w:lang w:val="es-ES_tradnl" w:eastAsia="es-ES_tradnl"/>
              </w:rPr>
            </w:pPr>
            <w:r w:rsidRPr="00CF2780">
              <w:rPr>
                <w:rFonts w:ascii="Arial" w:eastAsia="Times New Roman" w:hAnsi="Arial" w:cs="Arial"/>
                <w:lang w:val="es-ES_tradnl" w:eastAsia="es-ES_tradnl"/>
              </w:rPr>
              <w:t>CECILIO NINIZ LECO</w:t>
            </w:r>
          </w:p>
        </w:tc>
        <w:tc>
          <w:tcPr>
            <w:tcW w:w="1080" w:type="dxa"/>
            <w:tcBorders>
              <w:top w:val="single" w:sz="6" w:space="0" w:color="auto"/>
              <w:left w:val="single" w:sz="6" w:space="0" w:color="auto"/>
              <w:bottom w:val="nil"/>
              <w:right w:val="single" w:sz="6" w:space="0" w:color="auto"/>
            </w:tcBorders>
          </w:tcPr>
          <w:p w14:paraId="24EF7D38"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19</w:t>
            </w:r>
          </w:p>
        </w:tc>
        <w:tc>
          <w:tcPr>
            <w:tcW w:w="950" w:type="dxa"/>
            <w:gridSpan w:val="2"/>
            <w:tcBorders>
              <w:top w:val="single" w:sz="6" w:space="0" w:color="auto"/>
              <w:left w:val="single" w:sz="6" w:space="0" w:color="auto"/>
              <w:bottom w:val="nil"/>
              <w:right w:val="single" w:sz="6" w:space="0" w:color="auto"/>
            </w:tcBorders>
          </w:tcPr>
          <w:p w14:paraId="12A399A0"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46</w:t>
            </w:r>
          </w:p>
        </w:tc>
      </w:tr>
      <w:tr w:rsidR="00AD59FF" w:rsidRPr="00CF2780" w14:paraId="2DAA19C5" w14:textId="77777777" w:rsidTr="00B05F31">
        <w:tc>
          <w:tcPr>
            <w:tcW w:w="691" w:type="dxa"/>
            <w:tcBorders>
              <w:top w:val="nil"/>
              <w:left w:val="single" w:sz="6" w:space="0" w:color="auto"/>
              <w:bottom w:val="single" w:sz="6" w:space="0" w:color="auto"/>
              <w:right w:val="single" w:sz="6" w:space="0" w:color="auto"/>
            </w:tcBorders>
          </w:tcPr>
          <w:p w14:paraId="7A08A590"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5522" w:type="dxa"/>
            <w:gridSpan w:val="3"/>
            <w:tcBorders>
              <w:top w:val="nil"/>
              <w:left w:val="single" w:sz="6" w:space="0" w:color="auto"/>
              <w:bottom w:val="single" w:sz="6" w:space="0" w:color="auto"/>
              <w:right w:val="single" w:sz="6" w:space="0" w:color="auto"/>
            </w:tcBorders>
          </w:tcPr>
          <w:p w14:paraId="38C482D1" w14:textId="77777777" w:rsidR="00AD59FF" w:rsidRPr="00CF2780" w:rsidRDefault="00AD59FF" w:rsidP="00AD59FF">
            <w:pPr>
              <w:autoSpaceDE w:val="0"/>
              <w:autoSpaceDN w:val="0"/>
              <w:adjustRightInd w:val="0"/>
              <w:spacing w:after="0" w:line="240" w:lineRule="auto"/>
              <w:rPr>
                <w:rFonts w:ascii="Arial" w:eastAsia="Times New Roman" w:hAnsi="Arial" w:cs="Arial"/>
                <w:lang w:val="es-ES" w:eastAsia="es-ES"/>
              </w:rPr>
            </w:pPr>
          </w:p>
        </w:tc>
        <w:tc>
          <w:tcPr>
            <w:tcW w:w="1080" w:type="dxa"/>
            <w:tcBorders>
              <w:top w:val="nil"/>
              <w:left w:val="single" w:sz="6" w:space="0" w:color="auto"/>
              <w:bottom w:val="single" w:sz="6" w:space="0" w:color="auto"/>
              <w:right w:val="single" w:sz="6" w:space="0" w:color="auto"/>
            </w:tcBorders>
          </w:tcPr>
          <w:p w14:paraId="65DB6F5B"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200</w:t>
            </w:r>
          </w:p>
        </w:tc>
        <w:tc>
          <w:tcPr>
            <w:tcW w:w="950" w:type="dxa"/>
            <w:gridSpan w:val="2"/>
            <w:tcBorders>
              <w:top w:val="nil"/>
              <w:left w:val="single" w:sz="6" w:space="0" w:color="auto"/>
              <w:bottom w:val="single" w:sz="6" w:space="0" w:color="auto"/>
              <w:right w:val="single" w:sz="6" w:space="0" w:color="auto"/>
            </w:tcBorders>
          </w:tcPr>
          <w:p w14:paraId="2E4BD153" w14:textId="77777777" w:rsidR="00AD59FF" w:rsidRPr="00CF2780" w:rsidRDefault="00AD59FF" w:rsidP="00AD59FF">
            <w:pPr>
              <w:autoSpaceDE w:val="0"/>
              <w:autoSpaceDN w:val="0"/>
              <w:adjustRightInd w:val="0"/>
              <w:spacing w:after="0" w:line="240" w:lineRule="auto"/>
              <w:jc w:val="center"/>
              <w:rPr>
                <w:rFonts w:ascii="Arial" w:eastAsia="Times New Roman" w:hAnsi="Arial" w:cs="Arial"/>
                <w:lang w:val="es-ES_tradnl" w:eastAsia="es-ES_tradnl"/>
              </w:rPr>
            </w:pPr>
            <w:r w:rsidRPr="00CF2780">
              <w:rPr>
                <w:rFonts w:ascii="Arial" w:eastAsia="Times New Roman" w:hAnsi="Arial" w:cs="Arial"/>
                <w:lang w:val="es-ES_tradnl" w:eastAsia="es-ES_tradnl"/>
              </w:rPr>
              <w:t>21</w:t>
            </w:r>
          </w:p>
        </w:tc>
      </w:tr>
      <w:tr w:rsidR="00AD59FF" w:rsidRPr="00CF2780" w14:paraId="79A15978" w14:textId="77777777" w:rsidTr="00B05F31">
        <w:tc>
          <w:tcPr>
            <w:tcW w:w="691" w:type="dxa"/>
            <w:tcBorders>
              <w:top w:val="nil"/>
              <w:left w:val="single" w:sz="6" w:space="0" w:color="auto"/>
              <w:bottom w:val="single" w:sz="6" w:space="0" w:color="auto"/>
              <w:right w:val="single" w:sz="6" w:space="0" w:color="auto"/>
            </w:tcBorders>
          </w:tcPr>
          <w:p w14:paraId="71AB7261" w14:textId="77777777" w:rsidR="00AD59FF" w:rsidRPr="00CF2780" w:rsidRDefault="00AD59FF" w:rsidP="00AD59FF">
            <w:pPr>
              <w:widowControl w:val="0"/>
              <w:autoSpaceDE w:val="0"/>
              <w:autoSpaceDN w:val="0"/>
              <w:adjustRightInd w:val="0"/>
              <w:spacing w:after="0" w:line="240" w:lineRule="auto"/>
              <w:rPr>
                <w:rFonts w:ascii="Arial" w:eastAsia="Times New Roman" w:hAnsi="Arial" w:cs="Arial"/>
                <w:lang w:val="es-ES" w:eastAsia="es-ES"/>
              </w:rPr>
            </w:pPr>
            <w:r w:rsidRPr="00CF2780">
              <w:rPr>
                <w:rFonts w:ascii="Arial" w:eastAsia="Times New Roman" w:hAnsi="Arial" w:cs="Arial"/>
                <w:lang w:val="es-ES" w:eastAsia="es-ES"/>
              </w:rPr>
              <w:t>47.</w:t>
            </w:r>
          </w:p>
        </w:tc>
        <w:tc>
          <w:tcPr>
            <w:tcW w:w="5522" w:type="dxa"/>
            <w:gridSpan w:val="3"/>
            <w:tcBorders>
              <w:top w:val="nil"/>
              <w:left w:val="single" w:sz="6" w:space="0" w:color="auto"/>
              <w:bottom w:val="single" w:sz="6" w:space="0" w:color="auto"/>
              <w:right w:val="single" w:sz="6" w:space="0" w:color="auto"/>
            </w:tcBorders>
          </w:tcPr>
          <w:p w14:paraId="594FEEF2"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_tradnl" w:eastAsia="es-ES_tradnl"/>
              </w:rPr>
              <w:t>JOSEFINA JERÓNIMO BACILIO</w:t>
            </w:r>
          </w:p>
        </w:tc>
        <w:tc>
          <w:tcPr>
            <w:tcW w:w="1080" w:type="dxa"/>
            <w:tcBorders>
              <w:top w:val="nil"/>
              <w:left w:val="single" w:sz="6" w:space="0" w:color="auto"/>
              <w:bottom w:val="single" w:sz="6" w:space="0" w:color="auto"/>
              <w:right w:val="single" w:sz="6" w:space="0" w:color="auto"/>
            </w:tcBorders>
          </w:tcPr>
          <w:p w14:paraId="6A8E8F8E"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19</w:t>
            </w:r>
          </w:p>
          <w:p w14:paraId="7A262C06"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182</w:t>
            </w:r>
          </w:p>
        </w:tc>
        <w:tc>
          <w:tcPr>
            <w:tcW w:w="950" w:type="dxa"/>
            <w:gridSpan w:val="2"/>
            <w:tcBorders>
              <w:top w:val="nil"/>
              <w:left w:val="single" w:sz="6" w:space="0" w:color="auto"/>
              <w:bottom w:val="single" w:sz="6" w:space="0" w:color="auto"/>
              <w:right w:val="single" w:sz="6" w:space="0" w:color="auto"/>
            </w:tcBorders>
          </w:tcPr>
          <w:p w14:paraId="2573E289"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16</w:t>
            </w:r>
          </w:p>
          <w:p w14:paraId="69C65B16"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08</w:t>
            </w:r>
          </w:p>
        </w:tc>
      </w:tr>
    </w:tbl>
    <w:p w14:paraId="3DF241D0" w14:textId="77777777" w:rsidR="00AD59FF" w:rsidRPr="00CF2780" w:rsidRDefault="00AD59FF" w:rsidP="00AD59FF">
      <w:pPr>
        <w:spacing w:after="0" w:line="360" w:lineRule="auto"/>
        <w:ind w:firstLine="709"/>
        <w:jc w:val="both"/>
        <w:rPr>
          <w:rFonts w:ascii="Arial" w:eastAsia="Times New Roman" w:hAnsi="Arial" w:cs="Arial"/>
          <w:sz w:val="28"/>
          <w:szCs w:val="24"/>
          <w:u w:val="single"/>
          <w:lang w:val="es-ES" w:eastAsia="es-ES"/>
        </w:rPr>
      </w:pPr>
    </w:p>
    <w:p w14:paraId="11D38DB9"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lastRenderedPageBreak/>
        <w:t>Finalmente, respecto de ochenta y cuatro ciudadanos también se consideró cumplido el requisito por la circunstancia de encontrarse tanto su nombre como su firma autógrafos en las listas correspondientes, a pesar de no figurar en el apartado relativo del escrito de demanda. Los ciudadanos en cuestión se enlistan en el cuadro siguiente:</w:t>
      </w:r>
    </w:p>
    <w:p w14:paraId="7BF0BEC8" w14:textId="77777777" w:rsidR="00AD59FF" w:rsidRPr="00CF2780" w:rsidRDefault="00AD59FF" w:rsidP="00AD59FF">
      <w:pPr>
        <w:spacing w:after="0" w:line="360" w:lineRule="auto"/>
        <w:ind w:firstLine="709"/>
        <w:jc w:val="both"/>
        <w:rPr>
          <w:rFonts w:ascii="Arial" w:eastAsia="Times New Roman" w:hAnsi="Arial" w:cs="Arial"/>
          <w:sz w:val="28"/>
          <w:szCs w:val="24"/>
          <w:u w:val="single"/>
          <w:lang w:val="es-ES" w:eastAsia="es-ES"/>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528"/>
        <w:gridCol w:w="993"/>
        <w:gridCol w:w="992"/>
      </w:tblGrid>
      <w:tr w:rsidR="00AD59FF" w:rsidRPr="00CF2780" w14:paraId="21E1B9E1" w14:textId="77777777" w:rsidTr="00B05F31">
        <w:trPr>
          <w:tblHeader/>
        </w:trPr>
        <w:tc>
          <w:tcPr>
            <w:tcW w:w="709" w:type="dxa"/>
            <w:shd w:val="clear" w:color="auto" w:fill="BFBFBF"/>
          </w:tcPr>
          <w:p w14:paraId="5DD3F0EC" w14:textId="77777777" w:rsidR="00AD59FF" w:rsidRPr="00CF2780" w:rsidRDefault="00AD59FF" w:rsidP="00AD59FF">
            <w:pPr>
              <w:spacing w:after="0" w:line="240" w:lineRule="auto"/>
              <w:jc w:val="center"/>
              <w:rPr>
                <w:rFonts w:ascii="Arial" w:eastAsia="Times New Roman" w:hAnsi="Arial" w:cs="Arial"/>
                <w:b/>
                <w:lang w:val="es-ES" w:eastAsia="es-ES"/>
              </w:rPr>
            </w:pPr>
            <w:r w:rsidRPr="00CF2780">
              <w:rPr>
                <w:rFonts w:ascii="Arial" w:eastAsia="Times New Roman" w:hAnsi="Arial" w:cs="Arial"/>
                <w:b/>
                <w:lang w:val="es-ES" w:eastAsia="es-ES"/>
              </w:rPr>
              <w:t>No.</w:t>
            </w:r>
          </w:p>
        </w:tc>
        <w:tc>
          <w:tcPr>
            <w:tcW w:w="5528" w:type="dxa"/>
            <w:shd w:val="clear" w:color="auto" w:fill="BFBFBF"/>
          </w:tcPr>
          <w:p w14:paraId="26CE67BA" w14:textId="77777777" w:rsidR="00AD59FF" w:rsidRPr="00CF2780" w:rsidRDefault="00AD59FF" w:rsidP="00AD59FF">
            <w:pPr>
              <w:spacing w:after="0" w:line="240" w:lineRule="auto"/>
              <w:jc w:val="center"/>
              <w:rPr>
                <w:rFonts w:ascii="Arial" w:eastAsia="Times New Roman" w:hAnsi="Arial" w:cs="Arial"/>
                <w:b/>
                <w:lang w:val="es-ES" w:eastAsia="es-ES"/>
              </w:rPr>
            </w:pPr>
            <w:r w:rsidRPr="00CF2780">
              <w:rPr>
                <w:rFonts w:ascii="Arial" w:eastAsia="Times New Roman" w:hAnsi="Arial" w:cs="Arial"/>
                <w:b/>
                <w:lang w:val="es-ES" w:eastAsia="es-ES"/>
              </w:rPr>
              <w:t>PERSONA</w:t>
            </w:r>
          </w:p>
        </w:tc>
        <w:tc>
          <w:tcPr>
            <w:tcW w:w="993" w:type="dxa"/>
            <w:shd w:val="clear" w:color="auto" w:fill="BFBFBF"/>
          </w:tcPr>
          <w:p w14:paraId="576E03D0" w14:textId="77777777" w:rsidR="00AD59FF" w:rsidRPr="00CF2780" w:rsidRDefault="00AD59FF" w:rsidP="00AD59FF">
            <w:pPr>
              <w:spacing w:after="0" w:line="240" w:lineRule="auto"/>
              <w:jc w:val="center"/>
              <w:rPr>
                <w:rFonts w:ascii="Arial" w:eastAsia="Times New Roman" w:hAnsi="Arial" w:cs="Arial"/>
                <w:b/>
                <w:lang w:val="es-ES" w:eastAsia="es-ES"/>
              </w:rPr>
            </w:pPr>
            <w:r w:rsidRPr="00CF2780">
              <w:rPr>
                <w:rFonts w:ascii="Arial" w:eastAsia="Times New Roman" w:hAnsi="Arial" w:cs="Arial"/>
                <w:b/>
                <w:lang w:val="es-ES" w:eastAsia="es-ES"/>
              </w:rPr>
              <w:t>FOJA</w:t>
            </w:r>
            <w:r w:rsidRPr="00CF2780">
              <w:rPr>
                <w:rFonts w:ascii="Arial" w:eastAsia="Times New Roman" w:hAnsi="Arial" w:cs="Arial"/>
                <w:b/>
                <w:vertAlign w:val="superscript"/>
                <w:lang w:val="es-ES" w:eastAsia="es-ES"/>
              </w:rPr>
              <w:footnoteReference w:id="4"/>
            </w:r>
          </w:p>
        </w:tc>
        <w:tc>
          <w:tcPr>
            <w:tcW w:w="992" w:type="dxa"/>
            <w:shd w:val="clear" w:color="auto" w:fill="BFBFBF"/>
          </w:tcPr>
          <w:p w14:paraId="32953A13" w14:textId="77777777" w:rsidR="00AD59FF" w:rsidRPr="00CF2780" w:rsidRDefault="00AD59FF" w:rsidP="00AD59FF">
            <w:pPr>
              <w:spacing w:after="0" w:line="240" w:lineRule="auto"/>
              <w:jc w:val="center"/>
              <w:rPr>
                <w:rFonts w:ascii="Arial" w:eastAsia="Times New Roman" w:hAnsi="Arial" w:cs="Arial"/>
                <w:b/>
                <w:lang w:val="es-ES" w:eastAsia="es-ES"/>
              </w:rPr>
            </w:pPr>
            <w:r w:rsidRPr="00CF2780">
              <w:rPr>
                <w:rFonts w:ascii="Arial" w:eastAsia="Times New Roman" w:hAnsi="Arial" w:cs="Arial"/>
                <w:b/>
                <w:lang w:val="es-ES" w:eastAsia="es-ES"/>
              </w:rPr>
              <w:t>LÍNEA</w:t>
            </w:r>
            <w:r w:rsidRPr="00CF2780">
              <w:rPr>
                <w:rFonts w:ascii="Arial" w:eastAsia="Times New Roman" w:hAnsi="Arial" w:cs="Arial"/>
                <w:b/>
                <w:vertAlign w:val="superscript"/>
                <w:lang w:val="es-ES" w:eastAsia="es-ES"/>
              </w:rPr>
              <w:footnoteReference w:id="5"/>
            </w:r>
          </w:p>
        </w:tc>
      </w:tr>
      <w:tr w:rsidR="00AD59FF" w:rsidRPr="00CF2780" w14:paraId="164B0125" w14:textId="77777777" w:rsidTr="00B05F31">
        <w:tc>
          <w:tcPr>
            <w:tcW w:w="709" w:type="dxa"/>
          </w:tcPr>
          <w:p w14:paraId="6BA4B172"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1.</w:t>
            </w:r>
          </w:p>
        </w:tc>
        <w:tc>
          <w:tcPr>
            <w:tcW w:w="5528" w:type="dxa"/>
          </w:tcPr>
          <w:p w14:paraId="283851E9"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JUAN SEBASTIAN</w:t>
            </w:r>
          </w:p>
        </w:tc>
        <w:tc>
          <w:tcPr>
            <w:tcW w:w="993" w:type="dxa"/>
          </w:tcPr>
          <w:p w14:paraId="13AB15EA"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25746350"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96</w:t>
            </w:r>
          </w:p>
        </w:tc>
        <w:tc>
          <w:tcPr>
            <w:tcW w:w="992" w:type="dxa"/>
          </w:tcPr>
          <w:p w14:paraId="7D12BB77"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52AEC867"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03</w:t>
            </w:r>
          </w:p>
        </w:tc>
      </w:tr>
      <w:tr w:rsidR="00AD59FF" w:rsidRPr="00CF2780" w14:paraId="18CDD348" w14:textId="77777777" w:rsidTr="00B05F31">
        <w:tc>
          <w:tcPr>
            <w:tcW w:w="709" w:type="dxa"/>
          </w:tcPr>
          <w:p w14:paraId="5677A73B"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2.</w:t>
            </w:r>
          </w:p>
        </w:tc>
        <w:tc>
          <w:tcPr>
            <w:tcW w:w="5528" w:type="dxa"/>
          </w:tcPr>
          <w:p w14:paraId="47576484"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LUIS JERÓNIMO</w:t>
            </w:r>
          </w:p>
        </w:tc>
        <w:tc>
          <w:tcPr>
            <w:tcW w:w="993" w:type="dxa"/>
          </w:tcPr>
          <w:p w14:paraId="7EB7ECDF"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71072DCE"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96</w:t>
            </w:r>
          </w:p>
        </w:tc>
        <w:tc>
          <w:tcPr>
            <w:tcW w:w="992" w:type="dxa"/>
          </w:tcPr>
          <w:p w14:paraId="3B752F59"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19A63862"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09</w:t>
            </w:r>
          </w:p>
        </w:tc>
      </w:tr>
      <w:tr w:rsidR="00AD59FF" w:rsidRPr="00CF2780" w14:paraId="5252E035" w14:textId="77777777" w:rsidTr="00B05F31">
        <w:tc>
          <w:tcPr>
            <w:tcW w:w="709" w:type="dxa"/>
          </w:tcPr>
          <w:p w14:paraId="2B2F362B"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3.</w:t>
            </w:r>
          </w:p>
        </w:tc>
        <w:tc>
          <w:tcPr>
            <w:tcW w:w="5528" w:type="dxa"/>
          </w:tcPr>
          <w:p w14:paraId="4D3DCE43"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SANTIAGO SÁNCHEZ VELÁZQUEZ</w:t>
            </w:r>
          </w:p>
        </w:tc>
        <w:tc>
          <w:tcPr>
            <w:tcW w:w="993" w:type="dxa"/>
          </w:tcPr>
          <w:p w14:paraId="571EB47C"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4FFED236"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96</w:t>
            </w:r>
          </w:p>
        </w:tc>
        <w:tc>
          <w:tcPr>
            <w:tcW w:w="992" w:type="dxa"/>
          </w:tcPr>
          <w:p w14:paraId="7DD3414C"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2C7CFF17"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10</w:t>
            </w:r>
          </w:p>
        </w:tc>
      </w:tr>
      <w:tr w:rsidR="00AD59FF" w:rsidRPr="00CF2780" w14:paraId="294F21E3" w14:textId="77777777" w:rsidTr="00B05F31">
        <w:tc>
          <w:tcPr>
            <w:tcW w:w="709" w:type="dxa"/>
          </w:tcPr>
          <w:p w14:paraId="50703CB3"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4.</w:t>
            </w:r>
          </w:p>
        </w:tc>
        <w:tc>
          <w:tcPr>
            <w:tcW w:w="5528" w:type="dxa"/>
          </w:tcPr>
          <w:p w14:paraId="7CD58AFF"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ROGELIO JIMÉNEZ BASILIO</w:t>
            </w:r>
          </w:p>
        </w:tc>
        <w:tc>
          <w:tcPr>
            <w:tcW w:w="993" w:type="dxa"/>
          </w:tcPr>
          <w:p w14:paraId="27424F06"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35DE72B8"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96</w:t>
            </w:r>
          </w:p>
        </w:tc>
        <w:tc>
          <w:tcPr>
            <w:tcW w:w="992" w:type="dxa"/>
          </w:tcPr>
          <w:p w14:paraId="31E3D902"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0D08E53E"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11</w:t>
            </w:r>
          </w:p>
        </w:tc>
      </w:tr>
      <w:tr w:rsidR="00AD59FF" w:rsidRPr="00CF2780" w14:paraId="5D38D2DC" w14:textId="77777777" w:rsidTr="00B05F31">
        <w:tc>
          <w:tcPr>
            <w:tcW w:w="709" w:type="dxa"/>
          </w:tcPr>
          <w:p w14:paraId="5BD3DB4D"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5.</w:t>
            </w:r>
          </w:p>
        </w:tc>
        <w:tc>
          <w:tcPr>
            <w:tcW w:w="5528" w:type="dxa"/>
          </w:tcPr>
          <w:p w14:paraId="69911101"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ISABEL ROMERO CHÁVES</w:t>
            </w:r>
          </w:p>
        </w:tc>
        <w:tc>
          <w:tcPr>
            <w:tcW w:w="993" w:type="dxa"/>
          </w:tcPr>
          <w:p w14:paraId="7D46531D"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0DEF7421"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102</w:t>
            </w:r>
          </w:p>
        </w:tc>
        <w:tc>
          <w:tcPr>
            <w:tcW w:w="992" w:type="dxa"/>
          </w:tcPr>
          <w:p w14:paraId="3646BB61"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528F4437"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03</w:t>
            </w:r>
          </w:p>
        </w:tc>
      </w:tr>
      <w:tr w:rsidR="00AD59FF" w:rsidRPr="00CF2780" w14:paraId="21403268" w14:textId="77777777" w:rsidTr="00B05F31">
        <w:tc>
          <w:tcPr>
            <w:tcW w:w="709" w:type="dxa"/>
          </w:tcPr>
          <w:p w14:paraId="67FE3CCD"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6.</w:t>
            </w:r>
          </w:p>
        </w:tc>
        <w:tc>
          <w:tcPr>
            <w:tcW w:w="5528" w:type="dxa"/>
          </w:tcPr>
          <w:p w14:paraId="1F6F807B"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JORGE FABIÁN GARCÍA</w:t>
            </w:r>
          </w:p>
        </w:tc>
        <w:tc>
          <w:tcPr>
            <w:tcW w:w="993" w:type="dxa"/>
          </w:tcPr>
          <w:p w14:paraId="13A0B9C4"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180347D5"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104</w:t>
            </w:r>
          </w:p>
        </w:tc>
        <w:tc>
          <w:tcPr>
            <w:tcW w:w="992" w:type="dxa"/>
          </w:tcPr>
          <w:p w14:paraId="50E76FA0"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59B21E45"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03</w:t>
            </w:r>
          </w:p>
        </w:tc>
      </w:tr>
      <w:tr w:rsidR="00AD59FF" w:rsidRPr="00CF2780" w14:paraId="1608DD7F" w14:textId="77777777" w:rsidTr="00B05F31">
        <w:tc>
          <w:tcPr>
            <w:tcW w:w="709" w:type="dxa"/>
          </w:tcPr>
          <w:p w14:paraId="36DA847E"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7.</w:t>
            </w:r>
          </w:p>
        </w:tc>
        <w:tc>
          <w:tcPr>
            <w:tcW w:w="5528" w:type="dxa"/>
          </w:tcPr>
          <w:p w14:paraId="78199EE6"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SALVADOR BACILIO HERRERA</w:t>
            </w:r>
          </w:p>
        </w:tc>
        <w:tc>
          <w:tcPr>
            <w:tcW w:w="993" w:type="dxa"/>
          </w:tcPr>
          <w:p w14:paraId="09F1E88D"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20731A9A"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122</w:t>
            </w:r>
          </w:p>
        </w:tc>
        <w:tc>
          <w:tcPr>
            <w:tcW w:w="992" w:type="dxa"/>
          </w:tcPr>
          <w:p w14:paraId="7AD05451"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253FA77B"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17</w:t>
            </w:r>
          </w:p>
        </w:tc>
      </w:tr>
      <w:tr w:rsidR="00AD59FF" w:rsidRPr="00CF2780" w14:paraId="53FF9528" w14:textId="77777777" w:rsidTr="00B05F31">
        <w:tc>
          <w:tcPr>
            <w:tcW w:w="709" w:type="dxa"/>
          </w:tcPr>
          <w:p w14:paraId="6D26135F"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8.</w:t>
            </w:r>
          </w:p>
        </w:tc>
        <w:tc>
          <w:tcPr>
            <w:tcW w:w="5528" w:type="dxa"/>
          </w:tcPr>
          <w:p w14:paraId="68C2133A"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ANA DELIA FABIÁN ROBLES</w:t>
            </w:r>
          </w:p>
        </w:tc>
        <w:tc>
          <w:tcPr>
            <w:tcW w:w="993" w:type="dxa"/>
          </w:tcPr>
          <w:p w14:paraId="786891AD"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5EA9927B"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122</w:t>
            </w:r>
          </w:p>
        </w:tc>
        <w:tc>
          <w:tcPr>
            <w:tcW w:w="992" w:type="dxa"/>
          </w:tcPr>
          <w:p w14:paraId="2A65639C"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0EAB12DE"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18</w:t>
            </w:r>
          </w:p>
        </w:tc>
      </w:tr>
      <w:tr w:rsidR="00AD59FF" w:rsidRPr="00CF2780" w14:paraId="409B4C80" w14:textId="77777777" w:rsidTr="00B05F31">
        <w:tc>
          <w:tcPr>
            <w:tcW w:w="709" w:type="dxa"/>
          </w:tcPr>
          <w:p w14:paraId="0F09F674"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9.</w:t>
            </w:r>
          </w:p>
        </w:tc>
        <w:tc>
          <w:tcPr>
            <w:tcW w:w="5528" w:type="dxa"/>
          </w:tcPr>
          <w:p w14:paraId="0C40683B"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LÓPEZ MAGAÑA</w:t>
            </w:r>
          </w:p>
        </w:tc>
        <w:tc>
          <w:tcPr>
            <w:tcW w:w="993" w:type="dxa"/>
          </w:tcPr>
          <w:p w14:paraId="1DEB59BB"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68DE1A8C"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123</w:t>
            </w:r>
          </w:p>
        </w:tc>
        <w:tc>
          <w:tcPr>
            <w:tcW w:w="992" w:type="dxa"/>
          </w:tcPr>
          <w:p w14:paraId="2BAD4EDE"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32B7649B"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21</w:t>
            </w:r>
          </w:p>
        </w:tc>
      </w:tr>
      <w:tr w:rsidR="00AD59FF" w:rsidRPr="00CF2780" w14:paraId="133B3FC3" w14:textId="77777777" w:rsidTr="00B05F31">
        <w:tc>
          <w:tcPr>
            <w:tcW w:w="709" w:type="dxa"/>
          </w:tcPr>
          <w:p w14:paraId="20D29B33"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10.</w:t>
            </w:r>
          </w:p>
        </w:tc>
        <w:tc>
          <w:tcPr>
            <w:tcW w:w="5528" w:type="dxa"/>
          </w:tcPr>
          <w:p w14:paraId="4A98BF0E"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ANTONIO V</w:t>
            </w:r>
          </w:p>
        </w:tc>
        <w:tc>
          <w:tcPr>
            <w:tcW w:w="993" w:type="dxa"/>
          </w:tcPr>
          <w:p w14:paraId="60E65985"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00053091"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124</w:t>
            </w:r>
          </w:p>
        </w:tc>
        <w:tc>
          <w:tcPr>
            <w:tcW w:w="992" w:type="dxa"/>
          </w:tcPr>
          <w:p w14:paraId="6224D7B5"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3A741AF7"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22</w:t>
            </w:r>
          </w:p>
        </w:tc>
      </w:tr>
      <w:tr w:rsidR="00AD59FF" w:rsidRPr="00CF2780" w14:paraId="08703B9C" w14:textId="77777777" w:rsidTr="00B05F31">
        <w:tc>
          <w:tcPr>
            <w:tcW w:w="709" w:type="dxa"/>
          </w:tcPr>
          <w:p w14:paraId="6309E0FF"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11.</w:t>
            </w:r>
          </w:p>
        </w:tc>
        <w:tc>
          <w:tcPr>
            <w:tcW w:w="5528" w:type="dxa"/>
          </w:tcPr>
          <w:p w14:paraId="0D098995"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 xml:space="preserve">ROGELIO JERÓNIMO GUERRERO </w:t>
            </w:r>
          </w:p>
        </w:tc>
        <w:tc>
          <w:tcPr>
            <w:tcW w:w="993" w:type="dxa"/>
          </w:tcPr>
          <w:p w14:paraId="41EFBEAB"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25728009"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128</w:t>
            </w:r>
          </w:p>
        </w:tc>
        <w:tc>
          <w:tcPr>
            <w:tcW w:w="992" w:type="dxa"/>
          </w:tcPr>
          <w:p w14:paraId="34A6B1E9"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7A040CE9"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09</w:t>
            </w:r>
          </w:p>
        </w:tc>
      </w:tr>
      <w:tr w:rsidR="00AD59FF" w:rsidRPr="00CF2780" w14:paraId="5E6B41D7" w14:textId="77777777" w:rsidTr="00B05F31">
        <w:tc>
          <w:tcPr>
            <w:tcW w:w="709" w:type="dxa"/>
          </w:tcPr>
          <w:p w14:paraId="54AB97FA"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12.</w:t>
            </w:r>
          </w:p>
        </w:tc>
        <w:tc>
          <w:tcPr>
            <w:tcW w:w="5528" w:type="dxa"/>
          </w:tcPr>
          <w:p w14:paraId="55F23686"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GABRIELA RAFAEL BAUTISTA</w:t>
            </w:r>
          </w:p>
        </w:tc>
        <w:tc>
          <w:tcPr>
            <w:tcW w:w="993" w:type="dxa"/>
          </w:tcPr>
          <w:p w14:paraId="48229150"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712D93B5"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128</w:t>
            </w:r>
          </w:p>
        </w:tc>
        <w:tc>
          <w:tcPr>
            <w:tcW w:w="992" w:type="dxa"/>
          </w:tcPr>
          <w:p w14:paraId="7C888B4C"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1D54EF41"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10</w:t>
            </w:r>
          </w:p>
        </w:tc>
      </w:tr>
      <w:tr w:rsidR="00AD59FF" w:rsidRPr="00CF2780" w14:paraId="28023902" w14:textId="77777777" w:rsidTr="00B05F31">
        <w:tc>
          <w:tcPr>
            <w:tcW w:w="709" w:type="dxa"/>
          </w:tcPr>
          <w:p w14:paraId="53C9BBE8"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13.</w:t>
            </w:r>
          </w:p>
        </w:tc>
        <w:tc>
          <w:tcPr>
            <w:tcW w:w="5528" w:type="dxa"/>
          </w:tcPr>
          <w:p w14:paraId="7D3A9536"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SILVIA SILVA HERNÁNDEZ</w:t>
            </w:r>
          </w:p>
        </w:tc>
        <w:tc>
          <w:tcPr>
            <w:tcW w:w="993" w:type="dxa"/>
          </w:tcPr>
          <w:p w14:paraId="4B7B21F7"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4DD2E98E"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128</w:t>
            </w:r>
          </w:p>
        </w:tc>
        <w:tc>
          <w:tcPr>
            <w:tcW w:w="992" w:type="dxa"/>
          </w:tcPr>
          <w:p w14:paraId="2F56CAD9"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2FB0ADA4"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13</w:t>
            </w:r>
          </w:p>
        </w:tc>
      </w:tr>
      <w:tr w:rsidR="00AD59FF" w:rsidRPr="00CF2780" w14:paraId="42F30EE3" w14:textId="77777777" w:rsidTr="00B05F31">
        <w:tc>
          <w:tcPr>
            <w:tcW w:w="709" w:type="dxa"/>
          </w:tcPr>
          <w:p w14:paraId="7851BFB0"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14.</w:t>
            </w:r>
          </w:p>
        </w:tc>
        <w:tc>
          <w:tcPr>
            <w:tcW w:w="5528" w:type="dxa"/>
          </w:tcPr>
          <w:p w14:paraId="7333CB74"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JUAN CARLOS ADAME SILVA</w:t>
            </w:r>
          </w:p>
        </w:tc>
        <w:tc>
          <w:tcPr>
            <w:tcW w:w="993" w:type="dxa"/>
          </w:tcPr>
          <w:p w14:paraId="25111F8C"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1CF401D2"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128</w:t>
            </w:r>
          </w:p>
        </w:tc>
        <w:tc>
          <w:tcPr>
            <w:tcW w:w="992" w:type="dxa"/>
          </w:tcPr>
          <w:p w14:paraId="57F6A576"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2C368758"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14</w:t>
            </w:r>
          </w:p>
        </w:tc>
      </w:tr>
      <w:tr w:rsidR="00AD59FF" w:rsidRPr="00CF2780" w14:paraId="3892557C" w14:textId="77777777" w:rsidTr="00B05F31">
        <w:tc>
          <w:tcPr>
            <w:tcW w:w="709" w:type="dxa"/>
          </w:tcPr>
          <w:p w14:paraId="018F0518"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15.</w:t>
            </w:r>
          </w:p>
        </w:tc>
        <w:tc>
          <w:tcPr>
            <w:tcW w:w="5528" w:type="dxa"/>
          </w:tcPr>
          <w:p w14:paraId="66C30909"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JESÚS MORALES FABIÁN</w:t>
            </w:r>
          </w:p>
        </w:tc>
        <w:tc>
          <w:tcPr>
            <w:tcW w:w="993" w:type="dxa"/>
          </w:tcPr>
          <w:p w14:paraId="633E9BA0"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73E52A01"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lastRenderedPageBreak/>
              <w:t>128</w:t>
            </w:r>
          </w:p>
        </w:tc>
        <w:tc>
          <w:tcPr>
            <w:tcW w:w="992" w:type="dxa"/>
          </w:tcPr>
          <w:p w14:paraId="3989633F"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lastRenderedPageBreak/>
              <w:t>0</w:t>
            </w:r>
          </w:p>
          <w:p w14:paraId="66B13D87"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lastRenderedPageBreak/>
              <w:t>17</w:t>
            </w:r>
          </w:p>
        </w:tc>
      </w:tr>
      <w:tr w:rsidR="00AD59FF" w:rsidRPr="00CF2780" w14:paraId="219E15ED" w14:textId="77777777" w:rsidTr="00B05F31">
        <w:tc>
          <w:tcPr>
            <w:tcW w:w="709" w:type="dxa"/>
          </w:tcPr>
          <w:p w14:paraId="60E65009"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lastRenderedPageBreak/>
              <w:t>16.</w:t>
            </w:r>
          </w:p>
        </w:tc>
        <w:tc>
          <w:tcPr>
            <w:tcW w:w="5528" w:type="dxa"/>
          </w:tcPr>
          <w:p w14:paraId="7E9948E0"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 xml:space="preserve">(ILEGIBLE) LÓPEZ </w:t>
            </w:r>
          </w:p>
        </w:tc>
        <w:tc>
          <w:tcPr>
            <w:tcW w:w="993" w:type="dxa"/>
          </w:tcPr>
          <w:p w14:paraId="598DB0E2"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2BC7C384"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129</w:t>
            </w:r>
          </w:p>
        </w:tc>
        <w:tc>
          <w:tcPr>
            <w:tcW w:w="992" w:type="dxa"/>
          </w:tcPr>
          <w:p w14:paraId="29A46AA2"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239B8DDD"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16</w:t>
            </w:r>
          </w:p>
        </w:tc>
      </w:tr>
      <w:tr w:rsidR="00AD59FF" w:rsidRPr="00CF2780" w14:paraId="31253226" w14:textId="77777777" w:rsidTr="00B05F31">
        <w:tc>
          <w:tcPr>
            <w:tcW w:w="709" w:type="dxa"/>
          </w:tcPr>
          <w:p w14:paraId="48BBF93E"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17.</w:t>
            </w:r>
          </w:p>
        </w:tc>
        <w:tc>
          <w:tcPr>
            <w:tcW w:w="5528" w:type="dxa"/>
          </w:tcPr>
          <w:p w14:paraId="6E5598B0"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JERÓNIMO FLORES JOSÉ</w:t>
            </w:r>
          </w:p>
        </w:tc>
        <w:tc>
          <w:tcPr>
            <w:tcW w:w="993" w:type="dxa"/>
          </w:tcPr>
          <w:p w14:paraId="64CF779E"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062CE6F5"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130</w:t>
            </w:r>
          </w:p>
        </w:tc>
        <w:tc>
          <w:tcPr>
            <w:tcW w:w="992" w:type="dxa"/>
          </w:tcPr>
          <w:p w14:paraId="03A4F077"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69A9C631"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04</w:t>
            </w:r>
          </w:p>
        </w:tc>
      </w:tr>
      <w:tr w:rsidR="00AD59FF" w:rsidRPr="00CF2780" w14:paraId="58DF39DD" w14:textId="77777777" w:rsidTr="00B05F31">
        <w:tc>
          <w:tcPr>
            <w:tcW w:w="709" w:type="dxa"/>
          </w:tcPr>
          <w:p w14:paraId="7B01A84E"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18.</w:t>
            </w:r>
          </w:p>
        </w:tc>
        <w:tc>
          <w:tcPr>
            <w:tcW w:w="5528" w:type="dxa"/>
          </w:tcPr>
          <w:p w14:paraId="09A2A3A3"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NO SE ENTIENDE NADA</w:t>
            </w:r>
          </w:p>
        </w:tc>
        <w:tc>
          <w:tcPr>
            <w:tcW w:w="993" w:type="dxa"/>
          </w:tcPr>
          <w:p w14:paraId="3F6C5BE3"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3B0DEBBB"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131</w:t>
            </w:r>
          </w:p>
        </w:tc>
        <w:tc>
          <w:tcPr>
            <w:tcW w:w="992" w:type="dxa"/>
          </w:tcPr>
          <w:p w14:paraId="20193DBA"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0361C56B"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01</w:t>
            </w:r>
          </w:p>
        </w:tc>
      </w:tr>
      <w:tr w:rsidR="00AD59FF" w:rsidRPr="00CF2780" w14:paraId="3EBA1C71" w14:textId="77777777" w:rsidTr="00B05F31">
        <w:tc>
          <w:tcPr>
            <w:tcW w:w="709" w:type="dxa"/>
          </w:tcPr>
          <w:p w14:paraId="06BBC2A2"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19.</w:t>
            </w:r>
          </w:p>
        </w:tc>
        <w:tc>
          <w:tcPr>
            <w:tcW w:w="5528" w:type="dxa"/>
          </w:tcPr>
          <w:p w14:paraId="6C26712E"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 xml:space="preserve">M.  ROMERO </w:t>
            </w:r>
          </w:p>
        </w:tc>
        <w:tc>
          <w:tcPr>
            <w:tcW w:w="993" w:type="dxa"/>
          </w:tcPr>
          <w:p w14:paraId="19D0D19F"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7B06876A"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131</w:t>
            </w:r>
          </w:p>
        </w:tc>
        <w:tc>
          <w:tcPr>
            <w:tcW w:w="992" w:type="dxa"/>
          </w:tcPr>
          <w:p w14:paraId="4485F8BA"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62A3BDED"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11</w:t>
            </w:r>
          </w:p>
        </w:tc>
      </w:tr>
      <w:tr w:rsidR="00AD59FF" w:rsidRPr="00CF2780" w14:paraId="793BBBF7" w14:textId="77777777" w:rsidTr="00B05F31">
        <w:tc>
          <w:tcPr>
            <w:tcW w:w="709" w:type="dxa"/>
          </w:tcPr>
          <w:p w14:paraId="04E1F1BF"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20.</w:t>
            </w:r>
          </w:p>
        </w:tc>
        <w:tc>
          <w:tcPr>
            <w:tcW w:w="5528" w:type="dxa"/>
          </w:tcPr>
          <w:p w14:paraId="6B03E5EE"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FRANCISCA HERNÁNDEZ CHÁVEZ</w:t>
            </w:r>
          </w:p>
        </w:tc>
        <w:tc>
          <w:tcPr>
            <w:tcW w:w="993" w:type="dxa"/>
          </w:tcPr>
          <w:p w14:paraId="0F98C87C"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734FFB9C"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131</w:t>
            </w:r>
          </w:p>
        </w:tc>
        <w:tc>
          <w:tcPr>
            <w:tcW w:w="992" w:type="dxa"/>
          </w:tcPr>
          <w:p w14:paraId="5E748336"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36DA8C0E"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18</w:t>
            </w:r>
          </w:p>
        </w:tc>
      </w:tr>
      <w:tr w:rsidR="00AD59FF" w:rsidRPr="00CF2780" w14:paraId="461BA735" w14:textId="77777777" w:rsidTr="00B05F31">
        <w:tc>
          <w:tcPr>
            <w:tcW w:w="709" w:type="dxa"/>
          </w:tcPr>
          <w:p w14:paraId="03A6EC7E"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21.</w:t>
            </w:r>
          </w:p>
        </w:tc>
        <w:tc>
          <w:tcPr>
            <w:tcW w:w="5528" w:type="dxa"/>
          </w:tcPr>
          <w:p w14:paraId="35CB57B2"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NATALIA LEMUS ROSALES</w:t>
            </w:r>
          </w:p>
        </w:tc>
        <w:tc>
          <w:tcPr>
            <w:tcW w:w="993" w:type="dxa"/>
          </w:tcPr>
          <w:p w14:paraId="54F00ACD"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17DB2AB9"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131</w:t>
            </w:r>
          </w:p>
        </w:tc>
        <w:tc>
          <w:tcPr>
            <w:tcW w:w="992" w:type="dxa"/>
          </w:tcPr>
          <w:p w14:paraId="4E02C34A"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5B0ABDAE"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21</w:t>
            </w:r>
          </w:p>
        </w:tc>
      </w:tr>
      <w:tr w:rsidR="00AD59FF" w:rsidRPr="00CF2780" w14:paraId="5E072EDD" w14:textId="77777777" w:rsidTr="00B05F31">
        <w:tc>
          <w:tcPr>
            <w:tcW w:w="709" w:type="dxa"/>
          </w:tcPr>
          <w:p w14:paraId="2DEA84C8"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22.</w:t>
            </w:r>
          </w:p>
        </w:tc>
        <w:tc>
          <w:tcPr>
            <w:tcW w:w="5528" w:type="dxa"/>
          </w:tcPr>
          <w:p w14:paraId="18F4AF0C"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PABLO RODRÍGUEZ VALENCIA</w:t>
            </w:r>
          </w:p>
        </w:tc>
        <w:tc>
          <w:tcPr>
            <w:tcW w:w="993" w:type="dxa"/>
          </w:tcPr>
          <w:p w14:paraId="7DEC1049"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6439B1CF"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131</w:t>
            </w:r>
          </w:p>
        </w:tc>
        <w:tc>
          <w:tcPr>
            <w:tcW w:w="992" w:type="dxa"/>
          </w:tcPr>
          <w:p w14:paraId="1467449E"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58C022E2"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24</w:t>
            </w:r>
          </w:p>
        </w:tc>
      </w:tr>
      <w:tr w:rsidR="00AD59FF" w:rsidRPr="00CF2780" w14:paraId="7E30C17D" w14:textId="77777777" w:rsidTr="00B05F31">
        <w:tc>
          <w:tcPr>
            <w:tcW w:w="709" w:type="dxa"/>
          </w:tcPr>
          <w:p w14:paraId="549DAA4D"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23.</w:t>
            </w:r>
          </w:p>
        </w:tc>
        <w:tc>
          <w:tcPr>
            <w:tcW w:w="5528" w:type="dxa"/>
          </w:tcPr>
          <w:p w14:paraId="3F9B39E5"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ROSA LEMUS SIXTOS</w:t>
            </w:r>
          </w:p>
        </w:tc>
        <w:tc>
          <w:tcPr>
            <w:tcW w:w="993" w:type="dxa"/>
          </w:tcPr>
          <w:p w14:paraId="4108CB93"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0976A7E3"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131</w:t>
            </w:r>
          </w:p>
        </w:tc>
        <w:tc>
          <w:tcPr>
            <w:tcW w:w="992" w:type="dxa"/>
          </w:tcPr>
          <w:p w14:paraId="28136F01"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0C965468"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25</w:t>
            </w:r>
          </w:p>
        </w:tc>
      </w:tr>
      <w:tr w:rsidR="00AD59FF" w:rsidRPr="00CF2780" w14:paraId="361197CD" w14:textId="77777777" w:rsidTr="00B05F31">
        <w:tc>
          <w:tcPr>
            <w:tcW w:w="709" w:type="dxa"/>
          </w:tcPr>
          <w:p w14:paraId="2F7BE2F4"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24.</w:t>
            </w:r>
          </w:p>
        </w:tc>
        <w:tc>
          <w:tcPr>
            <w:tcW w:w="5528" w:type="dxa"/>
          </w:tcPr>
          <w:p w14:paraId="3EBE7EEF"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JUANA QUERIAPA LEMUS</w:t>
            </w:r>
          </w:p>
        </w:tc>
        <w:tc>
          <w:tcPr>
            <w:tcW w:w="993" w:type="dxa"/>
          </w:tcPr>
          <w:p w14:paraId="2D187DED"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1FA3C48B"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131</w:t>
            </w:r>
          </w:p>
        </w:tc>
        <w:tc>
          <w:tcPr>
            <w:tcW w:w="992" w:type="dxa"/>
          </w:tcPr>
          <w:p w14:paraId="68B7BAFF"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6B8DB2CF"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26</w:t>
            </w:r>
          </w:p>
        </w:tc>
      </w:tr>
      <w:tr w:rsidR="00AD59FF" w:rsidRPr="00CF2780" w14:paraId="581BB22E" w14:textId="77777777" w:rsidTr="00B05F31">
        <w:tc>
          <w:tcPr>
            <w:tcW w:w="709" w:type="dxa"/>
          </w:tcPr>
          <w:p w14:paraId="5BF95CD3"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25.</w:t>
            </w:r>
          </w:p>
        </w:tc>
        <w:tc>
          <w:tcPr>
            <w:tcW w:w="5528" w:type="dxa"/>
          </w:tcPr>
          <w:p w14:paraId="086B0431"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JOSÉ ÁNGEL GUERRERO V.</w:t>
            </w:r>
          </w:p>
          <w:p w14:paraId="0C8C70BE" w14:textId="77777777" w:rsidR="00AD59FF" w:rsidRPr="00CF2780" w:rsidRDefault="00AD59FF" w:rsidP="00AD59FF">
            <w:pPr>
              <w:spacing w:after="0" w:line="240" w:lineRule="auto"/>
              <w:rPr>
                <w:rFonts w:ascii="Arial" w:eastAsia="Times New Roman" w:hAnsi="Arial" w:cs="Arial"/>
                <w:lang w:val="es-ES" w:eastAsia="es-ES"/>
              </w:rPr>
            </w:pPr>
          </w:p>
        </w:tc>
        <w:tc>
          <w:tcPr>
            <w:tcW w:w="993" w:type="dxa"/>
          </w:tcPr>
          <w:p w14:paraId="02CDF18F"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31B8A7D5"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135</w:t>
            </w:r>
          </w:p>
        </w:tc>
        <w:tc>
          <w:tcPr>
            <w:tcW w:w="992" w:type="dxa"/>
          </w:tcPr>
          <w:p w14:paraId="140B68A8"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14BAAA15"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20</w:t>
            </w:r>
          </w:p>
        </w:tc>
      </w:tr>
      <w:tr w:rsidR="00AD59FF" w:rsidRPr="00CF2780" w14:paraId="486D47F0" w14:textId="77777777" w:rsidTr="00B05F31">
        <w:tc>
          <w:tcPr>
            <w:tcW w:w="709" w:type="dxa"/>
          </w:tcPr>
          <w:p w14:paraId="398F84A6"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26.</w:t>
            </w:r>
          </w:p>
        </w:tc>
        <w:tc>
          <w:tcPr>
            <w:tcW w:w="5528" w:type="dxa"/>
          </w:tcPr>
          <w:p w14:paraId="51E0AA66"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 xml:space="preserve">GRICELDA GONZALEZ </w:t>
            </w:r>
          </w:p>
        </w:tc>
        <w:tc>
          <w:tcPr>
            <w:tcW w:w="993" w:type="dxa"/>
          </w:tcPr>
          <w:p w14:paraId="32F5D995"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1CA8EA65"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135</w:t>
            </w:r>
          </w:p>
        </w:tc>
        <w:tc>
          <w:tcPr>
            <w:tcW w:w="992" w:type="dxa"/>
          </w:tcPr>
          <w:p w14:paraId="1734E030"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62894D74"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23</w:t>
            </w:r>
          </w:p>
        </w:tc>
      </w:tr>
      <w:tr w:rsidR="00AD59FF" w:rsidRPr="00CF2780" w14:paraId="5D3CE08A" w14:textId="77777777" w:rsidTr="00B05F31">
        <w:tc>
          <w:tcPr>
            <w:tcW w:w="709" w:type="dxa"/>
          </w:tcPr>
          <w:p w14:paraId="236D9223"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27.</w:t>
            </w:r>
          </w:p>
        </w:tc>
        <w:tc>
          <w:tcPr>
            <w:tcW w:w="5528" w:type="dxa"/>
          </w:tcPr>
          <w:p w14:paraId="3D8C1B49"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JUAN TEHANDON SÁNCHEZ</w:t>
            </w:r>
          </w:p>
        </w:tc>
        <w:tc>
          <w:tcPr>
            <w:tcW w:w="993" w:type="dxa"/>
          </w:tcPr>
          <w:p w14:paraId="42FF9FCD"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63A264F8"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136</w:t>
            </w:r>
          </w:p>
        </w:tc>
        <w:tc>
          <w:tcPr>
            <w:tcW w:w="992" w:type="dxa"/>
          </w:tcPr>
          <w:p w14:paraId="680874B4"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27720BD6"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14</w:t>
            </w:r>
          </w:p>
        </w:tc>
      </w:tr>
      <w:tr w:rsidR="00AD59FF" w:rsidRPr="00CF2780" w14:paraId="299EE2EF" w14:textId="77777777" w:rsidTr="00B05F31">
        <w:tc>
          <w:tcPr>
            <w:tcW w:w="709" w:type="dxa"/>
          </w:tcPr>
          <w:p w14:paraId="037EF922"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28.</w:t>
            </w:r>
          </w:p>
        </w:tc>
        <w:tc>
          <w:tcPr>
            <w:tcW w:w="5528" w:type="dxa"/>
          </w:tcPr>
          <w:p w14:paraId="39284F84"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CLAUDIA MORALES</w:t>
            </w:r>
          </w:p>
        </w:tc>
        <w:tc>
          <w:tcPr>
            <w:tcW w:w="993" w:type="dxa"/>
          </w:tcPr>
          <w:p w14:paraId="5A7F3D57"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5E6109E5"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138</w:t>
            </w:r>
          </w:p>
        </w:tc>
        <w:tc>
          <w:tcPr>
            <w:tcW w:w="992" w:type="dxa"/>
          </w:tcPr>
          <w:p w14:paraId="4BC5877C"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73EB6C19"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12</w:t>
            </w:r>
          </w:p>
        </w:tc>
      </w:tr>
      <w:tr w:rsidR="00AD59FF" w:rsidRPr="00CF2780" w14:paraId="544949B2" w14:textId="77777777" w:rsidTr="00B05F31">
        <w:tc>
          <w:tcPr>
            <w:tcW w:w="709" w:type="dxa"/>
          </w:tcPr>
          <w:p w14:paraId="4F74BB5F"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29.</w:t>
            </w:r>
          </w:p>
        </w:tc>
        <w:tc>
          <w:tcPr>
            <w:tcW w:w="5528" w:type="dxa"/>
          </w:tcPr>
          <w:p w14:paraId="4C450F77"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SERVIO SEBASTIAN SIXTOS</w:t>
            </w:r>
          </w:p>
        </w:tc>
        <w:tc>
          <w:tcPr>
            <w:tcW w:w="993" w:type="dxa"/>
          </w:tcPr>
          <w:p w14:paraId="106F2DE9"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144109C8"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142</w:t>
            </w:r>
          </w:p>
        </w:tc>
        <w:tc>
          <w:tcPr>
            <w:tcW w:w="992" w:type="dxa"/>
          </w:tcPr>
          <w:p w14:paraId="1E20F1BC"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70E675FC"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01</w:t>
            </w:r>
          </w:p>
        </w:tc>
      </w:tr>
      <w:tr w:rsidR="00AD59FF" w:rsidRPr="00CF2780" w14:paraId="5549663C" w14:textId="77777777" w:rsidTr="00B05F31">
        <w:tc>
          <w:tcPr>
            <w:tcW w:w="709" w:type="dxa"/>
          </w:tcPr>
          <w:p w14:paraId="1A9D02F7"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30.</w:t>
            </w:r>
          </w:p>
        </w:tc>
        <w:tc>
          <w:tcPr>
            <w:tcW w:w="5528" w:type="dxa"/>
          </w:tcPr>
          <w:p w14:paraId="14877448"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ARSELIA HERRERA GUERRERO</w:t>
            </w:r>
          </w:p>
        </w:tc>
        <w:tc>
          <w:tcPr>
            <w:tcW w:w="993" w:type="dxa"/>
          </w:tcPr>
          <w:p w14:paraId="2B84AAA0"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1B928602"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148</w:t>
            </w:r>
          </w:p>
        </w:tc>
        <w:tc>
          <w:tcPr>
            <w:tcW w:w="992" w:type="dxa"/>
          </w:tcPr>
          <w:p w14:paraId="5F2BB1F2"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2A568C19"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08</w:t>
            </w:r>
          </w:p>
        </w:tc>
      </w:tr>
      <w:tr w:rsidR="00AD59FF" w:rsidRPr="00CF2780" w14:paraId="57F85B68" w14:textId="77777777" w:rsidTr="00B05F31">
        <w:tc>
          <w:tcPr>
            <w:tcW w:w="709" w:type="dxa"/>
          </w:tcPr>
          <w:p w14:paraId="7BE3ECC0"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31.</w:t>
            </w:r>
          </w:p>
        </w:tc>
        <w:tc>
          <w:tcPr>
            <w:tcW w:w="5528" w:type="dxa"/>
          </w:tcPr>
          <w:p w14:paraId="71FE8399"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BALTAZAR AVILA</w:t>
            </w:r>
          </w:p>
        </w:tc>
        <w:tc>
          <w:tcPr>
            <w:tcW w:w="993" w:type="dxa"/>
          </w:tcPr>
          <w:p w14:paraId="4C0B7C8B"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6FB5B2FD"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151</w:t>
            </w:r>
          </w:p>
        </w:tc>
        <w:tc>
          <w:tcPr>
            <w:tcW w:w="992" w:type="dxa"/>
          </w:tcPr>
          <w:p w14:paraId="28A09397"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334ACF1D"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03</w:t>
            </w:r>
          </w:p>
        </w:tc>
      </w:tr>
      <w:tr w:rsidR="00AD59FF" w:rsidRPr="00CF2780" w14:paraId="762BADD4" w14:textId="77777777" w:rsidTr="00B05F31">
        <w:tc>
          <w:tcPr>
            <w:tcW w:w="709" w:type="dxa"/>
          </w:tcPr>
          <w:p w14:paraId="6DD796BF"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32.</w:t>
            </w:r>
          </w:p>
        </w:tc>
        <w:tc>
          <w:tcPr>
            <w:tcW w:w="5528" w:type="dxa"/>
          </w:tcPr>
          <w:p w14:paraId="02BF01CB"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ABEL GARCIA</w:t>
            </w:r>
          </w:p>
        </w:tc>
        <w:tc>
          <w:tcPr>
            <w:tcW w:w="993" w:type="dxa"/>
          </w:tcPr>
          <w:p w14:paraId="74B48B81"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4D58CE00"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151</w:t>
            </w:r>
          </w:p>
        </w:tc>
        <w:tc>
          <w:tcPr>
            <w:tcW w:w="992" w:type="dxa"/>
          </w:tcPr>
          <w:p w14:paraId="62E3A366"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5200723F"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04</w:t>
            </w:r>
          </w:p>
        </w:tc>
      </w:tr>
      <w:tr w:rsidR="00AD59FF" w:rsidRPr="00CF2780" w14:paraId="4675C7A0" w14:textId="77777777" w:rsidTr="00B05F31">
        <w:tc>
          <w:tcPr>
            <w:tcW w:w="709" w:type="dxa"/>
          </w:tcPr>
          <w:p w14:paraId="04B8A125"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33.</w:t>
            </w:r>
          </w:p>
        </w:tc>
        <w:tc>
          <w:tcPr>
            <w:tcW w:w="5528" w:type="dxa"/>
          </w:tcPr>
          <w:p w14:paraId="3A0AB71F"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TERESA JERONIMO M.</w:t>
            </w:r>
          </w:p>
        </w:tc>
        <w:tc>
          <w:tcPr>
            <w:tcW w:w="993" w:type="dxa"/>
          </w:tcPr>
          <w:p w14:paraId="48200052"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0EB91E63"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151</w:t>
            </w:r>
          </w:p>
        </w:tc>
        <w:tc>
          <w:tcPr>
            <w:tcW w:w="992" w:type="dxa"/>
          </w:tcPr>
          <w:p w14:paraId="6ECF7236"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275D6EF0"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05</w:t>
            </w:r>
          </w:p>
        </w:tc>
      </w:tr>
      <w:tr w:rsidR="00AD59FF" w:rsidRPr="00CF2780" w14:paraId="7502115D" w14:textId="77777777" w:rsidTr="00B05F31">
        <w:tc>
          <w:tcPr>
            <w:tcW w:w="709" w:type="dxa"/>
          </w:tcPr>
          <w:p w14:paraId="2F78282E"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34.</w:t>
            </w:r>
          </w:p>
        </w:tc>
        <w:tc>
          <w:tcPr>
            <w:tcW w:w="5528" w:type="dxa"/>
          </w:tcPr>
          <w:p w14:paraId="2FAA4B7F"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ANTONIO GUARDIAN R.</w:t>
            </w:r>
          </w:p>
        </w:tc>
        <w:tc>
          <w:tcPr>
            <w:tcW w:w="993" w:type="dxa"/>
          </w:tcPr>
          <w:p w14:paraId="331F185C"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4AF6575D"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153</w:t>
            </w:r>
          </w:p>
        </w:tc>
        <w:tc>
          <w:tcPr>
            <w:tcW w:w="992" w:type="dxa"/>
          </w:tcPr>
          <w:p w14:paraId="678271BC"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1252292B"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11</w:t>
            </w:r>
          </w:p>
        </w:tc>
      </w:tr>
      <w:tr w:rsidR="00AD59FF" w:rsidRPr="00CF2780" w14:paraId="3E3D2C0E" w14:textId="77777777" w:rsidTr="00B05F31">
        <w:tc>
          <w:tcPr>
            <w:tcW w:w="709" w:type="dxa"/>
          </w:tcPr>
          <w:p w14:paraId="6B610635"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35.</w:t>
            </w:r>
          </w:p>
        </w:tc>
        <w:tc>
          <w:tcPr>
            <w:tcW w:w="5528" w:type="dxa"/>
          </w:tcPr>
          <w:p w14:paraId="04380EFA"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OFELIA JERONIMO HUAROCO</w:t>
            </w:r>
          </w:p>
        </w:tc>
        <w:tc>
          <w:tcPr>
            <w:tcW w:w="993" w:type="dxa"/>
          </w:tcPr>
          <w:p w14:paraId="75A339B3"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11E980AA"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153</w:t>
            </w:r>
          </w:p>
        </w:tc>
        <w:tc>
          <w:tcPr>
            <w:tcW w:w="992" w:type="dxa"/>
          </w:tcPr>
          <w:p w14:paraId="45F9BE51"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19070AFC"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20</w:t>
            </w:r>
          </w:p>
        </w:tc>
      </w:tr>
      <w:tr w:rsidR="00AD59FF" w:rsidRPr="00CF2780" w14:paraId="00AAA3CE" w14:textId="77777777" w:rsidTr="00B05F31">
        <w:tc>
          <w:tcPr>
            <w:tcW w:w="709" w:type="dxa"/>
          </w:tcPr>
          <w:p w14:paraId="4BCFEC01"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36.</w:t>
            </w:r>
          </w:p>
        </w:tc>
        <w:tc>
          <w:tcPr>
            <w:tcW w:w="5528" w:type="dxa"/>
          </w:tcPr>
          <w:p w14:paraId="029DB0D1"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MARTHA LEYVA VELAZQUEZ</w:t>
            </w:r>
          </w:p>
        </w:tc>
        <w:tc>
          <w:tcPr>
            <w:tcW w:w="993" w:type="dxa"/>
          </w:tcPr>
          <w:p w14:paraId="7694FC38"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4C9CD653"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156</w:t>
            </w:r>
          </w:p>
        </w:tc>
        <w:tc>
          <w:tcPr>
            <w:tcW w:w="992" w:type="dxa"/>
          </w:tcPr>
          <w:p w14:paraId="37D700CD"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4E46795C"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24</w:t>
            </w:r>
          </w:p>
        </w:tc>
      </w:tr>
      <w:tr w:rsidR="00AD59FF" w:rsidRPr="00CF2780" w14:paraId="416DB639" w14:textId="77777777" w:rsidTr="00B05F31">
        <w:tc>
          <w:tcPr>
            <w:tcW w:w="709" w:type="dxa"/>
          </w:tcPr>
          <w:p w14:paraId="2D5AC019"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37.</w:t>
            </w:r>
          </w:p>
        </w:tc>
        <w:tc>
          <w:tcPr>
            <w:tcW w:w="5528" w:type="dxa"/>
          </w:tcPr>
          <w:p w14:paraId="0D8843A5"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GUILLERMINA RAFAEL G.</w:t>
            </w:r>
          </w:p>
        </w:tc>
        <w:tc>
          <w:tcPr>
            <w:tcW w:w="993" w:type="dxa"/>
          </w:tcPr>
          <w:p w14:paraId="3F97D7A3"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3F385D5F"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157</w:t>
            </w:r>
          </w:p>
        </w:tc>
        <w:tc>
          <w:tcPr>
            <w:tcW w:w="992" w:type="dxa"/>
          </w:tcPr>
          <w:p w14:paraId="7062DCE0"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1BC075A3"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01</w:t>
            </w:r>
          </w:p>
        </w:tc>
      </w:tr>
      <w:tr w:rsidR="00AD59FF" w:rsidRPr="00CF2780" w14:paraId="151B24DC" w14:textId="77777777" w:rsidTr="00B05F31">
        <w:tc>
          <w:tcPr>
            <w:tcW w:w="709" w:type="dxa"/>
          </w:tcPr>
          <w:p w14:paraId="28F4718A"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38.</w:t>
            </w:r>
          </w:p>
        </w:tc>
        <w:tc>
          <w:tcPr>
            <w:tcW w:w="5528" w:type="dxa"/>
          </w:tcPr>
          <w:p w14:paraId="44B483E3"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MA. ELENA PAHUAMBA PAÑEDA</w:t>
            </w:r>
          </w:p>
        </w:tc>
        <w:tc>
          <w:tcPr>
            <w:tcW w:w="993" w:type="dxa"/>
          </w:tcPr>
          <w:p w14:paraId="5C34839D"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65AA0A4E"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158</w:t>
            </w:r>
          </w:p>
        </w:tc>
        <w:tc>
          <w:tcPr>
            <w:tcW w:w="992" w:type="dxa"/>
          </w:tcPr>
          <w:p w14:paraId="475A3E3C"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6C124CD9"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25</w:t>
            </w:r>
          </w:p>
        </w:tc>
      </w:tr>
      <w:tr w:rsidR="00AD59FF" w:rsidRPr="00CF2780" w14:paraId="54249D88" w14:textId="77777777" w:rsidTr="00B05F31">
        <w:tc>
          <w:tcPr>
            <w:tcW w:w="709" w:type="dxa"/>
          </w:tcPr>
          <w:p w14:paraId="4D61C17F"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39.</w:t>
            </w:r>
          </w:p>
        </w:tc>
        <w:tc>
          <w:tcPr>
            <w:tcW w:w="5528" w:type="dxa"/>
          </w:tcPr>
          <w:p w14:paraId="3A48FA1B"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ANTONIO ROMERO JERONIMO</w:t>
            </w:r>
          </w:p>
        </w:tc>
        <w:tc>
          <w:tcPr>
            <w:tcW w:w="993" w:type="dxa"/>
          </w:tcPr>
          <w:p w14:paraId="1CAFB6E7"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1C086E46"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158</w:t>
            </w:r>
          </w:p>
        </w:tc>
        <w:tc>
          <w:tcPr>
            <w:tcW w:w="992" w:type="dxa"/>
          </w:tcPr>
          <w:p w14:paraId="0A7B294F"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31EC5FD1"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26</w:t>
            </w:r>
          </w:p>
        </w:tc>
      </w:tr>
      <w:tr w:rsidR="00AD59FF" w:rsidRPr="00CF2780" w14:paraId="68CBA32B" w14:textId="77777777" w:rsidTr="00B05F31">
        <w:tc>
          <w:tcPr>
            <w:tcW w:w="709" w:type="dxa"/>
          </w:tcPr>
          <w:p w14:paraId="1BBC449F"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lastRenderedPageBreak/>
              <w:t>40.</w:t>
            </w:r>
          </w:p>
        </w:tc>
        <w:tc>
          <w:tcPr>
            <w:tcW w:w="5528" w:type="dxa"/>
          </w:tcPr>
          <w:p w14:paraId="20A155EA"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ROGELIO ROMERO PAHUAMBA</w:t>
            </w:r>
          </w:p>
        </w:tc>
        <w:tc>
          <w:tcPr>
            <w:tcW w:w="993" w:type="dxa"/>
          </w:tcPr>
          <w:p w14:paraId="6869B6CA"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3A9659D8"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158</w:t>
            </w:r>
          </w:p>
        </w:tc>
        <w:tc>
          <w:tcPr>
            <w:tcW w:w="992" w:type="dxa"/>
          </w:tcPr>
          <w:p w14:paraId="350193FA"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1896B5DD"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27</w:t>
            </w:r>
          </w:p>
        </w:tc>
      </w:tr>
      <w:tr w:rsidR="00AD59FF" w:rsidRPr="00CF2780" w14:paraId="17D65290" w14:textId="77777777" w:rsidTr="00B05F31">
        <w:tc>
          <w:tcPr>
            <w:tcW w:w="709" w:type="dxa"/>
          </w:tcPr>
          <w:p w14:paraId="673F9830"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41.</w:t>
            </w:r>
          </w:p>
        </w:tc>
        <w:tc>
          <w:tcPr>
            <w:tcW w:w="5528" w:type="dxa"/>
          </w:tcPr>
          <w:p w14:paraId="0DBE550A"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MARTHA ELVIRA CEJA</w:t>
            </w:r>
          </w:p>
        </w:tc>
        <w:tc>
          <w:tcPr>
            <w:tcW w:w="993" w:type="dxa"/>
          </w:tcPr>
          <w:p w14:paraId="59D10DD0"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440BD2B5"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158</w:t>
            </w:r>
          </w:p>
        </w:tc>
        <w:tc>
          <w:tcPr>
            <w:tcW w:w="992" w:type="dxa"/>
          </w:tcPr>
          <w:p w14:paraId="149F440C"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3D022F1D"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28</w:t>
            </w:r>
          </w:p>
        </w:tc>
      </w:tr>
      <w:tr w:rsidR="00AD59FF" w:rsidRPr="00CF2780" w14:paraId="18B360C0" w14:textId="77777777" w:rsidTr="00B05F31">
        <w:tc>
          <w:tcPr>
            <w:tcW w:w="709" w:type="dxa"/>
          </w:tcPr>
          <w:p w14:paraId="142A2ECA"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42.</w:t>
            </w:r>
          </w:p>
        </w:tc>
        <w:tc>
          <w:tcPr>
            <w:tcW w:w="5528" w:type="dxa"/>
          </w:tcPr>
          <w:p w14:paraId="3151B202"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MA. DE LOS ÁNGELES JUAREZ</w:t>
            </w:r>
          </w:p>
        </w:tc>
        <w:tc>
          <w:tcPr>
            <w:tcW w:w="993" w:type="dxa"/>
          </w:tcPr>
          <w:p w14:paraId="2626BA2A"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36C0A304"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159</w:t>
            </w:r>
          </w:p>
        </w:tc>
        <w:tc>
          <w:tcPr>
            <w:tcW w:w="992" w:type="dxa"/>
          </w:tcPr>
          <w:p w14:paraId="173AAE6B"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4141E9CE"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14</w:t>
            </w:r>
          </w:p>
        </w:tc>
      </w:tr>
      <w:tr w:rsidR="00AD59FF" w:rsidRPr="00CF2780" w14:paraId="4B91F172" w14:textId="77777777" w:rsidTr="00B05F31">
        <w:tc>
          <w:tcPr>
            <w:tcW w:w="709" w:type="dxa"/>
          </w:tcPr>
          <w:p w14:paraId="34936238"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43.</w:t>
            </w:r>
          </w:p>
        </w:tc>
        <w:tc>
          <w:tcPr>
            <w:tcW w:w="5528" w:type="dxa"/>
          </w:tcPr>
          <w:p w14:paraId="152BC83A"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JESUS “N” LECO</w:t>
            </w:r>
          </w:p>
        </w:tc>
        <w:tc>
          <w:tcPr>
            <w:tcW w:w="993" w:type="dxa"/>
          </w:tcPr>
          <w:p w14:paraId="4BAD104B"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4956E211"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160</w:t>
            </w:r>
          </w:p>
        </w:tc>
        <w:tc>
          <w:tcPr>
            <w:tcW w:w="992" w:type="dxa"/>
          </w:tcPr>
          <w:p w14:paraId="252B7155"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0EA7847A"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06</w:t>
            </w:r>
          </w:p>
        </w:tc>
      </w:tr>
      <w:tr w:rsidR="00AD59FF" w:rsidRPr="00CF2780" w14:paraId="1B41A974" w14:textId="77777777" w:rsidTr="00B05F31">
        <w:tc>
          <w:tcPr>
            <w:tcW w:w="709" w:type="dxa"/>
          </w:tcPr>
          <w:p w14:paraId="38E873F0"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44.</w:t>
            </w:r>
          </w:p>
        </w:tc>
        <w:tc>
          <w:tcPr>
            <w:tcW w:w="5528" w:type="dxa"/>
          </w:tcPr>
          <w:p w14:paraId="48B489A4"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HERMELINDA FLORES</w:t>
            </w:r>
          </w:p>
        </w:tc>
        <w:tc>
          <w:tcPr>
            <w:tcW w:w="993" w:type="dxa"/>
          </w:tcPr>
          <w:p w14:paraId="51112F0B"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1B46AA5D"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160</w:t>
            </w:r>
          </w:p>
        </w:tc>
        <w:tc>
          <w:tcPr>
            <w:tcW w:w="992" w:type="dxa"/>
          </w:tcPr>
          <w:p w14:paraId="010284CF"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58ADB690"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09</w:t>
            </w:r>
          </w:p>
        </w:tc>
      </w:tr>
      <w:tr w:rsidR="00AD59FF" w:rsidRPr="00CF2780" w14:paraId="5768AA3F" w14:textId="77777777" w:rsidTr="00B05F31">
        <w:tc>
          <w:tcPr>
            <w:tcW w:w="709" w:type="dxa"/>
          </w:tcPr>
          <w:p w14:paraId="410E7EBD"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45.</w:t>
            </w:r>
          </w:p>
        </w:tc>
        <w:tc>
          <w:tcPr>
            <w:tcW w:w="5528" w:type="dxa"/>
          </w:tcPr>
          <w:p w14:paraId="6420E9F5"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JESUS ARIAS</w:t>
            </w:r>
          </w:p>
        </w:tc>
        <w:tc>
          <w:tcPr>
            <w:tcW w:w="993" w:type="dxa"/>
          </w:tcPr>
          <w:p w14:paraId="5DBC38EA"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18E04BD7"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160</w:t>
            </w:r>
          </w:p>
        </w:tc>
        <w:tc>
          <w:tcPr>
            <w:tcW w:w="992" w:type="dxa"/>
          </w:tcPr>
          <w:p w14:paraId="6FCA40FB"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3D2BE122"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10</w:t>
            </w:r>
          </w:p>
        </w:tc>
      </w:tr>
      <w:tr w:rsidR="00AD59FF" w:rsidRPr="00CF2780" w14:paraId="71AA76A5" w14:textId="77777777" w:rsidTr="00B05F31">
        <w:tc>
          <w:tcPr>
            <w:tcW w:w="709" w:type="dxa"/>
          </w:tcPr>
          <w:p w14:paraId="65580502"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46.</w:t>
            </w:r>
          </w:p>
        </w:tc>
        <w:tc>
          <w:tcPr>
            <w:tcW w:w="5528" w:type="dxa"/>
          </w:tcPr>
          <w:p w14:paraId="7CC4FA8F"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ARACELI LECO</w:t>
            </w:r>
          </w:p>
        </w:tc>
        <w:tc>
          <w:tcPr>
            <w:tcW w:w="993" w:type="dxa"/>
          </w:tcPr>
          <w:p w14:paraId="2BCD422D"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7C70867F"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160</w:t>
            </w:r>
          </w:p>
        </w:tc>
        <w:tc>
          <w:tcPr>
            <w:tcW w:w="992" w:type="dxa"/>
          </w:tcPr>
          <w:p w14:paraId="03E4A14A"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750C3DC4"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11</w:t>
            </w:r>
          </w:p>
        </w:tc>
      </w:tr>
      <w:tr w:rsidR="00AD59FF" w:rsidRPr="00CF2780" w14:paraId="6A122273" w14:textId="77777777" w:rsidTr="00B05F31">
        <w:tc>
          <w:tcPr>
            <w:tcW w:w="709" w:type="dxa"/>
          </w:tcPr>
          <w:p w14:paraId="33968E41"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47.</w:t>
            </w:r>
          </w:p>
        </w:tc>
        <w:tc>
          <w:tcPr>
            <w:tcW w:w="5528" w:type="dxa"/>
          </w:tcPr>
          <w:p w14:paraId="31DC2643"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SERGIO LECO</w:t>
            </w:r>
          </w:p>
        </w:tc>
        <w:tc>
          <w:tcPr>
            <w:tcW w:w="993" w:type="dxa"/>
          </w:tcPr>
          <w:p w14:paraId="65B4993A"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5C672B72"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160</w:t>
            </w:r>
          </w:p>
        </w:tc>
        <w:tc>
          <w:tcPr>
            <w:tcW w:w="992" w:type="dxa"/>
          </w:tcPr>
          <w:p w14:paraId="7CFAAB66"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378E52FA"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12</w:t>
            </w:r>
          </w:p>
        </w:tc>
      </w:tr>
      <w:tr w:rsidR="00AD59FF" w:rsidRPr="00CF2780" w14:paraId="0784C447" w14:textId="77777777" w:rsidTr="00B05F31">
        <w:tc>
          <w:tcPr>
            <w:tcW w:w="709" w:type="dxa"/>
          </w:tcPr>
          <w:p w14:paraId="54C0899E"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48.</w:t>
            </w:r>
          </w:p>
        </w:tc>
        <w:tc>
          <w:tcPr>
            <w:tcW w:w="5528" w:type="dxa"/>
          </w:tcPr>
          <w:p w14:paraId="796C4531"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JOSE LUIS TAPIA</w:t>
            </w:r>
          </w:p>
        </w:tc>
        <w:tc>
          <w:tcPr>
            <w:tcW w:w="993" w:type="dxa"/>
          </w:tcPr>
          <w:p w14:paraId="49A75DFD"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34CD900C"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160</w:t>
            </w:r>
          </w:p>
        </w:tc>
        <w:tc>
          <w:tcPr>
            <w:tcW w:w="992" w:type="dxa"/>
          </w:tcPr>
          <w:p w14:paraId="4D1BEDBB"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437C02D0"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15</w:t>
            </w:r>
          </w:p>
        </w:tc>
      </w:tr>
      <w:tr w:rsidR="00AD59FF" w:rsidRPr="00CF2780" w14:paraId="305F9202" w14:textId="77777777" w:rsidTr="00B05F31">
        <w:tc>
          <w:tcPr>
            <w:tcW w:w="709" w:type="dxa"/>
          </w:tcPr>
          <w:p w14:paraId="0B6A7BB0"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49</w:t>
            </w:r>
          </w:p>
        </w:tc>
        <w:tc>
          <w:tcPr>
            <w:tcW w:w="5528" w:type="dxa"/>
          </w:tcPr>
          <w:p w14:paraId="0F17C2A4"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CRISTIAN TAPIA LEMUS</w:t>
            </w:r>
          </w:p>
        </w:tc>
        <w:tc>
          <w:tcPr>
            <w:tcW w:w="993" w:type="dxa"/>
          </w:tcPr>
          <w:p w14:paraId="1D92CDCB"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23EDB1C6"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160</w:t>
            </w:r>
          </w:p>
        </w:tc>
        <w:tc>
          <w:tcPr>
            <w:tcW w:w="992" w:type="dxa"/>
          </w:tcPr>
          <w:p w14:paraId="70C9C847"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08153359"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16</w:t>
            </w:r>
          </w:p>
        </w:tc>
      </w:tr>
      <w:tr w:rsidR="00AD59FF" w:rsidRPr="00CF2780" w14:paraId="0EF1BE29" w14:textId="77777777" w:rsidTr="00B05F31">
        <w:tc>
          <w:tcPr>
            <w:tcW w:w="709" w:type="dxa"/>
          </w:tcPr>
          <w:p w14:paraId="5D7124CD"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50</w:t>
            </w:r>
          </w:p>
        </w:tc>
        <w:tc>
          <w:tcPr>
            <w:tcW w:w="5528" w:type="dxa"/>
          </w:tcPr>
          <w:p w14:paraId="589DB0A7"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GUADALUPE LEMUS MADRIGAL</w:t>
            </w:r>
          </w:p>
        </w:tc>
        <w:tc>
          <w:tcPr>
            <w:tcW w:w="993" w:type="dxa"/>
          </w:tcPr>
          <w:p w14:paraId="348ECAE3"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650A4699"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160</w:t>
            </w:r>
          </w:p>
        </w:tc>
        <w:tc>
          <w:tcPr>
            <w:tcW w:w="992" w:type="dxa"/>
          </w:tcPr>
          <w:p w14:paraId="56433725"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6BA75EEE"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17</w:t>
            </w:r>
          </w:p>
        </w:tc>
      </w:tr>
      <w:tr w:rsidR="00AD59FF" w:rsidRPr="00CF2780" w14:paraId="634C9815" w14:textId="77777777" w:rsidTr="00B05F31">
        <w:tc>
          <w:tcPr>
            <w:tcW w:w="709" w:type="dxa"/>
          </w:tcPr>
          <w:p w14:paraId="6B18DB5F"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51</w:t>
            </w:r>
          </w:p>
        </w:tc>
        <w:tc>
          <w:tcPr>
            <w:tcW w:w="5528" w:type="dxa"/>
          </w:tcPr>
          <w:p w14:paraId="33A4B95C"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CARMEN LEMUS CHARICATA</w:t>
            </w:r>
          </w:p>
        </w:tc>
        <w:tc>
          <w:tcPr>
            <w:tcW w:w="993" w:type="dxa"/>
          </w:tcPr>
          <w:p w14:paraId="5167BCFC"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13CA0317"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160</w:t>
            </w:r>
          </w:p>
        </w:tc>
        <w:tc>
          <w:tcPr>
            <w:tcW w:w="992" w:type="dxa"/>
          </w:tcPr>
          <w:p w14:paraId="47E54047"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40DFC31A"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18</w:t>
            </w:r>
          </w:p>
        </w:tc>
      </w:tr>
      <w:tr w:rsidR="00AD59FF" w:rsidRPr="00CF2780" w14:paraId="00913E8E" w14:textId="77777777" w:rsidTr="00B05F31">
        <w:tc>
          <w:tcPr>
            <w:tcW w:w="709" w:type="dxa"/>
          </w:tcPr>
          <w:p w14:paraId="0C733D17"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52</w:t>
            </w:r>
          </w:p>
        </w:tc>
        <w:tc>
          <w:tcPr>
            <w:tcW w:w="5528" w:type="dxa"/>
          </w:tcPr>
          <w:p w14:paraId="3BFB5E91"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ISAURA GARCÍA MACÍAS</w:t>
            </w:r>
          </w:p>
        </w:tc>
        <w:tc>
          <w:tcPr>
            <w:tcW w:w="993" w:type="dxa"/>
          </w:tcPr>
          <w:p w14:paraId="3567B7E5"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67069026"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160</w:t>
            </w:r>
          </w:p>
        </w:tc>
        <w:tc>
          <w:tcPr>
            <w:tcW w:w="992" w:type="dxa"/>
          </w:tcPr>
          <w:p w14:paraId="01D4F858"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62480914"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19</w:t>
            </w:r>
          </w:p>
        </w:tc>
      </w:tr>
      <w:tr w:rsidR="00AD59FF" w:rsidRPr="00CF2780" w14:paraId="1774ED68" w14:textId="77777777" w:rsidTr="00B05F31">
        <w:tc>
          <w:tcPr>
            <w:tcW w:w="709" w:type="dxa"/>
          </w:tcPr>
          <w:p w14:paraId="5F19827C"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53</w:t>
            </w:r>
          </w:p>
        </w:tc>
        <w:tc>
          <w:tcPr>
            <w:tcW w:w="5528" w:type="dxa"/>
          </w:tcPr>
          <w:p w14:paraId="70AFB207"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ARNULFO TAPIA DURAN</w:t>
            </w:r>
          </w:p>
        </w:tc>
        <w:tc>
          <w:tcPr>
            <w:tcW w:w="993" w:type="dxa"/>
          </w:tcPr>
          <w:p w14:paraId="1F4D99D3"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7F13010D"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160</w:t>
            </w:r>
          </w:p>
        </w:tc>
        <w:tc>
          <w:tcPr>
            <w:tcW w:w="992" w:type="dxa"/>
          </w:tcPr>
          <w:p w14:paraId="171C41EB"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321980F4"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20</w:t>
            </w:r>
          </w:p>
        </w:tc>
      </w:tr>
      <w:tr w:rsidR="00AD59FF" w:rsidRPr="00CF2780" w14:paraId="3AC6B67F" w14:textId="77777777" w:rsidTr="00B05F31">
        <w:tc>
          <w:tcPr>
            <w:tcW w:w="709" w:type="dxa"/>
          </w:tcPr>
          <w:p w14:paraId="7BC45D4F"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54</w:t>
            </w:r>
          </w:p>
        </w:tc>
        <w:tc>
          <w:tcPr>
            <w:tcW w:w="5528" w:type="dxa"/>
          </w:tcPr>
          <w:p w14:paraId="373C982F"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JOSE LUIS TAPIA GARCIA</w:t>
            </w:r>
          </w:p>
        </w:tc>
        <w:tc>
          <w:tcPr>
            <w:tcW w:w="993" w:type="dxa"/>
          </w:tcPr>
          <w:p w14:paraId="2AA71FE9"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68800981"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160</w:t>
            </w:r>
          </w:p>
        </w:tc>
        <w:tc>
          <w:tcPr>
            <w:tcW w:w="992" w:type="dxa"/>
          </w:tcPr>
          <w:p w14:paraId="12F98E3B"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0AD22449"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21</w:t>
            </w:r>
          </w:p>
        </w:tc>
      </w:tr>
      <w:tr w:rsidR="00AD59FF" w:rsidRPr="00CF2780" w14:paraId="7EEF2B19" w14:textId="77777777" w:rsidTr="00B05F31">
        <w:tc>
          <w:tcPr>
            <w:tcW w:w="709" w:type="dxa"/>
          </w:tcPr>
          <w:p w14:paraId="745405E4"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55</w:t>
            </w:r>
          </w:p>
        </w:tc>
        <w:tc>
          <w:tcPr>
            <w:tcW w:w="5528" w:type="dxa"/>
          </w:tcPr>
          <w:p w14:paraId="56730146"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CARMELA LEMUS CHARICATA</w:t>
            </w:r>
          </w:p>
        </w:tc>
        <w:tc>
          <w:tcPr>
            <w:tcW w:w="993" w:type="dxa"/>
          </w:tcPr>
          <w:p w14:paraId="1504C79A"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736A2B5F"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160</w:t>
            </w:r>
          </w:p>
        </w:tc>
        <w:tc>
          <w:tcPr>
            <w:tcW w:w="992" w:type="dxa"/>
          </w:tcPr>
          <w:p w14:paraId="4B0EBFD7"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0FE27D57"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22</w:t>
            </w:r>
          </w:p>
        </w:tc>
      </w:tr>
      <w:tr w:rsidR="00AD59FF" w:rsidRPr="00CF2780" w14:paraId="654F4CE2" w14:textId="77777777" w:rsidTr="00B05F31">
        <w:tc>
          <w:tcPr>
            <w:tcW w:w="709" w:type="dxa"/>
          </w:tcPr>
          <w:p w14:paraId="38555CA3"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56</w:t>
            </w:r>
          </w:p>
        </w:tc>
        <w:tc>
          <w:tcPr>
            <w:tcW w:w="5528" w:type="dxa"/>
          </w:tcPr>
          <w:p w14:paraId="3DCFAB1D"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CRISTIA TAPIA LEMUS</w:t>
            </w:r>
          </w:p>
        </w:tc>
        <w:tc>
          <w:tcPr>
            <w:tcW w:w="993" w:type="dxa"/>
          </w:tcPr>
          <w:p w14:paraId="62E43F77"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6963A074"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160</w:t>
            </w:r>
          </w:p>
        </w:tc>
        <w:tc>
          <w:tcPr>
            <w:tcW w:w="992" w:type="dxa"/>
          </w:tcPr>
          <w:p w14:paraId="2E0F7562"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2216F204"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23</w:t>
            </w:r>
          </w:p>
        </w:tc>
      </w:tr>
      <w:tr w:rsidR="00AD59FF" w:rsidRPr="00CF2780" w14:paraId="1956EB59" w14:textId="77777777" w:rsidTr="00B05F31">
        <w:tc>
          <w:tcPr>
            <w:tcW w:w="709" w:type="dxa"/>
          </w:tcPr>
          <w:p w14:paraId="2E45543E"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57</w:t>
            </w:r>
          </w:p>
        </w:tc>
        <w:tc>
          <w:tcPr>
            <w:tcW w:w="5528" w:type="dxa"/>
          </w:tcPr>
          <w:p w14:paraId="34BD95B5"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MAGDALENO SANTIAGO FLORES</w:t>
            </w:r>
          </w:p>
        </w:tc>
        <w:tc>
          <w:tcPr>
            <w:tcW w:w="993" w:type="dxa"/>
          </w:tcPr>
          <w:p w14:paraId="682509A8"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6FF0681E"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163</w:t>
            </w:r>
          </w:p>
        </w:tc>
        <w:tc>
          <w:tcPr>
            <w:tcW w:w="992" w:type="dxa"/>
          </w:tcPr>
          <w:p w14:paraId="74D72AED"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7D96B2D1"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01</w:t>
            </w:r>
          </w:p>
        </w:tc>
      </w:tr>
      <w:tr w:rsidR="00AD59FF" w:rsidRPr="00CF2780" w14:paraId="6CBE7C7D" w14:textId="77777777" w:rsidTr="00B05F31">
        <w:tc>
          <w:tcPr>
            <w:tcW w:w="709" w:type="dxa"/>
          </w:tcPr>
          <w:p w14:paraId="368F6CB4"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58</w:t>
            </w:r>
          </w:p>
        </w:tc>
        <w:tc>
          <w:tcPr>
            <w:tcW w:w="5528" w:type="dxa"/>
          </w:tcPr>
          <w:p w14:paraId="374A1826" w14:textId="77777777" w:rsidR="00AD59FF" w:rsidRPr="00CF2780" w:rsidRDefault="00AD59FF" w:rsidP="001C6A89">
            <w:pPr>
              <w:numPr>
                <w:ilvl w:val="0"/>
                <w:numId w:val="16"/>
              </w:numPr>
              <w:spacing w:after="0" w:line="240" w:lineRule="auto"/>
              <w:contextualSpacing/>
              <w:rPr>
                <w:rFonts w:ascii="Arial" w:eastAsia="Calibri" w:hAnsi="Arial" w:cs="Arial"/>
              </w:rPr>
            </w:pPr>
            <w:r w:rsidRPr="00CF2780">
              <w:rPr>
                <w:rFonts w:ascii="Arial" w:eastAsia="Calibri" w:hAnsi="Arial" w:cs="Arial"/>
              </w:rPr>
              <w:t>A. V.  S.</w:t>
            </w:r>
          </w:p>
        </w:tc>
        <w:tc>
          <w:tcPr>
            <w:tcW w:w="993" w:type="dxa"/>
          </w:tcPr>
          <w:p w14:paraId="308D2CB8"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32F94A30"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169</w:t>
            </w:r>
          </w:p>
        </w:tc>
        <w:tc>
          <w:tcPr>
            <w:tcW w:w="992" w:type="dxa"/>
          </w:tcPr>
          <w:p w14:paraId="209FE7E2"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318F97C7"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16</w:t>
            </w:r>
          </w:p>
        </w:tc>
      </w:tr>
      <w:tr w:rsidR="00AD59FF" w:rsidRPr="00CF2780" w14:paraId="5FD94001" w14:textId="77777777" w:rsidTr="00B05F31">
        <w:tc>
          <w:tcPr>
            <w:tcW w:w="709" w:type="dxa"/>
          </w:tcPr>
          <w:p w14:paraId="62BAC763"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59</w:t>
            </w:r>
          </w:p>
        </w:tc>
        <w:tc>
          <w:tcPr>
            <w:tcW w:w="5528" w:type="dxa"/>
          </w:tcPr>
          <w:p w14:paraId="32800419"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ANGELES HURTADO</w:t>
            </w:r>
          </w:p>
        </w:tc>
        <w:tc>
          <w:tcPr>
            <w:tcW w:w="993" w:type="dxa"/>
          </w:tcPr>
          <w:p w14:paraId="7429F278"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0847D910"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169</w:t>
            </w:r>
          </w:p>
        </w:tc>
        <w:tc>
          <w:tcPr>
            <w:tcW w:w="992" w:type="dxa"/>
          </w:tcPr>
          <w:p w14:paraId="475EEAD7"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1F642482"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17</w:t>
            </w:r>
          </w:p>
        </w:tc>
      </w:tr>
      <w:tr w:rsidR="00AD59FF" w:rsidRPr="00CF2780" w14:paraId="6229A0AF" w14:textId="77777777" w:rsidTr="00B05F31">
        <w:tc>
          <w:tcPr>
            <w:tcW w:w="709" w:type="dxa"/>
          </w:tcPr>
          <w:p w14:paraId="2C7949B8"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60.</w:t>
            </w:r>
          </w:p>
        </w:tc>
        <w:tc>
          <w:tcPr>
            <w:tcW w:w="5528" w:type="dxa"/>
          </w:tcPr>
          <w:p w14:paraId="440DEC23"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GASPAR CUCUE CAMPOS</w:t>
            </w:r>
          </w:p>
        </w:tc>
        <w:tc>
          <w:tcPr>
            <w:tcW w:w="993" w:type="dxa"/>
          </w:tcPr>
          <w:p w14:paraId="6528E1D0"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6C6BE65D"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173</w:t>
            </w:r>
          </w:p>
        </w:tc>
        <w:tc>
          <w:tcPr>
            <w:tcW w:w="992" w:type="dxa"/>
          </w:tcPr>
          <w:p w14:paraId="02717D04"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56D5C669"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02</w:t>
            </w:r>
          </w:p>
        </w:tc>
      </w:tr>
      <w:tr w:rsidR="00AD59FF" w:rsidRPr="00CF2780" w14:paraId="6F9F5B60" w14:textId="77777777" w:rsidTr="00B05F31">
        <w:tc>
          <w:tcPr>
            <w:tcW w:w="709" w:type="dxa"/>
          </w:tcPr>
          <w:p w14:paraId="720631B0"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61.</w:t>
            </w:r>
          </w:p>
        </w:tc>
        <w:tc>
          <w:tcPr>
            <w:tcW w:w="5528" w:type="dxa"/>
          </w:tcPr>
          <w:p w14:paraId="72AD1E27"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GUADALUPE LEMUS QUIN</w:t>
            </w:r>
          </w:p>
        </w:tc>
        <w:tc>
          <w:tcPr>
            <w:tcW w:w="993" w:type="dxa"/>
          </w:tcPr>
          <w:p w14:paraId="766AA9B0"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74FCB7F3"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176</w:t>
            </w:r>
          </w:p>
        </w:tc>
        <w:tc>
          <w:tcPr>
            <w:tcW w:w="992" w:type="dxa"/>
          </w:tcPr>
          <w:p w14:paraId="1E29DE97"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474CFD54"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04</w:t>
            </w:r>
          </w:p>
        </w:tc>
      </w:tr>
      <w:tr w:rsidR="00AD59FF" w:rsidRPr="00CF2780" w14:paraId="222316B4" w14:textId="77777777" w:rsidTr="00B05F31">
        <w:tc>
          <w:tcPr>
            <w:tcW w:w="709" w:type="dxa"/>
          </w:tcPr>
          <w:p w14:paraId="4F81663D"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62.</w:t>
            </w:r>
          </w:p>
        </w:tc>
        <w:tc>
          <w:tcPr>
            <w:tcW w:w="5528" w:type="dxa"/>
          </w:tcPr>
          <w:p w14:paraId="323C0F72"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EVELIA CUCUE</w:t>
            </w:r>
          </w:p>
        </w:tc>
        <w:tc>
          <w:tcPr>
            <w:tcW w:w="993" w:type="dxa"/>
          </w:tcPr>
          <w:p w14:paraId="452967B9"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607CFFD8"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176</w:t>
            </w:r>
          </w:p>
        </w:tc>
        <w:tc>
          <w:tcPr>
            <w:tcW w:w="992" w:type="dxa"/>
          </w:tcPr>
          <w:p w14:paraId="366FE0EE"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7D14CDAB"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05</w:t>
            </w:r>
          </w:p>
        </w:tc>
      </w:tr>
      <w:tr w:rsidR="00AD59FF" w:rsidRPr="00CF2780" w14:paraId="30498A1C" w14:textId="77777777" w:rsidTr="00B05F31">
        <w:tc>
          <w:tcPr>
            <w:tcW w:w="709" w:type="dxa"/>
          </w:tcPr>
          <w:p w14:paraId="372ABB5A"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63.</w:t>
            </w:r>
          </w:p>
        </w:tc>
        <w:tc>
          <w:tcPr>
            <w:tcW w:w="5528" w:type="dxa"/>
          </w:tcPr>
          <w:p w14:paraId="7D623BDD"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ALICIA HERNÁNDEZ GERÓNIMO</w:t>
            </w:r>
          </w:p>
        </w:tc>
        <w:tc>
          <w:tcPr>
            <w:tcW w:w="993" w:type="dxa"/>
          </w:tcPr>
          <w:p w14:paraId="3C9F9B20"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520EEE9E"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176</w:t>
            </w:r>
          </w:p>
        </w:tc>
        <w:tc>
          <w:tcPr>
            <w:tcW w:w="992" w:type="dxa"/>
          </w:tcPr>
          <w:p w14:paraId="21E514FE"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6C6315D5"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06</w:t>
            </w:r>
          </w:p>
        </w:tc>
      </w:tr>
      <w:tr w:rsidR="00AD59FF" w:rsidRPr="00CF2780" w14:paraId="72FEE679" w14:textId="77777777" w:rsidTr="00B05F31">
        <w:tc>
          <w:tcPr>
            <w:tcW w:w="709" w:type="dxa"/>
          </w:tcPr>
          <w:p w14:paraId="10442639"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64.</w:t>
            </w:r>
          </w:p>
        </w:tc>
        <w:tc>
          <w:tcPr>
            <w:tcW w:w="5528" w:type="dxa"/>
          </w:tcPr>
          <w:p w14:paraId="217B0837"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IMELDA ROMERO JUÁREZ</w:t>
            </w:r>
          </w:p>
        </w:tc>
        <w:tc>
          <w:tcPr>
            <w:tcW w:w="993" w:type="dxa"/>
          </w:tcPr>
          <w:p w14:paraId="07F6DF9B"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24ECE493"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lastRenderedPageBreak/>
              <w:t>176</w:t>
            </w:r>
          </w:p>
        </w:tc>
        <w:tc>
          <w:tcPr>
            <w:tcW w:w="992" w:type="dxa"/>
          </w:tcPr>
          <w:p w14:paraId="2F0995C6"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lastRenderedPageBreak/>
              <w:t>0</w:t>
            </w:r>
          </w:p>
          <w:p w14:paraId="1DC39384"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lastRenderedPageBreak/>
              <w:t>07</w:t>
            </w:r>
          </w:p>
        </w:tc>
      </w:tr>
      <w:tr w:rsidR="00AD59FF" w:rsidRPr="00CF2780" w14:paraId="1B072C48" w14:textId="77777777" w:rsidTr="00B05F31">
        <w:tc>
          <w:tcPr>
            <w:tcW w:w="709" w:type="dxa"/>
          </w:tcPr>
          <w:p w14:paraId="37DCA0A6"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lastRenderedPageBreak/>
              <w:t>65.</w:t>
            </w:r>
          </w:p>
        </w:tc>
        <w:tc>
          <w:tcPr>
            <w:tcW w:w="5528" w:type="dxa"/>
          </w:tcPr>
          <w:p w14:paraId="260BE157"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GUILLERMINA GUARDIÁN PULIDO</w:t>
            </w:r>
          </w:p>
        </w:tc>
        <w:tc>
          <w:tcPr>
            <w:tcW w:w="993" w:type="dxa"/>
          </w:tcPr>
          <w:p w14:paraId="30D082B3"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4A32DA6E"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176</w:t>
            </w:r>
          </w:p>
        </w:tc>
        <w:tc>
          <w:tcPr>
            <w:tcW w:w="992" w:type="dxa"/>
          </w:tcPr>
          <w:p w14:paraId="1BF279CA"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40370D54"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08</w:t>
            </w:r>
          </w:p>
        </w:tc>
      </w:tr>
      <w:tr w:rsidR="00AD59FF" w:rsidRPr="00CF2780" w14:paraId="0280FAAA" w14:textId="77777777" w:rsidTr="00B05F31">
        <w:tc>
          <w:tcPr>
            <w:tcW w:w="709" w:type="dxa"/>
          </w:tcPr>
          <w:p w14:paraId="7D3A74AF"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66.</w:t>
            </w:r>
          </w:p>
        </w:tc>
        <w:tc>
          <w:tcPr>
            <w:tcW w:w="5528" w:type="dxa"/>
          </w:tcPr>
          <w:p w14:paraId="469B560F"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HIPÓLITO GONZÁLEZ</w:t>
            </w:r>
          </w:p>
          <w:p w14:paraId="50415A49" w14:textId="77777777" w:rsidR="00AD59FF" w:rsidRPr="00CF2780" w:rsidRDefault="00AD59FF" w:rsidP="00AD59FF">
            <w:pPr>
              <w:spacing w:after="0" w:line="240" w:lineRule="auto"/>
              <w:rPr>
                <w:rFonts w:ascii="Arial" w:eastAsia="Times New Roman" w:hAnsi="Arial" w:cs="Arial"/>
                <w:lang w:val="es-ES" w:eastAsia="es-ES"/>
              </w:rPr>
            </w:pPr>
          </w:p>
        </w:tc>
        <w:tc>
          <w:tcPr>
            <w:tcW w:w="993" w:type="dxa"/>
          </w:tcPr>
          <w:p w14:paraId="76317E61"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63CA439A"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176</w:t>
            </w:r>
          </w:p>
        </w:tc>
        <w:tc>
          <w:tcPr>
            <w:tcW w:w="992" w:type="dxa"/>
          </w:tcPr>
          <w:p w14:paraId="6190483B"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772FDEBD"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09</w:t>
            </w:r>
          </w:p>
        </w:tc>
      </w:tr>
      <w:tr w:rsidR="00AD59FF" w:rsidRPr="00CF2780" w14:paraId="2645C6DE" w14:textId="77777777" w:rsidTr="00B05F31">
        <w:tc>
          <w:tcPr>
            <w:tcW w:w="709" w:type="dxa"/>
          </w:tcPr>
          <w:p w14:paraId="291D04EE"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67.</w:t>
            </w:r>
          </w:p>
        </w:tc>
        <w:tc>
          <w:tcPr>
            <w:tcW w:w="5528" w:type="dxa"/>
          </w:tcPr>
          <w:p w14:paraId="5952E8A4"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JESÚS LECO</w:t>
            </w:r>
          </w:p>
        </w:tc>
        <w:tc>
          <w:tcPr>
            <w:tcW w:w="993" w:type="dxa"/>
          </w:tcPr>
          <w:p w14:paraId="5CB3C5AD"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77B35F7A"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176</w:t>
            </w:r>
          </w:p>
        </w:tc>
        <w:tc>
          <w:tcPr>
            <w:tcW w:w="992" w:type="dxa"/>
          </w:tcPr>
          <w:p w14:paraId="3762BF29"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624C5AD7"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13</w:t>
            </w:r>
          </w:p>
        </w:tc>
      </w:tr>
      <w:tr w:rsidR="00AD59FF" w:rsidRPr="00CF2780" w14:paraId="0C111A0B" w14:textId="77777777" w:rsidTr="00B05F31">
        <w:tc>
          <w:tcPr>
            <w:tcW w:w="709" w:type="dxa"/>
          </w:tcPr>
          <w:p w14:paraId="5DEB078A"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68.</w:t>
            </w:r>
          </w:p>
        </w:tc>
        <w:tc>
          <w:tcPr>
            <w:tcW w:w="5528" w:type="dxa"/>
          </w:tcPr>
          <w:p w14:paraId="1C8D319F"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ANTONIO PÉREZ CUCUE</w:t>
            </w:r>
          </w:p>
        </w:tc>
        <w:tc>
          <w:tcPr>
            <w:tcW w:w="993" w:type="dxa"/>
          </w:tcPr>
          <w:p w14:paraId="6FB5573B"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1AE074A9"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176</w:t>
            </w:r>
          </w:p>
        </w:tc>
        <w:tc>
          <w:tcPr>
            <w:tcW w:w="992" w:type="dxa"/>
          </w:tcPr>
          <w:p w14:paraId="2FE8458C"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7CC0D0A4"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18</w:t>
            </w:r>
          </w:p>
        </w:tc>
      </w:tr>
      <w:tr w:rsidR="00AD59FF" w:rsidRPr="00CF2780" w14:paraId="6A81C4F6" w14:textId="77777777" w:rsidTr="00B05F31">
        <w:tc>
          <w:tcPr>
            <w:tcW w:w="709" w:type="dxa"/>
          </w:tcPr>
          <w:p w14:paraId="0720D238"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69.</w:t>
            </w:r>
          </w:p>
        </w:tc>
        <w:tc>
          <w:tcPr>
            <w:tcW w:w="5528" w:type="dxa"/>
          </w:tcPr>
          <w:p w14:paraId="112D66FE"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CARMEN GUERRERO VELÁZQUEZ</w:t>
            </w:r>
          </w:p>
        </w:tc>
        <w:tc>
          <w:tcPr>
            <w:tcW w:w="993" w:type="dxa"/>
          </w:tcPr>
          <w:p w14:paraId="15D4DE0A"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2256EF37"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179</w:t>
            </w:r>
          </w:p>
        </w:tc>
        <w:tc>
          <w:tcPr>
            <w:tcW w:w="992" w:type="dxa"/>
          </w:tcPr>
          <w:p w14:paraId="7C23D2B0"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0556B59C"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16</w:t>
            </w:r>
          </w:p>
        </w:tc>
      </w:tr>
      <w:tr w:rsidR="00AD59FF" w:rsidRPr="00CF2780" w14:paraId="7B238798" w14:textId="77777777" w:rsidTr="00B05F31">
        <w:tc>
          <w:tcPr>
            <w:tcW w:w="709" w:type="dxa"/>
          </w:tcPr>
          <w:p w14:paraId="0F6E006A"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70.</w:t>
            </w:r>
          </w:p>
        </w:tc>
        <w:tc>
          <w:tcPr>
            <w:tcW w:w="5528" w:type="dxa"/>
          </w:tcPr>
          <w:p w14:paraId="0A129D55"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SERGIO BAUTISTA CHAPANEA</w:t>
            </w:r>
          </w:p>
        </w:tc>
        <w:tc>
          <w:tcPr>
            <w:tcW w:w="993" w:type="dxa"/>
          </w:tcPr>
          <w:p w14:paraId="072A698C"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011FE506"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179</w:t>
            </w:r>
          </w:p>
        </w:tc>
        <w:tc>
          <w:tcPr>
            <w:tcW w:w="992" w:type="dxa"/>
          </w:tcPr>
          <w:p w14:paraId="3FA1BD65"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3AEB9798"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18</w:t>
            </w:r>
          </w:p>
        </w:tc>
      </w:tr>
      <w:tr w:rsidR="00AD59FF" w:rsidRPr="00CF2780" w14:paraId="7D1001CA" w14:textId="77777777" w:rsidTr="00B05F31">
        <w:tc>
          <w:tcPr>
            <w:tcW w:w="709" w:type="dxa"/>
          </w:tcPr>
          <w:p w14:paraId="1D15C935"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71.</w:t>
            </w:r>
          </w:p>
        </w:tc>
        <w:tc>
          <w:tcPr>
            <w:tcW w:w="5528" w:type="dxa"/>
          </w:tcPr>
          <w:p w14:paraId="67D4BAD0"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ERNESTO FRANCISCO TORRES SANTADORA</w:t>
            </w:r>
          </w:p>
        </w:tc>
        <w:tc>
          <w:tcPr>
            <w:tcW w:w="993" w:type="dxa"/>
          </w:tcPr>
          <w:p w14:paraId="670F9F1E"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5D582EC5"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180</w:t>
            </w:r>
          </w:p>
        </w:tc>
        <w:tc>
          <w:tcPr>
            <w:tcW w:w="992" w:type="dxa"/>
          </w:tcPr>
          <w:p w14:paraId="1B07127C"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795CED7E"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09</w:t>
            </w:r>
          </w:p>
        </w:tc>
      </w:tr>
      <w:tr w:rsidR="00AD59FF" w:rsidRPr="00CF2780" w14:paraId="7ED52521" w14:textId="77777777" w:rsidTr="00B05F31">
        <w:tc>
          <w:tcPr>
            <w:tcW w:w="709" w:type="dxa"/>
          </w:tcPr>
          <w:p w14:paraId="6A21AEDF"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72.</w:t>
            </w:r>
          </w:p>
        </w:tc>
        <w:tc>
          <w:tcPr>
            <w:tcW w:w="5528" w:type="dxa"/>
          </w:tcPr>
          <w:p w14:paraId="293E9108"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EDGAR FABIÁN JERÓNIMO</w:t>
            </w:r>
          </w:p>
        </w:tc>
        <w:tc>
          <w:tcPr>
            <w:tcW w:w="993" w:type="dxa"/>
          </w:tcPr>
          <w:p w14:paraId="604EA896"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44A663AD"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181</w:t>
            </w:r>
          </w:p>
        </w:tc>
        <w:tc>
          <w:tcPr>
            <w:tcW w:w="992" w:type="dxa"/>
          </w:tcPr>
          <w:p w14:paraId="3E4AADE1"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51FD55E5"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06</w:t>
            </w:r>
          </w:p>
        </w:tc>
      </w:tr>
      <w:tr w:rsidR="00AD59FF" w:rsidRPr="00CF2780" w14:paraId="4E0A2E35" w14:textId="77777777" w:rsidTr="00B05F31">
        <w:tc>
          <w:tcPr>
            <w:tcW w:w="709" w:type="dxa"/>
          </w:tcPr>
          <w:p w14:paraId="51FE5541"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73.</w:t>
            </w:r>
          </w:p>
        </w:tc>
        <w:tc>
          <w:tcPr>
            <w:tcW w:w="5528" w:type="dxa"/>
          </w:tcPr>
          <w:p w14:paraId="2519789B"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LOURDES OLIVARES ESQUIVEL</w:t>
            </w:r>
          </w:p>
        </w:tc>
        <w:tc>
          <w:tcPr>
            <w:tcW w:w="993" w:type="dxa"/>
          </w:tcPr>
          <w:p w14:paraId="5D348B8D"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43DA97BC"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181</w:t>
            </w:r>
          </w:p>
        </w:tc>
        <w:tc>
          <w:tcPr>
            <w:tcW w:w="992" w:type="dxa"/>
          </w:tcPr>
          <w:p w14:paraId="33FBD646"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5F580023"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08</w:t>
            </w:r>
          </w:p>
        </w:tc>
      </w:tr>
      <w:tr w:rsidR="00AD59FF" w:rsidRPr="00CF2780" w14:paraId="2D4BE892" w14:textId="77777777" w:rsidTr="00B05F31">
        <w:tc>
          <w:tcPr>
            <w:tcW w:w="709" w:type="dxa"/>
          </w:tcPr>
          <w:p w14:paraId="779B8BE1"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74.</w:t>
            </w:r>
          </w:p>
        </w:tc>
        <w:tc>
          <w:tcPr>
            <w:tcW w:w="5528" w:type="dxa"/>
          </w:tcPr>
          <w:p w14:paraId="255234C5"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ELOISA GUTIÉRREZ VALENCIA</w:t>
            </w:r>
          </w:p>
        </w:tc>
        <w:tc>
          <w:tcPr>
            <w:tcW w:w="993" w:type="dxa"/>
          </w:tcPr>
          <w:p w14:paraId="5DBF311F"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0ACC5E03"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181</w:t>
            </w:r>
          </w:p>
        </w:tc>
        <w:tc>
          <w:tcPr>
            <w:tcW w:w="992" w:type="dxa"/>
          </w:tcPr>
          <w:p w14:paraId="5D3F5435"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618E5B28"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09</w:t>
            </w:r>
          </w:p>
        </w:tc>
      </w:tr>
      <w:tr w:rsidR="00AD59FF" w:rsidRPr="00CF2780" w14:paraId="150B480C" w14:textId="77777777" w:rsidTr="00B05F31">
        <w:tc>
          <w:tcPr>
            <w:tcW w:w="709" w:type="dxa"/>
          </w:tcPr>
          <w:p w14:paraId="5425F71D"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75.</w:t>
            </w:r>
          </w:p>
        </w:tc>
        <w:tc>
          <w:tcPr>
            <w:tcW w:w="5528" w:type="dxa"/>
          </w:tcPr>
          <w:p w14:paraId="4F85F7B7"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JOSÉ LUIS BABIAN RAFAEL</w:t>
            </w:r>
          </w:p>
        </w:tc>
        <w:tc>
          <w:tcPr>
            <w:tcW w:w="993" w:type="dxa"/>
          </w:tcPr>
          <w:p w14:paraId="617CFBB3"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12D0E22A"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181</w:t>
            </w:r>
          </w:p>
        </w:tc>
        <w:tc>
          <w:tcPr>
            <w:tcW w:w="992" w:type="dxa"/>
          </w:tcPr>
          <w:p w14:paraId="72811A74"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5DE0D2FE"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01</w:t>
            </w:r>
          </w:p>
        </w:tc>
      </w:tr>
      <w:tr w:rsidR="00AD59FF" w:rsidRPr="00CF2780" w14:paraId="415DCB92" w14:textId="77777777" w:rsidTr="00B05F31">
        <w:tc>
          <w:tcPr>
            <w:tcW w:w="709" w:type="dxa"/>
          </w:tcPr>
          <w:p w14:paraId="6CD7ABCE"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76.</w:t>
            </w:r>
          </w:p>
        </w:tc>
        <w:tc>
          <w:tcPr>
            <w:tcW w:w="5528" w:type="dxa"/>
          </w:tcPr>
          <w:p w14:paraId="28E6E790"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LETICIAN GUERRERO CHARICATA</w:t>
            </w:r>
          </w:p>
        </w:tc>
        <w:tc>
          <w:tcPr>
            <w:tcW w:w="993" w:type="dxa"/>
          </w:tcPr>
          <w:p w14:paraId="3D4E3E2E"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7DB42D65"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182</w:t>
            </w:r>
          </w:p>
        </w:tc>
        <w:tc>
          <w:tcPr>
            <w:tcW w:w="992" w:type="dxa"/>
          </w:tcPr>
          <w:p w14:paraId="043E6EDC"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6A2FA870"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02</w:t>
            </w:r>
          </w:p>
        </w:tc>
      </w:tr>
      <w:tr w:rsidR="00AD59FF" w:rsidRPr="00CF2780" w14:paraId="4EBFB691" w14:textId="77777777" w:rsidTr="00B05F31">
        <w:tc>
          <w:tcPr>
            <w:tcW w:w="709" w:type="dxa"/>
          </w:tcPr>
          <w:p w14:paraId="465775AF"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77.</w:t>
            </w:r>
          </w:p>
        </w:tc>
        <w:tc>
          <w:tcPr>
            <w:tcW w:w="5528" w:type="dxa"/>
          </w:tcPr>
          <w:p w14:paraId="244A85A8"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Ma. GUADALUPE GUERRERO QUERIAPA</w:t>
            </w:r>
          </w:p>
        </w:tc>
        <w:tc>
          <w:tcPr>
            <w:tcW w:w="993" w:type="dxa"/>
          </w:tcPr>
          <w:p w14:paraId="59F631A8"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54DBD9A4"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182</w:t>
            </w:r>
          </w:p>
        </w:tc>
        <w:tc>
          <w:tcPr>
            <w:tcW w:w="992" w:type="dxa"/>
          </w:tcPr>
          <w:p w14:paraId="113939BB"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5B68638B"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10</w:t>
            </w:r>
          </w:p>
        </w:tc>
      </w:tr>
      <w:tr w:rsidR="00AD59FF" w:rsidRPr="00CF2780" w14:paraId="54C3A3C6" w14:textId="77777777" w:rsidTr="00B05F31">
        <w:tc>
          <w:tcPr>
            <w:tcW w:w="709" w:type="dxa"/>
          </w:tcPr>
          <w:p w14:paraId="2BCBC82C"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78.</w:t>
            </w:r>
          </w:p>
        </w:tc>
        <w:tc>
          <w:tcPr>
            <w:tcW w:w="5528" w:type="dxa"/>
          </w:tcPr>
          <w:p w14:paraId="43CAFE40"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EDITH URBINA FABIÁN</w:t>
            </w:r>
          </w:p>
        </w:tc>
        <w:tc>
          <w:tcPr>
            <w:tcW w:w="993" w:type="dxa"/>
          </w:tcPr>
          <w:p w14:paraId="5D88B4EA"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609162C7"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194</w:t>
            </w:r>
          </w:p>
        </w:tc>
        <w:tc>
          <w:tcPr>
            <w:tcW w:w="992" w:type="dxa"/>
          </w:tcPr>
          <w:p w14:paraId="44874A1A"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1532B12C"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09</w:t>
            </w:r>
          </w:p>
        </w:tc>
      </w:tr>
      <w:tr w:rsidR="00AD59FF" w:rsidRPr="00CF2780" w14:paraId="6DD3EC41" w14:textId="77777777" w:rsidTr="00B05F31">
        <w:tc>
          <w:tcPr>
            <w:tcW w:w="709" w:type="dxa"/>
          </w:tcPr>
          <w:p w14:paraId="706EC502"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79.</w:t>
            </w:r>
          </w:p>
        </w:tc>
        <w:tc>
          <w:tcPr>
            <w:tcW w:w="5528" w:type="dxa"/>
          </w:tcPr>
          <w:p w14:paraId="6488D503"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ROSALINA SÁNCHEZ GUERRERO</w:t>
            </w:r>
          </w:p>
        </w:tc>
        <w:tc>
          <w:tcPr>
            <w:tcW w:w="993" w:type="dxa"/>
          </w:tcPr>
          <w:p w14:paraId="7060B485"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48FA49C0"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78</w:t>
            </w:r>
          </w:p>
        </w:tc>
        <w:tc>
          <w:tcPr>
            <w:tcW w:w="992" w:type="dxa"/>
          </w:tcPr>
          <w:p w14:paraId="44EC3945"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355DE2D6"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06</w:t>
            </w:r>
          </w:p>
        </w:tc>
      </w:tr>
      <w:tr w:rsidR="00AD59FF" w:rsidRPr="00CF2780" w14:paraId="5D7C24FD" w14:textId="77777777" w:rsidTr="00B05F31">
        <w:tc>
          <w:tcPr>
            <w:tcW w:w="709" w:type="dxa"/>
          </w:tcPr>
          <w:p w14:paraId="761B6283"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80</w:t>
            </w:r>
          </w:p>
        </w:tc>
        <w:tc>
          <w:tcPr>
            <w:tcW w:w="5528" w:type="dxa"/>
          </w:tcPr>
          <w:p w14:paraId="139F20D2"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MARIA GUADALUPE NUNEZ FABIAN</w:t>
            </w:r>
          </w:p>
        </w:tc>
        <w:tc>
          <w:tcPr>
            <w:tcW w:w="993" w:type="dxa"/>
          </w:tcPr>
          <w:p w14:paraId="5ABADB0D"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4D72557E"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135</w:t>
            </w:r>
          </w:p>
        </w:tc>
        <w:tc>
          <w:tcPr>
            <w:tcW w:w="992" w:type="dxa"/>
          </w:tcPr>
          <w:p w14:paraId="36469F76"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4E603FCB"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09</w:t>
            </w:r>
          </w:p>
        </w:tc>
      </w:tr>
      <w:tr w:rsidR="00AD59FF" w:rsidRPr="00CF2780" w14:paraId="1DA286FA" w14:textId="77777777" w:rsidTr="00B05F31">
        <w:tc>
          <w:tcPr>
            <w:tcW w:w="709" w:type="dxa"/>
          </w:tcPr>
          <w:p w14:paraId="7EA3DA5E"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81</w:t>
            </w:r>
          </w:p>
        </w:tc>
        <w:tc>
          <w:tcPr>
            <w:tcW w:w="5528" w:type="dxa"/>
          </w:tcPr>
          <w:p w14:paraId="6EFD4DE5"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JOSE ANGEL GUERRERO V.</w:t>
            </w:r>
          </w:p>
        </w:tc>
        <w:tc>
          <w:tcPr>
            <w:tcW w:w="993" w:type="dxa"/>
          </w:tcPr>
          <w:p w14:paraId="06A22CE0"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16A04965"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135</w:t>
            </w:r>
          </w:p>
        </w:tc>
        <w:tc>
          <w:tcPr>
            <w:tcW w:w="992" w:type="dxa"/>
          </w:tcPr>
          <w:p w14:paraId="1E2C6E20"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29899193"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20</w:t>
            </w:r>
          </w:p>
        </w:tc>
      </w:tr>
      <w:tr w:rsidR="00AD59FF" w:rsidRPr="00CF2780" w14:paraId="0E3D54D3" w14:textId="77777777" w:rsidTr="00B05F31">
        <w:tc>
          <w:tcPr>
            <w:tcW w:w="709" w:type="dxa"/>
          </w:tcPr>
          <w:p w14:paraId="7F20DEBD"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82</w:t>
            </w:r>
          </w:p>
        </w:tc>
        <w:tc>
          <w:tcPr>
            <w:tcW w:w="5528" w:type="dxa"/>
          </w:tcPr>
          <w:p w14:paraId="2B0DE229"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FELIPE MENDOZA LEYVA</w:t>
            </w:r>
          </w:p>
        </w:tc>
        <w:tc>
          <w:tcPr>
            <w:tcW w:w="993" w:type="dxa"/>
          </w:tcPr>
          <w:p w14:paraId="4EAA0F24"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6D13C685"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137</w:t>
            </w:r>
          </w:p>
        </w:tc>
        <w:tc>
          <w:tcPr>
            <w:tcW w:w="992" w:type="dxa"/>
          </w:tcPr>
          <w:p w14:paraId="2AB3D27B"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4F9E7D64"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27</w:t>
            </w:r>
          </w:p>
        </w:tc>
      </w:tr>
      <w:tr w:rsidR="00AD59FF" w:rsidRPr="00CF2780" w14:paraId="20A6D7B6" w14:textId="77777777" w:rsidTr="00B05F31">
        <w:tc>
          <w:tcPr>
            <w:tcW w:w="709" w:type="dxa"/>
          </w:tcPr>
          <w:p w14:paraId="61EBE0EA"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83</w:t>
            </w:r>
          </w:p>
        </w:tc>
        <w:tc>
          <w:tcPr>
            <w:tcW w:w="5528" w:type="dxa"/>
          </w:tcPr>
          <w:p w14:paraId="31206F0A"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FROYLAN DURÁN FLORES</w:t>
            </w:r>
          </w:p>
        </w:tc>
        <w:tc>
          <w:tcPr>
            <w:tcW w:w="993" w:type="dxa"/>
          </w:tcPr>
          <w:p w14:paraId="44509A0A"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63324F71"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138</w:t>
            </w:r>
          </w:p>
        </w:tc>
        <w:tc>
          <w:tcPr>
            <w:tcW w:w="992" w:type="dxa"/>
          </w:tcPr>
          <w:p w14:paraId="1C1E8BC7"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5AE51015"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02</w:t>
            </w:r>
          </w:p>
        </w:tc>
      </w:tr>
      <w:tr w:rsidR="00AD59FF" w:rsidRPr="00CF2780" w14:paraId="366187CB" w14:textId="77777777" w:rsidTr="00B05F31">
        <w:tc>
          <w:tcPr>
            <w:tcW w:w="709" w:type="dxa"/>
          </w:tcPr>
          <w:p w14:paraId="3BAE320A"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84</w:t>
            </w:r>
          </w:p>
        </w:tc>
        <w:tc>
          <w:tcPr>
            <w:tcW w:w="5528" w:type="dxa"/>
          </w:tcPr>
          <w:p w14:paraId="24C28A11" w14:textId="77777777" w:rsidR="00AD59FF" w:rsidRPr="00CF2780" w:rsidRDefault="00AD59FF" w:rsidP="00AD59FF">
            <w:pPr>
              <w:spacing w:after="0" w:line="240" w:lineRule="auto"/>
              <w:rPr>
                <w:rFonts w:ascii="Arial" w:eastAsia="Times New Roman" w:hAnsi="Arial" w:cs="Arial"/>
                <w:lang w:val="es-ES" w:eastAsia="es-ES"/>
              </w:rPr>
            </w:pPr>
            <w:r w:rsidRPr="00CF2780">
              <w:rPr>
                <w:rFonts w:ascii="Arial" w:eastAsia="Times New Roman" w:hAnsi="Arial" w:cs="Arial"/>
                <w:lang w:val="es-ES" w:eastAsia="es-ES"/>
              </w:rPr>
              <w:t>JUANA AGUILAR SOTELO</w:t>
            </w:r>
          </w:p>
        </w:tc>
        <w:tc>
          <w:tcPr>
            <w:tcW w:w="993" w:type="dxa"/>
          </w:tcPr>
          <w:p w14:paraId="56377F3F"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w:t>
            </w:r>
          </w:p>
          <w:p w14:paraId="2A198242"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138</w:t>
            </w:r>
          </w:p>
        </w:tc>
        <w:tc>
          <w:tcPr>
            <w:tcW w:w="992" w:type="dxa"/>
          </w:tcPr>
          <w:p w14:paraId="2FA6E6CF"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O</w:t>
            </w:r>
          </w:p>
          <w:p w14:paraId="30F15BF5" w14:textId="77777777" w:rsidR="00AD59FF" w:rsidRPr="00CF2780" w:rsidRDefault="00AD59FF" w:rsidP="00AD59FF">
            <w:pPr>
              <w:spacing w:after="0" w:line="240" w:lineRule="auto"/>
              <w:jc w:val="center"/>
              <w:rPr>
                <w:rFonts w:ascii="Arial" w:eastAsia="Times New Roman" w:hAnsi="Arial" w:cs="Arial"/>
                <w:lang w:val="es-ES" w:eastAsia="es-ES"/>
              </w:rPr>
            </w:pPr>
            <w:r w:rsidRPr="00CF2780">
              <w:rPr>
                <w:rFonts w:ascii="Arial" w:eastAsia="Times New Roman" w:hAnsi="Arial" w:cs="Arial"/>
                <w:lang w:val="es-ES" w:eastAsia="es-ES"/>
              </w:rPr>
              <w:t>03</w:t>
            </w:r>
          </w:p>
        </w:tc>
      </w:tr>
    </w:tbl>
    <w:p w14:paraId="56A33CA7" w14:textId="77777777" w:rsidR="00AD59FF" w:rsidRPr="00CF2780" w:rsidRDefault="00AD59FF" w:rsidP="00AD59FF">
      <w:pPr>
        <w:spacing w:after="0" w:line="360" w:lineRule="auto"/>
        <w:ind w:firstLine="709"/>
        <w:jc w:val="both"/>
        <w:rPr>
          <w:rFonts w:ascii="Arial" w:eastAsia="Times New Roman" w:hAnsi="Arial" w:cs="Arial"/>
          <w:sz w:val="28"/>
          <w:szCs w:val="24"/>
          <w:u w:val="single"/>
          <w:lang w:val="es-ES" w:eastAsia="es-ES"/>
        </w:rPr>
      </w:pPr>
    </w:p>
    <w:p w14:paraId="4F5ABE90"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Lo anterior, porque las listas de firmas son tituladas: “</w:t>
      </w:r>
      <w:r w:rsidRPr="00CF2780">
        <w:rPr>
          <w:rFonts w:ascii="Arial" w:eastAsia="Times New Roman" w:hAnsi="Arial" w:cs="Arial"/>
          <w:i/>
          <w:sz w:val="28"/>
          <w:szCs w:val="24"/>
          <w:lang w:val="es-ES" w:eastAsia="es-ES"/>
        </w:rPr>
        <w:t>Listado de promoventes de la comunidad indígena de Cherán para el juicio para la protección de los derechos político-electorales del ciudadano</w:t>
      </w:r>
      <w:r w:rsidRPr="00CF2780">
        <w:rPr>
          <w:rFonts w:ascii="Arial" w:eastAsia="Times New Roman" w:hAnsi="Arial" w:cs="Arial"/>
          <w:sz w:val="28"/>
          <w:szCs w:val="24"/>
          <w:lang w:val="es-ES" w:eastAsia="es-ES"/>
        </w:rPr>
        <w:t xml:space="preserve">”, lo que </w:t>
      </w:r>
      <w:r w:rsidRPr="00CF2780">
        <w:rPr>
          <w:rFonts w:ascii="Arial" w:eastAsia="Times New Roman" w:hAnsi="Arial" w:cs="Arial"/>
          <w:sz w:val="28"/>
          <w:szCs w:val="24"/>
          <w:lang w:val="es-ES" w:eastAsia="es-ES"/>
        </w:rPr>
        <w:lastRenderedPageBreak/>
        <w:t xml:space="preserve">permite considerar que los ciudadanos que suscribieron dichas listas eran conscientes del objetivo y finalidad de las mismas, por lo que la circunstancia que no se encuentren enunciados en la demanda en forma alguna impide que se les tenga como promoventes en el presente juicio. </w:t>
      </w:r>
    </w:p>
    <w:p w14:paraId="674D89BB"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24A9A899"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Conforme a los criterios precedentes, la demanda se encuentra firmada por dos mil trescientos doce ciudadanos, tal y como consta en las listas correspondientes que corren agregadas en autos de la foja 53 a la 200 del cuaderno principal del expediente en que se actúa.</w:t>
      </w:r>
    </w:p>
    <w:p w14:paraId="1BB5AB02"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236E32C3"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Lo anterior, en virtud de que ha sido criterio de este órgano jurisdiccional que tratándose de integrantes de pueblos y comunidades indígenas, las normas procesales, especialmente aquellas que imponen determinadas cargas, deben interpretarse de la forma que resulte más favorable a las comunidades indígenas, pues el artículo 2o, apartado A, fracción VIII, de la Constitución Política de los Estados Unidos Mexicanos garantiza a los pueblos indígenas, el efectivo acceso a la jurisdicción del Estado, para lo cual, el juzgador debe atender primordialmente a la necesidad de establecer protecciones jurídicas especiales en favor de las comunidades indígenas y de los sujetos que las conforman, por sus particulares condiciones de desigualdad, facilitándoles el acceso a la tutela judicial para que ésta sea efectiva.</w:t>
      </w:r>
    </w:p>
    <w:p w14:paraId="559E1DCF"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2DEA662B"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145E3C8A"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Dicho criterio se encuentra contenido en la tesis XLVII/2002</w:t>
      </w:r>
      <w:r w:rsidRPr="00CF2780">
        <w:rPr>
          <w:rFonts w:ascii="Arial" w:eastAsia="Times New Roman" w:hAnsi="Arial" w:cs="Arial"/>
          <w:sz w:val="28"/>
          <w:szCs w:val="28"/>
          <w:lang w:val="es-ES" w:eastAsia="es-ES"/>
        </w:rPr>
        <w:t xml:space="preserve"> visible en las páginas 1536 y 1537 de la </w:t>
      </w:r>
      <w:r w:rsidRPr="00CF2780">
        <w:rPr>
          <w:rFonts w:ascii="Arial" w:eastAsia="Times New Roman" w:hAnsi="Arial" w:cs="Arial"/>
          <w:i/>
          <w:sz w:val="28"/>
          <w:szCs w:val="28"/>
          <w:lang w:val="es-ES" w:eastAsia="es-ES"/>
        </w:rPr>
        <w:t xml:space="preserve">Compilación 1997-2010: </w:t>
      </w:r>
      <w:r w:rsidRPr="00CF2780">
        <w:rPr>
          <w:rFonts w:ascii="Arial" w:eastAsia="Times New Roman" w:hAnsi="Arial" w:cs="Arial"/>
          <w:i/>
          <w:sz w:val="28"/>
          <w:szCs w:val="28"/>
          <w:lang w:val="es-ES" w:eastAsia="es-ES"/>
        </w:rPr>
        <w:lastRenderedPageBreak/>
        <w:t>Jurisprudencia y tesis en materia electoral</w:t>
      </w:r>
      <w:r w:rsidRPr="00CF2780">
        <w:rPr>
          <w:rFonts w:ascii="Arial" w:eastAsia="Times New Roman" w:hAnsi="Arial" w:cs="Arial"/>
          <w:sz w:val="28"/>
          <w:szCs w:val="28"/>
          <w:lang w:val="es-ES" w:eastAsia="es-ES"/>
        </w:rPr>
        <w:t xml:space="preserve">, tomo II Tesis, volumen 2, publicada por el Tribunal </w:t>
      </w:r>
      <w:r w:rsidRPr="00CF2780">
        <w:rPr>
          <w:rFonts w:ascii="Arial" w:eastAsia="Times New Roman" w:hAnsi="Arial" w:cs="Arial"/>
          <w:sz w:val="28"/>
          <w:szCs w:val="24"/>
          <w:lang w:val="es-ES" w:eastAsia="es-ES"/>
        </w:rPr>
        <w:t>Electoral del Poder Judicial de la Federación, cuyo rubro es: “</w:t>
      </w:r>
      <w:hyperlink r:id="rId13" w:anchor="XLVII/2002_" w:history="1">
        <w:r w:rsidRPr="00CF2780">
          <w:rPr>
            <w:rFonts w:ascii="Arial" w:eastAsia="Times New Roman" w:hAnsi="Arial" w:cs="Arial"/>
            <w:b/>
            <w:sz w:val="28"/>
            <w:szCs w:val="24"/>
            <w:lang w:val="es-ES" w:eastAsia="es-ES"/>
          </w:rPr>
          <w:t>PUEBLOS Y COMUNIDADES INDÍGENAS. LA INTERPRETACIÓN DE LAS NORMAS PROCESALES DEBE HACERSE DE LA FORMA QUE LES SEA MÁS FAVORABLE</w:t>
        </w:r>
      </w:hyperlink>
      <w:r w:rsidRPr="00CF2780">
        <w:rPr>
          <w:rFonts w:ascii="Arial" w:eastAsia="Times New Roman" w:hAnsi="Arial" w:cs="Arial"/>
          <w:sz w:val="28"/>
          <w:szCs w:val="24"/>
          <w:lang w:val="es-ES" w:eastAsia="es-ES"/>
        </w:rPr>
        <w:t>”.</w:t>
      </w:r>
    </w:p>
    <w:p w14:paraId="7E454775"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42D33EBA"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Asimismo, importa destacar que las listas de firmas de los ciudadanos se encuentran agrupadas según el barrio al que pertenece cada ciudadano, por lo que se tienen listas de ciudadanos pertenecientes a los barrios primero, segundo, tercero y cuarto.</w:t>
      </w:r>
    </w:p>
    <w:p w14:paraId="3D1A3CB6"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3297F579"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Tal dato es relevante porque se tiene conocimiento que la comunidad indígena de Cherán se encuentra subdividida y organizada en cuatro barrios.</w:t>
      </w:r>
    </w:p>
    <w:p w14:paraId="0AB0F741"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420A395A"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 xml:space="preserve">En efecto, la obra </w:t>
      </w:r>
      <w:r w:rsidRPr="00CF2780">
        <w:rPr>
          <w:rFonts w:ascii="Arial" w:eastAsia="Times New Roman" w:hAnsi="Arial" w:cs="Arial"/>
          <w:i/>
          <w:sz w:val="28"/>
          <w:szCs w:val="24"/>
          <w:lang w:val="es-ES" w:eastAsia="es-ES"/>
        </w:rPr>
        <w:t>Cheran: a Sierra Tarascan Village</w:t>
      </w:r>
      <w:r w:rsidRPr="00CF2780">
        <w:rPr>
          <w:rFonts w:ascii="Arial" w:eastAsia="Times New Roman" w:hAnsi="Arial" w:cs="Arial"/>
          <w:sz w:val="28"/>
          <w:szCs w:val="24"/>
          <w:lang w:val="es-ES" w:eastAsia="es-ES"/>
        </w:rPr>
        <w:t xml:space="preserve"> escrita por Ralph Larson Beals, publicación número 2 del Instituto de Antropología Social de la Smithsonian Institution y publicada por la editorial Greenwood Press, en Westport, Connecticut, en 1945 contiene un estudio antropológico realizado </w:t>
      </w:r>
      <w:r w:rsidRPr="00CF2780">
        <w:rPr>
          <w:rFonts w:ascii="Arial" w:eastAsia="Times New Roman" w:hAnsi="Arial" w:cs="Arial"/>
          <w:i/>
          <w:sz w:val="28"/>
          <w:szCs w:val="24"/>
          <w:lang w:val="es-ES" w:eastAsia="es-ES"/>
        </w:rPr>
        <w:t xml:space="preserve">in situ </w:t>
      </w:r>
      <w:r w:rsidRPr="00CF2780">
        <w:rPr>
          <w:rFonts w:ascii="Arial" w:eastAsia="Times New Roman" w:hAnsi="Arial" w:cs="Arial"/>
          <w:sz w:val="28"/>
          <w:szCs w:val="24"/>
          <w:lang w:val="es-ES" w:eastAsia="es-ES"/>
        </w:rPr>
        <w:t>por un grupo de investigadores mexicanos y norteamericanos dirigidos por el Dr. Ralp Larson Beals mediante técnicas de la antropología cultural, principalmente, la observación de campo y la entrevista a los integrantes de la comunidad, durante ochos meses entre los años mil novecientos cuarenta y mil novecientos cuarenta y uno.</w:t>
      </w:r>
    </w:p>
    <w:p w14:paraId="1D470924"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49365C94"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lastRenderedPageBreak/>
        <w:t xml:space="preserve">Dicha obra tiene traducción al español realizada por Agustín Jacinto Zavala con el nombre de </w:t>
      </w:r>
      <w:r w:rsidRPr="00CF2780">
        <w:rPr>
          <w:rFonts w:ascii="Arial" w:eastAsia="Times New Roman" w:hAnsi="Arial" w:cs="Arial"/>
          <w:i/>
          <w:sz w:val="28"/>
          <w:szCs w:val="24"/>
          <w:lang w:val="es-ES" w:eastAsia="es-ES"/>
        </w:rPr>
        <w:t>Cherán un pueblo de la sierra tarasca</w:t>
      </w:r>
      <w:r w:rsidRPr="00CF2780">
        <w:rPr>
          <w:rFonts w:ascii="Arial" w:eastAsia="Times New Roman" w:hAnsi="Arial" w:cs="Arial"/>
          <w:sz w:val="28"/>
          <w:szCs w:val="24"/>
          <w:lang w:val="es-ES" w:eastAsia="es-ES"/>
        </w:rPr>
        <w:t>, publicada por el Colegio de Michoacán y el Instituto Michoacano de Cultura, en el año de mil novecientos noventa y dos.</w:t>
      </w:r>
    </w:p>
    <w:p w14:paraId="458A83F0"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6DF476C9"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En el estudio referido, en las páginas 231 y 232 de la traducción al español, se expresa:</w:t>
      </w:r>
    </w:p>
    <w:p w14:paraId="567DECBD"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37EFE1E8"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 xml:space="preserve">“Una subdivisión mayor que la de la manzana nos la da el barrio...Estas divisiones funcionan en relación con las elecciones, ocupación de cargos oficiales, y ciertas obligaciones municipales y ceremoniales. El barrio No. I está al noroeste y es conocido como </w:t>
      </w:r>
      <w:r w:rsidRPr="00CF2780">
        <w:rPr>
          <w:rFonts w:ascii="Arial" w:eastAsia="Times New Roman" w:hAnsi="Arial" w:cs="Arial"/>
          <w:i/>
          <w:sz w:val="24"/>
          <w:szCs w:val="24"/>
          <w:lang w:val="es-ES" w:eastAsia="es-ES"/>
        </w:rPr>
        <w:t>Jalúkutin [Jarhúkutin],</w:t>
      </w:r>
      <w:r w:rsidRPr="00CF2780">
        <w:rPr>
          <w:rFonts w:ascii="Arial" w:eastAsia="Times New Roman" w:hAnsi="Arial" w:cs="Arial"/>
          <w:sz w:val="24"/>
          <w:szCs w:val="24"/>
          <w:lang w:val="es-ES" w:eastAsia="es-ES"/>
        </w:rPr>
        <w:t xml:space="preserve"> o en su forma hispanizada </w:t>
      </w:r>
      <w:r w:rsidRPr="00CF2780">
        <w:rPr>
          <w:rFonts w:ascii="Arial" w:eastAsia="Times New Roman" w:hAnsi="Arial" w:cs="Arial"/>
          <w:i/>
          <w:sz w:val="24"/>
          <w:szCs w:val="24"/>
          <w:lang w:val="es-ES" w:eastAsia="es-ES"/>
        </w:rPr>
        <w:t>Urúkutin [Arúkutin].</w:t>
      </w:r>
      <w:r w:rsidRPr="00CF2780">
        <w:rPr>
          <w:rFonts w:ascii="Arial" w:eastAsia="Times New Roman" w:hAnsi="Arial" w:cs="Arial"/>
          <w:sz w:val="24"/>
          <w:szCs w:val="24"/>
          <w:lang w:val="es-ES" w:eastAsia="es-ES"/>
        </w:rPr>
        <w:t xml:space="preserve"> Se dice que este nombre significa "en el bordo" o "algo que está en una esquinita", aparentemente refiriéndose a su posición sobre el bordo de la barranca más grande o su posición contra una pequeña colina sobre el bordo noreste del pueblo. El barrio No. II se llama </w:t>
      </w:r>
      <w:r w:rsidRPr="00CF2780">
        <w:rPr>
          <w:rFonts w:ascii="Arial" w:eastAsia="Times New Roman" w:hAnsi="Arial" w:cs="Arial"/>
          <w:i/>
          <w:sz w:val="24"/>
          <w:szCs w:val="24"/>
          <w:lang w:val="es-ES" w:eastAsia="es-ES"/>
        </w:rPr>
        <w:t>Kéiku [Kénhiku]</w:t>
      </w:r>
      <w:r w:rsidRPr="00CF2780">
        <w:rPr>
          <w:rFonts w:ascii="Arial" w:eastAsia="Times New Roman" w:hAnsi="Arial" w:cs="Arial"/>
          <w:sz w:val="24"/>
          <w:szCs w:val="24"/>
          <w:lang w:val="es-ES" w:eastAsia="es-ES"/>
        </w:rPr>
        <w:t xml:space="preserve"> o "de abajo" o barrio de abajo y es el barrio del sudoeste. El No. III, del sudeste, es </w:t>
      </w:r>
      <w:r w:rsidRPr="00CF2780">
        <w:rPr>
          <w:rFonts w:ascii="Arial" w:eastAsia="Times New Roman" w:hAnsi="Arial" w:cs="Arial"/>
          <w:i/>
          <w:sz w:val="24"/>
          <w:szCs w:val="24"/>
          <w:lang w:val="es-ES" w:eastAsia="es-ES"/>
        </w:rPr>
        <w:t xml:space="preserve">Kalákua [Karhákua], </w:t>
      </w:r>
      <w:r w:rsidRPr="00CF2780">
        <w:rPr>
          <w:rFonts w:ascii="Arial" w:eastAsia="Times New Roman" w:hAnsi="Arial" w:cs="Arial"/>
          <w:sz w:val="24"/>
          <w:szCs w:val="24"/>
          <w:lang w:val="es-ES" w:eastAsia="es-ES"/>
        </w:rPr>
        <w:t>“de arriba o barrio</w:t>
      </w:r>
      <w:r w:rsidRPr="00CF2780">
        <w:rPr>
          <w:rFonts w:ascii="Arial" w:eastAsia="Times New Roman" w:hAnsi="Arial" w:cs="Arial"/>
          <w:i/>
          <w:sz w:val="24"/>
          <w:szCs w:val="24"/>
          <w:lang w:val="es-ES" w:eastAsia="es-ES"/>
        </w:rPr>
        <w:t xml:space="preserve"> </w:t>
      </w:r>
      <w:r w:rsidRPr="00CF2780">
        <w:rPr>
          <w:rFonts w:ascii="Arial" w:eastAsia="Times New Roman" w:hAnsi="Arial" w:cs="Arial"/>
          <w:sz w:val="24"/>
          <w:szCs w:val="24"/>
          <w:lang w:val="es-ES" w:eastAsia="es-ES"/>
        </w:rPr>
        <w:t xml:space="preserve">de arriba”…El barrio IV es </w:t>
      </w:r>
      <w:r w:rsidRPr="00CF2780">
        <w:rPr>
          <w:rFonts w:ascii="Arial" w:eastAsia="Times New Roman" w:hAnsi="Arial" w:cs="Arial"/>
          <w:i/>
          <w:sz w:val="24"/>
          <w:szCs w:val="24"/>
          <w:lang w:val="es-ES" w:eastAsia="es-ES"/>
        </w:rPr>
        <w:t>Parícutin</w:t>
      </w:r>
      <w:r w:rsidRPr="00CF2780">
        <w:rPr>
          <w:rFonts w:ascii="Arial" w:eastAsia="Times New Roman" w:hAnsi="Arial" w:cs="Arial"/>
          <w:sz w:val="24"/>
          <w:szCs w:val="24"/>
          <w:lang w:val="es-ES" w:eastAsia="es-ES"/>
        </w:rPr>
        <w:t xml:space="preserve"> </w:t>
      </w:r>
      <w:r w:rsidRPr="00CF2780">
        <w:rPr>
          <w:rFonts w:ascii="Arial" w:eastAsia="Times New Roman" w:hAnsi="Arial" w:cs="Arial"/>
          <w:i/>
          <w:sz w:val="24"/>
          <w:szCs w:val="24"/>
          <w:lang w:val="es-ES" w:eastAsia="es-ES"/>
        </w:rPr>
        <w:t>[Parhíkutin],</w:t>
      </w:r>
      <w:r w:rsidRPr="00CF2780">
        <w:rPr>
          <w:rFonts w:ascii="Arial" w:eastAsia="Times New Roman" w:hAnsi="Arial" w:cs="Arial"/>
          <w:sz w:val="24"/>
          <w:szCs w:val="24"/>
          <w:lang w:val="es-ES" w:eastAsia="es-ES"/>
        </w:rPr>
        <w:t xml:space="preserve"> Esta palabra significa "pasar al otro lado" y se refiere a la posición del barrio sobre el bordo de una barranca.</w:t>
      </w:r>
    </w:p>
    <w:p w14:paraId="08BA538E"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p>
    <w:p w14:paraId="6F2432FE"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La membrecía en un barrio se basa enteramente en la residencia. Los propietarios que residen en otro barrio sólo tienen obligaciones de barrio en el lugar de su residencia. No hay rivalidad entre los barrios ni hay casos en que éstos actúen como unidades por su propia iniciativa…Con toda probabilidad, las subdivisiones son de origen español…”.</w:t>
      </w:r>
    </w:p>
    <w:p w14:paraId="5AC53441"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5A7296BA"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Esta descripción muestra que la circunstancia de que las firmas de los promoventes se agrupen según el barrio en el que residen en Cherán constituye un dato relevante, pues implica que la demanda es presentada por ciudadanos que forman parte de los cuatro barrios en que se divide dicha comunidad indígena y que constituye una parte trascendental y primordial de su autorganización.</w:t>
      </w:r>
    </w:p>
    <w:p w14:paraId="790D33BC"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0A86AF28"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lastRenderedPageBreak/>
        <w:t>Al respecto, debe considerarse que el barrio (</w:t>
      </w:r>
      <w:r w:rsidRPr="00CF2780">
        <w:rPr>
          <w:rFonts w:ascii="Arial" w:eastAsia="Times New Roman" w:hAnsi="Arial" w:cs="Arial"/>
          <w:i/>
          <w:sz w:val="28"/>
          <w:szCs w:val="24"/>
          <w:lang w:val="es-ES" w:eastAsia="es-ES"/>
        </w:rPr>
        <w:t>calpulli</w:t>
      </w:r>
      <w:r w:rsidRPr="00CF2780">
        <w:rPr>
          <w:rFonts w:ascii="Arial" w:eastAsia="Times New Roman" w:hAnsi="Arial" w:cs="Arial"/>
          <w:sz w:val="28"/>
          <w:szCs w:val="24"/>
          <w:lang w:val="es-ES" w:eastAsia="es-ES"/>
        </w:rPr>
        <w:t xml:space="preserve"> en náhuatl y </w:t>
      </w:r>
      <w:r w:rsidRPr="00CF2780">
        <w:rPr>
          <w:rFonts w:ascii="Arial" w:eastAsia="Times New Roman" w:hAnsi="Arial" w:cs="Arial"/>
          <w:i/>
          <w:sz w:val="28"/>
          <w:szCs w:val="24"/>
          <w:lang w:val="es-ES" w:eastAsia="es-ES"/>
        </w:rPr>
        <w:t>anapu</w:t>
      </w:r>
      <w:r w:rsidRPr="00CF2780">
        <w:rPr>
          <w:rFonts w:ascii="Arial" w:eastAsia="Times New Roman" w:hAnsi="Arial" w:cs="Arial"/>
          <w:sz w:val="28"/>
          <w:szCs w:val="24"/>
          <w:lang w:val="es-ES" w:eastAsia="es-ES"/>
        </w:rPr>
        <w:t xml:space="preserve"> o </w:t>
      </w:r>
      <w:r w:rsidRPr="00CF2780">
        <w:rPr>
          <w:rFonts w:ascii="Arial" w:eastAsia="Times New Roman" w:hAnsi="Arial" w:cs="Arial"/>
          <w:i/>
          <w:sz w:val="28"/>
          <w:szCs w:val="24"/>
          <w:lang w:val="es-ES" w:eastAsia="es-ES"/>
        </w:rPr>
        <w:t>uapatsïkua</w:t>
      </w:r>
      <w:r w:rsidRPr="00CF2780">
        <w:rPr>
          <w:rFonts w:ascii="Arial" w:eastAsia="Times New Roman" w:hAnsi="Arial" w:cs="Arial"/>
          <w:sz w:val="28"/>
          <w:szCs w:val="24"/>
          <w:lang w:val="es-ES" w:eastAsia="es-ES"/>
        </w:rPr>
        <w:t xml:space="preserve"> en purhépecha) constituye desde la época prehispánica una unidad política, administrativa, fiscal, militar, religiosa, familiar, residencial, social, cultural, económica y laboral propia de la organización de los pueblos indígenas que han mantenido formas distintivas de ser y de vivir, aunque las mismas hayan variado desde la época prehispánica o novohispana.</w:t>
      </w:r>
    </w:p>
    <w:p w14:paraId="6BFA4EBF"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7CABDE95"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 xml:space="preserve">De hecho, debe considerarse que la circunstancia de que la comunidad indígena de Cherán se encuentre organizada en cuatro barrios tiene también un origen histórico, pues como ha mostrado Silvio Arturo Zavala en su obra  </w:t>
      </w:r>
      <w:r w:rsidRPr="00CF2780">
        <w:rPr>
          <w:rFonts w:ascii="Arial" w:eastAsia="Times New Roman" w:hAnsi="Arial" w:cs="Arial"/>
          <w:i/>
          <w:sz w:val="28"/>
          <w:szCs w:val="24"/>
          <w:lang w:val="es-ES" w:eastAsia="es-ES"/>
        </w:rPr>
        <w:t>La Utopía de Tomás Moro en la Nueva España y otros estudios</w:t>
      </w:r>
      <w:r w:rsidRPr="00CF2780">
        <w:rPr>
          <w:rFonts w:ascii="Arial" w:eastAsia="Times New Roman" w:hAnsi="Arial" w:cs="Arial"/>
          <w:sz w:val="28"/>
          <w:szCs w:val="24"/>
          <w:lang w:val="es-ES" w:eastAsia="es-ES"/>
        </w:rPr>
        <w:t>, editada por la Antigua Librería Robredo, México, 1937: Vasco Vázquez de Quiroga y Alonso de la Cárcel, primer obispo de Michoacán y evangelizador de los purhépechas organizaba las ciudades en cuatro partes con propósitos administrativos, al estar muy influido por la obra de Tomás Moro</w:t>
      </w:r>
      <w:r w:rsidRPr="00CF2780">
        <w:rPr>
          <w:rFonts w:ascii="Arial" w:eastAsia="Times New Roman" w:hAnsi="Arial" w:cs="Arial"/>
          <w:i/>
          <w:sz w:val="28"/>
          <w:szCs w:val="24"/>
          <w:lang w:val="es-ES" w:eastAsia="es-ES"/>
        </w:rPr>
        <w:t>.</w:t>
      </w:r>
    </w:p>
    <w:p w14:paraId="6886FB3A"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1D60DF14"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En ese sentido, la circunstancia de que la firma de los promoventes se presente mediante listas agrupadas según el número de barrio del que forman parte constituye una parte de la autorganización del pueblo de cuya existencia se tiene constancia documental, por lo menos, desde mil novecientos cuarenta y que tal organización hunde sus raíces en la importancia de este tipo de división territorial entre los pueblos indígenas, desde la época prehispánica y novohispana.</w:t>
      </w:r>
    </w:p>
    <w:p w14:paraId="285AB12C"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3A4BB396"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lastRenderedPageBreak/>
        <w:t>b) Oportunidad.</w:t>
      </w:r>
      <w:r w:rsidRPr="00CF2780">
        <w:rPr>
          <w:rFonts w:ascii="Arial" w:eastAsia="Times New Roman" w:hAnsi="Arial" w:cs="Arial"/>
          <w:sz w:val="28"/>
          <w:szCs w:val="28"/>
          <w:lang w:val="es-ES" w:eastAsia="es-ES"/>
        </w:rPr>
        <w:t xml:space="preserve"> El medio de defensa fue promovido oportunamente, puesto que el acto impugnado fue notificado el once de septiembre de dos mil once, según consta en el original de la cédula de notificación personal que corre agregada en autos, documental pública que tiene valor probatorio pleno, acorde con lo establecido en los artículos 14, apartado 1, inciso a) y apartado 4, inciso c) en relación con el 16, apartado 2, ambos de la Ley General del Sistema de Medios de Impugnación en Materia Electoral, al haber sido emitida por una autoridad local en ejercicio de sus funciones.</w:t>
      </w:r>
    </w:p>
    <w:p w14:paraId="053549BA"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p>
    <w:p w14:paraId="685A1BF1" w14:textId="77777777" w:rsidR="00AD59FF" w:rsidRPr="00CF2780" w:rsidRDefault="00AD59FF" w:rsidP="00AD59FF">
      <w:pPr>
        <w:spacing w:after="0" w:line="360" w:lineRule="auto"/>
        <w:ind w:firstLine="708"/>
        <w:jc w:val="both"/>
        <w:rPr>
          <w:rFonts w:ascii="Arial" w:eastAsia="Times New Roman" w:hAnsi="Arial" w:cs="Arial"/>
          <w:b/>
          <w:sz w:val="28"/>
          <w:szCs w:val="28"/>
          <w:lang w:val="es-ES" w:eastAsia="es-ES"/>
        </w:rPr>
      </w:pPr>
      <w:r w:rsidRPr="00CF2780">
        <w:rPr>
          <w:rFonts w:ascii="Arial" w:eastAsia="Times New Roman" w:hAnsi="Arial" w:cs="Arial"/>
          <w:sz w:val="28"/>
          <w:szCs w:val="28"/>
          <w:lang w:val="es-ES" w:eastAsia="es-ES"/>
        </w:rPr>
        <w:t xml:space="preserve">En la especie, resulta aplicable el criterio dispuesto en la jurisprudencia 9/2007 correspondiente a la Tercera Época, consultable en las páginas  429 y 430 de la </w:t>
      </w:r>
      <w:r w:rsidRPr="00CF2780">
        <w:rPr>
          <w:rFonts w:ascii="Arial" w:eastAsia="Times New Roman" w:hAnsi="Arial" w:cs="Arial"/>
          <w:i/>
          <w:sz w:val="28"/>
          <w:szCs w:val="28"/>
          <w:lang w:val="es-ES" w:eastAsia="es-ES"/>
        </w:rPr>
        <w:t>Compilación 1997-2010: Jurisprudencia y tesis en materia electoral</w:t>
      </w:r>
      <w:r w:rsidRPr="00CF2780">
        <w:rPr>
          <w:rFonts w:ascii="Arial" w:eastAsia="Times New Roman" w:hAnsi="Arial" w:cs="Arial"/>
          <w:sz w:val="28"/>
          <w:szCs w:val="28"/>
          <w:lang w:val="es-ES" w:eastAsia="es-ES"/>
        </w:rPr>
        <w:t xml:space="preserve">, tomo </w:t>
      </w:r>
      <w:r w:rsidRPr="00CF2780">
        <w:rPr>
          <w:rFonts w:ascii="Arial" w:eastAsia="Times New Roman" w:hAnsi="Arial" w:cs="Arial"/>
          <w:i/>
          <w:sz w:val="28"/>
          <w:szCs w:val="28"/>
          <w:lang w:val="es-ES" w:eastAsia="es-ES"/>
        </w:rPr>
        <w:t>Jurisprudencia</w:t>
      </w:r>
      <w:r w:rsidRPr="00CF2780">
        <w:rPr>
          <w:rFonts w:ascii="Arial" w:eastAsia="Times New Roman" w:hAnsi="Arial" w:cs="Arial"/>
          <w:sz w:val="28"/>
          <w:szCs w:val="28"/>
          <w:lang w:val="es-ES" w:eastAsia="es-ES"/>
        </w:rPr>
        <w:t xml:space="preserve">, volumen 1, publicada por el Tribunal Electoral del Poder Judicial de la Federación, cuyo rubro es: </w:t>
      </w:r>
      <w:r w:rsidRPr="00CF2780">
        <w:rPr>
          <w:rFonts w:ascii="Arial" w:eastAsia="Times New Roman" w:hAnsi="Arial" w:cs="Arial"/>
          <w:b/>
          <w:sz w:val="28"/>
          <w:szCs w:val="28"/>
          <w:lang w:val="es-ES" w:eastAsia="es-ES"/>
        </w:rPr>
        <w:t>“</w:t>
      </w:r>
      <w:hyperlink r:id="rId14" w:anchor="09/2007" w:history="1">
        <w:r w:rsidRPr="00CF2780">
          <w:rPr>
            <w:rFonts w:ascii="Arial" w:eastAsia="Times New Roman" w:hAnsi="Arial" w:cs="Arial"/>
            <w:b/>
            <w:sz w:val="28"/>
            <w:szCs w:val="28"/>
            <w:lang w:val="es-ES" w:eastAsia="es-ES"/>
          </w:rPr>
          <w:t>PER SALTUM</w:t>
        </w:r>
      </w:hyperlink>
      <w:r w:rsidRPr="00CF2780">
        <w:rPr>
          <w:rFonts w:ascii="Arial" w:eastAsia="Times New Roman" w:hAnsi="Arial" w:cs="Arial"/>
          <w:b/>
          <w:sz w:val="28"/>
          <w:szCs w:val="28"/>
          <w:lang w:val="es-ES" w:eastAsia="es-ES"/>
        </w:rPr>
        <w:t xml:space="preserve">. </w:t>
      </w:r>
      <w:r w:rsidRPr="00CF2780">
        <w:rPr>
          <w:rFonts w:ascii="Arial" w:eastAsia="Times New Roman" w:hAnsi="Arial" w:cs="Arial"/>
          <w:b/>
          <w:sz w:val="28"/>
          <w:szCs w:val="28"/>
          <w:lang w:val="es-ES" w:eastAsia="es-ES"/>
        </w:rPr>
        <w:fldChar w:fldCharType="begin"/>
      </w:r>
      <w:r w:rsidRPr="00CF2780">
        <w:rPr>
          <w:rFonts w:ascii="Arial" w:eastAsia="Times New Roman" w:hAnsi="Arial" w:cs="Arial"/>
          <w:b/>
          <w:sz w:val="28"/>
          <w:szCs w:val="28"/>
          <w:lang w:val="es-ES" w:eastAsia="es-ES"/>
        </w:rPr>
        <w:instrText xml:space="preserve"> HYPERLINK "http://10.10.15.15/siscon/gateway.dll/nJurisprudenciayTesis/nVigentesTercerayCuartaEpoca/compilaci%C3%B3n.htm?f=templates$fn=document-frame.htm$3.0$q=$uq=$x=$up=1$nc=5622" \l "09/2007" </w:instrText>
      </w:r>
      <w:r w:rsidRPr="00CF2780">
        <w:rPr>
          <w:rFonts w:ascii="Arial" w:eastAsia="Times New Roman" w:hAnsi="Arial" w:cs="Arial"/>
          <w:b/>
          <w:sz w:val="28"/>
          <w:szCs w:val="28"/>
          <w:lang w:val="es-ES" w:eastAsia="es-ES"/>
        </w:rPr>
        <w:fldChar w:fldCharType="separate"/>
      </w:r>
      <w:r w:rsidRPr="00CF2780">
        <w:rPr>
          <w:rFonts w:ascii="Arial" w:eastAsia="Times New Roman" w:hAnsi="Arial" w:cs="Arial"/>
          <w:b/>
          <w:sz w:val="28"/>
          <w:szCs w:val="28"/>
          <w:lang w:val="es-ES" w:eastAsia="es-ES"/>
        </w:rPr>
        <w:t>EL JUICIO PARA LA PROTECCIÓN DE LOS DERECHOS POLÍTICO-ELECTORALES DEL CIUDADANO DEBE PROMOVERSE DENTRO DEL PLAZO PARA LA INTERPOSICIÓN DEL MEDIO DE DEFENSA INTRAPARTIDARIO U ORDINARIO LEGAL”.</w:t>
      </w:r>
    </w:p>
    <w:p w14:paraId="63EECF4E" w14:textId="77777777" w:rsidR="00AD59FF" w:rsidRPr="00CF2780" w:rsidRDefault="00AD59FF" w:rsidP="00AD59FF">
      <w:pPr>
        <w:spacing w:after="0" w:line="360" w:lineRule="auto"/>
        <w:ind w:firstLine="708"/>
        <w:jc w:val="both"/>
        <w:rPr>
          <w:rFonts w:ascii="Arial" w:eastAsia="Times New Roman" w:hAnsi="Arial" w:cs="Arial"/>
          <w:b/>
          <w:sz w:val="28"/>
          <w:szCs w:val="28"/>
          <w:lang w:val="es-ES" w:eastAsia="es-ES"/>
        </w:rPr>
      </w:pPr>
    </w:p>
    <w:p w14:paraId="5B93CC9C"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Con relación a lo anterior, en términos del artículo 8 de la Ley de Justicia Electoral del Estado de Michoacán, el plazo para interponer el recurso de apelación local es de cuatro días siguientes a que se tenga conocimiento del acto impugnado.</w:t>
      </w:r>
      <w:r w:rsidRPr="00CF2780">
        <w:rPr>
          <w:rFonts w:ascii="Arial" w:eastAsia="Times New Roman" w:hAnsi="Arial" w:cs="Arial"/>
          <w:sz w:val="28"/>
          <w:szCs w:val="28"/>
          <w:lang w:val="es-ES" w:eastAsia="es-ES"/>
        </w:rPr>
        <w:fldChar w:fldCharType="end"/>
      </w:r>
    </w:p>
    <w:p w14:paraId="501D5E61"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p>
    <w:p w14:paraId="11BA83B0"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lastRenderedPageBreak/>
        <w:t>Dadas esas circunstancias, el plazo para la promoción del presente medio de impugnación transcurrió del once al quince de septiembre de dos mil nueve, acorde con lo dispuesto en el artículo 7 de la Ley de Justicia Electoral del Estado de Michoacán, puesto que todos los días y horas son hábiles habida cuenta que el proceso electoral que actualmente se desarrolla en el Estado de Michoacán inició el diecisiete de mayo de dos mil once, en términos de lo dispuesto en el artículo 96, primer párrafo, del Código Electoral del Estado de Michoacán.</w:t>
      </w:r>
    </w:p>
    <w:p w14:paraId="3B5A9F40"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p>
    <w:p w14:paraId="1E9C2974"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En ese sentido, sí la demanda en cuestión se presentó ante la autoridad responsable el quince de septiembre de dos mil once, según consta en el sello de recepción asentado en escrito correspondiente, es claro que el presente medio de impugnación se promovió oportunamente.</w:t>
      </w:r>
    </w:p>
    <w:p w14:paraId="67EEFA64"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p>
    <w:p w14:paraId="5608B175"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 xml:space="preserve">c) Legitimación. </w:t>
      </w:r>
      <w:r w:rsidRPr="00CF2780">
        <w:rPr>
          <w:rFonts w:ascii="Arial" w:eastAsia="Times New Roman" w:hAnsi="Arial" w:cs="Arial"/>
          <w:sz w:val="28"/>
          <w:szCs w:val="28"/>
          <w:lang w:val="es-ES" w:eastAsia="es-ES"/>
        </w:rPr>
        <w:t>La legitimación en la causa consiste en la identidad y calidad de la persona física o moral que promueve, con una de las autorizadas por la ley para combatir el tipo de actos o resoluciones reclamadas, por lo que tal legitimación es condición para que pueda proferirse sentencia de fondo.</w:t>
      </w:r>
    </w:p>
    <w:p w14:paraId="268CBB42"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p>
    <w:p w14:paraId="7FF8A013"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Lo anterior determina que la legitimación del ciudadano o ciudadanos surge exclusivamente para impugnar actos o resoluciones donde pueda producirse una afectación individualizada, cierta, directa e inmediata a sus derechos político-electorales.</w:t>
      </w:r>
    </w:p>
    <w:p w14:paraId="0021F596"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p>
    <w:p w14:paraId="31D7388F"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lastRenderedPageBreak/>
        <w:t>Acorde con lo dispuesto en los artículos 79 y 80 de la Ley General del Sistema de Medios de Impugnación en Materia Electoral, el juicio para la protección de los derechos político electorales tiene la finalidad de tutelar los derechos político-electorales de votar, ser votado, de asociación y afiliación, así como los directamente relacionados con éstos.</w:t>
      </w:r>
    </w:p>
    <w:p w14:paraId="28A1A137"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p>
    <w:p w14:paraId="5BB285FB"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De acuerdo con los preceptos invocados, la procedencia del juicio para la protección de los derechos político electorales del ciudadano se actualiza cuando un ciudadano, por sí mismo y en forma individual, aduce la presunta violación a uno de los derechos tutelados con el juicio.</w:t>
      </w:r>
    </w:p>
    <w:p w14:paraId="6ACAE791"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p>
    <w:p w14:paraId="05228969"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De ahí que esta Sala Superior ha sostenido que para la procedencia del juicio para la protección de los derechos político-electorales, se requiere la concurrencia de tres elemento esenciales, a saber: 1) que el promovente sea un ciudadano mexicano; 2) que este ciudadano promueva por sí mismo y en forma individual, y 3) que haga valer presuntas violaciones a cualquiera de los siguientes derechos políticos: de votar y ser votado en las elecciones populares, de asociarse individual y libremente para tomar parte en forma pacífica en los asuntos políticos y de afiliarse libre e individualmente a los partidos políticos.</w:t>
      </w:r>
    </w:p>
    <w:p w14:paraId="18FE2BA2"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p>
    <w:p w14:paraId="69DC98F3"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Esto de conformidad con la tesis de jurisprudencia 02/2000, consultable en las páginas 364 a 366 en la </w:t>
      </w:r>
      <w:r w:rsidRPr="00CF2780">
        <w:rPr>
          <w:rFonts w:ascii="Arial" w:eastAsia="Times New Roman" w:hAnsi="Arial" w:cs="Arial"/>
          <w:i/>
          <w:sz w:val="28"/>
          <w:szCs w:val="28"/>
          <w:lang w:val="es-ES" w:eastAsia="es-ES"/>
        </w:rPr>
        <w:t>Compilación 1997-2010: Jurisprudencia y tesis en materia electoral</w:t>
      </w:r>
      <w:r w:rsidRPr="00CF2780">
        <w:rPr>
          <w:rFonts w:ascii="Arial" w:eastAsia="Times New Roman" w:hAnsi="Arial" w:cs="Arial"/>
          <w:sz w:val="28"/>
          <w:szCs w:val="28"/>
          <w:lang w:val="es-ES" w:eastAsia="es-ES"/>
        </w:rPr>
        <w:t xml:space="preserve">, tomo </w:t>
      </w:r>
      <w:r w:rsidRPr="00CF2780">
        <w:rPr>
          <w:rFonts w:ascii="Arial" w:eastAsia="Times New Roman" w:hAnsi="Arial" w:cs="Arial"/>
          <w:i/>
          <w:sz w:val="28"/>
          <w:szCs w:val="28"/>
          <w:lang w:val="es-ES" w:eastAsia="es-ES"/>
        </w:rPr>
        <w:t>Jurisprudencia</w:t>
      </w:r>
      <w:r w:rsidRPr="00CF2780">
        <w:rPr>
          <w:rFonts w:ascii="Arial" w:eastAsia="Times New Roman" w:hAnsi="Arial" w:cs="Arial"/>
          <w:sz w:val="28"/>
          <w:szCs w:val="28"/>
          <w:lang w:val="es-ES" w:eastAsia="es-ES"/>
        </w:rPr>
        <w:t xml:space="preserve">, volumen 1, publicada por el Tribunal Electoral del Poder Judicial de la </w:t>
      </w:r>
      <w:r w:rsidRPr="00CF2780">
        <w:rPr>
          <w:rFonts w:ascii="Arial" w:eastAsia="Times New Roman" w:hAnsi="Arial" w:cs="Arial"/>
          <w:sz w:val="28"/>
          <w:szCs w:val="28"/>
          <w:lang w:val="es-ES" w:eastAsia="es-ES"/>
        </w:rPr>
        <w:lastRenderedPageBreak/>
        <w:t>Federación, cuyo rubro es: "</w:t>
      </w:r>
      <w:r w:rsidRPr="00CF2780">
        <w:rPr>
          <w:rFonts w:ascii="Arial" w:eastAsia="Times New Roman" w:hAnsi="Arial" w:cs="Arial"/>
          <w:b/>
          <w:sz w:val="28"/>
          <w:szCs w:val="28"/>
          <w:lang w:val="es-ES" w:eastAsia="es-ES"/>
        </w:rPr>
        <w:t>JUICIO PARA LA PROTECCIÓN DE LOS DERECHOS POLÍTICO-ELECTORALES DEL CIUDADANO. REQUISITOS PARA SU PROCEDENCIA</w:t>
      </w:r>
      <w:r w:rsidRPr="00CF2780">
        <w:rPr>
          <w:rFonts w:ascii="Arial" w:eastAsia="Times New Roman" w:hAnsi="Arial" w:cs="Arial"/>
          <w:sz w:val="28"/>
          <w:szCs w:val="28"/>
          <w:lang w:val="es-ES" w:eastAsia="es-ES"/>
        </w:rPr>
        <w:t>".</w:t>
      </w:r>
    </w:p>
    <w:p w14:paraId="4EE49DD5"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p>
    <w:p w14:paraId="3387E260"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Respecto al primer elemento en cuestión, debe decirse que nadie les niega la calidad de ciudadanos a los incoantes, ya que dicha calidad es menester presumirla como una situación ordinaria, y en el caso, no existe prueba en contrario que refiera que las personas que promueven el medio impugnativo de mérito, no cuenta con la calidad de ciudadanos mexicanos, por lo que se presume su situación como tales, dado que quien goza de una presunción a favor, no tiene que probar los extremos de la misma, y en el caso los miembros de esta comunidad indígena pueden promover el presente juicio.</w:t>
      </w:r>
    </w:p>
    <w:p w14:paraId="7F044939"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p>
    <w:p w14:paraId="627A136E"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El juicio de mérito fue promovido por dos mil trescientos doce (2312) ciudadanos.</w:t>
      </w:r>
    </w:p>
    <w:p w14:paraId="00484964"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p>
    <w:p w14:paraId="7034406A"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Asimismo, los promoventes enderezan su acción sobre la base de afirmar ser residentes en el aludido municipio y formar parte de la comunidad indígena respectiva y exigen el respeto de sus tradiciones y normas consuetudinarias para la elección de sus autoridades municipales, lo cual es suficiente para considerarlos como ciudadanos integrantes de dicha comunidad indígena, pues conforme al artículo 2o, tercer párrafo, de la Constitución Política de los Estados Unidos Mexicanos, la conciencia de su identidad indígena es el criterio fundamental para determinar a quiénes se aplican las disposiciones sobre pueblos indígenas. </w:t>
      </w:r>
    </w:p>
    <w:p w14:paraId="1F982077"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p>
    <w:p w14:paraId="2A224422"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Al respecto, debe considerarse que el derecho a la libre determinación y la autonomía establecido en el artículo 2º, quinto párrafo, de la Constitución Política de los Estados Unidos Mexicanos, se entiende como la base del ejercicio de una serie de derechos específicos relacionados con los ámbitos de decisión política, económica, social y jurídica al interior de las comunidades que forman parte de los pueblos indígenas, los cuales, por lo tanto deben ser respetados por el Estado mexicano para garantizar las expresiones de identidad de dichos pueblos y sus integrantes. </w:t>
      </w:r>
    </w:p>
    <w:p w14:paraId="7F9C8A17"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p>
    <w:p w14:paraId="336A87F9"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En los artículos 3, 4, 9 y 32 de la Declaración de las Naciones Unidas sobre los Derechos de los Pueblos Indígenas se ha contemplado que para el ejercicio del derecho de libre determinación, dichos pueblos tienen el derecho colectivo e individual a mantener y desarrollar sus propias características e identidades, comprendido el derecho a identificarse a sí mismos como indígenas y a ser reconocidos como tales. De este derecho fundamental a la libre determinación se desprenden dos derechos centrales:</w:t>
      </w:r>
    </w:p>
    <w:p w14:paraId="18EF196D"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p>
    <w:p w14:paraId="27AF2664"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p>
    <w:p w14:paraId="0560A239"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1. El reconocimiento de los sistemas normativos de los pueblos indígenas, sus instituciones y autoridades propias, así como el correspondiente ejercicio de la jurisdicción por parte de las autoridades indígenas, como se reconoce en el artículo 2o, apartado A, fracciones II y III, de la Constitución Política de los Estados Unidos Mexicanos; y,</w:t>
      </w:r>
    </w:p>
    <w:p w14:paraId="673C1AA7"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p>
    <w:p w14:paraId="07D7707B"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lastRenderedPageBreak/>
        <w:t>2. El derecho fundamental de que las personas o las comunidades se autoadscriban como miembros de pueblos indígenas,  lo cual entraña consecuencias jurídicas sumamente importantes para el efectivo acceso a la justicia para los indígenas (artículo 2o, tercer párrafo y apartado A, fracción VIII, de la Constitución Política de los Estados Unidos Mexicanos).</w:t>
      </w:r>
    </w:p>
    <w:p w14:paraId="6F02E32A"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p>
    <w:p w14:paraId="5CD1C335"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En ese sentido, la autoadscripción es la declaración de voluntad de personas (individual) o  comunidades (colectiva)  que, teniendo un vínculo cultural, histórico, político, lingüístico o de otro tipo, deciden identificarse como miembros de un pueblo indígena y que se identifica como tal. </w:t>
      </w:r>
    </w:p>
    <w:p w14:paraId="763AB951"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p>
    <w:p w14:paraId="45E45C4D"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Así, la autoadscripción se entiende como un derecho fundamental consistente en el reconocimiento que realiza una persona en el sentido de pertenecer a un pueblo o comunidad indígena, con base en sus propias concepciones.</w:t>
      </w:r>
    </w:p>
    <w:p w14:paraId="64B5C3D2"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p>
    <w:p w14:paraId="2C2644EE"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La función de la autoadscripción es muy relevante, pues  funge como medio para exigir los derechos de los pueblos y comunidades indígenas.</w:t>
      </w:r>
    </w:p>
    <w:p w14:paraId="532F18AE"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p>
    <w:p w14:paraId="50D2AA38"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Esto es así, porque el ejercicio de éste derecho trae aparejada una serie de derechos y obligaciones del Estado hacia el individuo o colectividad, del pueblo indígena hacia sus miembros y también de las personas hacia su pueblo.</w:t>
      </w:r>
    </w:p>
    <w:p w14:paraId="3CD90C79"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p>
    <w:p w14:paraId="6DC04789"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lastRenderedPageBreak/>
        <w:t>Por tanto, el criterio fundamental para determinar si una persona es integrante o forma parte de un pueblo o comunidad indígena consiste en el derecho a la autoadscripción, es decir, la facultad de grupos e individuos de identificarse con alguno de los pueblos indígenas y así gozar de los derechos que de esa pertenencia se derivan, lo que a su vez implica derechos o medidas diferenciadas, lo cual tiene su base última en el reconocimiento respeto de la dignidad de las personas, pues el individuo mismo puede y debe definir su adjudicación étnico-cultural.</w:t>
      </w:r>
    </w:p>
    <w:p w14:paraId="04853AD9"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p>
    <w:p w14:paraId="062F55DA"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Tal situación se encuentra reconocida tanto en la Constitución mexicana, la cual indica que “</w:t>
      </w:r>
      <w:r w:rsidRPr="00CF2780">
        <w:rPr>
          <w:rFonts w:ascii="Arial" w:eastAsia="Times New Roman" w:hAnsi="Arial" w:cs="Arial"/>
          <w:i/>
          <w:sz w:val="28"/>
          <w:szCs w:val="28"/>
          <w:lang w:val="es-ES" w:eastAsia="es-ES"/>
        </w:rPr>
        <w:t>la conciencia de identidad indígena deberá ser criterio fundamental para determinar a quiénes se aplican las disposiciones sobre pueblos indígenas</w:t>
      </w:r>
      <w:r w:rsidRPr="00CF2780">
        <w:rPr>
          <w:rFonts w:ascii="Arial" w:eastAsia="Times New Roman" w:hAnsi="Arial" w:cs="Arial"/>
          <w:sz w:val="28"/>
          <w:szCs w:val="28"/>
          <w:lang w:val="es-ES" w:eastAsia="es-ES"/>
        </w:rPr>
        <w:t>”, así como el artículo 1, apartado 2 del Convenio número 169 de la Organización Internacional del Trabajo, sobre Pueblos Indígenas y Tribales en Países Independientes, adoptado por la Conferencia General de dicho organismo internacional el veintisiete de junio de mil novecientos ochenta y nueve, el cual fue ratificado por México el cinco de septiembre de mil novecientos noventa y publicado en el Diario Oficial de la Federación el veinticuatro de enero de mil novecientos noventa y uno, conforme al cual se establece “</w:t>
      </w:r>
      <w:r w:rsidRPr="00CF2780">
        <w:rPr>
          <w:rFonts w:ascii="Arial" w:eastAsia="Times New Roman" w:hAnsi="Arial" w:cs="Arial"/>
          <w:i/>
          <w:sz w:val="28"/>
          <w:szCs w:val="28"/>
          <w:lang w:val="es-ES" w:eastAsia="es-ES"/>
        </w:rPr>
        <w:t>la conciencia de su identidad indígena o tribal deberá considerarse un criterio fundamental para determinar los grupos a los que se aplican las disposiciones del presente Convenio</w:t>
      </w:r>
      <w:r w:rsidRPr="00CF2780">
        <w:rPr>
          <w:rFonts w:ascii="Arial" w:eastAsia="Times New Roman" w:hAnsi="Arial" w:cs="Arial"/>
          <w:sz w:val="28"/>
          <w:szCs w:val="28"/>
          <w:lang w:val="es-ES" w:eastAsia="es-ES"/>
        </w:rPr>
        <w:t>.”</w:t>
      </w:r>
    </w:p>
    <w:p w14:paraId="60FD3674"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p>
    <w:p w14:paraId="6D1EEB10"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Por ende, en principio, es suficiente con que los promoventes del presente medio de impugnación se identifiquen y autoadscriban como </w:t>
      </w:r>
      <w:r w:rsidRPr="00CF2780">
        <w:rPr>
          <w:rFonts w:ascii="Arial" w:eastAsia="Times New Roman" w:hAnsi="Arial" w:cs="Arial"/>
          <w:sz w:val="28"/>
          <w:szCs w:val="28"/>
          <w:lang w:val="es-ES" w:eastAsia="es-ES"/>
        </w:rPr>
        <w:lastRenderedPageBreak/>
        <w:t xml:space="preserve">indígenas integrantes de la comunidad de Cherán, tal y como manifiestan en la parte final de la pagina dieciséis de su escrito de demanda, para que se les tenga y considere como tales con todas las consecuencias jurídicas que ello implique, de tal manera que en todo caso, a quien afirme lo contrario, corresponde aportar los medios de prueba atinentes, en términos de lo establecido en el  artículo 15, apartado 2, de la Ley General del Sistema de Medios de Impugnación en Materia Electoral, máxime que el carácter de indígenas de los ciudadanos en forma alguna se encuentra controvertida, en términos de lo dispuesto en el apartado 1 del artículo citado. </w:t>
      </w:r>
    </w:p>
    <w:p w14:paraId="562CA65E"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p>
    <w:p w14:paraId="09F7512C"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Robustece lo anterior, el criterio reiterado por esta Sala Superior conforme al cual la interpretación sistemática de los artículos 2o., apartado A, fracción VIII, 17 y 133 de la Constitución Política de los Estados Unidos Mexicanos; 1, apartado 1, de la Convención Americana sobre Derechos Humanos; 2, 4, apartado 1 y 12 del Convenio 169 de la Organización Internacional del Trabajo Sobre Pueblos Indígenas y Tribales en Países Independientes, y 2, 4, 9, 14 y 15 de la Ley Federal para Prevenir y Eliminar la Discriminación conduce a considerar que en el juicio para la protección de los derechos político-electorales del ciudadano promovido por integrantes de comunidades o pueblos indígenas, que planteen el menoscabo o detrimento de su autonomía para elegir a sus autoridades o representantes por el sistema de usos y costumbres, el juzgador debe analizar la legitimación activa de manera flexible por las particularidades que revisten esos grupos o comunidades, y las posibilidades jurídicas o fácticas que tengan sus integrantes para allegarse de los elementos necesarios para acreditarla, </w:t>
      </w:r>
      <w:r w:rsidRPr="00CF2780">
        <w:rPr>
          <w:rFonts w:ascii="Arial" w:eastAsia="Times New Roman" w:hAnsi="Arial" w:cs="Arial"/>
          <w:sz w:val="28"/>
          <w:szCs w:val="28"/>
          <w:lang w:val="es-ES" w:eastAsia="es-ES"/>
        </w:rPr>
        <w:lastRenderedPageBreak/>
        <w:t>debiendo evitar en lo posible, exigir requisitos o medidas que son propias del sistema ordinario de acceso a la jurisdicción electoral, que puedan impedir la impartición de justicia y el ejercicio de algún derecho o su reconocimiento en favor de los mencionados grupos o comunidades.</w:t>
      </w:r>
    </w:p>
    <w:p w14:paraId="6FF1C379"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p>
    <w:p w14:paraId="28E4E588"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El criterio anterior se encuentra contenido en la tesis XX/2008 consultable en las páginas 364 a 366 en la </w:t>
      </w:r>
      <w:r w:rsidRPr="00CF2780">
        <w:rPr>
          <w:rFonts w:ascii="Arial" w:eastAsia="Times New Roman" w:hAnsi="Arial" w:cs="Arial"/>
          <w:i/>
          <w:sz w:val="28"/>
          <w:szCs w:val="28"/>
          <w:lang w:val="es-ES" w:eastAsia="es-ES"/>
        </w:rPr>
        <w:t>Compilación 1997-2010: Jurisprudencia y tesis en materia electoral</w:t>
      </w:r>
      <w:r w:rsidRPr="00CF2780">
        <w:rPr>
          <w:rFonts w:ascii="Arial" w:eastAsia="Times New Roman" w:hAnsi="Arial" w:cs="Arial"/>
          <w:sz w:val="28"/>
          <w:szCs w:val="28"/>
          <w:lang w:val="es-ES" w:eastAsia="es-ES"/>
        </w:rPr>
        <w:t xml:space="preserve">, tomo </w:t>
      </w:r>
      <w:r w:rsidRPr="00CF2780">
        <w:rPr>
          <w:rFonts w:ascii="Arial" w:eastAsia="Times New Roman" w:hAnsi="Arial" w:cs="Arial"/>
          <w:i/>
          <w:sz w:val="28"/>
          <w:szCs w:val="28"/>
          <w:lang w:val="es-ES" w:eastAsia="es-ES"/>
        </w:rPr>
        <w:t>Jurisprudencia</w:t>
      </w:r>
      <w:r w:rsidRPr="00CF2780">
        <w:rPr>
          <w:rFonts w:ascii="Arial" w:eastAsia="Times New Roman" w:hAnsi="Arial" w:cs="Arial"/>
          <w:sz w:val="28"/>
          <w:szCs w:val="28"/>
          <w:lang w:val="es-ES" w:eastAsia="es-ES"/>
        </w:rPr>
        <w:t>, volumen 1, publicada por el Tribunal Electoral del Poder Judicial de la Federación, de rubro:</w:t>
      </w:r>
      <w:bookmarkStart w:id="3" w:name="TEXTO_XX/2008"/>
      <w:r w:rsidRPr="00CF2780">
        <w:rPr>
          <w:rFonts w:ascii="Arial" w:eastAsia="Times New Roman" w:hAnsi="Arial" w:cs="Arial"/>
          <w:sz w:val="28"/>
          <w:szCs w:val="28"/>
          <w:lang w:val="es-ES" w:eastAsia="es-ES"/>
        </w:rPr>
        <w:t xml:space="preserve"> “</w:t>
      </w:r>
      <w:hyperlink r:id="rId15" w:anchor="XX/2008_" w:history="1">
        <w:r w:rsidRPr="00CF2780">
          <w:rPr>
            <w:rFonts w:ascii="Arial" w:eastAsia="Times New Roman" w:hAnsi="Arial" w:cs="Arial"/>
            <w:b/>
            <w:sz w:val="28"/>
            <w:szCs w:val="28"/>
            <w:lang w:val="es-ES" w:eastAsia="es-ES"/>
          </w:rPr>
          <w:t>COMUNIDADES INDÍGENAS. EL ANÁLISIS DE LA LEGITIMACIÓN ACTIVA EN EL JUICIO PARA LA PROTECCIÓN DE LOS DERECHOS POLÍTICO-ELECTORALES DEL CIUDADANO, DEBE SER FLEXIBLE POR LAS PARTICULARIDADES DE SUS INTEGRANTES</w:t>
        </w:r>
        <w:r w:rsidRPr="00CF2780">
          <w:rPr>
            <w:rFonts w:ascii="Arial" w:eastAsia="Times New Roman" w:hAnsi="Arial" w:cs="Arial"/>
            <w:sz w:val="28"/>
            <w:szCs w:val="28"/>
            <w:lang w:val="es-ES" w:eastAsia="es-ES"/>
          </w:rPr>
          <w:t>”.</w:t>
        </w:r>
      </w:hyperlink>
      <w:bookmarkEnd w:id="3"/>
    </w:p>
    <w:p w14:paraId="70464D86"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p>
    <w:p w14:paraId="5418F395"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En ese orden de ideas, si los ciudadanos en cuestión afirman ser ciudadanos e integrantes de la comunidad indígena de Cherán y, tal situación, no se encuentra controvertida y, mucho menos, existe en autos constancia alguna de la cual se pueda advertir, así sea indiciariamente, la falsedad de alguna de estas afirmaciones, entonces es válido estimar que la legitimación de los ciudadanos que firman la demanda del presente juicio se encuentra acreditada.</w:t>
      </w:r>
    </w:p>
    <w:p w14:paraId="5C45762A"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p>
    <w:p w14:paraId="6FD31DB2"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Ahora bien, en lo tocante al segundo elemento, en concepto de esta Sala Superior, los actores cuentan con legitimación para promover el juicio, pues con apoyo en el artículo 79 del que ya se ha hecho </w:t>
      </w:r>
      <w:r w:rsidRPr="00CF2780">
        <w:rPr>
          <w:rFonts w:ascii="Arial" w:eastAsia="Times New Roman" w:hAnsi="Arial" w:cs="Arial"/>
          <w:sz w:val="28"/>
          <w:szCs w:val="28"/>
          <w:lang w:val="es-ES" w:eastAsia="es-ES"/>
        </w:rPr>
        <w:lastRenderedPageBreak/>
        <w:t>mención, es un hecho indudable, que los accionantes expresan que promueven por su propio derecho, sin que la circunstancia de que manifiesten que también lo hacen en calidad de integrantes de la comunidad indígena de Cherán modifique tal situación, pues ello en forma alguna implica que no concurran con la de ciudadanos en lo individual para ejercer su derecho de acción, al aducir que fue violentado sus derechos político-electorales.</w:t>
      </w:r>
    </w:p>
    <w:p w14:paraId="112719D9"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p>
    <w:p w14:paraId="241747C4"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Respecto del tercer elemento en cita, es suficiente que en la demanda se aduzca que con el acto o resolución combatida se cometieron violaciones a alguno o varios de los derechos políticos-electorales mencionados, en perjuicio del promovente, independientemente de que en el fallo que se llegue a emitir se puedan estimar fundadas o infundadas tales alegaciones.</w:t>
      </w:r>
    </w:p>
    <w:p w14:paraId="2C28EAF1"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p>
    <w:p w14:paraId="38C9F6FE"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En el caso, los planteamientos de quienes suscriben la demanda manifiestan que la determinación de la responsable conculca su derecho de sufragio, y la pretensión perseguida es que, de ser el caso, este órgano jurisdiccional dicte las medidas necesarias para que se corrija la situación irregular que se alega existe.</w:t>
      </w:r>
    </w:p>
    <w:p w14:paraId="37154724"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p>
    <w:p w14:paraId="4656F3E3"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De ahí, que en la especie se encuentre acreditada la legitimación de los promoventes. </w:t>
      </w:r>
    </w:p>
    <w:p w14:paraId="10D73411"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p>
    <w:p w14:paraId="2AF53988"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b/>
          <w:sz w:val="28"/>
          <w:szCs w:val="28"/>
          <w:lang w:val="es-ES" w:eastAsia="es-ES"/>
        </w:rPr>
        <w:t xml:space="preserve">d) Interés jurídico: </w:t>
      </w:r>
      <w:r w:rsidRPr="00CF2780">
        <w:rPr>
          <w:rFonts w:ascii="Arial" w:eastAsia="Times New Roman" w:hAnsi="Arial" w:cs="Arial"/>
          <w:sz w:val="28"/>
          <w:szCs w:val="24"/>
          <w:lang w:val="es-ES" w:eastAsia="es-ES"/>
        </w:rPr>
        <w:t xml:space="preserve">En el presente medio impugnativo se controvierte </w:t>
      </w:r>
      <w:r w:rsidRPr="00CF2780">
        <w:rPr>
          <w:rFonts w:ascii="Arial" w:eastAsia="Times New Roman" w:hAnsi="Arial" w:cs="Arial"/>
          <w:sz w:val="28"/>
          <w:szCs w:val="28"/>
          <w:lang w:val="es-ES" w:eastAsia="es-ES"/>
        </w:rPr>
        <w:t xml:space="preserve">el </w:t>
      </w:r>
      <w:r w:rsidRPr="00CF2780">
        <w:rPr>
          <w:rFonts w:ascii="Arial" w:eastAsia="Times New Roman" w:hAnsi="Arial" w:cs="Arial"/>
          <w:bCs/>
          <w:color w:val="000000"/>
          <w:spacing w:val="3"/>
          <w:sz w:val="28"/>
          <w:szCs w:val="28"/>
          <w:lang w:val="es-ES_tradnl" w:eastAsia="es-ES"/>
        </w:rPr>
        <w:t xml:space="preserve">Acuerdo CG-38/2011 de nueve de septiembre de dos mil once emitido por el Consejo General del Instituto Electoral de </w:t>
      </w:r>
      <w:r w:rsidRPr="00CF2780">
        <w:rPr>
          <w:rFonts w:ascii="Arial" w:eastAsia="Times New Roman" w:hAnsi="Arial" w:cs="Arial"/>
          <w:bCs/>
          <w:color w:val="000000"/>
          <w:spacing w:val="3"/>
          <w:sz w:val="28"/>
          <w:szCs w:val="28"/>
          <w:lang w:val="es-ES_tradnl" w:eastAsia="es-ES"/>
        </w:rPr>
        <w:lastRenderedPageBreak/>
        <w:t xml:space="preserve">Michoacán por el que se da </w:t>
      </w:r>
      <w:r w:rsidRPr="00CF2780">
        <w:rPr>
          <w:rFonts w:ascii="Arial" w:eastAsia="Times New Roman" w:hAnsi="Arial" w:cs="Arial"/>
          <w:bCs/>
          <w:color w:val="000000"/>
          <w:spacing w:val="2"/>
          <w:sz w:val="28"/>
          <w:szCs w:val="28"/>
          <w:lang w:val="es-ES_tradnl" w:eastAsia="es-ES"/>
        </w:rPr>
        <w:t xml:space="preserve">respuesta a la petición de la Comunidad Indígena de Cherán para celebrar elecciones </w:t>
      </w:r>
      <w:r w:rsidRPr="00CF2780">
        <w:rPr>
          <w:rFonts w:ascii="Arial" w:eastAsia="Times New Roman" w:hAnsi="Arial" w:cs="Arial"/>
          <w:bCs/>
          <w:color w:val="000000"/>
          <w:spacing w:val="3"/>
          <w:sz w:val="28"/>
          <w:szCs w:val="28"/>
          <w:lang w:val="es-ES_tradnl" w:eastAsia="es-ES"/>
        </w:rPr>
        <w:t>bajo sus usos y costumbres, en virtud de la cual, en esencia, se determina que el Instituto Electoral de Michoacán carece de atribuciones para resolver sobre la celebración de elecciones bajo el principio de usos y costumbres dado que no existe el procedimiento para atender tal petición</w:t>
      </w:r>
      <w:r w:rsidRPr="00CF2780">
        <w:rPr>
          <w:rFonts w:ascii="Arial" w:eastAsia="Times New Roman" w:hAnsi="Arial" w:cs="Arial"/>
          <w:sz w:val="28"/>
          <w:szCs w:val="28"/>
          <w:lang w:val="es-ES" w:eastAsia="es-ES"/>
        </w:rPr>
        <w:t xml:space="preserve">, con lo cual, en concepto de los demandantes, en cuanto integrantes de la comunidad indígena de San Francisco de Cherán, </w:t>
      </w:r>
      <w:r w:rsidRPr="00CF2780">
        <w:rPr>
          <w:rFonts w:ascii="Arial" w:eastAsia="Times New Roman" w:hAnsi="Arial" w:cs="Arial"/>
          <w:sz w:val="28"/>
          <w:szCs w:val="24"/>
          <w:lang w:val="es-ES" w:eastAsia="es-ES"/>
        </w:rPr>
        <w:t>se conculca su derecho de votar y ser votados mediante su sistema de usos y costumbres, por lo que promueven el presente juicio por ser la vía idónea para restituir sus derechos supuestamente conculcados.</w:t>
      </w:r>
    </w:p>
    <w:p w14:paraId="1CACE994"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30899E12"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 xml:space="preserve">e) Definitividad y firmeza de la resolución reclamada. </w:t>
      </w:r>
      <w:r w:rsidRPr="00CF2780">
        <w:rPr>
          <w:rFonts w:ascii="Arial" w:eastAsia="Times New Roman" w:hAnsi="Arial" w:cs="Arial"/>
          <w:sz w:val="28"/>
          <w:szCs w:val="28"/>
          <w:lang w:val="es-ES" w:eastAsia="es-ES"/>
        </w:rPr>
        <w:t xml:space="preserve">El cumplimiento de tal requisito se satisface en términos de lo establecido en el considerando Segundo de la presente resolución. </w:t>
      </w:r>
    </w:p>
    <w:p w14:paraId="2A81E112"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p>
    <w:p w14:paraId="53A442C9"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En consecuencia al estar satisfechos los requisitos de procedibilidad del presente juicio, lo conducente es realizar el estudio de fondo de la controversia planteada.</w:t>
      </w:r>
    </w:p>
    <w:p w14:paraId="5FA2EB4A" w14:textId="77777777" w:rsidR="00AD59FF" w:rsidRPr="00CF2780" w:rsidRDefault="00AD59FF" w:rsidP="00AD59FF">
      <w:pPr>
        <w:spacing w:after="0" w:line="360" w:lineRule="auto"/>
        <w:ind w:firstLine="708"/>
        <w:jc w:val="both"/>
        <w:rPr>
          <w:rFonts w:ascii="Arial" w:eastAsia="Times New Roman" w:hAnsi="Arial" w:cs="Arial"/>
          <w:b/>
          <w:sz w:val="28"/>
          <w:szCs w:val="28"/>
          <w:lang w:val="es-ES" w:eastAsia="es-ES"/>
        </w:rPr>
      </w:pPr>
    </w:p>
    <w:p w14:paraId="082960A9"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 xml:space="preserve">CUARTO. Acto impugnado. </w:t>
      </w:r>
      <w:r w:rsidRPr="00CF2780">
        <w:rPr>
          <w:rFonts w:ascii="Arial" w:eastAsia="Times New Roman" w:hAnsi="Arial" w:cs="Arial"/>
          <w:sz w:val="28"/>
          <w:szCs w:val="28"/>
          <w:lang w:val="es-ES" w:eastAsia="es-ES"/>
        </w:rPr>
        <w:t>El acuerdo materia de litis es del tenor siguiente:</w:t>
      </w:r>
    </w:p>
    <w:p w14:paraId="366DE0A7"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p>
    <w:p w14:paraId="3050356B"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“ACUERDO DEL CONSEJO GENERAL DEL INSTITUTO ELECTORAL DE MICHOACÁN POR EL QUE SE DA RESPUESTA A LA PETICIÓN DE LA COMUNIDAD INDÍGENA DE CHERÁN PARA CELEBRAR ELECCIONES BAJO SUS USOS Y COSTUMBRES.</w:t>
      </w:r>
    </w:p>
    <w:p w14:paraId="101E200B" w14:textId="77777777" w:rsidR="00AD59FF" w:rsidRPr="00CF2780" w:rsidRDefault="00AD59FF" w:rsidP="00AD59FF">
      <w:pPr>
        <w:spacing w:after="0" w:line="240" w:lineRule="auto"/>
        <w:ind w:left="567" w:right="335"/>
        <w:jc w:val="center"/>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ANTECEDENTES</w:t>
      </w:r>
    </w:p>
    <w:p w14:paraId="6EBFF520"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lastRenderedPageBreak/>
        <w:t>PRIMERO. El día 17 diecisiete de mayo del año 2011 dos mil once, tuvo lugar la sesión de declaración de inicio de la etapa preparatoria de la elección, para elecciones ordinarias de Gobernador, diputados y ayuntamientos, formalizándose así por el Consejo General, el inicio del proceso electoral local 2011.</w:t>
      </w:r>
    </w:p>
    <w:p w14:paraId="552BB021"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 xml:space="preserve">SEGUNDO. Que el 6 seis de junio de 2011 dos mil once, se presentó en la Presidencia Instituto Electoral de Michoacán un escrito conteniendo las leyendas </w:t>
      </w:r>
      <w:r w:rsidRPr="00CF2780">
        <w:rPr>
          <w:rFonts w:ascii="Arial" w:eastAsia="Times New Roman" w:hAnsi="Arial" w:cs="Arial"/>
          <w:i/>
          <w:sz w:val="24"/>
          <w:szCs w:val="24"/>
          <w:lang w:val="es-ES" w:eastAsia="es-ES"/>
        </w:rPr>
        <w:t>"COMUNIDAD INDIGENA DE SAN FRANCISCO DE CHERÁN. POR LA DEFENSA DE NUESTROS BOSQUES. POR LA SEGURIDAD DE NUESTROS COMUNEROS"</w:t>
      </w:r>
      <w:r w:rsidRPr="00CF2780">
        <w:rPr>
          <w:rFonts w:ascii="Arial" w:eastAsia="Times New Roman" w:hAnsi="Arial" w:cs="Arial"/>
          <w:sz w:val="24"/>
          <w:szCs w:val="24"/>
          <w:lang w:val="es-ES" w:eastAsia="es-ES"/>
        </w:rPr>
        <w:t>, sin encontrarse rubricado e iba dirigido, entre otras autoridades a este órgano, electoral, en donde se hace del conocimiento de los problemas que se enfrentan en San Francisco de Cherán. En la asamblea general de 01 uno de junio del presente año, se acordó no participar ni permitir el proceso electoral en el municipio, en tanto sus habitantes no gocen de las garantías que le otorga la  Constitución Política de los Estados Unidos Mexicanos y la Constitución Política del Estado de Michoacán de Ocampo.</w:t>
      </w:r>
    </w:p>
    <w:p w14:paraId="0810C439"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TERCERO. Que derivado de ello, se convocó a los integrantes de la Coordinación General del Movimiento de Lucha de la Comunidad Indígena de San Francisco, Cherán, Michoacán; a diversas reuniones en donde se informó de la problemática que aquejaba a la Comunidad indígena de San Francisco de Cherán, cabecera del mismo municipio y de la preocupación que ellos tenían en relación con la celebración de los comicios en ese lugar y la idea que expresaron en el sentido de que en tanto no se cumplieran sus demandas que se han hecho ante otras autoridades, no se participará en el proceso electoral de! municipio.</w:t>
      </w:r>
    </w:p>
    <w:p w14:paraId="06447735"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CUARTO. Que el 24 veinticuatro de junio de 2011 dos mil once, la Presidenta del Instituto Electoral de Michoacán, les envió un oficio a los Integrantes de la Coordinación General del Movimiento de Lucha de la Comunidad indígena de San Francisco, Cherán, Michoacán, en donde se les solicitó que dieran las facilidades para la instalación de! Comité Municipal Electoral de aquel lugar. Lo cual les fue notificado en esa misma fecha.</w:t>
      </w:r>
    </w:p>
    <w:p w14:paraId="0B9DDE16"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QUINTO. Que en las fechas subsecuentes se sostuvieron diversas reuniones con los integrantes de la Coordinación General del Movimiento de Lucha de la Comunidad Indígena de San Francisco, Cherán, Michoacán y, dentro de ellas se acordó estudiar jurídicamente la problemática que se vivía en la comunidad de Cherán, en relación a su petición, de nombrar al modo de sus usos y costumbres a la autoridad de la comunidad, de la cabecera municipal.</w:t>
      </w:r>
    </w:p>
    <w:p w14:paraId="425D9D73"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 xml:space="preserve">SEXTO. Que para atender ese compromiso se pidió una opinión jurídica a la Facultad de Derecho de la Universidad Michoacán de San Nicolás de Hidalgo, en donde se encomendó dicha tarea al maestro Orlando Aragón Andrade, quien se desempeña como profesor de aquella institución y, que en su currículum cuenta con una licenciatura en derecho por la Facultad de Derecho y Ciencias Sociales de la UMSNH, maestro en Historia de México por el Instituto de Investigaciones Históricas de la UMSNH y ha concluido </w:t>
      </w:r>
      <w:r w:rsidRPr="00CF2780">
        <w:rPr>
          <w:rFonts w:ascii="Arial" w:eastAsia="Times New Roman" w:hAnsi="Arial" w:cs="Arial"/>
          <w:sz w:val="24"/>
          <w:szCs w:val="24"/>
          <w:lang w:val="es-ES" w:eastAsia="es-ES"/>
        </w:rPr>
        <w:lastRenderedPageBreak/>
        <w:t>el programa de doctorado en Antropología, en las líneas de investigación de antropología política y jurídica en la Universidad Autónoma Metropolitana – División Iztapalapa.</w:t>
      </w:r>
    </w:p>
    <w:p w14:paraId="1C6E2C1B"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Que de igual manera, se solicitó la opinión del maestro Gonzalo Farrera Bravo, quien es catedrático e investigador de la Escuela Libre de Derecho y del Instituto de Investigaciones Jurídicas de la UNAM, Área de Derecho Electoral.</w:t>
      </w:r>
    </w:p>
    <w:p w14:paraId="499ECDCB"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SÉPTIMO. Que en la opinión del maestro Orlando Aragón Andrade, después de hacer un análisis del marco jurídico internacional, nacional y local, explicando el alcance del derecho de la libre determinación de los pueblos; enseguida, hizo la revisión de cómo la Corte Interamericana de Derechos Humanos ha tratado el tema de los derechos de participación política de los pueblos indígenas y, en un tercer apartado hace un estudio de la continuidad de los "usos y costumbres políticos" de la comunidad purépecha de Cherán.</w:t>
      </w:r>
    </w:p>
    <w:p w14:paraId="6C49B13F"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Que dentro de las conclusiones a las que arriba el investigador en cita, encontramos que en su criterio:</w:t>
      </w:r>
    </w:p>
    <w:p w14:paraId="6221A92F" w14:textId="77777777" w:rsidR="00AD59FF" w:rsidRPr="00CF2780" w:rsidRDefault="00AD59FF" w:rsidP="00AD59FF">
      <w:pPr>
        <w:spacing w:after="0" w:line="240" w:lineRule="auto"/>
        <w:ind w:left="567" w:right="335"/>
        <w:jc w:val="both"/>
        <w:rPr>
          <w:rFonts w:ascii="Arial" w:eastAsia="Times New Roman" w:hAnsi="Arial" w:cs="Arial"/>
          <w:i/>
          <w:sz w:val="24"/>
          <w:szCs w:val="24"/>
          <w:lang w:val="es-ES" w:eastAsia="es-ES"/>
        </w:rPr>
      </w:pPr>
      <w:r w:rsidRPr="00CF2780">
        <w:rPr>
          <w:rFonts w:ascii="Arial" w:eastAsia="Times New Roman" w:hAnsi="Arial" w:cs="Arial"/>
          <w:i/>
          <w:sz w:val="24"/>
          <w:szCs w:val="24"/>
          <w:lang w:val="es-ES" w:eastAsia="es-ES"/>
        </w:rPr>
        <w:t>"...1. La demanda de la comunidad indígena de Cherán sobre la necesidad de llevar a cabo la elección mediante "usos y costumbres" no está fuera del derecho; por el contrario está en consonancia con lo dispuesto por la norma constitucional, particularmente con el artículo 2o.</w:t>
      </w:r>
    </w:p>
    <w:p w14:paraId="40644E1C" w14:textId="77777777" w:rsidR="00AD59FF" w:rsidRPr="00CF2780" w:rsidRDefault="00AD59FF" w:rsidP="00AD59FF">
      <w:pPr>
        <w:spacing w:after="0" w:line="240" w:lineRule="auto"/>
        <w:ind w:left="567" w:right="335"/>
        <w:jc w:val="both"/>
        <w:rPr>
          <w:rFonts w:ascii="Arial" w:eastAsia="Times New Roman" w:hAnsi="Arial" w:cs="Arial"/>
          <w:i/>
          <w:sz w:val="24"/>
          <w:szCs w:val="24"/>
          <w:lang w:val="es-ES" w:eastAsia="es-ES"/>
        </w:rPr>
      </w:pPr>
      <w:r w:rsidRPr="00CF2780">
        <w:rPr>
          <w:rFonts w:ascii="Arial" w:eastAsia="Times New Roman" w:hAnsi="Arial" w:cs="Arial"/>
          <w:i/>
          <w:sz w:val="24"/>
          <w:szCs w:val="24"/>
          <w:lang w:val="es-ES" w:eastAsia="es-ES"/>
        </w:rPr>
        <w:t>2. Las normas internacionales de derechos humanos, que según lo dispuesto por el artículo 1º  constitucional son la ley suprema en el Estado mexicano, respaldan y amplían el derecho que tienen los pueblos y comunidades indígenas a elegir sus representantes y autoridades mediante procedimientos propios ("usos y costumbres"); pero no sólo eso, también garantizan el ámbito sustancial de la organización social, es decir, el respeto a sus instituciones políticas y jurídicas.</w:t>
      </w:r>
    </w:p>
    <w:p w14:paraId="63156070" w14:textId="77777777" w:rsidR="00AD59FF" w:rsidRPr="00CF2780" w:rsidRDefault="00AD59FF" w:rsidP="00AD59FF">
      <w:pPr>
        <w:spacing w:after="0" w:line="240" w:lineRule="auto"/>
        <w:ind w:left="567" w:right="335"/>
        <w:jc w:val="both"/>
        <w:rPr>
          <w:rFonts w:ascii="Arial" w:eastAsia="Times New Roman" w:hAnsi="Arial" w:cs="Arial"/>
          <w:i/>
          <w:sz w:val="24"/>
          <w:szCs w:val="24"/>
          <w:lang w:val="es-ES" w:eastAsia="es-ES"/>
        </w:rPr>
      </w:pPr>
      <w:r w:rsidRPr="00CF2780">
        <w:rPr>
          <w:rFonts w:ascii="Arial" w:eastAsia="Times New Roman" w:hAnsi="Arial" w:cs="Arial"/>
          <w:i/>
          <w:sz w:val="24"/>
          <w:szCs w:val="24"/>
          <w:lang w:val="es-ES" w:eastAsia="es-ES"/>
        </w:rPr>
        <w:t>3. El criterio que han seguido las instancias de justicia internacional en materia de derechos humanos, como la Corte Interamericana de Derechos Humanos, ha sido en el sentido de que los Estados miembros del sistema interamericano tienen la obligación de garantizar, a través de diferentes medidas como la reforma de sus leyes, formas de participación política a los pueblos y comunidades indígenas que respeten sus prácticas culturales y sus formas de organización política.</w:t>
      </w:r>
    </w:p>
    <w:p w14:paraId="4621817A" w14:textId="77777777" w:rsidR="00AD59FF" w:rsidRPr="00CF2780" w:rsidRDefault="00AD59FF" w:rsidP="00AD59FF">
      <w:pPr>
        <w:spacing w:after="0" w:line="240" w:lineRule="auto"/>
        <w:ind w:left="567" w:right="335"/>
        <w:jc w:val="both"/>
        <w:rPr>
          <w:rFonts w:ascii="Arial" w:eastAsia="Times New Roman" w:hAnsi="Arial" w:cs="Arial"/>
          <w:i/>
          <w:sz w:val="24"/>
          <w:szCs w:val="24"/>
          <w:lang w:val="es-ES" w:eastAsia="es-ES"/>
        </w:rPr>
      </w:pPr>
      <w:r w:rsidRPr="00CF2780">
        <w:rPr>
          <w:rFonts w:ascii="Arial" w:eastAsia="Times New Roman" w:hAnsi="Arial" w:cs="Arial"/>
          <w:i/>
          <w:sz w:val="24"/>
          <w:szCs w:val="24"/>
          <w:lang w:val="es-ES" w:eastAsia="es-ES"/>
        </w:rPr>
        <w:t>4. Las limitantes a este derecho político de los pueblos indígenas sólo pueden encontrarse al nivel de los derechos fundamentales y de los derechos humanos internacionalmente reconocidos, y no por una ley secundaría como el código electoral del Estado de Michoacán.</w:t>
      </w:r>
    </w:p>
    <w:p w14:paraId="0E710887" w14:textId="77777777" w:rsidR="00AD59FF" w:rsidRPr="00CF2780" w:rsidRDefault="00AD59FF" w:rsidP="00AD59FF">
      <w:pPr>
        <w:spacing w:after="0" w:line="240" w:lineRule="auto"/>
        <w:ind w:left="567" w:right="335"/>
        <w:jc w:val="both"/>
        <w:rPr>
          <w:rFonts w:ascii="Arial" w:eastAsia="Times New Roman" w:hAnsi="Arial" w:cs="Arial"/>
          <w:i/>
          <w:sz w:val="24"/>
          <w:szCs w:val="24"/>
          <w:lang w:val="es-ES" w:eastAsia="es-ES"/>
        </w:rPr>
      </w:pPr>
      <w:r w:rsidRPr="00CF2780">
        <w:rPr>
          <w:rFonts w:ascii="Arial" w:eastAsia="Times New Roman" w:hAnsi="Arial" w:cs="Arial"/>
          <w:i/>
          <w:sz w:val="24"/>
          <w:szCs w:val="24"/>
          <w:lang w:val="es-ES" w:eastAsia="es-ES"/>
        </w:rPr>
        <w:t>5. La comunidad indígena de Cherán cuenta con "usos y costumbres" para prácticas y organización política que han ido adaptándose según las necesidades de la comunidad de sus interacciones con el Estado. No obstante lo anterior, también existe una clara línea de continuidad histórica en las formas de organización que hoy funcionan en la comunidad…”</w:t>
      </w:r>
    </w:p>
    <w:p w14:paraId="2160E967" w14:textId="77777777" w:rsidR="00AD59FF" w:rsidRPr="00CF2780" w:rsidRDefault="00AD59FF" w:rsidP="00AD59FF">
      <w:pPr>
        <w:spacing w:after="0" w:line="240" w:lineRule="auto"/>
        <w:ind w:left="567" w:right="335"/>
        <w:jc w:val="both"/>
        <w:rPr>
          <w:rFonts w:ascii="Arial" w:eastAsia="Times New Roman" w:hAnsi="Arial" w:cs="Arial"/>
          <w:i/>
          <w:sz w:val="24"/>
          <w:szCs w:val="24"/>
          <w:lang w:val="es-ES" w:eastAsia="es-ES"/>
        </w:rPr>
      </w:pPr>
      <w:r w:rsidRPr="00CF2780">
        <w:rPr>
          <w:rFonts w:ascii="Arial" w:eastAsia="Times New Roman" w:hAnsi="Arial" w:cs="Arial"/>
          <w:i/>
          <w:sz w:val="24"/>
          <w:szCs w:val="24"/>
          <w:lang w:val="es-ES" w:eastAsia="es-ES"/>
        </w:rPr>
        <w:t>Y, se recomienda que:</w:t>
      </w:r>
    </w:p>
    <w:p w14:paraId="1DE6DD67" w14:textId="77777777" w:rsidR="00AD59FF" w:rsidRPr="00CF2780" w:rsidRDefault="00AD59FF" w:rsidP="00AD59FF">
      <w:pPr>
        <w:spacing w:after="0" w:line="240" w:lineRule="auto"/>
        <w:ind w:left="567" w:right="335"/>
        <w:jc w:val="both"/>
        <w:rPr>
          <w:rFonts w:ascii="Arial" w:eastAsia="Times New Roman" w:hAnsi="Arial" w:cs="Arial"/>
          <w:i/>
          <w:sz w:val="24"/>
          <w:szCs w:val="24"/>
          <w:lang w:val="es-ES" w:eastAsia="es-ES"/>
        </w:rPr>
      </w:pPr>
      <w:r w:rsidRPr="00CF2780">
        <w:rPr>
          <w:rFonts w:ascii="Arial" w:eastAsia="Times New Roman" w:hAnsi="Arial" w:cs="Arial"/>
          <w:i/>
          <w:sz w:val="24"/>
          <w:szCs w:val="24"/>
          <w:lang w:val="es-ES" w:eastAsia="es-ES"/>
        </w:rPr>
        <w:t>“…1. La demanda de la comunidad indígena de Cherán debe ser atendida en sentido positivo por el Instituto Electoral de Michoacán.</w:t>
      </w:r>
    </w:p>
    <w:p w14:paraId="3CC868BF" w14:textId="77777777" w:rsidR="00AD59FF" w:rsidRPr="00CF2780" w:rsidRDefault="00AD59FF" w:rsidP="00AD59FF">
      <w:pPr>
        <w:spacing w:after="0" w:line="240" w:lineRule="auto"/>
        <w:ind w:left="567" w:right="335"/>
        <w:jc w:val="both"/>
        <w:rPr>
          <w:rFonts w:ascii="Arial" w:eastAsia="Times New Roman" w:hAnsi="Arial" w:cs="Arial"/>
          <w:i/>
          <w:sz w:val="24"/>
          <w:szCs w:val="24"/>
          <w:lang w:val="es-ES" w:eastAsia="es-ES"/>
        </w:rPr>
      </w:pPr>
      <w:r w:rsidRPr="00CF2780">
        <w:rPr>
          <w:rFonts w:ascii="Arial" w:eastAsia="Times New Roman" w:hAnsi="Arial" w:cs="Arial"/>
          <w:i/>
          <w:sz w:val="24"/>
          <w:szCs w:val="24"/>
          <w:lang w:val="es-ES" w:eastAsia="es-ES"/>
        </w:rPr>
        <w:lastRenderedPageBreak/>
        <w:t>2. Se debe realizar un estudio antropológico más profundo que permita facilitar la creación de un procedimiento que pueda articular las prácticas y formas de organización política de la comunidad indígena de Cherán con la normatividad estatal de los procedimientos político-electorales. Sin embargo, y por encima de lo anterior se debe  instalar una mesa de consulta con las autoridades representativas de la comunidad de Cherán para que, de acuerdo al derecho a la consulta que las comunidades y pueblos indígenas tienen garantizados a nivel nacional e internacional, puedan construir consensadamente con el Estado el procedimiento que consideren que mejor se adecúa a sus formas de organización social.</w:t>
      </w:r>
    </w:p>
    <w:p w14:paraId="6F67474B" w14:textId="77777777" w:rsidR="00AD59FF" w:rsidRPr="00CF2780" w:rsidRDefault="00AD59FF" w:rsidP="00AD59FF">
      <w:pPr>
        <w:spacing w:after="0" w:line="240" w:lineRule="auto"/>
        <w:ind w:left="567" w:right="335"/>
        <w:jc w:val="both"/>
        <w:rPr>
          <w:rFonts w:ascii="Arial" w:eastAsia="Times New Roman" w:hAnsi="Arial" w:cs="Arial"/>
          <w:i/>
          <w:sz w:val="24"/>
          <w:szCs w:val="24"/>
          <w:lang w:val="es-ES" w:eastAsia="es-ES"/>
        </w:rPr>
      </w:pPr>
      <w:r w:rsidRPr="00CF2780">
        <w:rPr>
          <w:rFonts w:ascii="Arial" w:eastAsia="Times New Roman" w:hAnsi="Arial" w:cs="Arial"/>
          <w:i/>
          <w:sz w:val="24"/>
          <w:szCs w:val="24"/>
          <w:lang w:val="es-ES" w:eastAsia="es-ES"/>
        </w:rPr>
        <w:t>3. El Instituto Electoral de Michoacán en el ámbito de sus atribuciones debe de promover las modificaciones legislativas pertinentes para que en la normatividad electoral de la entidad se incluyan disposiciones que garanticen en adelante este derecho a los pueblos y comunidades indígenas de Michoacán..."</w:t>
      </w:r>
    </w:p>
    <w:p w14:paraId="6826F544"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OCTAVO. Que en la opinión del maestro Gonzalo Farrera Bravo, después de hacer un análisis del contexto político-social, hizo una serie de consideraciones generales y referencia histórica; abordó las incompatibilidades de la representación política clásica con los derechos de los pueblos indígenas; estudió el problema de las cuotas electorales y la naturaleza  jurídica de los organismos autónomos estatales; nos ilustra sobre las experiencias de derechos constitucional local en Oaxaca y San Luis Potosí; muestra cuál es la perspectiva institucional con respecto al sistema político local y el sistema de partidos y señala lo relativo a la reforma constitucional local.</w:t>
      </w:r>
    </w:p>
    <w:p w14:paraId="399C16A2"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Que sobre esos datos, el investigador en cita, concluyó que:</w:t>
      </w:r>
    </w:p>
    <w:p w14:paraId="341D1207" w14:textId="77777777" w:rsidR="00AD59FF" w:rsidRPr="00CF2780" w:rsidRDefault="00AD59FF" w:rsidP="00AD59FF">
      <w:pPr>
        <w:spacing w:after="0" w:line="240" w:lineRule="auto"/>
        <w:ind w:left="567" w:right="335"/>
        <w:jc w:val="both"/>
        <w:rPr>
          <w:rFonts w:ascii="Arial" w:eastAsia="Times New Roman" w:hAnsi="Arial" w:cs="Arial"/>
          <w:i/>
          <w:sz w:val="24"/>
          <w:szCs w:val="24"/>
          <w:lang w:val="es-ES" w:eastAsia="es-ES"/>
        </w:rPr>
      </w:pPr>
      <w:r w:rsidRPr="00CF2780">
        <w:rPr>
          <w:rFonts w:ascii="Arial" w:eastAsia="Times New Roman" w:hAnsi="Arial" w:cs="Arial"/>
          <w:i/>
          <w:sz w:val="24"/>
          <w:szCs w:val="24"/>
          <w:lang w:val="es-ES" w:eastAsia="es-ES"/>
        </w:rPr>
        <w:t>"...PRIMERO. El Instituto Electoral de Michoacán, no puede convocar a elecciones en la modalidad de "usos y costumbres", ya como lo argumentamos en el cuerpo de este trabajo corresponde a una modalidad de organización política paralela a la función del sistema de partidos, dicha función solo puede ser impuesta por la soberanía estatal, es decir Congreso Local del Estado de Michoacán. Es evidente la invasión de esferas de competencia, ya que no solo implica que una comunidad indígena como Cherán pueda usar esta forma de organización política, sino una decisión fundamental reservada en el cuerpo del texto constitucional michoacano.</w:t>
      </w:r>
    </w:p>
    <w:p w14:paraId="5A4973D4" w14:textId="77777777" w:rsidR="00AD59FF" w:rsidRPr="00CF2780" w:rsidRDefault="00AD59FF" w:rsidP="00AD59FF">
      <w:pPr>
        <w:spacing w:after="0" w:line="240" w:lineRule="auto"/>
        <w:ind w:left="567" w:right="335"/>
        <w:jc w:val="both"/>
        <w:rPr>
          <w:rFonts w:ascii="Arial" w:eastAsia="Times New Roman" w:hAnsi="Arial" w:cs="Arial"/>
          <w:i/>
          <w:sz w:val="24"/>
          <w:szCs w:val="24"/>
          <w:lang w:val="es-ES" w:eastAsia="es-ES"/>
        </w:rPr>
      </w:pPr>
      <w:r w:rsidRPr="00CF2780">
        <w:rPr>
          <w:rFonts w:ascii="Arial" w:eastAsia="Times New Roman" w:hAnsi="Arial" w:cs="Arial"/>
          <w:i/>
          <w:sz w:val="24"/>
          <w:szCs w:val="24"/>
          <w:lang w:val="es-ES" w:eastAsia="es-ES"/>
        </w:rPr>
        <w:t>Se han emitido opiniones de expertos con sentido positivo a la posibilidad de implementar "usos y costumbres" en la comunidad de Cherán, pero lo que se olvida en particular es que en el Estado de Oaxaca hubo una reforma constitucional que data de 1995, en donde se implementa la modalidad de organización política de "usos o costumbres o de derecho consuetudinario" como la Constitución Oaxaqueña hace mención además de una clara separación de los partidos políticos en la vida de las comunidades que elijan la modalidad consuetudinaria. Dicha mención constitucional posibilita al organismo autónomo local de índole electoral actuar bajo los parámetros constitucionales de la localidad y del marco legal electoral.</w:t>
      </w:r>
    </w:p>
    <w:p w14:paraId="4EED6B53" w14:textId="77777777" w:rsidR="00AD59FF" w:rsidRPr="00CF2780" w:rsidRDefault="00AD59FF" w:rsidP="00AD59FF">
      <w:pPr>
        <w:spacing w:after="0" w:line="240" w:lineRule="auto"/>
        <w:ind w:left="567" w:right="335"/>
        <w:jc w:val="both"/>
        <w:rPr>
          <w:rFonts w:ascii="Arial" w:eastAsia="Times New Roman" w:hAnsi="Arial" w:cs="Arial"/>
          <w:i/>
          <w:sz w:val="24"/>
          <w:szCs w:val="24"/>
          <w:lang w:val="es-ES" w:eastAsia="es-ES"/>
        </w:rPr>
      </w:pPr>
      <w:r w:rsidRPr="00CF2780">
        <w:rPr>
          <w:rFonts w:ascii="Arial" w:eastAsia="Times New Roman" w:hAnsi="Arial" w:cs="Arial"/>
          <w:i/>
          <w:sz w:val="24"/>
          <w:szCs w:val="24"/>
          <w:lang w:val="es-ES" w:eastAsia="es-ES"/>
        </w:rPr>
        <w:lastRenderedPageBreak/>
        <w:t>Otra perspectiva es la mención de los tratados internacionales en materia de derechos humanos y los afines a nuestra materia, pero no se contempla que los tratados internacionales no (sic) pueden modificarla forma de gobierno de un Estado, en el caso particular de Michoacán, la visión institucional desde una perspectiva de micro a macro comparación nos ilustra que nos es posible cambiar el régimen interior del Estado de Michoacán, porque una comunidad sugiera la implementación de un nuevo modelo de organización política, es necesario que la soberanía estatal lo decida, consecuencia de la soberanía depositada para su ejercicio en el Congreso Local por la Ley Fundamental Michoacana.</w:t>
      </w:r>
    </w:p>
    <w:p w14:paraId="053B2ACB" w14:textId="77777777" w:rsidR="00AD59FF" w:rsidRPr="00CF2780" w:rsidRDefault="00AD59FF" w:rsidP="00AD59FF">
      <w:pPr>
        <w:spacing w:after="0" w:line="240" w:lineRule="auto"/>
        <w:ind w:left="567" w:right="335"/>
        <w:jc w:val="both"/>
        <w:rPr>
          <w:rFonts w:ascii="Arial" w:eastAsia="Times New Roman" w:hAnsi="Arial" w:cs="Arial"/>
          <w:i/>
          <w:sz w:val="24"/>
          <w:szCs w:val="24"/>
          <w:lang w:val="es-ES" w:eastAsia="es-ES"/>
        </w:rPr>
      </w:pPr>
      <w:r w:rsidRPr="00CF2780">
        <w:rPr>
          <w:rFonts w:ascii="Arial" w:eastAsia="Times New Roman" w:hAnsi="Arial" w:cs="Arial"/>
          <w:i/>
          <w:sz w:val="24"/>
          <w:szCs w:val="24"/>
          <w:lang w:val="es-ES" w:eastAsia="es-ES"/>
        </w:rPr>
        <w:t xml:space="preserve">Otro aspecto que no se ha tomado en cuenta, es desde la perspectiva institucional, es que el sistema de partidos es un forma de organización política reconocida por la Constitución Federal, y emulada por la Constitución Local, como una institución con la finalidad de generar estabilidad política y de buscar la representación de las diversas expresiones sociales del Estado de Michoacán, la alteración o la formulación paralela de una nueva institución (usos y costumbres) implica una alteración significativa del ordenamiento constitucional local, que no debe tomarse a la ligera. La única vía para poder adecuar una nueva modalidad de organización política (usos y costumbres) es una REFORMA CONSTITUCIONAL que inserte en la Ley Fundamental Local, los instrumentos, el diseño y la garantía jurídica que tanto el pacto federal consagrado en la Constitución Federal como el Pacto local consagrado en sus respectiva Constitución tengan no sufra una alteración que contravenga el sentido de los principios constitucionales, contenidos en la misma. Un ejemplo de mi argumento sería el respetar el principio de no reelección de las autoridades, contendido en las dos Constituciones, y que por lo tanto no podría ser impuesto o violado en una situación hipotética, si la autoridad electoral o las jurisdiccionales del ámbito federal o local, pudieran excederse de las facultades expresas que cada Constitución le ha otorgado. </w:t>
      </w:r>
    </w:p>
    <w:p w14:paraId="49E566D7" w14:textId="77777777" w:rsidR="00AD59FF" w:rsidRPr="00CF2780" w:rsidRDefault="00AD59FF" w:rsidP="00AD59FF">
      <w:pPr>
        <w:spacing w:after="0" w:line="240" w:lineRule="auto"/>
        <w:ind w:left="567" w:right="335"/>
        <w:jc w:val="both"/>
        <w:rPr>
          <w:rFonts w:ascii="Arial" w:eastAsia="Times New Roman" w:hAnsi="Arial" w:cs="Arial"/>
          <w:i/>
          <w:sz w:val="24"/>
          <w:szCs w:val="24"/>
          <w:lang w:val="es-ES" w:eastAsia="es-ES"/>
        </w:rPr>
      </w:pPr>
      <w:r w:rsidRPr="00CF2780">
        <w:rPr>
          <w:rFonts w:ascii="Arial" w:eastAsia="Times New Roman" w:hAnsi="Arial" w:cs="Arial"/>
          <w:i/>
          <w:sz w:val="24"/>
          <w:szCs w:val="24"/>
          <w:lang w:val="es-ES" w:eastAsia="es-ES"/>
        </w:rPr>
        <w:t xml:space="preserve">SEGUNDO. La única manera de garantizar un correcto funcionamiento de una institución política como la de usos y costumbres, implica la necesaria reglamentación y la implementación de un marco constitucional, que no solo sea base para la inmediata elección de próximo mes de noviembre de 2011, sino para la posteridad garantizando a las comunidades indígenas certeza y reglas generales que implique la gobernabilidad las comunidades indígenas. Recordemos cómo se explicó en el apartado correspondiente de este dictamen, que la inserción constitucional de un derecho es la manera en que se puede heredar a las generaciones futuras los derechos reconocidos en una determinada época, perspectiva que fue legada por el constituyente de 1917 al implementar el actual sistema político que hoy tenemos. </w:t>
      </w:r>
    </w:p>
    <w:p w14:paraId="00A72FAF" w14:textId="77777777" w:rsidR="00AD59FF" w:rsidRPr="00CF2780" w:rsidRDefault="00AD59FF" w:rsidP="00AD59FF">
      <w:pPr>
        <w:spacing w:after="0" w:line="240" w:lineRule="auto"/>
        <w:ind w:left="567" w:right="335"/>
        <w:jc w:val="both"/>
        <w:rPr>
          <w:rFonts w:ascii="Arial" w:eastAsia="Times New Roman" w:hAnsi="Arial" w:cs="Arial"/>
          <w:i/>
          <w:sz w:val="24"/>
          <w:szCs w:val="24"/>
          <w:lang w:val="es-ES" w:eastAsia="es-ES"/>
        </w:rPr>
      </w:pPr>
      <w:r w:rsidRPr="00CF2780">
        <w:rPr>
          <w:rFonts w:ascii="Arial" w:eastAsia="Times New Roman" w:hAnsi="Arial" w:cs="Arial"/>
          <w:i/>
          <w:sz w:val="24"/>
          <w:szCs w:val="24"/>
          <w:lang w:val="es-ES" w:eastAsia="es-ES"/>
        </w:rPr>
        <w:t xml:space="preserve">TERCERO. Las características del organismo autónomo electoral del Estado de Michoacán que en este trabajo quedaron manifiestas en su respectivo apartado, de lo cual concluimos que la finalidad de la función electoral es permitir a través de las facultades conferidas por la Constitución </w:t>
      </w:r>
      <w:r w:rsidRPr="00CF2780">
        <w:rPr>
          <w:rFonts w:ascii="Arial" w:eastAsia="Times New Roman" w:hAnsi="Arial" w:cs="Arial"/>
          <w:i/>
          <w:sz w:val="24"/>
          <w:szCs w:val="24"/>
          <w:lang w:val="es-ES" w:eastAsia="es-ES"/>
        </w:rPr>
        <w:lastRenderedPageBreak/>
        <w:t>Local, como aquella responsable de la organización y los preparativos para llevar a cabo las respectivas jornadas electorales y que conlleve la realización de las mismas. Este organismo no puede contravenir o actuar más allá del alcance que la misma Ley Fundamental Estatal le permita o le tenga permitido. Cualquier actividad más allá de sus facultades expresamente señaladas por la Constitución y sus respectiva reglamentación provoca una alteración de la formula de la división de poderes consagrada en la Constitución Local. El punto que conviene a aclarar, es la imposibilidad del .Instituto Electoral de Michoacano de dar una interpretación de la normatividad electoral o de los tratados internacionales en materia de derechos humanos celebrados por el Estado Mexicano, ya que esa función solo es permitida a la función jurisdiccional, es decir a los tribunales especializados en la materia, en el ámbito local y federal respectivamente. Sería otra sería invasión de las facultades conferidas constitucionalmente a cada poder u organismo autónomo constitucional.</w:t>
      </w:r>
    </w:p>
    <w:p w14:paraId="28DCFD6E" w14:textId="77777777" w:rsidR="00AD59FF" w:rsidRPr="00CF2780" w:rsidRDefault="00AD59FF" w:rsidP="00AD59FF">
      <w:pPr>
        <w:spacing w:after="0" w:line="240" w:lineRule="auto"/>
        <w:ind w:left="567" w:right="335"/>
        <w:jc w:val="both"/>
        <w:rPr>
          <w:rFonts w:ascii="Arial" w:eastAsia="Times New Roman" w:hAnsi="Arial" w:cs="Arial"/>
          <w:i/>
          <w:sz w:val="24"/>
          <w:szCs w:val="24"/>
          <w:lang w:val="es-ES" w:eastAsia="es-ES"/>
        </w:rPr>
      </w:pPr>
      <w:r w:rsidRPr="00CF2780">
        <w:rPr>
          <w:rFonts w:ascii="Arial" w:eastAsia="Times New Roman" w:hAnsi="Arial" w:cs="Arial"/>
          <w:i/>
          <w:sz w:val="24"/>
          <w:szCs w:val="24"/>
          <w:lang w:val="es-ES" w:eastAsia="es-ES"/>
        </w:rPr>
        <w:t>CUARTO. Otro punto a aclarar, es que la actividad del Instituto Electoral Michoacano, NO ES VIOLATORIA DE DERECHOS HUMANOS, ya que dentro de las funciones conferidas constitucionalmente en los ámbitos federales y locales respectivamente, NO se vulnera ningún derecho político-electoral de los ciudadanos, ya que la autoridad electoral en ningún momento lesiona la esfera de los gobernados o desconoce los alcances de la misma, SI NO QUE NO POSEE LA FACULTAD SOBERANA, RESERVADA EXCLUSIVAMENTE AL CONGRESO LOCAL de imponer una modalidad de organización política ajena a fa reconocida por la Constitución Local, la cual es emulada de la Constitución Federal.</w:t>
      </w:r>
    </w:p>
    <w:p w14:paraId="40F328EC" w14:textId="77777777" w:rsidR="00AD59FF" w:rsidRPr="00CF2780" w:rsidRDefault="00AD59FF" w:rsidP="00AD59FF">
      <w:pPr>
        <w:spacing w:after="0" w:line="240" w:lineRule="auto"/>
        <w:ind w:left="567" w:right="335"/>
        <w:jc w:val="both"/>
        <w:rPr>
          <w:rFonts w:ascii="Arial" w:eastAsia="Times New Roman" w:hAnsi="Arial" w:cs="Arial"/>
          <w:i/>
          <w:sz w:val="24"/>
          <w:szCs w:val="24"/>
          <w:lang w:val="es-ES" w:eastAsia="es-ES"/>
        </w:rPr>
      </w:pPr>
      <w:r w:rsidRPr="00CF2780">
        <w:rPr>
          <w:rFonts w:ascii="Arial" w:eastAsia="Times New Roman" w:hAnsi="Arial" w:cs="Arial"/>
          <w:i/>
          <w:sz w:val="24"/>
          <w:szCs w:val="24"/>
          <w:lang w:val="es-ES" w:eastAsia="es-ES"/>
        </w:rPr>
        <w:t>Desde la óptica del derecho comparado constitucional de los estados, contenida en este dictamen, en el Estado de Oaxaca existe una manifestación expresa por parte de la soberanía estatal de implantar paralelamente la modalidad de sistema de partidos y de usos y costumbres, misma que es excluyente para cada comunidad que decida gobernarse por atendiendo a una institución política en particular, atendiendo a su facultad de auto-gobierno, reconocida y elevada a rango constitucional la Constitución Oaxaqueña.</w:t>
      </w:r>
    </w:p>
    <w:p w14:paraId="4B75C169" w14:textId="77777777" w:rsidR="00AD59FF" w:rsidRPr="00CF2780" w:rsidRDefault="00AD59FF" w:rsidP="00AD59FF">
      <w:pPr>
        <w:spacing w:after="0" w:line="240" w:lineRule="auto"/>
        <w:ind w:left="567" w:right="335"/>
        <w:jc w:val="both"/>
        <w:rPr>
          <w:rFonts w:ascii="Arial" w:eastAsia="Times New Roman" w:hAnsi="Arial" w:cs="Arial"/>
          <w:i/>
          <w:sz w:val="24"/>
          <w:szCs w:val="24"/>
          <w:lang w:val="es-ES" w:eastAsia="es-ES"/>
        </w:rPr>
      </w:pPr>
      <w:r w:rsidRPr="00CF2780">
        <w:rPr>
          <w:rFonts w:ascii="Arial" w:eastAsia="Times New Roman" w:hAnsi="Arial" w:cs="Arial"/>
          <w:i/>
          <w:sz w:val="24"/>
          <w:szCs w:val="24"/>
          <w:lang w:val="es-ES" w:eastAsia="es-ES"/>
        </w:rPr>
        <w:t>Las facultades conferidas a las autoridades electorales oaxaqueñas, para implementar, asesorar e incluso la implementación de una jurisdicción indígena son producto de una reforma constitucional, no de una decisión de una autoridad del ámbito jurisdiccional o electoral respectivamente como erróneamente se plantea para el estado de Michoacán.</w:t>
      </w:r>
    </w:p>
    <w:p w14:paraId="7F89A8DD" w14:textId="77777777" w:rsidR="00AD59FF" w:rsidRPr="00CF2780" w:rsidRDefault="00AD59FF" w:rsidP="00AD59FF">
      <w:pPr>
        <w:spacing w:after="0" w:line="240" w:lineRule="auto"/>
        <w:ind w:left="567" w:right="335"/>
        <w:jc w:val="both"/>
        <w:rPr>
          <w:rFonts w:ascii="Arial" w:eastAsia="Times New Roman" w:hAnsi="Arial" w:cs="Arial"/>
          <w:i/>
          <w:sz w:val="24"/>
          <w:szCs w:val="24"/>
          <w:lang w:val="es-ES" w:eastAsia="es-ES"/>
        </w:rPr>
      </w:pPr>
      <w:r w:rsidRPr="00CF2780">
        <w:rPr>
          <w:rFonts w:ascii="Arial" w:eastAsia="Times New Roman" w:hAnsi="Arial" w:cs="Arial"/>
          <w:i/>
          <w:sz w:val="24"/>
          <w:szCs w:val="24"/>
          <w:lang w:val="es-ES" w:eastAsia="es-ES"/>
        </w:rPr>
        <w:t xml:space="preserve">QUINTO. La ÚNICA manera en que podría implementarse la modalidad de usos y costumbres en el Estado de Michoacán, sería mediante una reforma constitucional que adicionara a dicha Ley Fundamental, los parámetros constitucionales además de la ingeniería constitucional, para modificar al sistema de partidos que actualmente está contemplado en la Constitución Local. Como se argumentó en el presente dictamen, la Constitución regula la vida política de la localidad, y la adecuación de la realidad social al ámbito constitucional es materia de la reforma constitucional exclusivamente. </w:t>
      </w:r>
    </w:p>
    <w:p w14:paraId="5F2030AD" w14:textId="77777777" w:rsidR="00AD59FF" w:rsidRPr="00CF2780" w:rsidRDefault="00AD59FF" w:rsidP="00AD59FF">
      <w:pPr>
        <w:spacing w:after="0" w:line="240" w:lineRule="auto"/>
        <w:ind w:left="567" w:right="335"/>
        <w:jc w:val="both"/>
        <w:rPr>
          <w:rFonts w:ascii="Arial" w:eastAsia="Times New Roman" w:hAnsi="Arial" w:cs="Arial"/>
          <w:i/>
          <w:sz w:val="24"/>
          <w:szCs w:val="24"/>
          <w:lang w:val="es-ES" w:eastAsia="es-ES"/>
        </w:rPr>
      </w:pPr>
      <w:r w:rsidRPr="00CF2780">
        <w:rPr>
          <w:rFonts w:ascii="Arial" w:eastAsia="Times New Roman" w:hAnsi="Arial" w:cs="Arial"/>
          <w:i/>
          <w:sz w:val="24"/>
          <w:szCs w:val="24"/>
          <w:lang w:val="es-ES" w:eastAsia="es-ES"/>
        </w:rPr>
        <w:lastRenderedPageBreak/>
        <w:t>SEXTO. La autoridad Jurisdiccional ya sea del ámbito local como el federal NO tiene las facultades otorgadas por sus respectivas Leyes Fundamentales, para imponer formas de organización política ajenas a lo establecido en la Constitución Local y Federal respectivamente, esta facultad sólo es reservada al Congreso Local. Ni la interpretación de los tratados internacionales permite que la autoridad jurisdiccional pueda implementar una forma de organización política, argumentar lo anterior, es desconocer las facultades soberanas del estado de Michoacán, dotadas por la Constitución Federal, la cual permite al Estado elegir la forma de organización política más conveniente al interior, y como en el caso oaxaqueño, en base a esta facultad, la soberanía estatal pudo implementar la modalidad de usos y costumbres.</w:t>
      </w:r>
    </w:p>
    <w:p w14:paraId="70F84991" w14:textId="77777777" w:rsidR="00AD59FF" w:rsidRPr="00CF2780" w:rsidRDefault="00AD59FF" w:rsidP="00AD59FF">
      <w:pPr>
        <w:spacing w:after="0" w:line="240" w:lineRule="auto"/>
        <w:ind w:left="567" w:right="335"/>
        <w:jc w:val="both"/>
        <w:rPr>
          <w:rFonts w:ascii="Arial" w:eastAsia="Times New Roman" w:hAnsi="Arial" w:cs="Arial"/>
          <w:i/>
          <w:sz w:val="24"/>
          <w:szCs w:val="24"/>
          <w:lang w:val="es-ES" w:eastAsia="es-ES"/>
        </w:rPr>
      </w:pPr>
      <w:r w:rsidRPr="00CF2780">
        <w:rPr>
          <w:rFonts w:ascii="Arial" w:eastAsia="Times New Roman" w:hAnsi="Arial" w:cs="Arial"/>
          <w:i/>
          <w:sz w:val="24"/>
          <w:szCs w:val="24"/>
          <w:lang w:val="es-ES" w:eastAsia="es-ES"/>
        </w:rPr>
        <w:t>SÉPTIMO. La alteración del sistema político implica una adecuación de la realidad social, que debe ser plasmada en la Constitución del Estado de Michoacán, esto es replantear el diseño original de la misma, contemplando los alcances de las nuevas adiciones constitucionales y sus consecuencias en la sociedad. La reforma constitucional es una de las instituciones que permiten adecuar la realidad social, reconocer luchas sociales e implementar nuevas perspectivas jurídico-sociales de cómo un pueblo lleva a cabo su gobierno. En materia de reforma constitucional, la constitución debe ser considerada como una obra en constante perfeccionamiento, ya que la realidad social no es estática, esto permite llegar a consensos generales en donde la lógica de las mayorías y minorías puedan consensar sus perspectivas buscando el bienestar social y la dignidad humana como premisas de la actividad estatal.</w:t>
      </w:r>
    </w:p>
    <w:p w14:paraId="002B2F06" w14:textId="77777777" w:rsidR="00AD59FF" w:rsidRPr="00CF2780" w:rsidRDefault="00AD59FF" w:rsidP="00AD59FF">
      <w:pPr>
        <w:spacing w:after="0" w:line="240" w:lineRule="auto"/>
        <w:ind w:left="567" w:right="335"/>
        <w:jc w:val="both"/>
        <w:rPr>
          <w:rFonts w:ascii="Arial" w:eastAsia="Times New Roman" w:hAnsi="Arial" w:cs="Arial"/>
          <w:i/>
          <w:sz w:val="24"/>
          <w:szCs w:val="24"/>
          <w:lang w:val="es-ES" w:eastAsia="es-ES"/>
        </w:rPr>
      </w:pPr>
      <w:r w:rsidRPr="00CF2780">
        <w:rPr>
          <w:rFonts w:ascii="Arial" w:eastAsia="Times New Roman" w:hAnsi="Arial" w:cs="Arial"/>
          <w:i/>
          <w:sz w:val="24"/>
          <w:szCs w:val="24"/>
          <w:lang w:val="es-ES" w:eastAsia="es-ES"/>
        </w:rPr>
        <w:t xml:space="preserve">OCTAVO. Los pueblos originarios o indígenas, son reconocidos por el Estado Mexicano como sujetos de derecho, con una cultura y cosmovisión propias, además de reconocer la manera en que ellos ancestral mente han establecido sus forma de gobierno, pero incluso esta forma de gobierno tiene que coincidir con los principios y valores emanados de la Constitución Federal, como en el caso oaxaqueños en donde la reelección y la duración del cargo se empata con lo estipulado en la Ley Fundamental. </w:t>
      </w:r>
    </w:p>
    <w:p w14:paraId="13B7A9A9" w14:textId="77777777" w:rsidR="00AD59FF" w:rsidRPr="00CF2780" w:rsidRDefault="00AD59FF" w:rsidP="00AD59FF">
      <w:pPr>
        <w:spacing w:after="0" w:line="240" w:lineRule="auto"/>
        <w:ind w:left="567" w:right="335"/>
        <w:jc w:val="both"/>
        <w:rPr>
          <w:rFonts w:ascii="Arial" w:eastAsia="Times New Roman" w:hAnsi="Arial" w:cs="Arial"/>
          <w:i/>
          <w:sz w:val="24"/>
          <w:szCs w:val="24"/>
          <w:lang w:val="es-ES" w:eastAsia="es-ES"/>
        </w:rPr>
      </w:pPr>
      <w:r w:rsidRPr="00CF2780">
        <w:rPr>
          <w:rFonts w:ascii="Arial" w:eastAsia="Times New Roman" w:hAnsi="Arial" w:cs="Arial"/>
          <w:i/>
          <w:sz w:val="24"/>
          <w:szCs w:val="24"/>
          <w:lang w:val="es-ES" w:eastAsia="es-ES"/>
        </w:rPr>
        <w:t>NOVENO. La autodeterminación de los pueblos originarios, no implica la salida del marco constitucional-legal de una comunidad, sino que se busca integrar a la estipulada en el pacto federal, reconociendo y fomentado políticas públicas enfocadas a propiciar las mejores condiciones, un ejemplo de ello es la implementación de una jurisdicción indígena como en los estados de Oaxaca y San Luis Potosí..."</w:t>
      </w:r>
    </w:p>
    <w:p w14:paraId="07F47FE2"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NOVENO. Que el día 26 veintiséis de agosto de 2011 dos mil once, la comunidad indígena de Cherán, acercó una solicitud acompañada por 103 hojas que contenían 1942 firmas y 217 nombres sin asentar la firma en el apartado destinado para ello.</w:t>
      </w:r>
    </w:p>
    <w:p w14:paraId="49DAA785"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Que de la lectura del escrito se desprende que piden que en Cherán, cabecera municipal y la Comunidad Indígena Purépecha de Michoacán sea respetado el derecho a decidir y elegir el nombramiento de sus autoridades en ese municipio como el derecho histórico, que les asiste por la existencia de su pueblo.</w:t>
      </w:r>
    </w:p>
    <w:p w14:paraId="645981F8"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lastRenderedPageBreak/>
        <w:t>Que apoyaron esa solicitud, en su reconocimiento como parte del pueblo purépecha ampara el Título Virreinal del año 1540 que marca la existencia a un derecho propio como comunidad de disposición de su territorio y recursos naturales que la contienen y, sobre esa base se llega a la figura del municipio en el año de 1861; explicando que la comunidad de Cherán y de Santa Cruz Tanaco como tenencia, tenía alrededor de 70 setenta años y, enseguida hacen una reseña de los problemas de inseguridad y de explotación inmoderada de sus bosques que se venía presentando desde hacía tres años y relatan que a raíz de los eventos ocurridos el 15 quince de abril de 2011 dos mil once, se decidió nombrar una comunidad que organizará y coordinara las gestiones de los temas de seguridad, justicia y reconstitución integral de la comunidad; y, se señala que se rescató el ejercicio la ronda tradicional de vigilancia y seguridad de la comunidad, a fin de proteger la integridad física y social de toda la comunidad.</w:t>
      </w:r>
    </w:p>
    <w:p w14:paraId="58DC05A5"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Lo anterior lo apoyan en el contenido de los artículos 2o y 133 de la Constitución Política de los Estados Unidos Mexicanos; el Convenio 169 de la OIT, en sus preceptos 1º, 2º, 8º, 13º; la Declaración de las Naciones Unidas sobre los Derechos de los Pueblos Indígenas, en los numerales 3º, 7º, 26.3, 33 y 34.</w:t>
      </w:r>
    </w:p>
    <w:p w14:paraId="0BD18321"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DÉCIMO. Que el 31 treinta y uno de agosto de 2011 dos mil once, los integrantes de la Coordinación General del Movimiento de Lucha de la Comunidad Indígena de San Francisco, Cherán, Michoacán; presentaron en la Presidencia del Instituto Electoral de Michoacán 24 veinticuatro hojas que contienen 470 cuatrocientas setenta firmas y 46 nombres sin asentar la firma en el apartado destinado para ello.</w:t>
      </w:r>
    </w:p>
    <w:p w14:paraId="7FA049F3"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Dentro de dichas páginas se localiza un documento del que se desprende que a las 18:00 dieciocho horas del día 24 veinticuatro de agosto de 2011 dos mil once, se reunieron en el lugar de costumbre en el Barrio 2º, de la Comunidad de Cherán, cabecera municipal, para celebrar asamblea para decidir el nombramiento de sus autoridades en la cabecera municipal y comunidad de Cherán de acuerdo al derecho histórico; así, una vez instalada la asamblea se informó y se analizó la situación, por lo pe se llegó al acuerdo de girar solicitud al IEM para que respete y respalde el acuerdo nombramiento de sus autoridades en base a! derecho indígena o usos y costumbres de la comunidad.</w:t>
      </w:r>
    </w:p>
    <w:p w14:paraId="4341DBA0"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Así con esos elementos se procede a dar respuesta, a fin de no vulnerar su derecho de Petición, contenido en el artículo 8º de la Constitución Política de los Estados Unidos Mexicanos, en base a los siguientes:</w:t>
      </w:r>
    </w:p>
    <w:p w14:paraId="509355C7" w14:textId="77777777" w:rsidR="00AD59FF" w:rsidRPr="00CF2780" w:rsidRDefault="00AD59FF" w:rsidP="00AD59FF">
      <w:pPr>
        <w:spacing w:after="0" w:line="240" w:lineRule="auto"/>
        <w:ind w:left="567" w:right="335"/>
        <w:jc w:val="center"/>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CONSIDERANDOS</w:t>
      </w:r>
    </w:p>
    <w:p w14:paraId="3F4E862A"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PRIMERO. Que por disposición del artículo 113, fracción XXXIII del Código Electoral de Estado de Michoacán, el Consejo General del Instituto Electoral de Michoacán, tiene, entre otras atribuciones, la de desahogar las dudas que se presenten sobre la aplicación e interpretación del código y resolver los casos no previstos en el mismo.</w:t>
      </w:r>
    </w:p>
    <w:p w14:paraId="427DCF0D"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 xml:space="preserve">SEGUNDO. Que los pueblos indígenas gozan de los derechos contenidos en el artículo 2º de la Constitución Política de los Estados, Unidos Mexicanos y en los tratados internacionales, como lo dispone el diverso 1º </w:t>
      </w:r>
      <w:r w:rsidRPr="00CF2780">
        <w:rPr>
          <w:rFonts w:ascii="Arial" w:eastAsia="Times New Roman" w:hAnsi="Arial" w:cs="Arial"/>
          <w:sz w:val="24"/>
          <w:szCs w:val="24"/>
          <w:lang w:val="es-ES" w:eastAsia="es-ES"/>
        </w:rPr>
        <w:lastRenderedPageBreak/>
        <w:t>de ese ordenamiento legal toda vez que no deben estar sometidos a ninguna forma de discriminación, deben tener la capacidad para participar plenamente en la vida pública, y a mantener sus identidades, lenguas y modos de vida distintos.</w:t>
      </w:r>
    </w:p>
    <w:p w14:paraId="6F7CFEBC"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En ese contexto jurídico encontramos el derecho de las comunidades indígenas a la libre determinación, dentro del cual se ubica a los derechos políticos; lo cual se explica a partir de que, esa prerrogativa se traduce en la facultad de ejercer su autodeterminación al interior de los estados es decir, su autonomía.</w:t>
      </w:r>
    </w:p>
    <w:p w14:paraId="29456A69"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Ésta consiste, en el aspecto interno, en ejercer libremente sus formas de gobierno interno y acceder a las tomas de decisiones de su autogobierno; y, en el ámbito externo, participar libremente en las formas de gobierno en sus entidades federativas y en la toma de decisiones en ese nivel; a más de que, se hace énfasis en la necesidad de tener en cuenta la contribución valiosa de las mujeres indígenas.</w:t>
      </w:r>
    </w:p>
    <w:p w14:paraId="670FF836"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Sobre ello, en la Declaración de las Naciones Unidas sobre los Derechos de los Pueblos Indígenas, se dispone en el artículo 3 que:</w:t>
      </w:r>
    </w:p>
    <w:p w14:paraId="6AB2270D" w14:textId="77777777" w:rsidR="00AD59FF" w:rsidRPr="00CF2780" w:rsidRDefault="00AD59FF" w:rsidP="00AD59FF">
      <w:pPr>
        <w:spacing w:after="0" w:line="240" w:lineRule="auto"/>
        <w:ind w:left="567" w:right="335"/>
        <w:jc w:val="both"/>
        <w:rPr>
          <w:rFonts w:ascii="Arial" w:eastAsia="Times New Roman" w:hAnsi="Arial" w:cs="Arial"/>
          <w:i/>
          <w:sz w:val="24"/>
          <w:szCs w:val="24"/>
          <w:lang w:val="es-ES" w:eastAsia="es-ES"/>
        </w:rPr>
      </w:pPr>
      <w:r w:rsidRPr="00CF2780">
        <w:rPr>
          <w:rFonts w:ascii="Arial" w:eastAsia="Times New Roman" w:hAnsi="Arial" w:cs="Arial"/>
          <w:i/>
          <w:sz w:val="24"/>
          <w:szCs w:val="24"/>
          <w:lang w:val="es-ES" w:eastAsia="es-ES"/>
        </w:rPr>
        <w:t>“Los pueblos indígenas tienen derecho a la libre determinación. En virtud de ese derecho determinan libremente’1 su-condición política y persiguen libremente su desarrollo económico, social y cultural.”</w:t>
      </w:r>
    </w:p>
    <w:p w14:paraId="4F910C17"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Lo cual encuentra soporte en el artículo 1 del Pacto Internacional de Derechos Civiles y Políticos y en el 1 del Pacto internacional de Derechos Económicos, Sociales y Culturales; así como en el Convenio sobre Pueblos Indígenas y Tribales en Países Independientes (Núm. 169), en sus artículos 2 y 3.</w:t>
      </w:r>
    </w:p>
    <w:p w14:paraId="0A89BD8D"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Así, en ese tenor el derecho a la autodeterminación puede expresarse por medio de</w:t>
      </w:r>
      <w:r w:rsidRPr="00CF2780">
        <w:rPr>
          <w:rFonts w:ascii="Arial" w:eastAsia="Times New Roman" w:hAnsi="Arial" w:cs="Arial"/>
          <w:sz w:val="24"/>
          <w:szCs w:val="24"/>
          <w:vertAlign w:val="superscript"/>
          <w:lang w:val="es-ES" w:eastAsia="es-ES"/>
        </w:rPr>
        <w:footnoteReference w:id="6"/>
      </w:r>
      <w:r w:rsidRPr="00CF2780">
        <w:rPr>
          <w:rFonts w:ascii="Arial" w:eastAsia="Times New Roman" w:hAnsi="Arial" w:cs="Arial"/>
          <w:sz w:val="24"/>
          <w:szCs w:val="24"/>
          <w:lang w:val="es-ES" w:eastAsia="es-ES"/>
        </w:rPr>
        <w:t xml:space="preserve">: </w:t>
      </w:r>
    </w:p>
    <w:p w14:paraId="613992FA"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Autonomía o autogobierno en cuestiones relacionadas con sus asuntos internos y locales, así como medios de financiar sus funciones autónomas. En otros casos, los pueblos indígenas buscan las condiciones para la autogestión.</w:t>
      </w:r>
    </w:p>
    <w:p w14:paraId="78C868F8"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Respeto por el principio de consentimiento libre, previo e informado. Este principio implica que exista una ausencia de coacción, intimidación o manipulación, que el consentimiento haya sido buscado con suficiente antelación a cualquier autorización o inicio de actividades, que se muestre respeto por los requisitos de tiempo de los procesos indígenas de consulta/consenso y que se suministre información plena y comprensible con respecto al impacto probable, participación plena y efectiva de los pueblos indígenas en cada etapa de cualquier acción que pueda afectarles directa o indirectamente. La participación de los pueblos indígenas puede ser a través de sus autoridades tradicionales o de una organización representativa. Esta participación también puede tomar la forma de cogestión.</w:t>
      </w:r>
    </w:p>
    <w:p w14:paraId="3B6FDE5E"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lastRenderedPageBreak/>
        <w:t>• Consulta con los pueblos indígenas involucrados antes de cualquier acción que pueda afectarles, directa o indirectamente. La consulta asegura que sus preocupaciones e intereses sean compatibles con los objetivos de la actividad o acción prevista.</w:t>
      </w:r>
    </w:p>
    <w:p w14:paraId="4DB281C2"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 Reconocimiento formal de las instituciones tradicionales, sistemas internos de justicia y resolución de conflictos, y modos de organización sociopolítica.</w:t>
      </w:r>
    </w:p>
    <w:p w14:paraId="5428BF80"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 Reconocimiento del derecho de los pueblos indígenas de definir y perseguir libremente su desarrollo económico, social y cultural.</w:t>
      </w:r>
    </w:p>
    <w:p w14:paraId="3A476B0A"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Entonces, es claro que el artículo 2, inciso A, fracciones l, III y VII de la Constitución Política de los Estados Unidos Mexicanos otorga el derecho a los pueblos indígenas a la libre determinación que se ejercerá en un marco constitucional de autonomía que asegure la unidad nacional y, se reconoce su autonomía para decidir su forma interna de convivencia y organización '"social, económica, política y cultural; así como de acuerdo a sus normas, procedimientos y prácticas tradicionales elegir a sus autoridades o representantes para el ejercicio de sus formas de gobierno interno y tener (presentación en los ayuntamientos.</w:t>
      </w:r>
    </w:p>
    <w:p w14:paraId="60E23ACB"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De esa manera, el estado mexicano se obliga a reconocer la integridad de la organización política de los pueblos indígenas a través del respeto a la forma de elección de sus autoridades y a las formas de gobernarse a sí mismo; con lo cual se entiende que serán los estados los que decidirán, en el marco constitucional vigente, el nivel de gobierno que tendrán las autoridades indígenas.</w:t>
      </w:r>
    </w:p>
    <w:p w14:paraId="61F6679E"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 xml:space="preserve">Sobre ello la Suprema Corte de Justicia de la Nación ha sostenido que ese reconocimiento no implica su independencia política ni su soberanía, sino sólo la posibilidad de elegir libremente su situación dentro del estado mexicano, que no conduce a su disolución, sino al reconocimiento de un derecho fundamental de los pueblos para determinar su suerte, siempre y cuando se preserve la unidad nacional; como se lee en la tesis de rubro "DERECHO A LA LIBRE DETERMINACIÓN DE LOS PUEBLOS Y COMUNIDADES INDÍGENAS. SU LÍMITE CONSTITUCIONAL" </w:t>
      </w:r>
      <w:r w:rsidRPr="00CF2780">
        <w:rPr>
          <w:rFonts w:ascii="Arial" w:eastAsia="Times New Roman" w:hAnsi="Arial" w:cs="Arial"/>
          <w:sz w:val="24"/>
          <w:szCs w:val="24"/>
          <w:vertAlign w:val="superscript"/>
          <w:lang w:val="es-ES" w:eastAsia="es-ES"/>
        </w:rPr>
        <w:footnoteReference w:id="7"/>
      </w:r>
    </w:p>
    <w:p w14:paraId="44F20B7D"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 xml:space="preserve">Por tanto, los pueblos indígenas deberán ajustar sus normas al sistema jurídico, a fin de ser coherente y armónico, sin que ello conlleve a la destrucción de su cosmovisión; según se esquematiza en la siguiente tabla: </w:t>
      </w:r>
    </w:p>
    <w:p w14:paraId="14AF9441"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p>
    <w:p w14:paraId="2ED72CEC"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p>
    <w:p w14:paraId="0FE33321"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p>
    <w:p w14:paraId="1A2D20DA"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89"/>
        <w:gridCol w:w="1471"/>
        <w:gridCol w:w="1984"/>
        <w:gridCol w:w="1701"/>
      </w:tblGrid>
      <w:tr w:rsidR="00AD59FF" w:rsidRPr="00CF2780" w14:paraId="5FCFE08B" w14:textId="77777777" w:rsidTr="00B05F31">
        <w:tc>
          <w:tcPr>
            <w:tcW w:w="1701" w:type="dxa"/>
            <w:vAlign w:val="center"/>
          </w:tcPr>
          <w:p w14:paraId="505216F2" w14:textId="77777777" w:rsidR="00AD59FF" w:rsidRPr="00CF2780" w:rsidRDefault="00AD59FF" w:rsidP="00AD59FF">
            <w:pPr>
              <w:spacing w:after="0" w:line="240" w:lineRule="auto"/>
              <w:jc w:val="both"/>
              <w:rPr>
                <w:rFonts w:ascii="Arial" w:eastAsia="Times New Roman" w:hAnsi="Arial" w:cs="Arial"/>
                <w:sz w:val="18"/>
                <w:szCs w:val="20"/>
                <w:lang w:val="es-ES" w:eastAsia="es-ES"/>
              </w:rPr>
            </w:pPr>
            <w:r w:rsidRPr="00CF2780">
              <w:rPr>
                <w:rFonts w:ascii="Arial" w:eastAsia="Times New Roman" w:hAnsi="Arial" w:cs="Arial"/>
                <w:sz w:val="18"/>
                <w:szCs w:val="20"/>
                <w:lang w:val="es-ES" w:eastAsia="es-ES"/>
              </w:rPr>
              <w:t xml:space="preserve">Artículo 2º párrafo quinto de la Constitución </w:t>
            </w:r>
            <w:r w:rsidRPr="00CF2780">
              <w:rPr>
                <w:rFonts w:ascii="Arial" w:eastAsia="Times New Roman" w:hAnsi="Arial" w:cs="Arial"/>
                <w:sz w:val="18"/>
                <w:szCs w:val="20"/>
                <w:lang w:val="es-ES" w:eastAsia="es-ES"/>
              </w:rPr>
              <w:lastRenderedPageBreak/>
              <w:t>Política de los Estados Unidos Mexicanos</w:t>
            </w:r>
          </w:p>
        </w:tc>
        <w:tc>
          <w:tcPr>
            <w:tcW w:w="1560" w:type="dxa"/>
            <w:gridSpan w:val="2"/>
          </w:tcPr>
          <w:p w14:paraId="78473440" w14:textId="77777777" w:rsidR="00AD59FF" w:rsidRPr="00CF2780" w:rsidRDefault="00AD59FF" w:rsidP="00AD59FF">
            <w:pPr>
              <w:spacing w:after="0" w:line="240" w:lineRule="auto"/>
              <w:ind w:left="-96" w:right="-3"/>
              <w:jc w:val="both"/>
              <w:rPr>
                <w:rFonts w:ascii="Arial" w:eastAsia="Times New Roman" w:hAnsi="Arial" w:cs="Arial"/>
                <w:sz w:val="18"/>
                <w:szCs w:val="20"/>
                <w:lang w:val="es-ES" w:eastAsia="es-ES"/>
              </w:rPr>
            </w:pPr>
            <w:r w:rsidRPr="00CF2780">
              <w:rPr>
                <w:rFonts w:ascii="Arial" w:eastAsia="Times New Roman" w:hAnsi="Arial" w:cs="Arial"/>
                <w:sz w:val="18"/>
                <w:szCs w:val="20"/>
                <w:lang w:val="es-ES" w:eastAsia="es-ES"/>
              </w:rPr>
              <w:lastRenderedPageBreak/>
              <w:t xml:space="preserve">Convención Internacional del </w:t>
            </w:r>
            <w:r w:rsidRPr="00CF2780">
              <w:rPr>
                <w:rFonts w:ascii="Arial" w:eastAsia="Times New Roman" w:hAnsi="Arial" w:cs="Arial"/>
                <w:sz w:val="18"/>
                <w:szCs w:val="20"/>
                <w:lang w:val="es-ES" w:eastAsia="es-ES"/>
              </w:rPr>
              <w:lastRenderedPageBreak/>
              <w:t>Trabajo (Num. 107).</w:t>
            </w:r>
          </w:p>
        </w:tc>
        <w:tc>
          <w:tcPr>
            <w:tcW w:w="1984" w:type="dxa"/>
          </w:tcPr>
          <w:p w14:paraId="5EAC827E" w14:textId="77777777" w:rsidR="00AD59FF" w:rsidRPr="00CF2780" w:rsidRDefault="00AD59FF" w:rsidP="00AD59FF">
            <w:pPr>
              <w:spacing w:after="0" w:line="240" w:lineRule="auto"/>
              <w:ind w:left="-71" w:right="-90"/>
              <w:jc w:val="both"/>
              <w:rPr>
                <w:rFonts w:ascii="Arial" w:eastAsia="Times New Roman" w:hAnsi="Arial" w:cs="Arial"/>
                <w:sz w:val="18"/>
                <w:szCs w:val="20"/>
                <w:lang w:val="es-ES" w:eastAsia="es-ES"/>
              </w:rPr>
            </w:pPr>
            <w:r w:rsidRPr="00CF2780">
              <w:rPr>
                <w:rFonts w:ascii="Arial" w:eastAsia="Times New Roman" w:hAnsi="Arial" w:cs="Arial"/>
                <w:sz w:val="18"/>
                <w:szCs w:val="20"/>
                <w:lang w:val="es-ES" w:eastAsia="es-ES"/>
              </w:rPr>
              <w:lastRenderedPageBreak/>
              <w:t xml:space="preserve">Convenio sobre pueblos Indígenas y Tribales en </w:t>
            </w:r>
            <w:r w:rsidRPr="00CF2780">
              <w:rPr>
                <w:rFonts w:ascii="Arial" w:eastAsia="Times New Roman" w:hAnsi="Arial" w:cs="Arial"/>
                <w:sz w:val="18"/>
                <w:szCs w:val="20"/>
                <w:lang w:val="es-ES" w:eastAsia="es-ES"/>
              </w:rPr>
              <w:lastRenderedPageBreak/>
              <w:t>países independientes (Num. 169).</w:t>
            </w:r>
          </w:p>
        </w:tc>
        <w:tc>
          <w:tcPr>
            <w:tcW w:w="1701" w:type="dxa"/>
          </w:tcPr>
          <w:p w14:paraId="1B1716BC" w14:textId="77777777" w:rsidR="00AD59FF" w:rsidRPr="00CF2780" w:rsidRDefault="00AD59FF" w:rsidP="00AD59FF">
            <w:pPr>
              <w:spacing w:after="0" w:line="240" w:lineRule="auto"/>
              <w:ind w:right="-91"/>
              <w:jc w:val="both"/>
              <w:rPr>
                <w:rFonts w:ascii="Arial" w:eastAsia="Times New Roman" w:hAnsi="Arial" w:cs="Arial"/>
                <w:sz w:val="18"/>
                <w:szCs w:val="20"/>
                <w:lang w:val="es-ES" w:eastAsia="es-ES"/>
              </w:rPr>
            </w:pPr>
            <w:r w:rsidRPr="00CF2780">
              <w:rPr>
                <w:rFonts w:ascii="Arial" w:eastAsia="Times New Roman" w:hAnsi="Arial" w:cs="Arial"/>
                <w:sz w:val="18"/>
                <w:szCs w:val="20"/>
                <w:lang w:val="es-ES" w:eastAsia="es-ES"/>
              </w:rPr>
              <w:lastRenderedPageBreak/>
              <w:t xml:space="preserve">Declaración de las Naciones Unidas sobre los Derechos </w:t>
            </w:r>
            <w:r w:rsidRPr="00CF2780">
              <w:rPr>
                <w:rFonts w:ascii="Arial" w:eastAsia="Times New Roman" w:hAnsi="Arial" w:cs="Arial"/>
                <w:sz w:val="18"/>
                <w:szCs w:val="20"/>
                <w:lang w:val="es-ES" w:eastAsia="es-ES"/>
              </w:rPr>
              <w:lastRenderedPageBreak/>
              <w:t>de los Pueblos Indígenas.</w:t>
            </w:r>
          </w:p>
        </w:tc>
      </w:tr>
      <w:tr w:rsidR="00AD59FF" w:rsidRPr="00CF2780" w14:paraId="71A07532" w14:textId="77777777" w:rsidTr="00B05F31">
        <w:tc>
          <w:tcPr>
            <w:tcW w:w="1790" w:type="dxa"/>
            <w:gridSpan w:val="2"/>
          </w:tcPr>
          <w:p w14:paraId="44E621D1" w14:textId="77777777" w:rsidR="00AD59FF" w:rsidRPr="00CF2780" w:rsidRDefault="00AD59FF" w:rsidP="00AD59FF">
            <w:pPr>
              <w:spacing w:after="0" w:line="240" w:lineRule="auto"/>
              <w:ind w:left="-108" w:right="-19"/>
              <w:jc w:val="both"/>
              <w:rPr>
                <w:rFonts w:ascii="Arial" w:eastAsia="Times New Roman" w:hAnsi="Arial" w:cs="Arial"/>
                <w:sz w:val="18"/>
                <w:szCs w:val="16"/>
                <w:lang w:val="es-ES" w:eastAsia="es-ES"/>
              </w:rPr>
            </w:pPr>
            <w:r w:rsidRPr="00CF2780">
              <w:rPr>
                <w:rFonts w:ascii="Arial" w:eastAsia="Times New Roman" w:hAnsi="Arial" w:cs="Arial"/>
                <w:bCs/>
                <w:sz w:val="18"/>
                <w:szCs w:val="16"/>
                <w:lang w:val="es-ES" w:eastAsia="es-ES"/>
              </w:rPr>
              <w:lastRenderedPageBreak/>
              <w:t xml:space="preserve">El derecho de los pueblos indígenas a la libre determinación se ejercerá en un marco constitucional de autonomía que asegure la unidad nacional el reconocimiento de los pueblos y comunidades indígenas se hará en las constituciones y leyes de las entidades federativas, las que deberán tomar en cuenta además de los principios generales establecidos en los párrafos anteriores de este artículo, criterios etnolingüísticas y de </w:t>
            </w:r>
            <w:r w:rsidRPr="00CF2780">
              <w:rPr>
                <w:rFonts w:ascii="Arial" w:eastAsia="Times New Roman" w:hAnsi="Arial" w:cs="Arial"/>
                <w:bCs/>
                <w:sz w:val="18"/>
                <w:szCs w:val="24"/>
                <w:lang w:val="es-ES" w:eastAsia="es-ES"/>
              </w:rPr>
              <w:t>asentam</w:t>
            </w:r>
            <w:r w:rsidRPr="00CF2780">
              <w:rPr>
                <w:rFonts w:ascii="Arial" w:eastAsia="Times New Roman" w:hAnsi="Arial" w:cs="Arial"/>
                <w:bCs/>
                <w:sz w:val="18"/>
                <w:szCs w:val="16"/>
                <w:lang w:val="es-ES" w:eastAsia="es-ES"/>
              </w:rPr>
              <w:t>iento.</w:t>
            </w:r>
          </w:p>
        </w:tc>
        <w:tc>
          <w:tcPr>
            <w:tcW w:w="1471" w:type="dxa"/>
          </w:tcPr>
          <w:p w14:paraId="4BAC294A" w14:textId="77777777" w:rsidR="00AD59FF" w:rsidRPr="00CF2780" w:rsidRDefault="00AD59FF" w:rsidP="00AD59FF">
            <w:pPr>
              <w:spacing w:after="0" w:line="240" w:lineRule="auto"/>
              <w:ind w:left="-55"/>
              <w:jc w:val="both"/>
              <w:rPr>
                <w:rFonts w:ascii="Arial" w:eastAsia="Times New Roman" w:hAnsi="Arial" w:cs="Arial"/>
                <w:bCs/>
                <w:i/>
                <w:iCs/>
                <w:sz w:val="18"/>
                <w:szCs w:val="16"/>
                <w:lang w:val="es-ES" w:eastAsia="es-ES"/>
              </w:rPr>
            </w:pPr>
            <w:r w:rsidRPr="00CF2780">
              <w:rPr>
                <w:rFonts w:ascii="Arial" w:eastAsia="Times New Roman" w:hAnsi="Arial" w:cs="Arial"/>
                <w:bCs/>
                <w:i/>
                <w:iCs/>
                <w:sz w:val="18"/>
                <w:szCs w:val="16"/>
                <w:lang w:val="es-ES" w:eastAsia="es-ES"/>
              </w:rPr>
              <w:t>7.2. Dichas</w:t>
            </w:r>
          </w:p>
          <w:p w14:paraId="26B8D7F9" w14:textId="77777777" w:rsidR="00AD59FF" w:rsidRPr="00CF2780" w:rsidRDefault="00AD59FF" w:rsidP="00AD59FF">
            <w:pPr>
              <w:spacing w:after="0" w:line="240" w:lineRule="auto"/>
              <w:ind w:left="-55"/>
              <w:jc w:val="both"/>
              <w:rPr>
                <w:rFonts w:ascii="Arial" w:eastAsia="Times New Roman" w:hAnsi="Arial" w:cs="Arial"/>
                <w:bCs/>
                <w:i/>
                <w:iCs/>
                <w:sz w:val="18"/>
                <w:szCs w:val="16"/>
                <w:lang w:val="es-ES" w:eastAsia="es-ES"/>
              </w:rPr>
            </w:pPr>
            <w:r w:rsidRPr="00CF2780">
              <w:rPr>
                <w:rFonts w:ascii="Arial" w:eastAsia="Times New Roman" w:hAnsi="Arial" w:cs="Arial"/>
                <w:bCs/>
                <w:i/>
                <w:iCs/>
                <w:sz w:val="18"/>
                <w:szCs w:val="16"/>
                <w:lang w:val="es-ES" w:eastAsia="es-ES"/>
              </w:rPr>
              <w:t xml:space="preserve">Poblaciones podrán mantener sus propias costumbres </w:t>
            </w:r>
            <w:r w:rsidRPr="00CF2780">
              <w:rPr>
                <w:rFonts w:ascii="Arial" w:eastAsia="Times New Roman" w:hAnsi="Arial" w:cs="Arial"/>
                <w:sz w:val="18"/>
                <w:szCs w:val="16"/>
                <w:lang w:val="es-ES" w:eastAsia="es-ES"/>
              </w:rPr>
              <w:t xml:space="preserve">o </w:t>
            </w:r>
            <w:r w:rsidRPr="00CF2780">
              <w:rPr>
                <w:rFonts w:ascii="Arial" w:eastAsia="Times New Roman" w:hAnsi="Arial" w:cs="Arial"/>
                <w:bCs/>
                <w:i/>
                <w:iCs/>
                <w:sz w:val="18"/>
                <w:szCs w:val="16"/>
                <w:lang w:val="es-ES" w:eastAsia="es-ES"/>
              </w:rPr>
              <w:t>instituciones cuando éstas no sean incompatibles con el ordenamiento jurídico nacional o los objetivos de los programas de integración.</w:t>
            </w:r>
          </w:p>
          <w:p w14:paraId="1C422800" w14:textId="77777777" w:rsidR="00AD59FF" w:rsidRPr="00CF2780" w:rsidRDefault="00AD59FF" w:rsidP="00AD59FF">
            <w:pPr>
              <w:spacing w:after="0" w:line="240" w:lineRule="auto"/>
              <w:ind w:left="-55"/>
              <w:jc w:val="both"/>
              <w:rPr>
                <w:rFonts w:ascii="Arial" w:eastAsia="Times New Roman" w:hAnsi="Arial" w:cs="Arial"/>
                <w:bCs/>
                <w:sz w:val="18"/>
                <w:szCs w:val="16"/>
                <w:lang w:val="es-ES" w:eastAsia="es-ES"/>
              </w:rPr>
            </w:pPr>
          </w:p>
        </w:tc>
        <w:tc>
          <w:tcPr>
            <w:tcW w:w="1984" w:type="dxa"/>
          </w:tcPr>
          <w:p w14:paraId="310558D9" w14:textId="77777777" w:rsidR="00AD59FF" w:rsidRPr="00CF2780" w:rsidRDefault="00AD59FF" w:rsidP="00AD59FF">
            <w:pPr>
              <w:spacing w:after="0" w:line="240" w:lineRule="auto"/>
              <w:ind w:left="-72" w:right="-34"/>
              <w:jc w:val="both"/>
              <w:rPr>
                <w:rFonts w:ascii="Arial" w:eastAsia="Times New Roman" w:hAnsi="Arial" w:cs="Arial"/>
                <w:bCs/>
                <w:i/>
                <w:iCs/>
                <w:sz w:val="18"/>
                <w:szCs w:val="16"/>
                <w:lang w:val="es-ES" w:eastAsia="es-ES"/>
              </w:rPr>
            </w:pPr>
            <w:r w:rsidRPr="00CF2780">
              <w:rPr>
                <w:rFonts w:ascii="Arial" w:eastAsia="Times New Roman" w:hAnsi="Arial" w:cs="Arial"/>
                <w:bCs/>
                <w:i/>
                <w:iCs/>
                <w:sz w:val="18"/>
                <w:szCs w:val="16"/>
                <w:lang w:val="es-ES" w:eastAsia="es-ES"/>
              </w:rPr>
              <w:t>Articulo 8.2.</w:t>
            </w:r>
          </w:p>
          <w:p w14:paraId="352E564C" w14:textId="77777777" w:rsidR="00AD59FF" w:rsidRPr="00CF2780" w:rsidRDefault="00AD59FF" w:rsidP="00AD59FF">
            <w:pPr>
              <w:spacing w:after="0" w:line="240" w:lineRule="auto"/>
              <w:ind w:left="-72" w:right="-34"/>
              <w:jc w:val="both"/>
              <w:rPr>
                <w:rFonts w:ascii="Arial" w:eastAsia="Times New Roman" w:hAnsi="Arial" w:cs="Arial"/>
                <w:bCs/>
                <w:i/>
                <w:iCs/>
                <w:sz w:val="18"/>
                <w:szCs w:val="16"/>
                <w:lang w:val="es-ES" w:eastAsia="es-ES"/>
              </w:rPr>
            </w:pPr>
            <w:r w:rsidRPr="00CF2780">
              <w:rPr>
                <w:rFonts w:ascii="Arial" w:eastAsia="Times New Roman" w:hAnsi="Arial" w:cs="Arial"/>
                <w:bCs/>
                <w:i/>
                <w:iCs/>
                <w:sz w:val="18"/>
                <w:szCs w:val="16"/>
                <w:lang w:val="es-ES" w:eastAsia="es-ES"/>
              </w:rPr>
              <w:t>Dichos pueblos deberán tener el derecho de conservar sus costumbres e instituciones propias, siempre que éstas no sean incompatibles con los derechos fundamentales definidos por el sistema jurídico nacional ni con los derechos humanos internacionalmente reconocidos.</w:t>
            </w:r>
          </w:p>
          <w:p w14:paraId="4DB176CD" w14:textId="77777777" w:rsidR="00AD59FF" w:rsidRPr="00CF2780" w:rsidRDefault="00AD59FF" w:rsidP="00AD59FF">
            <w:pPr>
              <w:spacing w:after="0" w:line="240" w:lineRule="auto"/>
              <w:ind w:left="-72" w:right="-34"/>
              <w:jc w:val="both"/>
              <w:rPr>
                <w:rFonts w:ascii="Arial" w:eastAsia="Times New Roman" w:hAnsi="Arial" w:cs="Arial"/>
                <w:bCs/>
                <w:i/>
                <w:iCs/>
                <w:sz w:val="18"/>
                <w:szCs w:val="16"/>
                <w:lang w:val="es-ES" w:eastAsia="es-ES"/>
              </w:rPr>
            </w:pPr>
            <w:r w:rsidRPr="00CF2780">
              <w:rPr>
                <w:rFonts w:ascii="Arial" w:eastAsia="Times New Roman" w:hAnsi="Arial" w:cs="Arial"/>
                <w:bCs/>
                <w:i/>
                <w:iCs/>
                <w:sz w:val="18"/>
                <w:szCs w:val="16"/>
                <w:lang w:val="es-ES" w:eastAsia="es-ES"/>
              </w:rPr>
              <w:t>Siempre que sea necesario, deberán establecerse procedimientos para solucionar los conflictos que puedan surgir en la aplicación de este principio.</w:t>
            </w:r>
          </w:p>
          <w:p w14:paraId="2C278478" w14:textId="77777777" w:rsidR="00AD59FF" w:rsidRPr="00CF2780" w:rsidRDefault="00AD59FF" w:rsidP="00AD59FF">
            <w:pPr>
              <w:spacing w:after="0" w:line="240" w:lineRule="auto"/>
              <w:ind w:left="-72" w:right="-34"/>
              <w:jc w:val="both"/>
              <w:rPr>
                <w:rFonts w:ascii="Arial" w:eastAsia="Times New Roman" w:hAnsi="Arial" w:cs="Arial"/>
                <w:bCs/>
                <w:sz w:val="18"/>
                <w:szCs w:val="16"/>
                <w:lang w:val="es-ES" w:eastAsia="es-ES"/>
              </w:rPr>
            </w:pPr>
          </w:p>
        </w:tc>
        <w:tc>
          <w:tcPr>
            <w:tcW w:w="1701" w:type="dxa"/>
          </w:tcPr>
          <w:p w14:paraId="0311BBF3" w14:textId="77777777" w:rsidR="00AD59FF" w:rsidRPr="00CF2780" w:rsidRDefault="00AD59FF" w:rsidP="00AD59FF">
            <w:pPr>
              <w:spacing w:after="0" w:line="240" w:lineRule="auto"/>
              <w:ind w:left="-40" w:right="-91"/>
              <w:jc w:val="both"/>
              <w:rPr>
                <w:rFonts w:ascii="Arial" w:eastAsia="Times New Roman" w:hAnsi="Arial" w:cs="Arial"/>
                <w:i/>
                <w:iCs/>
                <w:sz w:val="18"/>
                <w:szCs w:val="16"/>
                <w:lang w:val="es-ES" w:eastAsia="es-ES"/>
              </w:rPr>
            </w:pPr>
            <w:r w:rsidRPr="00CF2780">
              <w:rPr>
                <w:rFonts w:ascii="Arial" w:eastAsia="Times New Roman" w:hAnsi="Arial" w:cs="Arial"/>
                <w:i/>
                <w:iCs/>
                <w:sz w:val="18"/>
                <w:szCs w:val="16"/>
                <w:lang w:val="es-ES" w:eastAsia="es-ES"/>
              </w:rPr>
              <w:t>Artículo 3</w:t>
            </w:r>
          </w:p>
          <w:p w14:paraId="5A641046" w14:textId="77777777" w:rsidR="00AD59FF" w:rsidRPr="00CF2780" w:rsidRDefault="00AD59FF" w:rsidP="00AD59FF">
            <w:pPr>
              <w:spacing w:after="0" w:line="240" w:lineRule="auto"/>
              <w:ind w:left="-40" w:right="-91"/>
              <w:jc w:val="both"/>
              <w:rPr>
                <w:rFonts w:ascii="Arial" w:eastAsia="Times New Roman" w:hAnsi="Arial" w:cs="Arial"/>
                <w:bCs/>
                <w:i/>
                <w:iCs/>
                <w:sz w:val="18"/>
                <w:szCs w:val="16"/>
                <w:lang w:val="es-ES" w:eastAsia="es-ES"/>
              </w:rPr>
            </w:pPr>
            <w:r w:rsidRPr="00CF2780">
              <w:rPr>
                <w:rFonts w:ascii="Arial" w:eastAsia="Times New Roman" w:hAnsi="Arial" w:cs="Arial"/>
                <w:bCs/>
                <w:i/>
                <w:iCs/>
                <w:sz w:val="18"/>
                <w:szCs w:val="16"/>
                <w:lang w:val="es-ES" w:eastAsia="es-ES"/>
              </w:rPr>
              <w:t>Los pueblos indígenas tienen derecho a la libre determinación. En virtud de ese derecho determinan libremente su condición política y persiguen libremente su desarrollo económico, social y cultural.</w:t>
            </w:r>
          </w:p>
          <w:p w14:paraId="4BD133B5" w14:textId="77777777" w:rsidR="00AD59FF" w:rsidRPr="00CF2780" w:rsidRDefault="00AD59FF" w:rsidP="00AD59FF">
            <w:pPr>
              <w:spacing w:after="0" w:line="240" w:lineRule="auto"/>
              <w:ind w:left="-40" w:right="-91"/>
              <w:jc w:val="both"/>
              <w:rPr>
                <w:rFonts w:ascii="Arial" w:eastAsia="Times New Roman" w:hAnsi="Arial" w:cs="Arial"/>
                <w:i/>
                <w:iCs/>
                <w:sz w:val="18"/>
                <w:szCs w:val="16"/>
                <w:lang w:val="es-ES" w:eastAsia="es-ES"/>
              </w:rPr>
            </w:pPr>
            <w:r w:rsidRPr="00CF2780">
              <w:rPr>
                <w:rFonts w:ascii="Arial" w:eastAsia="Times New Roman" w:hAnsi="Arial" w:cs="Arial"/>
                <w:i/>
                <w:iCs/>
                <w:sz w:val="18"/>
                <w:szCs w:val="16"/>
                <w:lang w:val="es-ES" w:eastAsia="es-ES"/>
              </w:rPr>
              <w:t>Artículo 34</w:t>
            </w:r>
          </w:p>
          <w:p w14:paraId="33B99546" w14:textId="77777777" w:rsidR="00AD59FF" w:rsidRPr="00CF2780" w:rsidRDefault="00AD59FF" w:rsidP="00AD59FF">
            <w:pPr>
              <w:spacing w:after="0" w:line="240" w:lineRule="auto"/>
              <w:ind w:left="-40" w:right="-91"/>
              <w:jc w:val="both"/>
              <w:rPr>
                <w:rFonts w:ascii="Arial" w:eastAsia="Times New Roman" w:hAnsi="Arial" w:cs="Arial"/>
                <w:bCs/>
                <w:sz w:val="18"/>
                <w:szCs w:val="16"/>
                <w:lang w:val="es-ES" w:eastAsia="es-ES"/>
              </w:rPr>
            </w:pPr>
            <w:r w:rsidRPr="00CF2780">
              <w:rPr>
                <w:rFonts w:ascii="Arial" w:eastAsia="Times New Roman" w:hAnsi="Arial" w:cs="Arial"/>
                <w:bCs/>
                <w:i/>
                <w:iCs/>
                <w:sz w:val="18"/>
                <w:szCs w:val="16"/>
                <w:lang w:val="es-ES" w:eastAsia="es-ES"/>
              </w:rPr>
              <w:t>Los pueblos indígenas tienen derecho a promover, desarrollar y mantener sus estructuras institucionales y sus propias costumbres, espiritualidad, tradiciones, procedimientos, prácticas y, cuando existan, costumbres o sistemas jurídicos, de conformidad con las normas internacionales de derechos humanos.</w:t>
            </w:r>
          </w:p>
        </w:tc>
      </w:tr>
    </w:tbl>
    <w:p w14:paraId="33BCE60B"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Entonces, los derechos políticos de los pueblos indígenas con base, en esas disposiciones nacionales e internacionales, tendrán que desarrollarse en las legislaciones de cada entidad, señalando el nivel de gobierno y los términos de la elección de sus representantes en los municipios ya establecidos; dentro de esas directrices deberán comprender, como lo ha sostenido el Tribunal Electoral del Poder Judicial de la Federación, a lo largo de sus resoluciones dictadas en los expedientes SUP-JDC-11/2007, SUP-JDC-2568/2007, SUP-JDC-2569/2007, SUP-JDC-2542/2007, SUP-JDC-54/2008, SUP-REC-2/2011</w:t>
      </w:r>
      <w:r w:rsidRPr="00CF2780">
        <w:rPr>
          <w:rFonts w:ascii="Arial" w:eastAsia="Times New Roman" w:hAnsi="Arial" w:cs="Arial"/>
          <w:sz w:val="24"/>
          <w:szCs w:val="24"/>
          <w:vertAlign w:val="superscript"/>
          <w:lang w:val="es-ES" w:eastAsia="es-ES"/>
        </w:rPr>
        <w:footnoteReference w:id="8"/>
      </w:r>
      <w:r w:rsidRPr="00CF2780">
        <w:rPr>
          <w:rFonts w:ascii="Arial" w:eastAsia="Times New Roman" w:hAnsi="Arial" w:cs="Arial"/>
          <w:sz w:val="24"/>
          <w:szCs w:val="24"/>
          <w:lang w:val="es-ES" w:eastAsia="es-ES"/>
        </w:rPr>
        <w:t xml:space="preserve">, entre otros, que el derecho al voto debe ser universal y secreto para que el uso y costumbre de la comunidad indígena sea válido; que sería razonable limitar el voto pasivo a 25 años cumplidos para ser candidato a presidente municipal; fomentar la participación política de las mujeres; que se reconozca fa calidad indígena a cualquier persona que viva en la comunidad y acepte la forma de vida </w:t>
      </w:r>
      <w:r w:rsidRPr="00CF2780">
        <w:rPr>
          <w:rFonts w:ascii="Arial" w:eastAsia="Times New Roman" w:hAnsi="Arial" w:cs="Arial"/>
          <w:sz w:val="24"/>
          <w:szCs w:val="24"/>
          <w:lang w:val="es-ES" w:eastAsia="es-ES"/>
        </w:rPr>
        <w:lastRenderedPageBreak/>
        <w:t>llevaba a cabo por la colectividad indígena; que la suplencia de la queja debe ampliarse cuando se trata de individuos pertenecientes a una comunidad indígena; que no se deben establecer obstáculos innecesarios para que las personas de los pueblos indígenas ejerzan sus derechos político-electorales; que en caso de conflictos derivados de las elecciones, los órganos administrativos deberán promover la conciliación entre las partes antes de acudir a la jurisdicción de los tribunales y, que los pueblos indígenas deberán ajustar sus normas al sistema jurídico, a fin de ser coherente y armónico, sin que ello implique la homogenización de las normas; sólo así, dentro de esa marco jurídico que enuncia el Tribunal Electoral del Poder Judicial de la Federación, los usos y costumbres serán reconocidos, siempre y cuando no vulneren derechos fundamentales.</w:t>
      </w:r>
    </w:p>
    <w:p w14:paraId="70D1F69B"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TERCERO. Que no basta que se tenga un derecho consignado en el orden jurídico, si no que se hace necesario contar con los mecanismos para su ejercicio y con autoridades competentes ante las cuáles se hará efectivo.</w:t>
      </w:r>
    </w:p>
    <w:p w14:paraId="41EE8481"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Que el Instituto Electoral de Michoacán, por disposición de los numerales 116, fracción IV, incisos b), c) e I) de la Constitución Política de los Estados Unidos Mexicanos; 98 de la Constitución Política del Estado de Michoacán, 100 y 101 del Código Electoral local, disponen que Estado, los ciudadanos y los partidos políticos son corresponsables en la preparación, desarrollo y vigilancia del proceso electoral.</w:t>
      </w:r>
    </w:p>
    <w:p w14:paraId="765E2DCA"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Que el instituto tiene como fines, entre otros, contribuir al desarrollo de la vida democrática y velar por la autenticidad y efectividad del sufragio, como lo previene el artículo 102, fracciones I, y V, del referido código.</w:t>
      </w:r>
    </w:p>
    <w:p w14:paraId="160F91ED"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Que los numerales 111 y 113, fracciones I, III, XXIV y XXV, del código invocado, establecen que el Consejo General del Instituto Electoral de Michoacán, en su calidad de órgano superior de dirección, es el responsable de vigilar el cumplimiento de las disposiciones constitucionales y legales en materia electoral, así como velar que los principios electorales guíen las actividades de los órganos que lo conforman.</w:t>
      </w:r>
    </w:p>
    <w:p w14:paraId="6E5DE82B"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 xml:space="preserve">Así, es el responsable de la función estatal de organizar las elecciones, debiendo sujetar sus actividades a ¡os principios de certeza, legalidad, objetividad, imparcialidad, independencia, equidad y profesionalismo; por tanto, al ser un órgano de legalidad, </w:t>
      </w:r>
      <w:r w:rsidRPr="00CF2780">
        <w:rPr>
          <w:rFonts w:ascii="Arial" w:eastAsia="Times New Roman" w:hAnsi="Arial" w:cs="Arial"/>
          <w:i/>
          <w:sz w:val="24"/>
          <w:szCs w:val="24"/>
          <w:lang w:val="es-ES" w:eastAsia="es-ES"/>
        </w:rPr>
        <w:t>carece de facultades para aplicar el control de convencionalidad, a que refiere el artículo 1° de la Constitución Política de los Estados Unidos Mexicanos;</w:t>
      </w:r>
      <w:r w:rsidRPr="00CF2780">
        <w:rPr>
          <w:rFonts w:ascii="Arial" w:eastAsia="Times New Roman" w:hAnsi="Arial" w:cs="Arial"/>
          <w:sz w:val="24"/>
          <w:szCs w:val="24"/>
          <w:lang w:val="es-ES" w:eastAsia="es-ES"/>
        </w:rPr>
        <w:t xml:space="preserve"> es decir aplicar tratados internacionales, en los términos que lo proponen los peticionarios; expliquemos;</w:t>
      </w:r>
    </w:p>
    <w:p w14:paraId="23A0A6DE"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 xml:space="preserve">La función estatal a la que aludimos y que es encomendada al instituto debe ser entendida como una actividad primordial del estado para la organización y realización de las elecciones como un mecanismo de integración de los órganos representativos de los poderes ejecutivo, legislativo y los ayuntamientos; ¡o que se traduce en una función pública, al tener como finalidad determinar los consensos expresados por los ciudadanos en las urnas y que sirven para integrar los referidos poderes; de ahí que, el organismo electoral debe sujetarse a lo que el ordenamiento </w:t>
      </w:r>
      <w:r w:rsidRPr="00CF2780">
        <w:rPr>
          <w:rFonts w:ascii="Arial" w:eastAsia="Times New Roman" w:hAnsi="Arial" w:cs="Arial"/>
          <w:sz w:val="24"/>
          <w:szCs w:val="24"/>
          <w:lang w:val="es-ES" w:eastAsia="es-ES"/>
        </w:rPr>
        <w:lastRenderedPageBreak/>
        <w:t>jurídico le determine para realización de las actividades que le son encomendadas.</w:t>
      </w:r>
    </w:p>
    <w:p w14:paraId="652E6631" w14:textId="77777777" w:rsidR="00AD59FF" w:rsidRPr="00CF2780" w:rsidRDefault="00AD59FF" w:rsidP="00AD59FF">
      <w:pPr>
        <w:spacing w:after="0" w:line="240" w:lineRule="auto"/>
        <w:ind w:left="567" w:right="335"/>
        <w:jc w:val="both"/>
        <w:rPr>
          <w:rFonts w:ascii="Arial" w:eastAsia="Times New Roman" w:hAnsi="Arial" w:cs="Arial"/>
          <w:i/>
          <w:sz w:val="16"/>
          <w:szCs w:val="16"/>
          <w:lang w:val="es-ES" w:eastAsia="es-ES"/>
        </w:rPr>
      </w:pPr>
      <w:r w:rsidRPr="00CF2780">
        <w:rPr>
          <w:rFonts w:ascii="Arial" w:eastAsia="Times New Roman" w:hAnsi="Arial" w:cs="Arial"/>
          <w:sz w:val="24"/>
          <w:szCs w:val="24"/>
          <w:lang w:val="es-ES" w:eastAsia="es-ES"/>
        </w:rPr>
        <w:t xml:space="preserve">Entonces, esa función se rige, entre otros, por el principio de certeza, que obliga a la autoridad a tomar sus decisiones con base en elementos verificables, corroborables y, por ello inobjetables en otras palabras, debe ser entendido  como las condiciones mediante las cuales los participantes en el proceso electoral tienen el conocimiento de las reglas de organización de la elección, así como sus resultados son seguros y claros; esto es, confiables, transparentes y verificables como así se ha sostenido en la jurisprudencia de rubro </w:t>
      </w:r>
      <w:r w:rsidRPr="00CF2780">
        <w:rPr>
          <w:rFonts w:ascii="Arial" w:eastAsia="Times New Roman" w:hAnsi="Arial" w:cs="Arial"/>
          <w:i/>
          <w:sz w:val="24"/>
          <w:szCs w:val="24"/>
          <w:lang w:val="es-ES" w:eastAsia="es-ES"/>
        </w:rPr>
        <w:t>"FUNCIÓN ELECTORAL A CARGO DE LAS AUTORIDADES ELECTORALES; PRINCIPIOS RECTORES DE SU EJERCICIO:</w:t>
      </w:r>
      <w:r w:rsidRPr="00CF2780">
        <w:rPr>
          <w:rFonts w:ascii="Arial" w:eastAsia="Times New Roman" w:hAnsi="Arial" w:cs="Arial"/>
          <w:i/>
          <w:sz w:val="24"/>
          <w:szCs w:val="24"/>
          <w:vertAlign w:val="superscript"/>
          <w:lang w:val="es-ES" w:eastAsia="es-ES"/>
        </w:rPr>
        <w:footnoteReference w:id="9"/>
      </w:r>
    </w:p>
    <w:p w14:paraId="401353F2"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Así el principio de certeza consiste en dotar de facultades expresas a las autoridades locales de modo que todos los participantes en el proceso electoral conozcan de mí previamente con claridad y seguridad las reglas a que su propia actuación y la de las autoridades electorales están sujetas; así, estamos en presencia del sometimiento de las autoridades administrativas al principio de legalidad, que obliga a que la autoridad electoral se apegue al marco jurídico vigente, federal o local; como así lo sostiene la Suprema Corte de Justicia de la Nación dentro de ese mismo criterio jurisprudencial, al señalar que nos encontramos en presencia de una garantía formal para que los ciudadanos y las autoridades electorales actúen en estricto apego a las disposiciones consignadas en ¡a ley, de tal manera que no se emitan o desplieguen conductas caprichosas o arbitrarias al margen del texto normativo; luego; por mandato constitucional los actos y resoluciones del Instituto deben ser encaminados a que se tutele el principio de legalidad.</w:t>
      </w:r>
    </w:p>
    <w:p w14:paraId="40884534"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 xml:space="preserve">Que la referencia hecha por el artículo 1° de la Constitución Política de los Estados Unidos Mexicano a los derechos humanos contenidos en tratados internacionales, lleva implícito un auténtico control de convencionalidad, que es el mecanismo llevado a cabo por las autoridades que la norma establece como competentes, haciendo una comparación entre el derecho local y el supranacional, a fin de velar por el efecto útil de los instrumentos internacionales, sea que surja de los tratados, del </w:t>
      </w:r>
      <w:r w:rsidRPr="00CF2780">
        <w:rPr>
          <w:rFonts w:ascii="Arial" w:eastAsia="Times New Roman" w:hAnsi="Arial" w:cs="Arial"/>
          <w:i/>
          <w:sz w:val="24"/>
          <w:szCs w:val="24"/>
          <w:lang w:val="es-ES" w:eastAsia="es-ES"/>
        </w:rPr>
        <w:t>ius cogens</w:t>
      </w:r>
      <w:r w:rsidRPr="00CF2780">
        <w:rPr>
          <w:rFonts w:ascii="Arial" w:eastAsia="Times New Roman" w:hAnsi="Arial" w:cs="Arial"/>
          <w:sz w:val="24"/>
          <w:szCs w:val="24"/>
          <w:lang w:val="es-ES" w:eastAsia="es-ES"/>
        </w:rPr>
        <w:t xml:space="preserve"> o de la jurisprudencia de la Corte Interamericana de Derechos Humanos.</w:t>
      </w:r>
    </w:p>
    <w:p w14:paraId="46D3B102"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 xml:space="preserve">Que, en consecuencia al ser el Instituto Electoral de Michoacán un órgano de legalidad, </w:t>
      </w:r>
      <w:r w:rsidRPr="00CF2780">
        <w:rPr>
          <w:rFonts w:ascii="Arial" w:eastAsia="Times New Roman" w:hAnsi="Arial" w:cs="Arial"/>
          <w:i/>
          <w:sz w:val="24"/>
          <w:szCs w:val="24"/>
          <w:lang w:val="es-ES" w:eastAsia="es-ES"/>
        </w:rPr>
        <w:t>no tiene facultades para ejercer ese tipo de descontroles constitucionales</w:t>
      </w:r>
      <w:r w:rsidRPr="00CF2780">
        <w:rPr>
          <w:rFonts w:ascii="Arial" w:eastAsia="Times New Roman" w:hAnsi="Arial" w:cs="Arial"/>
          <w:sz w:val="24"/>
          <w:szCs w:val="24"/>
          <w:lang w:val="es-ES" w:eastAsia="es-ES"/>
        </w:rPr>
        <w:t xml:space="preserve">, según se desglosa de los artículos 116, fracción IV, incisos b) y c), de la Constitución Política de los Estados Unidos Mexicanos; 98 de la Constitución. Política del Estado de Michoacán; 101, 111 y 113 del Código Electoral del Estado de Michoacán, en donde se señalan las atribuciones de este órgano electoral y, que fueron previstas atendiendo a </w:t>
      </w:r>
      <w:r w:rsidRPr="00CF2780">
        <w:rPr>
          <w:rFonts w:ascii="Arial" w:eastAsia="Times New Roman" w:hAnsi="Arial" w:cs="Arial"/>
          <w:sz w:val="24"/>
          <w:szCs w:val="24"/>
          <w:lang w:val="es-ES" w:eastAsia="es-ES"/>
        </w:rPr>
        <w:lastRenderedPageBreak/>
        <w:t xml:space="preserve">la naturaleza y características que deben de poseer las autoridades electorales, en cuanto son  responsables del desarrollo de un proceso electoral confiable y transparente. </w:t>
      </w:r>
    </w:p>
    <w:p w14:paraId="423A80C1"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 xml:space="preserve">CUARTO. Que el Instituto Electoral de Michoacán </w:t>
      </w:r>
      <w:r w:rsidRPr="00CF2780">
        <w:rPr>
          <w:rFonts w:ascii="Arial" w:eastAsia="Times New Roman" w:hAnsi="Arial" w:cs="Arial"/>
          <w:i/>
          <w:sz w:val="24"/>
          <w:szCs w:val="24"/>
          <w:lang w:val="es-ES" w:eastAsia="es-ES"/>
        </w:rPr>
        <w:t xml:space="preserve">no tiene atribuciones para desaplicar una norma electoral, en este caso el Código Electoral del Estado de Michoacán, </w:t>
      </w:r>
      <w:r w:rsidRPr="00CF2780">
        <w:rPr>
          <w:rFonts w:ascii="Arial" w:eastAsia="Times New Roman" w:hAnsi="Arial" w:cs="Arial"/>
          <w:sz w:val="24"/>
          <w:szCs w:val="24"/>
          <w:lang w:val="es-ES" w:eastAsia="es-ES"/>
        </w:rPr>
        <w:t>atendiendo a que es un órgano de legalidad.</w:t>
      </w:r>
    </w:p>
    <w:p w14:paraId="596A3C96"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 xml:space="preserve">Así la Sala Superior del Poder Judicial de la Federación, ha sostenido al resolver los asuntos  identificados con los números SUP-REC-18/2009,  SUP-REC-7/2010, SUP-REC-18/2011 y ACUMULADO SUP-REC-19/2011, y SUP-REC-21/2011, que en el lenguaje común </w:t>
      </w:r>
      <w:r w:rsidRPr="00CF2780">
        <w:rPr>
          <w:rFonts w:ascii="Arial" w:eastAsia="Times New Roman" w:hAnsi="Arial" w:cs="Arial"/>
          <w:i/>
          <w:sz w:val="24"/>
          <w:szCs w:val="24"/>
          <w:lang w:val="es-ES" w:eastAsia="es-ES"/>
        </w:rPr>
        <w:t>la no aplicación</w:t>
      </w:r>
      <w:r w:rsidRPr="00CF2780">
        <w:rPr>
          <w:rFonts w:ascii="Arial" w:eastAsia="Times New Roman" w:hAnsi="Arial" w:cs="Arial"/>
          <w:sz w:val="24"/>
          <w:szCs w:val="24"/>
          <w:lang w:val="es-ES" w:eastAsia="es-ES"/>
        </w:rPr>
        <w:t xml:space="preserve"> se identifica como un sinónimo de desaplicar, inobservar, dejar  de atender, dejar de tomar en consideración, algún aspecto que resulte relevante para el contexto en que se inserta.</w:t>
      </w:r>
    </w:p>
    <w:p w14:paraId="5BA3237A"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En ese orden de ideas la desaplicación de una determinada disposición jurídica, puede ocurrir de una manera expresa o implícita. En cuanto al primer aspecto, la desaplicación de una norma se da sin lugar a dudas, precisando e! precepto cuyos efectos no se observarán en el caso particular y delimitando de manera clara los alcances de la citada desaplicación; lo cual fue aplicada por la Sala Superior, al resolver los juicios identificados con las claves SUP-JRC-494/2007 y SUP-JRC-496/2007, SUP-JRC-105/2007 y SUP-JRC-107/2008, SUP-JDC-2766/2008 y SUP-JDC-31/2009 a SUP-JDC-37/2009.</w:t>
      </w:r>
    </w:p>
    <w:p w14:paraId="1C94E91F"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La desaplicación implícita, en cambio, ocurre cuando sin establecer que se desaplica un precepto, en los hechos, como consecuencia directa de las consideraciones que sustentan la decisión, se deja de observar el mismo, lo que conduce a que materialmente se le sustraiga del orden jurídico vigente o se le prive de efectos para dar solución a un caso concreto controvertido.</w:t>
      </w:r>
    </w:p>
    <w:p w14:paraId="17C01006"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En otras palabras, cuando en la solución dada no se entienda sin la privación de efectos de una determinada disposición jurídica, aunque expresamente no se precise ello, se debe concluir que se está en presencia de un acto de desaplicación material o implícita.</w:t>
      </w:r>
    </w:p>
    <w:p w14:paraId="3E336DC7"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Y, en ese supuesto, la desaplicación de una disposición jurídica en un acto o resolución vincula de manera necesaria e indisoluble, con la materia de fondo de la controversia planteada.</w:t>
      </w:r>
    </w:p>
    <w:p w14:paraId="56073C97"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Por otra parte, de la vinculación de los; artículos 99, fracción IX, párrafo 2, y 105, fracción II, de la Constitución Política de los Estados Unidos Mexicanos, se desprende es competencia exclusiva de la Suprema Corte de Justicia de la Nación, realizar un control abstracto de leyes electorales a través de la acción de inconstitucionalidad que efecto promuevan los sujetos legitimados para ello, determinándose la declaración de invalidez de una norma que se estime contraria a la Carta Magna la cual tiene efectos generales-, podrá determinarse siempre que la resolución atinente sea aprobada por una mayoría de cuando menos ocho votos de los Ministros.</w:t>
      </w:r>
    </w:p>
    <w:p w14:paraId="6EAC49C4"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 xml:space="preserve">En efecto, ante el  planteamiento de la Inconstitucionalidad de una norma legal, es dable a la Suprema Corte de Justicia de la Nación, expulsarla del orden jurídico de constatar que es contraria a la Ley Fundamental, y el </w:t>
      </w:r>
      <w:r w:rsidRPr="00CF2780">
        <w:rPr>
          <w:rFonts w:ascii="Arial" w:eastAsia="Times New Roman" w:hAnsi="Arial" w:cs="Arial"/>
          <w:sz w:val="24"/>
          <w:szCs w:val="24"/>
          <w:lang w:val="es-ES" w:eastAsia="es-ES"/>
        </w:rPr>
        <w:lastRenderedPageBreak/>
        <w:t>Tribunal Electoral del Poder Judicial de la Federación podrá inaplicarla al caso concreto, mediante la revocación o modificación del acto o resolución de la autoridad, en que se actualiza el acto concreto de aplicación, a fin de reparar la afectación, que en la esfera jurídica del actor, provoque la materialización de una consecuencia legal que es contraria al máximo ordenamiento.</w:t>
      </w:r>
    </w:p>
    <w:p w14:paraId="6296C708"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De esa manera, cuando a partir de un control abstracto se determina la invalidez de una norma legal por ser contraria a la Constitución, se produce una declaración con efectos generales, al traer por consecuencia su expulsión del sistema jurídico, a diferencia de lo que acontece en el control concreto, en el cual, la determinación sobre la inconstitucionalidad de un precepto legal, reduce sus efectos a la inaplicación de la norma, según se indicó, al acto concreto combatido, con el objeto de hacer cesar la violación a! derecho del enjuiciante por medio de la sentencia que se dicte a su favor.</w:t>
      </w:r>
    </w:p>
    <w:p w14:paraId="4D5E6E39"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 xml:space="preserve">Mientras que a las salas del Tribunal Electoral les corresponde ejercer un </w:t>
      </w:r>
      <w:r w:rsidRPr="00CF2780">
        <w:rPr>
          <w:rFonts w:ascii="Arial" w:eastAsia="Times New Roman" w:hAnsi="Arial" w:cs="Arial"/>
          <w:i/>
          <w:sz w:val="24"/>
          <w:szCs w:val="24"/>
          <w:lang w:val="es-ES" w:eastAsia="es-ES"/>
        </w:rPr>
        <w:t>control concreto</w:t>
      </w:r>
      <w:r w:rsidRPr="00CF2780">
        <w:rPr>
          <w:rFonts w:ascii="Arial" w:eastAsia="Times New Roman" w:hAnsi="Arial" w:cs="Arial"/>
          <w:sz w:val="24"/>
          <w:szCs w:val="24"/>
          <w:lang w:val="es-ES" w:eastAsia="es-ES"/>
        </w:rPr>
        <w:t xml:space="preserve"> sobre actos de aplicación de normas electorales contrarias a la Constitución, en las que se hayan fundados los actos y resoluciones que se combatan a través de los respectivos medios de impugnación de su competencia; según se desprende de la interpretación armónica de lo previsto en los artículos 41, Base VI y 99 de la Constitución Federal, en relación con el numeral 3, párrafo 2, incisos b), c) y d), de la Ley General del Sistema de Medios de Impugnación en Materia Electoral.</w:t>
      </w:r>
    </w:p>
    <w:p w14:paraId="3AB76543"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Entonces, las salas del Tribunal Electoral del Poder Judicial de la Federación al conocer y resolver los recursos de apelación y reconsideración, así como los juicios de inconformidad, para la protección de los derechos político-electorales del ciudadano y de revisión constitucional electoral, pueden realizar el control constitucional bajo la condición de que los demandantes formulen planteamientos sobre la inconstitucionalidad de una norma, para el efecto de que una vez reconocido ese vicio, determine su inaplicabilidad única y exclusivamente para el caso en particular; por lo que, el efecto de su resolución es relativo, al limitarse al caso concreto sobre el que verse el juicio.</w:t>
      </w:r>
    </w:p>
    <w:p w14:paraId="28B48C0A"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 xml:space="preserve">En tanto que a los tribunales locales sólo les corresponde ejercer el control de legalidad cuando se presente un conflicto normativo entre una disposición legal local y una institucional de la respectiva entidad federativa, eso atendiendo al principio general del derecho de que </w:t>
      </w:r>
      <w:r w:rsidRPr="00CF2780">
        <w:rPr>
          <w:rFonts w:ascii="Arial" w:eastAsia="Times New Roman" w:hAnsi="Arial" w:cs="Arial"/>
          <w:i/>
          <w:sz w:val="24"/>
          <w:szCs w:val="24"/>
          <w:lang w:val="es-ES" w:eastAsia="es-ES"/>
        </w:rPr>
        <w:t>ante la contradicción de normas generales debe atenderse a la de de mayor jerarquía y, en caso de ser de igual jerarquía, se estará a lo mandado en la norma especial,</w:t>
      </w:r>
      <w:r w:rsidRPr="00CF2780">
        <w:rPr>
          <w:rFonts w:ascii="Arial" w:eastAsia="Times New Roman" w:hAnsi="Arial" w:cs="Arial"/>
          <w:sz w:val="24"/>
          <w:szCs w:val="24"/>
          <w:lang w:val="es-ES" w:eastAsia="es-ES"/>
        </w:rPr>
        <w:t xml:space="preserve"> en el entendido de que la solución al conflicto de normas, no significa, en manera alguna, que la norma legal quede excluida del sistema.</w:t>
      </w:r>
    </w:p>
    <w:p w14:paraId="316D2729" w14:textId="77777777" w:rsidR="00AD59FF" w:rsidRPr="00CF2780" w:rsidRDefault="00AD59FF" w:rsidP="00AD59FF">
      <w:pPr>
        <w:spacing w:after="0" w:line="240" w:lineRule="auto"/>
        <w:ind w:left="567" w:right="335"/>
        <w:jc w:val="both"/>
        <w:rPr>
          <w:rFonts w:ascii="Arial" w:eastAsia="Times New Roman" w:hAnsi="Arial" w:cs="Arial"/>
          <w:i/>
          <w:sz w:val="24"/>
          <w:szCs w:val="24"/>
          <w:lang w:val="es-ES" w:eastAsia="es-ES"/>
        </w:rPr>
      </w:pPr>
      <w:r w:rsidRPr="00CF2780">
        <w:rPr>
          <w:rFonts w:ascii="Arial" w:eastAsia="Times New Roman" w:hAnsi="Arial" w:cs="Arial"/>
          <w:sz w:val="24"/>
          <w:szCs w:val="24"/>
          <w:lang w:val="es-ES" w:eastAsia="es-ES"/>
        </w:rPr>
        <w:t xml:space="preserve">Lo que se justifica a partir de que en un conflicto normativo de esa naturaleza, la autoridad local emite un acto concreto de aplicación y, ello se considera como un control de legalidad y no de constitucionalidad; como así lo ha sostenido la Sala Superior en la tesis VI/2004, de rubro </w:t>
      </w:r>
      <w:r w:rsidRPr="00CF2780">
        <w:rPr>
          <w:rFonts w:ascii="Arial" w:eastAsia="Times New Roman" w:hAnsi="Arial" w:cs="Arial"/>
          <w:i/>
          <w:sz w:val="24"/>
          <w:szCs w:val="24"/>
          <w:lang w:val="es-ES" w:eastAsia="es-ES"/>
        </w:rPr>
        <w:t xml:space="preserve">"CONFLICTO ENTRE UNA DISPOSICIÓN LEGAL LOCAL Y LA CONSTITUCIÓN DE LA RESPECTIVA ENTIDAD FEDERATIVA. EN EL </w:t>
      </w:r>
      <w:r w:rsidRPr="00CF2780">
        <w:rPr>
          <w:rFonts w:ascii="Arial" w:eastAsia="Times New Roman" w:hAnsi="Arial" w:cs="Arial"/>
          <w:i/>
          <w:sz w:val="24"/>
          <w:szCs w:val="24"/>
          <w:lang w:val="es-ES" w:eastAsia="es-ES"/>
        </w:rPr>
        <w:lastRenderedPageBreak/>
        <w:t>ÁMBITO NACIONAL, SU SOLUCIÓN CONSTITUYE CONTROL DE LA LEGALIDAD Y NO DE LA CONSTITUCIONALIDAD."</w:t>
      </w:r>
    </w:p>
    <w:p w14:paraId="43842D55"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 xml:space="preserve"> Entonces, es claro que por disposición constitucional el Instituto Electoral de Michoacán, a través del Consejo General, no está facultado para ejercer un control de constitucionalidad y, que traería como consecuencia la desaplicación del Código Electoral del Estado de Michoacán para aplicar tratados internacionales, en los términos que lo proponen los peticionarios.</w:t>
      </w:r>
    </w:p>
    <w:p w14:paraId="40CBDCC3"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Por lo anteriormente fundado y motivado, este Consejo General emite el siguiente:</w:t>
      </w:r>
    </w:p>
    <w:p w14:paraId="67E0F83C"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ACUERDO:</w:t>
      </w:r>
    </w:p>
    <w:p w14:paraId="3C9FF601"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ÚNICO. El instituto Electoral de Michoacán carece de atribuciones para resolver sobre la celebración de elecciones bajo el principio de los usos y costumbres en los términos que lo solicita la Comunidad Indígena de Cherán.</w:t>
      </w:r>
    </w:p>
    <w:p w14:paraId="5FAD66E4"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TRANSITORIOS:</w:t>
      </w:r>
    </w:p>
    <w:p w14:paraId="1A513390"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PRIMERO.- El presente Acuerdo entrará en vigor a partir del día de su aprobación.</w:t>
      </w:r>
    </w:p>
    <w:p w14:paraId="3833E305"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TERCERO.- Publíquese en el Periódico Oficial del Gobierno Constitucional del Estado de Michoacán de Ocampo y en la página de internet del instituto Electoral de Michoacán”.</w:t>
      </w:r>
    </w:p>
    <w:p w14:paraId="39990A23"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p>
    <w:p w14:paraId="3F26B9F4"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QUINTO. Agravios.</w:t>
      </w:r>
      <w:r w:rsidRPr="00CF2780">
        <w:rPr>
          <w:rFonts w:ascii="Arial" w:eastAsia="Times New Roman" w:hAnsi="Arial" w:cs="Arial"/>
          <w:sz w:val="28"/>
          <w:szCs w:val="28"/>
          <w:lang w:val="es-ES" w:eastAsia="es-ES"/>
        </w:rPr>
        <w:t xml:space="preserve"> En su escrito de demanda, los demandantes manifiestan lo siguiente:</w:t>
      </w:r>
    </w:p>
    <w:p w14:paraId="4BB8AC4B" w14:textId="77777777" w:rsidR="00AD59FF" w:rsidRPr="00CF2780" w:rsidRDefault="00AD59FF" w:rsidP="00AD59FF">
      <w:pPr>
        <w:spacing w:before="120" w:after="120" w:line="240" w:lineRule="auto"/>
        <w:ind w:left="567" w:right="335"/>
        <w:jc w:val="center"/>
        <w:rPr>
          <w:rFonts w:ascii="Arial" w:eastAsia="Times New Roman" w:hAnsi="Arial" w:cs="Arial"/>
          <w:sz w:val="24"/>
          <w:szCs w:val="24"/>
          <w:lang w:val="es-ES" w:eastAsia="es-ES"/>
        </w:rPr>
      </w:pPr>
    </w:p>
    <w:p w14:paraId="06B68D3F" w14:textId="77777777" w:rsidR="00AD59FF" w:rsidRPr="00CF2780" w:rsidRDefault="00AD59FF" w:rsidP="00AD59FF">
      <w:pPr>
        <w:spacing w:after="0" w:line="240" w:lineRule="auto"/>
        <w:ind w:left="567" w:right="335"/>
        <w:rPr>
          <w:rFonts w:ascii="Arial" w:eastAsia="Times New Roman" w:hAnsi="Arial" w:cs="Arial"/>
          <w:i/>
          <w:sz w:val="24"/>
          <w:szCs w:val="24"/>
          <w:lang w:val="es-ES" w:eastAsia="es-ES"/>
        </w:rPr>
      </w:pPr>
      <w:r w:rsidRPr="00CF2780">
        <w:rPr>
          <w:rFonts w:ascii="Arial" w:eastAsia="Times New Roman" w:hAnsi="Arial" w:cs="Arial"/>
          <w:i/>
          <w:sz w:val="24"/>
          <w:szCs w:val="24"/>
          <w:lang w:val="es-ES" w:eastAsia="es-ES"/>
        </w:rPr>
        <w:t>”AGRAVIOS.</w:t>
      </w:r>
    </w:p>
    <w:p w14:paraId="24554EC1"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ÚNICO. El acto impugnado, consistente en el "Acuerdo del Consejo General del Instituto Electoral de Michoacán por el que se da respuesta a la petición de la Comunidad Indígena de Cherán para celebrar elecciones bajo sus usos y costumbres", de fecha 09 nueve de septiembre del 2011, con número de acuerdo CG-38/2011, emitido por el Instituto Electoral de Michoacán viola en nuestro perjuicio los artículos Io, 2o y 17 de la Constitución Política de los Estados Unidos Mexicanos atendiendo a las siguientes consideraciones:</w:t>
      </w:r>
    </w:p>
    <w:p w14:paraId="77BB03AC"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PRIMERA CONSIDERACIÓN. El artículo 2o de la Constitución federal, que es la norma de la Carta Magna que garantiza derechos a los pueblos indígenas, señala en su apartado A, fracción VIII lo siguiente:</w:t>
      </w:r>
    </w:p>
    <w:p w14:paraId="5C88DB36"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A. Esta Constitución reconoce y garantiza el derecho de los pueblos y las comunidades indígenas a la libre determinación y, en consecuencia, a la autonomía para:</w:t>
      </w:r>
    </w:p>
    <w:p w14:paraId="094E9F08"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w:t>
      </w:r>
    </w:p>
    <w:p w14:paraId="2837A56A"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 xml:space="preserve">VIII. Acceder plenamente a la jurisdicción del Estado. Para garantizar ese derecho, en todos los juicios y procedimientos en que sean parte, individual o colectivamente, se deberán tomar en cuenta sus costumbres y especificidades culturales </w:t>
      </w:r>
      <w:r w:rsidRPr="00CF2780">
        <w:rPr>
          <w:rFonts w:ascii="Arial" w:eastAsia="Times New Roman" w:hAnsi="Arial" w:cs="Arial"/>
          <w:sz w:val="24"/>
          <w:szCs w:val="24"/>
          <w:lang w:val="es-ES" w:eastAsia="es-ES"/>
        </w:rPr>
        <w:lastRenderedPageBreak/>
        <w:t>respetando los preceptos de esta Constitución. Los indígenas tienen en todo tiempo el derecho a ser asistidos por intérpretes y defensores que tengan conocimiento de su lengua y cultura.</w:t>
      </w:r>
    </w:p>
    <w:p w14:paraId="79D18D20"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En concatenación con lo anterior, el artículo 17 de la Carta Magna señala en su párrafo segundo:</w:t>
      </w:r>
    </w:p>
    <w:p w14:paraId="771FF89C"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"Toda persona tiene derecho a que se le administre justicia por tribunales que estarán expeditos para impartirla en los plazos y términos que fijen las leyes, emitiendo sus resoluciones de manera pronta, completa e imparcial. Su servicio será gratuito, quedando, en consecuencia, prohibidas las costas judiciales."</w:t>
      </w:r>
    </w:p>
    <w:p w14:paraId="20917FC5"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En relación con ello cabe señalar que los que aquí promovemos acudimos ante el Instituto Electoral de Michoacán para hacerle del conocimiento la problemática que se vive en nuestra Comunidad indígena, y para solicitarle que se respetara nuestro derecho .histórico a decidir mediante usos y costumbres la forma como habremos de designar a nuestras autoridades municipales y a organizarlas conforme a nuestras prácticas tradicionales, siendo que dicho Instituto es el órgano estatal encargado de la organización de los comicios electorales en el Estado de Michoacán de Ocampo; sin embargo, al tomar el acuerdo de que carece de atribuciones para resolver la cuestión planteada, el Instituto Electoral de Michoacán contraviene lo dispuesto en los artículos constitucionales antes citados toda vez que, el acceso a la justicia del Estado por parte de los pueblos indígenas debe ser real y material, lo que se traduce en la obligación de las autoridades de dar una solución de fondo a la problemática que se le presenta, cosa que no ocurrió en el caso que nos ocupa puesto que el Instituto señalado se limitó a declararse incompetente sin generar ninguna acción tendiente a que los que integramos la Comunidad indígena de San Francisco Cherán lográramos un acceso efectivo a la justicia del Estado, traducido en que se diera respuesta a nuestra solicitud.</w:t>
      </w:r>
    </w:p>
    <w:p w14:paraId="08DF6F3A"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 xml:space="preserve">Ahora bien, ya que el Instituto Electoral de Michoacán no tiene atribuciones para conocer del caso que los aquí promoventes en su oportunidad le planteamos, y atendiendo a que cualquier otro recurso sería formal y materialmente ineficaz para restituir a los que aquí promovemos en el goce de nuestros derechos político-electorales, acudimos a esta instancia, atendiendo al principio </w:t>
      </w:r>
      <w:r w:rsidRPr="00CF2780">
        <w:rPr>
          <w:rFonts w:ascii="Arial" w:eastAsia="Times New Roman" w:hAnsi="Arial" w:cs="Arial"/>
          <w:i/>
          <w:sz w:val="24"/>
          <w:szCs w:val="24"/>
          <w:lang w:val="es-ES" w:eastAsia="es-ES"/>
        </w:rPr>
        <w:t>per saltum</w:t>
      </w:r>
      <w:r w:rsidRPr="00CF2780">
        <w:rPr>
          <w:rFonts w:ascii="Arial" w:eastAsia="Times New Roman" w:hAnsi="Arial" w:cs="Arial"/>
          <w:sz w:val="24"/>
          <w:szCs w:val="24"/>
          <w:lang w:val="es-ES" w:eastAsia="es-ES"/>
        </w:rPr>
        <w:t>, con la finalidad de que se reconozca nuestro derecho histórico a elegir autoridades municipales conforme a los usos y costumbres de la Comunidad y a organizarlas conforme a nuestras prácticas tradicionales, el cual nos asiste por mandato constitucional, en el entendido de que esta H. Autoridad a efecto de no contravenir los preceptos constitucionales antes citados deberá emitir una resolución fundada y motivada donde se resuelva de fondo nuestra petición, impartiendo justicia sin que se interpongan impedimentos procesales discordes con la situación de nuestra Comunidad indígena o formalismos exagerados, tal y como lo ha sostenido la Sala Superior en las tesis que a continuación se transcriben:</w:t>
      </w:r>
    </w:p>
    <w:p w14:paraId="7EBAC28F"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i/>
          <w:sz w:val="24"/>
          <w:szCs w:val="24"/>
          <w:lang w:val="es-ES" w:eastAsia="es-ES"/>
        </w:rPr>
        <w:t>PUEBLOS INDÍGENAS. SE DEBE GARANTIZAR A LOS CIUDADANOS QUE LOS CONFORMAN UN EFECTIVO ACCESO A LA JURISDICCIÓN ELECTORAL.</w:t>
      </w:r>
      <w:r w:rsidRPr="00CF2780">
        <w:rPr>
          <w:rFonts w:ascii="Arial" w:eastAsia="Times New Roman" w:hAnsi="Arial" w:cs="Arial"/>
          <w:sz w:val="24"/>
          <w:szCs w:val="24"/>
          <w:lang w:val="es-ES" w:eastAsia="es-ES"/>
        </w:rPr>
        <w:t xml:space="preserve"> (Se transcribe.)</w:t>
      </w:r>
    </w:p>
    <w:p w14:paraId="5DC6D485"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i/>
          <w:sz w:val="24"/>
          <w:szCs w:val="24"/>
          <w:lang w:val="es-ES" w:eastAsia="es-ES"/>
        </w:rPr>
        <w:lastRenderedPageBreak/>
        <w:t>PUEBLOS Y COMUNIDADES INDÍGENAS. LA INTERPRETACIÓN DE LAS NORMAS PROCESALES DEBE HACERSE DE LA FORMA QUE LES SEA MÁS FAVORABLE.</w:t>
      </w:r>
      <w:r w:rsidRPr="00CF2780">
        <w:rPr>
          <w:rFonts w:ascii="Arial" w:eastAsia="Times New Roman" w:hAnsi="Arial" w:cs="Arial"/>
          <w:sz w:val="24"/>
          <w:szCs w:val="24"/>
          <w:lang w:val="es-ES" w:eastAsia="es-ES"/>
        </w:rPr>
        <w:t xml:space="preserve"> (Se transcribe.)</w:t>
      </w:r>
    </w:p>
    <w:p w14:paraId="2FD3D3CD"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SEGUNDA CONSIDERACIÓN.- El artículo 2o constitucional, apartado A, señala en sus fracciones I y II lo siguiente:</w:t>
      </w:r>
    </w:p>
    <w:p w14:paraId="6C711F02"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1. Esta Constitución reconoce y garantiza el derecho de los pueblos y las comunidades indígenas a la libre determinación y, en consecuencia, a la autonomía para:</w:t>
      </w:r>
    </w:p>
    <w:p w14:paraId="4ABF9121"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w:t>
      </w:r>
    </w:p>
    <w:p w14:paraId="322F6D24"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I. Decidir sus formas internas de convivencia y organización social, económica, política y cultural.</w:t>
      </w:r>
    </w:p>
    <w:p w14:paraId="607AC2DC"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w:t>
      </w:r>
    </w:p>
    <w:p w14:paraId="60926862"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III.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p>
    <w:p w14:paraId="6BBB581B"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Mientras que el artículo 1º constitucional señala:</w:t>
      </w:r>
    </w:p>
    <w:p w14:paraId="0D300237" w14:textId="77777777" w:rsidR="00AD59FF" w:rsidRPr="00CF2780" w:rsidRDefault="00AD59FF" w:rsidP="00AD59FF">
      <w:pPr>
        <w:spacing w:after="0" w:line="240" w:lineRule="auto"/>
        <w:ind w:left="1134"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w:t>
      </w:r>
    </w:p>
    <w:p w14:paraId="05D1BBF2"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A23DCB9"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Como de lo anterior se desprende el texto constitucional reconoce la libre determinación de los pueblos indígenas y también garantiza el derecho que tienen éstos para elegir a sus autoridades de acuerdo a sus procedimientos y prácticas tradicionales. En consecuencia la demanda de la comunidad purépecha a la que pertenecemos está en consonancia con la Constitución federal.</w:t>
      </w:r>
    </w:p>
    <w:p w14:paraId="2CD78CAF"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 xml:space="preserve">Por otra parte, del contenido del artículo primero, especialmente del párrafo antes citado, mismo que señala que </w:t>
      </w:r>
      <w:r w:rsidRPr="00CF2780">
        <w:rPr>
          <w:rFonts w:ascii="Arial" w:eastAsia="Times New Roman" w:hAnsi="Arial" w:cs="Arial"/>
          <w:i/>
          <w:sz w:val="24"/>
          <w:szCs w:val="24"/>
          <w:lang w:val="es-ES" w:eastAsia="es-ES"/>
        </w:rPr>
        <w:t>todas las autoridades en el ámbito de sus competencias, tienen la obligación de promover, respetar, proteger y garantizar los derechos humanos de conformidad con los principios de universalidad, interdependencia, indivisibilidad y progresividad</w:t>
      </w:r>
      <w:r w:rsidRPr="00CF2780">
        <w:rPr>
          <w:rFonts w:ascii="Arial" w:eastAsia="Times New Roman" w:hAnsi="Arial" w:cs="Arial"/>
          <w:sz w:val="24"/>
          <w:szCs w:val="24"/>
          <w:lang w:val="es-ES" w:eastAsia="es-ES"/>
        </w:rPr>
        <w:t xml:space="preserve">, y aplicado al caso concreto que nos ocupa, se desprende que cualquier autoridad, incluido el Instituto Electoral de Michoacán, aún y cuando no se trate de un órgano de constitucionalidad tal y como lo señaló en el acto que aquí se impugna, está obligado a promover, respetar, proteger y garantizar el derecho humano contenido en el artículo segundo constitucional de decidir nuestras formas internas, en cuanto comunidad indígena, de convivencia y organización política, social y cultural, así como a elegir de acuerdo con nuestras normas, procedimientos y prácticas tradicionales, a las </w:t>
      </w:r>
      <w:r w:rsidRPr="00CF2780">
        <w:rPr>
          <w:rFonts w:ascii="Arial" w:eastAsia="Times New Roman" w:hAnsi="Arial" w:cs="Arial"/>
          <w:sz w:val="24"/>
          <w:szCs w:val="24"/>
          <w:lang w:val="es-ES" w:eastAsia="es-ES"/>
        </w:rPr>
        <w:lastRenderedPageBreak/>
        <w:t>autoridades o representantes para el ejercicio de nuestras formas de gobierno interno, y por tanto la petición de nuestra comunidad está plenamente justificada y apegada a los mandatos constitucionales, norma suprema de nuestro país.</w:t>
      </w:r>
    </w:p>
    <w:p w14:paraId="643CE97E"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 xml:space="preserve">Ahora bien, el artículo 3o de la Carta Magna de Michoacán, señala que: </w:t>
      </w:r>
    </w:p>
    <w:p w14:paraId="0FD67166"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w:t>
      </w:r>
    </w:p>
    <w:p w14:paraId="30C91BBD"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La ley protegerá y promoverá dentro de la estructura jurídica estatal, el desarrollo de las culturas, recursos y formas especificas de organización social de la etnia asentada en el territorio de la entidad, y garantizará a sus integrantes el efectivo acceso a la jurisdicción del Estado. Dentro del sistema jurídico, en los juicios y procedimientos en los que algunos de los miembros de esas etnias sea parte, se tomarán en cuenta sus prácticas y costumbres jurídicas de manera estricta en los términos establecidos por la ley, sin romper el principio de igualdad, sino por el contrario, procurando la equidad entre las partes.</w:t>
      </w:r>
    </w:p>
    <w:p w14:paraId="2E39F8A7"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Al declarar dicho precepto que la ley reconoce, protege y promueve las formas específicas de organización social de las etnias asentadas en el territorio de la entidad, e interpretándolo en el sentido de que la aplicación de la norma debe ser siempre en el sentido que más favorezca a las comunidades indígenas, dadas las condiciones de desventaja ampliamente reconocidas por el legislador, se desprende que dicho reconocimiento también obliga a cualquier autoridad a respetar los usos y costumbres en base a los cuales la comunidad indígena se organiza al interior, y que el Instituto Electoral de Michoacán, en tonto autoridad, debió haber atendido también el contenido del artículo 3o de la Constitución local, en concatenación con lo establecido por la Constitución Federal, y resolver el fondo de la petición planteada por nuestra comunidad respetando y reconociéndonos nuestro derecho a elegir a nuestras autoridades municipales en base a nuestros usos y costumbres, y a organizarlas acorde a nuestras prácticas tradicionales, por tanto reafirmamos que la solicitud que hacemos los integrantes de la Comunidad indígena de San Francisco Cherán no contraviene lo dispuesto en la Constitución Federal y mucho menos lo que dispone la Constitución Local, ya que lo único que pretendemos es que se haga efectivo lo señalado en ambas Cartas Constitucionales y se respete nuestro derecho a elegir a nuestras autoridades municipales conforme a nuestros usos y costumbres y a organizarlas conforme a nuestras prácticas tradicionales en cuanto comunidad indígena; valga recordar que la autoridad, ya sea ésta de legalidad o de constitucionalidad, está obligada a observar lo dispuesto por la Constitución Federal y por la Constitución Local. En apoyo a lo anteriormente manifestado, se reproduce la siguiente tesis sostenida por la Sala Superior:</w:t>
      </w:r>
    </w:p>
    <w:p w14:paraId="0104F417"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i/>
          <w:sz w:val="24"/>
          <w:szCs w:val="24"/>
          <w:lang w:val="es-ES" w:eastAsia="es-ES"/>
        </w:rPr>
        <w:t xml:space="preserve">USOS Y COSTUMBRES INDÍGENAS RELACIONADOS CON EL PROCEDIMIENTO ELECTORAL CONSUETUDINARIO. </w:t>
      </w:r>
      <w:r w:rsidRPr="00CF2780">
        <w:rPr>
          <w:rFonts w:ascii="Arial" w:eastAsia="Times New Roman" w:hAnsi="Arial" w:cs="Arial"/>
          <w:i/>
          <w:sz w:val="24"/>
          <w:szCs w:val="24"/>
          <w:lang w:val="es-ES" w:eastAsia="es-ES"/>
        </w:rPr>
        <w:lastRenderedPageBreak/>
        <w:t>CIUDADANOS Y AUTORIDADES ESTÁN OBLIGADOS A RESPETARLOS (Legislación de Oaxaca).</w:t>
      </w:r>
      <w:r w:rsidRPr="00CF2780">
        <w:rPr>
          <w:rFonts w:ascii="Arial" w:eastAsia="Times New Roman" w:hAnsi="Arial" w:cs="Arial"/>
          <w:sz w:val="24"/>
          <w:szCs w:val="24"/>
          <w:lang w:val="es-ES" w:eastAsia="es-ES"/>
        </w:rPr>
        <w:t xml:space="preserve"> (Se transcribe.)</w:t>
      </w:r>
    </w:p>
    <w:p w14:paraId="3614CC88"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TERCERA CONSIDERACIÓN.- De igual forma esta H. Autoridad no debe perder de vista en la valoración de esta cuestión la reciente reforma constitucional en materia de derechos humanos que sufrió, entre otros, el artículo 1º constitucional, el cual señala:</w:t>
      </w:r>
    </w:p>
    <w:p w14:paraId="56F73D65"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5FB35A3"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14:paraId="7145A845"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Como es bien conocido a partir de esta modificación el debate sobre la supremacía de la norma constitucional sobre los tratados internacionales o viceversa perdió sentido, al menos en lo referente a los derechos humanos. Ahora, según lo establecido en esta reforma, las normas internacionales en materia de derechos humanos, las cuales abarcan lógicamente los derechos de los pueblos indígenas, son junto con la norma constitucional la ley máxima del Estado Mexicano, es decir, forman parte del bloque de constitucionalidad.</w:t>
      </w:r>
    </w:p>
    <w:p w14:paraId="18555B27"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Se debe señalar que con esta reforma también se establecieron dos principios de interpretación que son de fundamental importancia para el tema de los derechos de los pueblos indígenas: el principio pro persona y de interpretación conforme.</w:t>
      </w:r>
    </w:p>
    <w:p w14:paraId="1D9692DB"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El primero de estos, reconocido también en instrumentos como la Convención de Viena sobre el Derecho de los Tratados, implica que se deberá privilegiar la aplicación de aquella norma que otorgue una mayor protección a los derechos de las personas. En este sentido, si una norma internacional en materia de derechos humanos cuenta con un contenido más garantista que la norma constitucional, deberá aplicarse la norma internacional.</w:t>
      </w:r>
    </w:p>
    <w:p w14:paraId="348C8B10"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Por otro lado, en virtud del principio de "interpretación conforme" las autoridades del Estado Mexicano se obligan a interpretar la Constitución y los tratados internacionales en la materia de una manera armónica para evitar que haya contradicciones y antinomias.</w:t>
      </w:r>
    </w:p>
    <w:p w14:paraId="0EBFC4CD"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 xml:space="preserve">De tal forma, que nuestro derecho a elegir a nuestras autoridades municipales por usos y costumbres y a organizarlas conforme a nuestras prácticas tradicionales debe de ubicarse no sólo en el marco de los preceptos Constitucionales, sino también dentro de los derechos de libre determinación que tenemos garantizados todos los pueblos indígenas en distintos ordenamientos jurídicos a nivel internacional, siendo de trascendencia el artículo 1o del Pacto Internacional de Derechos Políticos </w:t>
      </w:r>
      <w:r w:rsidRPr="00CF2780">
        <w:rPr>
          <w:rFonts w:ascii="Arial" w:eastAsia="Times New Roman" w:hAnsi="Arial" w:cs="Arial"/>
          <w:sz w:val="24"/>
          <w:szCs w:val="24"/>
          <w:lang w:val="es-ES" w:eastAsia="es-ES"/>
        </w:rPr>
        <w:lastRenderedPageBreak/>
        <w:t>y Civiles, así como del Pacto Internacional de Derechos Económicos, Sociales y Culturales que disponen:</w:t>
      </w:r>
    </w:p>
    <w:p w14:paraId="6DED93BC"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1. Todos los pueblos tienen el derecho de libre determinación. En virtud de este derecho establecen libremente su condición política y proveen asimismo a su desarrollo económico, social y cultural.</w:t>
      </w:r>
    </w:p>
    <w:p w14:paraId="4E497407"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Cabe señalar que el Estado Mexicano firmó la adhesión a los dos Pactos en 1981.</w:t>
      </w:r>
    </w:p>
    <w:p w14:paraId="72F51D90"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No obstante, los documentos legales más importantes en la materia son el Convenio Núm. 169 sobre Pueblos Indígenas y Tribales de la Organización Internacional del Trabajo, aprobado en el seno de la Organización Internacional del Trabajo en 1989 y ratificado por el Estado Mexicano en 1990, y la Declaración de las Naciones Unidas sobre los Derechos de los Pueblos Indígenas aprobada en 2007. Estos dos cuerpos legales amplían y detallan los alcances y limitaciones de los derechos de libre determinación de los pueblos indígenas, específicamente los de participación política.</w:t>
      </w:r>
    </w:p>
    <w:p w14:paraId="407C022B"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En el caso del Convenio 169 las disposiciones en esta materia comienzan en su artículo 2o que establece:</w:t>
      </w:r>
    </w:p>
    <w:p w14:paraId="706BF1FA"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1. Los gobiernos deberán asumir la responsabilidad de desarrollar, con la participación de los pueblos interesados, una acción coordinada y sistemática con miras a proteger los derechos de esos pueblos y a garantizar el respeto de su integridad.</w:t>
      </w:r>
    </w:p>
    <w:p w14:paraId="782EF329"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2. Esta acción deberá incluir medidas:</w:t>
      </w:r>
    </w:p>
    <w:p w14:paraId="3C33691A"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w:t>
      </w:r>
    </w:p>
    <w:p w14:paraId="1B53D201"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b) que promuevan la plena efectividad de los derechos sociales, económicos y culturales de esos pueblos, respetando su identidad social y cultural, sus costumbres y tradiciones, y sus instituciones;</w:t>
      </w:r>
    </w:p>
    <w:p w14:paraId="79AC35BE"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Este artículo garantiza la promoción de los derechos de los pueblos indígenas por parte de los Estados Nacionales, con un énfasis marcado en el respeto de sus prácticas culturales e instituciones. Es por eso que el Convenio 169 obliga a los Estados signatarios a reconocer las formas de organización propias de los pueblos indígenas tal como lo ordena el artículo 5o de dicho tratado internacional:</w:t>
      </w:r>
    </w:p>
    <w:p w14:paraId="5E96C1DE"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Al aplicar las disposiciones del presente Convenio:</w:t>
      </w:r>
    </w:p>
    <w:p w14:paraId="589847A0"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a) deberán reconocerse y protegerse los valores y prácticas sociales, culturales, religiosos y espirituales propios de dichos pueblos y deberá tomarse debidamente en consideración la índole de los problemas que se les plantean tanto colectiva como individualmente;</w:t>
      </w:r>
    </w:p>
    <w:p w14:paraId="6500A721"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b) deberá respetarse la integridad de los valores, prácticas e instituciones de esos pueblos;</w:t>
      </w:r>
    </w:p>
    <w:p w14:paraId="65188D4E"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En esa misma dirección debe entenderse el contenido del artículo 8o del mismo cuerpo legal que señala:</w:t>
      </w:r>
    </w:p>
    <w:p w14:paraId="79F1CDE3"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lastRenderedPageBreak/>
        <w:t>1. Al aplicar la legislación nacional a los pueblos interesados deberán tomarse debidamente en consideración sus costumbres o su derecho consuetudinario.</w:t>
      </w:r>
    </w:p>
    <w:p w14:paraId="4C747487"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2. Dichos pueblos deberán tener el derecho de conservar sus costumbres e instituciones propias, siempre que éstas no sean incompatibles con los derechos fundamentales definidos por el sistema jurídico nacional ni con los derechos humanos internacionalmente reconocidos. Siempre que sea necesario, deberán establecerse procedimientos para solucionar los conflictos que puedan surgir en la aplicación de este principio.</w:t>
      </w:r>
    </w:p>
    <w:p w14:paraId="2AA72AA6"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Vale la pena señalar que incluso la limitación que establece esta última norma al derecho de los pueblos indígenas para conservar sus costumbres e instituciones propias, se refiere al nivel de los derechos fundamentales que en nuestro sistema jurídico mexicano se encuentran plasmados en la Constitución Federal, así como en los documentos jurídicos internacionales en materia de derechos humanos y no a una norma jurídica secundaria, como puede ser el código electoral.</w:t>
      </w:r>
    </w:p>
    <w:p w14:paraId="6A1BE058"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Este catálogo de derechos para los pueblos indígenas fue ampliado con la aprobación de la Declaración de la Naciones Unidas sobre los Derechos de los Pueblos Indígenas en 2007. Desde el principio este nuevo ordenamiento jurídico establece claramente una posición aun más favorable para los pueblos indígenas, como queda establecido en su artículo 3o que sentencia:</w:t>
      </w:r>
    </w:p>
    <w:p w14:paraId="4A7A7918"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Los pueblos indígenas tienen derecho a la libre determinación. En virtud de ese derecho determinan libremente su condición política y persiguen libremente su desarrollo económico, social y cultural.</w:t>
      </w:r>
    </w:p>
    <w:p w14:paraId="5784617D"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Esta norma jurídica general se particulariza de forma significativa para el caso que aquí se plantea en los artículos 4o y 5o de la propia Declaración que ordenan lo siguiente:</w:t>
      </w:r>
    </w:p>
    <w:p w14:paraId="0C9CD51A"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Artículo 4</w:t>
      </w:r>
    </w:p>
    <w:p w14:paraId="77A7EE01"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Los pueblos indígenas, en ejercicio de su derecho de libre determinación, tienen derecho a la autonomía o al autogobierno en las cuestiones relacionadas con sus asuntos internos y locales, así como a disponer de los medios para financiar sus funciones autónomas.</w:t>
      </w:r>
    </w:p>
    <w:p w14:paraId="006298F9"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Artículo 5</w:t>
      </w:r>
    </w:p>
    <w:p w14:paraId="61933EA1"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Los pueblos indígenas tienen derecho a conservar y reforzar sus propias instituciones políticas, jurídicas, económicas, sociales y culturales, manteniendo a la vez su derecho a participar plenamente, si lo desean, en la vida política, económica, social y cultural del Estado.</w:t>
      </w:r>
    </w:p>
    <w:p w14:paraId="68D68CD7"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Aún con lo explícito de las anteriores disposiciones, la declaración contiene otros artículos que precisan más estos derechos de los pueblos indígenas en alcances y límites; así por ejemplo los artículos 20, 33 y 34 establecen:</w:t>
      </w:r>
    </w:p>
    <w:p w14:paraId="09E600FB" w14:textId="77777777" w:rsidR="00AD59FF" w:rsidRPr="00CF2780" w:rsidRDefault="00AD59FF" w:rsidP="00AD59FF">
      <w:pPr>
        <w:tabs>
          <w:tab w:val="left" w:pos="6804"/>
        </w:tabs>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Artículo 20</w:t>
      </w:r>
    </w:p>
    <w:p w14:paraId="57C04DBC" w14:textId="77777777" w:rsidR="00AD59FF" w:rsidRPr="00CF2780" w:rsidRDefault="00AD59FF" w:rsidP="00AD59FF">
      <w:pPr>
        <w:tabs>
          <w:tab w:val="left" w:pos="6804"/>
        </w:tabs>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lastRenderedPageBreak/>
        <w:t>1. Los pueblos indígenas tienen derecho a mantener y desarrollar sus sistemas o instituciones políticas, económicas y sociales, a que se les asegure el disfrute de sus propios medios de subsistencia y desarrollo y a dedicarse libremente a todas sus actividades económicas tradicionales y de otro tipo.</w:t>
      </w:r>
    </w:p>
    <w:p w14:paraId="07731A1D" w14:textId="77777777" w:rsidR="00AD59FF" w:rsidRPr="00CF2780" w:rsidRDefault="00AD59FF" w:rsidP="00AD59FF">
      <w:pPr>
        <w:tabs>
          <w:tab w:val="left" w:pos="6804"/>
        </w:tabs>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w:t>
      </w:r>
    </w:p>
    <w:p w14:paraId="65BD84D4" w14:textId="77777777" w:rsidR="00AD59FF" w:rsidRPr="00CF2780" w:rsidRDefault="00AD59FF" w:rsidP="00AD59FF">
      <w:pPr>
        <w:tabs>
          <w:tab w:val="left" w:pos="6804"/>
        </w:tabs>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Artículo 33</w:t>
      </w:r>
    </w:p>
    <w:p w14:paraId="329D9EFF" w14:textId="77777777" w:rsidR="00AD59FF" w:rsidRPr="00CF2780" w:rsidRDefault="00AD59FF" w:rsidP="00AD59FF">
      <w:pPr>
        <w:tabs>
          <w:tab w:val="left" w:pos="6804"/>
        </w:tabs>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1. Los pueblos indígenas tienen derecho a determinar su propia identidad o pertenencia conforme a sus costumbres y tradiciones. Ello no menoscaba el derecho de las personas indígenas a obtener la ciudadanía de los Estados en que viven.</w:t>
      </w:r>
    </w:p>
    <w:p w14:paraId="63E95847" w14:textId="77777777" w:rsidR="00AD59FF" w:rsidRPr="00CF2780" w:rsidRDefault="00AD59FF" w:rsidP="00AD59FF">
      <w:pPr>
        <w:tabs>
          <w:tab w:val="left" w:pos="6804"/>
        </w:tabs>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2. Los pueblos indígenas tienen derecho a determinar las estructuras y a elegir la composición de sus instituciones de conformidad con sus propios procedimientos.</w:t>
      </w:r>
    </w:p>
    <w:p w14:paraId="09EC8C1D" w14:textId="77777777" w:rsidR="00AD59FF" w:rsidRPr="00CF2780" w:rsidRDefault="00AD59FF" w:rsidP="00AD59FF">
      <w:pPr>
        <w:tabs>
          <w:tab w:val="left" w:pos="6804"/>
        </w:tabs>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Articulo 34</w:t>
      </w:r>
    </w:p>
    <w:p w14:paraId="52C7F2BA" w14:textId="77777777" w:rsidR="00AD59FF" w:rsidRPr="00CF2780" w:rsidRDefault="00AD59FF" w:rsidP="00AD59FF">
      <w:pPr>
        <w:tabs>
          <w:tab w:val="left" w:pos="6804"/>
        </w:tabs>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Los pueblos indígenas tienen derecho a promover, desarrollar y mantener sus estructuras institucionales y sus propias costumbres, espiritualidad, tradiciones, procedimientos, prácticas y, cuando existan costumbres o sistemas jurídicos de conformidad con las normas internacionales de derechos humanos.</w:t>
      </w:r>
    </w:p>
    <w:p w14:paraId="5BB79A44"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A diferencia del Convenio 169, la Declaración va más allá en el tema de los derechos políticos de los pueblos indígenas en dos sentidos muy importantes. Por un lado, garantiza, como se desprende de los artículos referidos, el derecho de los pueblos indígenas a elegir a nuestras autoridades de acuerdo a nuestros procedimientos propios, es decir, por usos y costumbres; pero además a que se respeten las estructuras de nuestras instituciones políticas y nuestras formas de gobierno. Lo anterior significa, de forma resumida, que la Declaración establece que los pueblos indígenas no sólo tenemos el derecho a un procedimiento que respete nuestros usos y costumbres, sino a una estructura de gobierno que también respete nuestras instituciones tradicionales. Lo que se garantiza es entonces, no sólo la forma de elección, sino además el fondo o estructura institucional para nuestro gobierno.</w:t>
      </w:r>
    </w:p>
    <w:p w14:paraId="2DA61498"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El otro punto a destacar es la limitación que la Declaración establece para este derecho de los pueblos indígenas, en relación a que ya sólo lo constriñe a los derechos humanos internacionalmente reconocidos.</w:t>
      </w:r>
    </w:p>
    <w:p w14:paraId="5770E8A7"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En virtud de lo anteriormente planteado, y atendiendo a que derivado de la reforma constitucional hecha al artículo 1o de la Constitución Política de los Estados Unidos Mexicanos las normas de derecho internacional son parte del marco normativo de nuestro país, esta H. Autoridad deberá considerar al momento de que dicte resolución los antecedentes y la jurisprudencia generada a nivel Internacional por la Corte Interamericana de Derechos Humanos.</w:t>
      </w:r>
    </w:p>
    <w:p w14:paraId="219A3BEA"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 xml:space="preserve">Dicho antecedente viene a ser el conocido caso YATAMA contra el Estado Nicaragüense por violar derechos políticos de los candidatos a elecciones municipales de esa organización política indígena de carácter regional. La </w:t>
      </w:r>
      <w:r w:rsidRPr="00CF2780">
        <w:rPr>
          <w:rFonts w:ascii="Arial" w:eastAsia="Times New Roman" w:hAnsi="Arial" w:cs="Arial"/>
          <w:sz w:val="24"/>
          <w:szCs w:val="24"/>
          <w:lang w:val="es-ES" w:eastAsia="es-ES"/>
        </w:rPr>
        <w:lastRenderedPageBreak/>
        <w:t>Corte resolvió a favor de la organización YATAMA mediante una votación por mayoría de votos de siete contra uno, resaltando los siguientes puntos:</w:t>
      </w:r>
    </w:p>
    <w:p w14:paraId="34F95367"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w:t>
      </w:r>
    </w:p>
    <w:p w14:paraId="5C0176A0"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2. El Estado violó el derecho a las garantías judiciales consagrado en el artículo 8.1 de la Convención Americana sobre Derechos Humanos, en relación con el artículo 1.1 de la misma, en perjuicio de los candidatos propuestos por YATAMA para participar en las elecciones municipales de 2000, en los términos de los párrafos 147 a 164 de la presente Sentencia.</w:t>
      </w:r>
    </w:p>
    <w:p w14:paraId="3F30BAA8"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 xml:space="preserve">Disiente el Juez </w:t>
      </w:r>
      <w:r w:rsidRPr="00CF2780">
        <w:rPr>
          <w:rFonts w:ascii="Arial" w:eastAsia="Times New Roman" w:hAnsi="Arial" w:cs="Arial"/>
          <w:i/>
          <w:sz w:val="24"/>
          <w:szCs w:val="24"/>
          <w:lang w:val="es-ES" w:eastAsia="es-ES"/>
        </w:rPr>
        <w:t>ad hoc</w:t>
      </w:r>
      <w:r w:rsidRPr="00CF2780">
        <w:rPr>
          <w:rFonts w:ascii="Arial" w:eastAsia="Times New Roman" w:hAnsi="Arial" w:cs="Arial"/>
          <w:sz w:val="24"/>
          <w:szCs w:val="24"/>
          <w:lang w:val="es-ES" w:eastAsia="es-ES"/>
        </w:rPr>
        <w:t xml:space="preserve"> Montiel Arguello.</w:t>
      </w:r>
    </w:p>
    <w:p w14:paraId="4B759366"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3. El Estado violó el derecho a la protección judicial consagrado en el artículo 25.1 de la Convención Americana sobre Derechos Humanos, en relación con los artículos 1.1 y 2 de la misma, en perjuicio de los candidatos propuestos por YATAMA para participar en las elecciones municipales de 2000, en los términos de los párrafos 165 a 176 de la presente Sentencia.</w:t>
      </w:r>
    </w:p>
    <w:p w14:paraId="78A49E1F"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Disiente el Juez a</w:t>
      </w:r>
      <w:r w:rsidRPr="00CF2780">
        <w:rPr>
          <w:rFonts w:ascii="Arial" w:eastAsia="Times New Roman" w:hAnsi="Arial" w:cs="Arial"/>
          <w:i/>
          <w:sz w:val="24"/>
          <w:szCs w:val="24"/>
          <w:lang w:val="es-ES" w:eastAsia="es-ES"/>
        </w:rPr>
        <w:t>d hoc</w:t>
      </w:r>
      <w:r w:rsidRPr="00CF2780">
        <w:rPr>
          <w:rFonts w:ascii="Arial" w:eastAsia="Times New Roman" w:hAnsi="Arial" w:cs="Arial"/>
          <w:sz w:val="24"/>
          <w:szCs w:val="24"/>
          <w:lang w:val="es-ES" w:eastAsia="es-ES"/>
        </w:rPr>
        <w:t xml:space="preserve"> Montiel Arguello.</w:t>
      </w:r>
    </w:p>
    <w:p w14:paraId="5E5304F2"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4. El Estado violó los derechos políticos y el derecho a la igualdad ante la ley consagrados en los artículos 23 y 24 de la Convención Americana sobre Derechos Humanos, en relación con los artículos 1.1 y 2 de la misma, en perjuicio de los candidatos propuestos por YATAMA para participar en las elecciones municipales de 2000, en los términos de los párrafos 201 a 229 de la presente Sentencia.</w:t>
      </w:r>
    </w:p>
    <w:p w14:paraId="31F19128"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 xml:space="preserve">Disiente el Juez </w:t>
      </w:r>
      <w:r w:rsidRPr="00CF2780">
        <w:rPr>
          <w:rFonts w:ascii="Arial" w:eastAsia="Times New Roman" w:hAnsi="Arial" w:cs="Arial"/>
          <w:i/>
          <w:sz w:val="24"/>
          <w:szCs w:val="24"/>
          <w:lang w:val="es-ES" w:eastAsia="es-ES"/>
        </w:rPr>
        <w:t xml:space="preserve">ad hoc </w:t>
      </w:r>
      <w:r w:rsidRPr="00CF2780">
        <w:rPr>
          <w:rFonts w:ascii="Arial" w:eastAsia="Times New Roman" w:hAnsi="Arial" w:cs="Arial"/>
          <w:sz w:val="24"/>
          <w:szCs w:val="24"/>
          <w:lang w:val="es-ES" w:eastAsia="es-ES"/>
        </w:rPr>
        <w:t>Montiel Arguello.</w:t>
      </w:r>
    </w:p>
    <w:p w14:paraId="1B5A6BD3"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9. El Estado debe adoptar, dentro de un plazo razonable, las medidas legislativas necesarias para establecer un recurso judicial sencillo, rápido y efectivo que permita controlar las decisiones del Consejo Supremo Electoral que afecten derechos humanos, tales como los derechos políticos, con observancia de las garantías legales y convencionales respectivas, y derogar las normas que impidan la interposición de ese recurso, en los términos de los párrafos 254 y 255 de la presente Sentencia.</w:t>
      </w:r>
    </w:p>
    <w:p w14:paraId="76E72B48"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Disiente el Juez a</w:t>
      </w:r>
      <w:r w:rsidRPr="00CF2780">
        <w:rPr>
          <w:rFonts w:ascii="Arial" w:eastAsia="Times New Roman" w:hAnsi="Arial" w:cs="Arial"/>
          <w:i/>
          <w:sz w:val="24"/>
          <w:szCs w:val="24"/>
          <w:lang w:val="es-ES" w:eastAsia="es-ES"/>
        </w:rPr>
        <w:t>d hoc</w:t>
      </w:r>
      <w:r w:rsidRPr="00CF2780">
        <w:rPr>
          <w:rFonts w:ascii="Arial" w:eastAsia="Times New Roman" w:hAnsi="Arial" w:cs="Arial"/>
          <w:sz w:val="24"/>
          <w:szCs w:val="24"/>
          <w:lang w:val="es-ES" w:eastAsia="es-ES"/>
        </w:rPr>
        <w:t xml:space="preserve"> Montiel Argüello.</w:t>
      </w:r>
    </w:p>
    <w:p w14:paraId="1D745AC0"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w:t>
      </w:r>
    </w:p>
    <w:p w14:paraId="13CA3951"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11. El Estado debe reformar la regulación de los requisitos dispuestos en la Ley Electoral No. 331 de 2000 declarados violatorios de la Convención Americana sobre Derechos Humanos y adoptar, en un plazo razonable, las medidas necesarias para que los miembros de las comunidades indígenas y étnicas puedan participar en los procesos electorales en forma efectiva y tomando en cuenta sus tradiciones, usos y costumbres, en los términos del párrafo 259 de la presente Sentencia.</w:t>
      </w:r>
    </w:p>
    <w:p w14:paraId="5005896E"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 xml:space="preserve">Otra fuente de particular interés son las recomendaciones que los relatores especiales sobre la situación de los derechos humanos y las libertades fundamentales de los indígenas de la Organización de las Naciones Unidas </w:t>
      </w:r>
      <w:r w:rsidRPr="00CF2780">
        <w:rPr>
          <w:rFonts w:ascii="Arial" w:eastAsia="Times New Roman" w:hAnsi="Arial" w:cs="Arial"/>
          <w:sz w:val="24"/>
          <w:szCs w:val="24"/>
          <w:lang w:val="es-ES" w:eastAsia="es-ES"/>
        </w:rPr>
        <w:lastRenderedPageBreak/>
        <w:t xml:space="preserve">han hecho. En el estudio denominado </w:t>
      </w:r>
      <w:r w:rsidRPr="00CF2780">
        <w:rPr>
          <w:rFonts w:ascii="Arial" w:eastAsia="Times New Roman" w:hAnsi="Arial" w:cs="Arial"/>
          <w:i/>
          <w:sz w:val="24"/>
          <w:szCs w:val="24"/>
          <w:lang w:val="es-ES" w:eastAsia="es-ES"/>
        </w:rPr>
        <w:t>El reconocimiento legal y vigencia de los sistemas normativos indígenas en México,</w:t>
      </w:r>
      <w:r w:rsidRPr="00CF2780">
        <w:rPr>
          <w:rFonts w:ascii="Arial" w:eastAsia="Times New Roman" w:hAnsi="Arial" w:cs="Arial"/>
          <w:sz w:val="24"/>
          <w:szCs w:val="24"/>
          <w:lang w:val="es-ES" w:eastAsia="es-ES"/>
        </w:rPr>
        <w:t xml:space="preserve"> por ejemplo, el anterior relator especial Rodolfo Stavenhagen en uno de sus informes sobre la situación en México señaló:</w:t>
      </w:r>
    </w:p>
    <w:p w14:paraId="7F7612DB"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Los pueblos indígenas reclaman decidida y persistente el reconocimiento de sus culturas y sistemas jurídicos consuetudinarios en la administración de la justicia. Se ha señalado que el no reconocimiento de los usos y leyes consuetudinarias autóctonas es indicio de la existencia de violaciones de derechos humanos que lleva abusos en el sistema de administración de justicia. El no reconocimiento del derecho indígena forma parte de la negación de las identidades, sociedades y culturas indígenas por parte de los Estados coloniales y poscoloniales, y es una de las dificultades con que tropiezan los Estados modernos para reconocer su propia identidad multicultural. En muchos países la concepción monista del derecho nacional impide el debido reconocimiento de las tradiciones jurídicas plurales y conduce a la subordinación de los sistemas jurídicos consuetudinarios a una sola norma jurídica oficial En esas circunstancias, las tradiciones jurídicas no oficiales apenas han sobrevivido o se han hecho clandestinas. Aunque en los tribunales se ofrece seguridad jurídica en el marco de un solo sistema judicial oficial, los pueblos indígenas, cuyo propio concepto de legalidad se ignora, sufren inseguridad jurídica en el sistema oficial y sus prácticas jurídicas suelen ser criminalizadas. En vista de la discriminación que existe en los sistemas judiciales nacionales, no es de extrañar que muchos pueblos indígenas desconfíen de éstos y que reivindiquen un mayor control de los asuntos familiares, civiles y penales. Ello refleja diversas cuestiones relativas al autogobierno y a la libre.</w:t>
      </w:r>
    </w:p>
    <w:p w14:paraId="6FBE49DA"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Por su parte el Mecanismo de Expertos sobre Derechos Indígenas de las Naciones Unidas (17 de mayo de 2010. A/HRC/EMRIP/2010/2), ha señalado en el Informe provisorio del estudio sobre los pueblos indígenas y el derecho a participar en la adopción de decisiones, que:</w:t>
      </w:r>
    </w:p>
    <w:p w14:paraId="7224186B"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 xml:space="preserve">62. Las comunidades indígenas siguen manteniendo y adaptando los procesos e instituciones de decisión de una manera dinámica, como lo demuestra la participación de sectores más amplios de la comunidad, como las mujeres y los líderes juveniles. Cabe señalar, sin embargo, que si bien ciertos cambios como la incorporación de las normas de votación son a veces voluntarios, en muchos casos no obedecen a una elección sino a influencias externas, provenientes, por ejemplo, del Estado y de otros factores. Sin embargo, los pueblos indígenas siguen adaptando sus procesos para encontrar soluciones viables. Por ejemplo, en general los procesos de decisión tradicionales han sido reemplazados en la actualidad por sistemas electorales de selección de los dirigentes tradicionales </w:t>
      </w:r>
      <w:r w:rsidRPr="00CF2780">
        <w:rPr>
          <w:rFonts w:ascii="Arial" w:eastAsia="Times New Roman" w:hAnsi="Arial" w:cs="Arial"/>
          <w:sz w:val="24"/>
          <w:szCs w:val="24"/>
          <w:lang w:val="es-ES" w:eastAsia="es-ES"/>
        </w:rPr>
        <w:lastRenderedPageBreak/>
        <w:t>y de adopción de decisiones internas, prácticas que en algún momento se consideraron culturalmente ajenas a muchos pueblos indígenas. En muchos sentidos, la votación individualiza los procesos de decisión y les pone atajos; a menudo puede ser más limitada que los procedimientos tradicionales en la manera de tratar la disensión y los intereses de las minorías dentro de una comunidad y, por lo tanto, puede no favorecer su cohesión. Con todo, muchas comunidades indígenas han logrado integrar elementos y principios fundamentales de los sistemas tradicionales de adopción de decisiones en los sistemas electorales modernos, manteniendo así aspectos importantes de los procesos de decisión internos en las estructuras electorales más contemporáneas.</w:t>
      </w:r>
    </w:p>
    <w:p w14:paraId="6DC9B42F"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CUARTA CONSIDERACIÓN.- Con lo señalado en las líneas que antecede queda plenamente acreditado que la solicitud de que se respeten nuestros usos y costumbres para la elección de nuestras autoridades municipales y a organizarlas conforme a nuestras prácticas tradicionales en la Comunidad indígena de San Francisco Cherán, tiene plena justificación de conformidad con la Constitución Política de los Estados Unidos Mexicanos, la Constitución del Estado Libre y Soberano de Michoacán de Ocampo, así como con los distintos instrumentos internacionales citados, por lo que en su oportunidad esta H. Autoridad deberá declarar procedente el derecho que hacemos valer mediante este juicio para la protección de los derechos político-electorales del ciudadano.</w:t>
      </w:r>
    </w:p>
    <w:p w14:paraId="6E125DE4"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Aunado a lo anterior, cabe destacar que dentro de nuestra comunidad efectivamente esos usos y costumbres han existido y existen en la actualidad, y a efecto de probarlo se retoma la "OPINIÓN SOBRE LA VIABILIDAD, LEGALIDAD Y CONSTITUCIONALIDAD PARA LA ELECCIÓN POR 'USOS Y COSTUMBRES' DE LA COMUNIDAD PURÉPECHA DE CHERÁN, MICHOACÁN", presentada por el Maestro Orlando Aragón Andrade y que fue solicitada por el Instituto Electoral de Michoacán para acordar sobre la solicitud que se le planteó por parte de quienes integramos la Comunidad indígena de San Francisco Cherán, mismo que obra en el expediente conformado para tal efecto, y que solicitamos sea tomado en cuenta al momento de resolver el presente juicio en virtud de que la opinión fue formulada por un perito en la materia, siendo que el Maestro Orlando Aragón Andrade es licenciado en Derecho por la Facultad de Derecho y Ciencias Sociales de la Universidad Michoacana de San Nicolás de Hidalgo, maestro en Historia de México por el Instituto de Investigaciones Históricas de la misma Universidad y ha concluido el programa de doctorado en Ciencias Antropológicas, en las líneas de investigación de antropología política y jurídica en la Universidad Autónoma Metropolitana - División Iztapalapa-; es además profesor de los programas de Maestría en derecho y de la licenciatura en la misma área en la Facultad de Derecho y Ciencias Sociales de la Universidad Michoacana de San Nicolás de Hidalgo.</w:t>
      </w:r>
    </w:p>
    <w:p w14:paraId="51A8E68B"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lastRenderedPageBreak/>
        <w:t>Dicha opinión en su apartado IV. denominado "CONTINUIDAD DE LOS 'USOS Y COSTUMBRES EN LA COMUNIDAD PURÉPECHA DE CHERÁN" señala:</w:t>
      </w:r>
    </w:p>
    <w:p w14:paraId="57A13FEE"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Los anteriores apartados han sido dedicados a discutir la constitucionalidad de la demanda de la comunidad indígena de Cherán de poder llevar a cabo las siguientes elecciones municipales mediante "usos y costumbres", pero a pesar de que tanto el marco jurídico nacional como internacional aseguran ese derecho a los pueblos indígenas quedarían pendientes todavía al menos dos preguntas ¿la comunidad de Cherán tiene "usos y costumbres de tipo político'? y si es así ¿cuáles son y cómo se expresan?</w:t>
      </w:r>
    </w:p>
    <w:p w14:paraId="601E7AB4"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Este subapartado se dedica precisamente a dar una respuesta parcial a estas dos interrogantes. Parcial porque para contestar ambas cuestiones en su totalidad se requiere de un estudio más amplio y minucioso que debido al tiempo que se dispone para entregar esta opinión no es posible realizar. No obstante, en las líneas que siguen se logra dar cuente de la existencia y continuidad de este tipo de "usos y costumbres"; así como establecer algunas consideraciones primarias y generales sobre su estructura fundamental. Se debe advertir que la información con que es construido este punto ha sido tomada de una serie de entrevistas realizadas el 30 de agosto de este año a 10 comuneros de Cherán que tienen una edad que oscila entre los 70 y 80 años, y que han ocupado diversas responsabilidades dentro de su comunidad.</w:t>
      </w:r>
    </w:p>
    <w:p w14:paraId="0C564527"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Este trabajo no se detiene a estudiar la historia, los datos generales de la comunidad, ni su conocida importancia dentro de la región de la meseta purépecha,</w:t>
      </w:r>
      <w:r w:rsidRPr="00CF2780">
        <w:rPr>
          <w:rFonts w:ascii="Arial" w:eastAsia="Times New Roman" w:hAnsi="Arial" w:cs="Arial"/>
          <w:sz w:val="24"/>
          <w:szCs w:val="24"/>
          <w:vertAlign w:val="superscript"/>
          <w:lang w:val="es-ES" w:eastAsia="es-ES"/>
        </w:rPr>
        <w:footnoteReference w:id="10"/>
      </w:r>
      <w:r w:rsidRPr="00CF2780">
        <w:rPr>
          <w:rFonts w:ascii="Arial" w:eastAsia="Times New Roman" w:hAnsi="Arial" w:cs="Arial"/>
          <w:sz w:val="24"/>
          <w:szCs w:val="24"/>
          <w:lang w:val="es-ES" w:eastAsia="es-ES"/>
        </w:rPr>
        <w:t xml:space="preserve"> más bien, y para los límites y objetivos de esta opinión se irá directo a tratar de responder las dos interrogantes plateadas.</w:t>
      </w:r>
    </w:p>
    <w:p w14:paraId="64A7A303"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Una última precisión que vale la pena hacer, antes de entrar al tema propiamente hablando, es aclarar la connotación del término "usos y costumbres". Comúnmente este concepto se asocia a prácticas culturales repetidas inmemorablemente, que en el caso de los pueblos indígenas encuentran su origen en la época prehispánica. Esta interpretación ha sido utilizada para sostener que las culturas de los pueblos y comunidades indígenas son retrasadas, bárbaras, incivilizadas, entre otros calificativos.</w:t>
      </w:r>
      <w:r w:rsidRPr="00CF2780">
        <w:rPr>
          <w:rFonts w:ascii="Arial" w:eastAsia="Times New Roman" w:hAnsi="Arial" w:cs="Arial"/>
          <w:sz w:val="24"/>
          <w:szCs w:val="24"/>
          <w:vertAlign w:val="superscript"/>
          <w:lang w:val="es-ES" w:eastAsia="es-ES"/>
        </w:rPr>
        <w:footnoteReference w:id="11"/>
      </w:r>
    </w:p>
    <w:p w14:paraId="0E258CA0"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 xml:space="preserve">Obviamente las prácticas culturales y las instituciones de los pueblos indígenas no se corresponden con semejante idea, de </w:t>
      </w:r>
      <w:r w:rsidRPr="00CF2780">
        <w:rPr>
          <w:rFonts w:ascii="Arial" w:eastAsia="Times New Roman" w:hAnsi="Arial" w:cs="Arial"/>
          <w:sz w:val="24"/>
          <w:szCs w:val="24"/>
          <w:lang w:val="es-ES" w:eastAsia="es-ES"/>
        </w:rPr>
        <w:lastRenderedPageBreak/>
        <w:t>hecho por esta razón el término de "usos y costumbres" ha sido remplazado en los documentos jurídicos nacionales e internacionales más recientes por el de sistemas normativos, sistemas jurídicos, instituciones propias, etcétera. Por el contrario, a lo que se suele referir como "usos y costumbres" son prácticas e instituciones dinámicas en constante adaptación a los desafíos y a la interacción que las comunidades y pueblos indígenas sostienen con el Estado Mexicano.</w:t>
      </w:r>
      <w:r w:rsidRPr="00CF2780">
        <w:rPr>
          <w:rFonts w:ascii="Arial" w:eastAsia="Times New Roman" w:hAnsi="Arial" w:cs="Arial"/>
          <w:sz w:val="24"/>
          <w:szCs w:val="24"/>
          <w:vertAlign w:val="superscript"/>
          <w:lang w:val="es-ES" w:eastAsia="es-ES"/>
        </w:rPr>
        <w:footnoteReference w:id="12"/>
      </w:r>
      <w:r w:rsidRPr="00CF2780">
        <w:rPr>
          <w:rFonts w:ascii="Arial" w:eastAsia="Times New Roman" w:hAnsi="Arial" w:cs="Arial"/>
          <w:sz w:val="24"/>
          <w:szCs w:val="24"/>
          <w:lang w:val="es-ES" w:eastAsia="es-ES"/>
        </w:rPr>
        <w:t xml:space="preserve"> A partir de la información recabada en las entrevistas se pueden trazar tres grandes épocas de estos "usos y costumbres" en Cherán. La primera iría de la revolución hasta la aparición de otros partidos políticos capaces de rivalizar con el Partido Revolucionario Institucional (PRI), alrededor de 1988. La segunda partiría de ese momento y llegaría hasta la aparición del actual movimiento de Cherán en abril de este año. El tercer periodo es precisamente el que corre a partir de la aparición del movimiento y de la expulsión de autoridad municipal.</w:t>
      </w:r>
    </w:p>
    <w:p w14:paraId="51908421" w14:textId="77777777" w:rsidR="00AD59FF" w:rsidRPr="00CF2780" w:rsidRDefault="00AD59FF" w:rsidP="00AD59FF">
      <w:pPr>
        <w:spacing w:after="0" w:line="240" w:lineRule="auto"/>
        <w:ind w:left="1134" w:right="335"/>
        <w:jc w:val="both"/>
        <w:rPr>
          <w:rFonts w:ascii="Arial" w:eastAsia="Times New Roman" w:hAnsi="Arial" w:cs="Arial"/>
          <w:i/>
          <w:sz w:val="24"/>
          <w:szCs w:val="24"/>
          <w:lang w:val="es-ES" w:eastAsia="es-ES"/>
        </w:rPr>
      </w:pPr>
      <w:r w:rsidRPr="00CF2780">
        <w:rPr>
          <w:rFonts w:ascii="Arial" w:eastAsia="Times New Roman" w:hAnsi="Arial" w:cs="Arial"/>
          <w:i/>
          <w:sz w:val="24"/>
          <w:szCs w:val="24"/>
          <w:lang w:val="es-ES" w:eastAsia="es-ES"/>
        </w:rPr>
        <w:t>A) Posrevolución y partido único</w:t>
      </w:r>
    </w:p>
    <w:p w14:paraId="3029D40F"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En esta primera etapa dominaron tres tipos de autoridades. La autoridad civil compuesta por el presidente municipal y la ronda de comuneros por un lado, y la autoridad comunal o agraria por el otro. Según los testimonios recabados la autoridad en la comunidad se rotaba diariamente, en el día el presidente municipal era la máxima autoridad y en la noche la ronda de los comuneros de Cherán.</w:t>
      </w:r>
    </w:p>
    <w:p w14:paraId="4FB916C5"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La ronda era conformada por comuneros de los cuatro barrios que componen la comunidad de Cherán. Esta ronda tenía como finalidad la de vigilar el orden y la seguridad de la comunidad durante la noche; según varios testimonios, que de hecho participaron como "ronderos", el presidente municipal les hacia entrega todas la noches de las llaves del edificio donde tenía sede la autoridad civil y la ronda cada mañana devolvía las llaves al presidente municipal.</w:t>
      </w:r>
    </w:p>
    <w:p w14:paraId="0AAB5CCF"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A cada barrio le correspondía formar la ronda que cuidaría a la comunidad durante una semana y así se rotaban esta obligación. Esta tarea era parte del trabajo a favor de la comunidad que los comuneros tenían que hacer, por lo que no era una labor remunerada, pero según los testimonios la gente de Cherán luego les cooperaba para un cigarro o les ofrecía algo de comer.</w:t>
      </w:r>
    </w:p>
    <w:p w14:paraId="6B14317C"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 xml:space="preserve">La ronda según los testimonios en realidad era la autoridad en la comunidad en la noche, los comuneros entrevistados incluso refirieron casos en los que sacaron al presidente municipal de la </w:t>
      </w:r>
      <w:r w:rsidRPr="00CF2780">
        <w:rPr>
          <w:rFonts w:ascii="Arial" w:eastAsia="Times New Roman" w:hAnsi="Arial" w:cs="Arial"/>
          <w:sz w:val="24"/>
          <w:szCs w:val="24"/>
          <w:lang w:val="es-ES" w:eastAsia="es-ES"/>
        </w:rPr>
        <w:lastRenderedPageBreak/>
        <w:t>cantina y lo llevaron a la cárcel de la comunidad por estar alterando el orden en la noche.</w:t>
      </w:r>
    </w:p>
    <w:p w14:paraId="00BB5C69"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La autoridad municipal fue nombrada durante mucho tiempo en una asamblea general que reunía a los comuneros de los cuatro barrios. Esta autoridad civil además era la encargada de nombrar comisiones para atender tareas urgentes o importantes para la comunidad, como por ejemplo la comisión del agua, de la cosecha, de los caminos, para el cambio de representantes, o para cualquier asunto que fuera a tratarse en la asamblea general. Estas comisiones también formaban parte del trabajo comunitario, por lo que tampoco era una actividad que se remuneraba.</w:t>
      </w:r>
    </w:p>
    <w:p w14:paraId="2ED4CD16"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Durante mucho tiempo en las asambleas sólo participaban los comuneros registrados en el censo, es decir, hombres adultos. De hecho, según los testimonios recabados antes para ser autoridad comunal tenía que ser parte de los comuneros censados. Según las fuentes consultadas durante mucho tiempo la autoridad comunal fue "más fuerte" que la civil porque era la que expedía incluso los permisos para la explotación de los recursos naturales de la comunidad y no el presidente municipal como después se empezó a hacer.</w:t>
      </w:r>
    </w:p>
    <w:p w14:paraId="34CC8D86"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La posibilidad de la vigencia de este sistema híbrido que combinaba formas organización de la comunidad con las instituciones estatales fue posible durante mucho tiempo por la hegemonía que ejerció a lo largo de los anos el PRI y que de alguna manera era permisible con estas formas de organización comunitaria.</w:t>
      </w:r>
    </w:p>
    <w:p w14:paraId="265E2C6E" w14:textId="77777777" w:rsidR="00AD59FF" w:rsidRPr="00CF2780" w:rsidRDefault="00AD59FF" w:rsidP="00AD59FF">
      <w:pPr>
        <w:spacing w:after="0" w:line="240" w:lineRule="auto"/>
        <w:ind w:left="1134" w:right="902"/>
        <w:jc w:val="both"/>
        <w:rPr>
          <w:rFonts w:ascii="Arial" w:eastAsia="Times New Roman" w:hAnsi="Arial" w:cs="Arial"/>
          <w:i/>
          <w:sz w:val="24"/>
          <w:szCs w:val="24"/>
          <w:lang w:val="es-ES" w:eastAsia="es-ES"/>
        </w:rPr>
      </w:pPr>
      <w:r w:rsidRPr="00CF2780">
        <w:rPr>
          <w:rFonts w:ascii="Arial" w:eastAsia="Times New Roman" w:hAnsi="Arial" w:cs="Arial"/>
          <w:i/>
          <w:sz w:val="24"/>
          <w:szCs w:val="24"/>
          <w:lang w:val="es-ES" w:eastAsia="es-ES"/>
        </w:rPr>
        <w:t>B) La competencia entre partidos políticos</w:t>
      </w:r>
    </w:p>
    <w:p w14:paraId="05DB3285"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El esquema anterior se fue resquebrajando y transformándose paulatinamente. Por ejemplo, la participación de las mujeres y jóvenes en las asambleas generales fue incrementándose poco a poco, aunque tuvo como detonante fundamental el clientelismo y la competencia por votantes de los partidos políticos. La ronda de comuneros desapareció, a su vez, a mediados de la década de los setenta del siglo XX durante una breve intervención militar en la comunidad.</w:t>
      </w:r>
    </w:p>
    <w:p w14:paraId="452DDD23"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No obstante, la anterior forma de organización socio-política fue modificada definitivamente con la entrada a la comunidad de los nuevos partidos políticos, principalmente del Partido de la Revolución Democrática (PRD), que dividió a la comunidad, a los comuneros y a las familias en dos grandes bandos, los militantes del PRI y los del PRD.</w:t>
      </w:r>
    </w:p>
    <w:p w14:paraId="0B896E7C"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 xml:space="preserve">A partir de ese momento, según los testimonios, las instituciones comunales se fueron paulatinamente debilitando. Por ejemplo, empezó a haber injerencia del presidente municipal en la designación del representante de bienes comunales y una subordinación de </w:t>
      </w:r>
      <w:r w:rsidRPr="00CF2780">
        <w:rPr>
          <w:rFonts w:ascii="Arial" w:eastAsia="Times New Roman" w:hAnsi="Arial" w:cs="Arial"/>
          <w:i/>
          <w:sz w:val="24"/>
          <w:szCs w:val="24"/>
          <w:lang w:val="es-ES" w:eastAsia="es-ES"/>
        </w:rPr>
        <w:t>facto</w:t>
      </w:r>
      <w:r w:rsidRPr="00CF2780">
        <w:rPr>
          <w:rFonts w:ascii="Arial" w:eastAsia="Times New Roman" w:hAnsi="Arial" w:cs="Arial"/>
          <w:sz w:val="24"/>
          <w:szCs w:val="24"/>
          <w:lang w:val="es-ES" w:eastAsia="es-ES"/>
        </w:rPr>
        <w:t xml:space="preserve"> de esta autoridad a la civil. Sin embargo, </w:t>
      </w:r>
      <w:r w:rsidRPr="00CF2780">
        <w:rPr>
          <w:rFonts w:ascii="Arial" w:eastAsia="Times New Roman" w:hAnsi="Arial" w:cs="Arial"/>
          <w:sz w:val="24"/>
          <w:szCs w:val="24"/>
          <w:lang w:val="es-ES" w:eastAsia="es-ES"/>
        </w:rPr>
        <w:lastRenderedPageBreak/>
        <w:t>los partidos políticos no pudieron ignorar del todo las lógicas y estructuras de organización social de la comunidad.</w:t>
      </w:r>
    </w:p>
    <w:p w14:paraId="32602FEA"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En efecto, antes del registro oficial de candidatos a la presidencia municipal de Cherán los dos partidos importantes en la comunidad, el PRI y el PRD, realizaban "una elección" en cada uno de los cuatros barrios de la comunidad. El procedimiento consistía en que cada uno de estos dos partidos seleccionaba un precandidato por cada uno de los barrios de Cherán. Posteriormente con cuatro precandidatos cada uno de los partidos realizaba una nueva ronda de asambleas, obviamente por separado, en la cual se votaban a cada uno de los precandidatos en los cuatro barrios y así se elegía al candidato del PRI y del PRD. Una vez superado este procedimiento interno de la comunidad se seguía el camino señalado por las leyes electorales del Estado.</w:t>
      </w:r>
    </w:p>
    <w:p w14:paraId="2F1AE592" w14:textId="77777777" w:rsidR="00AD59FF" w:rsidRPr="00CF2780" w:rsidRDefault="00AD59FF" w:rsidP="00AD59FF">
      <w:pPr>
        <w:spacing w:after="0" w:line="240" w:lineRule="auto"/>
        <w:ind w:left="1134" w:right="902"/>
        <w:jc w:val="both"/>
        <w:rPr>
          <w:rFonts w:ascii="Arial" w:eastAsia="Times New Roman" w:hAnsi="Arial" w:cs="Arial"/>
          <w:i/>
          <w:sz w:val="24"/>
          <w:szCs w:val="24"/>
          <w:lang w:val="es-ES" w:eastAsia="es-ES"/>
        </w:rPr>
      </w:pPr>
      <w:r w:rsidRPr="00CF2780">
        <w:rPr>
          <w:rFonts w:ascii="Arial" w:eastAsia="Times New Roman" w:hAnsi="Arial" w:cs="Arial"/>
          <w:i/>
          <w:sz w:val="24"/>
          <w:szCs w:val="24"/>
          <w:lang w:val="es-ES" w:eastAsia="es-ES"/>
        </w:rPr>
        <w:t>C) El movimiento y el regreso a los "usos y costumbres"</w:t>
      </w:r>
    </w:p>
    <w:p w14:paraId="35E5E968"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 xml:space="preserve">Este segundo periodo llegó a su fin el 15 abril de 2011 con el enfrentamiento que tuvieron comuneros y comuneras de Cherán con "talamontes" e integrantes del crimen organizado. A partir de ahí comenzó un movimiento iniciado en el barrio tercero, donde se dieron los enfrentamientos, que comenzó con la instalación de fogatas por los distintos barrios para cuidar a la comunidad de nuevas incursiones de miembros de la delincuencia organizada, concluyó con la expulsión y disolución de la autoridad y policía municipal; </w:t>
      </w:r>
      <w:r w:rsidRPr="00CF2780">
        <w:rPr>
          <w:rFonts w:ascii="Arial" w:eastAsia="Times New Roman" w:hAnsi="Arial" w:cs="Arial"/>
          <w:sz w:val="24"/>
          <w:szCs w:val="24"/>
          <w:vertAlign w:val="superscript"/>
          <w:lang w:val="es-ES" w:eastAsia="es-ES"/>
        </w:rPr>
        <w:footnoteReference w:id="13"/>
      </w:r>
      <w:r w:rsidRPr="00CF2780">
        <w:rPr>
          <w:rFonts w:ascii="Arial" w:eastAsia="Times New Roman" w:hAnsi="Arial" w:cs="Arial"/>
          <w:sz w:val="24"/>
          <w:szCs w:val="24"/>
          <w:lang w:val="es-ES" w:eastAsia="es-ES"/>
        </w:rPr>
        <w:t xml:space="preserve"> así como la conformación de un nuevo sistema de gobierno al interior de la comunidad.</w:t>
      </w:r>
    </w:p>
    <w:p w14:paraId="50380CAD"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Esta nueva estructura tiene como célula fundamental las fogatas, posteriormente las asambleas de barrios y las asambleas generales en donde se discuten y toman la mayoría de las decisiones de la comunidad a partir de esa fecha. A través de estas asambleas se han nombrado hasta la fecha 15 comisiones integradas por representantes de todos los barrios de la comunidad. La representación barrial va de 4 a 1 integrante por barrio dependiendo de la importancia y la temporalidad de la comisión.</w:t>
      </w:r>
    </w:p>
    <w:p w14:paraId="114B3725"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 xml:space="preserve">Las comisiones son; (1) la general; (2) la de fogatas; (3) de honor y justicia; (4) de prensa y propaganda; (5) Alimentos; (6) Finanzas; (7) Educación y Cultura; (8) Forestal; (9) del Agua; (10) de Limpieza; (11) de Jóvenes; (12) de Agricultura y Ganadería; (13) de Comercio; (14) de Identidad, y la (15) de Salud. Al igual que antaño estas comisiones formadas no son remuneradas, son colectivas y se consideran parte de los </w:t>
      </w:r>
      <w:r w:rsidRPr="00CF2780">
        <w:rPr>
          <w:rFonts w:ascii="Arial" w:eastAsia="Times New Roman" w:hAnsi="Arial" w:cs="Arial"/>
          <w:sz w:val="24"/>
          <w:szCs w:val="24"/>
          <w:lang w:val="es-ES" w:eastAsia="es-ES"/>
        </w:rPr>
        <w:lastRenderedPageBreak/>
        <w:t>servicios que los comuneros y comuneras que las integran deben rendir a la comunidad. Además se ha reagrupado una ronda de comuneros para cuidar el orden y la seguridad de la comunidad, también por acuerdo de asamblea.</w:t>
      </w:r>
    </w:p>
    <w:p w14:paraId="0D8F484F"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Igualmente, dicho perito emitió las siguientes conclusiones e hizo las recomendaciones que consideró pertinentes en los siguientes términos:</w:t>
      </w:r>
    </w:p>
    <w:p w14:paraId="4CD5A536"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V. CONCLUSIONES</w:t>
      </w:r>
    </w:p>
    <w:p w14:paraId="3B2FF065"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Del análisis hecho en las líneas precedentes se pueden llegar al menos a cinco claras conclusiones, que a continuación se enumeran:</w:t>
      </w:r>
    </w:p>
    <w:p w14:paraId="39261C1F"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1. La demanda de la comunidad indígena de Cherán sobre la necesidad de llevar a cabo la elección mediante "usos y costumbres" no está fuera del derecho; por el contrario está en consonancia con lo dispuesto por la norma constitucional, particularmente con el artículo 2°.</w:t>
      </w:r>
    </w:p>
    <w:p w14:paraId="0611AB68"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2. Las normas internacionales de derechos humanos, que según lo dispuesto por el artículo 1o constitucional son la ley suprema en el Estado Mexicano, respaldan y amplían el derecho que tienen los pueblos y comunidades indígenas a elegir sus representantes y autoridades mediante procedimientos propios ("usos y costumbres"); pero no sólo eso también garantizan el ámbito sustancial de la organización social, es decir, el respeto a sus instituciones políticas y jurídicas.</w:t>
      </w:r>
    </w:p>
    <w:p w14:paraId="6EE95599"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3. El criterio que han seguido las instancias de justicia internacional en materia de derechos humanos, como la Corte Interamericana de Derechos Humanos, ha sido en el sentido de que los Estados miembros del sistema interamericano tienen la obligación de garantizar, a través de diferentes medidas como la reforma de sus leyes, formas de participación política a los pueblos y comunidades indígenas que respeten sus prácticas culturales y sus formas de organización política.</w:t>
      </w:r>
    </w:p>
    <w:p w14:paraId="0885BDDB"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4. Las limitantes a este derecho político de los pueblos indígenas sólo pueden encontrarse al nivel de los derechos fundamentales y de los derechos humanos internacionalmente reconocidos, y no por una ley secundaria como el código electoral del Estado de Michoacán.</w:t>
      </w:r>
    </w:p>
    <w:p w14:paraId="0DD123FF"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5. La comunidad indígena de Cherán cuenta con "usos y costumbres" para prácticas y organización política que han ido adaptándose según las necesidades de la comunidad y de sus interacciones con el Estado. No obstante lo anterior, también existe una clara línea de continuidad histórica en las formas de organización que hoy funcionan en la comunidad.</w:t>
      </w:r>
    </w:p>
    <w:p w14:paraId="2B5EB246"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VI. RECOMENDACIONES</w:t>
      </w:r>
    </w:p>
    <w:p w14:paraId="6AE9E997"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A partir de las anteriores conclusiones se realizan las siguientes recomendaciones:</w:t>
      </w:r>
    </w:p>
    <w:p w14:paraId="2AB32E9B"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lastRenderedPageBreak/>
        <w:t>1. La demanda de la comunidad indígena de Cherán debe ser atendida en sentido positivo por el Instituto Electoral de Michoacán.</w:t>
      </w:r>
    </w:p>
    <w:p w14:paraId="370FC7C0"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2. Se debe realizar un estudio antropológico más profundo que permita facilitar la creación de un procedimiento que pueda articular las prácticas y formas de organización política de la comunidad indígena de Cherán con la normatividad estatal de los procedimientos políticos-electorales. Sin embargo, y por encima de lo anterior se debe instalar una mesa de consulta con las autoridades representativas de la comunidad de Cherán para que, de acuerdo al derecho a la consulta que las comunidades y pueblos indígenas tienen garantizados a nivel nacional e internacional, puedan construir consensadamente con el Estado el procedimiento que consideren que mejor se adecúa a sus formas de organización social.</w:t>
      </w:r>
    </w:p>
    <w:p w14:paraId="736EE99D" w14:textId="77777777" w:rsidR="00AD59FF" w:rsidRPr="00CF2780" w:rsidRDefault="00AD59FF" w:rsidP="00AD59FF">
      <w:pPr>
        <w:spacing w:after="0" w:line="240" w:lineRule="auto"/>
        <w:ind w:left="1134" w:right="902"/>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3. El Instituto Electoral de Michoacán en el ámbito de sus atribuciones debe de promover las modificaciones legislativas pertinentes para que en la normatividad electoral de la entidad se incluyan disposiciones que garanticen en adelante este derecho a los pueblos y comunidades indígenas de Michoacán.</w:t>
      </w:r>
    </w:p>
    <w:p w14:paraId="01051636"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De esta opinión se desprende claramente que nuestra comunidad indígena cumple con las condiciones necesarias, según la legislación aplicable al caso, para que sea reconocido y respetado nuestro derecho de elegir mediante nuestros usos y costumbres a nuestras autoridades municipales y a organizarlas conforme a nuestras prácticas tradicionales.</w:t>
      </w:r>
    </w:p>
    <w:p w14:paraId="3B31D7EE"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Por todo lo anteriormente expuesto acudimos ante esta H. Autoridad para impugnar el "Acuerdo del Consejo General del Instituto Electoral de Michoacán por el que se da respuesta a la petición de la Comunidad Indígena de Cherán para celebrar elecciones bajo sus usos y costumbres", de fecha 09 nueve de septiembre del 2011, con número de acuerdo CG-38/2011, emitido por el Instituto Electoral de Michoacán, y solicitamos se nos reconozca en cuanto integrantes de la Comunidad Indígena de San Francisco Cherán, en términos de los artículos 1o y 2o constitucional así como los demás preceptos legales nacionales e internacionales aludidos en el presente escrito, nuestro derecho a elegir representantes municipales conforme a los usos y costumbres de nuestra comunidad indígena. De igual forma solicitamos nos sea suplida la deficiencia de la queja en los términos de la siguiente jurisprudencia:</w:t>
      </w:r>
    </w:p>
    <w:p w14:paraId="023595CA"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Joel Cruz Chávez y otros vs.</w:t>
      </w:r>
    </w:p>
    <w:p w14:paraId="5CC01A88" w14:textId="77777777" w:rsidR="00AD59FF" w:rsidRPr="00CF2780" w:rsidRDefault="00AD59FF" w:rsidP="00AD59FF">
      <w:pPr>
        <w:spacing w:after="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 xml:space="preserve">Quincuagésima Novena Legislatura del Estado de Oaxaca y otras Jurisprudencia 13/2008. </w:t>
      </w:r>
      <w:r w:rsidRPr="00CF2780">
        <w:rPr>
          <w:rFonts w:ascii="Arial" w:eastAsia="Times New Roman" w:hAnsi="Arial" w:cs="Arial"/>
          <w:i/>
          <w:sz w:val="24"/>
          <w:szCs w:val="24"/>
          <w:lang w:val="es-ES" w:eastAsia="es-ES"/>
        </w:rPr>
        <w:t xml:space="preserve">COMUNIDADES INDÍGENAS. SUPLENCIA DE LA QUEJA EN LOS JUICIOS ELECTORALES PROMOVIDOS POR SUS INTEGRANTES.- </w:t>
      </w:r>
      <w:r w:rsidRPr="00CF2780">
        <w:rPr>
          <w:rFonts w:ascii="Arial" w:eastAsia="Times New Roman" w:hAnsi="Arial" w:cs="Arial"/>
          <w:sz w:val="24"/>
          <w:szCs w:val="24"/>
          <w:lang w:val="es-ES" w:eastAsia="es-ES"/>
        </w:rPr>
        <w:t>(Se transcribe.)</w:t>
      </w:r>
    </w:p>
    <w:p w14:paraId="50C6BD6E" w14:textId="77777777" w:rsidR="00AD59FF" w:rsidRPr="00CF2780" w:rsidRDefault="00AD59FF" w:rsidP="00AD59FF">
      <w:pPr>
        <w:spacing w:before="120" w:after="120" w:line="240" w:lineRule="auto"/>
        <w:ind w:left="567" w:right="335"/>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 xml:space="preserve">Además de lo anterior, no debe pasar desapercibido que en todo caso, si tal y como el órgano responsable lo señala que el motivo para que no se me asignaran los recursos públicos estriba por los pésimos resultados </w:t>
      </w:r>
      <w:r w:rsidRPr="00CF2780">
        <w:rPr>
          <w:rFonts w:ascii="Arial" w:eastAsia="Times New Roman" w:hAnsi="Arial" w:cs="Arial"/>
          <w:sz w:val="24"/>
          <w:szCs w:val="24"/>
          <w:lang w:val="es-ES" w:eastAsia="es-ES"/>
        </w:rPr>
        <w:lastRenderedPageBreak/>
        <w:t>electorales en pasados procesos electorales, así como, en la falta de registro de candidatos a cargos de elección popular local; estos argumentos no pueden servirle de sustento, ya que en todo caso el propio Comité Ejecutivo Nacional ha sido corresponsable de esos actos, si se toma en cuenta que de acuerdo al artículo 16, numeral 3, incisos c), g), k), tiene facultades para emitir de manera directa las convocatorias para las Asambleas Estatales y Distritales, así como las Convenciones Estatales y Distritales; coordinar permanentemente las actividades de los comités directivos de las entidades federativas y registrar en casos especiales las candidaturas a cargos de elección popular de carácter local ante los organismos electorales estatales, distritales y municipales, entre otras.</w:t>
      </w:r>
    </w:p>
    <w:p w14:paraId="735E16A0" w14:textId="77777777" w:rsidR="00AD59FF" w:rsidRPr="00CF2780" w:rsidRDefault="00AD59FF" w:rsidP="00AD59FF">
      <w:pPr>
        <w:spacing w:before="120" w:after="120" w:line="240" w:lineRule="auto"/>
        <w:ind w:left="567" w:right="335"/>
        <w:jc w:val="both"/>
        <w:rPr>
          <w:rFonts w:ascii="Arial" w:eastAsia="Times New Roman" w:hAnsi="Arial" w:cs="Arial"/>
          <w:sz w:val="28"/>
          <w:szCs w:val="28"/>
          <w:lang w:val="es-ES" w:eastAsia="es-ES"/>
        </w:rPr>
      </w:pPr>
      <w:r w:rsidRPr="00CF2780">
        <w:rPr>
          <w:rFonts w:ascii="Arial" w:eastAsia="Times New Roman" w:hAnsi="Arial" w:cs="Arial"/>
          <w:sz w:val="24"/>
          <w:szCs w:val="24"/>
          <w:lang w:val="es-ES" w:eastAsia="es-ES"/>
        </w:rPr>
        <w:t>Por tanto, se repite no existen motivos legales para no otorgarse al suscrito la prerrogativa pública mencionada y por tanto, la negativa carece de una debida fundamentación y motivación repercutiendo en violación al principio de legalidad en mi perjuicio, así como, a mis derechos político electorales que como ciudadano y militante me confieren tanto la Carta Fundamental, como los documentos básicos de Convergencia”.</w:t>
      </w:r>
    </w:p>
    <w:p w14:paraId="7B96E704"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 xml:space="preserve">SEXTO. Litis. </w:t>
      </w:r>
      <w:r w:rsidRPr="00CF2780">
        <w:rPr>
          <w:rFonts w:ascii="Arial" w:eastAsia="Times New Roman" w:hAnsi="Arial" w:cs="Arial"/>
          <w:sz w:val="28"/>
          <w:szCs w:val="28"/>
          <w:lang w:val="es-ES" w:eastAsia="es-ES"/>
        </w:rPr>
        <w:t>Del análisis de la demanda se advierte que todos los agravios de los promoventes se encuentran dirigidos a controvertir, en esencia, que la determinación emitida por el Consejo General del Instituto Electoral de Michoacán conculca sus derechos político-electorales, pues en tanto integrantes de una comunidad o pueblo indígena tienen derecho a elegir a sus autoridades o representantes, conforme a sus propias normas, procedimientos y prácticas tradicionales.</w:t>
      </w:r>
    </w:p>
    <w:p w14:paraId="67297E0F"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3DD5FE29"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Al respecto, aducen que el Instituto Electoral de Michoacán se limitó a declararse incompetente, sin generar ninguna acción tendente a que los integrantes de la comunidad indígena de Cherán lograran un acceso efectivo a la justicia del Estado.</w:t>
      </w:r>
    </w:p>
    <w:p w14:paraId="55843645" w14:textId="77777777" w:rsidR="00AD59FF" w:rsidRPr="00CF2780" w:rsidRDefault="00AD59FF" w:rsidP="00AD59FF">
      <w:pPr>
        <w:spacing w:after="0" w:line="240" w:lineRule="auto"/>
        <w:jc w:val="both"/>
        <w:rPr>
          <w:rFonts w:ascii="Arial" w:eastAsia="Times New Roman" w:hAnsi="Arial" w:cs="Arial"/>
          <w:b/>
          <w:bCs/>
          <w:sz w:val="28"/>
          <w:szCs w:val="28"/>
          <w:lang w:val="es-ES" w:eastAsia="es-ES"/>
        </w:rPr>
      </w:pPr>
    </w:p>
    <w:p w14:paraId="4C22EAEE"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Lo anterior, sobre la base de que el acceso a la justicia del Estado por parte de los pueblos indígenas debe ser real y material, lo que se traduce en la obligación de las autoridades de dar una solución de fondo </w:t>
      </w:r>
      <w:r w:rsidRPr="00CF2780">
        <w:rPr>
          <w:rFonts w:ascii="Arial" w:eastAsia="Times New Roman" w:hAnsi="Arial" w:cs="Arial"/>
          <w:sz w:val="28"/>
          <w:szCs w:val="28"/>
          <w:lang w:val="es-ES" w:eastAsia="es-ES"/>
        </w:rPr>
        <w:lastRenderedPageBreak/>
        <w:t>a la problemática que se le presenta, tomando como punto de partida, que el texto constitucional reconoce la libre determinación de los pueblos indígenas y también garantiza el derecho que tienen éstos para elegir a sus autoridades de acuerdo a sus procedimientos y prácticas tradicionales.</w:t>
      </w:r>
    </w:p>
    <w:p w14:paraId="729B7B95"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51E0FC23"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Por su parte, al emitir el acto impugnado, el Consejo General del Instituto Electoral de Michoacán estimó que la normatividad estatal no establece algún procedimiento y tampoco otorga atribuciones a dicho órgano para resolver sobre la celebración de elecciones bajo el sistema de usos y costumbres. </w:t>
      </w:r>
    </w:p>
    <w:p w14:paraId="3F35B20B"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09FC15FC"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En esas condiciones la litis en el presente asunto se constriñe a determinar si la comunidad indígena Cherán tiene derecho a elegir a sus autoridades o representantes conforme a sus usos y costumbres, a pesar de la inexistencia de un procedimiento en la normatividad local para garantizar el ejercicio de ese derecho.</w:t>
      </w:r>
    </w:p>
    <w:p w14:paraId="26E40AB0"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157AC6E0"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b/>
          <w:sz w:val="28"/>
          <w:szCs w:val="24"/>
          <w:lang w:val="es-ES" w:eastAsia="es-ES"/>
        </w:rPr>
        <w:t>SÉPTIMO.</w:t>
      </w:r>
      <w:r w:rsidRPr="00CF2780">
        <w:rPr>
          <w:rFonts w:ascii="Arial" w:eastAsia="Times New Roman" w:hAnsi="Arial" w:cs="Arial"/>
          <w:sz w:val="28"/>
          <w:szCs w:val="24"/>
          <w:lang w:val="es-ES" w:eastAsia="es-ES"/>
        </w:rPr>
        <w:t xml:space="preserve"> </w:t>
      </w:r>
      <w:r w:rsidRPr="00CF2780">
        <w:rPr>
          <w:rFonts w:ascii="Arial" w:eastAsia="Times New Roman" w:hAnsi="Arial" w:cs="Arial"/>
          <w:b/>
          <w:sz w:val="28"/>
          <w:szCs w:val="28"/>
          <w:lang w:val="es-ES" w:eastAsia="es-ES"/>
        </w:rPr>
        <w:t>Método.</w:t>
      </w:r>
      <w:r w:rsidRPr="00CF2780">
        <w:rPr>
          <w:rFonts w:ascii="Arial" w:eastAsia="Times New Roman" w:hAnsi="Arial" w:cs="Arial"/>
          <w:sz w:val="28"/>
          <w:szCs w:val="28"/>
          <w:lang w:val="es-ES" w:eastAsia="es-ES"/>
        </w:rPr>
        <w:t xml:space="preserve"> Los agravios que expresa los promoventes son del tenor siguiente:</w:t>
      </w:r>
    </w:p>
    <w:p w14:paraId="222C370D"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15489FA1"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a) Conculcación a la Constitución Política de los Estados Unidos Mexicanos:</w:t>
      </w:r>
      <w:r w:rsidRPr="00CF2780">
        <w:rPr>
          <w:rFonts w:ascii="Arial" w:eastAsia="Times New Roman" w:hAnsi="Arial" w:cs="Arial"/>
          <w:sz w:val="28"/>
          <w:szCs w:val="28"/>
          <w:lang w:val="es-ES" w:eastAsia="es-ES"/>
        </w:rPr>
        <w:t xml:space="preserve"> los promoventes estiman que la resolución impugnada conculca los artículos 1 y 2, fracción VIII, de la Constitución Política de los Estados Unidos Mexicanos, en virtud de que el Instituto se limita a declararse incompetente, sin generar alguna acción tendiente </w:t>
      </w:r>
      <w:r w:rsidRPr="00CF2780">
        <w:rPr>
          <w:rFonts w:ascii="Arial" w:eastAsia="Times New Roman" w:hAnsi="Arial" w:cs="Arial"/>
          <w:sz w:val="28"/>
          <w:szCs w:val="28"/>
          <w:lang w:val="es-ES" w:eastAsia="es-ES"/>
        </w:rPr>
        <w:lastRenderedPageBreak/>
        <w:t>para que la comunidad pueda celebrar su elección mediante el sistema de usos y costumbres y con ello se logre un acceso efectivo a la justicia.</w:t>
      </w:r>
    </w:p>
    <w:p w14:paraId="1E2095EB"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ab/>
      </w:r>
    </w:p>
    <w:p w14:paraId="63241536"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Aducen que como comunidad indígena tienen derecho a decidir mediante usos y costumbres la forma como se designa a las autoridades municipales y a organizarlas conforme a sus prácticas tradicionales.</w:t>
      </w:r>
    </w:p>
    <w:p w14:paraId="7A4EA556"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3629C396"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7B412855"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Indican que el artículo 1º, párrafo tercero, de la Constitución Política Federal, cualquier autoridad, incluido el Instituto Electoral de Michoacán está obligado a promover, respetar, proteger y garantizar los derechos humanos y, en especial, el contenido en el artículo 2, apartado A, fracciones I y II, en lo que se refiere a decidir las formas internas de convivencia y organización política, social y cultural, así como a elegir autoridades o representantes para el ejercicio de las formas de gobierno interno, por lo cual la petición al instituto está completamente justificada.</w:t>
      </w:r>
    </w:p>
    <w:p w14:paraId="0DB532BA"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7B67C822"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Conculcación a la constitución local: señalan el Instituto local se apartó de lo establecido en el artículo 3 de la Constitución de Michoacán, toda vez que no resolvió el fondo de la petición y les privó de reconocerles el derecho de elegir a sus autoridades municipales con base en los usos y costumbres establecidos en la comunidad.</w:t>
      </w:r>
    </w:p>
    <w:p w14:paraId="5775B3E4"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59830F43"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b) Conculcación a instrumentos internacionales:</w:t>
      </w:r>
      <w:r w:rsidRPr="00CF2780">
        <w:rPr>
          <w:rFonts w:ascii="Arial" w:eastAsia="Times New Roman" w:hAnsi="Arial" w:cs="Arial"/>
          <w:sz w:val="28"/>
          <w:szCs w:val="28"/>
          <w:lang w:val="es-ES" w:eastAsia="es-ES"/>
        </w:rPr>
        <w:t xml:space="preserve"> no se atendió a diversos instrumentos internacionales como la Convención de Viena, el Pacto Internacional de los Derechos Políticos y Civiles, el Convenio </w:t>
      </w:r>
      <w:r w:rsidRPr="00CF2780">
        <w:rPr>
          <w:rFonts w:ascii="Arial" w:eastAsia="Times New Roman" w:hAnsi="Arial" w:cs="Arial"/>
          <w:sz w:val="28"/>
          <w:szCs w:val="28"/>
          <w:lang w:val="es-ES" w:eastAsia="es-ES"/>
        </w:rPr>
        <w:lastRenderedPageBreak/>
        <w:t>169 sobre Pueblos Indígenas y Tribales de la OIT, entre otros, en los que se protege el  derecho a la autodeterminación de los pueblos. Citan el caso Yatama contra el Estado Nicaragüense, de la Corte Interamericana de Derechos Humanos, en el cual se condenó  al Estado por violar derechos políticos de los candidatos a elecciones municipales de esa organización política de carácter regional.</w:t>
      </w:r>
    </w:p>
    <w:p w14:paraId="13ED6A97"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Manifiestan que el Convenio 169, por un lado, garantiza, el derecho de los pueblos indígenas a elegir a sus autoridades de acuerdo a sus procedimientos propios, por usos y costumbres; pero además a que se respeten las estructuras de sus instituciones políticas y sus formas de gobierno. Lo que se garantiza es entonces, no sólo la forma de elección, sino además el fondo o estructura institucional para nuestro gobierno.</w:t>
      </w:r>
    </w:p>
    <w:p w14:paraId="161ECFE4"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371A17AC"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Es admisible hacer tal análisis conjunto, porque lo fundamental es que los agravios formulados sean estudiados en su totalidad, con independencia del método que se adopte para su examen.</w:t>
      </w:r>
    </w:p>
    <w:p w14:paraId="7F0B0403"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64A5E1D2"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El criterio mencionado ha sido sustentado por esta Sala Superior, en reiteradas ocasiones, lo que ha dado origen a la jurisprudencia identificada con la clave 04/2000, consultable a fojas 119 y120  de la </w:t>
      </w:r>
      <w:r w:rsidRPr="00CF2780">
        <w:rPr>
          <w:rFonts w:ascii="Arial" w:eastAsia="Times New Roman" w:hAnsi="Arial" w:cs="Arial"/>
          <w:i/>
          <w:sz w:val="28"/>
          <w:szCs w:val="28"/>
          <w:lang w:val="es-ES" w:eastAsia="es-ES"/>
        </w:rPr>
        <w:t>Compilación 1997-2010: Jurisprudencia y tesis en materia electoral”</w:t>
      </w:r>
      <w:r w:rsidRPr="00CF2780">
        <w:rPr>
          <w:rFonts w:ascii="Arial" w:eastAsia="Times New Roman" w:hAnsi="Arial" w:cs="Arial"/>
          <w:sz w:val="28"/>
          <w:szCs w:val="28"/>
          <w:lang w:val="es-ES" w:eastAsia="es-ES"/>
        </w:rPr>
        <w:t>, tomo Jurisprudencia, volumen 1, publicada por el Tribunal Electoral del Poder Judicial de la Federación”, con el rubro y texto siguientes:</w:t>
      </w:r>
    </w:p>
    <w:p w14:paraId="4AD52382"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6DC0137B"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 xml:space="preserve"> </w:t>
      </w:r>
      <w:bookmarkStart w:id="4" w:name="LPHit2"/>
      <w:bookmarkEnd w:id="4"/>
      <w:r w:rsidRPr="00CF2780">
        <w:rPr>
          <w:rFonts w:ascii="Arial" w:eastAsia="Times New Roman" w:hAnsi="Arial" w:cs="Arial"/>
          <w:sz w:val="24"/>
          <w:szCs w:val="24"/>
          <w:lang w:val="es-ES" w:eastAsia="es-ES"/>
        </w:rPr>
        <w:t>“</w:t>
      </w:r>
      <w:r w:rsidRPr="00CF2780">
        <w:rPr>
          <w:rFonts w:ascii="Arial" w:eastAsia="Times New Roman" w:hAnsi="Arial" w:cs="Arial"/>
          <w:b/>
          <w:sz w:val="24"/>
          <w:szCs w:val="24"/>
          <w:lang w:val="es-ES" w:eastAsia="es-ES"/>
        </w:rPr>
        <w:t>AGRAVIOS, SU EXAMEN EN CONJUNTO O SEPARADO, NO CAUSA LESIÓN.</w:t>
      </w:r>
      <w:r w:rsidRPr="00CF2780">
        <w:rPr>
          <w:rFonts w:ascii="Arial" w:eastAsia="Times New Roman" w:hAnsi="Arial" w:cs="Arial"/>
          <w:sz w:val="24"/>
          <w:szCs w:val="24"/>
          <w:lang w:val="es-ES" w:eastAsia="es-ES"/>
        </w:rPr>
        <w:t xml:space="preserve"> El </w:t>
      </w:r>
      <w:bookmarkStart w:id="5" w:name="LPHit3"/>
      <w:bookmarkEnd w:id="5"/>
      <w:r w:rsidRPr="00CF2780">
        <w:rPr>
          <w:rFonts w:ascii="Arial" w:eastAsia="Times New Roman" w:hAnsi="Arial" w:cs="Arial"/>
          <w:sz w:val="24"/>
          <w:szCs w:val="24"/>
          <w:lang w:val="es-ES" w:eastAsia="es-ES"/>
        </w:rPr>
        <w:t xml:space="preserve">estudio que realiza la autoridad responsable de los </w:t>
      </w:r>
      <w:bookmarkStart w:id="6" w:name="LPHit4"/>
      <w:bookmarkEnd w:id="6"/>
      <w:r w:rsidRPr="00CF2780">
        <w:rPr>
          <w:rFonts w:ascii="Arial" w:eastAsia="Times New Roman" w:hAnsi="Arial" w:cs="Arial"/>
          <w:sz w:val="24"/>
          <w:szCs w:val="24"/>
          <w:lang w:val="es-ES" w:eastAsia="es-ES"/>
        </w:rPr>
        <w:t xml:space="preserve">agravios propuestos, ya sea que los examine en su </w:t>
      </w:r>
      <w:bookmarkStart w:id="7" w:name="LPHit5"/>
      <w:bookmarkEnd w:id="7"/>
      <w:r w:rsidRPr="00CF2780">
        <w:rPr>
          <w:rFonts w:ascii="Arial" w:eastAsia="Times New Roman" w:hAnsi="Arial" w:cs="Arial"/>
          <w:sz w:val="24"/>
          <w:szCs w:val="24"/>
          <w:lang w:val="es-ES" w:eastAsia="es-ES"/>
        </w:rPr>
        <w:t xml:space="preserve">conjunto, separándolos en </w:t>
      </w:r>
      <w:r w:rsidRPr="00CF2780">
        <w:rPr>
          <w:rFonts w:ascii="Arial" w:eastAsia="Times New Roman" w:hAnsi="Arial" w:cs="Arial"/>
          <w:sz w:val="24"/>
          <w:szCs w:val="24"/>
          <w:lang w:val="es-ES" w:eastAsia="es-ES"/>
        </w:rPr>
        <w:lastRenderedPageBreak/>
        <w:t>distintos grupos, o bien uno por uno y en el propio orden de su exposición o en orden diverso, no causa afectación jurídica alguna que amerite la revocación del fallo impugnado, porque no es la forma como los agravios se analizan lo que puede originar una lesión, sino que, lo trascendental, es que todos sean estudiados”.</w:t>
      </w:r>
    </w:p>
    <w:p w14:paraId="7CB84D0A"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45708679"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Ahora bien, como se determinó, los enjuiciantes forman parte de un pueblo indígena, en razón de un criterio subjetivo y puesto que esa condición no está controvertida por alguna de las partes en los juicios ciudadanos en análisis, lo anterior, en términos de lo dispuesto en el artículo 15, apartado 1, de la Ley General del Sistema de Medios de Impugnación en Materia Electoral.</w:t>
      </w:r>
    </w:p>
    <w:p w14:paraId="08E3A3F5"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201592DF"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Bajo esa perspectiva, esta Sala Superior al realizar el estudio conjunto de los agravios, con fundamento en los artículos 2, apartado A, fracción VIII, 17 y 133 de la Constitución Política de los Estados Unidos Mexicanos; 23, apartado 1, de la Ley General del Sistema de Medios de Impugnación en Materia Electoral; 2, 4, 9, 14 y 15 de la Ley Federal para Prevenir y Eliminar la Discriminación; 2, 4, apartado 1 y 12 del Convenio 169 de la Organización Internacional del Trabajo sobre Pueblos Indígenas y Tribales en Países Independientes y 1, apartado 1, de la Convención Americana sobre Derechos Humanos procederá a suplir tanto la deficiencia de los agravios como la ausencia total de los mismo.</w:t>
      </w:r>
    </w:p>
    <w:p w14:paraId="76B03692"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612A7CC4"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Ello en virtud de que en el juicio para la protección de los derechos político-electorales del ciudadano promovido por integrantes de comunidades o pueblos indígenas, en el que se plantee el menoscabo de su autonomía política o de los derechos de sus integrantes para </w:t>
      </w:r>
      <w:r w:rsidRPr="00CF2780">
        <w:rPr>
          <w:rFonts w:ascii="Arial" w:eastAsia="Times New Roman" w:hAnsi="Arial" w:cs="Arial"/>
          <w:sz w:val="28"/>
          <w:szCs w:val="28"/>
          <w:lang w:val="es-ES" w:eastAsia="es-ES"/>
        </w:rPr>
        <w:lastRenderedPageBreak/>
        <w:t xml:space="preserve">elegir sus autoridades o representantes, conforme a sus propias normas, procedimientos y prácticas tradicionales, la autoridad jurisdiccional electoral debe no sólo suplir la deficiencia de los motivos de agravio, sino también su ausencia total y precisar el acto que realmente les afecta, sin más limitaciones que las derivadas de los principios de congruencia y contradicción, inherentes a todo proceso jurisdiccional, porque tal suplencia es consecuente con los postulados constitucionales que reconocen los derechos de estos pueblos o comunidades y sus integrantes. </w:t>
      </w:r>
    </w:p>
    <w:p w14:paraId="3601639D"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6E5753E7" w14:textId="77777777" w:rsidR="00AD59FF" w:rsidRPr="00CF2780" w:rsidRDefault="00AD59FF" w:rsidP="00AD59FF">
      <w:pPr>
        <w:spacing w:after="0" w:line="360" w:lineRule="auto"/>
        <w:ind w:firstLine="709"/>
        <w:jc w:val="both"/>
        <w:rPr>
          <w:rFonts w:ascii="Arial" w:eastAsia="Times New Roman" w:hAnsi="Arial" w:cs="Arial"/>
          <w:sz w:val="27"/>
          <w:szCs w:val="27"/>
          <w:lang w:val="es-ES" w:eastAsia="es-ES"/>
        </w:rPr>
      </w:pPr>
      <w:r w:rsidRPr="00CF2780">
        <w:rPr>
          <w:rFonts w:ascii="Arial" w:eastAsia="Times New Roman" w:hAnsi="Arial" w:cs="Arial"/>
          <w:sz w:val="28"/>
          <w:szCs w:val="28"/>
          <w:lang w:val="es-ES" w:eastAsia="es-ES"/>
        </w:rPr>
        <w:t>Lo anterior, porque el derecho fundamental a la tutela jurisdiccional efectiva, prevista en el artículo 17 constitucional, tiene como presupuesto necesario la facilidad de acceso a los tribunales y superar las desventajas procesales en que se encuentran, por sus circunstancias culturales, económicas o sociales.</w:t>
      </w:r>
      <w:r w:rsidRPr="00CF2780">
        <w:rPr>
          <w:rFonts w:ascii="Arial" w:eastAsia="Times New Roman" w:hAnsi="Arial" w:cs="Arial"/>
          <w:sz w:val="27"/>
          <w:szCs w:val="27"/>
          <w:lang w:val="es-ES" w:eastAsia="es-ES"/>
        </w:rPr>
        <w:t xml:space="preserve"> </w:t>
      </w:r>
    </w:p>
    <w:p w14:paraId="273AA4E7" w14:textId="77777777" w:rsidR="00AD59FF" w:rsidRPr="00CF2780" w:rsidRDefault="00AD59FF" w:rsidP="00AD59FF">
      <w:pPr>
        <w:spacing w:after="0" w:line="360" w:lineRule="auto"/>
        <w:ind w:firstLine="709"/>
        <w:jc w:val="both"/>
        <w:rPr>
          <w:rFonts w:ascii="Arial" w:eastAsia="Times New Roman" w:hAnsi="Arial" w:cs="Arial"/>
          <w:sz w:val="27"/>
          <w:szCs w:val="27"/>
          <w:lang w:val="es-ES" w:eastAsia="es-ES"/>
        </w:rPr>
      </w:pPr>
    </w:p>
    <w:p w14:paraId="0FD4FF9F"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Además, mediante la maximización de la suplencia es posible tomar en consideración, para la fijación de la controversia y su resolución, las características propias de la comunidad o pueblo indígena y sus especificidades culturales, que evidentemente los diferencian del resto de la ciudadanía.</w:t>
      </w:r>
    </w:p>
    <w:p w14:paraId="795F3819"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54F7FFE8"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Por ello, la suplencia aplicada en este tipo de juicos permite al juzgador examinar los motivos de inconformidad planteados inicialmente, aun cuando existan omisiones, defectos, confusiones o limitaciones en su exposición, así como también allegar elementos de convicción al expediente que puedan acreditar la violación a los </w:t>
      </w:r>
      <w:r w:rsidRPr="00CF2780">
        <w:rPr>
          <w:rFonts w:ascii="Arial" w:eastAsia="Times New Roman" w:hAnsi="Arial" w:cs="Arial"/>
          <w:sz w:val="28"/>
          <w:szCs w:val="28"/>
          <w:lang w:val="es-ES" w:eastAsia="es-ES"/>
        </w:rPr>
        <w:lastRenderedPageBreak/>
        <w:t xml:space="preserve">derechos político-electorales del ciudadano, incluso si no fueron ofrecidos, extremos que, evidentemente, corrigen las omisiones o deficiencias en que hubiere incurrido el promovente, que responde en buena medida a la precaria situación económica y social en que están los indígenas en nuestro país. </w:t>
      </w:r>
    </w:p>
    <w:p w14:paraId="4921459E"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1C788C2D" w14:textId="77777777" w:rsidR="00AD59FF" w:rsidRPr="00CF2780" w:rsidRDefault="00AD59FF" w:rsidP="00AD59FF">
      <w:pPr>
        <w:spacing w:after="0" w:line="360" w:lineRule="auto"/>
        <w:ind w:firstLine="709"/>
        <w:jc w:val="both"/>
        <w:rPr>
          <w:rFonts w:ascii="Arial" w:eastAsia="Times New Roman" w:hAnsi="Arial" w:cs="Arial"/>
          <w:b/>
          <w:sz w:val="28"/>
          <w:szCs w:val="28"/>
          <w:lang w:val="es-ES" w:eastAsia="es-ES"/>
        </w:rPr>
      </w:pPr>
      <w:r w:rsidRPr="00CF2780">
        <w:rPr>
          <w:rFonts w:ascii="Arial" w:eastAsia="Times New Roman" w:hAnsi="Arial" w:cs="Arial"/>
          <w:sz w:val="28"/>
          <w:szCs w:val="28"/>
          <w:lang w:val="es-ES" w:eastAsia="es-ES"/>
        </w:rPr>
        <w:t xml:space="preserve">Sirve de apoyo a lo anterior, el criterio contenido en la jurisprudencia 13/2008, consultable en las fojas 193 a 195 de la de la </w:t>
      </w:r>
      <w:r w:rsidRPr="00CF2780">
        <w:rPr>
          <w:rFonts w:ascii="Arial" w:eastAsia="Times New Roman" w:hAnsi="Arial" w:cs="Arial"/>
          <w:i/>
          <w:sz w:val="28"/>
          <w:szCs w:val="28"/>
          <w:lang w:val="es-ES" w:eastAsia="es-ES"/>
        </w:rPr>
        <w:t>Compilación 1997-2010: Jurisprudencia y tesis en materia electoral”</w:t>
      </w:r>
      <w:r w:rsidRPr="00CF2780">
        <w:rPr>
          <w:rFonts w:ascii="Arial" w:eastAsia="Times New Roman" w:hAnsi="Arial" w:cs="Arial"/>
          <w:sz w:val="28"/>
          <w:szCs w:val="28"/>
          <w:lang w:val="es-ES" w:eastAsia="es-ES"/>
        </w:rPr>
        <w:t>, tomo Jurisprudencia, volumen 1, publicada por el Tribunal Electoral del Poder Judicial de la Federación”, cuyo rubro es:</w:t>
      </w:r>
      <w:bookmarkStart w:id="8" w:name="TEXTO_13/2008"/>
      <w:r w:rsidRPr="00CF2780">
        <w:rPr>
          <w:rFonts w:ascii="Arial" w:eastAsia="Times New Roman" w:hAnsi="Arial" w:cs="Arial"/>
          <w:sz w:val="28"/>
          <w:szCs w:val="28"/>
          <w:lang w:val="es-ES" w:eastAsia="es-ES"/>
        </w:rPr>
        <w:t xml:space="preserve"> </w:t>
      </w:r>
      <w:r w:rsidRPr="00CF2780">
        <w:rPr>
          <w:rFonts w:ascii="Arial" w:eastAsia="Times New Roman" w:hAnsi="Arial" w:cs="Arial"/>
          <w:b/>
          <w:sz w:val="28"/>
          <w:szCs w:val="28"/>
          <w:lang w:val="es-ES" w:eastAsia="es-ES"/>
        </w:rPr>
        <w:t>“</w:t>
      </w:r>
      <w:hyperlink r:id="rId16" w:anchor="13/2008_" w:history="1">
        <w:r w:rsidRPr="00CF2780">
          <w:rPr>
            <w:rFonts w:ascii="Arial" w:eastAsia="Times New Roman" w:hAnsi="Arial" w:cs="Arial"/>
            <w:b/>
            <w:sz w:val="28"/>
            <w:szCs w:val="28"/>
            <w:lang w:val="es-ES" w:eastAsia="es-ES"/>
          </w:rPr>
          <w:t>COMUNIDADES INDÍGENAS.</w:t>
        </w:r>
      </w:hyperlink>
      <w:bookmarkEnd w:id="8"/>
      <w:r w:rsidRPr="00CF2780">
        <w:rPr>
          <w:rFonts w:ascii="Arial" w:eastAsia="Times New Roman" w:hAnsi="Arial" w:cs="Arial"/>
          <w:b/>
          <w:sz w:val="28"/>
          <w:szCs w:val="28"/>
          <w:lang w:val="es-ES" w:eastAsia="es-ES"/>
        </w:rPr>
        <w:t xml:space="preserve"> </w:t>
      </w:r>
      <w:r w:rsidRPr="00CF2780">
        <w:rPr>
          <w:rFonts w:ascii="Arial" w:eastAsia="Times New Roman" w:hAnsi="Arial" w:cs="Arial"/>
          <w:b/>
          <w:sz w:val="28"/>
          <w:szCs w:val="28"/>
          <w:lang w:val="es-ES" w:eastAsia="es-ES"/>
        </w:rPr>
        <w:fldChar w:fldCharType="begin"/>
      </w:r>
      <w:r w:rsidRPr="00CF2780">
        <w:rPr>
          <w:rFonts w:ascii="Arial" w:eastAsia="Times New Roman" w:hAnsi="Arial" w:cs="Arial"/>
          <w:b/>
          <w:sz w:val="28"/>
          <w:szCs w:val="28"/>
          <w:lang w:val="es-ES" w:eastAsia="es-ES"/>
        </w:rPr>
        <w:instrText xml:space="preserve"> HYPERLINK "http://10.10.15.15/siscon/gateway.dll/nJurisprudenciayTesis/nVigentesTercerayCuartaEpoca/compilaci%C3%B3n.htm?f=templates$fn=document-frame.htm$3.0$q=%5Borderedprox,30%3Aagravios%20estudio%20conjunto%5D%20$uq=$x=server$up=1$nc=4840" \l "13/2008_" </w:instrText>
      </w:r>
      <w:r w:rsidRPr="00CF2780">
        <w:rPr>
          <w:rFonts w:ascii="Arial" w:eastAsia="Times New Roman" w:hAnsi="Arial" w:cs="Arial"/>
          <w:b/>
          <w:sz w:val="28"/>
          <w:szCs w:val="28"/>
          <w:lang w:val="es-ES" w:eastAsia="es-ES"/>
        </w:rPr>
        <w:fldChar w:fldCharType="separate"/>
      </w:r>
      <w:r w:rsidRPr="00CF2780">
        <w:rPr>
          <w:rFonts w:ascii="Arial" w:eastAsia="Times New Roman" w:hAnsi="Arial" w:cs="Arial"/>
          <w:b/>
          <w:sz w:val="28"/>
          <w:szCs w:val="28"/>
          <w:lang w:val="es-ES" w:eastAsia="es-ES"/>
        </w:rPr>
        <w:t xml:space="preserve">SUPLENCIA DE LA QUEJA EN LOS JUICIOS ELECTORALES PROMOVIDOS POR SUS INTEGRANTES”. </w:t>
      </w:r>
    </w:p>
    <w:p w14:paraId="57A662A7"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fldChar w:fldCharType="end"/>
      </w:r>
    </w:p>
    <w:p w14:paraId="25238560" w14:textId="77777777" w:rsidR="00AD59FF" w:rsidRPr="00CF2780" w:rsidRDefault="00AD59FF" w:rsidP="00AD59FF">
      <w:pPr>
        <w:spacing w:after="0" w:line="360" w:lineRule="auto"/>
        <w:ind w:firstLine="709"/>
        <w:jc w:val="both"/>
        <w:rPr>
          <w:rFonts w:ascii="Arial" w:eastAsia="Times New Roman" w:hAnsi="Arial" w:cs="Arial"/>
          <w:sz w:val="28"/>
          <w:szCs w:val="24"/>
          <w:lang w:val="es-ES_tradnl" w:eastAsia="es-ES"/>
        </w:rPr>
      </w:pPr>
      <w:r w:rsidRPr="00CF2780">
        <w:rPr>
          <w:rFonts w:ascii="Arial" w:eastAsia="Times New Roman" w:hAnsi="Arial" w:cs="Arial"/>
          <w:b/>
          <w:sz w:val="28"/>
          <w:szCs w:val="28"/>
          <w:lang w:val="es-ES" w:eastAsia="es-ES"/>
        </w:rPr>
        <w:t>OCTAVO.</w:t>
      </w:r>
      <w:r w:rsidRPr="00CF2780">
        <w:rPr>
          <w:rFonts w:ascii="Arial" w:eastAsia="Times New Roman" w:hAnsi="Arial" w:cs="Arial"/>
          <w:sz w:val="28"/>
          <w:szCs w:val="28"/>
          <w:lang w:val="es-ES" w:eastAsia="es-ES"/>
        </w:rPr>
        <w:t xml:space="preserve">  </w:t>
      </w:r>
      <w:r w:rsidRPr="00CF2780">
        <w:rPr>
          <w:rFonts w:ascii="Arial" w:eastAsia="Times New Roman" w:hAnsi="Arial" w:cs="Arial"/>
          <w:sz w:val="28"/>
          <w:szCs w:val="24"/>
          <w:lang w:val="es-ES_tradnl" w:eastAsia="es-ES"/>
        </w:rPr>
        <w:t xml:space="preserve">Los agravios son </w:t>
      </w:r>
      <w:r w:rsidRPr="00CF2780">
        <w:rPr>
          <w:rFonts w:ascii="Arial" w:eastAsia="Times New Roman" w:hAnsi="Arial" w:cs="Arial"/>
          <w:b/>
          <w:sz w:val="28"/>
          <w:szCs w:val="24"/>
          <w:lang w:val="es-ES_tradnl" w:eastAsia="es-ES"/>
        </w:rPr>
        <w:t>fundados</w:t>
      </w:r>
      <w:r w:rsidRPr="00CF2780">
        <w:rPr>
          <w:rFonts w:ascii="Arial" w:eastAsia="Times New Roman" w:hAnsi="Arial" w:cs="Arial"/>
          <w:sz w:val="28"/>
          <w:szCs w:val="24"/>
          <w:lang w:val="es-ES_tradnl" w:eastAsia="es-ES"/>
        </w:rPr>
        <w:t xml:space="preserve"> y suficientes para revocar el acuerdo impugnado, en aplicación de la suplencia de la queja.</w:t>
      </w:r>
    </w:p>
    <w:p w14:paraId="5EC06C25"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1701B118"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Esto es así, porque el Consejo General del Instituto Electoral de Michoacán se limitó a manifestar que no era posible atender la petición de seis de julio de dos mil once, pues la ley secundaria no establece un procedimiento para ello y, por tanto, dicho consejo carece de atribuciones para resolver tal petición.</w:t>
      </w:r>
    </w:p>
    <w:p w14:paraId="36F39D8B"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3AEF9D56"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Al respecto, debe considerarse que la reforma constitucional en materia de derechos humanos publicada en el Diario Oficial de la Federación de diez de junio de dos mil once establece una serie de normas jurídicas que todas las autoridades (jurisdiccionales o no) tienen </w:t>
      </w:r>
      <w:r w:rsidRPr="00CF2780">
        <w:rPr>
          <w:rFonts w:ascii="Arial" w:eastAsia="Times New Roman" w:hAnsi="Arial" w:cs="Arial"/>
          <w:sz w:val="28"/>
          <w:szCs w:val="28"/>
          <w:lang w:val="es-ES" w:eastAsia="es-ES"/>
        </w:rPr>
        <w:lastRenderedPageBreak/>
        <w:t>el deber de observar en la interpretación y aplicación de los derechos humanos reconocidos en la Constitución y en los tratados internacionales correspondientes.</w:t>
      </w:r>
    </w:p>
    <w:p w14:paraId="1573BCCB"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141E7557"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Dicha reforma entró en vigor al día siguiente de su publicación, acorde con el artículo primero transitorio del Decreto correspondiente, por lo que es claro que al resolver en torno a la petición formulada, el Consejo General del Instituto Electoral de Michoacán tenía el deber de atender a lo dispuesto en el artículo 1º constitucional en relación con lo dispuesto en los artículo 2o de la Carta Magna; 1, apartado 1, del Pacto Internacional de Derechos Civiles y Políticos; 1, apartado 1, del Pacto Internacional de Derechos Económicos, Sociales y Culturales; 5, apartado b), 6 y 8 del Convenio número 169 de la Organización Internacional del Trabajo sobre Pueblos Indígenas y Tribales en Países Independientes Convenio, así como 4, 5 y 20 de la Declaración de las Naciones Unidas sobre los Derechos de los Pueblos Indígenas.</w:t>
      </w:r>
    </w:p>
    <w:p w14:paraId="6F8849EB"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5A88A8DE"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Tal situación se ve reforzada por la circunstancia que al resolver el expediente Varios 912/2010, la Suprema Corte de Justicia de la Nación determinó que las autoridades del país que no ejerzan funciones jurisdiccionales, deben interpretar los derechos humanos de la manera que más los favorezca.</w:t>
      </w:r>
    </w:p>
    <w:p w14:paraId="47C32716"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24BF5A0D"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Esta Sala Superior considera que la autoridad responsable incumplió con estas obligaciones, porque si el tema que se le planteaba tenía relación con derechos humanos de los pueblos indígenas, entonces el instituto estatal se encontraba obligado a aplicar los </w:t>
      </w:r>
      <w:r w:rsidRPr="00CF2780">
        <w:rPr>
          <w:rFonts w:ascii="Arial" w:eastAsia="Times New Roman" w:hAnsi="Arial" w:cs="Arial"/>
          <w:sz w:val="28"/>
          <w:szCs w:val="28"/>
          <w:lang w:val="es-ES" w:eastAsia="es-ES"/>
        </w:rPr>
        <w:lastRenderedPageBreak/>
        <w:t>principios rectores que la Constitución establece respecto de tales derechos.</w:t>
      </w:r>
    </w:p>
    <w:p w14:paraId="5BEE5D24"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627825A9"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En ese sentido, conforme a la reforma constitucional todas las autoridades (jurisdiccionales o no) se encuentran obligadas a: 1) promover, respetar, proteger y garantizar ese derecho; 2) interpretar las normas que conforman el marco jurídico que lo rige con un criterio extensivo y, 3) aplicarlas acorde con los principios de universalidad, indivisibilidad, interdependencia y progresividad, en término del artículo 1o constitucional.</w:t>
      </w:r>
    </w:p>
    <w:p w14:paraId="3649C0B4" w14:textId="77777777" w:rsidR="00AD59FF" w:rsidRPr="00CF2780" w:rsidRDefault="00AD59FF" w:rsidP="00AD59FF">
      <w:pPr>
        <w:tabs>
          <w:tab w:val="left" w:pos="2235"/>
        </w:tabs>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ab/>
      </w:r>
    </w:p>
    <w:p w14:paraId="467279FB"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Sin embargo, del análisis exhaustivo del acuerdo impugnado en forma alguna se advierte que la autoridad haya realizado una interpretación con un criterio extensivo o buscando la protección más amplia del derecho de autogobierno que le asiste a la comunidad indígena de Cherán, a pesar de que nuestra Ley Fundamental determina que toda interpretación y la correlativa aplicación de los derechos humanos debe ampliar sus alcances jurídicos para potenciar su ejercicio.</w:t>
      </w:r>
    </w:p>
    <w:p w14:paraId="30BE5BB1"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11D0500C"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Tampoco se advierte que la autoridad haya cumplido con  sus obligaciones de respetar, proteger, garantizar y promover tal derecho, sino todo lo contrario.</w:t>
      </w:r>
    </w:p>
    <w:p w14:paraId="7F9B9F6B"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103FBB84"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8"/>
          <w:lang w:val="es-ES" w:eastAsia="es-ES"/>
        </w:rPr>
        <w:t xml:space="preserve">En efecto, la autoridad lejos de respetar ese derecho, esto es, no adoptar </w:t>
      </w:r>
      <w:r w:rsidRPr="00CF2780">
        <w:rPr>
          <w:rFonts w:ascii="Arial" w:eastAsia="Times New Roman" w:hAnsi="Arial" w:cs="Arial"/>
          <w:sz w:val="28"/>
          <w:szCs w:val="24"/>
          <w:lang w:val="es-ES" w:eastAsia="es-ES"/>
        </w:rPr>
        <w:t xml:space="preserve">medidas de ningún tipo que tengan por resultado impedir el acceso a ese derecho, precisamente obstaculizó e impidió su ejercicio </w:t>
      </w:r>
      <w:r w:rsidRPr="00CF2780">
        <w:rPr>
          <w:rFonts w:ascii="Arial" w:eastAsia="Times New Roman" w:hAnsi="Arial" w:cs="Arial"/>
          <w:sz w:val="28"/>
          <w:szCs w:val="24"/>
          <w:lang w:val="es-ES" w:eastAsia="es-ES"/>
        </w:rPr>
        <w:lastRenderedPageBreak/>
        <w:t>al estimar que la petición no podía ser atendida por la inexistencia de una ley secundaria.</w:t>
      </w:r>
    </w:p>
    <w:p w14:paraId="7809834D"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1FFF24B3"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4"/>
          <w:lang w:val="es-ES" w:eastAsia="es-ES"/>
        </w:rPr>
        <w:t>De igual forma, la autoridad omitió garantizar el derecho al autogobierno, pues a pesar de que los promoventes no podían poner en práctica de manera plena su derecho</w:t>
      </w:r>
      <w:r w:rsidRPr="00CF2780">
        <w:rPr>
          <w:rFonts w:ascii="Arial" w:eastAsia="Times New Roman" w:hAnsi="Arial" w:cs="Arial"/>
          <w:sz w:val="28"/>
          <w:szCs w:val="28"/>
          <w:lang w:val="es-ES" w:eastAsia="es-ES"/>
        </w:rPr>
        <w:t>, la responsable simplemente se limitó a manifestar que carecía de atribuciones para resolver la petición, con lo cual es claro que omitió establecer mecanismos o propuestas de solución.</w:t>
      </w:r>
    </w:p>
    <w:p w14:paraId="1A2FA718"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312A02CF"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También incumplió su obligación de promover el derecho que asiste a los promoventes, esto es, de adoptar las medidas administrativas apropiadas</w:t>
      </w:r>
      <w:r w:rsidRPr="00CF2780">
        <w:rPr>
          <w:rFonts w:ascii="Arial" w:eastAsia="Times New Roman" w:hAnsi="Arial" w:cs="Arial"/>
          <w:sz w:val="28"/>
          <w:szCs w:val="24"/>
          <w:lang w:val="es-ES" w:eastAsia="es-ES"/>
        </w:rPr>
        <w:t>, pues la autoridad estaba en aptitud de formular una consulta a efecto de establecer si era voluntad de la mayoría de los miembros de la comunidad indígena adoptar el sistema de elección por usos y costumbres e informar del resultado al Congreso del Estado.</w:t>
      </w:r>
    </w:p>
    <w:p w14:paraId="33BA96CB"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1837AA30"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En ese orden de ideas, al considerar que no existía un procedimiento para atender la petición es claro que la autoridad omitió cumplir con las obligaciones establecidas en la reforma constitucional referida. </w:t>
      </w:r>
    </w:p>
    <w:p w14:paraId="2A88AF02"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58AEA2B6"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Como se advierte, la responsable lejos de cumplir con alguno de los deberes u obligaciones que la Constitución le impone en materia de derechos humanos, simplemente justifica su actuación sobre la base de </w:t>
      </w:r>
      <w:r w:rsidRPr="00CF2780">
        <w:rPr>
          <w:rFonts w:ascii="Arial" w:eastAsia="Times New Roman" w:hAnsi="Arial" w:cs="Arial"/>
          <w:sz w:val="28"/>
          <w:szCs w:val="28"/>
          <w:lang w:val="es-ES" w:eastAsia="es-ES"/>
        </w:rPr>
        <w:lastRenderedPageBreak/>
        <w:t>la inexistencia de un procedimiento específico y concreto para atender su petición</w:t>
      </w:r>
    </w:p>
    <w:p w14:paraId="3EA508CB"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5C4F2411"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En virtud de lo anterior, lo procedente es revocar el acuerdo impugnado.</w:t>
      </w:r>
    </w:p>
    <w:p w14:paraId="63279596"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00A28D8A"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Ahora bien, esta Sala Superior como máximo órgano jurisdiccional en materia electoral con excepción de las acciones de inconstitucionalidad, en términos del artículo 99 sí es competente para resolver conducente en torno a la petición formulada por la comunidad indígena de Cherán, ya que acorde con lo dispuesto en la fracción VIII del apartado A del artículo 2º constitucional, los indígenas, ya sea individual o colectivamente, tienen derecho a acceder plenamente a la jurisdicción del Estado y, en términos de la interpretación reiterada por este órgano jurisdiccional, tal derecho implica la necesidad de resolver el fondo de la cuestión planteada, la cual en el presente caso, consiste en la petición planteada por la citada comunidad a efecto de que se le reconozca y restituya en el ejercicio de su derecho de autogobierno.</w:t>
      </w:r>
    </w:p>
    <w:p w14:paraId="771C85C7"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1C45084D"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El artículo 2, apartado A, fracción VIII de la Constitución Política de los Estados Unidos Mexicanos, reconoce como derechos de las colectividades indígenas y de los individuos quienes las integran, como garantía específica tendiente a conseguir su acceso pleno a la jurisdicción estatal, que en todos los juicios y procedimientos en los cuales sean parte, individual o colectivamente, a tomar en cuenta sus costumbres y especificidades culturales, con respecto a los preceptos de la propia Ley Fundamental.</w:t>
      </w:r>
    </w:p>
    <w:p w14:paraId="1F5C2B4C"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2DF5B45D"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El mandato en cuestión se encuentra igualmente establecido en los artículos 14, fracción VI de la Ley Federal para Prevenir y Eliminar la Discriminación, y 10 de la Ley General de Derechos Lingüísticos de los Pueblos Indígenas.</w:t>
      </w:r>
    </w:p>
    <w:p w14:paraId="46151EA3"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33453EAA"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Por su parte, en consonancia con lo anterior, en términos del artículo 8, apartado 1 del Convenio sobre Pueblos Indígenas y Tribales, 1989, cuando se aplique la legislación nacional (en este caso, la Ley General del Sistema de Medios de Impugnación en Materia Electoral) a los pueblos indígenas (y sus integrantes) deben tomarse en consideración sus costumbres o su derecho consuetudinario.</w:t>
      </w:r>
    </w:p>
    <w:p w14:paraId="0281C55F"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477D772C"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El mandato en comento se traduce en el deber del órgano judicial o jurisdiccional competente para conocer y resolver de la controversia en la cual formen parte los integrantes de los pueblos y comunidades indígenas (individual o colectivamente) de interpretar las disposiciones constitucionales y legales que rigen el proceso contencioso y la materia sustantiva del litigio, con especial consideración de las normas consuetudinarias indígenas del caso y de las particulares condiciones o cualidades culturales del pueblo o comunidad de que se trate, mismas que comprenden los modos de vida y costumbres, los conocimientos y el grado de desarrollo artístico, científico o industrial de un determinado conglomerado humano socialmente cohesionado, que les identifica entre sí y les permite autoadscribirse como miembros de ese grupo social.</w:t>
      </w:r>
    </w:p>
    <w:p w14:paraId="3351AC87"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5F5483D8"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lastRenderedPageBreak/>
        <w:t>En ese sentido, se ha considerado que este derecho no reduce sus alcances a las garantías específicas contenidas en el segundo y tercer enunciados de la fracción, relativas a que:</w:t>
      </w:r>
    </w:p>
    <w:p w14:paraId="4852D647"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2CF32F58"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1) En todos los juicios y procedimientos en los cuales sean parte los pueblos o comunidades indígenas, individual o colectivamente, se deben tomar en cuenta sus costumbres y especificidades culturales, siempre y cuando se respeten los preceptos constitucionales, y</w:t>
      </w:r>
    </w:p>
    <w:p w14:paraId="086C1CBD"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36972300"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2) Los indígenas tienen en todo tiempo el derecho a ser asistidos por intérpretes y defensores que tengan conocimiento de su lengua y cultura.</w:t>
      </w:r>
    </w:p>
    <w:p w14:paraId="5F269482"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661C3370"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El derecho constitucional de las colectividades indígenas y de sus miembros a acceder "plenamente" a la jurisdicción estatal no se agota mediante el reconocimiento de las dos potestades recién listadas, sino que tiene un contenido normativo más amplio, con alcances de principio estructural del andamiaje constitucional.</w:t>
      </w:r>
    </w:p>
    <w:p w14:paraId="62EE4553"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69E661BC"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Ello en virtud, de que el derecho de acceso pleno a la justicia por parte de los pueblos, comunidades e individuos indígenas tiene como finalidad atender en última instancia a las condiciones fácticas en que se hallan los indígenas, y que tradicionalmente han obstaculizado el ejercicio de sus derechos individuales y ciudadanos, en particular el de acceso a la justicia impartida por el aparato estatal.</w:t>
      </w:r>
    </w:p>
    <w:p w14:paraId="4640484E"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2B22BE77"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lastRenderedPageBreak/>
        <w:t>Asimismo, esta Sala Superior ha determinado que una interpretación sistemática y funcional de las disposiciones contenidas en el artículo 2, apartado A de la Constitución General, en conexión con el sistema democrático implementado en la Carta Magna y con el sistema de garantías individuales y sociales tuteladas por la misma, desarrollados, entre otros, en los artículos 1, 3, 4, 6, 7, 9, 24, 25, 26, 27, 35, 39, 40, 41, 49, 115, 116, 122 y 123 de la Ley Fundamental, conduce a sostener que los derechos reconocidos a los pueblos y comunidades indígenas, así como a sus integrantes, no constituyen meras concreciones normativas derivadas del valor intrínseco que el Poder Revisor de la Constitución confiere a diversas expresiones de la idiosincrasia indígena como vértice del carácter pluricultural que distingue a la Nación mexicana, sino que cumplen una función complementadora del reconocimiento igualitario de un sistema de derechos al que una sociedad mínimamente justa no puede renunciar.</w:t>
      </w:r>
    </w:p>
    <w:p w14:paraId="6EF1A4CF"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474C8146"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En efecto, las disposiciones constitucionales e internacionales de mérito parten de la aceptación consistente en que, por diferentes causas y razones, las condiciones precarias en las que subsisten los indígenas en nuestro país se deben, entre otros motivos, a que las garantías individuales de las que goza todo sujeto no han sido suficientes para un adecuado desarrollo individual y colectivo de estos grupos, examen del cual se ha derivado un necesario reforzamiento de esa situación igualitaria de todos los individuos con un reconocimiento más general y previo de las situaciones y características que identifican y dan sentido a estas colectividades y sus miembros.</w:t>
      </w:r>
    </w:p>
    <w:p w14:paraId="5D083FCE"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2084B8D3"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lastRenderedPageBreak/>
        <w:t>Acorde con lo expuesto, los derechos de corte fundamental reconocidos a los pueblos y comunidades indígenas, así como sus integrantes, constituyen medidas que procuran beneficiar directa e indirectamente a estos conglomerados de la sociedad mexicana, a través de una clara diferenciación de trato que redunde en una mayor igualdad, por considerarse que se encuentran en una grave situación de desigualdad y desamparo con el resto de la población, precisamente porque no se han tomado en cuenta sus particulares concepciones del uso y explotación de la tierra, sus procesos de producción, sus tradiciones y costumbres, los entramados sociales y políticos que les son propios, aspectos que han redundado en ciertas relaciones de sometimiento, discriminación y miseria.</w:t>
      </w:r>
    </w:p>
    <w:p w14:paraId="1EB33B37"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5CF3682C"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Desde esta óptica, queda claro que la incorporación constitucional de derechos a estos sujetos no equivale a pretender crear un ámbito jurídico propio y exclusivo de la realidad indígena, desvinculado del ordenamiento jurídico general, ni perpetuar o reinstaurar viejas desigualdades propias de los viejos colonialismos.</w:t>
      </w:r>
    </w:p>
    <w:p w14:paraId="00F04CDC"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1DC1447A"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 xml:space="preserve">Por el contrario, tales derechos forman parte de dicho ordenamiento, como mecanismos específicos de defensa de los derechos a la libertad de pensamiento y expresión, a la libertad de formas de vida y maneras de vivir, así como a la libertad de creación, mantenimiento y desarrollo de culturas, contempladas en el artículo 27, apartado 1 del Pacto Internacional de Derechos Civiles y Políticos, cuyo basamento último, se encuentra en la especial consideración que el ordenamiento tiene para con la dignidad humana, como valor </w:t>
      </w:r>
      <w:r w:rsidRPr="00CF2780">
        <w:rPr>
          <w:rFonts w:ascii="Arial" w:eastAsia="Times New Roman" w:hAnsi="Arial" w:cs="Arial"/>
          <w:sz w:val="28"/>
          <w:szCs w:val="24"/>
          <w:lang w:val="es-ES" w:eastAsia="es-ES"/>
        </w:rPr>
        <w:lastRenderedPageBreak/>
        <w:t>imprescindible sobre el que se ha de sustentar cualquier sociedad que pretenda dotar de legitimidad a las normas jurídicas que le rigen, derivado de la cláusula general del artículo 39 de la Constitución Federal, así como del reconocimiento genérico a la personalidad jurídica y dignidad de todo ser humano, previsto en los artículos 16, apartado 1, del pacto recién invocado, 3 y 11, apartado 1 de la Convención Americana sobre Derechos Humanos.</w:t>
      </w:r>
    </w:p>
    <w:p w14:paraId="1A6CCAC6"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5AABD3B9"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Por tanto, el acceso pleno a la justicia estatal por parte de los pueblos, comunidades e individuos indígenas no se limita a la erradicación de los obstáculos técnicos o económicos, sino también aquellas circunstancias temporales, geográficas, sociales y culturales que tradicionalmente han generado en la población indígena una situación de discriminación jurídica, que a su vez ha evitado u obstaculizado que dicha población solucione sus problemas acudiendo a los tribunales o que lo hagan en condiciones realmente equitativas, más allá de la igualdad formal.</w:t>
      </w:r>
    </w:p>
    <w:p w14:paraId="0CE654D6"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7B5151D5"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 xml:space="preserve">De ahí que este tribunal ha establecido que este derecho reviste los alcances de principio normativo de rango constitucional por cuanto constituye una norma que expresa y tutela valores superiores del orden jurídico, la cual define un tipo de pauta que no se reduce a una hipótesis particular o a determinados supuestos de hechos concretos, sino que más bien contiene la obligación de perseguir determinados fines, en concreto, la eliminación de toda circunstancia fáctica que impida o inhiba el acceso completo o cabal de las colectividades indígenas y de sus miembros a los tribunales de justicia, el cual abarca toda clase de </w:t>
      </w:r>
      <w:r w:rsidRPr="00CF2780">
        <w:rPr>
          <w:rFonts w:ascii="Arial" w:eastAsia="Times New Roman" w:hAnsi="Arial" w:cs="Arial"/>
          <w:sz w:val="28"/>
          <w:szCs w:val="24"/>
          <w:lang w:val="es-ES" w:eastAsia="es-ES"/>
        </w:rPr>
        <w:lastRenderedPageBreak/>
        <w:t>tribunales y procedimientos jurisdiccionales, pues la Carta Magna no lo limita a una materia en específico ni prevé excepciones a los alcances del derecho-principio de garantizar el acceso pleno de los indígenas a la jurisdicción estatal.</w:t>
      </w:r>
    </w:p>
    <w:p w14:paraId="79BD4C24"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6E1EF357"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Tal criterio ha sido sostenido en los expedientes SUP-JDC-13/2002 y SUP-JDC-11/2007.</w:t>
      </w:r>
    </w:p>
    <w:p w14:paraId="346A50F5" w14:textId="77777777" w:rsidR="00AD59FF" w:rsidRPr="00CF2780" w:rsidRDefault="00AD59FF" w:rsidP="00AD59FF">
      <w:pPr>
        <w:spacing w:after="0" w:line="360" w:lineRule="auto"/>
        <w:ind w:firstLine="709"/>
        <w:jc w:val="both"/>
        <w:rPr>
          <w:rFonts w:ascii="Arial" w:eastAsia="Times New Roman" w:hAnsi="Arial" w:cs="Arial"/>
          <w:sz w:val="28"/>
          <w:szCs w:val="24"/>
          <w:u w:val="single"/>
          <w:lang w:val="es-ES" w:eastAsia="es-ES"/>
        </w:rPr>
      </w:pPr>
    </w:p>
    <w:p w14:paraId="6DB0A6AF"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En virtud de lo anterior, en aplicación directa de la fracción VIII del apartado A del artículo 2o de la Constitución Política de los Estados Unidos Mexicanos, esta Sala Superior, en plenitud de jurisdicción, considera necesario conocer y resolver, lo que en derecho proceda, la petición atinente, porque sólo de esa manera se resolverá el fondo de la cuestión planteada.</w:t>
      </w:r>
    </w:p>
    <w:p w14:paraId="2CF7860E" w14:textId="77777777" w:rsidR="00AD59FF" w:rsidRPr="00CF2780" w:rsidRDefault="00AD59FF" w:rsidP="00AD59FF">
      <w:pPr>
        <w:spacing w:after="0" w:line="360" w:lineRule="auto"/>
        <w:ind w:firstLine="709"/>
        <w:jc w:val="both"/>
        <w:rPr>
          <w:rFonts w:ascii="Arial" w:eastAsia="Times New Roman" w:hAnsi="Arial" w:cs="Arial"/>
          <w:sz w:val="28"/>
          <w:szCs w:val="24"/>
          <w:u w:val="single"/>
          <w:lang w:val="es-ES" w:eastAsia="es-ES"/>
        </w:rPr>
      </w:pPr>
    </w:p>
    <w:p w14:paraId="2EDE91F1"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Lo anterior, es acorde con el deber u obligación de adoptar medidas positivas y compensatorias a favor de las colectividades que se hallan en esa situación de desigualdad real o material, entre ellas los pueblos y comunidades indígenas, medidas que no se limitan a las expresamente previstas en la ley, sino que se admite el empleo de otras, siempre y cuando, desde luego, las medidas que se adopten sean adecuadas e idóneas para procurar las condiciones suficientes para frenar la inercia social de desigualdad en la cual se encuentran, y que de esta forma se pueda ejercer plenamente el derecho de que se trate, con lo que, al mismo tiempo, se propenda a mediano y largo plazo la erradicación de los factores y condiciones fácticas que inhiben u obstaculizan el ejercicio de dicho derecho.</w:t>
      </w:r>
    </w:p>
    <w:p w14:paraId="2B918FA3"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0A4025D4"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Tal situación se encuentra reconocida  en el Convenio 169 de la Organización Internacional del Trabajo, Sobre Pueblos Indígenas y Tribales en Países Independientes, adoptado por la Conferencia General de dicho organismo internacional el veintisiete de junio de mil novecientos ochenta y nueve, ratificado por México el cinco de septiembre de mil novecientos noventa y publicado en el Diario Oficial de la Federación el veinticuatro de enero de mil novecientos noventa y uno. Entre sus disposiciones se encuentran las siguientes:</w:t>
      </w:r>
    </w:p>
    <w:p w14:paraId="59F7DFAD"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154CC964"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1) La responsabilidad (de los gobiernos) de desarrollar una acción coordinada y sistemática para la protección de los derechos de los pueblos y comunidades indígenas, que debe incluir medidas que: a) aseguren a sus integrantes gozar, en pie de igualdad, de los derechos y oportunidades que la legislación nacional otorgue a los demás miembros de la población, b) promuevan la plena efectividad de sus derechos sociales, económicos y culturales, con pleno respeto a su identidad social y cultural, sus tradiciones y costumbres, y sus instituciones, y c) ayuden a sus miembros a eliminar las diferencias socioeconómicas existentes respecto del resto de la población (artículo 2);</w:t>
      </w:r>
    </w:p>
    <w:p w14:paraId="3DD6B721"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713C307F"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2) La obligación de adoptar las medidas especiales que se precisen para salvaguardar las persona, las instituciones, los bienes, el trabajo, las culturas y el medio ambiente de los pueblos indígenas (artículo 4, apartado 1), y</w:t>
      </w:r>
    </w:p>
    <w:p w14:paraId="2D1D6B3A"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5CA769E8"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lastRenderedPageBreak/>
        <w:t>3) Las colectividades indígenas deben tener protección con la violación de sus derechos, y poder iniciar procedimientos legales, personalmente o por conducto de sus organismos representativos, para asegurar el respeto efectivo de semejantes derechos, e incluso, deben tomarse las medidas para garantizar que los indígenas puedan comprender y hacerse comprender en procesos legales, mediante la facilitación si fuere necesario, de intérpretes u otros medios eficaces (artículo 12).</w:t>
      </w:r>
    </w:p>
    <w:p w14:paraId="1D96E152"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404EB9D1"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En aplicación de lo anterior, de las disposiciones del convenio citado se tiene que, en consonancia con la función y naturaleza de los derechos de las colectividades indígenas y de sus miembros, es indispensable la adopción o implementación de medidas especiales que permitan a estos sujetos, en condiciones de igualdad real respecto de los demás, la tutela judicial completa y efectiva de sus intereses jurídicamente relevantes en aquellos casos en los cuales consideren que han sido violados o desconocidos, para lo cual se torna necesario eliminar los obstáculos fácticos que imposibiliten o inhiban en cualquier forma el acceso a los tribunales de justicia y el dictado de resoluciones prontas, completas e imparciales, como está garantizado para todos gobernado en el ordenamiento jurídico mexicano.</w:t>
      </w:r>
    </w:p>
    <w:p w14:paraId="273B5527"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2A3E84EC"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Tales medidas especiales deben ser idóneas, objetivas y proporcionales para la consecución del fin a saber, la eliminación del obstáculo o barrera que se advierta y, en última instancia, a que los indígenas consigan un acceso real, efectivo, a la jurisdicción estatal.</w:t>
      </w:r>
    </w:p>
    <w:p w14:paraId="3B7E1DB6"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7046AFFF"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lastRenderedPageBreak/>
        <w:t>También es acorde con el deber de garante de los derechos fundamentales que el artículo 1.1 de la Convención Americana sobre Derechos Humanos atribuye a los Estados partes de este instrumento internacional, entre los cuales se encuentran el mexicano, al haber sido suscrito por el Ejecutivo de la Unión y después aprobado por la Cámara de Senadores (la aprobación se publicó en el Diario Oficial de la Federación el nueve de enero de mil novecientos ochenta y uno, en tanto que la promulgación se publicó el siete de mayo del mismo año), en los términos en que ha sido interpretada dicha disposición por la Corte Interamericana de Derechos Humanos.</w:t>
      </w:r>
    </w:p>
    <w:p w14:paraId="62DAC484"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7DB1F7F5"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Del precepto citado la Corte Interamericana de Derechos Humanos ha derivado dos obligaciones fundamentales para los estados partes del convenio. La primera, consistente en respetar los derechos y libertades reconocidas en la convención, en tanto se trata de esferas individuales que el poder público no puede vulnerar o en las cuales sólo se puede penetrar de manera limitada. A su vez, la segunda obligación es la de garantizar el libre y pleno ejercicio de los derechos reconocidos en la convención a toda persona sujeta a su jurisdicción, deber que "</w:t>
      </w:r>
      <w:r w:rsidRPr="00CF2780">
        <w:rPr>
          <w:rFonts w:ascii="Arial" w:eastAsia="Times New Roman" w:hAnsi="Arial" w:cs="Arial"/>
          <w:i/>
          <w:sz w:val="28"/>
          <w:szCs w:val="24"/>
          <w:lang w:val="es-ES" w:eastAsia="es-ES"/>
        </w:rPr>
        <w:t>no se agota en la existencia de un orden normativo dirigido a hacer posible el cumplimiento de esta obligación, sino que comporta la necesidad de una conducta gubernamental que asegure la existencia, en la realidad, de una eficaz garantía del libre y pleno ejercicio de los derechos humanos</w:t>
      </w:r>
      <w:r w:rsidRPr="00CF2780">
        <w:rPr>
          <w:rFonts w:ascii="Arial" w:eastAsia="Times New Roman" w:hAnsi="Arial" w:cs="Arial"/>
          <w:sz w:val="28"/>
          <w:szCs w:val="24"/>
          <w:lang w:val="es-ES" w:eastAsia="es-ES"/>
        </w:rPr>
        <w:t>" (caso Velázquez Rodríguez. Sentencia de 29 de julio de 1988, párrafos 165 a 167, y caso Godínez Cruz. Sentencia de 20 de enero de 1989, párrafos 174 a 176).</w:t>
      </w:r>
    </w:p>
    <w:p w14:paraId="2F826372"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382DE68E"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lastRenderedPageBreak/>
        <w:t>En posteriores resoluciones, el organismo jurisdiccional interamericano precisaría que el deber de garantizar el libre y pleno ejercicio de los derechos y libertades reconocidos en la convención, "</w:t>
      </w:r>
      <w:r w:rsidRPr="00CF2780">
        <w:rPr>
          <w:rFonts w:ascii="Arial" w:eastAsia="Times New Roman" w:hAnsi="Arial" w:cs="Arial"/>
          <w:i/>
          <w:sz w:val="28"/>
          <w:szCs w:val="24"/>
          <w:lang w:val="es-ES" w:eastAsia="es-ES"/>
        </w:rPr>
        <w:t>implica la obligación del Estado de tomar todas las medidas necesarias para remover los obstáculos que puedan existir para que los individuos puedan disfrutar de los derechos que la convención reconoce. Por consiguiente, la tolerancia del Estado a circunstancias o condiciones que impidan a los individuos acceder a los recursos internos adecuados para proteger sus derechos, constituye una violación del artículo 1.1 de la Convención</w:t>
      </w:r>
      <w:r w:rsidRPr="00CF2780">
        <w:rPr>
          <w:rFonts w:ascii="Arial" w:eastAsia="Times New Roman" w:hAnsi="Arial" w:cs="Arial"/>
          <w:sz w:val="28"/>
          <w:szCs w:val="24"/>
          <w:lang w:val="es-ES" w:eastAsia="es-ES"/>
        </w:rPr>
        <w:t>" (Excepciones al agotamiento de los recursos internos [Art. 46.1, 46.2.a y 46.2.b Convención Americana Sobre Derechos Humanos]. Opinión consultiva OC-11/90 del 10 de agosto de 1990, párrafo 34; caso Bámara Velázquez. Sentencia de 25 de noviembre de 2000, párrafo 194; caso Hilaire, Constantine y Benjamín y Otros vs. Trinidad y Tobago. Sentencia de 21 de junio de 2002, párrafo 151, y caso Cantos. Sentencia de 28 de noviembre de 2002, párrafo 49).</w:t>
      </w:r>
    </w:p>
    <w:p w14:paraId="53F29CC4"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Semejante intelección también se ha estimado aplicable en el caso de los derechos de los pueblos y comunidades indígenas, respecto de las cuales, según ha sostenido la Corte Interamericana de Derechos Humanos, "</w:t>
      </w:r>
      <w:r w:rsidRPr="00CF2780">
        <w:rPr>
          <w:rFonts w:ascii="Arial" w:eastAsia="Times New Roman" w:hAnsi="Arial" w:cs="Arial"/>
          <w:i/>
          <w:sz w:val="28"/>
          <w:szCs w:val="24"/>
          <w:lang w:val="es-ES" w:eastAsia="es-ES"/>
        </w:rPr>
        <w:t xml:space="preserve">de conformidad con los artículos 24 (Igualdad ante la Ley) y 1.1 (Obligación de Respetar los Derechos) de la Convención Americana, los Estados deben garantizar, en condiciones de igualdad, el pleno ejercicio y goce de los derechos de estas personas que están sujetas a su jurisdicción. Hay que resaltar que para garantizar efectivamente estos derechos, al interpretar y aplicar su normativa interna, los Estados deben tomar en consideración las características que diferencian a los miembros de los pueblos indígenas de la población </w:t>
      </w:r>
      <w:r w:rsidRPr="00CF2780">
        <w:rPr>
          <w:rFonts w:ascii="Arial" w:eastAsia="Times New Roman" w:hAnsi="Arial" w:cs="Arial"/>
          <w:i/>
          <w:sz w:val="28"/>
          <w:szCs w:val="24"/>
          <w:lang w:val="es-ES" w:eastAsia="es-ES"/>
        </w:rPr>
        <w:lastRenderedPageBreak/>
        <w:t>en general y que conforman su identidad cultural</w:t>
      </w:r>
      <w:r w:rsidRPr="00CF2780">
        <w:rPr>
          <w:rFonts w:ascii="Arial" w:eastAsia="Times New Roman" w:hAnsi="Arial" w:cs="Arial"/>
          <w:sz w:val="28"/>
          <w:szCs w:val="24"/>
          <w:lang w:val="es-ES" w:eastAsia="es-ES"/>
        </w:rPr>
        <w:t>" (Caso Comunidad Indígena Yakye Axa vs. Paraguay. Sentencia de 17 de junio de 2005, párrafo 51).</w:t>
      </w:r>
    </w:p>
    <w:p w14:paraId="1D74FA79"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2BB9C3AF"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En esas condiciones,  con fundamento en el precepto constitucional invocado y lo establecido en los instrumentos internacionales citados, el Estado Mexicano, a través de sus órganos, debe proveer las medidas de corrección o compensación necesarias que permitan, a los sujetos situados en desigualdades de hecho, acceder al libre y efectivo ejercicio de sus derechos fundamentales, pues de otra manera tales derechos se traducen en meras declaraciones retóricas carentes de virtualidad, con lo que se desnaturaliza su función de instrumentos para el pleno desarrollo de la persona y se socava la dignidad de la persona, sustento de todo el andamiaje estatal.</w:t>
      </w:r>
    </w:p>
    <w:p w14:paraId="1094CE3E"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37B8E6CF"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Bajo esa perspectiva, sí en el fondo de la cuestión se plantea el reconocimiento y restitución del derecho de autogobierno de la comunidad indígena de Cherán, entonces, este órgano jurisdiccional, en tanto máxima autoridad jurisdiccional de la materia y encargada de la protección de los derechos fundamentales en materia electoral tienen el deber de conocer y resolver tal petición, puesto que a final de cuentas dicho acto es el que precisamente ha dado origen al acuerdo materia de impugnación.</w:t>
      </w:r>
    </w:p>
    <w:p w14:paraId="4B7B5536"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5580D36E"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 xml:space="preserve">Con la medida especial apuntada se logran atemperar las consecuencias derivadas de la situación de desigualdad en que se </w:t>
      </w:r>
      <w:r w:rsidRPr="00CF2780">
        <w:rPr>
          <w:rFonts w:ascii="Arial" w:eastAsia="Times New Roman" w:hAnsi="Arial" w:cs="Arial"/>
          <w:sz w:val="28"/>
          <w:szCs w:val="24"/>
          <w:lang w:val="es-ES" w:eastAsia="es-ES"/>
        </w:rPr>
        <w:lastRenderedPageBreak/>
        <w:t xml:space="preserve">hallan los colectivos indígenas y sus integrantes, producto de la pobreza y marginación en que se encuentran, y que evidentemente repercuten en la calidad de la defensa en sus derechos, pues sólo de esta manera se permitirá una acceso pleno a la jurisdicción estatal, la cual en situaciones en donde no estuvieran involucrados derechos indígenas se limitaría a remitir la petición a la autoridad competente. </w:t>
      </w:r>
    </w:p>
    <w:p w14:paraId="4A3C027F"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7B388C50"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Establecido lo anterior, para determinar la cuestión de fondo planteada en la petición realizada por los ahora promoventes, el estudio correspondiente se realizará para resolver, conforme a derecho, las tres cuestiones siguientes, las cuales se encuentran íntimamente ligadas entre sí:</w:t>
      </w:r>
    </w:p>
    <w:p w14:paraId="436BD285"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1A782318" w14:textId="77777777" w:rsidR="00AD59FF" w:rsidRPr="00CF2780" w:rsidRDefault="00AD59FF" w:rsidP="001C6A89">
      <w:pPr>
        <w:numPr>
          <w:ilvl w:val="0"/>
          <w:numId w:val="7"/>
        </w:numPr>
        <w:spacing w:after="0" w:line="360" w:lineRule="auto"/>
        <w:ind w:left="720"/>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¿Qué derecho asiste a las comunidades indígenas en materia de autogobierno? </w:t>
      </w:r>
    </w:p>
    <w:p w14:paraId="0DE6FCFB" w14:textId="77777777" w:rsidR="00AD59FF" w:rsidRPr="00CF2780" w:rsidRDefault="00AD59FF" w:rsidP="00AD59FF">
      <w:pPr>
        <w:spacing w:after="0" w:line="360" w:lineRule="auto"/>
        <w:ind w:left="720"/>
        <w:jc w:val="both"/>
        <w:rPr>
          <w:rFonts w:ascii="Arial" w:eastAsia="Times New Roman" w:hAnsi="Arial" w:cs="Arial"/>
          <w:sz w:val="28"/>
          <w:szCs w:val="28"/>
          <w:lang w:val="es-ES" w:eastAsia="es-ES"/>
        </w:rPr>
      </w:pPr>
    </w:p>
    <w:p w14:paraId="7183D191" w14:textId="77777777" w:rsidR="00AD59FF" w:rsidRPr="00CF2780" w:rsidRDefault="00AD59FF" w:rsidP="001C6A89">
      <w:pPr>
        <w:numPr>
          <w:ilvl w:val="0"/>
          <w:numId w:val="7"/>
        </w:numPr>
        <w:spacing w:after="0" w:line="360" w:lineRule="auto"/>
        <w:ind w:left="720"/>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¿La circunstancia de que la ley local no establezca un procedimiento para garantizar ese derecho es causa suficiente para impedir su ejercicio?</w:t>
      </w:r>
    </w:p>
    <w:p w14:paraId="690BA434" w14:textId="77777777" w:rsidR="00AD59FF" w:rsidRPr="00CF2780" w:rsidRDefault="00AD59FF" w:rsidP="00AD59FF">
      <w:pPr>
        <w:spacing w:after="0" w:line="360" w:lineRule="auto"/>
        <w:ind w:left="360"/>
        <w:jc w:val="both"/>
        <w:rPr>
          <w:rFonts w:ascii="Arial" w:eastAsia="Times New Roman" w:hAnsi="Arial" w:cs="Arial"/>
          <w:sz w:val="28"/>
          <w:szCs w:val="28"/>
          <w:lang w:val="es-ES" w:eastAsia="es-ES"/>
        </w:rPr>
      </w:pPr>
    </w:p>
    <w:p w14:paraId="7EA75AE5" w14:textId="77777777" w:rsidR="00AD59FF" w:rsidRPr="00CF2780" w:rsidRDefault="00AD59FF" w:rsidP="001C6A89">
      <w:pPr>
        <w:numPr>
          <w:ilvl w:val="0"/>
          <w:numId w:val="7"/>
        </w:numPr>
        <w:spacing w:after="0" w:line="360" w:lineRule="auto"/>
        <w:ind w:left="720"/>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Ante la ausencia de un procedimiento establecido en ley, ¿qué puede hacer este órgano jurisdiccional para reparar y restituir en el goce del derecho?</w:t>
      </w:r>
    </w:p>
    <w:p w14:paraId="7556F4A1" w14:textId="77777777" w:rsidR="00AD59FF" w:rsidRPr="00CF2780" w:rsidRDefault="00AD59FF" w:rsidP="00AD59FF">
      <w:pPr>
        <w:spacing w:after="0" w:line="360" w:lineRule="auto"/>
        <w:jc w:val="both"/>
        <w:rPr>
          <w:rFonts w:ascii="Arial" w:eastAsia="Times New Roman" w:hAnsi="Arial" w:cs="Arial"/>
          <w:sz w:val="28"/>
          <w:szCs w:val="28"/>
          <w:lang w:val="es-ES" w:eastAsia="es-ES"/>
        </w:rPr>
      </w:pPr>
    </w:p>
    <w:p w14:paraId="23F3C4FE"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En primer término, es necesario determinar al marco jurídico aplicable.</w:t>
      </w:r>
    </w:p>
    <w:p w14:paraId="59D90B87" w14:textId="77777777" w:rsidR="00AD59FF" w:rsidRPr="00CF2780" w:rsidRDefault="00AD59FF" w:rsidP="00AD59FF">
      <w:pPr>
        <w:spacing w:after="0" w:line="360" w:lineRule="auto"/>
        <w:ind w:firstLine="709"/>
        <w:jc w:val="both"/>
        <w:rPr>
          <w:rFonts w:ascii="Arial" w:eastAsia="Times New Roman" w:hAnsi="Arial" w:cs="Arial"/>
          <w:sz w:val="28"/>
          <w:szCs w:val="28"/>
          <w:u w:val="single"/>
          <w:lang w:val="es-ES" w:eastAsia="es-ES"/>
        </w:rPr>
      </w:pPr>
    </w:p>
    <w:p w14:paraId="769C3047"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lastRenderedPageBreak/>
        <w:t>Mediante reforma constitucional publicada en el Diario Oficial de la Federación de diez de junio de dos mil once modificó el artículo 1º de la Constitución Política de los Estados Unidos Mexicanos para establecer:</w:t>
      </w:r>
    </w:p>
    <w:p w14:paraId="60F505C2"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32EAC7F5"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r w:rsidRPr="00CF2780">
        <w:rPr>
          <w:rFonts w:ascii="Arial" w:eastAsia="Times New Roman" w:hAnsi="Arial" w:cs="Arial"/>
          <w:bCs/>
          <w:sz w:val="24"/>
          <w:szCs w:val="24"/>
          <w:lang w:val="es-ES" w:eastAsia="es-ES"/>
        </w:rPr>
        <w:t>“1o.</w:t>
      </w:r>
      <w:r w:rsidRPr="00CF2780">
        <w:rPr>
          <w:rFonts w:ascii="Arial" w:eastAsia="Times New Roman" w:hAnsi="Arial" w:cs="Arial"/>
          <w:sz w:val="24"/>
          <w:szCs w:val="24"/>
          <w:lang w:val="es-ES" w:eastAsia="es-E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405CBBB"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p>
    <w:p w14:paraId="1D65BAF3"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14:paraId="62C1B30C"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p>
    <w:p w14:paraId="3BFECB18"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8C23B99" w14:textId="77777777" w:rsidR="00AD59FF" w:rsidRPr="00CF2780" w:rsidRDefault="00AD59FF" w:rsidP="00AD59FF">
      <w:pPr>
        <w:spacing w:after="0" w:line="240" w:lineRule="auto"/>
        <w:ind w:left="709"/>
        <w:jc w:val="both"/>
        <w:rPr>
          <w:rFonts w:ascii="Arial" w:eastAsia="Times New Roman" w:hAnsi="Arial" w:cs="Arial"/>
          <w:i/>
          <w:iCs/>
          <w:sz w:val="24"/>
          <w:szCs w:val="24"/>
          <w:lang w:val="es-ES" w:eastAsia="es-ES"/>
        </w:rPr>
      </w:pPr>
      <w:r w:rsidRPr="00CF2780">
        <w:rPr>
          <w:rFonts w:ascii="Arial" w:eastAsia="Times New Roman" w:hAnsi="Arial" w:cs="Arial"/>
          <w:sz w:val="24"/>
          <w:szCs w:val="24"/>
          <w:lang w:val="es-ES" w:eastAsia="es-ES"/>
        </w:rPr>
        <w:t>…”.</w:t>
      </w:r>
    </w:p>
    <w:p w14:paraId="0E753B4B"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42707680"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En virtud de esa reforma constitucional en el sistema jurídico mexicano se reconoce a nivel de la Carta Magna cuatro elementos fundamentales en torno a los derechos humanos:</w:t>
      </w:r>
    </w:p>
    <w:p w14:paraId="6F7EE690"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726008E3" w14:textId="77777777" w:rsidR="00AD59FF" w:rsidRPr="00CF2780" w:rsidRDefault="00AD59FF" w:rsidP="001C6A89">
      <w:pPr>
        <w:numPr>
          <w:ilvl w:val="0"/>
          <w:numId w:val="9"/>
        </w:num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Extensión del catálogo de derechos humanos</w:t>
      </w:r>
      <w:r w:rsidRPr="00CF2780">
        <w:rPr>
          <w:rFonts w:ascii="Arial" w:eastAsia="Times New Roman" w:hAnsi="Arial" w:cs="Arial"/>
          <w:sz w:val="28"/>
          <w:szCs w:val="28"/>
          <w:lang w:val="es-ES" w:eastAsia="es-ES"/>
        </w:rPr>
        <w:t xml:space="preserve">: los derechos humanos reconocidos y garantizados a todas las personas por el Estado Mexicano no sólo se encuentran en el propio texto constitucional, sino también en los tratados internacionales en los que México sea parte, con lo cual el catálogo de tales derechos adquiere una mayor extensión, pues el rango constitucional de </w:t>
      </w:r>
      <w:r w:rsidRPr="00CF2780">
        <w:rPr>
          <w:rFonts w:ascii="Arial" w:eastAsia="Times New Roman" w:hAnsi="Arial" w:cs="Arial"/>
          <w:sz w:val="28"/>
          <w:szCs w:val="28"/>
          <w:lang w:val="es-ES" w:eastAsia="es-ES"/>
        </w:rPr>
        <w:lastRenderedPageBreak/>
        <w:t xml:space="preserve">este tipo de derechos ya no dependerá de la circunstancia de estar o no incluidos en el propio texto de la Ley Fundamental, sino que mediante una norma de remisión se dispone que también los derechos humanos contenidos en tratados internacionales tendrán tal carácter. </w:t>
      </w:r>
    </w:p>
    <w:p w14:paraId="6941DFED" w14:textId="77777777" w:rsidR="00AD59FF" w:rsidRPr="00CF2780" w:rsidRDefault="00AD59FF" w:rsidP="00AD59FF">
      <w:pPr>
        <w:spacing w:after="0" w:line="360" w:lineRule="auto"/>
        <w:jc w:val="both"/>
        <w:rPr>
          <w:rFonts w:ascii="Arial" w:eastAsia="Times New Roman" w:hAnsi="Arial" w:cs="Arial"/>
          <w:sz w:val="28"/>
          <w:szCs w:val="28"/>
          <w:lang w:val="es-ES" w:eastAsia="es-ES"/>
        </w:rPr>
      </w:pPr>
    </w:p>
    <w:p w14:paraId="1F3883DB" w14:textId="77777777" w:rsidR="00AD59FF" w:rsidRPr="00CF2780" w:rsidRDefault="00AD59FF" w:rsidP="00AD59FF">
      <w:pPr>
        <w:spacing w:after="0" w:line="360" w:lineRule="auto"/>
        <w:ind w:left="70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En ese sentido, para la determinación del derecho aplicable, así como de su sentido, alcance y la determinación de su contenido esencial, debe realizarse una auténtica labor hermenéutica acorde con la propia naturaleza de los derechos fundamentales.</w:t>
      </w:r>
    </w:p>
    <w:p w14:paraId="56272C98" w14:textId="77777777" w:rsidR="00AD59FF" w:rsidRPr="00CF2780" w:rsidRDefault="00AD59FF" w:rsidP="00AD59FF">
      <w:pPr>
        <w:spacing w:after="0" w:line="360" w:lineRule="auto"/>
        <w:ind w:left="708"/>
        <w:jc w:val="both"/>
        <w:rPr>
          <w:rFonts w:ascii="Arial" w:eastAsia="Times New Roman" w:hAnsi="Arial" w:cs="Arial"/>
          <w:sz w:val="28"/>
          <w:szCs w:val="28"/>
          <w:lang w:val="es-ES" w:eastAsia="es-ES"/>
        </w:rPr>
      </w:pPr>
    </w:p>
    <w:p w14:paraId="37E69A5C" w14:textId="77777777" w:rsidR="00AD59FF" w:rsidRPr="00CF2780" w:rsidRDefault="00AD59FF" w:rsidP="00AD59FF">
      <w:pPr>
        <w:spacing w:after="0" w:line="360" w:lineRule="auto"/>
        <w:ind w:left="70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En términos de la reforma no existe jerarquía alguna entre las normas de derechos humanos previstas en la Constitución y aquellas de los tratados internacionales de derechos humanos, lo cual se corrobora con lo manifestado en el dictamen de las Comisiones Unidas de Puntos Constitucionales y de Estudios Legislativos, con opinión de la Comisión de Reforma del Estado, respecto de la minuta proyecto de decreto que modifica la denominación del capítulo I del título primero y reforma diversos artículos de la Constitución Política de los Estados Unidos Mexicanos, en materia de derechos humanos, con que se presentó el proyecto de reforma el 7 de abril de 2009 en la Cámara de Senadores, donde se precisó que:</w:t>
      </w:r>
    </w:p>
    <w:p w14:paraId="24BC9EC7" w14:textId="77777777" w:rsidR="00AD59FF" w:rsidRPr="00CF2780" w:rsidRDefault="00AD59FF" w:rsidP="00AD59FF">
      <w:pPr>
        <w:spacing w:after="0" w:line="360" w:lineRule="auto"/>
        <w:ind w:left="708"/>
        <w:jc w:val="both"/>
        <w:rPr>
          <w:rFonts w:ascii="Arial" w:eastAsia="Times New Roman" w:hAnsi="Arial" w:cs="Arial"/>
          <w:sz w:val="28"/>
          <w:szCs w:val="28"/>
          <w:lang w:val="es-ES" w:eastAsia="es-ES"/>
        </w:rPr>
      </w:pPr>
    </w:p>
    <w:p w14:paraId="73240C96" w14:textId="77777777" w:rsidR="00AD59FF" w:rsidRPr="00CF2780" w:rsidRDefault="00AD59FF" w:rsidP="00AD59FF">
      <w:pPr>
        <w:spacing w:after="0" w:line="240" w:lineRule="auto"/>
        <w:ind w:left="1416"/>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 xml:space="preserve">“con este reconocimiento se evita crear derechos de primera y segunda categoría según estén o no en la Constitución, ya que actualmente los derechos que se contienen en las garantías individuales gozan de una protección más amplia y directa que </w:t>
      </w:r>
      <w:r w:rsidRPr="00CF2780">
        <w:rPr>
          <w:rFonts w:ascii="Arial" w:eastAsia="Times New Roman" w:hAnsi="Arial" w:cs="Arial"/>
          <w:sz w:val="24"/>
          <w:szCs w:val="24"/>
          <w:lang w:val="es-ES" w:eastAsia="es-ES"/>
        </w:rPr>
        <w:lastRenderedPageBreak/>
        <w:t>aquellos que se encuentran consagrados en los tratados internacionales”.</w:t>
      </w:r>
    </w:p>
    <w:p w14:paraId="4903BD98" w14:textId="77777777" w:rsidR="00AD59FF" w:rsidRPr="00CF2780" w:rsidRDefault="00AD59FF" w:rsidP="00AD59FF">
      <w:pPr>
        <w:spacing w:after="0" w:line="360" w:lineRule="auto"/>
        <w:ind w:left="708"/>
        <w:jc w:val="both"/>
        <w:rPr>
          <w:rFonts w:ascii="Arial" w:eastAsia="Times New Roman" w:hAnsi="Arial" w:cs="Arial"/>
          <w:sz w:val="28"/>
          <w:szCs w:val="24"/>
          <w:lang w:val="es-ES" w:eastAsia="es-ES"/>
        </w:rPr>
      </w:pPr>
    </w:p>
    <w:p w14:paraId="2F8D47A9" w14:textId="77777777" w:rsidR="00AD59FF" w:rsidRPr="00CF2780" w:rsidRDefault="00AD59FF" w:rsidP="001C6A89">
      <w:pPr>
        <w:numPr>
          <w:ilvl w:val="0"/>
          <w:numId w:val="9"/>
        </w:num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Normas de interpretación</w:t>
      </w:r>
      <w:r w:rsidRPr="00CF2780">
        <w:rPr>
          <w:rFonts w:ascii="Arial" w:eastAsia="Times New Roman" w:hAnsi="Arial" w:cs="Arial"/>
          <w:sz w:val="28"/>
          <w:szCs w:val="28"/>
          <w:lang w:val="es-ES" w:eastAsia="es-ES"/>
        </w:rPr>
        <w:t>: se establece que los derechos humanos deben ser interpretados acorde con la Constitución y los tratados internacionales, y que la interpretación de esos derechos debe realizarse buscando la protección más amplia de los mismos, lo cual encuentra su razón de ser en que los derechos humanos no constituyen una excepción o un privilegio, sino derechos fundamentales consagrados constitucionalmente, los cuales deben ser ampliados, no restringidos o suprimidos.</w:t>
      </w:r>
    </w:p>
    <w:p w14:paraId="5A02F742" w14:textId="77777777" w:rsidR="00AD59FF" w:rsidRPr="00CF2780" w:rsidRDefault="00AD59FF" w:rsidP="00AD59FF">
      <w:pPr>
        <w:spacing w:after="200" w:line="276" w:lineRule="auto"/>
        <w:ind w:left="720"/>
        <w:contextualSpacing/>
        <w:rPr>
          <w:rFonts w:ascii="Arial" w:eastAsia="Calibri" w:hAnsi="Arial" w:cs="Arial"/>
          <w:sz w:val="28"/>
          <w:szCs w:val="28"/>
        </w:rPr>
      </w:pPr>
    </w:p>
    <w:p w14:paraId="3ED48926" w14:textId="77777777" w:rsidR="00AD59FF" w:rsidRPr="00CF2780" w:rsidRDefault="00AD59FF" w:rsidP="00AD59FF">
      <w:pPr>
        <w:spacing w:after="0" w:line="360" w:lineRule="auto"/>
        <w:ind w:left="70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En esa virtud, acorde con la Constitución, las reglas interpretativas que rigen la determinación del sentido y alcances jurídicos de una norma jurídica no permiten que se restrinja o haga nugatorio el ejercicio de un derecho fundamental, sino que, por el contrario, toda interpretación y la correlativa aplicación de una norma jurídica deben ampliar sus alcances jurídicos para potenciar su ejercicio, siempre que aquélla esté relacionada con un derecho fundamental.</w:t>
      </w:r>
    </w:p>
    <w:p w14:paraId="7A9E5F67" w14:textId="77777777" w:rsidR="00AD59FF" w:rsidRPr="00CF2780" w:rsidRDefault="00AD59FF" w:rsidP="00AD59FF">
      <w:pPr>
        <w:spacing w:after="0" w:line="360" w:lineRule="auto"/>
        <w:ind w:left="708"/>
        <w:jc w:val="both"/>
        <w:rPr>
          <w:rFonts w:ascii="Arial" w:eastAsia="Times New Roman" w:hAnsi="Arial" w:cs="Arial"/>
          <w:sz w:val="28"/>
          <w:szCs w:val="28"/>
          <w:lang w:val="es-ES" w:eastAsia="es-ES"/>
        </w:rPr>
      </w:pPr>
    </w:p>
    <w:p w14:paraId="28BEE223" w14:textId="77777777" w:rsidR="00AD59FF" w:rsidRPr="00CF2780" w:rsidRDefault="00AD59FF" w:rsidP="00AD59FF">
      <w:pPr>
        <w:spacing w:after="0" w:line="360" w:lineRule="auto"/>
        <w:ind w:left="70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Por tanto, los derechos humanos deberán ser interpretados de conformidad con el principio </w:t>
      </w:r>
      <w:r w:rsidRPr="00CF2780">
        <w:rPr>
          <w:rFonts w:ascii="Arial" w:eastAsia="Times New Roman" w:hAnsi="Arial" w:cs="Arial"/>
          <w:i/>
          <w:sz w:val="28"/>
          <w:szCs w:val="28"/>
          <w:lang w:val="es-ES" w:eastAsia="es-ES"/>
        </w:rPr>
        <w:t>pro personae</w:t>
      </w:r>
      <w:r w:rsidRPr="00CF2780">
        <w:rPr>
          <w:rFonts w:ascii="Arial" w:eastAsia="Times New Roman" w:hAnsi="Arial" w:cs="Arial"/>
          <w:sz w:val="28"/>
          <w:szCs w:val="28"/>
          <w:lang w:val="es-ES" w:eastAsia="es-ES"/>
        </w:rPr>
        <w:t xml:space="preserve">, según establecen los artículos 5 del Pacto Internacional de Derechos Civiles y Políticos; del Pacto Internacional de Derechos Económicos, Sociales y Culturales y 29 de la Convención Americana sobre Derechos Humanos. Por medio del cual se privilegian los derechos y las </w:t>
      </w:r>
      <w:r w:rsidRPr="00CF2780">
        <w:rPr>
          <w:rFonts w:ascii="Arial" w:eastAsia="Times New Roman" w:hAnsi="Arial" w:cs="Arial"/>
          <w:sz w:val="28"/>
          <w:szCs w:val="28"/>
          <w:lang w:val="es-ES" w:eastAsia="es-ES"/>
        </w:rPr>
        <w:lastRenderedPageBreak/>
        <w:t>interpretaciones de los mismos que protejan con mayor eficacia a la persona.</w:t>
      </w:r>
    </w:p>
    <w:p w14:paraId="3DF62BF6" w14:textId="77777777" w:rsidR="00AD59FF" w:rsidRPr="00CF2780" w:rsidRDefault="00AD59FF" w:rsidP="00AD59FF">
      <w:pPr>
        <w:spacing w:after="0" w:line="360" w:lineRule="auto"/>
        <w:ind w:left="708"/>
        <w:jc w:val="both"/>
        <w:rPr>
          <w:rFonts w:ascii="Arial" w:eastAsia="Times New Roman" w:hAnsi="Arial" w:cs="Arial"/>
          <w:sz w:val="28"/>
          <w:szCs w:val="28"/>
          <w:lang w:val="es-ES" w:eastAsia="es-ES"/>
        </w:rPr>
      </w:pPr>
    </w:p>
    <w:p w14:paraId="28014EA4" w14:textId="77777777" w:rsidR="00AD59FF" w:rsidRPr="00CF2780" w:rsidRDefault="00AD59FF" w:rsidP="00AD59FF">
      <w:pPr>
        <w:spacing w:after="0" w:line="360" w:lineRule="auto"/>
        <w:ind w:left="70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El contenido básico de este principio, refiere tres posibles aplicaciones: 1) ante la existencia de dos o más normas aplicables a un caso concreto, se prefiere el uso de la norma que garantice de mejor manera el Derecho; 2) ante dos o más posibles interpretaciones de una norma se debe preferir aquella que posibilite el ejercicio del Derecho de manera más amplia, y 3) ante la necesidad de limitar el ejercicio de un derecho se debe preferir la norma que lo haga en la menor medida posible.</w:t>
      </w:r>
    </w:p>
    <w:p w14:paraId="5532ADFD" w14:textId="77777777" w:rsidR="00AD59FF" w:rsidRPr="00CF2780" w:rsidRDefault="00AD59FF" w:rsidP="00AD59FF">
      <w:pPr>
        <w:spacing w:after="0" w:line="360" w:lineRule="auto"/>
        <w:ind w:left="708"/>
        <w:jc w:val="both"/>
        <w:rPr>
          <w:rFonts w:ascii="Arial" w:eastAsia="Times New Roman" w:hAnsi="Arial" w:cs="Arial"/>
          <w:sz w:val="28"/>
          <w:szCs w:val="28"/>
          <w:lang w:val="es-ES" w:eastAsia="es-ES"/>
        </w:rPr>
      </w:pPr>
    </w:p>
    <w:p w14:paraId="14499688" w14:textId="77777777" w:rsidR="00AD59FF" w:rsidRPr="00CF2780" w:rsidRDefault="00AD59FF" w:rsidP="001C6A89">
      <w:pPr>
        <w:numPr>
          <w:ilvl w:val="0"/>
          <w:numId w:val="9"/>
        </w:num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 xml:space="preserve">Normas de aplicación: </w:t>
      </w:r>
      <w:r w:rsidRPr="00CF2780">
        <w:rPr>
          <w:rFonts w:ascii="Arial" w:eastAsia="Times New Roman" w:hAnsi="Arial" w:cs="Arial"/>
          <w:sz w:val="28"/>
          <w:szCs w:val="28"/>
          <w:lang w:val="es-ES" w:eastAsia="es-ES"/>
        </w:rPr>
        <w:t>se dispone que todos las autoridades sin establecer ningún tipo de distinción o excepción tienen la obligación de promover, respetar, proteger y garantizar los derechos humanos, de tal forma que en la aplicación de los mismos deben observar los principios de universalidad, interdependencia, indivisibilidad y progresividad.</w:t>
      </w:r>
    </w:p>
    <w:p w14:paraId="6620AE27" w14:textId="77777777" w:rsidR="00AD59FF" w:rsidRPr="00CF2780" w:rsidRDefault="00AD59FF" w:rsidP="00AD59FF">
      <w:pPr>
        <w:spacing w:after="0" w:line="360" w:lineRule="auto"/>
        <w:ind w:left="708"/>
        <w:jc w:val="both"/>
        <w:rPr>
          <w:rFonts w:ascii="Arial" w:eastAsia="Times New Roman" w:hAnsi="Arial" w:cs="Arial"/>
          <w:sz w:val="28"/>
          <w:szCs w:val="28"/>
          <w:lang w:val="es-ES" w:eastAsia="es-ES"/>
        </w:rPr>
      </w:pPr>
    </w:p>
    <w:p w14:paraId="0EC60AB4" w14:textId="77777777" w:rsidR="00AD59FF" w:rsidRPr="00CF2780" w:rsidRDefault="00AD59FF" w:rsidP="00AD59FF">
      <w:pPr>
        <w:spacing w:after="0" w:line="360" w:lineRule="auto"/>
        <w:ind w:left="70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Adviértase que el legislador constituyente impone a todas las autoridades cuatro clases de obligaciones en torno a los derechos humanos consistentes en: </w:t>
      </w:r>
    </w:p>
    <w:p w14:paraId="5E954A85" w14:textId="77777777" w:rsidR="00AD59FF" w:rsidRPr="00CF2780" w:rsidRDefault="00AD59FF" w:rsidP="00AD59FF">
      <w:pPr>
        <w:spacing w:after="0" w:line="360" w:lineRule="auto"/>
        <w:ind w:left="708"/>
        <w:jc w:val="both"/>
        <w:rPr>
          <w:rFonts w:ascii="Arial" w:eastAsia="Times New Roman" w:hAnsi="Arial" w:cs="Arial"/>
          <w:sz w:val="28"/>
          <w:szCs w:val="28"/>
          <w:lang w:val="es-ES" w:eastAsia="es-ES"/>
        </w:rPr>
      </w:pPr>
    </w:p>
    <w:p w14:paraId="2058B3D3" w14:textId="77777777" w:rsidR="00AD59FF" w:rsidRPr="00CF2780" w:rsidRDefault="00AD59FF" w:rsidP="001C6A89">
      <w:pPr>
        <w:numPr>
          <w:ilvl w:val="0"/>
          <w:numId w:val="10"/>
        </w:num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i/>
          <w:sz w:val="28"/>
          <w:szCs w:val="28"/>
          <w:lang w:val="es-ES" w:eastAsia="es-ES"/>
        </w:rPr>
        <w:t>Obligaciones de respeto</w:t>
      </w:r>
      <w:r w:rsidRPr="00CF2780">
        <w:rPr>
          <w:rFonts w:ascii="Arial" w:eastAsia="Times New Roman" w:hAnsi="Arial" w:cs="Arial"/>
          <w:sz w:val="28"/>
          <w:szCs w:val="28"/>
          <w:lang w:val="es-ES" w:eastAsia="es-ES"/>
        </w:rPr>
        <w:t>: las cuales consisten básicamente en el deber del Estado de no injerir, obstaculizar o impedir el acceso al goce de los bienes que constituyen el objeto del derecho.</w:t>
      </w:r>
    </w:p>
    <w:p w14:paraId="05F76186" w14:textId="77777777" w:rsidR="00AD59FF" w:rsidRPr="00CF2780" w:rsidRDefault="00AD59FF" w:rsidP="00AD59FF">
      <w:pPr>
        <w:spacing w:after="0" w:line="360" w:lineRule="auto"/>
        <w:ind w:left="1068"/>
        <w:jc w:val="both"/>
        <w:rPr>
          <w:rFonts w:ascii="Arial" w:eastAsia="Times New Roman" w:hAnsi="Arial" w:cs="Arial"/>
          <w:sz w:val="28"/>
          <w:szCs w:val="28"/>
          <w:lang w:val="es-ES" w:eastAsia="es-ES"/>
        </w:rPr>
      </w:pPr>
    </w:p>
    <w:p w14:paraId="7E650A2C" w14:textId="77777777" w:rsidR="00AD59FF" w:rsidRPr="00CF2780" w:rsidRDefault="00AD59FF" w:rsidP="001C6A89">
      <w:pPr>
        <w:numPr>
          <w:ilvl w:val="0"/>
          <w:numId w:val="10"/>
        </w:num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i/>
          <w:sz w:val="28"/>
          <w:szCs w:val="28"/>
          <w:lang w:val="es-ES" w:eastAsia="es-ES"/>
        </w:rPr>
        <w:t>Obligaciones de protección</w:t>
      </w:r>
      <w:r w:rsidRPr="00CF2780">
        <w:rPr>
          <w:rFonts w:ascii="Arial" w:eastAsia="Times New Roman" w:hAnsi="Arial" w:cs="Arial"/>
          <w:sz w:val="28"/>
          <w:szCs w:val="28"/>
          <w:lang w:val="es-ES" w:eastAsia="es-ES"/>
        </w:rPr>
        <w:t>: las cuales consisten esencialmente en impedir que terceros, como son las personas físicas y jurídicas de carácter privado, injieran, obstaculicen o impidan el acceso a esos bienes.</w:t>
      </w:r>
    </w:p>
    <w:p w14:paraId="0544388B" w14:textId="77777777" w:rsidR="00AD59FF" w:rsidRPr="00CF2780" w:rsidRDefault="00AD59FF" w:rsidP="00AD59FF">
      <w:pPr>
        <w:spacing w:after="200" w:line="276" w:lineRule="auto"/>
        <w:ind w:left="720"/>
        <w:contextualSpacing/>
        <w:rPr>
          <w:rFonts w:ascii="Arial" w:eastAsia="Calibri" w:hAnsi="Arial" w:cs="Arial"/>
          <w:sz w:val="28"/>
          <w:szCs w:val="28"/>
        </w:rPr>
      </w:pPr>
    </w:p>
    <w:p w14:paraId="2539D808" w14:textId="77777777" w:rsidR="00AD59FF" w:rsidRPr="00CF2780" w:rsidRDefault="00AD59FF" w:rsidP="001C6A89">
      <w:pPr>
        <w:numPr>
          <w:ilvl w:val="0"/>
          <w:numId w:val="10"/>
        </w:num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i/>
          <w:sz w:val="28"/>
          <w:szCs w:val="28"/>
          <w:lang w:val="es-ES" w:eastAsia="es-ES"/>
        </w:rPr>
        <w:t>Obligaciones de garantía</w:t>
      </w:r>
      <w:r w:rsidRPr="00CF2780">
        <w:rPr>
          <w:rFonts w:ascii="Arial" w:eastAsia="Times New Roman" w:hAnsi="Arial" w:cs="Arial"/>
          <w:sz w:val="28"/>
          <w:szCs w:val="28"/>
          <w:lang w:val="es-ES" w:eastAsia="es-ES"/>
        </w:rPr>
        <w:t>: suponen establecer los mecanismos necesarios a fin de permitir que el titular del derecho acceda al bien cuando no pueda hacerlo por sí mismo.</w:t>
      </w:r>
    </w:p>
    <w:p w14:paraId="372172D7" w14:textId="77777777" w:rsidR="00AD59FF" w:rsidRPr="00CF2780" w:rsidRDefault="00AD59FF" w:rsidP="00AD59FF">
      <w:pPr>
        <w:spacing w:after="200" w:line="276" w:lineRule="auto"/>
        <w:ind w:left="720"/>
        <w:contextualSpacing/>
        <w:rPr>
          <w:rFonts w:ascii="Arial" w:eastAsia="Calibri" w:hAnsi="Arial" w:cs="Arial"/>
          <w:sz w:val="28"/>
          <w:szCs w:val="28"/>
        </w:rPr>
      </w:pPr>
    </w:p>
    <w:p w14:paraId="193F63F8" w14:textId="77777777" w:rsidR="00AD59FF" w:rsidRPr="00CF2780" w:rsidRDefault="00AD59FF" w:rsidP="001C6A89">
      <w:pPr>
        <w:numPr>
          <w:ilvl w:val="0"/>
          <w:numId w:val="10"/>
        </w:num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i/>
          <w:sz w:val="28"/>
          <w:szCs w:val="28"/>
          <w:lang w:val="es-ES" w:eastAsia="es-ES"/>
        </w:rPr>
        <w:t>Obligaciones de promoción</w:t>
      </w:r>
      <w:r w:rsidRPr="00CF2780">
        <w:rPr>
          <w:rFonts w:ascii="Arial" w:eastAsia="Times New Roman" w:hAnsi="Arial" w:cs="Arial"/>
          <w:sz w:val="28"/>
          <w:szCs w:val="28"/>
          <w:lang w:val="es-ES" w:eastAsia="es-ES"/>
        </w:rPr>
        <w:t>:</w:t>
      </w:r>
      <w:r w:rsidRPr="00CF2780">
        <w:rPr>
          <w:rFonts w:ascii="Arial" w:eastAsia="Times New Roman" w:hAnsi="Arial" w:cs="Arial"/>
          <w:i/>
          <w:sz w:val="28"/>
          <w:szCs w:val="28"/>
          <w:lang w:val="es-ES" w:eastAsia="es-ES"/>
        </w:rPr>
        <w:t xml:space="preserve"> </w:t>
      </w:r>
      <w:r w:rsidRPr="00CF2780">
        <w:rPr>
          <w:rFonts w:ascii="Arial" w:eastAsia="Times New Roman" w:hAnsi="Arial" w:cs="Arial"/>
          <w:sz w:val="28"/>
          <w:szCs w:val="28"/>
          <w:lang w:val="es-ES" w:eastAsia="es-ES"/>
        </w:rPr>
        <w:t>se caracterizan por el deber de desarrollar las condiciones para que los titulares del derecho accedan al bien y que puede traducirse en la directa provisión de medios para ello.</w:t>
      </w:r>
    </w:p>
    <w:p w14:paraId="2FEAEDF9" w14:textId="77777777" w:rsidR="00AD59FF" w:rsidRPr="00CF2780" w:rsidRDefault="00AD59FF" w:rsidP="00AD59FF">
      <w:pPr>
        <w:spacing w:after="0" w:line="360" w:lineRule="auto"/>
        <w:ind w:left="708"/>
        <w:jc w:val="both"/>
        <w:rPr>
          <w:rFonts w:ascii="Arial" w:eastAsia="Times New Roman" w:hAnsi="Arial" w:cs="Arial"/>
          <w:sz w:val="28"/>
          <w:szCs w:val="28"/>
          <w:lang w:val="es-ES" w:eastAsia="es-ES"/>
        </w:rPr>
      </w:pPr>
    </w:p>
    <w:p w14:paraId="62B82ADE" w14:textId="77777777" w:rsidR="00AD59FF" w:rsidRPr="00CF2780" w:rsidRDefault="00AD59FF" w:rsidP="00AD59FF">
      <w:pPr>
        <w:spacing w:after="0" w:line="360" w:lineRule="auto"/>
        <w:ind w:left="70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Al respecto debe considerarse que en el sistema universal de derechos humanos, la distinción entre los diferentes tipos de obligaciones ha sido asumida por los principales documentos interpretativos del Pacto Internacional de Derechos Económicos, Sociales y Culturales, aunque con la característica de que en tales documentos se habla de obligaciones de respeto, protección y de cumplimiento o satisfacción, en la cual se engloban las obligaciones de garantía y promoción a que se refiere el texto constitucional. </w:t>
      </w:r>
    </w:p>
    <w:p w14:paraId="4E517671" w14:textId="77777777" w:rsidR="00AD59FF" w:rsidRPr="00CF2780" w:rsidRDefault="00AD59FF" w:rsidP="00AD59FF">
      <w:pPr>
        <w:spacing w:after="0" w:line="360" w:lineRule="auto"/>
        <w:ind w:left="708"/>
        <w:jc w:val="both"/>
        <w:rPr>
          <w:rFonts w:ascii="Arial" w:eastAsia="Times New Roman" w:hAnsi="Arial" w:cs="Arial"/>
          <w:sz w:val="28"/>
          <w:szCs w:val="28"/>
          <w:lang w:val="es-ES" w:eastAsia="es-ES"/>
        </w:rPr>
      </w:pPr>
    </w:p>
    <w:p w14:paraId="2639A731" w14:textId="77777777" w:rsidR="00AD59FF" w:rsidRPr="00CF2780" w:rsidRDefault="00AD59FF" w:rsidP="00AD59FF">
      <w:pPr>
        <w:spacing w:after="0" w:line="360" w:lineRule="auto"/>
        <w:ind w:left="70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Así, por ejemplo, en el parágrafo 15 de la Observación General número 12: “El derecho a una alimentación adecuada (artículo </w:t>
      </w:r>
      <w:r w:rsidRPr="00CF2780">
        <w:rPr>
          <w:rFonts w:ascii="Arial" w:eastAsia="Times New Roman" w:hAnsi="Arial" w:cs="Arial"/>
          <w:sz w:val="28"/>
          <w:szCs w:val="28"/>
          <w:lang w:val="es-ES" w:eastAsia="es-ES"/>
        </w:rPr>
        <w:lastRenderedPageBreak/>
        <w:t>11)” emitida por del Comité de Derechos Económicos, Sociales y Culturales se manifiesta:</w:t>
      </w:r>
    </w:p>
    <w:p w14:paraId="0CCFC9FC" w14:textId="77777777" w:rsidR="00AD59FF" w:rsidRPr="00CF2780" w:rsidRDefault="00AD59FF" w:rsidP="00AD59FF">
      <w:pPr>
        <w:spacing w:after="0" w:line="360" w:lineRule="auto"/>
        <w:ind w:left="708"/>
        <w:jc w:val="both"/>
        <w:rPr>
          <w:rFonts w:ascii="Arial" w:eastAsia="Times New Roman" w:hAnsi="Arial" w:cs="Arial"/>
          <w:sz w:val="28"/>
          <w:szCs w:val="28"/>
          <w:lang w:val="es-ES" w:eastAsia="es-ES"/>
        </w:rPr>
      </w:pPr>
    </w:p>
    <w:p w14:paraId="1A849174" w14:textId="77777777" w:rsidR="00AD59FF" w:rsidRPr="00CF2780" w:rsidRDefault="00AD59FF" w:rsidP="00AD59FF">
      <w:pPr>
        <w:spacing w:after="0" w:line="240" w:lineRule="auto"/>
        <w:ind w:left="1416"/>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 xml:space="preserve">“15. El derecho a la alimentación adecuada, al igual que cualquier otro derecho humano, impone tres tipos o niveles de obligaciones a los Estados Partes: las </w:t>
      </w:r>
      <w:r w:rsidRPr="00CF2780">
        <w:rPr>
          <w:rFonts w:ascii="Arial" w:eastAsia="Times New Roman" w:hAnsi="Arial" w:cs="Arial"/>
          <w:b/>
          <w:sz w:val="24"/>
          <w:szCs w:val="24"/>
          <w:lang w:val="es-ES" w:eastAsia="es-ES"/>
        </w:rPr>
        <w:t>obligaciones de respetar, proteger y realizar</w:t>
      </w:r>
      <w:r w:rsidRPr="00CF2780">
        <w:rPr>
          <w:rFonts w:ascii="Arial" w:eastAsia="Times New Roman" w:hAnsi="Arial" w:cs="Arial"/>
          <w:sz w:val="24"/>
          <w:szCs w:val="24"/>
          <w:lang w:val="es-ES" w:eastAsia="es-ES"/>
        </w:rPr>
        <w:t xml:space="preserve">. A su vez, </w:t>
      </w:r>
      <w:r w:rsidRPr="00CF2780">
        <w:rPr>
          <w:rFonts w:ascii="Arial" w:eastAsia="Times New Roman" w:hAnsi="Arial" w:cs="Arial"/>
          <w:b/>
          <w:sz w:val="24"/>
          <w:szCs w:val="24"/>
          <w:lang w:val="es-ES" w:eastAsia="es-ES"/>
        </w:rPr>
        <w:t>la obligación de realizar entraña tanto la obligación de facilitar como la obligación de hacer efectivo</w:t>
      </w:r>
      <w:r w:rsidRPr="00CF2780">
        <w:rPr>
          <w:rFonts w:ascii="Arial" w:eastAsia="Times New Roman" w:hAnsi="Arial" w:cs="Arial"/>
          <w:sz w:val="24"/>
          <w:szCs w:val="24"/>
          <w:lang w:val="es-ES" w:eastAsia="es-ES"/>
        </w:rPr>
        <w:t xml:space="preserve"> (</w:t>
      </w:r>
      <w:hyperlink r:id="rId17" w:anchor="1%2F" w:history="1">
        <w:r w:rsidRPr="00CF2780">
          <w:rPr>
            <w:rFonts w:ascii="Arial" w:eastAsia="Times New Roman" w:hAnsi="Arial" w:cs="Arial"/>
            <w:sz w:val="24"/>
            <w:szCs w:val="24"/>
            <w:lang w:val="es-ES" w:eastAsia="es-ES"/>
          </w:rPr>
          <w:t>1</w:t>
        </w:r>
      </w:hyperlink>
      <w:r w:rsidRPr="00CF2780">
        <w:rPr>
          <w:rFonts w:ascii="Arial" w:eastAsia="Times New Roman" w:hAnsi="Arial" w:cs="Arial"/>
          <w:sz w:val="24"/>
          <w:szCs w:val="24"/>
          <w:lang w:val="es-ES" w:eastAsia="es-ES"/>
        </w:rPr>
        <w:t xml:space="preserve">). La obligación de respetar el acceso existente a una alimentación adecuada requiere que los Estados no adopten medidas de ningún tipo que tengan por resultado impedir ese acceso. La obligación de proteger requiere que el Estado Parte adopte medidas para velar por que las empresas o los particulares no priven a las personas del acceso a una alimentación adecuada. La obligación de realizar (facilitar) significa que el Estado debe procurar iniciar actividades con el fin de fortalecer el acceso y la utilización por parte de la población de los recursos y medios que aseguren sus medios de vida, incluida la seguridad alimentaria. Por último, cuando un individuo o un grupo sea incapaz, por razones que escapen a su control, de disfrutar el derecho a una alimentación adecuada por los medios a su alcance, los Estados tienen la obligación de realizar (hacer efectivo) ese derecho directamente. Esta obligación también se aplica a las personas que son víctimas de catástrofes naturales o de otra índole. </w:t>
      </w:r>
    </w:p>
    <w:p w14:paraId="6ACCDEDD" w14:textId="77777777" w:rsidR="00AD59FF" w:rsidRPr="00CF2780" w:rsidRDefault="00AD59FF" w:rsidP="00AD59FF">
      <w:pPr>
        <w:spacing w:after="0" w:line="360" w:lineRule="auto"/>
        <w:ind w:left="708"/>
        <w:jc w:val="both"/>
        <w:rPr>
          <w:rFonts w:ascii="Arial" w:eastAsia="Times New Roman" w:hAnsi="Arial" w:cs="Arial"/>
          <w:sz w:val="28"/>
          <w:szCs w:val="28"/>
          <w:lang w:val="es-ES" w:eastAsia="es-ES"/>
        </w:rPr>
      </w:pPr>
    </w:p>
    <w:p w14:paraId="508EA850" w14:textId="77777777" w:rsidR="00AD59FF" w:rsidRPr="00CF2780" w:rsidRDefault="00AD59FF" w:rsidP="00AD59FF">
      <w:pPr>
        <w:spacing w:after="0" w:line="360" w:lineRule="auto"/>
        <w:ind w:left="70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En el mismo sentido, los parágrafos 46 y 47 de la Observación General número 13: “El derecho a la educación (artículo 13)” emitida por del Comité de Derechos Económicos, Sociales y Culturales expresan:</w:t>
      </w:r>
    </w:p>
    <w:p w14:paraId="0BDBF1C9" w14:textId="77777777" w:rsidR="00AD59FF" w:rsidRPr="00CF2780" w:rsidRDefault="00AD59FF" w:rsidP="00AD59FF">
      <w:pPr>
        <w:spacing w:after="0" w:line="360" w:lineRule="auto"/>
        <w:ind w:left="708"/>
        <w:jc w:val="both"/>
        <w:rPr>
          <w:rFonts w:ascii="Arial" w:eastAsia="Times New Roman" w:hAnsi="Arial" w:cs="Arial"/>
          <w:sz w:val="28"/>
          <w:szCs w:val="28"/>
          <w:lang w:val="es-ES" w:eastAsia="es-ES"/>
        </w:rPr>
      </w:pPr>
    </w:p>
    <w:p w14:paraId="0FD77501" w14:textId="77777777" w:rsidR="00AD59FF" w:rsidRPr="00CF2780" w:rsidRDefault="00AD59FF" w:rsidP="00AD59FF">
      <w:pPr>
        <w:spacing w:after="0" w:line="240" w:lineRule="auto"/>
        <w:ind w:left="1416"/>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 xml:space="preserve">“46. El derecho a la educación, como todos los derechos humanos, impone </w:t>
      </w:r>
      <w:r w:rsidRPr="00CF2780">
        <w:rPr>
          <w:rFonts w:ascii="Arial" w:eastAsia="Times New Roman" w:hAnsi="Arial" w:cs="Arial"/>
          <w:b/>
          <w:sz w:val="24"/>
          <w:szCs w:val="24"/>
          <w:lang w:val="es-ES" w:eastAsia="es-ES"/>
        </w:rPr>
        <w:t>tres tipos o niveles de obligaciones a los Estados Partes: las obligaciones de respetar, de proteger y de cumplir.  A su vez, la obligación de cumplir consta de la obligación de facilitar y la obligación de proveer.</w:t>
      </w:r>
    </w:p>
    <w:p w14:paraId="57B057B1" w14:textId="77777777" w:rsidR="00AD59FF" w:rsidRPr="00CF2780" w:rsidRDefault="00AD59FF" w:rsidP="00AD59FF">
      <w:pPr>
        <w:spacing w:after="0" w:line="240" w:lineRule="auto"/>
        <w:ind w:left="1416"/>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 xml:space="preserve">47. La obligación de respetar exige que los Estados Partes eviten las medidas que obstaculicen o impidan el disfrute del derecho a la educación.  La obligación de proteger impone a los Estados Partes adoptar medidas que eviten que el derecho a la educación sea obstaculizado por terceros.  La de dar cumplimiento (facilitar) exige que los Estados adopten medidas positivas que permitan a individuos </w:t>
      </w:r>
      <w:r w:rsidRPr="00CF2780">
        <w:rPr>
          <w:rFonts w:ascii="Arial" w:eastAsia="Times New Roman" w:hAnsi="Arial" w:cs="Arial"/>
          <w:sz w:val="24"/>
          <w:szCs w:val="24"/>
          <w:lang w:val="es-ES" w:eastAsia="es-ES"/>
        </w:rPr>
        <w:lastRenderedPageBreak/>
        <w:t>y comunidades disfrutar del derecho a la educación y les presten asistencia.  Por último, los Estados Partes tienen la obligación de dar cumplimiento (facilitar el) al derecho a la educación.  Como norma general, los Estados Partes están obligados a dar cumplimiento a (facilitar) un derecho concreto del Pacto cada vez que un individuo o grupo no puede, por razones ajenas a su voluntad, poner en práctica el derecho por sí mismo con los recursos a su disposición.  No obstante, el alcance de esta obligación está supeditado siempre al texto del Pacto”.</w:t>
      </w:r>
    </w:p>
    <w:p w14:paraId="23210136" w14:textId="77777777" w:rsidR="00AD59FF" w:rsidRPr="00CF2780" w:rsidRDefault="00AD59FF" w:rsidP="00AD59FF">
      <w:pPr>
        <w:spacing w:after="0" w:line="360" w:lineRule="auto"/>
        <w:ind w:left="708"/>
        <w:jc w:val="both"/>
        <w:rPr>
          <w:rFonts w:ascii="Arial" w:eastAsia="Times New Roman" w:hAnsi="Arial" w:cs="Arial"/>
          <w:sz w:val="28"/>
          <w:szCs w:val="28"/>
          <w:lang w:val="es-ES" w:eastAsia="es-ES"/>
        </w:rPr>
      </w:pPr>
    </w:p>
    <w:p w14:paraId="44383B46" w14:textId="77777777" w:rsidR="00AD59FF" w:rsidRPr="00CF2780" w:rsidRDefault="00AD59FF" w:rsidP="00AD59FF">
      <w:pPr>
        <w:spacing w:after="0" w:line="360" w:lineRule="auto"/>
        <w:ind w:left="70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En igual sentido, el parágrafo 33 de la Observación General número 14 “El derecho al disfrute del más alto nivel posible de salud (artículo 12)” emitida por del Comité de Derechos Económicos, Sociales y Culturales señala:</w:t>
      </w:r>
    </w:p>
    <w:p w14:paraId="3C46D149" w14:textId="77777777" w:rsidR="00AD59FF" w:rsidRPr="00CF2780" w:rsidRDefault="00AD59FF" w:rsidP="00AD59FF">
      <w:pPr>
        <w:spacing w:after="0" w:line="240" w:lineRule="auto"/>
        <w:ind w:left="1416"/>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 xml:space="preserve">“33. Al igual que todos los derechos humanos, el derecho a la salud impone tres tipos o niveles de obligaciones a los Estados Partes: </w:t>
      </w:r>
      <w:r w:rsidRPr="00CF2780">
        <w:rPr>
          <w:rFonts w:ascii="Arial" w:eastAsia="Times New Roman" w:hAnsi="Arial" w:cs="Arial"/>
          <w:b/>
          <w:sz w:val="24"/>
          <w:szCs w:val="24"/>
          <w:lang w:val="es-ES" w:eastAsia="es-ES"/>
        </w:rPr>
        <w:t>la obligación de respetar, proteger y cumplir</w:t>
      </w:r>
      <w:r w:rsidRPr="00CF2780">
        <w:rPr>
          <w:rFonts w:ascii="Arial" w:eastAsia="Times New Roman" w:hAnsi="Arial" w:cs="Arial"/>
          <w:sz w:val="24"/>
          <w:szCs w:val="24"/>
          <w:lang w:val="es-ES" w:eastAsia="es-ES"/>
        </w:rPr>
        <w:t>. A su vez, la obligación de cumplir comprende la obligación de facilitar, proporcionar y promover. La obligación de respetar exige que los Estados se abstengan de injerirse directa o indirectamente en el disfrute del derecho a la salud. La obligación de proteger requiere que los Estados adopten medidas para impedir que terceros interfieran en la aplicación de las garantías prevista en el artículo. Por último, la obligación de cumplir requiere que los Estados adopten medidas apropiadas de carácter legislativo, administrativo, presupuestario, judicial o de otra índole para dar plena efectividad al derecho a la salud”.</w:t>
      </w:r>
    </w:p>
    <w:p w14:paraId="03D7A3BB" w14:textId="77777777" w:rsidR="00AD59FF" w:rsidRPr="00CF2780" w:rsidRDefault="00AD59FF" w:rsidP="00AD59FF">
      <w:pPr>
        <w:spacing w:after="0" w:line="360" w:lineRule="auto"/>
        <w:ind w:left="708"/>
        <w:jc w:val="both"/>
        <w:rPr>
          <w:rFonts w:ascii="Arial" w:eastAsia="Times New Roman" w:hAnsi="Arial" w:cs="Arial"/>
          <w:sz w:val="28"/>
          <w:szCs w:val="28"/>
          <w:lang w:val="es-ES" w:eastAsia="es-ES"/>
        </w:rPr>
      </w:pPr>
    </w:p>
    <w:p w14:paraId="02B0F7FB" w14:textId="77777777" w:rsidR="00AD59FF" w:rsidRPr="00CF2780" w:rsidRDefault="00AD59FF" w:rsidP="00AD59FF">
      <w:pPr>
        <w:spacing w:after="0" w:line="360" w:lineRule="auto"/>
        <w:ind w:left="70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En ese mismo orden de ideas, los parágrafos 48 y 51 de la Observación General número 14 “El derecho al disfrute del más alto nivel posible de salud (artículo 12)” emitida por del Comité de Derechos Económicos, Sociales y Culturales disponen:</w:t>
      </w:r>
    </w:p>
    <w:p w14:paraId="5A2610C1" w14:textId="77777777" w:rsidR="00AD59FF" w:rsidRPr="00CF2780" w:rsidRDefault="00AD59FF" w:rsidP="00AD59FF">
      <w:pPr>
        <w:spacing w:after="0" w:line="360" w:lineRule="auto"/>
        <w:ind w:left="708"/>
        <w:jc w:val="both"/>
        <w:rPr>
          <w:rFonts w:ascii="Arial" w:eastAsia="Times New Roman" w:hAnsi="Arial" w:cs="Arial"/>
          <w:sz w:val="28"/>
          <w:szCs w:val="28"/>
          <w:lang w:val="es-ES" w:eastAsia="es-ES"/>
        </w:rPr>
      </w:pPr>
    </w:p>
    <w:p w14:paraId="015D9B47" w14:textId="77777777" w:rsidR="00AD59FF" w:rsidRPr="00CF2780" w:rsidRDefault="00AD59FF" w:rsidP="00AD59FF">
      <w:pPr>
        <w:spacing w:after="0" w:line="240" w:lineRule="auto"/>
        <w:ind w:left="1416"/>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 xml:space="preserve">“48. El derecho de toda persona a participar en la vida cultural, al igual que los otros derechos consagrados en el Pacto, impone a los Estados partes tres tipos o niveles de obligaciones: </w:t>
      </w:r>
      <w:r w:rsidRPr="00CF2780">
        <w:rPr>
          <w:rFonts w:ascii="Arial" w:eastAsia="Times New Roman" w:hAnsi="Arial" w:cs="Arial"/>
          <w:b/>
          <w:sz w:val="24"/>
          <w:szCs w:val="24"/>
          <w:lang w:val="es-ES" w:eastAsia="es-ES"/>
        </w:rPr>
        <w:t>a) la obligación de respetar; b) la obligación de proteger y c) la obligación de cumplir.</w:t>
      </w:r>
      <w:r w:rsidRPr="00CF2780">
        <w:rPr>
          <w:rFonts w:ascii="Arial" w:eastAsia="Times New Roman" w:hAnsi="Arial" w:cs="Arial"/>
          <w:sz w:val="24"/>
          <w:szCs w:val="24"/>
          <w:lang w:val="es-ES" w:eastAsia="es-ES"/>
        </w:rPr>
        <w:t xml:space="preserve"> La obligación de respetar requiere que los Estados partes se abstengan de interferir, directa o indirectamente, en el disfrute del </w:t>
      </w:r>
      <w:r w:rsidRPr="00CF2780">
        <w:rPr>
          <w:rFonts w:ascii="Arial" w:eastAsia="Times New Roman" w:hAnsi="Arial" w:cs="Arial"/>
          <w:sz w:val="24"/>
          <w:szCs w:val="24"/>
          <w:lang w:val="es-ES" w:eastAsia="es-ES"/>
        </w:rPr>
        <w:lastRenderedPageBreak/>
        <w:t>derecho a participar en la vida cultural. La obligación de proteger exige que los Estados partes adopten medidas para impedir que otros actores interfieran con el derecho a participar en la vida cultural. Por último, la obligación de cumplir requiere que los Estados partes adopten las medidas adecuadas legislativas, administrativas, judiciales, presupuestarias, de promoción y de otra índole, destinadas a la plena realización del derecho consagrado en el párrafo 1 a) del artículo 15 del Pacto.</w:t>
      </w:r>
    </w:p>
    <w:p w14:paraId="7F1AB121" w14:textId="77777777" w:rsidR="00AD59FF" w:rsidRPr="00CF2780" w:rsidRDefault="00AD59FF" w:rsidP="00AD59FF">
      <w:pPr>
        <w:spacing w:after="0" w:line="240" w:lineRule="auto"/>
        <w:ind w:left="1416"/>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w:t>
      </w:r>
    </w:p>
    <w:p w14:paraId="3E0A43FD" w14:textId="77777777" w:rsidR="00AD59FF" w:rsidRPr="00CF2780" w:rsidRDefault="00AD59FF" w:rsidP="00AD59FF">
      <w:pPr>
        <w:spacing w:after="0" w:line="240" w:lineRule="auto"/>
        <w:ind w:left="1416"/>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51. La obligación de cumplir puede subdividirse en las obligaciones de facilitar, promover y proporcionar”.</w:t>
      </w:r>
    </w:p>
    <w:p w14:paraId="2ADF0FD0" w14:textId="77777777" w:rsidR="00AD59FF" w:rsidRPr="00CF2780" w:rsidRDefault="00AD59FF" w:rsidP="00AD59FF">
      <w:pPr>
        <w:spacing w:after="0" w:line="360" w:lineRule="auto"/>
        <w:ind w:left="708"/>
        <w:jc w:val="both"/>
        <w:rPr>
          <w:rFonts w:ascii="Arial" w:eastAsia="Times New Roman" w:hAnsi="Arial" w:cs="Arial"/>
          <w:sz w:val="28"/>
          <w:szCs w:val="28"/>
          <w:lang w:val="es-ES" w:eastAsia="es-ES"/>
        </w:rPr>
      </w:pPr>
    </w:p>
    <w:p w14:paraId="4A6E5C4E" w14:textId="77777777" w:rsidR="00AD59FF" w:rsidRPr="00CF2780" w:rsidRDefault="00AD59FF" w:rsidP="00AD59FF">
      <w:pPr>
        <w:spacing w:after="0" w:line="360" w:lineRule="auto"/>
        <w:ind w:left="708"/>
        <w:jc w:val="both"/>
        <w:rPr>
          <w:rFonts w:ascii="Arial" w:eastAsia="Times New Roman" w:hAnsi="Arial" w:cs="Arial"/>
          <w:sz w:val="28"/>
          <w:szCs w:val="28"/>
          <w:lang w:val="es-ES" w:eastAsia="es-ES"/>
        </w:rPr>
      </w:pPr>
    </w:p>
    <w:p w14:paraId="06D7E997" w14:textId="77777777" w:rsidR="00AD59FF" w:rsidRPr="00CF2780" w:rsidRDefault="00AD59FF" w:rsidP="00AD59FF">
      <w:pPr>
        <w:spacing w:after="0" w:line="360" w:lineRule="auto"/>
        <w:ind w:left="70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Ahora bien, el establecimiento de este repertorio de obligaciones generales en materia de derechos humanos implica la adopción de una concepción moderna de derechos humanos, en donde éstos son concebidos como prerrogativas de carácter universal, que implican obligaciones negativas y positivas, además obligaciones encaminadas a la protección de los derechos incluso de injerencias arbitrarias llevadas a cabo por actos de particulares.</w:t>
      </w:r>
    </w:p>
    <w:p w14:paraId="242903C0" w14:textId="77777777" w:rsidR="00AD59FF" w:rsidRPr="00CF2780" w:rsidRDefault="00AD59FF" w:rsidP="00AD59FF">
      <w:pPr>
        <w:spacing w:after="0" w:line="360" w:lineRule="auto"/>
        <w:ind w:left="708"/>
        <w:jc w:val="both"/>
        <w:rPr>
          <w:rFonts w:ascii="Arial" w:eastAsia="Times New Roman" w:hAnsi="Arial" w:cs="Arial"/>
          <w:sz w:val="28"/>
          <w:szCs w:val="28"/>
          <w:lang w:val="es-ES" w:eastAsia="es-ES"/>
        </w:rPr>
      </w:pPr>
    </w:p>
    <w:p w14:paraId="54819193" w14:textId="77777777" w:rsidR="00AD59FF" w:rsidRPr="00CF2780" w:rsidRDefault="00AD59FF" w:rsidP="00AD59FF">
      <w:pPr>
        <w:spacing w:after="0" w:line="360" w:lineRule="auto"/>
        <w:ind w:left="70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Asimismo, en la aplicación y cumplimiento de este repertorio de obligaciones se deben observar los principios siguientes:</w:t>
      </w:r>
    </w:p>
    <w:p w14:paraId="09BA906B" w14:textId="77777777" w:rsidR="00AD59FF" w:rsidRPr="00CF2780" w:rsidRDefault="00AD59FF" w:rsidP="00AD59FF">
      <w:pPr>
        <w:spacing w:after="0" w:line="360" w:lineRule="auto"/>
        <w:ind w:left="708"/>
        <w:jc w:val="both"/>
        <w:rPr>
          <w:rFonts w:ascii="Arial" w:eastAsia="Times New Roman" w:hAnsi="Arial" w:cs="Arial"/>
          <w:sz w:val="28"/>
          <w:szCs w:val="28"/>
          <w:lang w:val="es-ES" w:eastAsia="es-ES"/>
        </w:rPr>
      </w:pPr>
    </w:p>
    <w:p w14:paraId="55430E72" w14:textId="77777777" w:rsidR="00AD59FF" w:rsidRPr="00CF2780" w:rsidRDefault="00AD59FF" w:rsidP="001C6A89">
      <w:pPr>
        <w:numPr>
          <w:ilvl w:val="0"/>
          <w:numId w:val="11"/>
        </w:num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i/>
          <w:sz w:val="28"/>
          <w:szCs w:val="28"/>
          <w:lang w:val="es-ES" w:eastAsia="es-ES"/>
        </w:rPr>
        <w:t>Universalidad</w:t>
      </w:r>
      <w:r w:rsidRPr="00CF2780">
        <w:rPr>
          <w:rFonts w:ascii="Arial" w:eastAsia="Times New Roman" w:hAnsi="Arial" w:cs="Arial"/>
          <w:sz w:val="28"/>
          <w:szCs w:val="28"/>
          <w:lang w:val="es-ES" w:eastAsia="es-ES"/>
        </w:rPr>
        <w:t>, conforme al cual se reconoce a todas las personas todos los derechos sin discriminación de ninguna índole, lo que trae como consecuencia que tales derechos son exigibles por todos los seres humanos en cualquier contexto político, jurídico, social, y cultural, así como en cualquier momento y lugar.</w:t>
      </w:r>
    </w:p>
    <w:p w14:paraId="088E0063" w14:textId="77777777" w:rsidR="00AD59FF" w:rsidRPr="00CF2780" w:rsidRDefault="00AD59FF" w:rsidP="00AD59FF">
      <w:pPr>
        <w:spacing w:after="0" w:line="360" w:lineRule="auto"/>
        <w:ind w:left="1068"/>
        <w:jc w:val="both"/>
        <w:rPr>
          <w:rFonts w:ascii="Arial" w:eastAsia="Times New Roman" w:hAnsi="Arial" w:cs="Arial"/>
          <w:sz w:val="28"/>
          <w:szCs w:val="28"/>
          <w:lang w:val="es-ES" w:eastAsia="es-ES"/>
        </w:rPr>
      </w:pPr>
    </w:p>
    <w:p w14:paraId="4AB188B1" w14:textId="77777777" w:rsidR="00AD59FF" w:rsidRPr="00CF2780" w:rsidRDefault="00AD59FF" w:rsidP="00AD59FF">
      <w:pPr>
        <w:spacing w:after="0" w:line="360" w:lineRule="auto"/>
        <w:ind w:left="106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lastRenderedPageBreak/>
        <w:t>El principio de universalidad permite la ampliación de los titulares de los derechos y/o de las circunstancias protegidas por esos derechos.</w:t>
      </w:r>
    </w:p>
    <w:p w14:paraId="17D5C705" w14:textId="77777777" w:rsidR="00AD59FF" w:rsidRPr="00CF2780" w:rsidRDefault="00AD59FF" w:rsidP="00AD59FF">
      <w:pPr>
        <w:spacing w:after="0" w:line="360" w:lineRule="auto"/>
        <w:ind w:left="1068"/>
        <w:jc w:val="both"/>
        <w:rPr>
          <w:rFonts w:ascii="Arial" w:eastAsia="Times New Roman" w:hAnsi="Arial" w:cs="Arial"/>
          <w:sz w:val="28"/>
          <w:szCs w:val="28"/>
          <w:lang w:val="es-ES" w:eastAsia="es-ES"/>
        </w:rPr>
      </w:pPr>
    </w:p>
    <w:p w14:paraId="7F40C0B0" w14:textId="77777777" w:rsidR="00AD59FF" w:rsidRPr="00CF2780" w:rsidRDefault="00AD59FF" w:rsidP="001C6A89">
      <w:pPr>
        <w:numPr>
          <w:ilvl w:val="0"/>
          <w:numId w:val="11"/>
        </w:num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i/>
          <w:sz w:val="28"/>
          <w:szCs w:val="28"/>
          <w:lang w:val="es-ES" w:eastAsia="es-ES"/>
        </w:rPr>
        <w:t>Indivisibilidad e interdependencia</w:t>
      </w:r>
      <w:r w:rsidRPr="00CF2780">
        <w:rPr>
          <w:rFonts w:ascii="Arial" w:eastAsia="Times New Roman" w:hAnsi="Arial" w:cs="Arial"/>
          <w:sz w:val="28"/>
          <w:szCs w:val="28"/>
          <w:lang w:val="es-ES" w:eastAsia="es-ES"/>
        </w:rPr>
        <w:t>, por el que se reconoce que los derechos civiles, políticos, económicos, sociales y culturales, deben ser entendidos integralmente como derechos humanos, sin jerarquía entre sí y exigibles en todos los casos ante las autoridades competentes para ello (Parágrafo 101 de la sentencia de primero de julio de dos mil nueve dictada por la Corte Interamericana Derechos Humanos, en el caso Acevedo Buendía y otros vs. Perú, 2009).</w:t>
      </w:r>
    </w:p>
    <w:p w14:paraId="722D10C7" w14:textId="77777777" w:rsidR="00AD59FF" w:rsidRPr="00CF2780" w:rsidRDefault="00AD59FF" w:rsidP="00AD59FF">
      <w:pPr>
        <w:spacing w:after="0" w:line="360" w:lineRule="auto"/>
        <w:jc w:val="both"/>
        <w:rPr>
          <w:rFonts w:ascii="Arial" w:eastAsia="Times New Roman" w:hAnsi="Arial" w:cs="Arial"/>
          <w:sz w:val="28"/>
          <w:szCs w:val="28"/>
          <w:lang w:val="es-ES" w:eastAsia="es-ES"/>
        </w:rPr>
      </w:pPr>
    </w:p>
    <w:p w14:paraId="45E99169" w14:textId="77777777" w:rsidR="00AD59FF" w:rsidRPr="00CF2780" w:rsidRDefault="00AD59FF" w:rsidP="00AD59FF">
      <w:pPr>
        <w:spacing w:after="0" w:line="360" w:lineRule="auto"/>
        <w:ind w:left="106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El principio de indivisibilidad implica observar de forma holística a los derechos humanos, esto es, como una estructura en la cual el valor e importancia de cada derecho se incrementado por la presencia de los otros, de tal manera que no deben tomarse como elementos aislados o separados, sino como un conjunto.</w:t>
      </w:r>
    </w:p>
    <w:p w14:paraId="2C7C515F" w14:textId="77777777" w:rsidR="00AD59FF" w:rsidRPr="00CF2780" w:rsidRDefault="00AD59FF" w:rsidP="00AD59FF">
      <w:pPr>
        <w:spacing w:after="0" w:line="360" w:lineRule="auto"/>
        <w:ind w:left="1068"/>
        <w:jc w:val="both"/>
        <w:rPr>
          <w:rFonts w:ascii="Arial" w:eastAsia="Times New Roman" w:hAnsi="Arial" w:cs="Arial"/>
          <w:sz w:val="28"/>
          <w:szCs w:val="28"/>
          <w:lang w:val="es-ES" w:eastAsia="es-ES"/>
        </w:rPr>
      </w:pPr>
    </w:p>
    <w:p w14:paraId="384A7664" w14:textId="77777777" w:rsidR="00AD59FF" w:rsidRPr="00CF2780" w:rsidRDefault="00AD59FF" w:rsidP="00AD59FF">
      <w:pPr>
        <w:spacing w:after="0" w:line="360" w:lineRule="auto"/>
        <w:ind w:left="106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Por su parte, el principio de interdependencia implica la existencia de relaciones recíprocas entre todos los derechos humanos, en cuanto son todos son indispensables para realizar el ideal del ser humano libre como establece el preámbulo de los dos pactos internacionales referidos, de tal forma quelas autoridades deben promover y proteger todos esos derechos en forma global.</w:t>
      </w:r>
    </w:p>
    <w:p w14:paraId="1BAC9BBE" w14:textId="77777777" w:rsidR="00AD59FF" w:rsidRPr="00CF2780" w:rsidRDefault="00AD59FF" w:rsidP="00AD59FF">
      <w:pPr>
        <w:spacing w:after="0" w:line="360" w:lineRule="auto"/>
        <w:ind w:left="1068"/>
        <w:jc w:val="both"/>
        <w:rPr>
          <w:rFonts w:ascii="Arial" w:eastAsia="Times New Roman" w:hAnsi="Arial" w:cs="Arial"/>
          <w:sz w:val="28"/>
          <w:szCs w:val="28"/>
          <w:lang w:val="es-ES" w:eastAsia="es-ES"/>
        </w:rPr>
      </w:pPr>
    </w:p>
    <w:p w14:paraId="47DF9174" w14:textId="77777777" w:rsidR="00AD59FF" w:rsidRPr="00CF2780" w:rsidRDefault="00AD59FF" w:rsidP="001C6A89">
      <w:pPr>
        <w:numPr>
          <w:ilvl w:val="0"/>
          <w:numId w:val="11"/>
        </w:num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i/>
          <w:sz w:val="28"/>
          <w:szCs w:val="28"/>
          <w:lang w:val="es-ES" w:eastAsia="es-ES"/>
        </w:rPr>
        <w:t>Progresividad</w:t>
      </w:r>
      <w:r w:rsidRPr="00CF2780">
        <w:rPr>
          <w:rFonts w:ascii="Arial" w:eastAsia="Times New Roman" w:hAnsi="Arial" w:cs="Arial"/>
          <w:sz w:val="28"/>
          <w:szCs w:val="28"/>
          <w:lang w:val="es-ES" w:eastAsia="es-ES"/>
        </w:rPr>
        <w:t>, por el que se busca un desarrollo constante de la satisfacción de los derechos humanos, lo cual necesariamente implica la no regresividad, de tal forma que todo derecho reconocido, o bien, el contenido y alcance que se ha atribuido a ese derecho no puede perder ya ese carácter, salvo que ello se encuentre justificado por razones de suficiente peso (Parágrafo 103 de la sentencia de primero de julio de dos mil nueve dictada por la Corte Interamericana Derechos Humanos, en el caso Acevedo Buendía y otros vs. Perú, 2009).</w:t>
      </w:r>
    </w:p>
    <w:p w14:paraId="66DBE947" w14:textId="77777777" w:rsidR="00AD59FF" w:rsidRPr="00CF2780" w:rsidRDefault="00AD59FF" w:rsidP="00AD59FF">
      <w:pPr>
        <w:spacing w:after="0" w:line="360" w:lineRule="auto"/>
        <w:ind w:left="1068"/>
        <w:jc w:val="both"/>
        <w:rPr>
          <w:rFonts w:ascii="Arial" w:eastAsia="Times New Roman" w:hAnsi="Arial" w:cs="Arial"/>
          <w:sz w:val="28"/>
          <w:szCs w:val="28"/>
          <w:lang w:val="es-ES" w:eastAsia="es-ES"/>
        </w:rPr>
      </w:pPr>
    </w:p>
    <w:p w14:paraId="1D913657" w14:textId="77777777" w:rsidR="00AD59FF" w:rsidRPr="00CF2780" w:rsidRDefault="00AD59FF" w:rsidP="001C6A89">
      <w:pPr>
        <w:numPr>
          <w:ilvl w:val="0"/>
          <w:numId w:val="9"/>
        </w:num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 xml:space="preserve">Reparabilidad de las violaciones a los derechos humanos: </w:t>
      </w:r>
      <w:r w:rsidRPr="00CF2780">
        <w:rPr>
          <w:rFonts w:ascii="Arial" w:eastAsia="Times New Roman" w:hAnsi="Arial" w:cs="Arial"/>
          <w:sz w:val="28"/>
          <w:szCs w:val="28"/>
          <w:lang w:val="es-ES" w:eastAsia="es-ES"/>
        </w:rPr>
        <w:t xml:space="preserve">se establece que el Estado no sólo debe prevenir, investigar y sancionar las violaciones a los derechos humanos, sino también y, principalmente, tiene la obligación de reparar estas violaciones, lo que implica, en primer término, restituir en el goce y ejercicio del derecho violado y, en su caso, utilizar mecanismos de reparación complementaria, subsidiaria o compensatoria. </w:t>
      </w:r>
    </w:p>
    <w:p w14:paraId="66DE7082" w14:textId="77777777" w:rsidR="00AD59FF" w:rsidRPr="00CF2780" w:rsidRDefault="00AD59FF" w:rsidP="00AD59FF">
      <w:pPr>
        <w:spacing w:after="0" w:line="360" w:lineRule="auto"/>
        <w:ind w:left="70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Al respecto, debe considerarse que la plena protección de los derechos humanos implica que ante cualquier violación o conculcación de los mismos, el deber primario del Estado para reparar esta violación consiste precisamente en restituir al afectado en el pleno uso y goce del derecho le haya sido violado, lo que supone el restablecimiento en lo posible de las cosas al estado que guardaban antes de producirse la violación, de manera tal, que se repare completamente la afectación generada al actor (</w:t>
      </w:r>
      <w:r w:rsidRPr="00CF2780">
        <w:rPr>
          <w:rFonts w:ascii="Arial" w:eastAsia="Times New Roman" w:hAnsi="Arial" w:cs="Arial"/>
          <w:i/>
          <w:sz w:val="28"/>
          <w:szCs w:val="28"/>
          <w:lang w:val="es-ES" w:eastAsia="es-ES"/>
        </w:rPr>
        <w:t>restitutio in integrum</w:t>
      </w:r>
      <w:r w:rsidRPr="00CF2780">
        <w:rPr>
          <w:rFonts w:ascii="Arial" w:eastAsia="Times New Roman" w:hAnsi="Arial" w:cs="Arial"/>
          <w:sz w:val="28"/>
          <w:szCs w:val="28"/>
          <w:lang w:val="es-ES" w:eastAsia="es-ES"/>
        </w:rPr>
        <w:t>).</w:t>
      </w:r>
    </w:p>
    <w:p w14:paraId="7E8F214F" w14:textId="77777777" w:rsidR="00AD59FF" w:rsidRPr="00CF2780" w:rsidRDefault="00AD59FF" w:rsidP="00AD59FF">
      <w:pPr>
        <w:spacing w:after="0" w:line="360" w:lineRule="auto"/>
        <w:ind w:left="708"/>
        <w:jc w:val="both"/>
        <w:rPr>
          <w:rFonts w:ascii="Arial" w:eastAsia="Times New Roman" w:hAnsi="Arial" w:cs="Arial"/>
          <w:sz w:val="28"/>
          <w:szCs w:val="28"/>
          <w:lang w:val="es-ES" w:eastAsia="es-ES"/>
        </w:rPr>
      </w:pPr>
    </w:p>
    <w:p w14:paraId="53FDDE17" w14:textId="77777777" w:rsidR="00AD59FF" w:rsidRPr="00CF2780" w:rsidRDefault="00AD59FF" w:rsidP="00AD59FF">
      <w:pPr>
        <w:spacing w:after="0" w:line="360" w:lineRule="auto"/>
        <w:ind w:left="70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Lo anterior responde, además, a los deberes y obligaciones previstas por los tratados internacionales de derechos humanos de los que el Estado Mexicano es Parte, en particular, con lo dispuesto por los artículos 2.3 del Pacto Internacional de Derechos Civiles y 25 de la Convención Americana sobre Derechos Humanos, que disponen, entre otros derechos, el de un recurso sencillo, rápido y efectivo que ampare los derechos fundamentales, entre ellos, los de naturaleza político-electoral; además, los numerales 1 y 2, de la Convención Americana imponen el deber de los Estados, y de todos sus órganos, incluidos los jurisdiccionales, de respetar y garantizar los derechos humanos, lo que implica, entre otras cosas, el deber de prevenir y reparar adecuadamente las violaciones a tales derechos, así como el deber de adoptar las medidas necesarias para hacerlos efectivos.</w:t>
      </w:r>
    </w:p>
    <w:p w14:paraId="4D3E0513" w14:textId="77777777" w:rsidR="00AD59FF" w:rsidRPr="00CF2780" w:rsidRDefault="00AD59FF" w:rsidP="00AD59FF">
      <w:pPr>
        <w:spacing w:after="0" w:line="360" w:lineRule="auto"/>
        <w:ind w:left="708"/>
        <w:jc w:val="both"/>
        <w:rPr>
          <w:rFonts w:ascii="Arial" w:eastAsia="Times New Roman" w:hAnsi="Arial" w:cs="Arial"/>
          <w:sz w:val="28"/>
          <w:szCs w:val="28"/>
          <w:lang w:val="es-ES" w:eastAsia="es-ES"/>
        </w:rPr>
      </w:pPr>
    </w:p>
    <w:p w14:paraId="5F55993F" w14:textId="77777777" w:rsidR="00AD59FF" w:rsidRPr="00CF2780" w:rsidRDefault="00AD59FF" w:rsidP="00AD59FF">
      <w:pPr>
        <w:spacing w:after="0" w:line="360" w:lineRule="auto"/>
        <w:ind w:left="70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La Corte Interamericana de Derechos Humanos ha reiterado que el deber general de adoptar las medidas necesarias para garantizar los derechos humanos, incluye el deber de prevenir y reparar en el ámbito interno las violaciones a los mismos, asimismo, ha precisado que la efectividad de los recursos judiciales conlleva asegurar a las víctimas una adecuada reparación (Parágrafo </w:t>
      </w:r>
      <w:r w:rsidRPr="00CF2780">
        <w:rPr>
          <w:rFonts w:ascii="Arial" w:eastAsia="Times New Roman" w:hAnsi="Arial" w:cs="Arial"/>
          <w:sz w:val="28"/>
          <w:szCs w:val="24"/>
          <w:lang w:val="es-ES" w:eastAsia="es-ES"/>
        </w:rPr>
        <w:t xml:space="preserve">174 de la sentencia del veintinueve de julio de mil novecientos ochenta y ocho en el </w:t>
      </w:r>
      <w:r w:rsidRPr="00CF2780">
        <w:rPr>
          <w:rFonts w:ascii="Arial" w:eastAsia="Times New Roman" w:hAnsi="Arial" w:cs="Arial"/>
          <w:iCs/>
          <w:sz w:val="28"/>
          <w:szCs w:val="24"/>
          <w:lang w:val="es-ES" w:eastAsia="es-ES"/>
        </w:rPr>
        <w:t xml:space="preserve">caso </w:t>
      </w:r>
      <w:r w:rsidRPr="00CF2780">
        <w:rPr>
          <w:rFonts w:ascii="Arial" w:eastAsia="Times New Roman" w:hAnsi="Arial" w:cs="Arial"/>
          <w:i/>
          <w:iCs/>
          <w:sz w:val="28"/>
          <w:szCs w:val="24"/>
          <w:lang w:val="es-ES" w:eastAsia="es-ES"/>
        </w:rPr>
        <w:t>Velásquez Rodríguez vs. Honduras</w:t>
      </w:r>
      <w:r w:rsidRPr="00CF2780">
        <w:rPr>
          <w:rFonts w:ascii="Arial" w:eastAsia="Times New Roman" w:hAnsi="Arial" w:cs="Arial"/>
          <w:sz w:val="28"/>
          <w:szCs w:val="24"/>
          <w:lang w:val="es-ES" w:eastAsia="es-ES"/>
        </w:rPr>
        <w:t xml:space="preserve">, así como </w:t>
      </w:r>
      <w:r w:rsidRPr="00CF2780">
        <w:rPr>
          <w:rFonts w:ascii="Arial" w:eastAsia="Times New Roman" w:hAnsi="Arial" w:cs="Arial"/>
          <w:i/>
          <w:iCs/>
          <w:sz w:val="28"/>
          <w:szCs w:val="24"/>
          <w:lang w:val="es-ES" w:eastAsia="es-ES"/>
        </w:rPr>
        <w:t xml:space="preserve">Garantías judiciales en estados de emergencia </w:t>
      </w:r>
      <w:r w:rsidRPr="00CF2780">
        <w:rPr>
          <w:rFonts w:ascii="Arial" w:eastAsia="Times New Roman" w:hAnsi="Arial" w:cs="Arial"/>
          <w:sz w:val="28"/>
          <w:szCs w:val="24"/>
          <w:lang w:val="es-ES" w:eastAsia="es-ES"/>
        </w:rPr>
        <w:t xml:space="preserve">(artículos 27.2, 25 y 8o. Convención </w:t>
      </w:r>
      <w:r w:rsidRPr="00CF2780">
        <w:rPr>
          <w:rFonts w:ascii="Arial" w:eastAsia="Times New Roman" w:hAnsi="Arial" w:cs="Arial"/>
          <w:sz w:val="28"/>
          <w:szCs w:val="24"/>
          <w:lang w:val="es-ES" w:eastAsia="es-ES"/>
        </w:rPr>
        <w:lastRenderedPageBreak/>
        <w:t>Americana sobre Derechos Humanos), Opinión Consultiva OC-9/87 del 6 de octubre de 1987, Serie A, núm. 9, párrafo 24</w:t>
      </w:r>
      <w:r w:rsidRPr="00CF2780">
        <w:rPr>
          <w:rFonts w:ascii="Arial" w:eastAsia="Times New Roman" w:hAnsi="Arial" w:cs="Arial"/>
          <w:sz w:val="28"/>
          <w:szCs w:val="28"/>
          <w:lang w:val="es-ES" w:eastAsia="es-ES"/>
        </w:rPr>
        <w:t>).</w:t>
      </w:r>
    </w:p>
    <w:p w14:paraId="71E4DC93" w14:textId="77777777" w:rsidR="00AD59FF" w:rsidRPr="00CF2780" w:rsidRDefault="00AD59FF" w:rsidP="00AD59FF">
      <w:pPr>
        <w:spacing w:after="0" w:line="360" w:lineRule="auto"/>
        <w:ind w:left="708"/>
        <w:jc w:val="both"/>
        <w:rPr>
          <w:rFonts w:ascii="Arial" w:eastAsia="Times New Roman" w:hAnsi="Arial" w:cs="Arial"/>
          <w:sz w:val="28"/>
          <w:szCs w:val="28"/>
          <w:lang w:val="es-ES" w:eastAsia="es-ES"/>
        </w:rPr>
      </w:pPr>
    </w:p>
    <w:p w14:paraId="73EEF9AC" w14:textId="77777777" w:rsidR="00AD59FF" w:rsidRPr="00CF2780" w:rsidRDefault="00AD59FF" w:rsidP="00AD59FF">
      <w:pPr>
        <w:spacing w:after="0" w:line="360" w:lineRule="auto"/>
        <w:ind w:left="70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En el mismo sentido se ha pronunciado el Comité de Derechos Humanos de Naciones Unidas, al señalar que los Estados incumplen la obligación general de respeto y garantía prevista en el Pacto Internacional de Derechos Civiles y Políticos cuando no adoptan las medidas apropiadas, entre otros aspectos, para reparar la violación a los derechos humanos consagrados en dicho instrumento. En particular, el Comité destaca que la adecuada reparación forma parte de la noción de "recurso efectivo", al señalar que el párrafo 3 del artículo 2 del Pacto requiere que los Estados Partes otorguen una reparación a las personas cuyos derechos han sido violados. "Si no se otorga una reparación a los individuos cuyos derechos del Pacto han sido violados, la obligación de proporcionar un recurso efectivo, que es fundamental para la eficacia del párrafo 3 del artículo 2, no se cumple." (</w:t>
      </w:r>
      <w:r w:rsidRPr="00CF2780">
        <w:rPr>
          <w:rFonts w:ascii="Arial" w:eastAsia="Times New Roman" w:hAnsi="Arial" w:cs="Arial"/>
          <w:sz w:val="28"/>
          <w:szCs w:val="24"/>
          <w:lang w:val="es-ES" w:eastAsia="es-ES"/>
        </w:rPr>
        <w:t xml:space="preserve">Observación General No. 31, </w:t>
      </w:r>
      <w:r w:rsidRPr="00CF2780">
        <w:rPr>
          <w:rFonts w:ascii="Arial" w:eastAsia="Times New Roman" w:hAnsi="Arial" w:cs="Arial"/>
          <w:i/>
          <w:iCs/>
          <w:sz w:val="28"/>
          <w:szCs w:val="24"/>
          <w:lang w:val="es-ES" w:eastAsia="es-ES"/>
        </w:rPr>
        <w:t xml:space="preserve">Naturaleza de la obligación general impuesta a los Estados Partes por el Pacto. </w:t>
      </w:r>
      <w:r w:rsidRPr="00CF2780">
        <w:rPr>
          <w:rFonts w:ascii="Arial" w:eastAsia="Times New Roman" w:hAnsi="Arial" w:cs="Arial"/>
          <w:sz w:val="28"/>
          <w:szCs w:val="24"/>
          <w:lang w:val="es-ES" w:eastAsia="es-ES"/>
        </w:rPr>
        <w:t>CCPR/C/21/Rev.1/Add.13, de 26 de mayo de 2004, pár. 16</w:t>
      </w:r>
      <w:r w:rsidRPr="00CF2780">
        <w:rPr>
          <w:rFonts w:ascii="Arial" w:eastAsia="Times New Roman" w:hAnsi="Arial" w:cs="Arial"/>
          <w:sz w:val="28"/>
          <w:szCs w:val="28"/>
          <w:lang w:val="es-ES" w:eastAsia="es-ES"/>
        </w:rPr>
        <w:t>).</w:t>
      </w:r>
    </w:p>
    <w:p w14:paraId="31ED2882" w14:textId="77777777" w:rsidR="00AD59FF" w:rsidRPr="00CF2780" w:rsidRDefault="00AD59FF" w:rsidP="00AD59FF">
      <w:pPr>
        <w:spacing w:after="0" w:line="360" w:lineRule="auto"/>
        <w:ind w:left="708"/>
        <w:jc w:val="both"/>
        <w:rPr>
          <w:rFonts w:ascii="Arial" w:eastAsia="Times New Roman" w:hAnsi="Arial" w:cs="Arial"/>
          <w:sz w:val="28"/>
          <w:szCs w:val="28"/>
          <w:lang w:val="es-ES" w:eastAsia="es-ES"/>
        </w:rPr>
      </w:pPr>
    </w:p>
    <w:p w14:paraId="7237C1CA" w14:textId="77777777" w:rsidR="00AD59FF" w:rsidRPr="00CF2780" w:rsidRDefault="00AD59FF" w:rsidP="00AD59FF">
      <w:pPr>
        <w:spacing w:after="0" w:line="360" w:lineRule="auto"/>
        <w:ind w:left="70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La importancia de esta norma constitucional implica que cualquier la falta de reparación supone el incumplimiento de un deber por parte de los órganos estatales,  por lo que la reparación debe garantizar, en la mayor medida posible, la restitución en el goce o ejercicio de los derechos. </w:t>
      </w:r>
    </w:p>
    <w:p w14:paraId="601255EC" w14:textId="77777777" w:rsidR="00AD59FF" w:rsidRPr="00CF2780" w:rsidRDefault="00AD59FF" w:rsidP="00AD59FF">
      <w:pPr>
        <w:spacing w:after="0" w:line="360" w:lineRule="auto"/>
        <w:ind w:left="708"/>
        <w:jc w:val="both"/>
        <w:rPr>
          <w:rFonts w:ascii="Arial" w:eastAsia="Times New Roman" w:hAnsi="Arial" w:cs="Arial"/>
          <w:sz w:val="28"/>
          <w:szCs w:val="28"/>
          <w:lang w:val="es-ES" w:eastAsia="es-ES"/>
        </w:rPr>
      </w:pPr>
    </w:p>
    <w:p w14:paraId="3A771C2C"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lastRenderedPageBreak/>
        <w:t>Como se advierte, con esta reforma constitucional sobre derechos humanos, los tratados internacionales sobre derechos humanos forman parte integrante de la Constitución, habiendo adquirido por el método de incorporación por referencia el estatus y la jerarquía de normas constitucionales, y las disposiciones tanto de la Carta Magna como de dichos tratados se deben aplicar de manera directa por todas las autoridades federales, estatales y municipales e interpretarlas “favoreciendo en todo tiempo a las personas la protección más amplia” y con base en los principios de “universalidad, interdependencia, indivisibilidad y progresividad”.</w:t>
      </w:r>
    </w:p>
    <w:p w14:paraId="06808ADF"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0C5C3A0C"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Importa recordar que desde el punto de vista del Derecho Internacional Público, los tratados internacionales firmados por el Estado Mexicano son obligatorios, acorde con lo establecido en los artículos 27 y 28 de la Convención de Viena sobre el derecho de los tratados, adoptada el veintitrés de mayo de mil novecientos sesenta y nueve, el cual fue ratificado por México el veinticinco de septiembre de mil novecientos setenta y cuatro, y publicado en el Diario Oficial de la Federación el catorce de febrero de mil novecientos setenta y cinco, en el cual se establece el principio del “</w:t>
      </w:r>
      <w:r w:rsidRPr="00CF2780">
        <w:rPr>
          <w:rFonts w:ascii="Arial" w:eastAsia="Times New Roman" w:hAnsi="Arial" w:cs="Arial"/>
          <w:i/>
          <w:sz w:val="28"/>
          <w:szCs w:val="28"/>
          <w:lang w:val="es-ES" w:eastAsia="es-ES"/>
        </w:rPr>
        <w:t>pacta sunt servanta</w:t>
      </w:r>
      <w:r w:rsidRPr="00CF2780">
        <w:rPr>
          <w:rFonts w:ascii="Arial" w:eastAsia="Times New Roman" w:hAnsi="Arial" w:cs="Arial"/>
          <w:sz w:val="28"/>
          <w:szCs w:val="28"/>
          <w:lang w:val="es-ES" w:eastAsia="es-ES"/>
        </w:rPr>
        <w:t>”</w:t>
      </w:r>
      <w:r w:rsidRPr="00CF2780">
        <w:rPr>
          <w:rFonts w:ascii="Arial" w:eastAsia="Times New Roman" w:hAnsi="Arial" w:cs="Arial"/>
          <w:i/>
          <w:sz w:val="28"/>
          <w:szCs w:val="24"/>
          <w:lang w:val="es-ES_tradnl" w:eastAsia="es-ES_tradnl"/>
        </w:rPr>
        <w:t xml:space="preserve"> </w:t>
      </w:r>
      <w:r w:rsidRPr="00CF2780">
        <w:rPr>
          <w:rFonts w:ascii="Arial" w:eastAsia="Times New Roman" w:hAnsi="Arial" w:cs="Arial"/>
          <w:sz w:val="28"/>
          <w:szCs w:val="28"/>
          <w:lang w:val="es-ES" w:eastAsia="es-ES"/>
        </w:rPr>
        <w:t>que exige el cumplimiento de buena fe de las obligaciones internacionales asumidas por el Estado y le impide a este alegar disposiciones de su propio derecho interno para incumplir sus obligaciones internacionales.</w:t>
      </w:r>
    </w:p>
    <w:p w14:paraId="492B9834"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287AE56C"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0DC0349B"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Al respecto, el Comité de Derechos </w:t>
      </w:r>
      <w:r w:rsidRPr="00CF2780">
        <w:rPr>
          <w:rFonts w:ascii="Arial" w:eastAsia="Times New Roman" w:hAnsi="Arial" w:cs="Arial"/>
          <w:bCs/>
          <w:sz w:val="28"/>
          <w:szCs w:val="28"/>
          <w:lang w:val="es-ES" w:eastAsia="es-ES"/>
        </w:rPr>
        <w:t xml:space="preserve">Humanos </w:t>
      </w:r>
      <w:r w:rsidRPr="00CF2780">
        <w:rPr>
          <w:rFonts w:ascii="Arial" w:eastAsia="Times New Roman" w:hAnsi="Arial" w:cs="Arial"/>
          <w:sz w:val="28"/>
          <w:szCs w:val="28"/>
          <w:lang w:val="es-ES" w:eastAsia="es-ES"/>
        </w:rPr>
        <w:t xml:space="preserve">ha manifestado que de acuerdo al artículo 27 de </w:t>
      </w:r>
      <w:r w:rsidRPr="00CF2780">
        <w:rPr>
          <w:rFonts w:ascii="Arial" w:eastAsia="Times New Roman" w:hAnsi="Arial" w:cs="Arial"/>
          <w:bCs/>
          <w:sz w:val="28"/>
          <w:szCs w:val="28"/>
          <w:lang w:val="es-ES" w:eastAsia="es-ES"/>
        </w:rPr>
        <w:t xml:space="preserve">la </w:t>
      </w:r>
      <w:r w:rsidRPr="00CF2780">
        <w:rPr>
          <w:rFonts w:ascii="Arial" w:eastAsia="Times New Roman" w:hAnsi="Arial" w:cs="Arial"/>
          <w:sz w:val="28"/>
          <w:szCs w:val="28"/>
          <w:lang w:val="es-ES" w:eastAsia="es-ES"/>
        </w:rPr>
        <w:t xml:space="preserve">Convención de </w:t>
      </w:r>
      <w:r w:rsidRPr="00CF2780">
        <w:rPr>
          <w:rFonts w:ascii="Arial" w:eastAsia="Times New Roman" w:hAnsi="Arial" w:cs="Arial"/>
          <w:bCs/>
          <w:sz w:val="28"/>
          <w:szCs w:val="28"/>
          <w:lang w:val="es-ES" w:eastAsia="es-ES"/>
        </w:rPr>
        <w:t xml:space="preserve">Viena </w:t>
      </w:r>
      <w:r w:rsidRPr="00CF2780">
        <w:rPr>
          <w:rFonts w:ascii="Arial" w:eastAsia="Times New Roman" w:hAnsi="Arial" w:cs="Arial"/>
          <w:sz w:val="28"/>
          <w:szCs w:val="28"/>
          <w:lang w:val="es-ES" w:eastAsia="es-ES"/>
        </w:rPr>
        <w:t xml:space="preserve">sobre el Derecho </w:t>
      </w:r>
      <w:r w:rsidRPr="00CF2780">
        <w:rPr>
          <w:rFonts w:ascii="Arial" w:eastAsia="Times New Roman" w:hAnsi="Arial" w:cs="Arial"/>
          <w:sz w:val="28"/>
          <w:szCs w:val="28"/>
          <w:lang w:val="es-ES" w:eastAsia="es-ES"/>
        </w:rPr>
        <w:lastRenderedPageBreak/>
        <w:t xml:space="preserve">de tos Tratados, un Estado </w:t>
      </w:r>
      <w:r w:rsidRPr="00CF2780">
        <w:rPr>
          <w:rFonts w:ascii="Arial" w:eastAsia="Times New Roman" w:hAnsi="Arial" w:cs="Arial"/>
          <w:bCs/>
          <w:sz w:val="28"/>
          <w:szCs w:val="28"/>
          <w:lang w:val="es-ES" w:eastAsia="es-ES"/>
        </w:rPr>
        <w:t xml:space="preserve">Parte </w:t>
      </w:r>
      <w:r w:rsidRPr="00CF2780">
        <w:rPr>
          <w:rFonts w:ascii="Arial" w:eastAsia="Times New Roman" w:hAnsi="Arial" w:cs="Arial"/>
          <w:sz w:val="28"/>
          <w:szCs w:val="28"/>
          <w:lang w:val="es-ES" w:eastAsia="es-ES"/>
        </w:rPr>
        <w:t>"</w:t>
      </w:r>
      <w:r w:rsidRPr="00CF2780">
        <w:rPr>
          <w:rFonts w:ascii="Arial" w:eastAsia="Times New Roman" w:hAnsi="Arial" w:cs="Arial"/>
          <w:i/>
          <w:sz w:val="28"/>
          <w:szCs w:val="28"/>
          <w:lang w:val="es-ES" w:eastAsia="es-ES"/>
        </w:rPr>
        <w:t xml:space="preserve">no puede </w:t>
      </w:r>
      <w:r w:rsidRPr="00CF2780">
        <w:rPr>
          <w:rFonts w:ascii="Arial" w:eastAsia="Times New Roman" w:hAnsi="Arial" w:cs="Arial"/>
          <w:bCs/>
          <w:i/>
          <w:sz w:val="28"/>
          <w:szCs w:val="28"/>
          <w:lang w:val="es-ES" w:eastAsia="es-ES"/>
        </w:rPr>
        <w:t xml:space="preserve">invocar </w:t>
      </w:r>
      <w:r w:rsidRPr="00CF2780">
        <w:rPr>
          <w:rFonts w:ascii="Arial" w:eastAsia="Times New Roman" w:hAnsi="Arial" w:cs="Arial"/>
          <w:i/>
          <w:sz w:val="28"/>
          <w:szCs w:val="28"/>
          <w:lang w:val="es-ES" w:eastAsia="es-ES"/>
        </w:rPr>
        <w:t xml:space="preserve">las </w:t>
      </w:r>
      <w:r w:rsidRPr="00CF2780">
        <w:rPr>
          <w:rFonts w:ascii="Arial" w:eastAsia="Times New Roman" w:hAnsi="Arial" w:cs="Arial"/>
          <w:bCs/>
          <w:i/>
          <w:sz w:val="28"/>
          <w:szCs w:val="28"/>
          <w:lang w:val="es-ES" w:eastAsia="es-ES"/>
        </w:rPr>
        <w:t xml:space="preserve">disposiciones </w:t>
      </w:r>
      <w:r w:rsidRPr="00CF2780">
        <w:rPr>
          <w:rFonts w:ascii="Arial" w:eastAsia="Times New Roman" w:hAnsi="Arial" w:cs="Arial"/>
          <w:i/>
          <w:sz w:val="28"/>
          <w:szCs w:val="28"/>
          <w:lang w:val="es-ES" w:eastAsia="es-ES"/>
        </w:rPr>
        <w:t xml:space="preserve">de su </w:t>
      </w:r>
      <w:r w:rsidRPr="00CF2780">
        <w:rPr>
          <w:rFonts w:ascii="Arial" w:eastAsia="Times New Roman" w:hAnsi="Arial" w:cs="Arial"/>
          <w:bCs/>
          <w:i/>
          <w:sz w:val="28"/>
          <w:szCs w:val="28"/>
          <w:lang w:val="es-ES" w:eastAsia="es-ES"/>
        </w:rPr>
        <w:t xml:space="preserve">derecho </w:t>
      </w:r>
      <w:r w:rsidRPr="00CF2780">
        <w:rPr>
          <w:rFonts w:ascii="Arial" w:eastAsia="Times New Roman" w:hAnsi="Arial" w:cs="Arial"/>
          <w:i/>
          <w:sz w:val="28"/>
          <w:szCs w:val="28"/>
          <w:lang w:val="es-ES" w:eastAsia="es-ES"/>
        </w:rPr>
        <w:t xml:space="preserve">interno </w:t>
      </w:r>
      <w:r w:rsidRPr="00CF2780">
        <w:rPr>
          <w:rFonts w:ascii="Arial" w:eastAsia="Times New Roman" w:hAnsi="Arial" w:cs="Arial"/>
          <w:bCs/>
          <w:i/>
          <w:sz w:val="28"/>
          <w:szCs w:val="28"/>
          <w:lang w:val="es-ES" w:eastAsia="es-ES"/>
        </w:rPr>
        <w:t xml:space="preserve">como justificación </w:t>
      </w:r>
      <w:r w:rsidRPr="00CF2780">
        <w:rPr>
          <w:rFonts w:ascii="Arial" w:eastAsia="Times New Roman" w:hAnsi="Arial" w:cs="Arial"/>
          <w:i/>
          <w:sz w:val="28"/>
          <w:szCs w:val="28"/>
          <w:lang w:val="es-ES" w:eastAsia="es-ES"/>
        </w:rPr>
        <w:t xml:space="preserve">de su falta de aplicación de </w:t>
      </w:r>
      <w:r w:rsidRPr="00CF2780">
        <w:rPr>
          <w:rFonts w:ascii="Arial" w:eastAsia="Times New Roman" w:hAnsi="Arial" w:cs="Arial"/>
          <w:bCs/>
          <w:i/>
          <w:sz w:val="28"/>
          <w:szCs w:val="28"/>
          <w:lang w:val="es-ES" w:eastAsia="es-ES"/>
        </w:rPr>
        <w:t xml:space="preserve">un </w:t>
      </w:r>
      <w:r w:rsidRPr="00CF2780">
        <w:rPr>
          <w:rFonts w:ascii="Arial" w:eastAsia="Times New Roman" w:hAnsi="Arial" w:cs="Arial"/>
          <w:i/>
          <w:sz w:val="28"/>
          <w:szCs w:val="28"/>
          <w:lang w:val="es-ES" w:eastAsia="es-ES"/>
        </w:rPr>
        <w:t>tratado</w:t>
      </w:r>
      <w:r w:rsidRPr="00CF2780">
        <w:rPr>
          <w:rFonts w:ascii="Arial" w:eastAsia="Times New Roman" w:hAnsi="Arial" w:cs="Arial"/>
          <w:sz w:val="28"/>
          <w:szCs w:val="28"/>
          <w:lang w:val="es-ES" w:eastAsia="es-ES"/>
        </w:rPr>
        <w:t xml:space="preserve">". También ha señalado a los Estados Parte que tienen </w:t>
      </w:r>
      <w:r w:rsidRPr="00CF2780">
        <w:rPr>
          <w:rFonts w:ascii="Arial" w:eastAsia="Times New Roman" w:hAnsi="Arial" w:cs="Arial"/>
          <w:bCs/>
          <w:sz w:val="28"/>
          <w:szCs w:val="28"/>
          <w:lang w:val="es-ES" w:eastAsia="es-ES"/>
        </w:rPr>
        <w:t xml:space="preserve">una </w:t>
      </w:r>
      <w:r w:rsidRPr="00CF2780">
        <w:rPr>
          <w:rFonts w:ascii="Arial" w:eastAsia="Times New Roman" w:hAnsi="Arial" w:cs="Arial"/>
          <w:sz w:val="28"/>
          <w:szCs w:val="28"/>
          <w:lang w:val="es-ES" w:eastAsia="es-ES"/>
        </w:rPr>
        <w:t>estructura federal que,  según el artículo 50 del Pacto Internacional de Derechos Civiles y Políticos las disposiciones de este tratado se extenderán a todas las partes de los Estados federales sin ninguna limitación ni excepción (Parágrafo 4 de la Observación general número 31 “La índole de la obligación jurídica general impuesta a los Estados Parte del Pacto” emitido por el Comité de Derechos Humanos de veintiséis de mayo de dos mil cuatro).</w:t>
      </w:r>
    </w:p>
    <w:p w14:paraId="21AEE604"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4DBAFAC6"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En ese mismo sentido en nuestro sistema jurídico, la reciente reforma constitucional eleva a rango constitucional las normas de derechos humanos que se encuentren consagradas en los tratados internacionales de manera que la obligatoriedad de las mismas deriva de la propia supremacía constitucional. De particular relevancia resulta la interpretación conjunta de los artículos 76 fracción I y, 133 de la Constitución Política de los Estados Unidos Mexicanos  que establecen el alcance normativo de los Tratados internacionales  otorgándoles un valor normativo de “Ley Suprema de la Unión”. </w:t>
      </w:r>
    </w:p>
    <w:p w14:paraId="1933572C"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61A3F345"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Asimismo, se tiene que conforme al artículo 4, segundo párrafo, de la Ley sobre la Celebración de Tratados, conforme al cual según la cual “</w:t>
      </w:r>
      <w:r w:rsidRPr="00CF2780">
        <w:rPr>
          <w:rFonts w:ascii="Arial" w:eastAsia="Times New Roman" w:hAnsi="Arial" w:cs="Arial"/>
          <w:i/>
          <w:sz w:val="28"/>
          <w:szCs w:val="28"/>
          <w:lang w:val="es-ES" w:eastAsia="es-ES"/>
        </w:rPr>
        <w:t>los tratados para ser obligatorios en el territorio nacional deberán haber sido publicados previamente en el Diario Oficial de la Federación</w:t>
      </w:r>
      <w:r w:rsidRPr="00CF2780">
        <w:rPr>
          <w:rFonts w:ascii="Arial" w:eastAsia="Times New Roman" w:hAnsi="Arial" w:cs="Arial"/>
          <w:sz w:val="28"/>
          <w:szCs w:val="28"/>
          <w:lang w:val="es-ES" w:eastAsia="es-ES"/>
        </w:rPr>
        <w:t>”.</w:t>
      </w:r>
    </w:p>
    <w:p w14:paraId="69B8986C"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69BC58D3" w14:textId="77777777" w:rsidR="00AD59FF" w:rsidRPr="00CF2780" w:rsidRDefault="00AD59FF" w:rsidP="00AD59FF">
      <w:pPr>
        <w:spacing w:after="0" w:line="360" w:lineRule="auto"/>
        <w:ind w:firstLine="709"/>
        <w:jc w:val="both"/>
        <w:rPr>
          <w:rFonts w:ascii="Arial" w:eastAsia="Times New Roman" w:hAnsi="Arial" w:cs="Arial"/>
          <w:bCs/>
          <w:sz w:val="28"/>
          <w:szCs w:val="28"/>
          <w:lang w:val="es-ES" w:eastAsia="es-ES"/>
        </w:rPr>
      </w:pPr>
      <w:r w:rsidRPr="00CF2780">
        <w:rPr>
          <w:rFonts w:ascii="Arial" w:eastAsia="Times New Roman" w:hAnsi="Arial" w:cs="Arial"/>
          <w:sz w:val="28"/>
          <w:szCs w:val="28"/>
          <w:lang w:val="es-ES" w:eastAsia="es-ES"/>
        </w:rPr>
        <w:lastRenderedPageBreak/>
        <w:t xml:space="preserve">Ahora bien, estas obligaciones internacionales y de derecho interno en torno a la obligatoriedad de los tratados internacionales encuentra una mayor fuerza e importancia respecto de los instrumentos referentes a los derechos humanos, puesto que los mismos tienen una naturaleza especial, que los diferencian de los demás tratados, los cuales, reglamentan intereses recíprocos entre los Estados Partes y son aplicados por éstos, en tanto que los tratados de derechos humanos se inspiran en valores comunes superiores (centrados en la protección del ser humano), </w:t>
      </w:r>
      <w:r w:rsidRPr="00CF2780">
        <w:rPr>
          <w:rFonts w:ascii="Arial" w:eastAsia="Times New Roman" w:hAnsi="Arial" w:cs="Arial"/>
          <w:bCs/>
          <w:iCs/>
          <w:sz w:val="28"/>
          <w:szCs w:val="28"/>
          <w:lang w:val="es-ES" w:eastAsia="es-ES"/>
        </w:rPr>
        <w:t>están</w:t>
      </w:r>
      <w:r w:rsidRPr="00CF2780">
        <w:rPr>
          <w:rFonts w:ascii="Arial" w:eastAsia="Times New Roman" w:hAnsi="Arial" w:cs="Arial"/>
          <w:bCs/>
          <w:i/>
          <w:iCs/>
          <w:sz w:val="28"/>
          <w:szCs w:val="28"/>
          <w:lang w:val="es-ES" w:eastAsia="es-ES"/>
        </w:rPr>
        <w:t xml:space="preserve"> </w:t>
      </w:r>
      <w:r w:rsidRPr="00CF2780">
        <w:rPr>
          <w:rFonts w:ascii="Arial" w:eastAsia="Times New Roman" w:hAnsi="Arial" w:cs="Arial"/>
          <w:bCs/>
          <w:sz w:val="28"/>
          <w:szCs w:val="28"/>
          <w:lang w:val="es-ES" w:eastAsia="es-ES"/>
        </w:rPr>
        <w:t>dotados de mecanismos específicos de supervisión atribuidos a entes internacionales y se aplican de conformidad con la</w:t>
      </w:r>
      <w:r w:rsidRPr="00CF2780">
        <w:rPr>
          <w:rFonts w:ascii="Arial" w:eastAsia="Times New Roman" w:hAnsi="Arial" w:cs="Arial"/>
          <w:i/>
          <w:iCs/>
          <w:sz w:val="28"/>
          <w:szCs w:val="28"/>
          <w:lang w:val="es-ES" w:eastAsia="es-ES"/>
        </w:rPr>
        <w:t xml:space="preserve"> </w:t>
      </w:r>
      <w:r w:rsidRPr="00CF2780">
        <w:rPr>
          <w:rFonts w:ascii="Arial" w:eastAsia="Times New Roman" w:hAnsi="Arial" w:cs="Arial"/>
          <w:bCs/>
          <w:sz w:val="28"/>
          <w:szCs w:val="28"/>
          <w:lang w:val="es-ES" w:eastAsia="es-ES"/>
        </w:rPr>
        <w:t>noción de garantía colectiva.</w:t>
      </w:r>
    </w:p>
    <w:p w14:paraId="79A87E93" w14:textId="77777777" w:rsidR="00AD59FF" w:rsidRPr="00CF2780" w:rsidRDefault="00AD59FF" w:rsidP="00AD59FF">
      <w:pPr>
        <w:spacing w:after="0" w:line="360" w:lineRule="auto"/>
        <w:ind w:firstLine="709"/>
        <w:jc w:val="both"/>
        <w:rPr>
          <w:rFonts w:ascii="Arial" w:eastAsia="Times New Roman" w:hAnsi="Arial" w:cs="Arial"/>
          <w:bCs/>
          <w:sz w:val="28"/>
          <w:szCs w:val="28"/>
          <w:lang w:val="es-ES" w:eastAsia="es-ES"/>
        </w:rPr>
      </w:pPr>
    </w:p>
    <w:p w14:paraId="500CCB22"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Lo anterior, es acorde con lo señalado por la Corte Interamericana de Derechos Humanos, en el parágrafo 29 de la  Opinión Consultiva OC-2/82 de veinticuatro de septiembre de mil novecientos ochenta y dos “El efecto de las reservas sobre la entrada en vigencia de la Convención Americana sobre Derechos Humanos”, en el cual manifiesta:</w:t>
      </w:r>
    </w:p>
    <w:p w14:paraId="15D9A967" w14:textId="77777777" w:rsidR="00AD59FF" w:rsidRPr="00CF2780" w:rsidRDefault="00AD59FF" w:rsidP="00AD59FF">
      <w:pPr>
        <w:spacing w:after="0" w:line="360" w:lineRule="auto"/>
        <w:ind w:firstLine="709"/>
        <w:jc w:val="both"/>
        <w:rPr>
          <w:rFonts w:ascii="Arial" w:eastAsia="Times New Roman" w:hAnsi="Arial" w:cs="Arial"/>
          <w:bCs/>
          <w:sz w:val="28"/>
          <w:szCs w:val="28"/>
          <w:lang w:val="es-ES" w:eastAsia="es-ES"/>
        </w:rPr>
      </w:pPr>
    </w:p>
    <w:p w14:paraId="5A4483EC"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“…los tratados modernos sobre derechos humanos, en general, y, en particular, la Convención Americana, no son tratados multilaterales de tipo tradicional, concluidos en función de un intercambio recíproco de derechos, para el beneficio mutuo de los Estados contratantes. Su objeto y fin son la protección, de los derechos fundamentales de los seres humanos, independientemente de su nacionalidad, tanta frente a su propio Estado como frente a los otros Estados contratantes. Al aprobar estos tratados sobre derechos humanos, los Estados se someten a un orden legal dentro del cual ellos, por el bien común, asumen varias obligaciones, no en relación con otros Estados sino hacia los individuos bajo su jurisdicción…".</w:t>
      </w:r>
    </w:p>
    <w:p w14:paraId="1185D4B8"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563E6478"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lastRenderedPageBreak/>
        <w:t>En el mismo sentido, el parágrafo 24 de la Opinión Consultiva OC-1/82 de veinticuatro de septiembre de mil novecientos ochenta y dos “Otros tratados sobre objeto de la función consultiva de la Corte (art. 64 Convención Americana sobre Derechos Humanos)”.</w:t>
      </w:r>
    </w:p>
    <w:p w14:paraId="32A13054"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6CC7CD18"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A idéntica consideración ha arribado la Corte Europea de Derechos Humanos, en el caso Irlanda vs. Reino Unido, en el cual sostuvo que “</w:t>
      </w:r>
      <w:r w:rsidRPr="00CF2780">
        <w:rPr>
          <w:rFonts w:ascii="Arial" w:eastAsia="Times New Roman" w:hAnsi="Arial" w:cs="Arial"/>
          <w:i/>
          <w:sz w:val="28"/>
          <w:szCs w:val="28"/>
          <w:lang w:val="es-ES" w:eastAsia="es-ES"/>
        </w:rPr>
        <w:t>a diferencia de los Tratados Internacionales del tipo clásico, la Convención (Europea) comprende más que simples compromisos recíprocos entre los Estados Partes. Crea, por encima de un conjunto de compromisos bilaterales,  obligaciones objetivas que, en los términos del Preámbulo, cuentan con una garantía colectiva</w:t>
      </w:r>
      <w:r w:rsidRPr="00CF2780">
        <w:rPr>
          <w:rFonts w:ascii="Arial" w:eastAsia="Times New Roman" w:hAnsi="Arial" w:cs="Arial"/>
          <w:sz w:val="28"/>
          <w:szCs w:val="28"/>
          <w:lang w:val="es-ES" w:eastAsia="es-ES"/>
        </w:rPr>
        <w:t>” (Parágrafo 239 de la decisión del veintiséis de enero de mil novecientos setenta y ocho en el caso Irlanda vs. Reino Unido y parágrafo 87 de la decisión de veintiséis de enero de mil novecientos ochenta y nueve en el caso Soering vs. Reino Unido, ambas emitidas por la Corte Europea De Derechos Humanos).</w:t>
      </w:r>
    </w:p>
    <w:p w14:paraId="481415F8"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459B957F"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En esas condiciones, tanto por imperativo constitucional como por la especial naturaleza de los tratados internacionales se advierte que el cumplimiento de los mismos por parte de todas las autoridades estatales (federales o locales) resulta ineludible y de la mayor trascendencia, al implicar el cumplimiento de compromisos internacionales relacionados con la protección y desarrollo del ser humano. </w:t>
      </w:r>
    </w:p>
    <w:p w14:paraId="7CC31122"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62754A0C"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lastRenderedPageBreak/>
        <w:t>Ahora bien, con relación a la aplicación de los tratados internacionales sobre derechos humanos, la Corte Interamericana de Derechos Humanos emitió sentencia condenatoria de veintitrés de noviembre de dos mil nueve en el caso Radilla Pacheco vs. Estados Unidos Mexicanos, notificada formalmente el nueve de febrero de dos mil diez, en cuyo parágrafo 339 determinó:</w:t>
      </w:r>
    </w:p>
    <w:p w14:paraId="48A6A293"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3BB7B0AD"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“339. En relación con las prácticas judiciales, este Tribunal ha establecido en su jurisprudencia que es consciente de que los jueces y tribunales internos están sujetos al imperio de la ley y, por ello, están obligados a aplicar las disposiciones vigentes en el ordenamiento jurídico. Pero cuando un Estado ha ratificado un tratado internacional como la Convención Americana, sus jueces, como parte del aparato del Estado, también están sometidos a ella, lo que les obliga a velar porque los efectos de las disposiciones de la Convención no se vean mermados por la aplicación de leyes contrarias a su objeto y fin, que desde un inicio carecen de efectos jurídicos.</w:t>
      </w:r>
    </w:p>
    <w:p w14:paraId="1101BD6F"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 xml:space="preserve">En otras palabras, el Poder Judicial debe ejercer un “control de convencionalidad” </w:t>
      </w:r>
      <w:r w:rsidRPr="00CF2780">
        <w:rPr>
          <w:rFonts w:ascii="Arial" w:eastAsia="Times New Roman" w:hAnsi="Arial" w:cs="Arial"/>
          <w:i/>
          <w:sz w:val="24"/>
          <w:szCs w:val="24"/>
          <w:lang w:val="es-ES" w:eastAsia="es-ES"/>
        </w:rPr>
        <w:t>ex officio</w:t>
      </w:r>
      <w:r w:rsidRPr="00CF2780">
        <w:rPr>
          <w:rFonts w:ascii="Arial" w:eastAsia="Times New Roman" w:hAnsi="Arial" w:cs="Arial"/>
          <w:sz w:val="24"/>
          <w:szCs w:val="24"/>
          <w:lang w:val="es-ES" w:eastAsia="es-ES"/>
        </w:rPr>
        <w:t xml:space="preserve"> entre las normas internas y la Convención Americana, evidentemente en el marco de sus respectivas competencias y de las regulaciones procesales correspondientes. En esta tarea, el Poder Judicial debe tener en cuenta no solamente el tratado, sino también la interpretación que del mismo ha hecho la Corte Interamericana, intérprete última de la Convención Americana”.</w:t>
      </w:r>
    </w:p>
    <w:p w14:paraId="0ACD03F9"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761E2738"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En atención a lo resuelto por dicho tribunal internacional, la Suprema Corte de Justicia de la Nación determinó formar el expediente Varios 912/2010 relativo a la instrucción ordenada por el Tribunal Pleno de la Suprema Corte de Justicia de la Nación, en la resolución del siete de septiembre de dos mil diez, dictada en el expediente Varios 489/2010, relacionado con la sentencia emitida el veintitrés de noviembre de dos mil nueve, por la Corte Interamericana de Derechos Humanos.</w:t>
      </w:r>
    </w:p>
    <w:p w14:paraId="7DD37F48"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35C6FBBF"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lastRenderedPageBreak/>
        <w:t xml:space="preserve">En sesiones públicas de doce y catorce de julio de dos mil once, ese Alto Tribunal determinó que las sentencias de la Corte Interamericana de Derechos Humanos que condenen al Estado mexicano son obligatorias para el Poder Judicial; que las normas de la Convención Americana de Derechos Humanos se deben aplicar de manera directa e inmediata (control de convencionalidad </w:t>
      </w:r>
      <w:r w:rsidRPr="00CF2780">
        <w:rPr>
          <w:rFonts w:ascii="Arial" w:eastAsia="Times New Roman" w:hAnsi="Arial" w:cs="Arial"/>
          <w:i/>
          <w:sz w:val="28"/>
          <w:szCs w:val="28"/>
          <w:lang w:val="es-ES" w:eastAsia="es-ES"/>
        </w:rPr>
        <w:t>ex officio</w:t>
      </w:r>
      <w:r w:rsidRPr="00CF2780">
        <w:rPr>
          <w:rFonts w:ascii="Arial" w:eastAsia="Times New Roman" w:hAnsi="Arial" w:cs="Arial"/>
          <w:sz w:val="28"/>
          <w:szCs w:val="28"/>
          <w:lang w:val="es-ES" w:eastAsia="es-ES"/>
        </w:rPr>
        <w:t>) por todos y cada uno de los jueces del Estado mexicano federales y locales y que los criterios interpretativos contenidos en la jurisprudencia de la Corte son orientadores para los jueces mexicanos.</w:t>
      </w:r>
    </w:p>
    <w:p w14:paraId="2DB49B57"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04B820FD"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Asimismo, se determinó que el control de convencionalidad y constitucionalidad que debe adoptarse es en el sentido de que (último párrafo de la página 14 y primer párrafo de la página 15 de la Versión Taquigráfica de la sesión pública ordinaria del Pleno de la Suprema Corte de Justicia de la Nación, celebrada el catorce de julio de dos mil once):</w:t>
      </w:r>
    </w:p>
    <w:p w14:paraId="26D64F38"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06A9F1DC"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 xml:space="preserve">"POR MAYORÍA DE SIETE VOTOS DE LOS SEÑORES MINISTROS COSSÍO DÍAZ, FRANCO GONZÁLEZ SALAS, ZALDÍVAR LELO DE LARREA, VALLS HERNÁNDEZ, SÁNCHEZ CORDERO DE GARCÍA VILLEGAS, ORTIZ MAYAGOITIA Y PRESIDENTE SILVA MEZA, se determinó que el modelo de control de convencionalidad y constitucionalidad que debe adoptarse a partir de lo establecido en el párrafo 339, de la sentencia de la Corte Interamericana de Derechos Humanos, en el caso 12.511. Rosendo Radilla Pacheco, contra los Estados Unidos Mexicanos, y en los artículos 1º, 103, 105 y 133, de la Constitución Federal, propuesto por el señor Ministro Cossío Díaz, es en el sentido de que: </w:t>
      </w:r>
    </w:p>
    <w:p w14:paraId="40B04895"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p>
    <w:p w14:paraId="45DD56CB"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1. Los jueces del Poder Judicial de la Federación al conocer de controversias constitucionales, acciones de inconstitucionalidad y de amparo, pueden declarar la invalidez de las normas que contravengan la Constitución Federal y/o los tratados internacionales que reconozcan derechos humanos.</w:t>
      </w:r>
    </w:p>
    <w:p w14:paraId="57577B58"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p>
    <w:p w14:paraId="5223B164"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lastRenderedPageBreak/>
        <w:t xml:space="preserve"> 2. Los demás jueces del país, en los asuntos de su competencia, podrán desaplicar las normas que infrinjan la Constitución Federal y/o los tratados internacionales que reconozcan derechos humanos, sólo para efectos del caso concreto y sin hacer una declaración de invalidez de las disposiciones, y </w:t>
      </w:r>
    </w:p>
    <w:p w14:paraId="3E591BAD"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p>
    <w:p w14:paraId="7B878739"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3. Las autoridades del país que no ejerzan funciones jurisdiccionales, deben interpretar los derechos humanos de la manera que más los favorezca, sin que estén facultados para declarar la invalidez de las normas o para desaplicarlas en los casos concretos.</w:t>
      </w:r>
    </w:p>
    <w:p w14:paraId="195B8B92"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p>
    <w:p w14:paraId="68062F3C"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 xml:space="preserve">Votaron en contra los señores Ministros: AGUIRRE ANGUIANO, PARDO REBOLLEDO, por estimar que ésta no es la instancia adecuada para realizar este análisis, y AGUILAR MORALES, por la razón aducida por el señor Ministro Pardo Rebolledo". </w:t>
      </w:r>
    </w:p>
    <w:p w14:paraId="504F10C6"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04435F10"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Acorde con lo anterior, en los asuntos sometidos a su conocimiento los jueces tienen la obligación de aplicar de manera directa las disposiciones de los tratados internacionales sobre derechos humanos, no obstante que las partes involucradas en el litigio no los hagan valer.</w:t>
      </w:r>
    </w:p>
    <w:p w14:paraId="27A2A834"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261B9FFE"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Asimismo, todas las autoridades (jurisdiccionales o no) se encuentran obligadas a: 1) promover, respetar, proteger y garantizar los derechos humanos; 2) interpretar las normas de derechos humanos con un criterio extensivo y, 3) aplicarlas acorde con los principios de universalidad, indivisibilidad, interdependencia y progresividad.</w:t>
      </w:r>
    </w:p>
    <w:p w14:paraId="0CD5A998"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7BD7E948"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Establecido el marco de interpretación y aplicación en materia de derechos humanos se determina el bloque de constitucionalidad aplicable al caso.</w:t>
      </w:r>
    </w:p>
    <w:p w14:paraId="251D70C9"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757C8BC9"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Constitución Política de los Estados Unidos Mexicanos</w:t>
      </w:r>
      <w:r w:rsidRPr="00CF2780">
        <w:rPr>
          <w:rFonts w:ascii="Arial" w:eastAsia="Times New Roman" w:hAnsi="Arial" w:cs="Arial"/>
          <w:sz w:val="28"/>
          <w:szCs w:val="28"/>
          <w:lang w:val="es-ES" w:eastAsia="es-ES"/>
        </w:rPr>
        <w:t>.</w:t>
      </w:r>
    </w:p>
    <w:p w14:paraId="460B83C6"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42CB102E"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w:t>
      </w:r>
      <w:r w:rsidRPr="00CF2780">
        <w:rPr>
          <w:rFonts w:ascii="Arial" w:eastAsia="Times New Roman" w:hAnsi="Arial" w:cs="Arial"/>
          <w:b/>
          <w:sz w:val="24"/>
          <w:szCs w:val="24"/>
          <w:lang w:val="es-ES" w:eastAsia="es-ES"/>
        </w:rPr>
        <w:t>Artículo 2º</w:t>
      </w:r>
      <w:r w:rsidRPr="00CF2780">
        <w:rPr>
          <w:rFonts w:ascii="Arial" w:eastAsia="Times New Roman" w:hAnsi="Arial" w:cs="Arial"/>
          <w:sz w:val="24"/>
          <w:szCs w:val="24"/>
          <w:lang w:val="es-ES" w:eastAsia="es-ES"/>
        </w:rPr>
        <w:t xml:space="preserve"> </w:t>
      </w:r>
    </w:p>
    <w:p w14:paraId="033898F8"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w:t>
      </w:r>
    </w:p>
    <w:p w14:paraId="2D5116EB"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p>
    <w:p w14:paraId="1AE91163"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A. Esta Constitución reconoce y garantiza el derecho de los pueblos y las comunidades indígenas a la libre determinación y, en consecuencia, a la autonomía para:</w:t>
      </w:r>
    </w:p>
    <w:p w14:paraId="7A4CCF8A"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p>
    <w:p w14:paraId="6FC2D365"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I. Decidir sus formas internas de convivencia y organización social, económica, política y cultural.</w:t>
      </w:r>
    </w:p>
    <w:p w14:paraId="2034CA0C"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p>
    <w:p w14:paraId="2437E7AE"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II. Aplicar sus propios sistemas normativos en la regulación y solución de sus conflictos internos, sujetándose a los principios generales de esta Constitución, respetando las garantías individuales, los derechos humanos y, de manera relevante, la dignidad e integridad de las mujeres. La ley establecerá los casos y procedimientos de validación por los jueces o tribunales correspondientes.</w:t>
      </w:r>
    </w:p>
    <w:p w14:paraId="0FBFD654"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p>
    <w:p w14:paraId="4D8E1F5E"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III.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p>
    <w:p w14:paraId="60564498"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w:t>
      </w:r>
    </w:p>
    <w:p w14:paraId="68926730"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VIII. Acceder plenamente a la jurisdicción del Estado. Para garantizar ese derecho, en todos los juicios y procedimientos en que sean parte, individual o colectivamente, se deberán tomar en cuenta sus costumbres y especificidades culturales respetando los preceptos de esta Constitución. Los indígenas tienen en todo tiempo el derecho a ser asistidos por intérpretes y defensores que tengan conocimiento de su lengua y cultura.</w:t>
      </w:r>
    </w:p>
    <w:p w14:paraId="538D92D3"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p>
    <w:p w14:paraId="79468230"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w:t>
      </w:r>
    </w:p>
    <w:p w14:paraId="20FD6DF7" w14:textId="77777777" w:rsidR="00AD59FF" w:rsidRPr="00CF2780" w:rsidRDefault="00AD59FF" w:rsidP="00AD59FF">
      <w:pPr>
        <w:spacing w:after="0" w:line="360" w:lineRule="auto"/>
        <w:ind w:firstLine="709"/>
        <w:jc w:val="both"/>
        <w:rPr>
          <w:rFonts w:ascii="Arial" w:eastAsia="Times New Roman" w:hAnsi="Arial" w:cs="Arial"/>
          <w:b/>
          <w:sz w:val="28"/>
          <w:szCs w:val="28"/>
          <w:lang w:val="es-ES" w:eastAsia="es-ES"/>
        </w:rPr>
      </w:pPr>
    </w:p>
    <w:p w14:paraId="35706064" w14:textId="77777777" w:rsidR="00AD59FF" w:rsidRPr="00CF2780" w:rsidRDefault="00AD59FF" w:rsidP="00AD59FF">
      <w:pPr>
        <w:spacing w:after="0" w:line="360" w:lineRule="auto"/>
        <w:ind w:firstLine="709"/>
        <w:jc w:val="both"/>
        <w:rPr>
          <w:rFonts w:ascii="Arial" w:eastAsia="Times New Roman" w:hAnsi="Arial" w:cs="Arial"/>
          <w:b/>
          <w:sz w:val="28"/>
          <w:szCs w:val="28"/>
          <w:lang w:val="es-ES" w:eastAsia="es-ES"/>
        </w:rPr>
      </w:pPr>
      <w:r w:rsidRPr="00CF2780">
        <w:rPr>
          <w:rFonts w:ascii="Arial" w:eastAsia="Times New Roman" w:hAnsi="Arial" w:cs="Arial"/>
          <w:b/>
          <w:sz w:val="28"/>
          <w:szCs w:val="28"/>
          <w:lang w:val="es-ES" w:eastAsia="es-ES"/>
        </w:rPr>
        <w:t>Pacto Internacional de Derechos Civiles y Políticos</w:t>
      </w:r>
      <w:r w:rsidRPr="00CF2780">
        <w:rPr>
          <w:rFonts w:ascii="Arial" w:eastAsia="Times New Roman" w:hAnsi="Arial" w:cs="Arial"/>
          <w:sz w:val="28"/>
          <w:szCs w:val="28"/>
          <w:lang w:val="es-ES" w:eastAsia="es-ES"/>
        </w:rPr>
        <w:t>, adoptado el dieciséis de diciembre de mil novecientos sesenta y seis, el cual fue ratificado por México el veintitrés de marzo de mil novecientos ochenta y uno, y publicado en el Diario Oficial de la Federación el veinte de mayo de mil novecientos ochenta y uno.</w:t>
      </w:r>
    </w:p>
    <w:p w14:paraId="332EB6FE" w14:textId="77777777" w:rsidR="00AD59FF" w:rsidRPr="00CF2780" w:rsidRDefault="00AD59FF" w:rsidP="00AD59FF">
      <w:pPr>
        <w:spacing w:after="0" w:line="360" w:lineRule="auto"/>
        <w:ind w:firstLine="709"/>
        <w:jc w:val="both"/>
        <w:rPr>
          <w:rFonts w:ascii="Arial" w:eastAsia="Times New Roman" w:hAnsi="Arial" w:cs="Arial"/>
          <w:b/>
          <w:sz w:val="28"/>
          <w:szCs w:val="28"/>
          <w:lang w:val="es-ES" w:eastAsia="es-ES"/>
        </w:rPr>
      </w:pPr>
    </w:p>
    <w:p w14:paraId="222EFFDF" w14:textId="77777777" w:rsidR="00AD59FF" w:rsidRPr="00CF2780" w:rsidRDefault="00AD59FF" w:rsidP="00AD59FF">
      <w:pPr>
        <w:spacing w:after="0" w:line="240" w:lineRule="auto"/>
        <w:ind w:left="709"/>
        <w:jc w:val="both"/>
        <w:rPr>
          <w:rFonts w:ascii="Arial" w:eastAsia="Times New Roman" w:hAnsi="Arial" w:cs="Arial"/>
          <w:b/>
          <w:sz w:val="24"/>
          <w:szCs w:val="24"/>
          <w:lang w:val="es-ES" w:eastAsia="es-ES"/>
        </w:rPr>
      </w:pPr>
      <w:r w:rsidRPr="00CF2780">
        <w:rPr>
          <w:rFonts w:ascii="Arial" w:eastAsia="Times New Roman" w:hAnsi="Arial" w:cs="Arial"/>
          <w:sz w:val="24"/>
          <w:szCs w:val="24"/>
          <w:lang w:val="es-ES" w:eastAsia="es-ES"/>
        </w:rPr>
        <w:t>“</w:t>
      </w:r>
      <w:r w:rsidRPr="00CF2780">
        <w:rPr>
          <w:rFonts w:ascii="Arial" w:eastAsia="Times New Roman" w:hAnsi="Arial" w:cs="Arial"/>
          <w:b/>
          <w:sz w:val="24"/>
          <w:szCs w:val="24"/>
          <w:lang w:val="es-ES" w:eastAsia="es-ES"/>
        </w:rPr>
        <w:t>Artículo 1.</w:t>
      </w:r>
    </w:p>
    <w:p w14:paraId="001AE070" w14:textId="77777777" w:rsidR="00AD59FF" w:rsidRPr="00CF2780" w:rsidRDefault="00AD59FF" w:rsidP="00AD59FF">
      <w:pPr>
        <w:spacing w:after="0" w:line="240" w:lineRule="auto"/>
        <w:ind w:left="709"/>
        <w:jc w:val="both"/>
        <w:rPr>
          <w:rFonts w:ascii="Arial" w:eastAsia="Times New Roman" w:hAnsi="Arial" w:cs="Arial"/>
          <w:b/>
          <w:sz w:val="24"/>
          <w:szCs w:val="24"/>
          <w:lang w:val="es-ES" w:eastAsia="es-ES"/>
        </w:rPr>
      </w:pPr>
    </w:p>
    <w:p w14:paraId="2220D4AC"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lastRenderedPageBreak/>
        <w:t>1. Todos los pueblos tienen el derecho de libre determinación. En virtud de este derecho establecen libremente su condición política y proveen asimismo a su desarrollo económico, social y cultural.</w:t>
      </w:r>
    </w:p>
    <w:p w14:paraId="608B95DD"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p>
    <w:p w14:paraId="66011D2B"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w:t>
      </w:r>
    </w:p>
    <w:p w14:paraId="53C8EB50"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p>
    <w:p w14:paraId="5DF83D18"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p>
    <w:p w14:paraId="174CA42D" w14:textId="77777777" w:rsidR="00AD59FF" w:rsidRPr="00CF2780" w:rsidRDefault="00AD59FF" w:rsidP="00AD59FF">
      <w:pPr>
        <w:spacing w:after="0" w:line="240" w:lineRule="auto"/>
        <w:ind w:left="709"/>
        <w:jc w:val="both"/>
        <w:rPr>
          <w:rFonts w:ascii="Arial" w:eastAsia="Times New Roman" w:hAnsi="Arial" w:cs="Arial"/>
          <w:b/>
          <w:sz w:val="24"/>
          <w:szCs w:val="24"/>
          <w:lang w:val="es-ES" w:eastAsia="es-ES"/>
        </w:rPr>
      </w:pPr>
      <w:r w:rsidRPr="00CF2780">
        <w:rPr>
          <w:rFonts w:ascii="Arial" w:eastAsia="Times New Roman" w:hAnsi="Arial" w:cs="Arial"/>
          <w:b/>
          <w:sz w:val="24"/>
          <w:szCs w:val="24"/>
          <w:lang w:val="es-ES" w:eastAsia="es-ES"/>
        </w:rPr>
        <w:t>Artículo 5.</w:t>
      </w:r>
    </w:p>
    <w:p w14:paraId="72431FBF" w14:textId="77777777" w:rsidR="00AD59FF" w:rsidRPr="00CF2780" w:rsidRDefault="00AD59FF" w:rsidP="00AD59FF">
      <w:pPr>
        <w:spacing w:after="0" w:line="240" w:lineRule="auto"/>
        <w:ind w:left="709"/>
        <w:jc w:val="both"/>
        <w:rPr>
          <w:rFonts w:ascii="Arial" w:eastAsia="Times New Roman" w:hAnsi="Arial" w:cs="Arial"/>
          <w:b/>
          <w:sz w:val="24"/>
          <w:szCs w:val="24"/>
          <w:lang w:val="es-ES" w:eastAsia="es-ES"/>
        </w:rPr>
      </w:pPr>
    </w:p>
    <w:p w14:paraId="1425D495"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1. Ninguna disposición del presente Pacto podrá ser interpretada en el sentido de conceder derecho alguno a un Estado, grupo o individuo para emprender actividades o realizar actos encaminados a la destrucción de cualquiera de los derechos y libertades reconocidos en el Pacto o a su limitación en mayor medida que la prevista en él.</w:t>
      </w:r>
    </w:p>
    <w:p w14:paraId="0A5904B7"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2. No podrá admitirse restricción o menoscabo de ninguno de los derechos humanos fundamentales reconocidos o vigentes en un Estado Parte en virtud de leyes, convenciones, reglamentos o costumbres, so pretexto de que el presente Pacto no los reconoce o los reconoce en menor grado.</w:t>
      </w:r>
    </w:p>
    <w:p w14:paraId="141696E2"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p>
    <w:p w14:paraId="41A70AA2"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w:t>
      </w:r>
    </w:p>
    <w:p w14:paraId="404FBAF9" w14:textId="77777777" w:rsidR="00AD59FF" w:rsidRPr="00CF2780" w:rsidRDefault="00AD59FF" w:rsidP="00AD59FF">
      <w:pPr>
        <w:spacing w:after="0" w:line="360" w:lineRule="auto"/>
        <w:ind w:firstLine="709"/>
        <w:jc w:val="both"/>
        <w:rPr>
          <w:rFonts w:ascii="Arial" w:eastAsia="Times New Roman" w:hAnsi="Arial" w:cs="Arial"/>
          <w:b/>
          <w:sz w:val="28"/>
          <w:szCs w:val="28"/>
          <w:lang w:val="es-ES" w:eastAsia="es-ES"/>
        </w:rPr>
      </w:pPr>
    </w:p>
    <w:p w14:paraId="4DC4BF4B" w14:textId="77777777" w:rsidR="00AD59FF" w:rsidRPr="00CF2780" w:rsidRDefault="00AD59FF" w:rsidP="00AD59FF">
      <w:pPr>
        <w:spacing w:after="0" w:line="360" w:lineRule="auto"/>
        <w:ind w:firstLine="709"/>
        <w:jc w:val="both"/>
        <w:rPr>
          <w:rFonts w:ascii="Arial" w:eastAsia="Times New Roman" w:hAnsi="Arial" w:cs="Arial"/>
          <w:b/>
          <w:sz w:val="28"/>
          <w:szCs w:val="28"/>
          <w:lang w:val="es-ES" w:eastAsia="es-ES"/>
        </w:rPr>
      </w:pPr>
      <w:r w:rsidRPr="00CF2780">
        <w:rPr>
          <w:rFonts w:ascii="Arial" w:eastAsia="Times New Roman" w:hAnsi="Arial" w:cs="Arial"/>
          <w:b/>
          <w:sz w:val="28"/>
          <w:szCs w:val="28"/>
          <w:lang w:val="es-ES" w:eastAsia="es-ES"/>
        </w:rPr>
        <w:t xml:space="preserve">Pacto Internacional de Derechos Económicos, Sociales y Culturales </w:t>
      </w:r>
      <w:r w:rsidRPr="00CF2780">
        <w:rPr>
          <w:rFonts w:ascii="Arial" w:eastAsia="Times New Roman" w:hAnsi="Arial" w:cs="Arial"/>
          <w:sz w:val="28"/>
          <w:szCs w:val="28"/>
          <w:lang w:val="es-ES" w:eastAsia="es-ES"/>
        </w:rPr>
        <w:t>adoptado el dieciséis de diciembre de mil novecientos sesenta y seis, el cual fue ratificado por México el veintitrés de marzo de mil novecientos ochenta y uno, y publicado en el Diario Oficial de la Federación el doce de mayo de mil novecientos ochenta y uno</w:t>
      </w:r>
    </w:p>
    <w:p w14:paraId="0FEB7C1D" w14:textId="77777777" w:rsidR="00AD59FF" w:rsidRPr="00CF2780" w:rsidRDefault="00AD59FF" w:rsidP="00AD59FF">
      <w:pPr>
        <w:spacing w:after="0" w:line="240" w:lineRule="auto"/>
        <w:ind w:left="709"/>
        <w:jc w:val="both"/>
        <w:rPr>
          <w:rFonts w:ascii="Arial" w:eastAsia="Times New Roman" w:hAnsi="Arial" w:cs="Arial"/>
          <w:b/>
          <w:sz w:val="24"/>
          <w:szCs w:val="24"/>
          <w:lang w:val="es-ES" w:eastAsia="es-ES"/>
        </w:rPr>
      </w:pPr>
    </w:p>
    <w:p w14:paraId="58050C2C" w14:textId="77777777" w:rsidR="00AD59FF" w:rsidRPr="00CF2780" w:rsidRDefault="00AD59FF" w:rsidP="00AD59FF">
      <w:pPr>
        <w:spacing w:after="0" w:line="240" w:lineRule="auto"/>
        <w:ind w:left="709"/>
        <w:jc w:val="both"/>
        <w:rPr>
          <w:rFonts w:ascii="Arial" w:eastAsia="Times New Roman" w:hAnsi="Arial" w:cs="Arial"/>
          <w:b/>
          <w:sz w:val="24"/>
          <w:szCs w:val="24"/>
          <w:lang w:val="es-ES" w:eastAsia="es-ES"/>
        </w:rPr>
      </w:pPr>
      <w:r w:rsidRPr="00CF2780">
        <w:rPr>
          <w:rFonts w:ascii="Arial" w:eastAsia="Times New Roman" w:hAnsi="Arial" w:cs="Arial"/>
          <w:b/>
          <w:sz w:val="24"/>
          <w:szCs w:val="24"/>
          <w:lang w:val="es-ES" w:eastAsia="es-ES"/>
        </w:rPr>
        <w:t>Artículo 1.</w:t>
      </w:r>
    </w:p>
    <w:p w14:paraId="54B0D132" w14:textId="77777777" w:rsidR="00AD59FF" w:rsidRPr="00CF2780" w:rsidRDefault="00AD59FF" w:rsidP="00AD59FF">
      <w:pPr>
        <w:spacing w:after="0" w:line="240" w:lineRule="auto"/>
        <w:ind w:left="709"/>
        <w:jc w:val="both"/>
        <w:rPr>
          <w:rFonts w:ascii="Arial" w:eastAsia="Times New Roman" w:hAnsi="Arial" w:cs="Arial"/>
          <w:b/>
          <w:sz w:val="24"/>
          <w:szCs w:val="24"/>
          <w:lang w:val="es-ES" w:eastAsia="es-ES"/>
        </w:rPr>
      </w:pPr>
    </w:p>
    <w:p w14:paraId="1E564382"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1. Todos los pueblos tienen el derecho de libre determinación. En virtud de este derecho establecen libremente su condición política y proveen asimismo a su desarrollo económico, social y cultural.</w:t>
      </w:r>
    </w:p>
    <w:p w14:paraId="6E688B9E"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p>
    <w:p w14:paraId="3BC131D9"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w:t>
      </w:r>
    </w:p>
    <w:p w14:paraId="7DA218A3"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p>
    <w:p w14:paraId="4E981801" w14:textId="77777777" w:rsidR="00AD59FF" w:rsidRPr="00CF2780" w:rsidRDefault="00AD59FF" w:rsidP="00AD59FF">
      <w:pPr>
        <w:spacing w:after="0" w:line="240" w:lineRule="auto"/>
        <w:ind w:left="709"/>
        <w:jc w:val="both"/>
        <w:rPr>
          <w:rFonts w:ascii="Arial" w:eastAsia="Times New Roman" w:hAnsi="Arial" w:cs="Arial"/>
          <w:b/>
          <w:sz w:val="24"/>
          <w:szCs w:val="24"/>
          <w:lang w:val="es-ES" w:eastAsia="es-ES"/>
        </w:rPr>
      </w:pPr>
      <w:r w:rsidRPr="00CF2780">
        <w:rPr>
          <w:rFonts w:ascii="Arial" w:eastAsia="Times New Roman" w:hAnsi="Arial" w:cs="Arial"/>
          <w:b/>
          <w:sz w:val="24"/>
          <w:szCs w:val="24"/>
          <w:lang w:val="es-ES" w:eastAsia="es-ES"/>
        </w:rPr>
        <w:t>Artículo 5.</w:t>
      </w:r>
    </w:p>
    <w:p w14:paraId="3BDDC2B1" w14:textId="77777777" w:rsidR="00AD59FF" w:rsidRPr="00CF2780" w:rsidRDefault="00AD59FF" w:rsidP="00AD59FF">
      <w:pPr>
        <w:spacing w:after="0" w:line="240" w:lineRule="auto"/>
        <w:ind w:left="709"/>
        <w:jc w:val="both"/>
        <w:rPr>
          <w:rFonts w:ascii="Arial" w:eastAsia="Times New Roman" w:hAnsi="Arial" w:cs="Arial"/>
          <w:b/>
          <w:sz w:val="24"/>
          <w:szCs w:val="24"/>
          <w:lang w:val="es-ES" w:eastAsia="es-ES"/>
        </w:rPr>
      </w:pPr>
    </w:p>
    <w:p w14:paraId="4582E275"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1. Ninguna disposición del presente Pacto podrá ser interpretada en el sentido de reconocer derecho alguno a un Estado, grupo o individuo para emprender actividades o realizar actos encaminados a la destrucción de cualquiera de los derechos o libertades reconocidos en el Pacto, o a su limitación en medida mayor que la prevista en él.</w:t>
      </w:r>
    </w:p>
    <w:p w14:paraId="49367A65"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p>
    <w:p w14:paraId="4A025101"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2. No podrá admitirse restricción o menoscabo de ninguno de los derechos humanos fundamentales reconocidos o vigentes en un país en virtud de leyes, convenciones, reglamentos o costumbres, a pretexto de que el presente Pacto no los reconoce o los reconoce en menor grado.</w:t>
      </w:r>
    </w:p>
    <w:p w14:paraId="55EA64CF" w14:textId="77777777" w:rsidR="00AD59FF" w:rsidRPr="00CF2780" w:rsidRDefault="00AD59FF" w:rsidP="00AD59FF">
      <w:pPr>
        <w:spacing w:after="0" w:line="360" w:lineRule="auto"/>
        <w:ind w:firstLine="709"/>
        <w:jc w:val="both"/>
        <w:rPr>
          <w:rFonts w:ascii="Arial" w:eastAsia="Times New Roman" w:hAnsi="Arial" w:cs="Arial"/>
          <w:b/>
          <w:sz w:val="28"/>
          <w:szCs w:val="28"/>
          <w:lang w:val="es-ES" w:eastAsia="es-ES"/>
        </w:rPr>
      </w:pPr>
    </w:p>
    <w:p w14:paraId="1C2A440D" w14:textId="77777777" w:rsidR="00AD59FF" w:rsidRPr="00CF2780" w:rsidRDefault="00AD59FF" w:rsidP="00AD59FF">
      <w:pPr>
        <w:spacing w:after="0" w:line="360" w:lineRule="auto"/>
        <w:ind w:firstLine="709"/>
        <w:jc w:val="both"/>
        <w:rPr>
          <w:rFonts w:ascii="Arial" w:eastAsia="Times New Roman" w:hAnsi="Arial" w:cs="Arial"/>
          <w:b/>
          <w:sz w:val="28"/>
          <w:szCs w:val="28"/>
          <w:lang w:val="es-ES" w:eastAsia="es-ES"/>
        </w:rPr>
      </w:pPr>
      <w:r w:rsidRPr="00CF2780">
        <w:rPr>
          <w:rFonts w:ascii="Arial" w:eastAsia="Times New Roman" w:hAnsi="Arial" w:cs="Arial"/>
          <w:b/>
          <w:sz w:val="28"/>
          <w:szCs w:val="28"/>
          <w:lang w:val="es-ES" w:eastAsia="es-ES"/>
        </w:rPr>
        <w:t xml:space="preserve">Convenio número 169 de la Organización Internacional del Trabajo sobre Pueblos Indígenas y Tribales en Países Independientes, </w:t>
      </w:r>
      <w:r w:rsidRPr="00CF2780">
        <w:rPr>
          <w:rFonts w:ascii="Arial" w:eastAsia="Times New Roman" w:hAnsi="Arial" w:cs="Arial"/>
          <w:sz w:val="28"/>
          <w:szCs w:val="28"/>
          <w:lang w:val="es-ES" w:eastAsia="es-ES"/>
        </w:rPr>
        <w:t>adoptado por la Conferencia General de dicho organismo internacional el veintisiete de junio de mil novecientos ochenta y nueve, el cual fue ratificado por México el cinco de septiembre de mil novecientos noventa y publicado en el Diario Oficial de la Federación el veinticuatro de enero de mil novecientos noventa y uno</w:t>
      </w:r>
      <w:r w:rsidRPr="00CF2780">
        <w:rPr>
          <w:rFonts w:ascii="Arial" w:eastAsia="Times New Roman" w:hAnsi="Arial" w:cs="Arial"/>
          <w:b/>
          <w:sz w:val="28"/>
          <w:szCs w:val="28"/>
          <w:lang w:val="es-ES" w:eastAsia="es-ES"/>
        </w:rPr>
        <w:t>.</w:t>
      </w:r>
    </w:p>
    <w:p w14:paraId="1C815AF3" w14:textId="77777777" w:rsidR="00AD59FF" w:rsidRPr="00CF2780" w:rsidRDefault="00AD59FF" w:rsidP="00AD59FF">
      <w:pPr>
        <w:spacing w:after="0" w:line="360" w:lineRule="auto"/>
        <w:ind w:firstLine="709"/>
        <w:jc w:val="both"/>
        <w:rPr>
          <w:rFonts w:ascii="Arial" w:eastAsia="Times New Roman" w:hAnsi="Arial" w:cs="Arial"/>
          <w:b/>
          <w:sz w:val="28"/>
          <w:szCs w:val="28"/>
          <w:lang w:val="es-ES" w:eastAsia="es-ES"/>
        </w:rPr>
      </w:pPr>
    </w:p>
    <w:p w14:paraId="298AE6E8" w14:textId="77777777" w:rsidR="00AD59FF" w:rsidRPr="00CF2780" w:rsidRDefault="00AD59FF" w:rsidP="00AD59FF">
      <w:pPr>
        <w:spacing w:after="0" w:line="240" w:lineRule="auto"/>
        <w:ind w:left="709"/>
        <w:jc w:val="both"/>
        <w:rPr>
          <w:rFonts w:ascii="Arial" w:eastAsia="Times New Roman" w:hAnsi="Arial" w:cs="Arial"/>
          <w:b/>
          <w:sz w:val="24"/>
          <w:szCs w:val="24"/>
          <w:lang w:val="es-ES" w:eastAsia="es-ES"/>
        </w:rPr>
      </w:pPr>
      <w:r w:rsidRPr="00CF2780">
        <w:rPr>
          <w:rFonts w:ascii="Arial" w:eastAsia="Times New Roman" w:hAnsi="Arial" w:cs="Arial"/>
          <w:b/>
          <w:sz w:val="24"/>
          <w:szCs w:val="24"/>
          <w:lang w:val="es-ES" w:eastAsia="es-ES"/>
        </w:rPr>
        <w:t>“Artículo 2.</w:t>
      </w:r>
    </w:p>
    <w:p w14:paraId="50C928D3" w14:textId="77777777" w:rsidR="00AD59FF" w:rsidRPr="00CF2780" w:rsidRDefault="00AD59FF" w:rsidP="00AD59FF">
      <w:pPr>
        <w:spacing w:after="0" w:line="240" w:lineRule="auto"/>
        <w:ind w:left="709"/>
        <w:jc w:val="both"/>
        <w:rPr>
          <w:rFonts w:ascii="Arial" w:eastAsia="Times New Roman" w:hAnsi="Arial" w:cs="Arial"/>
          <w:b/>
          <w:sz w:val="24"/>
          <w:szCs w:val="24"/>
          <w:lang w:val="es-ES" w:eastAsia="es-ES"/>
        </w:rPr>
      </w:pPr>
    </w:p>
    <w:p w14:paraId="502FF8A0"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1. Los gobiernos deberán asumir la responsabilidad de desarrollar, con la participación de los pueblos interesados, una acción coordinada y sistemática con miras a proteger los derechos de esos pueblos y a garantizar el respeto de su integridad.</w:t>
      </w:r>
    </w:p>
    <w:p w14:paraId="5B61E106"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p>
    <w:p w14:paraId="55028748"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2. Esta acción deberá incluir medidas:</w:t>
      </w:r>
    </w:p>
    <w:p w14:paraId="5D0CC8C5"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p>
    <w:p w14:paraId="4E7F11D2"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b) que promuevan la plena efectividad de los derechos sociales, económicos y culturales de esos pueblos, respetando su identidad social y cultural, sus costumbres y tradiciones, y sus instituciones;</w:t>
      </w:r>
    </w:p>
    <w:p w14:paraId="7BDB8079"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p>
    <w:p w14:paraId="2EDCA455"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w:t>
      </w:r>
    </w:p>
    <w:p w14:paraId="61992CD0"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p>
    <w:p w14:paraId="4C5922E5" w14:textId="77777777" w:rsidR="00AD59FF" w:rsidRPr="00CF2780" w:rsidRDefault="00AD59FF" w:rsidP="00AD59FF">
      <w:pPr>
        <w:spacing w:after="0" w:line="240" w:lineRule="auto"/>
        <w:ind w:left="709"/>
        <w:jc w:val="both"/>
        <w:rPr>
          <w:rFonts w:ascii="Arial" w:eastAsia="Times New Roman" w:hAnsi="Arial" w:cs="Arial"/>
          <w:b/>
          <w:sz w:val="24"/>
          <w:szCs w:val="24"/>
          <w:lang w:val="es-ES" w:eastAsia="es-ES"/>
        </w:rPr>
      </w:pPr>
      <w:r w:rsidRPr="00CF2780">
        <w:rPr>
          <w:rFonts w:ascii="Arial" w:eastAsia="Times New Roman" w:hAnsi="Arial" w:cs="Arial"/>
          <w:b/>
          <w:sz w:val="24"/>
          <w:szCs w:val="24"/>
          <w:lang w:val="es-ES" w:eastAsia="es-ES"/>
        </w:rPr>
        <w:t>Artículo 5.</w:t>
      </w:r>
    </w:p>
    <w:p w14:paraId="129C8449" w14:textId="77777777" w:rsidR="00AD59FF" w:rsidRPr="00CF2780" w:rsidRDefault="00AD59FF" w:rsidP="00AD59FF">
      <w:pPr>
        <w:spacing w:after="0" w:line="240" w:lineRule="auto"/>
        <w:ind w:left="709"/>
        <w:jc w:val="both"/>
        <w:rPr>
          <w:rFonts w:ascii="Arial" w:eastAsia="Times New Roman" w:hAnsi="Arial" w:cs="Arial"/>
          <w:b/>
          <w:sz w:val="24"/>
          <w:szCs w:val="24"/>
          <w:lang w:val="es-ES" w:eastAsia="es-ES"/>
        </w:rPr>
      </w:pPr>
    </w:p>
    <w:p w14:paraId="198B96E0"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Al aplicar las disposiciones del presente Convenio:</w:t>
      </w:r>
    </w:p>
    <w:p w14:paraId="1B27C540"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p>
    <w:p w14:paraId="5FC6F2BA"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a) deberán reconocerse y protegerse los valores y prácticas sociales, culturales, religiosos y espirituales propios de dichos pueblos y deberá tomarse debidamente en consideración la índole de los problemas que se les plantean tanto colectiva como individualmente;</w:t>
      </w:r>
    </w:p>
    <w:p w14:paraId="6E5AB889"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p>
    <w:p w14:paraId="29666059"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b) deberá respetarse la integridad de los valores, prácticas e instituciones de esos pueblos;</w:t>
      </w:r>
    </w:p>
    <w:p w14:paraId="578B047B"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p>
    <w:p w14:paraId="0B37CDD6"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w:t>
      </w:r>
    </w:p>
    <w:p w14:paraId="76E03479"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p>
    <w:p w14:paraId="124A0CD5" w14:textId="77777777" w:rsidR="00AD59FF" w:rsidRPr="00CF2780" w:rsidRDefault="00AD59FF" w:rsidP="00AD59FF">
      <w:pPr>
        <w:spacing w:after="0" w:line="240" w:lineRule="auto"/>
        <w:ind w:left="709"/>
        <w:jc w:val="both"/>
        <w:rPr>
          <w:rFonts w:ascii="Arial" w:eastAsia="Times New Roman" w:hAnsi="Arial" w:cs="Arial"/>
          <w:b/>
          <w:sz w:val="24"/>
          <w:szCs w:val="24"/>
          <w:lang w:val="es-ES" w:eastAsia="es-ES"/>
        </w:rPr>
      </w:pPr>
      <w:r w:rsidRPr="00CF2780">
        <w:rPr>
          <w:rFonts w:ascii="Arial" w:eastAsia="Times New Roman" w:hAnsi="Arial" w:cs="Arial"/>
          <w:b/>
          <w:sz w:val="24"/>
          <w:szCs w:val="24"/>
          <w:lang w:val="es-ES" w:eastAsia="es-ES"/>
        </w:rPr>
        <w:t>Artículo 7.</w:t>
      </w:r>
    </w:p>
    <w:p w14:paraId="3DDAF90F" w14:textId="77777777" w:rsidR="00AD59FF" w:rsidRPr="00CF2780" w:rsidRDefault="00AD59FF" w:rsidP="00AD59FF">
      <w:pPr>
        <w:spacing w:after="0" w:line="240" w:lineRule="auto"/>
        <w:ind w:left="709"/>
        <w:jc w:val="both"/>
        <w:rPr>
          <w:rFonts w:ascii="Arial" w:eastAsia="Times New Roman" w:hAnsi="Arial" w:cs="Arial"/>
          <w:b/>
          <w:sz w:val="24"/>
          <w:szCs w:val="24"/>
          <w:lang w:val="es-ES" w:eastAsia="es-ES"/>
        </w:rPr>
      </w:pPr>
    </w:p>
    <w:p w14:paraId="14917856"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1. Los pueblos interesados deberán tener el derecho de decidir sus propias prioridades en lo que atañe al proceso de desarrollo, en la medida en que éste afecte a sus vidas, creencias, instituciones y bienestar espiritual y a las tierras que ocupan o utilizan de alguna manera, y de controlar, en la medida de lo posible, su propio desarrollo económico, social y cultural. Además, dichos pueblos deberán participar en la formulación, aplicación y evaluación de los planes y programas de desarrollo nacional y regional susceptibles de afectarles directamente.</w:t>
      </w:r>
    </w:p>
    <w:p w14:paraId="2BC24473"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p>
    <w:p w14:paraId="56C8B503"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w:t>
      </w:r>
    </w:p>
    <w:p w14:paraId="6CD507A2"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p>
    <w:p w14:paraId="4392BFFF" w14:textId="77777777" w:rsidR="00AD59FF" w:rsidRPr="00CF2780" w:rsidRDefault="00AD59FF" w:rsidP="00AD59FF">
      <w:pPr>
        <w:spacing w:after="0" w:line="240" w:lineRule="auto"/>
        <w:ind w:left="709"/>
        <w:jc w:val="both"/>
        <w:rPr>
          <w:rFonts w:ascii="Arial" w:eastAsia="Times New Roman" w:hAnsi="Arial" w:cs="Arial"/>
          <w:b/>
          <w:sz w:val="24"/>
          <w:szCs w:val="24"/>
          <w:lang w:val="es-ES" w:eastAsia="es-ES"/>
        </w:rPr>
      </w:pPr>
      <w:r w:rsidRPr="00CF2780">
        <w:rPr>
          <w:rFonts w:ascii="Arial" w:eastAsia="Times New Roman" w:hAnsi="Arial" w:cs="Arial"/>
          <w:b/>
          <w:sz w:val="24"/>
          <w:szCs w:val="24"/>
          <w:lang w:val="es-ES" w:eastAsia="es-ES"/>
        </w:rPr>
        <w:t>Artículo 8.</w:t>
      </w:r>
    </w:p>
    <w:p w14:paraId="6FDC7413" w14:textId="77777777" w:rsidR="00AD59FF" w:rsidRPr="00CF2780" w:rsidRDefault="00AD59FF" w:rsidP="00AD59FF">
      <w:pPr>
        <w:spacing w:after="0" w:line="240" w:lineRule="auto"/>
        <w:ind w:left="709"/>
        <w:jc w:val="both"/>
        <w:rPr>
          <w:rFonts w:ascii="Arial" w:eastAsia="Times New Roman" w:hAnsi="Arial" w:cs="Arial"/>
          <w:b/>
          <w:sz w:val="24"/>
          <w:szCs w:val="24"/>
          <w:lang w:val="es-ES" w:eastAsia="es-ES"/>
        </w:rPr>
      </w:pPr>
    </w:p>
    <w:p w14:paraId="775DDFF4"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1. Al aplicar la legislación nacional a los pueblos interesados deberán tomarse debidamente en consideración sus costumbres o su derecho consuetudinario.</w:t>
      </w:r>
    </w:p>
    <w:p w14:paraId="676598F0"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p>
    <w:p w14:paraId="3FA90E6C"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2. Dichos pueblos deberán tener el derecho de conservar sus costumbres e instituciones propias, siempre que éstas no sean incompatibles con los derechos fundamentales definidos por el sistema jurídico nacional ni con los derechos humanos internacionalmente reconocidos. Siempre que sea necesario, deberán establecerse procedimientos para solucionar los conflictos que puedan surgir en la aplicación de este principio.</w:t>
      </w:r>
    </w:p>
    <w:p w14:paraId="539B19E7"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p>
    <w:p w14:paraId="003D9680"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3. La aplicación de los párrafos 1 y 2 de este artículo no deberá impedir a los miembros de dichos pueblos ejercer los derechos reconocidos a todos los ciudadanos del país y asumir las obligaciones correspondientes”.</w:t>
      </w:r>
    </w:p>
    <w:p w14:paraId="55C36F56" w14:textId="77777777" w:rsidR="00AD59FF" w:rsidRPr="00CF2780" w:rsidRDefault="00AD59FF" w:rsidP="00AD59FF">
      <w:pPr>
        <w:spacing w:after="0" w:line="360" w:lineRule="auto"/>
        <w:ind w:firstLine="709"/>
        <w:jc w:val="both"/>
        <w:rPr>
          <w:rFonts w:ascii="Arial" w:eastAsia="Times New Roman" w:hAnsi="Arial" w:cs="Arial"/>
          <w:b/>
          <w:sz w:val="28"/>
          <w:szCs w:val="28"/>
          <w:lang w:val="es-ES" w:eastAsia="es-ES"/>
        </w:rPr>
      </w:pPr>
    </w:p>
    <w:p w14:paraId="459310FB"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 xml:space="preserve">Declaración de las Naciones Unidas sobre los Derechos de los Pueblos Indígenas, </w:t>
      </w:r>
      <w:r w:rsidRPr="00CF2780">
        <w:rPr>
          <w:rFonts w:ascii="Arial" w:eastAsia="Times New Roman" w:hAnsi="Arial" w:cs="Arial"/>
          <w:sz w:val="28"/>
          <w:szCs w:val="28"/>
          <w:lang w:val="es-ES" w:eastAsia="es-ES"/>
        </w:rPr>
        <w:t>aprobada mediante resolución de la Asamblea General de trece de septiembre de dos mil siete.</w:t>
      </w:r>
    </w:p>
    <w:p w14:paraId="35FF5423" w14:textId="77777777" w:rsidR="00AD59FF" w:rsidRPr="00CF2780" w:rsidRDefault="00AD59FF" w:rsidP="00AD59FF">
      <w:pPr>
        <w:spacing w:after="0" w:line="360" w:lineRule="auto"/>
        <w:ind w:firstLine="709"/>
        <w:jc w:val="both"/>
        <w:rPr>
          <w:rFonts w:ascii="Arial" w:eastAsia="Times New Roman" w:hAnsi="Arial" w:cs="Arial"/>
          <w:b/>
          <w:sz w:val="28"/>
          <w:szCs w:val="28"/>
          <w:lang w:val="es-ES" w:eastAsia="es-ES"/>
        </w:rPr>
      </w:pPr>
    </w:p>
    <w:p w14:paraId="1F4B8C39" w14:textId="77777777" w:rsidR="00AD59FF" w:rsidRPr="00CF2780" w:rsidRDefault="00AD59FF" w:rsidP="00AD59FF">
      <w:pPr>
        <w:spacing w:after="0" w:line="240" w:lineRule="auto"/>
        <w:ind w:left="709"/>
        <w:jc w:val="both"/>
        <w:rPr>
          <w:rFonts w:ascii="Arial" w:eastAsia="Times New Roman" w:hAnsi="Arial" w:cs="Arial"/>
          <w:b/>
          <w:sz w:val="24"/>
          <w:szCs w:val="24"/>
          <w:lang w:val="es-ES" w:eastAsia="es-ES"/>
        </w:rPr>
      </w:pPr>
      <w:r w:rsidRPr="00CF2780">
        <w:rPr>
          <w:rFonts w:ascii="Arial" w:eastAsia="Times New Roman" w:hAnsi="Arial" w:cs="Arial"/>
          <w:sz w:val="24"/>
          <w:szCs w:val="24"/>
          <w:lang w:val="es-ES" w:eastAsia="es-ES"/>
        </w:rPr>
        <w:t>“</w:t>
      </w:r>
      <w:r w:rsidRPr="00CF2780">
        <w:rPr>
          <w:rFonts w:ascii="Arial" w:eastAsia="Times New Roman" w:hAnsi="Arial" w:cs="Arial"/>
          <w:b/>
          <w:sz w:val="24"/>
          <w:szCs w:val="24"/>
          <w:lang w:val="es-ES" w:eastAsia="es-ES"/>
        </w:rPr>
        <w:t>Artículo 1.</w:t>
      </w:r>
    </w:p>
    <w:p w14:paraId="304F2174"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Los indígenas tienen derecho, como pueblos o como individuos, al disfrute pleno de todos los derechos humanos y las libertades fundamentales reconocidos en la Carta de las Naciones Unidas, la Declaración Universal de Derechos Humanos y las normas internacionales de derechos humanos.</w:t>
      </w:r>
    </w:p>
    <w:p w14:paraId="66C32233"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p>
    <w:p w14:paraId="6703EE2B"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lastRenderedPageBreak/>
        <w:t>…</w:t>
      </w:r>
    </w:p>
    <w:p w14:paraId="1CD4DA30"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p>
    <w:p w14:paraId="2CC332DD" w14:textId="77777777" w:rsidR="00AD59FF" w:rsidRPr="00CF2780" w:rsidRDefault="00AD59FF" w:rsidP="00AD59FF">
      <w:pPr>
        <w:spacing w:after="0" w:line="240" w:lineRule="auto"/>
        <w:ind w:left="709"/>
        <w:jc w:val="both"/>
        <w:rPr>
          <w:rFonts w:ascii="Arial" w:eastAsia="Times New Roman" w:hAnsi="Arial" w:cs="Arial"/>
          <w:b/>
          <w:sz w:val="24"/>
          <w:szCs w:val="24"/>
          <w:lang w:val="es-ES" w:eastAsia="es-ES"/>
        </w:rPr>
      </w:pPr>
      <w:r w:rsidRPr="00CF2780">
        <w:rPr>
          <w:rFonts w:ascii="Arial" w:eastAsia="Times New Roman" w:hAnsi="Arial" w:cs="Arial"/>
          <w:b/>
          <w:sz w:val="24"/>
          <w:szCs w:val="24"/>
          <w:lang w:val="es-ES" w:eastAsia="es-ES"/>
        </w:rPr>
        <w:t>Artículo 3.</w:t>
      </w:r>
    </w:p>
    <w:p w14:paraId="57831071"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Los pueblos indígenas tienen derecho a la libre determinación. En virtud de ese derecho determinan libremente su condición política y persiguen libremente su desarrollo económico, social y cultural.</w:t>
      </w:r>
    </w:p>
    <w:p w14:paraId="5A1A95D1"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p>
    <w:p w14:paraId="48F259CD" w14:textId="77777777" w:rsidR="00AD59FF" w:rsidRPr="00CF2780" w:rsidRDefault="00AD59FF" w:rsidP="00AD59FF">
      <w:pPr>
        <w:spacing w:after="0" w:line="240" w:lineRule="auto"/>
        <w:ind w:left="709"/>
        <w:jc w:val="both"/>
        <w:rPr>
          <w:rFonts w:ascii="Arial" w:eastAsia="Times New Roman" w:hAnsi="Arial" w:cs="Arial"/>
          <w:b/>
          <w:sz w:val="24"/>
          <w:szCs w:val="24"/>
          <w:lang w:val="es-ES" w:eastAsia="es-ES"/>
        </w:rPr>
      </w:pPr>
      <w:r w:rsidRPr="00CF2780">
        <w:rPr>
          <w:rFonts w:ascii="Arial" w:eastAsia="Times New Roman" w:hAnsi="Arial" w:cs="Arial"/>
          <w:b/>
          <w:sz w:val="24"/>
          <w:szCs w:val="24"/>
          <w:lang w:val="es-ES" w:eastAsia="es-ES"/>
        </w:rPr>
        <w:t>Artículo 4.</w:t>
      </w:r>
    </w:p>
    <w:p w14:paraId="146BF660" w14:textId="77777777" w:rsidR="00AD59FF" w:rsidRPr="00CF2780" w:rsidRDefault="00AD59FF" w:rsidP="00AD59FF">
      <w:pPr>
        <w:spacing w:after="0" w:line="240" w:lineRule="auto"/>
        <w:ind w:left="709"/>
        <w:jc w:val="both"/>
        <w:rPr>
          <w:rFonts w:ascii="Arial" w:eastAsia="Times New Roman" w:hAnsi="Arial" w:cs="Arial"/>
          <w:b/>
          <w:sz w:val="24"/>
          <w:szCs w:val="24"/>
          <w:lang w:val="es-ES" w:eastAsia="es-ES"/>
        </w:rPr>
      </w:pPr>
    </w:p>
    <w:p w14:paraId="0CD77FBE"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Los pueblos indígenas, en ejercicio de su derecho a la libre determinación, tienen derecho a la autonomía o al autogobierno en las cuestiones relacionadas con sus asuntos internos y locales, así como a disponer de medios para financiar sus funciones autónomas.</w:t>
      </w:r>
    </w:p>
    <w:p w14:paraId="424C5EB6"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p>
    <w:p w14:paraId="06DA38EC" w14:textId="77777777" w:rsidR="00AD59FF" w:rsidRPr="00CF2780" w:rsidRDefault="00AD59FF" w:rsidP="00AD59FF">
      <w:pPr>
        <w:spacing w:after="0" w:line="240" w:lineRule="auto"/>
        <w:ind w:left="709"/>
        <w:jc w:val="both"/>
        <w:rPr>
          <w:rFonts w:ascii="Arial" w:eastAsia="Times New Roman" w:hAnsi="Arial" w:cs="Arial"/>
          <w:b/>
          <w:sz w:val="24"/>
          <w:szCs w:val="24"/>
          <w:lang w:val="es-ES" w:eastAsia="es-ES"/>
        </w:rPr>
      </w:pPr>
      <w:r w:rsidRPr="00CF2780">
        <w:rPr>
          <w:rFonts w:ascii="Arial" w:eastAsia="Times New Roman" w:hAnsi="Arial" w:cs="Arial"/>
          <w:b/>
          <w:sz w:val="24"/>
          <w:szCs w:val="24"/>
          <w:lang w:val="es-ES" w:eastAsia="es-ES"/>
        </w:rPr>
        <w:t>Artículo 5.</w:t>
      </w:r>
    </w:p>
    <w:p w14:paraId="7CC6702D" w14:textId="77777777" w:rsidR="00AD59FF" w:rsidRPr="00CF2780" w:rsidRDefault="00AD59FF" w:rsidP="00AD59FF">
      <w:pPr>
        <w:spacing w:after="0" w:line="240" w:lineRule="auto"/>
        <w:ind w:left="709"/>
        <w:jc w:val="both"/>
        <w:rPr>
          <w:rFonts w:ascii="Arial" w:eastAsia="Times New Roman" w:hAnsi="Arial" w:cs="Arial"/>
          <w:b/>
          <w:sz w:val="24"/>
          <w:szCs w:val="24"/>
          <w:lang w:val="es-ES" w:eastAsia="es-ES"/>
        </w:rPr>
      </w:pPr>
    </w:p>
    <w:p w14:paraId="63CA6243"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Los pueblos indígenas tienen derecho a conservar y reforzar sus propias instituciones políticas, jurídicas, económicas, sociales y culturales, manteniendo a la vez su derecho a participar plenamente, si lo desean, en la vida política, económica, social y cultural del Estado.</w:t>
      </w:r>
    </w:p>
    <w:p w14:paraId="66287E2D"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p>
    <w:p w14:paraId="3A7D7C62"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w:t>
      </w:r>
    </w:p>
    <w:p w14:paraId="7B1994FD"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p>
    <w:p w14:paraId="1F75A280" w14:textId="77777777" w:rsidR="00AD59FF" w:rsidRPr="00CF2780" w:rsidRDefault="00AD59FF" w:rsidP="00AD59FF">
      <w:pPr>
        <w:spacing w:after="0" w:line="240" w:lineRule="auto"/>
        <w:ind w:left="709"/>
        <w:jc w:val="both"/>
        <w:rPr>
          <w:rFonts w:ascii="Arial" w:eastAsia="Times New Roman" w:hAnsi="Arial" w:cs="Arial"/>
          <w:b/>
          <w:sz w:val="24"/>
          <w:szCs w:val="24"/>
          <w:lang w:val="es-ES" w:eastAsia="es-ES"/>
        </w:rPr>
      </w:pPr>
      <w:r w:rsidRPr="00CF2780">
        <w:rPr>
          <w:rFonts w:ascii="Arial" w:eastAsia="Times New Roman" w:hAnsi="Arial" w:cs="Arial"/>
          <w:b/>
          <w:sz w:val="24"/>
          <w:szCs w:val="24"/>
          <w:lang w:val="es-ES" w:eastAsia="es-ES"/>
        </w:rPr>
        <w:t>Artículo 20.</w:t>
      </w:r>
    </w:p>
    <w:p w14:paraId="7EE7D440" w14:textId="77777777" w:rsidR="00AD59FF" w:rsidRPr="00CF2780" w:rsidRDefault="00AD59FF" w:rsidP="00AD59FF">
      <w:pPr>
        <w:spacing w:after="0" w:line="240" w:lineRule="auto"/>
        <w:ind w:left="709"/>
        <w:jc w:val="both"/>
        <w:rPr>
          <w:rFonts w:ascii="Arial" w:eastAsia="Times New Roman" w:hAnsi="Arial" w:cs="Arial"/>
          <w:b/>
          <w:sz w:val="24"/>
          <w:szCs w:val="24"/>
          <w:lang w:val="es-ES" w:eastAsia="es-ES"/>
        </w:rPr>
      </w:pPr>
    </w:p>
    <w:p w14:paraId="1EC68D98"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1. Los pueblos indígenas tienen derecho a mantener y desarrollar sus sistemas o instituciones políticas, económicas y sociales, a disfrutar de forma segura de sus propios medios de subsistencia y desarrollo, y a dedicarse libremente a todas sus actividades económicas tradicionales y de otro tipo.</w:t>
      </w:r>
    </w:p>
    <w:p w14:paraId="4232BAE3"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p>
    <w:p w14:paraId="2F3878EC"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r w:rsidRPr="00CF2780">
        <w:rPr>
          <w:rFonts w:ascii="Arial" w:eastAsia="Times New Roman" w:hAnsi="Arial" w:cs="Arial"/>
          <w:b/>
          <w:bCs/>
          <w:sz w:val="24"/>
          <w:szCs w:val="24"/>
          <w:lang w:val="es-ES" w:eastAsia="es-ES"/>
        </w:rPr>
        <w:t>Artículo 33</w:t>
      </w:r>
      <w:r w:rsidRPr="00CF2780">
        <w:rPr>
          <w:rFonts w:ascii="Arial" w:eastAsia="Times New Roman" w:hAnsi="Arial" w:cs="Arial"/>
          <w:sz w:val="24"/>
          <w:szCs w:val="24"/>
          <w:lang w:val="es-ES" w:eastAsia="es-ES"/>
        </w:rPr>
        <w:br/>
        <w:t>1. Los pueblos indígenas tienen derecho a determinar su propia identidad o pertenencia conforme a sus costumbres y tradiciones. Ello no menoscaba el derecho de las personas indígenas a obtener la ciudadanía de los Estados en que viven.</w:t>
      </w:r>
      <w:r w:rsidRPr="00CF2780">
        <w:rPr>
          <w:rFonts w:ascii="Arial" w:eastAsia="Times New Roman" w:hAnsi="Arial" w:cs="Arial"/>
          <w:sz w:val="24"/>
          <w:szCs w:val="24"/>
          <w:lang w:val="es-ES" w:eastAsia="es-ES"/>
        </w:rPr>
        <w:br/>
        <w:t>2. Los pueblos indígenas tienen derecho a determinar las estructuras y a elegir la composición de sus instituciones de conformidad con sus propios procedimientos.</w:t>
      </w:r>
    </w:p>
    <w:p w14:paraId="2483C323"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p>
    <w:p w14:paraId="6DE1E18A" w14:textId="77777777" w:rsidR="00AD59FF" w:rsidRPr="00CF2780" w:rsidRDefault="00AD59FF" w:rsidP="00AD59FF">
      <w:pPr>
        <w:spacing w:after="0" w:line="240" w:lineRule="auto"/>
        <w:ind w:left="709"/>
        <w:jc w:val="both"/>
        <w:rPr>
          <w:rFonts w:ascii="Arial" w:eastAsia="Times New Roman" w:hAnsi="Arial" w:cs="Arial"/>
          <w:b/>
          <w:sz w:val="24"/>
          <w:szCs w:val="24"/>
          <w:lang w:val="es-ES" w:eastAsia="es-ES"/>
        </w:rPr>
      </w:pPr>
      <w:r w:rsidRPr="00CF2780">
        <w:rPr>
          <w:rFonts w:ascii="Arial" w:eastAsia="Times New Roman" w:hAnsi="Arial" w:cs="Arial"/>
          <w:b/>
          <w:sz w:val="24"/>
          <w:szCs w:val="24"/>
          <w:lang w:val="es-ES" w:eastAsia="es-ES"/>
        </w:rPr>
        <w:t>Artículo 34.</w:t>
      </w:r>
    </w:p>
    <w:p w14:paraId="0D966472" w14:textId="77777777" w:rsidR="00AD59FF" w:rsidRPr="00CF2780" w:rsidRDefault="00AD59FF" w:rsidP="00AD59FF">
      <w:pPr>
        <w:spacing w:after="0" w:line="240" w:lineRule="auto"/>
        <w:ind w:left="709"/>
        <w:jc w:val="both"/>
        <w:rPr>
          <w:rFonts w:ascii="Arial" w:eastAsia="Times New Roman" w:hAnsi="Arial" w:cs="Arial"/>
          <w:b/>
          <w:sz w:val="24"/>
          <w:szCs w:val="24"/>
          <w:lang w:val="es-ES" w:eastAsia="es-ES"/>
        </w:rPr>
      </w:pPr>
    </w:p>
    <w:p w14:paraId="5D981FE3"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Los pueblos indígenas tienen derecho a promover, desarrollar y mantener sus estructuras institucionales y sus propias costumbres, espiritualidad, tradiciones, procedimientos, prácticas y, cuando existan, costumbres o sistemas jurídicos, de conformidad con las normas internacionales de derechos humanos”.</w:t>
      </w:r>
    </w:p>
    <w:p w14:paraId="300C2354"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5CB41B84"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La interpretación sistemática de los artículos trascritos permite advertir que el derecho fundamental que articula y engloba a las diversas manifestaciones concretas de autonomía de los pueblos y comunidades indígenas es el derecho a la libre determinación.</w:t>
      </w:r>
    </w:p>
    <w:p w14:paraId="0490742B"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34C54799"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Incluso el artículo 3º, segundo párrafo, de la Constitución Política de Michoacán, establece que la ley protegerá y promoverá dentro de la estructura jurídica estatal, el desarrollo de las culturas, recursos y formas específicas de organización social de las etnias asentadas en el territorio de la Entidad, y garantizará a sus integrantes el efectivo acceso a la jurisdicción del Estado, esboza un reconocimiento al autogobierno de las comunidades indígenas.</w:t>
      </w:r>
    </w:p>
    <w:p w14:paraId="0F589858"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54D920B0"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El derecho a la libre determinación y la autonomía reconocido en el artículo 2º, quinto párrafo, de la Constitución Política de los Estados Unidos Mexicanos, se entiende como la base del ejercicio de una serie de derechos específicos relacionados con los ámbitos de decisión política, económica, social y jurídica al interior de las comunidades que forman parte de los pueblos indígenas, los cuales, por lo tanto deben ser respetados por el Estado mexicano para garantizar las expresiones de identidad de dichos pueblos y sus integrantes. </w:t>
      </w:r>
    </w:p>
    <w:p w14:paraId="28C7ED09"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p>
    <w:p w14:paraId="18DD37BB"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Asimismo, la normatividad internacional firmada y ratificada por el Estado Mexicano ha establecido que: “</w:t>
      </w:r>
      <w:r w:rsidRPr="00CF2780">
        <w:rPr>
          <w:rFonts w:ascii="Arial" w:eastAsia="Times New Roman" w:hAnsi="Arial" w:cs="Arial"/>
          <w:i/>
          <w:sz w:val="28"/>
          <w:szCs w:val="28"/>
          <w:lang w:val="es-ES" w:eastAsia="es-ES"/>
        </w:rPr>
        <w:t xml:space="preserve">Todos los pueblos tienen el derecho de libre determinación. En virtud de este derecho establecen libremente su condición política y proveen asimismo a su desarrollo </w:t>
      </w:r>
      <w:r w:rsidRPr="00CF2780">
        <w:rPr>
          <w:rFonts w:ascii="Arial" w:eastAsia="Times New Roman" w:hAnsi="Arial" w:cs="Arial"/>
          <w:i/>
          <w:sz w:val="28"/>
          <w:szCs w:val="28"/>
          <w:lang w:val="es-ES" w:eastAsia="es-ES"/>
        </w:rPr>
        <w:lastRenderedPageBreak/>
        <w:t>económico, social y cultura</w:t>
      </w:r>
      <w:r w:rsidRPr="00CF2780">
        <w:rPr>
          <w:rFonts w:ascii="Arial" w:eastAsia="Times New Roman" w:hAnsi="Arial" w:cs="Arial"/>
          <w:sz w:val="28"/>
          <w:szCs w:val="28"/>
          <w:lang w:val="es-ES" w:eastAsia="es-ES"/>
        </w:rPr>
        <w:t>l”, disposición que se reitera en el artículo 3 de la Declaración de las Naciones Unidas sobre los Derechos de los Pueblos Indígenas.</w:t>
      </w:r>
    </w:p>
    <w:p w14:paraId="79AFC304"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66D97899"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Al respecto, el Comité de Derechos Humanos de la Organización de las Naciones Unidas ha considerado que el artículo 1 del Pacto Internacional de Derechos Civiles y Políticos es aplicable a los pueblos indígenas, tal y como se advierte en los parágrafo 7 y 8 de la determinación CCPR/C/79/Add.105 de siete abril de mil novecientos noventa y nueve </w:t>
      </w:r>
      <w:r w:rsidRPr="00CF2780">
        <w:rPr>
          <w:rFonts w:ascii="Arial" w:eastAsia="Times New Roman" w:hAnsi="Arial" w:cs="Arial"/>
          <w:i/>
          <w:sz w:val="28"/>
          <w:szCs w:val="28"/>
          <w:lang w:val="es-ES" w:eastAsia="es-ES"/>
        </w:rPr>
        <w:t>“Observaciones finales del Comité de Derechos Humanos: Canadá”,</w:t>
      </w:r>
      <w:r w:rsidRPr="00CF2780">
        <w:rPr>
          <w:rFonts w:ascii="Arial" w:eastAsia="Times New Roman" w:hAnsi="Arial" w:cs="Arial"/>
          <w:sz w:val="28"/>
          <w:szCs w:val="28"/>
          <w:lang w:val="es-ES" w:eastAsia="es-ES"/>
        </w:rPr>
        <w:t xml:space="preserve"> en el cual dicho comité afirmó que el derecho a la autodeterminación, establecido en el artículo 1, protege a los pueblos indígenas, </w:t>
      </w:r>
      <w:r w:rsidRPr="00CF2780">
        <w:rPr>
          <w:rFonts w:ascii="Arial" w:eastAsia="Times New Roman" w:hAnsi="Arial" w:cs="Arial"/>
          <w:i/>
          <w:sz w:val="28"/>
          <w:szCs w:val="28"/>
          <w:lang w:val="es-ES" w:eastAsia="es-ES"/>
        </w:rPr>
        <w:t>inter alia</w:t>
      </w:r>
      <w:r w:rsidRPr="00CF2780">
        <w:rPr>
          <w:rFonts w:ascii="Arial" w:eastAsia="Times New Roman" w:hAnsi="Arial" w:cs="Arial"/>
          <w:sz w:val="28"/>
          <w:szCs w:val="28"/>
          <w:lang w:val="es-ES" w:eastAsia="es-ES"/>
        </w:rPr>
        <w:t>, en el disfrute de sus derechos sobre las tierras tradicionales.</w:t>
      </w:r>
    </w:p>
    <w:p w14:paraId="3FF46112"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1D3CC110"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En ese mismo orden de ideas, el parágrafo 17 de la determinación  CCPR/C/79/Add.112 de primero de noviembre de mil novecientos noventa y nueve “</w:t>
      </w:r>
      <w:r w:rsidRPr="00CF2780">
        <w:rPr>
          <w:rFonts w:ascii="Arial" w:eastAsia="Times New Roman" w:hAnsi="Arial" w:cs="Arial"/>
          <w:i/>
          <w:sz w:val="28"/>
          <w:szCs w:val="28"/>
          <w:lang w:val="es-ES" w:eastAsia="es-ES"/>
        </w:rPr>
        <w:t>Observaciones Finales del Comité de Derechos Humanos: Noruega</w:t>
      </w:r>
      <w:r w:rsidRPr="00CF2780">
        <w:rPr>
          <w:rFonts w:ascii="Arial" w:eastAsia="Times New Roman" w:hAnsi="Arial" w:cs="Arial"/>
          <w:sz w:val="28"/>
          <w:szCs w:val="28"/>
          <w:lang w:val="es-ES" w:eastAsia="es-ES"/>
        </w:rPr>
        <w:t xml:space="preserve">”, dicho órgano manifestó: </w:t>
      </w:r>
    </w:p>
    <w:p w14:paraId="3EC74E44"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7F125D2B"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“17. Como el Gobierno y el Parlamento de Noruega se han ocupado de la situación de los sami en relación con el derecho de libre determinación, el Comité espera que Noruega informe sobre el derecho del pueblo sami a la libre determinación de conformidad con el artículo 1 del Pacto y, en particular, el párrafo 2 de dicho artículo”.</w:t>
      </w:r>
    </w:p>
    <w:p w14:paraId="7E8D2BFC"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08DD5C02"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Tal situación también ha sido reconocida por el Comité de Derechos Económicos, Sociales y Culturales, acorde con lo establecido en el parágrafo 7 de la Observación General número 15: “El Derecho al </w:t>
      </w:r>
      <w:r w:rsidRPr="00CF2780">
        <w:rPr>
          <w:rFonts w:ascii="Arial" w:eastAsia="Times New Roman" w:hAnsi="Arial" w:cs="Arial"/>
          <w:sz w:val="28"/>
          <w:szCs w:val="28"/>
          <w:lang w:val="es-ES" w:eastAsia="es-ES"/>
        </w:rPr>
        <w:lastRenderedPageBreak/>
        <w:t>agua (artículo 11)”, conforme al cual artículo 1 del Pacto Internacional de Derechos Económicos, Sociales y Culturales es aplicable a los pueblos indígenas.</w:t>
      </w:r>
    </w:p>
    <w:p w14:paraId="2F1F7D23"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p>
    <w:p w14:paraId="66107B55"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El derecho de autodeterminarse de los pueblos indígenas encuentra su razón de ser en la circunstancia de que tal derecho es indispensable para la preservación de sus culturas, las cuales constituyen un componente esencial de un Estado que como el Mexicano se declara e identifica a sí mismo y frente a la comunidad internacional como una Nación con una composición pluricultural sustentada originalmente en tales culturas.</w:t>
      </w:r>
    </w:p>
    <w:p w14:paraId="215860FE"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En efecto, la personalidad distintiva de los pueblos indígenas no sólo es cuestión de lengua y otras expresiones culturales, sino el resultado de la reproducción social permanente del grupo a través del funcionamiento de sus propias instituciones sociales y políticas. De ahí que generalmente el mantenimiento de la identidad étnica se encuentre estrechamente vinculada con el funcionamiento de esas instituciones.</w:t>
      </w:r>
    </w:p>
    <w:p w14:paraId="568DC671"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p>
    <w:p w14:paraId="1802B28C"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 Al respecto, la identidad es un concepto relacional que permite entender la interacción que mantienen ciertos individuos entre sí y de cara a otros y los elementos contextuales que definen esa pertenencia. Al ser un concepto eminentemente relacional crea la noción del “nosotros” y como consecuencia también distingue a individuos y grupos.</w:t>
      </w:r>
    </w:p>
    <w:p w14:paraId="3A886200"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p>
    <w:p w14:paraId="1D247C3C"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La identidad étnica da origen a grupos culturales que comparten historia, tradiciones, costumbres, visiones del mundo (cosmovisión) y </w:t>
      </w:r>
      <w:r w:rsidRPr="00CF2780">
        <w:rPr>
          <w:rFonts w:ascii="Arial" w:eastAsia="Times New Roman" w:hAnsi="Arial" w:cs="Arial"/>
          <w:sz w:val="28"/>
          <w:szCs w:val="28"/>
          <w:lang w:val="es-ES" w:eastAsia="es-ES"/>
        </w:rPr>
        <w:lastRenderedPageBreak/>
        <w:t>lenguaje, los cuales son definidos como pueblos, de tal manera que tal identidad constituye la base a partir de la cual los integrantes de ese grupo cultural construyen sus instituciones, autoridades y tradiciones.</w:t>
      </w:r>
    </w:p>
    <w:p w14:paraId="1BBEC24C"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p>
    <w:p w14:paraId="00308F71"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Las identidades se forjan y mantienen en el terreno de la organización social. En la medida en que un sistema de relaciones sociales define la identidad de cada uno de sus miembros y su vinculación con el conjunto del grupo, las instituciones sociales y las relaciones características de una comunidad determinada constituyen el marco de referencia necesario para que una cultura prospere. </w:t>
      </w:r>
    </w:p>
    <w:p w14:paraId="61FB8D82"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0A709B8F"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Por ello, cuando las comunidades indígenas reclaman el derecho a mantener su organización frente a la presión que ejerce la sociedad general, a retener y desarrollar sus propias instituciones,  lo que piden en realidad es la preservación de su cultura y de su existencia en cuanto tales, pues la presencia de de tales instituciones constituye un elemento central en la descripción de los pueblos indígenas, tal y como se advierte en el l artículo 1 del Convenio citado, en el cual se identifica a los pueblos indígenas como aquellos que han retenido todas o algunas de sus instituciones políticas, culturales, económicas y sociales, independientemente de su condición legal. </w:t>
      </w:r>
    </w:p>
    <w:p w14:paraId="1D0C6AF5"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p>
    <w:p w14:paraId="007000B7"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Por tanto, la existencia y defensa de las instituciones propias de los pueblos indígenas y de sus formas de autogobierno y autorganización conforman una parte integral de lo que significa ser un pueblo indígena y es en gran medida lo que distingue a los pueblos indígenas de otros sectores de la población nacional y, por ello, tanto la </w:t>
      </w:r>
      <w:r w:rsidRPr="00CF2780">
        <w:rPr>
          <w:rFonts w:ascii="Arial" w:eastAsia="Times New Roman" w:hAnsi="Arial" w:cs="Arial"/>
          <w:sz w:val="28"/>
          <w:szCs w:val="28"/>
          <w:lang w:val="es-ES" w:eastAsia="es-ES"/>
        </w:rPr>
        <w:lastRenderedPageBreak/>
        <w:t>disposición constitucional citada como las disposiciones internacionales sobre derechos de los pueblos indígenas, incluyen la promoción y protección del derecho a mantener, controlar y desarrollar sus instituciones políticas, culturales, económicas y sociales.</w:t>
      </w:r>
    </w:p>
    <w:p w14:paraId="63D81970"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p>
    <w:p w14:paraId="7454B6ED"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Importa recordar que cuando se consolidaron los Estados nacionales como proyectos políticos hegemónicos —en los siglos XIX y XX—, seguían existiendo dentro de sus territorios pueblos diversos que se identificaban entre sí y con otros y al mismo tiempo se diferenciaban de otros pueblos. Al crearse los Estados nacionales las distintas identidades fueron englobadas en una unidad mayor, bajo la noción de identidad nacional. El proyecto político de los Estados modernos fue la integración de las distintas identidades, para lo cual fueron diseñadas políticas tendientes a la construcción de la identidad nacional.</w:t>
      </w:r>
    </w:p>
    <w:p w14:paraId="70FA9436"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5814CE08"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Sin embargo, en muchos lugares del mundo, incluyendo nuestro país, estos pueblos han mantenido su cultura, sus perspectivas del mundo, sus lenguas y sus instituciones, entre otras características.</w:t>
      </w:r>
    </w:p>
    <w:p w14:paraId="3130F0D5"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3D93F2BF"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Hacia finales del siglo XX se hicieron visibles procesos que han llevado a cuestionar si la homogeneización de las culturas del país es el destino de estos pueblos, frente a la perspectiva de conservar sus especificidades históricas en el contexto de los Estados nacionales. Al paso de los años dicha perspectiva ha ido adquiriendo legitimidad y solidez, hasta expresarse en la articulación de una serie de derechos fundamentales tales como la libre determinación y la autonomía de los pueblos indígenas.</w:t>
      </w:r>
    </w:p>
    <w:p w14:paraId="6FD45B48"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40BEC773"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La consecuencia de este cambio ha sido la lucha por el reconocimiento de la identidad en todas sus vertientes. Esto es, la demanda sobre las nuevas formas con que el Estado nacional debe reconocer y garantizar la subsistencia y desarrollo de estas colectividades socioculturales —de antigua raíz histórica— como una realidad político-jurídica. </w:t>
      </w:r>
    </w:p>
    <w:p w14:paraId="71F66F00"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En México esta situación dirige inmediatamente la mirada hacia los pueblos indígenas. En efecto, éstos constituyen pueblos con culturas antiguas, cuyo origen es previo a la constitución del Estado, que han mantenido formas distintivas de ser y de vivir, aunque las mismas hayan variado desde la época prehispánica o novohispana. </w:t>
      </w:r>
    </w:p>
    <w:p w14:paraId="160D463E"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164C7A17"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Estos pueblos, sin embargo, hasta hace dos décadas no existían como realidad jurídica en el contexto del Estado Mexicano, lo que contribuyó a que se mantuvieran en situación de extrema marginación económica y subordinación política.</w:t>
      </w:r>
    </w:p>
    <w:p w14:paraId="0EF4755D"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53471C51"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Esta situación social representa el doble desafío de lograr para dichos pueblos un reconocimiento que combine medidas que les permitan un lugar de participación activa dentro del Estado y al mismo tiempo una serie de medidas compensatorias para impulsar su viabilidad, para dotar a los pueblos indígenas de las condiciones materiales y jurídicas necesarias para mantenerse como pueblos y desarrollarse desde un proyecto propio en el marco del Estado nacional.</w:t>
      </w:r>
    </w:p>
    <w:p w14:paraId="6A163DB8"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724AA411"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lastRenderedPageBreak/>
        <w:t>El reconocimiento de esta realidad sociocultural se traduce en el ámbito jurídico en el derecho a la libre determinación.</w:t>
      </w:r>
    </w:p>
    <w:p w14:paraId="3485136B"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7046B16E"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De acuerdo con Javier Ruipérez, en su obra </w:t>
      </w:r>
      <w:r w:rsidRPr="00CF2780">
        <w:rPr>
          <w:rFonts w:ascii="Arial" w:eastAsia="Times New Roman" w:hAnsi="Arial" w:cs="Arial"/>
          <w:i/>
          <w:sz w:val="28"/>
          <w:szCs w:val="28"/>
          <w:lang w:val="es-ES" w:eastAsia="es-ES"/>
        </w:rPr>
        <w:t xml:space="preserve">Constitución y autodeterminación, </w:t>
      </w:r>
      <w:r w:rsidRPr="00CF2780">
        <w:rPr>
          <w:rFonts w:ascii="Arial" w:eastAsia="Times New Roman" w:hAnsi="Arial" w:cs="Arial"/>
          <w:sz w:val="28"/>
          <w:szCs w:val="28"/>
          <w:lang w:val="es-ES" w:eastAsia="es-ES"/>
        </w:rPr>
        <w:t xml:space="preserve">Tecnos, España, 1995, páginas 49-76, el derecho de la libredeterminación puede asumir diversas formas, mismas que se pueden agrupar en externas o internas a los pueblos que hace uso de ella. En su vertiente externa se expresan cuando el pueblo se separa del Estado al que pertenece para convertirse él mismo en Estado, unirse a otro ya existente o bien para que varios pueblos se unan entre ellos para formar uno nuevo; mientras en su versión interna el pueblo libremente decide seguir perteneciendo a un Estado que lo reconoce como pueblo, lo que implica el reconocimiento de un determinado estatus jurídico conformado por una serie de derechos y obligaciones. La primera versión de la libre determinación da lugar a la soberanía, la segunda a la autonomía. </w:t>
      </w:r>
    </w:p>
    <w:p w14:paraId="6311C6B0" w14:textId="77777777" w:rsidR="00AD59FF" w:rsidRPr="00CF2780" w:rsidRDefault="00AD59FF" w:rsidP="00AD59FF">
      <w:pPr>
        <w:spacing w:after="0" w:line="360" w:lineRule="auto"/>
        <w:jc w:val="both"/>
        <w:rPr>
          <w:rFonts w:ascii="Arial" w:eastAsia="Times New Roman" w:hAnsi="Arial" w:cs="Arial"/>
          <w:sz w:val="28"/>
          <w:szCs w:val="28"/>
          <w:lang w:val="es-ES" w:eastAsia="es-ES"/>
        </w:rPr>
      </w:pPr>
    </w:p>
    <w:p w14:paraId="3C004659"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Al respecto, el derecho de libre determinación de los pueblos indígenas actualmente se entiende como un elemento que al proporcionar autonomía a dichos pueblos contribuye a su   adecuado desarrollo, sin que se interprete como un derecho a la independencia o la secesión.</w:t>
      </w:r>
    </w:p>
    <w:p w14:paraId="71979A32"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p>
    <w:p w14:paraId="60037682"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De hecho, el artículo 4 de la propia Declaración de las Naciones Unidas sobre los Derechos de los Pueblos Indígenas considera que los pueblos indígenas, en ejercicio de su derecho a la libre determinación, </w:t>
      </w:r>
      <w:r w:rsidRPr="00CF2780">
        <w:rPr>
          <w:rFonts w:ascii="Arial" w:eastAsia="Times New Roman" w:hAnsi="Arial" w:cs="Arial"/>
          <w:sz w:val="28"/>
          <w:szCs w:val="28"/>
          <w:lang w:val="es-ES" w:eastAsia="es-ES"/>
        </w:rPr>
        <w:lastRenderedPageBreak/>
        <w:t>tienen derecho a la autonomía o al autogobierno en las cuestiones relacionadas con sus asuntos internos y locales.</w:t>
      </w:r>
    </w:p>
    <w:p w14:paraId="7FE64D49" w14:textId="77777777" w:rsidR="00AD59FF" w:rsidRPr="00CF2780" w:rsidRDefault="00AD59FF" w:rsidP="00AD59FF">
      <w:pPr>
        <w:spacing w:after="0" w:line="360" w:lineRule="auto"/>
        <w:jc w:val="both"/>
        <w:rPr>
          <w:rFonts w:ascii="Arial" w:eastAsia="Times New Roman" w:hAnsi="Arial" w:cs="Arial"/>
          <w:sz w:val="28"/>
          <w:szCs w:val="28"/>
          <w:lang w:val="es-ES" w:eastAsia="es-ES"/>
        </w:rPr>
      </w:pPr>
    </w:p>
    <w:p w14:paraId="412FF795"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Por su parte, en el Estado Mexicano, acorde con lo establecido en el pacto federal, la autonomía es la forma que los pueblos y comunidades indígenas ejercen su derecho a la libre determinación, de tal forma que en el artículo 2o constitucional se dispone en primer lugar que la Nación Mexicana es única e indivisible, para enseguida determinar que el derecho de los pueblos indígenas a la libre determinación se ejercerá en un marco constitucional de autonomía.</w:t>
      </w:r>
    </w:p>
    <w:p w14:paraId="6839F7F4"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12EA29E7"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El derecho a la libre determinación comprende, de acuerdo con José A. De Obieta Chalbaud, en su obra </w:t>
      </w:r>
      <w:r w:rsidRPr="00CF2780">
        <w:rPr>
          <w:rFonts w:ascii="Arial" w:eastAsia="Times New Roman" w:hAnsi="Arial" w:cs="Arial"/>
          <w:i/>
          <w:sz w:val="28"/>
          <w:szCs w:val="28"/>
          <w:lang w:val="es-ES" w:eastAsia="es-ES"/>
        </w:rPr>
        <w:t>El derecho humano de autodeterminación de los pueblos</w:t>
      </w:r>
      <w:r w:rsidRPr="00CF2780">
        <w:rPr>
          <w:rFonts w:ascii="Arial" w:eastAsia="Times New Roman" w:hAnsi="Arial" w:cs="Arial"/>
          <w:sz w:val="28"/>
          <w:szCs w:val="28"/>
          <w:lang w:val="es-ES" w:eastAsia="es-ES"/>
        </w:rPr>
        <w:t xml:space="preserve">, Tecnos, España, 1993, páginas. 63-101, cuatro elementos: autoafirmación, autodefinición o autoadscripción, autodelimitación y autodisposición. El derecho de autoafirmación otorga a los pueblos —indígenas en este caso— la capacidad exclusiva de proclamarse existente, mientras el de autodefinición le permite determinar por sí mismo quiénes son las personas que lo constituyen, en tanto que la autoadscripción permite a los sujetos en lo particular identificarse como miembros de dichos pueblos; el de autolimitación le posibilita determinar por sí mismo los límites de su territorio, y el de autodisposición consiste en la posibilidad de organizarse de la manera que más le convenga en el ámbito político, social, económico y cultural. </w:t>
      </w:r>
    </w:p>
    <w:p w14:paraId="3C5649BA"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 </w:t>
      </w:r>
    </w:p>
    <w:p w14:paraId="555730FF"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lastRenderedPageBreak/>
        <w:t xml:space="preserve"> Bajo esa perspectiva, en términos de la Constitución Federal, el derecho de los pueblos y comunidades indígenas a la libre determinación constituye el principio que articula y engloba una serie de derechos específicos que constituyen manifestaciones concretas de autonomía, como son: </w:t>
      </w:r>
    </w:p>
    <w:p w14:paraId="0CFF8AF8"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428307E3" w14:textId="77777777" w:rsidR="00AD59FF" w:rsidRPr="00CF2780" w:rsidRDefault="00AD59FF" w:rsidP="001C6A89">
      <w:pPr>
        <w:numPr>
          <w:ilvl w:val="0"/>
          <w:numId w:val="8"/>
        </w:numPr>
        <w:spacing w:after="0" w:line="360" w:lineRule="auto"/>
        <w:jc w:val="both"/>
        <w:rPr>
          <w:rFonts w:ascii="Arial" w:eastAsia="Times New Roman" w:hAnsi="Arial" w:cs="Arial"/>
          <w:b/>
          <w:sz w:val="28"/>
          <w:szCs w:val="28"/>
          <w:lang w:val="es-ES" w:eastAsia="es-ES"/>
        </w:rPr>
      </w:pPr>
      <w:r w:rsidRPr="00CF2780">
        <w:rPr>
          <w:rFonts w:ascii="Arial" w:eastAsia="Times New Roman" w:hAnsi="Arial" w:cs="Arial"/>
          <w:sz w:val="28"/>
          <w:szCs w:val="24"/>
          <w:lang w:val="es-ES" w:eastAsia="es-ES"/>
        </w:rPr>
        <w:t xml:space="preserve">Autonomía para decidir sus formas internas de convivencia y organización social, económica, política y cultural (artículos 2º, Apartado A, fracción I, de la Constitución Política de los Estados Unidos Mexicanos; 7 y 8, apartado 2, del </w:t>
      </w:r>
      <w:r w:rsidRPr="00CF2780">
        <w:rPr>
          <w:rFonts w:ascii="Arial" w:eastAsia="Times New Roman" w:hAnsi="Arial" w:cs="Arial"/>
          <w:sz w:val="28"/>
          <w:szCs w:val="28"/>
          <w:lang w:val="es-ES" w:eastAsia="es-ES"/>
        </w:rPr>
        <w:t>Convenio número 169 de la Organización Internacional del Trabajo sobre Pueblos Indígenas y Tribales en Países Independientes Convenio, así como 5 y 20 de la Declaración de las Naciones Unidas sobre los Derechos de los Pueblos Indígenas).</w:t>
      </w:r>
    </w:p>
    <w:p w14:paraId="37D2675B" w14:textId="77777777" w:rsidR="00AD59FF" w:rsidRPr="00CF2780" w:rsidRDefault="00AD59FF" w:rsidP="00AD59FF">
      <w:pPr>
        <w:spacing w:after="0" w:line="360" w:lineRule="auto"/>
        <w:ind w:left="720"/>
        <w:jc w:val="both"/>
        <w:rPr>
          <w:rFonts w:ascii="Arial" w:eastAsia="Times New Roman" w:hAnsi="Arial" w:cs="Arial"/>
          <w:sz w:val="28"/>
          <w:szCs w:val="24"/>
          <w:lang w:val="es-ES" w:eastAsia="es-ES"/>
        </w:rPr>
      </w:pPr>
    </w:p>
    <w:p w14:paraId="1DD3EA5F" w14:textId="77777777" w:rsidR="00AD59FF" w:rsidRPr="00CF2780" w:rsidRDefault="00AD59FF" w:rsidP="001C6A89">
      <w:pPr>
        <w:numPr>
          <w:ilvl w:val="0"/>
          <w:numId w:val="8"/>
        </w:numPr>
        <w:spacing w:after="0" w:line="360" w:lineRule="auto"/>
        <w:jc w:val="both"/>
        <w:rPr>
          <w:rFonts w:ascii="Arial" w:eastAsia="Times New Roman" w:hAnsi="Arial" w:cs="Arial"/>
          <w:b/>
          <w:sz w:val="28"/>
          <w:szCs w:val="28"/>
          <w:lang w:val="es-ES" w:eastAsia="es-ES"/>
        </w:rPr>
      </w:pPr>
      <w:r w:rsidRPr="00CF2780">
        <w:rPr>
          <w:rFonts w:ascii="Arial" w:eastAsia="Times New Roman" w:hAnsi="Arial" w:cs="Arial"/>
          <w:sz w:val="28"/>
          <w:szCs w:val="24"/>
          <w:lang w:val="es-ES" w:eastAsia="es-ES"/>
        </w:rPr>
        <w:t xml:space="preserve">Autonomía para aplicar sus propios sistemas normativos en la regulación y solución de sus conflictos internos, sujetándose a los principios generales de la Constitución, respetando las garantías individuales, los derechos humanos y, especialmente, la dignidad e integridad de las mujeres (artículos 2º, Apartado A, fracción II, de la Constitución Política de los Estados Unidos Mexicanos; 8, apartado 2, del </w:t>
      </w:r>
      <w:r w:rsidRPr="00CF2780">
        <w:rPr>
          <w:rFonts w:ascii="Arial" w:eastAsia="Times New Roman" w:hAnsi="Arial" w:cs="Arial"/>
          <w:sz w:val="28"/>
          <w:szCs w:val="28"/>
          <w:lang w:val="es-ES" w:eastAsia="es-ES"/>
        </w:rPr>
        <w:t>Convenio número 169 de la Organización Internacional del Trabajo sobre Pueblos Indígenas y Tribales en Países Independientes Convenio, así como 5 de la Declaración de las Naciones Unidas sobre los Derechos de los Pueblos Indígenas).</w:t>
      </w:r>
    </w:p>
    <w:p w14:paraId="65D30FF5" w14:textId="77777777" w:rsidR="00AD59FF" w:rsidRPr="00CF2780" w:rsidRDefault="00AD59FF" w:rsidP="00AD59FF">
      <w:pPr>
        <w:spacing w:after="0" w:line="360" w:lineRule="auto"/>
        <w:jc w:val="both"/>
        <w:rPr>
          <w:rFonts w:ascii="Arial" w:eastAsia="Times New Roman" w:hAnsi="Arial" w:cs="Arial"/>
          <w:sz w:val="28"/>
          <w:szCs w:val="24"/>
          <w:lang w:val="es-ES" w:eastAsia="es-ES"/>
        </w:rPr>
      </w:pPr>
    </w:p>
    <w:p w14:paraId="6D1814D9" w14:textId="77777777" w:rsidR="00AD59FF" w:rsidRPr="00CF2780" w:rsidRDefault="00AD59FF" w:rsidP="001C6A89">
      <w:pPr>
        <w:numPr>
          <w:ilvl w:val="0"/>
          <w:numId w:val="8"/>
        </w:numPr>
        <w:spacing w:after="0" w:line="360" w:lineRule="auto"/>
        <w:jc w:val="both"/>
        <w:rPr>
          <w:rFonts w:ascii="Arial" w:eastAsia="Times New Roman" w:hAnsi="Arial" w:cs="Arial"/>
          <w:b/>
          <w:sz w:val="28"/>
          <w:szCs w:val="28"/>
          <w:lang w:val="es-ES" w:eastAsia="es-ES"/>
        </w:rPr>
      </w:pPr>
      <w:r w:rsidRPr="00CF2780">
        <w:rPr>
          <w:rFonts w:ascii="Arial" w:eastAsia="Times New Roman" w:hAnsi="Arial" w:cs="Arial"/>
          <w:sz w:val="28"/>
          <w:szCs w:val="24"/>
          <w:lang w:val="es-ES" w:eastAsia="es-ES"/>
        </w:rPr>
        <w:lastRenderedPageBreak/>
        <w:t xml:space="preserve">Autonomía para elegir a las autoridades o representantes para el ejercicio de sus formas propias de gobierno interno, siguiendo para ello sus normas, procedimientos y prácticas tradicionales, y en el entendido de que debe garantizarse la participación de las mujeres en condiciones de equidad frente a los varones (artículos 2º, Apartado A, fracción III, de la Constitución Política de los Estados Unidos Mexicanos; 5, apartado b) y 8 del </w:t>
      </w:r>
      <w:r w:rsidRPr="00CF2780">
        <w:rPr>
          <w:rFonts w:ascii="Arial" w:eastAsia="Times New Roman" w:hAnsi="Arial" w:cs="Arial"/>
          <w:sz w:val="28"/>
          <w:szCs w:val="28"/>
          <w:lang w:val="es-ES" w:eastAsia="es-ES"/>
        </w:rPr>
        <w:t>Convenio número 169 de la Organización Internacional del Trabajo sobre Pueblos Indígenas y Tribales en Países Independientes Convenio, así como 4, 5, 20 y 33 de la Declaración de las Naciones Unidas sobre los Derechos de los Pueblos Indígenas).</w:t>
      </w:r>
    </w:p>
    <w:p w14:paraId="4FE4C9C8" w14:textId="77777777" w:rsidR="00AD59FF" w:rsidRPr="00CF2780" w:rsidRDefault="00AD59FF" w:rsidP="00AD59FF">
      <w:pPr>
        <w:spacing w:after="0" w:line="360" w:lineRule="auto"/>
        <w:jc w:val="both"/>
        <w:rPr>
          <w:rFonts w:ascii="Arial" w:eastAsia="Times New Roman" w:hAnsi="Arial" w:cs="Arial"/>
          <w:sz w:val="28"/>
          <w:szCs w:val="24"/>
          <w:lang w:val="es-ES" w:eastAsia="es-ES"/>
        </w:rPr>
      </w:pPr>
    </w:p>
    <w:p w14:paraId="171DEEBA" w14:textId="77777777" w:rsidR="00AD59FF" w:rsidRPr="00CF2780" w:rsidRDefault="00AD59FF" w:rsidP="001C6A89">
      <w:pPr>
        <w:numPr>
          <w:ilvl w:val="0"/>
          <w:numId w:val="8"/>
        </w:numPr>
        <w:spacing w:after="0" w:line="360" w:lineRule="auto"/>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 xml:space="preserve">Autonomía para acceder plenamente a la jurisdicción del Estado, por lo que debe garantizarse en todos los juicios y procedimientos en los que sean parte, individual o colectivamente, que se tomen en cuenta sus costumbres y especificidades culturales, respetándose los preceptos constitucionales (artículos 2º, Apartado A, fracción VIII, de la Constitución Política de los Estados Unidos Mexicanos, 2, 5 y 8, apartados 1 y 3, del </w:t>
      </w:r>
      <w:r w:rsidRPr="00CF2780">
        <w:rPr>
          <w:rFonts w:ascii="Arial" w:eastAsia="Times New Roman" w:hAnsi="Arial" w:cs="Arial"/>
          <w:sz w:val="28"/>
          <w:szCs w:val="28"/>
          <w:lang w:val="es-ES" w:eastAsia="es-ES"/>
        </w:rPr>
        <w:t>Convenio número 169 de la Organización Internacional del Trabajo sobre Pueblos Indígenas y Tribales en Países Independientes Convenio, así como 1 de la Declaración de las Naciones Unidas sobre los Derechos de los Pueblos Indígenas).</w:t>
      </w:r>
      <w:r w:rsidRPr="00CF2780">
        <w:rPr>
          <w:rFonts w:ascii="Arial" w:eastAsia="Times New Roman" w:hAnsi="Arial" w:cs="Arial"/>
          <w:sz w:val="28"/>
          <w:szCs w:val="24"/>
          <w:lang w:val="es-ES" w:eastAsia="es-ES"/>
        </w:rPr>
        <w:t>).</w:t>
      </w:r>
    </w:p>
    <w:p w14:paraId="725C0CB7"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p>
    <w:p w14:paraId="5060BCB2"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lastRenderedPageBreak/>
        <w:t>La Declaración de las Naciones Unidas sobre los derechos de los pueblos indígenas</w:t>
      </w:r>
      <w:r w:rsidRPr="00CF2780">
        <w:rPr>
          <w:rFonts w:ascii="Arial" w:eastAsia="Times New Roman" w:hAnsi="Arial" w:cs="Arial"/>
          <w:sz w:val="28"/>
          <w:szCs w:val="28"/>
          <w:vertAlign w:val="superscript"/>
          <w:lang w:val="es-ES" w:eastAsia="es-ES"/>
        </w:rPr>
        <w:footnoteReference w:id="14"/>
      </w:r>
      <w:r w:rsidRPr="00CF2780">
        <w:rPr>
          <w:rFonts w:ascii="Arial" w:eastAsia="Times New Roman" w:hAnsi="Arial" w:cs="Arial"/>
          <w:sz w:val="28"/>
          <w:szCs w:val="28"/>
          <w:lang w:val="es-ES" w:eastAsia="es-ES"/>
        </w:rPr>
        <w:t>, instrumento internacional que si bien, por ser una declaración de la Asamblea General del la Organización de las Naciones Unidas no es vinculante, sí representa el desarrollo dinámico de las normas internacionales y refleja el compromiso de los estados parte</w:t>
      </w:r>
      <w:r w:rsidRPr="00CF2780">
        <w:rPr>
          <w:rFonts w:ascii="Arial" w:eastAsia="Times New Roman" w:hAnsi="Arial" w:cs="Arial"/>
          <w:sz w:val="28"/>
          <w:szCs w:val="28"/>
          <w:vertAlign w:val="superscript"/>
          <w:lang w:val="es-ES" w:eastAsia="es-ES"/>
        </w:rPr>
        <w:footnoteReference w:id="15"/>
      </w:r>
      <w:r w:rsidRPr="00CF2780">
        <w:rPr>
          <w:rFonts w:ascii="Arial" w:eastAsia="Times New Roman" w:hAnsi="Arial" w:cs="Arial"/>
          <w:sz w:val="28"/>
          <w:szCs w:val="28"/>
          <w:lang w:val="es-ES" w:eastAsia="es-ES"/>
        </w:rPr>
        <w:t xml:space="preserve"> de dirigir en ciertas direcciones, a la luz de ciertos principios.</w:t>
      </w:r>
    </w:p>
    <w:p w14:paraId="2A33C804"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1F8D02A5"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Ahora bien, la reforma constitucional de dos mil uno en materia indígena por virtud de la cual se reconoció del derecho de libre determinación de dichos pueblos y comunidades introdujo en el sistema jurídico mexicano principios de gran trascendencia que deben ser observados por todas las autoridades en la aplicación e interpretación de estos derechos humanos: </w:t>
      </w:r>
    </w:p>
    <w:p w14:paraId="7FAB2876"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643C43BB" w14:textId="77777777" w:rsidR="00AD59FF" w:rsidRPr="00CF2780" w:rsidRDefault="00AD59FF" w:rsidP="001C6A89">
      <w:pPr>
        <w:numPr>
          <w:ilvl w:val="0"/>
          <w:numId w:val="12"/>
        </w:num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i/>
          <w:sz w:val="28"/>
          <w:szCs w:val="28"/>
          <w:lang w:val="es-ES" w:eastAsia="es-ES"/>
        </w:rPr>
        <w:t>Principio de multiculturalismo</w:t>
      </w:r>
      <w:r w:rsidRPr="00CF2780">
        <w:rPr>
          <w:rFonts w:ascii="Arial" w:eastAsia="Times New Roman" w:hAnsi="Arial" w:cs="Arial"/>
          <w:sz w:val="28"/>
          <w:szCs w:val="28"/>
          <w:lang w:val="es-ES" w:eastAsia="es-ES"/>
        </w:rPr>
        <w:t>: el reconocimiento del carácter pluricultural de la Nación Mexicana trae consigo la consiguiente afirmación del derecho a la identidad cultural, individual y colectiva, con lo cual se supera la idea del Estado-nación monocultural y monolingüe.</w:t>
      </w:r>
    </w:p>
    <w:p w14:paraId="76FF495A" w14:textId="77777777" w:rsidR="00AD59FF" w:rsidRPr="00CF2780" w:rsidRDefault="00AD59FF" w:rsidP="00AD59FF">
      <w:pPr>
        <w:spacing w:after="0" w:line="360" w:lineRule="auto"/>
        <w:ind w:left="1068"/>
        <w:jc w:val="both"/>
        <w:rPr>
          <w:rFonts w:ascii="Arial" w:eastAsia="Times New Roman" w:hAnsi="Arial" w:cs="Arial"/>
          <w:sz w:val="28"/>
          <w:szCs w:val="28"/>
          <w:lang w:val="es-ES" w:eastAsia="es-ES"/>
        </w:rPr>
      </w:pPr>
    </w:p>
    <w:p w14:paraId="3AADFB88" w14:textId="77777777" w:rsidR="00AD59FF" w:rsidRPr="00CF2780" w:rsidRDefault="00AD59FF" w:rsidP="00AD59FF">
      <w:pPr>
        <w:spacing w:after="0" w:line="360" w:lineRule="auto"/>
        <w:ind w:left="106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Bajo esa perspectiva todas las políticas de asimilación, homogenización o de cualquier otra clase que impliquen el desconocimiento de esta realidad no pueden tener cabida.</w:t>
      </w:r>
    </w:p>
    <w:p w14:paraId="3F97515F" w14:textId="77777777" w:rsidR="00AD59FF" w:rsidRPr="00CF2780" w:rsidRDefault="00AD59FF" w:rsidP="00AD59FF">
      <w:pPr>
        <w:spacing w:after="0" w:line="360" w:lineRule="auto"/>
        <w:ind w:left="1068"/>
        <w:jc w:val="both"/>
        <w:rPr>
          <w:rFonts w:ascii="Arial" w:eastAsia="Times New Roman" w:hAnsi="Arial" w:cs="Arial"/>
          <w:sz w:val="28"/>
          <w:szCs w:val="28"/>
          <w:lang w:val="es-ES" w:eastAsia="es-ES"/>
        </w:rPr>
      </w:pPr>
    </w:p>
    <w:p w14:paraId="2B196F7F" w14:textId="77777777" w:rsidR="00AD59FF" w:rsidRPr="00CF2780" w:rsidRDefault="00AD59FF" w:rsidP="00AD59FF">
      <w:pPr>
        <w:spacing w:after="0" w:line="360" w:lineRule="auto"/>
        <w:ind w:left="106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lastRenderedPageBreak/>
        <w:t>En ese sentido, el Estado no solamente debe evitar sino también proteger a los pueblos indígenas de cualquier acción que los fuerce a asimilarse y, mucho menos, podrá apoyar teorías o ejecutar prácticas que importen discriminación, destrucción de una cultura o la posibilidad del etnocidio.</w:t>
      </w:r>
    </w:p>
    <w:p w14:paraId="09D727A4" w14:textId="77777777" w:rsidR="00AD59FF" w:rsidRPr="00CF2780" w:rsidRDefault="00AD59FF" w:rsidP="00AD59FF">
      <w:pPr>
        <w:spacing w:after="0" w:line="360" w:lineRule="auto"/>
        <w:jc w:val="both"/>
        <w:rPr>
          <w:rFonts w:ascii="Arial" w:eastAsia="Times New Roman" w:hAnsi="Arial" w:cs="Arial"/>
          <w:sz w:val="28"/>
          <w:szCs w:val="28"/>
          <w:lang w:val="es-ES" w:eastAsia="es-ES"/>
        </w:rPr>
      </w:pPr>
    </w:p>
    <w:p w14:paraId="1E188384" w14:textId="77777777" w:rsidR="00AD59FF" w:rsidRPr="00CF2780" w:rsidRDefault="00AD59FF" w:rsidP="001C6A89">
      <w:pPr>
        <w:numPr>
          <w:ilvl w:val="0"/>
          <w:numId w:val="12"/>
        </w:numPr>
        <w:spacing w:after="0" w:line="360" w:lineRule="auto"/>
        <w:jc w:val="both"/>
        <w:rPr>
          <w:rFonts w:ascii="Arial" w:eastAsia="Times New Roman" w:hAnsi="Arial" w:cs="Arial"/>
          <w:sz w:val="28"/>
          <w:szCs w:val="24"/>
          <w:lang w:val="es-ES" w:eastAsia="es-ES"/>
        </w:rPr>
      </w:pPr>
      <w:r w:rsidRPr="00CF2780">
        <w:rPr>
          <w:rFonts w:ascii="Arial" w:eastAsia="Times New Roman" w:hAnsi="Arial" w:cs="Arial"/>
          <w:i/>
          <w:sz w:val="28"/>
          <w:szCs w:val="24"/>
          <w:lang w:val="es-ES" w:eastAsia="es-ES"/>
        </w:rPr>
        <w:t>Principio de pluralismo en los mecanismos para la determinación de la representatividad política</w:t>
      </w:r>
      <w:r w:rsidRPr="00CF2780">
        <w:rPr>
          <w:rFonts w:ascii="Arial" w:eastAsia="Times New Roman" w:hAnsi="Arial" w:cs="Arial"/>
          <w:sz w:val="28"/>
          <w:szCs w:val="24"/>
          <w:lang w:val="es-ES" w:eastAsia="es-ES"/>
        </w:rPr>
        <w:t>: el derecho de los pueblos y comunidades indígenas a elegir a sus propias autoridades y regirse por sus propias formas de gobierno trae consigo e</w:t>
      </w:r>
      <w:r w:rsidRPr="00CF2780">
        <w:rPr>
          <w:rFonts w:ascii="Arial" w:eastAsia="Times New Roman" w:hAnsi="Arial" w:cs="Arial"/>
          <w:sz w:val="28"/>
          <w:szCs w:val="28"/>
          <w:lang w:val="es-ES" w:eastAsia="es-ES"/>
        </w:rPr>
        <w:t>l reconocimiento de diversas formas de participación, consulta y representación directa en el sistema democrático mexicano.</w:t>
      </w:r>
    </w:p>
    <w:p w14:paraId="2D7A16A0" w14:textId="77777777" w:rsidR="00AD59FF" w:rsidRPr="00CF2780" w:rsidRDefault="00AD59FF" w:rsidP="00AD59FF">
      <w:pPr>
        <w:spacing w:after="0" w:line="360" w:lineRule="auto"/>
        <w:ind w:left="1068"/>
        <w:jc w:val="both"/>
        <w:rPr>
          <w:rFonts w:ascii="Arial" w:eastAsia="Times New Roman" w:hAnsi="Arial" w:cs="Arial"/>
          <w:i/>
          <w:sz w:val="28"/>
          <w:szCs w:val="24"/>
          <w:lang w:val="es-ES" w:eastAsia="es-ES"/>
        </w:rPr>
      </w:pPr>
    </w:p>
    <w:p w14:paraId="3FC2D064" w14:textId="77777777" w:rsidR="00AD59FF" w:rsidRPr="00CF2780" w:rsidRDefault="00AD59FF" w:rsidP="00AD59FF">
      <w:pPr>
        <w:spacing w:after="0" w:line="360" w:lineRule="auto"/>
        <w:ind w:left="106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Lo anterior implica superar, por un lado,  el monopolio en la postulación de cargos y en el acceso de los ciudadanos a la  representación popular por parte de los partidos políticos a nivel de las entidades federativas, y, por otro, la idea que sólo los funcionarios públicos representan y pueden formar la voluntad popular.</w:t>
      </w:r>
    </w:p>
    <w:p w14:paraId="2FC1651F" w14:textId="77777777" w:rsidR="00AD59FF" w:rsidRPr="00CF2780" w:rsidRDefault="00AD59FF" w:rsidP="00AD59FF">
      <w:pPr>
        <w:spacing w:after="0" w:line="360" w:lineRule="auto"/>
        <w:ind w:left="1068"/>
        <w:jc w:val="both"/>
        <w:rPr>
          <w:rFonts w:ascii="Arial" w:eastAsia="Times New Roman" w:hAnsi="Arial" w:cs="Arial"/>
          <w:sz w:val="28"/>
          <w:szCs w:val="28"/>
          <w:lang w:val="es-ES" w:eastAsia="es-ES"/>
        </w:rPr>
      </w:pPr>
    </w:p>
    <w:p w14:paraId="2951131B" w14:textId="77777777" w:rsidR="00AD59FF" w:rsidRPr="00CF2780" w:rsidRDefault="00AD59FF" w:rsidP="00AD59FF">
      <w:pPr>
        <w:spacing w:after="0" w:line="360" w:lineRule="auto"/>
        <w:ind w:left="106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Así, los pueblos indígenas son los encargados del control de sus instituciones políticas, culturales y sociales y su </w:t>
      </w:r>
      <w:r w:rsidRPr="00CF2780">
        <w:rPr>
          <w:rFonts w:ascii="Arial" w:eastAsia="Times New Roman" w:hAnsi="Arial" w:cs="Arial"/>
          <w:sz w:val="28"/>
          <w:szCs w:val="24"/>
          <w:lang w:val="es-ES" w:eastAsia="es-ES"/>
        </w:rPr>
        <w:t>desarrollo</w:t>
      </w:r>
      <w:r w:rsidRPr="00CF2780">
        <w:rPr>
          <w:rFonts w:ascii="Arial" w:eastAsia="Times New Roman" w:hAnsi="Arial" w:cs="Arial"/>
          <w:sz w:val="28"/>
          <w:szCs w:val="28"/>
          <w:lang w:val="es-ES" w:eastAsia="es-ES"/>
        </w:rPr>
        <w:t xml:space="preserve"> económico, con lo cual se supera el tratamiento tutelar de dichos pueblos, como objeto de políticas que dictan terceros.</w:t>
      </w:r>
    </w:p>
    <w:p w14:paraId="2656B92B" w14:textId="77777777" w:rsidR="00AD59FF" w:rsidRPr="00CF2780" w:rsidRDefault="00AD59FF" w:rsidP="00AD59FF">
      <w:pPr>
        <w:spacing w:after="0" w:line="360" w:lineRule="auto"/>
        <w:ind w:left="1068"/>
        <w:jc w:val="both"/>
        <w:rPr>
          <w:rFonts w:ascii="Arial" w:eastAsia="Times New Roman" w:hAnsi="Arial" w:cs="Arial"/>
          <w:sz w:val="28"/>
          <w:szCs w:val="28"/>
          <w:lang w:val="es-ES" w:eastAsia="es-ES"/>
        </w:rPr>
      </w:pPr>
    </w:p>
    <w:p w14:paraId="680A6F99" w14:textId="77777777" w:rsidR="00AD59FF" w:rsidRPr="00CF2780" w:rsidRDefault="00AD59FF" w:rsidP="00AD59FF">
      <w:pPr>
        <w:spacing w:after="0" w:line="360" w:lineRule="auto"/>
        <w:ind w:left="106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lastRenderedPageBreak/>
        <w:t>En ese orden de ideas, en la elección de este tipo de autoridades deben necesariamente aplicarse en el proceso comicial los usos y costumbres propios de la comunidad, sin que, para ello, tengan que seguirse escrupulosamente los principios rectores y organizacionales de toda elección, contemplados en la Constitución, al tratarse de un caso de excepción contemplado por la misma Ley Fundamental.</w:t>
      </w:r>
    </w:p>
    <w:p w14:paraId="73683DA2" w14:textId="77777777" w:rsidR="00AD59FF" w:rsidRPr="00CF2780" w:rsidRDefault="00AD59FF" w:rsidP="00AD59FF">
      <w:pPr>
        <w:spacing w:after="0" w:line="360" w:lineRule="auto"/>
        <w:ind w:left="1068"/>
        <w:jc w:val="both"/>
        <w:rPr>
          <w:rFonts w:ascii="Arial" w:eastAsia="Times New Roman" w:hAnsi="Arial" w:cs="Arial"/>
          <w:sz w:val="28"/>
          <w:szCs w:val="28"/>
          <w:lang w:val="es-ES" w:eastAsia="es-ES"/>
        </w:rPr>
      </w:pPr>
    </w:p>
    <w:p w14:paraId="01117621" w14:textId="77777777" w:rsidR="00AD59FF" w:rsidRPr="00CF2780" w:rsidRDefault="00AD59FF" w:rsidP="00AD59FF">
      <w:pPr>
        <w:spacing w:after="0" w:line="360" w:lineRule="auto"/>
        <w:ind w:left="106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No obstante, ello no significa que, merced al ejercicio de este derecho Constitucional, puedan convalidarse situaciones o conductas tendentes a perpetuar o reinstaurar viejas desigualdades que tradicionalmente han perjudicado a individuos o minorías pertenecientes a los conglomerados indígenas, por ser irreconciliables con los valores, principios y derechos que postula un Estado Constitucional Democrático de Derecho y con la finalidad y razón misma del origen de ese derecho subjetivo, en los términos en que ha sido expuesto.</w:t>
      </w:r>
    </w:p>
    <w:p w14:paraId="15ED7049" w14:textId="77777777" w:rsidR="00AD59FF" w:rsidRPr="00CF2780" w:rsidRDefault="00AD59FF" w:rsidP="00AD59FF">
      <w:pPr>
        <w:spacing w:after="0" w:line="360" w:lineRule="auto"/>
        <w:ind w:left="1068"/>
        <w:jc w:val="both"/>
        <w:rPr>
          <w:rFonts w:ascii="Arial" w:eastAsia="Times New Roman" w:hAnsi="Arial" w:cs="Arial"/>
          <w:sz w:val="28"/>
          <w:szCs w:val="28"/>
          <w:lang w:val="es-ES" w:eastAsia="es-ES"/>
        </w:rPr>
      </w:pPr>
    </w:p>
    <w:p w14:paraId="50F95F03" w14:textId="77777777" w:rsidR="00AD59FF" w:rsidRPr="00CF2780" w:rsidRDefault="00AD59FF" w:rsidP="001C6A89">
      <w:pPr>
        <w:numPr>
          <w:ilvl w:val="0"/>
          <w:numId w:val="12"/>
        </w:numPr>
        <w:spacing w:after="0" w:line="360" w:lineRule="auto"/>
        <w:jc w:val="both"/>
        <w:rPr>
          <w:rFonts w:ascii="Arial" w:eastAsia="Times New Roman" w:hAnsi="Arial" w:cs="Arial"/>
          <w:sz w:val="28"/>
          <w:szCs w:val="24"/>
          <w:lang w:val="es-ES" w:eastAsia="es-ES"/>
        </w:rPr>
      </w:pPr>
      <w:r w:rsidRPr="00CF2780">
        <w:rPr>
          <w:rFonts w:ascii="Arial" w:eastAsia="Times New Roman" w:hAnsi="Arial" w:cs="Arial"/>
          <w:i/>
          <w:sz w:val="28"/>
          <w:szCs w:val="24"/>
          <w:lang w:val="es-ES" w:eastAsia="es-ES"/>
        </w:rPr>
        <w:t>Principio de pluralismo jurídico</w:t>
      </w:r>
      <w:r w:rsidRPr="00CF2780">
        <w:rPr>
          <w:rFonts w:ascii="Arial" w:eastAsia="Times New Roman" w:hAnsi="Arial" w:cs="Arial"/>
          <w:sz w:val="28"/>
          <w:szCs w:val="24"/>
          <w:lang w:val="es-ES" w:eastAsia="es-ES"/>
        </w:rPr>
        <w:t>: a través del cual se reconoce que en los pueblos y comunidades indígenas tiene derecho a emplear y aplicar sus propios sistemas normativos siempre que se respeten los derechos humanos, con lo cual se quiebra el paradigma del monopolio de la creación, aprobación y aplicación de las normas jurídicas como producto único y exclusivo del Derecho estatal.</w:t>
      </w:r>
    </w:p>
    <w:p w14:paraId="09BEC7CE" w14:textId="77777777" w:rsidR="00AD59FF" w:rsidRPr="00CF2780" w:rsidRDefault="00AD59FF" w:rsidP="00AD59FF">
      <w:pPr>
        <w:spacing w:after="0" w:line="360" w:lineRule="auto"/>
        <w:ind w:left="1068"/>
        <w:jc w:val="both"/>
        <w:rPr>
          <w:rFonts w:ascii="Arial" w:eastAsia="Times New Roman" w:hAnsi="Arial" w:cs="Arial"/>
          <w:sz w:val="28"/>
          <w:szCs w:val="24"/>
          <w:lang w:val="es-ES" w:eastAsia="es-ES"/>
        </w:rPr>
      </w:pPr>
    </w:p>
    <w:p w14:paraId="7703CD33" w14:textId="77777777" w:rsidR="00AD59FF" w:rsidRPr="00CF2780" w:rsidRDefault="00AD59FF" w:rsidP="00AD59FF">
      <w:pPr>
        <w:spacing w:after="0" w:line="360" w:lineRule="auto"/>
        <w:ind w:left="106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lastRenderedPageBreak/>
        <w:t>De esta manera, se declara formalmente que el derecho indígena es parte constituyente del orden jurídico del Estado Mexicano y, en cuanto tal debe ser respetados y obedecidos por los ciudadanos y autoridades en los correspondientes ámbitos de aplicación.</w:t>
      </w:r>
    </w:p>
    <w:p w14:paraId="67E4138A" w14:textId="77777777" w:rsidR="00AD59FF" w:rsidRPr="00CF2780" w:rsidRDefault="00AD59FF" w:rsidP="00AD59FF">
      <w:pPr>
        <w:spacing w:after="0" w:line="360" w:lineRule="auto"/>
        <w:ind w:left="1068"/>
        <w:jc w:val="both"/>
        <w:rPr>
          <w:rFonts w:ascii="Arial" w:eastAsia="Times New Roman" w:hAnsi="Arial" w:cs="Arial"/>
          <w:sz w:val="28"/>
          <w:szCs w:val="28"/>
          <w:lang w:val="es-ES" w:eastAsia="es-ES"/>
        </w:rPr>
      </w:pPr>
    </w:p>
    <w:p w14:paraId="33CE7245" w14:textId="77777777" w:rsidR="00AD59FF" w:rsidRPr="00CF2780" w:rsidRDefault="00AD59FF" w:rsidP="00AD59FF">
      <w:pPr>
        <w:spacing w:after="0" w:line="360" w:lineRule="auto"/>
        <w:ind w:left="106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En ese sentido, las poblaciones indígenas tienen el derecho de mantener y reforzar sus sistemas normativos, y de aplicarlos en los asuntos internos en las comunidades.</w:t>
      </w:r>
    </w:p>
    <w:p w14:paraId="12029271" w14:textId="77777777" w:rsidR="00AD59FF" w:rsidRPr="00CF2780" w:rsidRDefault="00AD59FF" w:rsidP="00AD59FF">
      <w:pPr>
        <w:spacing w:after="0" w:line="360" w:lineRule="auto"/>
        <w:ind w:left="1068"/>
        <w:jc w:val="both"/>
        <w:rPr>
          <w:rFonts w:ascii="Arial" w:eastAsia="Times New Roman" w:hAnsi="Arial" w:cs="Arial"/>
          <w:sz w:val="28"/>
          <w:szCs w:val="28"/>
          <w:lang w:val="es-ES" w:eastAsia="es-ES"/>
        </w:rPr>
      </w:pPr>
    </w:p>
    <w:p w14:paraId="07B8B692" w14:textId="77777777" w:rsidR="00AD59FF" w:rsidRPr="00CF2780" w:rsidRDefault="00AD59FF" w:rsidP="00AD59FF">
      <w:pPr>
        <w:spacing w:after="0" w:line="360" w:lineRule="auto"/>
        <w:ind w:left="106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En paralelo, trae como consecuencia que en el acceso a la jurisdicción estatal, los asuntos referidos a personas indígenas o a sus intereses debe ser conducidos de manera tal de proveer al derecho de los indígenas plena representación con dignidad e igualdad frente a la ley, lo que incluye la aplicación del derecho y costumbre indígena y, por lo menos, la asistencia de peritos traductores de la lengua nativa correspondiente.</w:t>
      </w:r>
    </w:p>
    <w:p w14:paraId="5440B762" w14:textId="77777777" w:rsidR="00AD59FF" w:rsidRPr="00CF2780" w:rsidRDefault="00AD59FF" w:rsidP="00AD59FF">
      <w:pPr>
        <w:spacing w:after="0" w:line="360" w:lineRule="auto"/>
        <w:ind w:left="1068"/>
        <w:jc w:val="both"/>
        <w:rPr>
          <w:rFonts w:ascii="Arial" w:eastAsia="Times New Roman" w:hAnsi="Arial" w:cs="Arial"/>
          <w:sz w:val="28"/>
          <w:szCs w:val="28"/>
          <w:lang w:val="es-ES" w:eastAsia="es-ES"/>
        </w:rPr>
      </w:pPr>
    </w:p>
    <w:p w14:paraId="51C81B38"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Como se advierte, uno de los derechos reconocidos a los pueblos y comunidades indígenas tanto en el texto constitucional como en los tratados internacionales consiste en la posibilidad de decidir sus formas internas de convivencia y organización, la aplicación de sistemas normativos propios, así como la elección mediante procedimientos y prácticas electorales de las autoridades o representantes para el ejercicio de sus formas propias de gobierno.</w:t>
      </w:r>
    </w:p>
    <w:p w14:paraId="04C90D69"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3014355C"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lastRenderedPageBreak/>
        <w:t>Según se aprecia, conforme a las bases fundamentales y a las reglamentarias de las entidades federativas, los pueblos, comunidades y miembros indígenas se encuentran en aptitud de autodeterminarse en esferas distintas, pues el ámbito de incidencia puede ser únicamente al seno de la colectividad, o bien, impactar incluso en instituciones propias de la organización estatal configurada por la Constitución federal, como es el municipio.</w:t>
      </w:r>
    </w:p>
    <w:p w14:paraId="124FD774"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1C092621"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El derecho para elegir a las autoridades o representantes para el ejercicio de sus formas propias de gobierno interno, siguiendo para ello sus normas, procedimientos y prácticas tradicionales tiene como propósito explícito fortalecer la participación y representación política de estos grupos étnicos, pues se perfila como manifestación específica de esa libertad de manera y forma de vida y uno de los elementos centrales en los derechos de estos individuos, comunidades y pueblos, como disponen las fracciones III y VIII del apartado A del artículo 2o  constitucional; los artículos 2, apartado 2, inciso b), 4, apartado 1, 5, inciso b), y 8 del Convenio sobre Pueblos Indígenas y Tribales en Países Independientes, así como en los artículos 4, 5 y 20 de la Declaración de las Naciones Unidas sobre los Derechos de los Pueblos Indígenas.</w:t>
      </w:r>
    </w:p>
    <w:p w14:paraId="2608812E"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2F50763D"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La caracterización de esta manifestación concreta de autonomía de los pueblos y comunidades indígenas como un derecho humano, significa que resulta indisponible a las autoridades constituidas e invocable ante los tribunales de justicia para su respeto efectivo, como </w:t>
      </w:r>
      <w:r w:rsidRPr="00CF2780">
        <w:rPr>
          <w:rFonts w:ascii="Arial" w:eastAsia="Times New Roman" w:hAnsi="Arial" w:cs="Arial"/>
          <w:sz w:val="28"/>
          <w:szCs w:val="28"/>
          <w:lang w:val="es-ES" w:eastAsia="es-ES"/>
        </w:rPr>
        <w:lastRenderedPageBreak/>
        <w:t>se desprende del mismo artículo 2, apartado A, fracción VIII de la Constitución y del diverso numeral 12 del convenio invocado.</w:t>
      </w:r>
    </w:p>
    <w:p w14:paraId="3CD4C24D"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492ECA08"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Asimismo, su configuración como derecho fundamental implica que todas las autoridades (jurisdiccionales o no) se encuentran obligadas a: 1) promover, respetar, proteger y garantizar ese derecho; 2) interpretar las normas que conforman el marco jurídico que lo rige con un criterio extensivo y, 3) aplicarlas acorde con los principios de universalidad, indivisibilidad, interdependencia y progresividad.</w:t>
      </w:r>
    </w:p>
    <w:p w14:paraId="23096861"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3AF6120D"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El autogobierno es la dimensión política del derecho a la libre determinación de los pueblos indígenas e implica el establecimiento de un gobierno propio, cuyas autoridades son escogidas entre los propios miembros. Tal derecho envuelve cuatro contenidos fundamentales: </w:t>
      </w:r>
    </w:p>
    <w:p w14:paraId="0D1F5B23" w14:textId="77777777" w:rsidR="00AD59FF" w:rsidRPr="00CF2780" w:rsidRDefault="00AD59FF" w:rsidP="00AD59FF">
      <w:pPr>
        <w:spacing w:after="0" w:line="360" w:lineRule="auto"/>
        <w:ind w:firstLine="709"/>
        <w:jc w:val="both"/>
        <w:rPr>
          <w:rFonts w:ascii="Arial" w:eastAsia="Times New Roman" w:hAnsi="Arial" w:cs="Arial"/>
          <w:sz w:val="28"/>
          <w:szCs w:val="24"/>
          <w:lang w:val="es-ES_tradnl" w:eastAsia="es-ES"/>
        </w:rPr>
      </w:pPr>
    </w:p>
    <w:p w14:paraId="06F7FC19"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4"/>
          <w:lang w:val="es-ES_tradnl" w:eastAsia="es-ES"/>
        </w:rPr>
        <w:t>1) El reconocimiento, mantenimiento y/o defensa de la autonomía de los pueblos indígenas para elegir a</w:t>
      </w:r>
      <w:r w:rsidRPr="00CF2780">
        <w:rPr>
          <w:rFonts w:ascii="Arial" w:eastAsia="Times New Roman" w:hAnsi="Arial" w:cs="Arial"/>
          <w:sz w:val="28"/>
          <w:szCs w:val="28"/>
          <w:lang w:val="es-ES" w:eastAsia="es-ES"/>
        </w:rPr>
        <w:t xml:space="preserve"> sus autoridades o representantes acorde con sus usos y costumbres; </w:t>
      </w:r>
    </w:p>
    <w:p w14:paraId="728F0F44"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754988C7"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2) El ejercicio de sus formas propias de gobierno interno, siguiendo para ello sus normas, procedimientos y prácticas tradicionales, a efecto de conservar y reforzar sus instituciones políticas y sociales;</w:t>
      </w:r>
    </w:p>
    <w:p w14:paraId="21113BD9"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2D31A98F"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3) La participación plena en la vida política del Estado, y</w:t>
      </w:r>
    </w:p>
    <w:p w14:paraId="65428F7D"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4587A59F" w14:textId="77777777" w:rsidR="00AD59FF" w:rsidRPr="00CF2780" w:rsidRDefault="00AD59FF" w:rsidP="00AD59FF">
      <w:pPr>
        <w:spacing w:after="0" w:line="360" w:lineRule="auto"/>
        <w:ind w:firstLine="709"/>
        <w:jc w:val="both"/>
        <w:rPr>
          <w:rFonts w:ascii="Arial" w:eastAsia="Times New Roman" w:hAnsi="Arial" w:cs="Arial"/>
          <w:sz w:val="28"/>
          <w:szCs w:val="24"/>
          <w:lang w:val="es-ES_tradnl" w:eastAsia="es-ES"/>
        </w:rPr>
      </w:pPr>
      <w:r w:rsidRPr="00CF2780">
        <w:rPr>
          <w:rFonts w:ascii="Arial" w:eastAsia="Times New Roman" w:hAnsi="Arial" w:cs="Arial"/>
          <w:sz w:val="28"/>
          <w:szCs w:val="28"/>
          <w:lang w:val="es-ES" w:eastAsia="es-ES"/>
        </w:rPr>
        <w:lastRenderedPageBreak/>
        <w:t xml:space="preserve"> 4) La participación </w:t>
      </w:r>
      <w:r w:rsidRPr="00CF2780">
        <w:rPr>
          <w:rFonts w:ascii="Arial" w:eastAsia="Times New Roman" w:hAnsi="Arial" w:cs="Arial"/>
          <w:sz w:val="28"/>
          <w:szCs w:val="24"/>
          <w:lang w:val="es-ES_tradnl" w:eastAsia="es-ES"/>
        </w:rPr>
        <w:t>efectiva en todas las decisiones que les afecten y que son tomadas por</w:t>
      </w:r>
      <w:r w:rsidRPr="00CF2780">
        <w:rPr>
          <w:rFonts w:ascii="Arial" w:eastAsia="Times New Roman" w:hAnsi="Arial" w:cs="Arial"/>
          <w:color w:val="000000"/>
          <w:sz w:val="28"/>
          <w:szCs w:val="24"/>
          <w:lang w:val="es-ES_tradnl" w:eastAsia="es-ES"/>
        </w:rPr>
        <w:t xml:space="preserve"> </w:t>
      </w:r>
      <w:r w:rsidRPr="00CF2780">
        <w:rPr>
          <w:rFonts w:ascii="Arial" w:eastAsia="Times New Roman" w:hAnsi="Arial" w:cs="Arial"/>
          <w:sz w:val="28"/>
          <w:szCs w:val="24"/>
          <w:lang w:val="es-ES_tradnl" w:eastAsia="es-ES"/>
        </w:rPr>
        <w:t>las instituciones estatales, como pueden ser  las consultas previas con los pueblos indígenas en relación</w:t>
      </w:r>
      <w:r w:rsidRPr="00CF2780">
        <w:rPr>
          <w:rFonts w:ascii="Arial" w:eastAsia="Times New Roman" w:hAnsi="Arial" w:cs="Arial"/>
          <w:color w:val="000000"/>
          <w:sz w:val="28"/>
          <w:szCs w:val="24"/>
          <w:lang w:val="es-ES_tradnl" w:eastAsia="es-ES"/>
        </w:rPr>
        <w:t xml:space="preserve"> </w:t>
      </w:r>
      <w:r w:rsidRPr="00CF2780">
        <w:rPr>
          <w:rFonts w:ascii="Arial" w:eastAsia="Times New Roman" w:hAnsi="Arial" w:cs="Arial"/>
          <w:sz w:val="28"/>
          <w:szCs w:val="24"/>
          <w:lang w:val="es-ES_tradnl" w:eastAsia="es-ES"/>
        </w:rPr>
        <w:t>con cualquier decisión que pueda afectar a sus intereses.</w:t>
      </w:r>
    </w:p>
    <w:p w14:paraId="7FE99E39" w14:textId="77777777" w:rsidR="00AD59FF" w:rsidRPr="00CF2780" w:rsidRDefault="00AD59FF" w:rsidP="00AD59FF">
      <w:pPr>
        <w:spacing w:after="0" w:line="360" w:lineRule="auto"/>
        <w:ind w:firstLine="709"/>
        <w:jc w:val="both"/>
        <w:rPr>
          <w:rFonts w:ascii="Arial" w:eastAsia="Times New Roman" w:hAnsi="Arial" w:cs="Arial"/>
          <w:sz w:val="28"/>
          <w:szCs w:val="24"/>
          <w:lang w:val="es-ES_tradnl" w:eastAsia="es-ES"/>
        </w:rPr>
      </w:pPr>
    </w:p>
    <w:p w14:paraId="4067EC44" w14:textId="77777777" w:rsidR="00AD59FF" w:rsidRPr="00CF2780" w:rsidRDefault="00AD59FF" w:rsidP="00AD59FF">
      <w:pPr>
        <w:spacing w:after="0" w:line="360" w:lineRule="auto"/>
        <w:ind w:firstLine="709"/>
        <w:jc w:val="both"/>
        <w:rPr>
          <w:rFonts w:ascii="Arial" w:eastAsia="Times New Roman" w:hAnsi="Arial" w:cs="Arial"/>
          <w:sz w:val="28"/>
          <w:szCs w:val="24"/>
          <w:lang w:val="es-ES_tradnl" w:eastAsia="es-ES"/>
        </w:rPr>
      </w:pPr>
      <w:r w:rsidRPr="00CF2780">
        <w:rPr>
          <w:rFonts w:ascii="Arial" w:eastAsia="Times New Roman" w:hAnsi="Arial" w:cs="Arial"/>
          <w:sz w:val="28"/>
          <w:szCs w:val="24"/>
          <w:lang w:val="es-ES_tradnl" w:eastAsia="es-ES"/>
        </w:rPr>
        <w:t>En cuanto al primer aspecto, el derecho al autogobierno implica una de las manifestaciones concretas de autonomía más importantes de los pueblos indígenas consistente en el reconocimiento, desarrollo y protección de su derecho a elegir a sus propias autoridades o representantes mediante la utilización de sus normas consuetudinarias, lo cual encuentra relación con uno de los principios básicos de todo régimen democrático: el consenso de los gobernados respecto de las personas que fungirán como gobernantes.</w:t>
      </w:r>
    </w:p>
    <w:p w14:paraId="6DDFB468" w14:textId="77777777" w:rsidR="00AD59FF" w:rsidRPr="00CF2780" w:rsidRDefault="00AD59FF" w:rsidP="00AD59FF">
      <w:pPr>
        <w:spacing w:after="0" w:line="360" w:lineRule="auto"/>
        <w:ind w:firstLine="709"/>
        <w:jc w:val="both"/>
        <w:rPr>
          <w:rFonts w:ascii="Arial" w:eastAsia="Times New Roman" w:hAnsi="Arial" w:cs="Arial"/>
          <w:sz w:val="28"/>
          <w:szCs w:val="24"/>
          <w:lang w:val="es-ES_tradnl" w:eastAsia="es-ES"/>
        </w:rPr>
      </w:pPr>
    </w:p>
    <w:p w14:paraId="3A18F377" w14:textId="77777777" w:rsidR="00AD59FF" w:rsidRPr="00CF2780" w:rsidRDefault="00AD59FF" w:rsidP="00AD59FF">
      <w:pPr>
        <w:spacing w:after="0" w:line="360" w:lineRule="auto"/>
        <w:ind w:firstLine="709"/>
        <w:jc w:val="both"/>
        <w:rPr>
          <w:rFonts w:ascii="Arial" w:eastAsia="Times New Roman" w:hAnsi="Arial" w:cs="Arial"/>
          <w:sz w:val="28"/>
          <w:szCs w:val="24"/>
          <w:lang w:val="es-ES_tradnl" w:eastAsia="es-ES"/>
        </w:rPr>
      </w:pPr>
      <w:r w:rsidRPr="00CF2780">
        <w:rPr>
          <w:rFonts w:ascii="Arial" w:eastAsia="Times New Roman" w:hAnsi="Arial" w:cs="Arial"/>
          <w:sz w:val="28"/>
          <w:szCs w:val="24"/>
          <w:lang w:val="es-ES_tradnl" w:eastAsia="es-ES"/>
        </w:rPr>
        <w:t>Tal derecho abarca los mecanismos propios de elección, cambio y legitimación de sus autoridades.</w:t>
      </w:r>
    </w:p>
    <w:p w14:paraId="6A40F578" w14:textId="77777777" w:rsidR="00AD59FF" w:rsidRPr="00CF2780" w:rsidRDefault="00AD59FF" w:rsidP="00AD59FF">
      <w:pPr>
        <w:spacing w:after="0" w:line="360" w:lineRule="auto"/>
        <w:ind w:firstLine="709"/>
        <w:jc w:val="both"/>
        <w:rPr>
          <w:rFonts w:ascii="Arial" w:eastAsia="Times New Roman" w:hAnsi="Arial" w:cs="Arial"/>
          <w:sz w:val="28"/>
          <w:szCs w:val="24"/>
          <w:lang w:val="es-ES_tradnl" w:eastAsia="es-ES"/>
        </w:rPr>
      </w:pPr>
    </w:p>
    <w:p w14:paraId="5915E33F" w14:textId="77777777" w:rsidR="00AD59FF" w:rsidRPr="00CF2780" w:rsidRDefault="00AD59FF" w:rsidP="00AD59FF">
      <w:pPr>
        <w:spacing w:after="0" w:line="360" w:lineRule="auto"/>
        <w:ind w:firstLine="709"/>
        <w:jc w:val="both"/>
        <w:rPr>
          <w:rFonts w:ascii="Arial" w:eastAsia="Times New Roman" w:hAnsi="Arial" w:cs="Arial"/>
          <w:sz w:val="28"/>
          <w:szCs w:val="24"/>
          <w:lang w:val="es-ES_tradnl" w:eastAsia="es-ES"/>
        </w:rPr>
      </w:pPr>
      <w:r w:rsidRPr="00CF2780">
        <w:rPr>
          <w:rFonts w:ascii="Arial" w:eastAsia="Times New Roman" w:hAnsi="Arial" w:cs="Arial"/>
          <w:sz w:val="28"/>
          <w:szCs w:val="24"/>
          <w:lang w:val="es-ES_tradnl" w:eastAsia="es-ES"/>
        </w:rPr>
        <w:t>Relacionado íntimamente con la elección de sus autoridades se encuentra la potestad de gobernarse con sus propias instituciones políticas, conforme a sus costumbres y prácticas tradicionales, con lo cual se convierte a los pueblos y comunidades indígenas en sujetos políticos con capacidad para tomar decisiones sobre su vida interna.</w:t>
      </w:r>
    </w:p>
    <w:p w14:paraId="37BBBBE2" w14:textId="77777777" w:rsidR="00AD59FF" w:rsidRPr="00CF2780" w:rsidRDefault="00AD59FF" w:rsidP="00AD59FF">
      <w:pPr>
        <w:spacing w:after="0" w:line="360" w:lineRule="auto"/>
        <w:ind w:firstLine="709"/>
        <w:jc w:val="both"/>
        <w:rPr>
          <w:rFonts w:ascii="Arial" w:eastAsia="Times New Roman" w:hAnsi="Arial" w:cs="Arial"/>
          <w:sz w:val="28"/>
          <w:szCs w:val="24"/>
          <w:lang w:val="es-ES_tradnl" w:eastAsia="es-ES"/>
        </w:rPr>
      </w:pPr>
    </w:p>
    <w:p w14:paraId="38239855" w14:textId="77777777" w:rsidR="00AD59FF" w:rsidRPr="00CF2780" w:rsidRDefault="00AD59FF" w:rsidP="00AD59FF">
      <w:pPr>
        <w:spacing w:after="0" w:line="360" w:lineRule="auto"/>
        <w:ind w:firstLine="709"/>
        <w:jc w:val="both"/>
        <w:rPr>
          <w:rFonts w:ascii="Arial" w:eastAsia="Times New Roman" w:hAnsi="Arial" w:cs="Arial"/>
          <w:sz w:val="28"/>
          <w:szCs w:val="24"/>
          <w:lang w:val="es-ES_tradnl" w:eastAsia="es-ES"/>
        </w:rPr>
      </w:pPr>
      <w:r w:rsidRPr="00CF2780">
        <w:rPr>
          <w:rFonts w:ascii="Arial" w:eastAsia="Times New Roman" w:hAnsi="Arial" w:cs="Arial"/>
          <w:sz w:val="28"/>
          <w:szCs w:val="24"/>
          <w:lang w:val="es-ES_tradnl" w:eastAsia="es-ES"/>
        </w:rPr>
        <w:t xml:space="preserve">Esto es así, porque el principio de pluralismo en los mecanismos para la determinación de la representatividad política trae consigo que la aplicación del derecho indígena no se limite únicamente a la elección de las personas que fungirán como autoridades directas de la </w:t>
      </w:r>
      <w:r w:rsidRPr="00CF2780">
        <w:rPr>
          <w:rFonts w:ascii="Arial" w:eastAsia="Times New Roman" w:hAnsi="Arial" w:cs="Arial"/>
          <w:sz w:val="28"/>
          <w:szCs w:val="24"/>
          <w:lang w:val="es-ES_tradnl" w:eastAsia="es-ES"/>
        </w:rPr>
        <w:lastRenderedPageBreak/>
        <w:t>comunidad, sino también que el ejercicio de tal autoridad se realice con base en los usos y costumbres aplicables, lo que al permitir la dispersión del poder político, lo transforma en un mecanismo jurídico de su control.</w:t>
      </w:r>
    </w:p>
    <w:p w14:paraId="4897B671" w14:textId="77777777" w:rsidR="00AD59FF" w:rsidRPr="00CF2780" w:rsidRDefault="00AD59FF" w:rsidP="00AD59FF">
      <w:pPr>
        <w:spacing w:after="0" w:line="360" w:lineRule="auto"/>
        <w:ind w:firstLine="709"/>
        <w:jc w:val="both"/>
        <w:rPr>
          <w:rFonts w:ascii="Arial" w:eastAsia="Times New Roman" w:hAnsi="Arial" w:cs="Arial"/>
          <w:sz w:val="28"/>
          <w:szCs w:val="24"/>
          <w:lang w:val="es-ES_tradnl" w:eastAsia="es-ES"/>
        </w:rPr>
      </w:pPr>
    </w:p>
    <w:p w14:paraId="7F3EE46A" w14:textId="77777777" w:rsidR="00AD59FF" w:rsidRPr="00CF2780" w:rsidRDefault="00AD59FF" w:rsidP="00AD59FF">
      <w:pPr>
        <w:spacing w:after="0" w:line="360" w:lineRule="auto"/>
        <w:ind w:firstLine="709"/>
        <w:jc w:val="both"/>
        <w:rPr>
          <w:rFonts w:ascii="Arial" w:eastAsia="Times New Roman" w:hAnsi="Arial" w:cs="Arial"/>
          <w:sz w:val="28"/>
          <w:szCs w:val="24"/>
          <w:lang w:val="es-ES_tradnl" w:eastAsia="es-ES"/>
        </w:rPr>
      </w:pPr>
      <w:r w:rsidRPr="00CF2780">
        <w:rPr>
          <w:rFonts w:ascii="Arial" w:eastAsia="Times New Roman" w:hAnsi="Arial" w:cs="Arial"/>
          <w:sz w:val="28"/>
          <w:szCs w:val="24"/>
          <w:lang w:val="es-ES_tradnl" w:eastAsia="es-ES"/>
        </w:rPr>
        <w:t>Bajo esa perspectiva, estos aspectos fundamentales del derecho de autogobierno guardan una relación recíproca e interdependiente con el derecho de los indígenas de mantener y reforzar sus sistemas normativos (principio de pluralismo jurídico), pues precisamente la elección de sus autoridades y representantes, así como el ejercicio de sus propias formas de gobierno interno se realiza en el marco establecido por el derecho indígena aplicable, el cual viene a constituir parte del orden jurídico del Estado Mexicano, de tal manera que la validez y vigencia de ese derecho debe ser respetado por todos los ciudadanos y autoridades, con excepción de las costumbres o  prácticas que resulten conculcatorias de los derechos humanos.</w:t>
      </w:r>
    </w:p>
    <w:p w14:paraId="2ACDAEC5" w14:textId="77777777" w:rsidR="00AD59FF" w:rsidRPr="00CF2780" w:rsidRDefault="00AD59FF" w:rsidP="00AD59FF">
      <w:pPr>
        <w:spacing w:after="0" w:line="360" w:lineRule="auto"/>
        <w:ind w:firstLine="709"/>
        <w:jc w:val="both"/>
        <w:rPr>
          <w:rFonts w:ascii="Arial" w:eastAsia="Times New Roman" w:hAnsi="Arial" w:cs="Arial"/>
          <w:sz w:val="28"/>
          <w:szCs w:val="24"/>
          <w:lang w:val="es-ES_tradnl" w:eastAsia="es-ES"/>
        </w:rPr>
      </w:pPr>
    </w:p>
    <w:p w14:paraId="2FB68393" w14:textId="77777777" w:rsidR="00AD59FF" w:rsidRPr="00CF2780" w:rsidRDefault="00AD59FF" w:rsidP="00AD59FF">
      <w:pPr>
        <w:spacing w:after="0" w:line="360" w:lineRule="auto"/>
        <w:ind w:firstLine="709"/>
        <w:jc w:val="both"/>
        <w:rPr>
          <w:rFonts w:ascii="Arial" w:eastAsia="Times New Roman" w:hAnsi="Arial" w:cs="Arial"/>
          <w:sz w:val="28"/>
          <w:szCs w:val="24"/>
          <w:lang w:val="es-ES_tradnl" w:eastAsia="es-ES"/>
        </w:rPr>
      </w:pPr>
      <w:r w:rsidRPr="00CF2780">
        <w:rPr>
          <w:rFonts w:ascii="Arial" w:eastAsia="Times New Roman" w:hAnsi="Arial" w:cs="Arial"/>
          <w:sz w:val="28"/>
          <w:szCs w:val="24"/>
          <w:lang w:val="es-ES_tradnl" w:eastAsia="es-ES"/>
        </w:rPr>
        <w:t>Si los dos primeros aspectos del derecho al autogobierno de los pueblos y comunidades indígenas se predican en lo relativo a sus asuntos internos y locales, los otros dos aspectos encuentran su concreción de las formas en que se relacionan tanto los integrantes como los pueblos indígenas en la vida política del Estado.</w:t>
      </w:r>
    </w:p>
    <w:p w14:paraId="07E2673D" w14:textId="77777777" w:rsidR="00AD59FF" w:rsidRPr="00CF2780" w:rsidRDefault="00AD59FF" w:rsidP="00AD59FF">
      <w:pPr>
        <w:spacing w:after="0" w:line="360" w:lineRule="auto"/>
        <w:ind w:firstLine="709"/>
        <w:jc w:val="both"/>
        <w:rPr>
          <w:rFonts w:ascii="Arial" w:eastAsia="Times New Roman" w:hAnsi="Arial" w:cs="Arial"/>
          <w:sz w:val="28"/>
          <w:szCs w:val="24"/>
          <w:lang w:val="es-ES_tradnl" w:eastAsia="es-ES"/>
        </w:rPr>
      </w:pPr>
    </w:p>
    <w:p w14:paraId="139F318E"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4"/>
          <w:lang w:val="es-ES_tradnl" w:eastAsia="es-ES"/>
        </w:rPr>
        <w:t>Así, el primer aspecto se refiere al derecho individual o colectivo de participar</w:t>
      </w:r>
      <w:r w:rsidRPr="00CF2780">
        <w:rPr>
          <w:rFonts w:ascii="Arial" w:eastAsia="Times New Roman" w:hAnsi="Arial" w:cs="Arial"/>
          <w:sz w:val="28"/>
          <w:szCs w:val="28"/>
          <w:lang w:val="es-ES" w:eastAsia="es-ES"/>
        </w:rPr>
        <w:t xml:space="preserve"> plenamente en la vida política del Estado, participación que queda a su entero arbitrio.</w:t>
      </w:r>
    </w:p>
    <w:p w14:paraId="5D3CD65F"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01F8E6CA"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lastRenderedPageBreak/>
        <w:t>Tal cuestión resulta relevante, porque la circunstancia de que los indígenas tengan derecho a mantener, promover y desarrollar sus estructuras e instituciones políticas en forma alguna puede servir de pretexto para restringir o menoscabar su derecho a participar en la dirección de los asuntos públicos y del gobierno de su país que atañen a todos los ciudadanos del Estado, cuestión que es acorde con los principios de interpretación en materia de derechos humanos establecidos en los artículo 5 de los pactos internaciones de derechos humanos.</w:t>
      </w:r>
    </w:p>
    <w:p w14:paraId="44BA728E"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3FC97AA5" w14:textId="77777777" w:rsidR="00AD59FF" w:rsidRPr="00CF2780" w:rsidRDefault="00AD59FF" w:rsidP="00AD59FF">
      <w:pPr>
        <w:spacing w:after="0" w:line="360" w:lineRule="auto"/>
        <w:ind w:firstLine="709"/>
        <w:jc w:val="both"/>
        <w:rPr>
          <w:rFonts w:ascii="Arial" w:eastAsia="Times New Roman" w:hAnsi="Arial" w:cs="Arial"/>
          <w:sz w:val="28"/>
          <w:szCs w:val="24"/>
          <w:lang w:val="es-ES_tradnl" w:eastAsia="es-ES"/>
        </w:rPr>
      </w:pPr>
      <w:r w:rsidRPr="00CF2780">
        <w:rPr>
          <w:rFonts w:ascii="Arial" w:eastAsia="Times New Roman" w:hAnsi="Arial" w:cs="Arial"/>
          <w:sz w:val="28"/>
          <w:szCs w:val="24"/>
          <w:lang w:val="es-ES_tradnl" w:eastAsia="es-ES"/>
        </w:rPr>
        <w:t xml:space="preserve">En ese sentido, las poblaciones indígenas tienen el derecho de participar sin discriminación, si así lo deciden, en la toma de decisiones, a todos los niveles, a través de representantes elegidos por ellos de acuerdo a sus propios procedimientos. </w:t>
      </w:r>
    </w:p>
    <w:p w14:paraId="2F72DA3E" w14:textId="77777777" w:rsidR="00AD59FF" w:rsidRPr="00CF2780" w:rsidRDefault="00AD59FF" w:rsidP="00AD59FF">
      <w:pPr>
        <w:spacing w:after="0" w:line="360" w:lineRule="auto"/>
        <w:ind w:firstLine="709"/>
        <w:jc w:val="both"/>
        <w:rPr>
          <w:rFonts w:ascii="Arial" w:eastAsia="Times New Roman" w:hAnsi="Arial" w:cs="Arial"/>
          <w:sz w:val="28"/>
          <w:szCs w:val="24"/>
          <w:lang w:val="es-ES_tradnl" w:eastAsia="es-ES"/>
        </w:rPr>
      </w:pPr>
    </w:p>
    <w:p w14:paraId="642B4F3E" w14:textId="77777777" w:rsidR="00AD59FF" w:rsidRPr="00CF2780" w:rsidRDefault="00AD59FF" w:rsidP="00AD59FF">
      <w:pPr>
        <w:spacing w:after="0" w:line="360" w:lineRule="auto"/>
        <w:ind w:firstLine="709"/>
        <w:jc w:val="both"/>
        <w:rPr>
          <w:rFonts w:ascii="Arial" w:eastAsia="Times New Roman" w:hAnsi="Arial" w:cs="Arial"/>
          <w:sz w:val="28"/>
          <w:szCs w:val="24"/>
          <w:lang w:val="es-ES_tradnl" w:eastAsia="es-ES"/>
        </w:rPr>
      </w:pPr>
      <w:r w:rsidRPr="00CF2780">
        <w:rPr>
          <w:rFonts w:ascii="Arial" w:eastAsia="Times New Roman" w:hAnsi="Arial" w:cs="Arial"/>
          <w:sz w:val="28"/>
          <w:szCs w:val="24"/>
          <w:lang w:val="es-ES_tradnl" w:eastAsia="es-ES"/>
        </w:rPr>
        <w:t>Como último aspecto del derecho al autogobierno se encuentra el derecho a la consulta, conforme al cual los pueblos indígenas deben participar de manera efectiva en todas las decisiones que les afecten y que son tomadas por</w:t>
      </w:r>
      <w:r w:rsidRPr="00CF2780">
        <w:rPr>
          <w:rFonts w:ascii="Arial" w:eastAsia="Times New Roman" w:hAnsi="Arial" w:cs="Arial"/>
          <w:color w:val="000000"/>
          <w:sz w:val="28"/>
          <w:szCs w:val="24"/>
          <w:lang w:val="es-ES_tradnl" w:eastAsia="es-ES"/>
        </w:rPr>
        <w:t xml:space="preserve"> </w:t>
      </w:r>
      <w:r w:rsidRPr="00CF2780">
        <w:rPr>
          <w:rFonts w:ascii="Arial" w:eastAsia="Times New Roman" w:hAnsi="Arial" w:cs="Arial"/>
          <w:sz w:val="28"/>
          <w:szCs w:val="24"/>
          <w:lang w:val="es-ES_tradnl" w:eastAsia="es-ES"/>
        </w:rPr>
        <w:t>las instituciones estatales.</w:t>
      </w:r>
    </w:p>
    <w:p w14:paraId="6C8BEBBE" w14:textId="77777777" w:rsidR="00AD59FF" w:rsidRPr="00CF2780" w:rsidRDefault="00AD59FF" w:rsidP="00AD59FF">
      <w:pPr>
        <w:spacing w:after="0" w:line="360" w:lineRule="auto"/>
        <w:ind w:firstLine="709"/>
        <w:jc w:val="both"/>
        <w:rPr>
          <w:rFonts w:ascii="Arial" w:eastAsia="Times New Roman" w:hAnsi="Arial" w:cs="Arial"/>
          <w:sz w:val="28"/>
          <w:szCs w:val="24"/>
          <w:lang w:val="es-ES_tradnl" w:eastAsia="es-ES"/>
        </w:rPr>
      </w:pPr>
    </w:p>
    <w:p w14:paraId="4EDFB948" w14:textId="77777777" w:rsidR="00AD59FF" w:rsidRPr="00CF2780" w:rsidRDefault="00AD59FF" w:rsidP="00AD59FF">
      <w:pPr>
        <w:spacing w:after="0" w:line="360" w:lineRule="auto"/>
        <w:ind w:firstLine="709"/>
        <w:jc w:val="both"/>
        <w:rPr>
          <w:rFonts w:ascii="Arial" w:eastAsia="Times New Roman" w:hAnsi="Arial" w:cs="Arial"/>
          <w:sz w:val="28"/>
          <w:szCs w:val="24"/>
          <w:lang w:val="es-ES_tradnl" w:eastAsia="es-ES"/>
        </w:rPr>
      </w:pPr>
      <w:r w:rsidRPr="00CF2780">
        <w:rPr>
          <w:rFonts w:ascii="Arial" w:eastAsia="Times New Roman" w:hAnsi="Arial" w:cs="Arial"/>
          <w:sz w:val="28"/>
          <w:szCs w:val="24"/>
          <w:lang w:val="es-ES_tradnl" w:eastAsia="es-ES"/>
        </w:rPr>
        <w:t>Bajo esa perspectiva</w:t>
      </w:r>
      <w:r w:rsidRPr="00CF2780">
        <w:rPr>
          <w:rFonts w:ascii="Arial" w:eastAsia="Times New Roman" w:hAnsi="Arial" w:cs="Arial"/>
          <w:color w:val="000000"/>
          <w:sz w:val="19"/>
          <w:szCs w:val="19"/>
          <w:lang w:val="es-ES" w:eastAsia="es-ES"/>
        </w:rPr>
        <w:t xml:space="preserve"> </w:t>
      </w:r>
      <w:r w:rsidRPr="00CF2780">
        <w:rPr>
          <w:rFonts w:ascii="Arial" w:eastAsia="Times New Roman" w:hAnsi="Arial" w:cs="Arial"/>
          <w:sz w:val="28"/>
          <w:szCs w:val="24"/>
          <w:lang w:val="es-ES_tradnl" w:eastAsia="es-ES"/>
        </w:rPr>
        <w:t xml:space="preserve">el Estado debe en todo momento y para todos los efectos, consultar de manera previa con las autoridades políticas de los pueblos y comunidades indígenas, respecto de todas aquellas decisiones que involucren sus interés, ya sea en sus aspectos políticos, sociales, económicos y culturales, para lo cual deberá desarrollar mecanismos de consulta que garanticen la participación </w:t>
      </w:r>
      <w:r w:rsidRPr="00CF2780">
        <w:rPr>
          <w:rFonts w:ascii="Arial" w:eastAsia="Times New Roman" w:hAnsi="Arial" w:cs="Arial"/>
          <w:sz w:val="28"/>
          <w:szCs w:val="24"/>
          <w:lang w:val="es-ES_tradnl" w:eastAsia="es-ES"/>
        </w:rPr>
        <w:lastRenderedPageBreak/>
        <w:t>directa y activa de todos los miembros de dichas colectividades, tal y como lo determina el artículo 6 del citado convenio.</w:t>
      </w:r>
    </w:p>
    <w:p w14:paraId="77D3D04D" w14:textId="77777777" w:rsidR="00AD59FF" w:rsidRPr="00CF2780" w:rsidRDefault="00AD59FF" w:rsidP="00AD59FF">
      <w:pPr>
        <w:spacing w:after="0" w:line="360" w:lineRule="auto"/>
        <w:ind w:firstLine="709"/>
        <w:jc w:val="both"/>
        <w:rPr>
          <w:rFonts w:ascii="Arial" w:eastAsia="Times New Roman" w:hAnsi="Arial" w:cs="Arial"/>
          <w:sz w:val="28"/>
          <w:szCs w:val="24"/>
          <w:lang w:val="es-ES_tradnl" w:eastAsia="es-ES"/>
        </w:rPr>
      </w:pPr>
    </w:p>
    <w:p w14:paraId="13EB0F50" w14:textId="77777777" w:rsidR="00AD59FF" w:rsidRPr="00CF2780" w:rsidRDefault="00AD59FF" w:rsidP="00AD59FF">
      <w:pPr>
        <w:spacing w:after="0" w:line="360" w:lineRule="auto"/>
        <w:ind w:firstLine="709"/>
        <w:jc w:val="both"/>
        <w:rPr>
          <w:rFonts w:ascii="Arial" w:eastAsia="Times New Roman" w:hAnsi="Arial" w:cs="Arial"/>
          <w:sz w:val="28"/>
          <w:szCs w:val="24"/>
          <w:lang w:val="es-ES_tradnl" w:eastAsia="es-ES"/>
        </w:rPr>
      </w:pPr>
      <w:r w:rsidRPr="00CF2780">
        <w:rPr>
          <w:rFonts w:ascii="Arial" w:eastAsia="Times New Roman" w:hAnsi="Arial" w:cs="Arial"/>
          <w:sz w:val="28"/>
          <w:szCs w:val="24"/>
          <w:lang w:val="es-ES_tradnl" w:eastAsia="es-ES"/>
        </w:rPr>
        <w:t xml:space="preserve">Así, el artículo referido requiere que los gobiernos establezcan los medios que permitan a los pueblos interesados participar en la toma de decisiones a todos los niveles a nivel de </w:t>
      </w:r>
      <w:r w:rsidRPr="00CF2780">
        <w:rPr>
          <w:rFonts w:ascii="Arial" w:eastAsia="Times New Roman" w:hAnsi="Arial" w:cs="Arial"/>
          <w:iCs/>
          <w:sz w:val="28"/>
          <w:szCs w:val="24"/>
          <w:lang w:val="es-ES_tradnl" w:eastAsia="es-ES"/>
        </w:rPr>
        <w:t>instituciones legislativas y de organismos administrativos. También exige que consulten a los pueblos indígenas y tribales mediante procedimientos adecuados y sus instituciones representativas, cada vez que se prevean medidas legislativas o administrativas susceptibles de afectarles directamente. Finalmente dispone que las consultas llevadas a cabo en aplicación de este Convenio deban efectuarse de buena fe y de una manera apropiada a las circunstancias, con la finalidad de llegar a un acuerdo o lograr el consentimiento acerca de las medidas propuestas</w:t>
      </w:r>
    </w:p>
    <w:p w14:paraId="3BB734EC" w14:textId="77777777" w:rsidR="00AD59FF" w:rsidRPr="00CF2780" w:rsidRDefault="00AD59FF" w:rsidP="00AD59FF">
      <w:pPr>
        <w:spacing w:after="0" w:line="360" w:lineRule="auto"/>
        <w:ind w:firstLine="709"/>
        <w:jc w:val="both"/>
        <w:rPr>
          <w:rFonts w:ascii="Arial" w:eastAsia="Times New Roman" w:hAnsi="Arial" w:cs="Arial"/>
          <w:sz w:val="28"/>
          <w:szCs w:val="24"/>
          <w:lang w:val="es-ES_tradnl" w:eastAsia="es-ES"/>
        </w:rPr>
      </w:pPr>
    </w:p>
    <w:p w14:paraId="7E7618CC" w14:textId="77777777" w:rsidR="00AD59FF" w:rsidRPr="00CF2780" w:rsidRDefault="00AD59FF" w:rsidP="00AD59FF">
      <w:pPr>
        <w:spacing w:after="0" w:line="360" w:lineRule="auto"/>
        <w:ind w:firstLine="709"/>
        <w:jc w:val="both"/>
        <w:rPr>
          <w:rFonts w:ascii="Arial" w:eastAsia="Times New Roman" w:hAnsi="Arial" w:cs="Arial"/>
          <w:sz w:val="28"/>
          <w:szCs w:val="24"/>
          <w:lang w:val="es-ES_tradnl" w:eastAsia="es-ES"/>
        </w:rPr>
      </w:pPr>
      <w:r w:rsidRPr="00CF2780">
        <w:rPr>
          <w:rFonts w:ascii="Arial" w:eastAsia="Times New Roman" w:hAnsi="Arial" w:cs="Arial"/>
          <w:sz w:val="28"/>
          <w:szCs w:val="24"/>
          <w:lang w:val="es-ES_tradnl" w:eastAsia="es-ES"/>
        </w:rPr>
        <w:t>En ese mismo orden de ideas, la Declaración de las Naciones Unidas sobre los Derechos de los Pueblos Indígenas también se refiere a los mecanismos de consulta y participación y establece que el propósito de las consultas es alcanzar un consentimiento libre, previo e informado.</w:t>
      </w:r>
    </w:p>
    <w:p w14:paraId="13A24CDD" w14:textId="77777777" w:rsidR="00AD59FF" w:rsidRPr="00CF2780" w:rsidRDefault="00AD59FF" w:rsidP="00AD59FF">
      <w:pPr>
        <w:spacing w:after="0" w:line="360" w:lineRule="auto"/>
        <w:ind w:firstLine="709"/>
        <w:jc w:val="both"/>
        <w:rPr>
          <w:rFonts w:ascii="Arial" w:eastAsia="Times New Roman" w:hAnsi="Arial" w:cs="Arial"/>
          <w:sz w:val="28"/>
          <w:szCs w:val="24"/>
          <w:lang w:val="es-ES_tradnl" w:eastAsia="es-ES"/>
        </w:rPr>
      </w:pPr>
    </w:p>
    <w:p w14:paraId="546B6C69" w14:textId="77777777" w:rsidR="00AD59FF" w:rsidRPr="00CF2780" w:rsidRDefault="00AD59FF" w:rsidP="00AD59FF">
      <w:pPr>
        <w:spacing w:after="0" w:line="360" w:lineRule="auto"/>
        <w:ind w:firstLine="709"/>
        <w:jc w:val="both"/>
        <w:rPr>
          <w:rFonts w:ascii="Arial" w:eastAsia="Times New Roman" w:hAnsi="Arial" w:cs="Arial"/>
          <w:sz w:val="28"/>
          <w:szCs w:val="24"/>
          <w:lang w:val="es-ES_tradnl" w:eastAsia="es-ES"/>
        </w:rPr>
      </w:pPr>
      <w:r w:rsidRPr="00CF2780">
        <w:rPr>
          <w:rFonts w:ascii="Arial" w:eastAsia="Times New Roman" w:hAnsi="Arial" w:cs="Arial"/>
          <w:sz w:val="28"/>
          <w:szCs w:val="24"/>
          <w:lang w:val="es-ES_tradnl" w:eastAsia="es-ES"/>
        </w:rPr>
        <w:t xml:space="preserve">El derecho a la libre determinación de los pueblos y comunidades indígenas en su vertiente de autogobernarse de conformidad con sus propias tradiciones constituye un elemento esencial para que dichos pueblos y comunidades puedan asumir el control de sus propias instituciones y formas de vida y orientar su evolución económica y </w:t>
      </w:r>
      <w:r w:rsidRPr="00CF2780">
        <w:rPr>
          <w:rFonts w:ascii="Arial" w:eastAsia="Times New Roman" w:hAnsi="Arial" w:cs="Arial"/>
          <w:sz w:val="28"/>
          <w:szCs w:val="24"/>
          <w:lang w:val="es-ES_tradnl" w:eastAsia="es-ES"/>
        </w:rPr>
        <w:lastRenderedPageBreak/>
        <w:t>social, manteniendo y fortaleciendo su identidad étnica y todo lo que ello conlleva.</w:t>
      </w:r>
    </w:p>
    <w:p w14:paraId="382AE5D7" w14:textId="77777777" w:rsidR="00AD59FF" w:rsidRPr="00CF2780" w:rsidRDefault="00AD59FF" w:rsidP="00AD59FF">
      <w:pPr>
        <w:spacing w:after="0" w:line="360" w:lineRule="auto"/>
        <w:ind w:firstLine="709"/>
        <w:jc w:val="both"/>
        <w:rPr>
          <w:rFonts w:ascii="Arial" w:eastAsia="Times New Roman" w:hAnsi="Arial" w:cs="Arial"/>
          <w:sz w:val="28"/>
          <w:szCs w:val="24"/>
          <w:lang w:val="es-ES_tradnl" w:eastAsia="es-ES"/>
        </w:rPr>
      </w:pPr>
      <w:r w:rsidRPr="00CF2780">
        <w:rPr>
          <w:rFonts w:ascii="Arial" w:eastAsia="Times New Roman" w:hAnsi="Arial" w:cs="Arial"/>
          <w:sz w:val="28"/>
          <w:szCs w:val="24"/>
          <w:lang w:val="es-ES_tradnl" w:eastAsia="es-ES"/>
        </w:rPr>
        <w:t xml:space="preserve"> </w:t>
      </w:r>
    </w:p>
    <w:p w14:paraId="60C03FF2" w14:textId="77777777" w:rsidR="00AD59FF" w:rsidRPr="00CF2780" w:rsidRDefault="00AD59FF" w:rsidP="00AD59FF">
      <w:pPr>
        <w:spacing w:after="0" w:line="360" w:lineRule="auto"/>
        <w:ind w:firstLine="709"/>
        <w:jc w:val="both"/>
        <w:rPr>
          <w:rFonts w:ascii="Arial" w:eastAsia="Times New Roman" w:hAnsi="Arial" w:cs="Arial"/>
          <w:sz w:val="28"/>
          <w:szCs w:val="24"/>
          <w:lang w:val="es-ES_tradnl" w:eastAsia="es-ES"/>
        </w:rPr>
      </w:pPr>
      <w:r w:rsidRPr="00CF2780">
        <w:rPr>
          <w:rFonts w:ascii="Arial" w:eastAsia="Times New Roman" w:hAnsi="Arial" w:cs="Arial"/>
          <w:sz w:val="28"/>
          <w:szCs w:val="24"/>
          <w:lang w:val="es-ES_tradnl" w:eastAsia="es-ES"/>
        </w:rPr>
        <w:t>El derecho de los pueblos indígenas al autogobierno en las cuestiones relacionadas con sus asuntos internos y locales tiene especial importancia para el pleno progreso y protección de los pueblos tanto en relación con la definición de las prioridades y estrategias del progreso como en la gestión del mismo.</w:t>
      </w:r>
    </w:p>
    <w:p w14:paraId="4A6214C2" w14:textId="77777777" w:rsidR="00AD59FF" w:rsidRPr="00CF2780" w:rsidRDefault="00AD59FF" w:rsidP="00AD59FF">
      <w:pPr>
        <w:spacing w:after="0" w:line="360" w:lineRule="auto"/>
        <w:ind w:firstLine="709"/>
        <w:jc w:val="both"/>
        <w:rPr>
          <w:rFonts w:ascii="Arial" w:eastAsia="Times New Roman" w:hAnsi="Arial" w:cs="Arial"/>
          <w:sz w:val="28"/>
          <w:szCs w:val="24"/>
          <w:lang w:val="es-ES_tradnl" w:eastAsia="es-ES"/>
        </w:rPr>
      </w:pPr>
    </w:p>
    <w:p w14:paraId="2FC33B42" w14:textId="77777777" w:rsidR="00AD59FF" w:rsidRPr="00CF2780" w:rsidRDefault="00AD59FF" w:rsidP="00AD59FF">
      <w:pPr>
        <w:spacing w:after="0" w:line="360" w:lineRule="auto"/>
        <w:ind w:firstLine="709"/>
        <w:jc w:val="both"/>
        <w:rPr>
          <w:rFonts w:ascii="Arial" w:eastAsia="Times New Roman" w:hAnsi="Arial" w:cs="Arial"/>
          <w:sz w:val="28"/>
          <w:szCs w:val="24"/>
          <w:lang w:val="es-ES_tradnl" w:eastAsia="es-ES"/>
        </w:rPr>
      </w:pPr>
      <w:r w:rsidRPr="00CF2780">
        <w:rPr>
          <w:rFonts w:ascii="Arial" w:eastAsia="Times New Roman" w:hAnsi="Arial" w:cs="Arial"/>
          <w:sz w:val="28"/>
          <w:szCs w:val="24"/>
          <w:lang w:val="es-ES_tradnl" w:eastAsia="es-ES"/>
        </w:rPr>
        <w:t>Tal situación se encuentra reconocida por el Relator Especial sobre la situación de los Derechos Humanos y las Libertades Fundamentales de los Pueblos Indígenas del Consejo de Derechos en su Séptimo Informe: “Por un desarrollo basado en los derechos humanos” de 2007 en el cual se determina:</w:t>
      </w:r>
    </w:p>
    <w:p w14:paraId="6FC51237" w14:textId="77777777" w:rsidR="00AD59FF" w:rsidRPr="00CF2780" w:rsidRDefault="00AD59FF" w:rsidP="00AD59FF">
      <w:pPr>
        <w:spacing w:after="0" w:line="360" w:lineRule="auto"/>
        <w:ind w:firstLine="709"/>
        <w:jc w:val="both"/>
        <w:rPr>
          <w:rFonts w:ascii="Arial" w:eastAsia="Times New Roman" w:hAnsi="Arial" w:cs="Arial"/>
          <w:sz w:val="28"/>
          <w:szCs w:val="24"/>
          <w:lang w:val="es-ES_tradnl" w:eastAsia="es-ES"/>
        </w:rPr>
      </w:pPr>
    </w:p>
    <w:p w14:paraId="7658AD81" w14:textId="77777777" w:rsidR="00AD59FF" w:rsidRPr="00CF2780" w:rsidRDefault="00AD59FF" w:rsidP="00AD59FF">
      <w:pPr>
        <w:spacing w:after="0" w:line="360" w:lineRule="auto"/>
        <w:ind w:firstLine="709"/>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w:t>
      </w:r>
      <w:r w:rsidRPr="00CF2780">
        <w:rPr>
          <w:rFonts w:ascii="Arial" w:eastAsia="Times New Roman" w:hAnsi="Arial" w:cs="Arial"/>
          <w:b/>
          <w:sz w:val="24"/>
          <w:szCs w:val="24"/>
          <w:lang w:val="es-ES" w:eastAsia="es-ES"/>
        </w:rPr>
        <w:t>5. Conclusiones</w:t>
      </w:r>
    </w:p>
    <w:p w14:paraId="430532DC"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Aunque han sido muchos los esfuerzos y los recursos que se han dedicado durante los últimos cincuenta años para superar la pobreza y marginación que caracterizan la existencia de la mayoría de pueblos indígenas, ellos siguen mostrando por lo general en todas partes los niveles de desarrollo económico, social y humano más bajos. Una clave para entender el impacto limitado que han tenido las políticas de desarrollo radica en que estas no han atacado las causas estructurales de marginación de los pueblos indígenas, causas que están directamente vinculadas a la falta de reconocimiento, protección, garantías de cumplimiento de sus derechos humanos, individuales y colectivos.</w:t>
      </w:r>
    </w:p>
    <w:p w14:paraId="397D0BA5"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p>
    <w:p w14:paraId="0D349E19"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Un enfoque de derechos humanos permite identificar a los pueblos indígenas como titulares de derechos humanos y coloca la realización de estos derechos como el objetivo principal del desarrollo. Tal y como se ha documentado en numerosas buenas prácticas en distintas partes del mundo, un desarrollo endógeno y sostenido es posible cuando se basa en el respeto de los derechos de los pueblos indígenas y aspira a su cumplimiento.</w:t>
      </w:r>
    </w:p>
    <w:p w14:paraId="36A1E0CD"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 xml:space="preserve">Los procesos de desarrollo basado en derechos, implican transformaciones en las relaciones de poder entre los pueblos indígenas y el Estado, que </w:t>
      </w:r>
      <w:r w:rsidRPr="00CF2780">
        <w:rPr>
          <w:rFonts w:ascii="Arial" w:eastAsia="Times New Roman" w:hAnsi="Arial" w:cs="Arial"/>
          <w:sz w:val="24"/>
          <w:szCs w:val="24"/>
          <w:lang w:val="es-ES" w:eastAsia="es-ES"/>
        </w:rPr>
        <w:lastRenderedPageBreak/>
        <w:t>incluyen la creación de espacios de participación, gobernanza y cogestión con los pueblos indígenas, y de autogestión y autogobierno indígena. En este sentido, el desarrollo basado en los derechos humanos no es algo que solamente tenga que ver con los pueblos indígenas: tiene que involucrar a la sociedad entera y constituye un desafío a las estrategias de desarrollo promovidas por la economía globalizada.</w:t>
      </w:r>
    </w:p>
    <w:p w14:paraId="7B39E964"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p>
    <w:p w14:paraId="77BBA81F"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Las experiencias existentes de mejores prácticas del desarrollo basado en los derechos de los pueblos indígenas son procesos sociales y políticos protagonizados por comunidades y organizaciones indígenas en ejercicio y defensa de sus derechos económicos, sociales y culturales. Se trata de procesos de empoderamiento que implica que los pueblos indígenas asumen la titularidad de sus derechos, y el fortalecimiento de la organización y capacidades de estos pueblos para exigir el cumplimiento y ejercicio de los derechos, así como de su participación política.</w:t>
      </w:r>
    </w:p>
    <w:p w14:paraId="752DA4C5"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p>
    <w:p w14:paraId="73170EFA" w14:textId="77777777" w:rsidR="00AD59FF" w:rsidRPr="00CF2780" w:rsidRDefault="00AD59FF" w:rsidP="00AD59FF">
      <w:pPr>
        <w:spacing w:after="0" w:line="240" w:lineRule="auto"/>
        <w:ind w:left="709"/>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El enfoque de los derechos humanos proporciona un sistema coherente de conceptos, principios, parámetros y reglas, para la formulación, implementación y evaluación de las políticas y acuerdos constructivos entre Estados y pueblos indígenas. La reciente adopción de la Declaración de Naciones Unidas sobre los Derechos de los Pueblos Indígenas dota a los actores del desarrollo de un marco normativo preciso para las políticas y acciones de desarrollo dirigidas a estos pueblos”.</w:t>
      </w:r>
    </w:p>
    <w:p w14:paraId="56A67EEF" w14:textId="77777777" w:rsidR="00AD59FF" w:rsidRPr="00CF2780" w:rsidRDefault="00AD59FF" w:rsidP="00AD59FF">
      <w:pPr>
        <w:spacing w:after="0" w:line="360" w:lineRule="auto"/>
        <w:ind w:firstLine="709"/>
        <w:jc w:val="both"/>
        <w:rPr>
          <w:rFonts w:ascii="Arial" w:eastAsia="Times New Roman" w:hAnsi="Arial" w:cs="Arial"/>
          <w:sz w:val="28"/>
          <w:szCs w:val="24"/>
          <w:lang w:val="es-ES_tradnl" w:eastAsia="es-ES"/>
        </w:rPr>
      </w:pPr>
    </w:p>
    <w:p w14:paraId="4C60893D" w14:textId="77777777" w:rsidR="00AD59FF" w:rsidRPr="00CF2780" w:rsidRDefault="00AD59FF" w:rsidP="00AD59FF">
      <w:pPr>
        <w:spacing w:after="0" w:line="360" w:lineRule="auto"/>
        <w:ind w:firstLine="709"/>
        <w:jc w:val="both"/>
        <w:rPr>
          <w:rFonts w:ascii="Arial" w:eastAsia="Times New Roman" w:hAnsi="Arial" w:cs="Arial"/>
          <w:sz w:val="28"/>
          <w:szCs w:val="24"/>
          <w:lang w:val="es-ES_tradnl" w:eastAsia="es-ES"/>
        </w:rPr>
      </w:pPr>
      <w:r w:rsidRPr="00CF2780">
        <w:rPr>
          <w:rFonts w:ascii="Arial" w:eastAsia="Times New Roman" w:hAnsi="Arial" w:cs="Arial"/>
          <w:sz w:val="28"/>
          <w:szCs w:val="24"/>
          <w:lang w:val="es-ES_tradnl" w:eastAsia="es-ES"/>
        </w:rPr>
        <w:t>Acorde con lo anterior, el autogobierno, la autorganización y autogestión de los pueblos indígenas en las cuestiones relacionadas con sus asuntos internos y locales constituye un elemento fundamental para fortalecer la capacidad y participación política de estos pueblos para asumir la titularidad de sus derechos, ejercerlos en un marco de respeto a los derechos humanos y exigir su cumplimiento.</w:t>
      </w:r>
    </w:p>
    <w:p w14:paraId="2E7DD103" w14:textId="77777777" w:rsidR="00AD59FF" w:rsidRPr="00CF2780" w:rsidRDefault="00AD59FF" w:rsidP="00AD59FF">
      <w:pPr>
        <w:spacing w:after="0" w:line="360" w:lineRule="auto"/>
        <w:ind w:firstLine="709"/>
        <w:jc w:val="both"/>
        <w:rPr>
          <w:rFonts w:ascii="Arial" w:eastAsia="Times New Roman" w:hAnsi="Arial" w:cs="Arial"/>
          <w:sz w:val="28"/>
          <w:szCs w:val="24"/>
          <w:lang w:val="es-ES_tradnl" w:eastAsia="es-ES"/>
        </w:rPr>
      </w:pPr>
    </w:p>
    <w:p w14:paraId="2BC8307D" w14:textId="77777777" w:rsidR="00AD59FF" w:rsidRPr="00CF2780" w:rsidRDefault="00AD59FF" w:rsidP="00AD59FF">
      <w:pPr>
        <w:spacing w:after="0" w:line="360" w:lineRule="auto"/>
        <w:ind w:firstLine="709"/>
        <w:jc w:val="both"/>
        <w:rPr>
          <w:rFonts w:ascii="Arial" w:eastAsia="Times New Roman" w:hAnsi="Arial" w:cs="Arial"/>
          <w:sz w:val="28"/>
          <w:szCs w:val="24"/>
          <w:lang w:val="es-ES_tradnl" w:eastAsia="es-ES"/>
        </w:rPr>
      </w:pPr>
      <w:r w:rsidRPr="00CF2780">
        <w:rPr>
          <w:rFonts w:ascii="Arial" w:eastAsia="Times New Roman" w:hAnsi="Arial" w:cs="Arial"/>
          <w:sz w:val="28"/>
          <w:szCs w:val="24"/>
          <w:lang w:val="es-ES_tradnl" w:eastAsia="es-ES"/>
        </w:rPr>
        <w:t xml:space="preserve">Aquí es preciso recordar que la situación de abandono y de pobreza en que se encuentran por lo general los pueblos indígenas – durante siglos objeto de la imposición o de la indiferencia estatal – y la falta de realización en la práctica de sus derechos constitucionales fundamentales puede llegar a diezmar de manera considerable el derecho que tienen las comunidades indígenas a participar de manera </w:t>
      </w:r>
      <w:r w:rsidRPr="00CF2780">
        <w:rPr>
          <w:rFonts w:ascii="Arial" w:eastAsia="Times New Roman" w:hAnsi="Arial" w:cs="Arial"/>
          <w:sz w:val="28"/>
          <w:szCs w:val="24"/>
          <w:lang w:val="es-ES_tradnl" w:eastAsia="es-ES"/>
        </w:rPr>
        <w:lastRenderedPageBreak/>
        <w:t xml:space="preserve">activa y consciente en el manejo de los asuntos que los afectan y termina por desconocer de facto el derecho constitucional fundamental al reconocimiento y debida protección de la diversidad étnica y cultural de los pueblos indígenas. Puede, incluso, conducir a la extinción misma de los pueblos indígenas. </w:t>
      </w:r>
    </w:p>
    <w:p w14:paraId="39F9016E" w14:textId="77777777" w:rsidR="00AD59FF" w:rsidRPr="00CF2780" w:rsidRDefault="00AD59FF" w:rsidP="00AD59FF">
      <w:pPr>
        <w:spacing w:after="0" w:line="360" w:lineRule="auto"/>
        <w:ind w:firstLine="709"/>
        <w:jc w:val="both"/>
        <w:rPr>
          <w:rFonts w:ascii="Arial" w:eastAsia="Times New Roman" w:hAnsi="Arial" w:cs="Arial"/>
          <w:sz w:val="28"/>
          <w:szCs w:val="24"/>
          <w:lang w:val="es-ES_tradnl" w:eastAsia="es-ES"/>
        </w:rPr>
      </w:pPr>
    </w:p>
    <w:p w14:paraId="20B8A085" w14:textId="77777777" w:rsidR="00AD59FF" w:rsidRPr="00CF2780" w:rsidRDefault="00AD59FF" w:rsidP="00AD59FF">
      <w:pPr>
        <w:spacing w:after="0" w:line="360" w:lineRule="auto"/>
        <w:ind w:firstLine="709"/>
        <w:jc w:val="both"/>
        <w:rPr>
          <w:rFonts w:ascii="Arial" w:eastAsia="Times New Roman" w:hAnsi="Arial" w:cs="Arial"/>
          <w:sz w:val="28"/>
          <w:szCs w:val="24"/>
          <w:lang w:val="es-ES_tradnl" w:eastAsia="es-ES"/>
        </w:rPr>
      </w:pPr>
      <w:r w:rsidRPr="00CF2780">
        <w:rPr>
          <w:rFonts w:ascii="Arial" w:eastAsia="Times New Roman" w:hAnsi="Arial" w:cs="Arial"/>
          <w:sz w:val="28"/>
          <w:szCs w:val="24"/>
          <w:lang w:val="es-ES_tradnl" w:eastAsia="es-ES"/>
        </w:rPr>
        <w:t xml:space="preserve">De ahí que los derechos de los pueblos y comunidades indígenas constituyen el reconocimiento de las necesidades específicas de estos grupos en condiciones estructurales de desventaja y tienen como objetivo que dichos pueblos puedan gozar del ejercicio pleno de sus derechos como cualesquiera otro ciudadano del Estado. </w:t>
      </w:r>
    </w:p>
    <w:p w14:paraId="65F2D3B3" w14:textId="77777777" w:rsidR="00AD59FF" w:rsidRPr="00CF2780" w:rsidRDefault="00AD59FF" w:rsidP="00AD59FF">
      <w:pPr>
        <w:spacing w:after="0" w:line="360" w:lineRule="auto"/>
        <w:ind w:firstLine="709"/>
        <w:jc w:val="both"/>
        <w:rPr>
          <w:rFonts w:ascii="Arial" w:eastAsia="Times New Roman" w:hAnsi="Arial" w:cs="Arial"/>
          <w:sz w:val="28"/>
          <w:szCs w:val="24"/>
          <w:lang w:val="es-ES_tradnl" w:eastAsia="es-ES"/>
        </w:rPr>
      </w:pPr>
    </w:p>
    <w:p w14:paraId="2FB05B83" w14:textId="77777777" w:rsidR="00AD59FF" w:rsidRPr="00CF2780" w:rsidRDefault="00AD59FF" w:rsidP="00AD59FF">
      <w:pPr>
        <w:spacing w:after="0" w:line="360" w:lineRule="auto"/>
        <w:ind w:firstLine="709"/>
        <w:jc w:val="both"/>
        <w:rPr>
          <w:rFonts w:ascii="Arial" w:eastAsia="Times New Roman" w:hAnsi="Arial" w:cs="Arial"/>
          <w:sz w:val="28"/>
          <w:szCs w:val="24"/>
          <w:lang w:val="es-ES_tradnl" w:eastAsia="es-ES"/>
        </w:rPr>
      </w:pPr>
      <w:r w:rsidRPr="00CF2780">
        <w:rPr>
          <w:rFonts w:ascii="Arial" w:eastAsia="Times New Roman" w:hAnsi="Arial" w:cs="Arial"/>
          <w:sz w:val="28"/>
          <w:szCs w:val="28"/>
          <w:lang w:val="es-ES" w:eastAsia="es-ES"/>
        </w:rPr>
        <w:t xml:space="preserve">Ahora </w:t>
      </w:r>
      <w:r w:rsidRPr="00CF2780">
        <w:rPr>
          <w:rFonts w:ascii="Arial" w:eastAsia="Times New Roman" w:hAnsi="Arial" w:cs="Arial"/>
          <w:sz w:val="28"/>
          <w:szCs w:val="24"/>
          <w:lang w:val="es-ES_tradnl" w:eastAsia="es-ES"/>
        </w:rPr>
        <w:t>bien</w:t>
      </w:r>
      <w:r w:rsidRPr="00CF2780">
        <w:rPr>
          <w:rFonts w:ascii="Arial" w:eastAsia="Times New Roman" w:hAnsi="Arial" w:cs="Arial"/>
          <w:sz w:val="28"/>
          <w:szCs w:val="28"/>
          <w:lang w:val="es-ES" w:eastAsia="es-ES"/>
        </w:rPr>
        <w:t>, en el caso se encuentran acreditados los hechos siguientes:</w:t>
      </w:r>
    </w:p>
    <w:p w14:paraId="1BB37022" w14:textId="77777777" w:rsidR="00AD59FF" w:rsidRPr="00CF2780" w:rsidRDefault="00AD59FF" w:rsidP="00AD59FF">
      <w:pPr>
        <w:spacing w:after="0" w:line="360" w:lineRule="auto"/>
        <w:ind w:firstLine="709"/>
        <w:jc w:val="both"/>
        <w:rPr>
          <w:rFonts w:ascii="Arial" w:eastAsia="Times New Roman" w:hAnsi="Arial" w:cs="Arial"/>
          <w:sz w:val="28"/>
          <w:szCs w:val="24"/>
          <w:lang w:val="es-ES_tradnl" w:eastAsia="es-ES"/>
        </w:rPr>
      </w:pPr>
    </w:p>
    <w:p w14:paraId="4DE17D07" w14:textId="77777777" w:rsidR="00AD59FF" w:rsidRPr="00CF2780" w:rsidRDefault="00AD59FF" w:rsidP="00AD59FF">
      <w:pPr>
        <w:spacing w:after="0" w:line="360" w:lineRule="auto"/>
        <w:ind w:firstLine="709"/>
        <w:jc w:val="both"/>
        <w:rPr>
          <w:rFonts w:ascii="Arial" w:eastAsia="Times New Roman" w:hAnsi="Arial" w:cs="Arial"/>
          <w:sz w:val="28"/>
          <w:szCs w:val="24"/>
          <w:lang w:val="es-ES_tradnl" w:eastAsia="es-ES"/>
        </w:rPr>
      </w:pPr>
      <w:r w:rsidRPr="00CF2780">
        <w:rPr>
          <w:rFonts w:ascii="Arial" w:eastAsia="Times New Roman" w:hAnsi="Arial" w:cs="Arial"/>
          <w:sz w:val="28"/>
          <w:szCs w:val="24"/>
          <w:lang w:val="es-ES_tradnl" w:eastAsia="es-ES"/>
        </w:rPr>
        <w:t xml:space="preserve">a) No es motivo de controversia y, por ende, tampoco es materia de prueba, en términos de lo dispuesto en el apartado 1 del artículo 15 de la Ley General del Sistema de Medios de Impugnación en Materia Electoral, que los promoventes del presente medio de impugnación son integrantes de la comunidad indígena de Cherán, puesto que así lo manifiestan en su demanda y, acorde con lo establecido en los artículos 2o, tercer párrafo, de la Constitución Política de los Estados Unidos Mexicanos; 1, apartado 2 del Convenio número 169 de la Organización Internacional del Trabajo, sobre Pueblos Indígenas y Tribales en Países Independientes, la conciencia de su identidad indígena es el criterio fundamental para determinar a quiénes se aplican las disposiciones sobre pueblos indígenas. </w:t>
      </w:r>
    </w:p>
    <w:p w14:paraId="5E86439E" w14:textId="77777777" w:rsidR="00AD59FF" w:rsidRPr="00CF2780" w:rsidRDefault="00AD59FF" w:rsidP="00AD59FF">
      <w:pPr>
        <w:spacing w:after="0" w:line="360" w:lineRule="auto"/>
        <w:ind w:firstLine="709"/>
        <w:jc w:val="both"/>
        <w:rPr>
          <w:rFonts w:ascii="Arial" w:eastAsia="Times New Roman" w:hAnsi="Arial" w:cs="Arial"/>
          <w:sz w:val="28"/>
          <w:szCs w:val="24"/>
          <w:lang w:val="es-ES_tradnl" w:eastAsia="es-ES"/>
        </w:rPr>
      </w:pPr>
    </w:p>
    <w:p w14:paraId="5FDCE893" w14:textId="77777777" w:rsidR="00AD59FF" w:rsidRPr="00CF2780" w:rsidRDefault="00AD59FF" w:rsidP="00AD59FF">
      <w:pPr>
        <w:spacing w:after="0" w:line="360" w:lineRule="auto"/>
        <w:ind w:firstLine="709"/>
        <w:jc w:val="both"/>
        <w:rPr>
          <w:rFonts w:ascii="Arial" w:eastAsia="Times New Roman" w:hAnsi="Arial" w:cs="Arial"/>
          <w:b/>
          <w:sz w:val="28"/>
          <w:szCs w:val="28"/>
          <w:lang w:val="es-ES" w:eastAsia="es-ES"/>
        </w:rPr>
      </w:pPr>
      <w:r w:rsidRPr="00CF2780">
        <w:rPr>
          <w:rFonts w:ascii="Arial" w:eastAsia="Times New Roman" w:hAnsi="Arial" w:cs="Arial"/>
          <w:sz w:val="28"/>
          <w:szCs w:val="24"/>
          <w:lang w:val="es-ES_tradnl" w:eastAsia="es-ES"/>
        </w:rPr>
        <w:t>b) La demanda fue promovida por dos mil trescientos doce ciudadanos</w:t>
      </w:r>
      <w:r w:rsidRPr="00CF2780">
        <w:rPr>
          <w:rFonts w:ascii="Arial" w:eastAsia="Times New Roman" w:hAnsi="Arial" w:cs="Arial"/>
          <w:b/>
          <w:sz w:val="28"/>
          <w:szCs w:val="28"/>
          <w:lang w:val="es-ES" w:eastAsia="es-ES"/>
        </w:rPr>
        <w:t>.</w:t>
      </w:r>
    </w:p>
    <w:p w14:paraId="38D349FC" w14:textId="77777777" w:rsidR="00AD59FF" w:rsidRPr="00CF2780" w:rsidRDefault="00AD59FF" w:rsidP="00AD59FF">
      <w:pPr>
        <w:spacing w:after="0" w:line="360" w:lineRule="auto"/>
        <w:ind w:firstLine="709"/>
        <w:jc w:val="both"/>
        <w:rPr>
          <w:rFonts w:ascii="Arial" w:eastAsia="Times New Roman" w:hAnsi="Arial" w:cs="Arial"/>
          <w:sz w:val="28"/>
          <w:szCs w:val="24"/>
          <w:lang w:val="es-ES_tradnl" w:eastAsia="es-ES"/>
        </w:rPr>
      </w:pPr>
    </w:p>
    <w:p w14:paraId="1CCA28AF" w14:textId="77777777" w:rsidR="00AD59FF" w:rsidRPr="00CF2780" w:rsidRDefault="00AD59FF" w:rsidP="00AD59FF">
      <w:pPr>
        <w:spacing w:after="0" w:line="360" w:lineRule="auto"/>
        <w:ind w:firstLine="709"/>
        <w:jc w:val="both"/>
        <w:rPr>
          <w:rFonts w:ascii="Arial" w:eastAsia="Times New Roman" w:hAnsi="Arial" w:cs="Arial"/>
          <w:sz w:val="28"/>
          <w:szCs w:val="24"/>
          <w:lang w:val="es-ES_tradnl" w:eastAsia="es-ES"/>
        </w:rPr>
      </w:pPr>
      <w:r w:rsidRPr="00CF2780">
        <w:rPr>
          <w:rFonts w:ascii="Arial" w:eastAsia="Times New Roman" w:hAnsi="Arial" w:cs="Arial"/>
          <w:sz w:val="28"/>
          <w:szCs w:val="24"/>
          <w:lang w:val="es-ES_tradnl" w:eastAsia="es-ES"/>
        </w:rPr>
        <w:t>c) Según información del Instituto Nacional de Estadística y Geografía, la población total en Cherán, acorde con el Censo de Población y Vivienda dos mil diez, asciende a dieciocho mil ciento cuarenta y un personas (18,141).</w:t>
      </w:r>
    </w:p>
    <w:p w14:paraId="128776C7" w14:textId="77777777" w:rsidR="00AD59FF" w:rsidRPr="00CF2780" w:rsidRDefault="00AD59FF" w:rsidP="00AD59FF">
      <w:pPr>
        <w:spacing w:after="0" w:line="360" w:lineRule="auto"/>
        <w:ind w:firstLine="709"/>
        <w:jc w:val="both"/>
        <w:rPr>
          <w:rFonts w:ascii="Arial" w:eastAsia="Times New Roman" w:hAnsi="Arial" w:cs="Arial"/>
          <w:sz w:val="28"/>
          <w:szCs w:val="24"/>
          <w:lang w:val="es-ES_tradnl" w:eastAsia="es-ES"/>
        </w:rPr>
      </w:pPr>
    </w:p>
    <w:p w14:paraId="71E4626B" w14:textId="77777777" w:rsidR="00AD59FF" w:rsidRPr="00CF2780" w:rsidRDefault="00AD59FF" w:rsidP="00AD59FF">
      <w:pPr>
        <w:spacing w:after="0" w:line="360" w:lineRule="auto"/>
        <w:ind w:firstLine="709"/>
        <w:jc w:val="both"/>
        <w:rPr>
          <w:rFonts w:ascii="Arial" w:eastAsia="Times New Roman" w:hAnsi="Arial" w:cs="Arial"/>
          <w:sz w:val="28"/>
          <w:szCs w:val="24"/>
          <w:lang w:val="es-ES_tradnl" w:eastAsia="es-ES"/>
        </w:rPr>
      </w:pPr>
      <w:r w:rsidRPr="00CF2780">
        <w:rPr>
          <w:rFonts w:ascii="Arial" w:eastAsia="Times New Roman" w:hAnsi="Arial" w:cs="Arial"/>
          <w:sz w:val="28"/>
          <w:szCs w:val="24"/>
          <w:lang w:val="es-ES_tradnl" w:eastAsia="es-ES"/>
        </w:rPr>
        <w:t>d) En el Padrón de Electores se encuentra registrados trece mil seiscientos ochenta y cinco ciudadanos (13,685), en tanto que en el listado nominal de electores del Registro Federal de Electores del Instituto Federal Electoral, en el Municipio de Cherán se encuentran inscritos trece mil seiscientos ocho ciudadanos (13,608).</w:t>
      </w:r>
    </w:p>
    <w:p w14:paraId="61A09090" w14:textId="77777777" w:rsidR="00AD59FF" w:rsidRPr="00CF2780" w:rsidRDefault="00AD59FF" w:rsidP="00AD59FF">
      <w:pPr>
        <w:spacing w:after="0" w:line="360" w:lineRule="auto"/>
        <w:ind w:firstLine="709"/>
        <w:jc w:val="both"/>
        <w:rPr>
          <w:rFonts w:ascii="Arial" w:eastAsia="Times New Roman" w:hAnsi="Arial" w:cs="Arial"/>
          <w:sz w:val="28"/>
          <w:szCs w:val="24"/>
          <w:lang w:val="es-ES_tradnl" w:eastAsia="es-ES"/>
        </w:rPr>
      </w:pPr>
    </w:p>
    <w:p w14:paraId="67D6E184" w14:textId="77777777" w:rsidR="00AD59FF" w:rsidRPr="00CF2780" w:rsidRDefault="00AD59FF" w:rsidP="00AD59FF">
      <w:pPr>
        <w:spacing w:after="0" w:line="360" w:lineRule="auto"/>
        <w:ind w:firstLine="709"/>
        <w:jc w:val="both"/>
        <w:rPr>
          <w:rFonts w:ascii="Arial" w:eastAsia="Times New Roman" w:hAnsi="Arial" w:cs="Arial"/>
          <w:sz w:val="28"/>
          <w:szCs w:val="24"/>
          <w:lang w:val="es-ES_tradnl" w:eastAsia="es-ES"/>
        </w:rPr>
      </w:pPr>
      <w:r w:rsidRPr="00CF2780">
        <w:rPr>
          <w:rFonts w:ascii="Arial" w:eastAsia="Times New Roman" w:hAnsi="Arial" w:cs="Arial"/>
          <w:sz w:val="28"/>
          <w:szCs w:val="24"/>
          <w:lang w:val="es-ES_tradnl" w:eastAsia="es-ES"/>
        </w:rPr>
        <w:t>e) Cherán constituye una comunidad perteneciente al pueblo de los purhépechas, ya que:</w:t>
      </w:r>
    </w:p>
    <w:p w14:paraId="399672CC" w14:textId="77777777" w:rsidR="00AD59FF" w:rsidRPr="00CF2780" w:rsidRDefault="00AD59FF" w:rsidP="00AD59FF">
      <w:pPr>
        <w:spacing w:after="0" w:line="360" w:lineRule="auto"/>
        <w:ind w:firstLine="709"/>
        <w:jc w:val="both"/>
        <w:rPr>
          <w:rFonts w:ascii="Arial" w:eastAsia="Times New Roman" w:hAnsi="Arial" w:cs="Arial"/>
          <w:sz w:val="28"/>
          <w:szCs w:val="24"/>
          <w:lang w:val="es-ES_tradnl" w:eastAsia="es-ES"/>
        </w:rPr>
      </w:pPr>
    </w:p>
    <w:p w14:paraId="5BBEE0E3" w14:textId="77777777" w:rsidR="00AD59FF" w:rsidRPr="00CF2780" w:rsidRDefault="00AD59FF" w:rsidP="00AD59FF">
      <w:pPr>
        <w:spacing w:after="0" w:line="360" w:lineRule="auto"/>
        <w:ind w:firstLine="709"/>
        <w:jc w:val="both"/>
        <w:rPr>
          <w:rFonts w:ascii="Arial" w:eastAsia="Times New Roman" w:hAnsi="Arial" w:cs="Arial"/>
          <w:sz w:val="28"/>
          <w:szCs w:val="24"/>
          <w:lang w:val="es-ES_tradnl" w:eastAsia="es-ES"/>
        </w:rPr>
      </w:pPr>
    </w:p>
    <w:p w14:paraId="44C64A11" w14:textId="77777777" w:rsidR="00AD59FF" w:rsidRPr="00CF2780" w:rsidRDefault="00AD59FF" w:rsidP="001C6A89">
      <w:pPr>
        <w:numPr>
          <w:ilvl w:val="0"/>
          <w:numId w:val="15"/>
        </w:numPr>
        <w:spacing w:after="0" w:line="360" w:lineRule="auto"/>
        <w:jc w:val="both"/>
        <w:rPr>
          <w:rFonts w:ascii="Arial" w:eastAsia="Times New Roman" w:hAnsi="Arial" w:cs="Arial"/>
          <w:sz w:val="28"/>
          <w:szCs w:val="24"/>
          <w:lang w:val="es-ES_tradnl" w:eastAsia="es-ES"/>
        </w:rPr>
      </w:pPr>
      <w:r w:rsidRPr="00CF2780">
        <w:rPr>
          <w:rFonts w:ascii="Arial" w:eastAsia="Times New Roman" w:hAnsi="Arial" w:cs="Arial"/>
          <w:sz w:val="28"/>
          <w:szCs w:val="24"/>
          <w:lang w:val="es-ES_tradnl" w:eastAsia="es-ES"/>
        </w:rPr>
        <w:t>Tal comunidad tiene una existencia histórica comprobada que se remonta hasta la época prehispánica, según consta en la obra “</w:t>
      </w:r>
      <w:r w:rsidRPr="00CF2780">
        <w:rPr>
          <w:rFonts w:ascii="Arial" w:eastAsia="Times New Roman" w:hAnsi="Arial" w:cs="Arial"/>
          <w:i/>
          <w:sz w:val="28"/>
          <w:szCs w:val="24"/>
          <w:lang w:val="es-ES_tradnl" w:eastAsia="es-ES"/>
        </w:rPr>
        <w:t>Relación de Cerimonias y rictos y población y gobernación de los indios de la Provincia de Mechuacan</w:t>
      </w:r>
      <w:r w:rsidRPr="00CF2780">
        <w:rPr>
          <w:rFonts w:ascii="Arial" w:eastAsia="Times New Roman" w:hAnsi="Arial" w:cs="Arial"/>
          <w:sz w:val="28"/>
          <w:szCs w:val="24"/>
          <w:lang w:val="es-ES_tradnl" w:eastAsia="es-ES"/>
        </w:rPr>
        <w:t>”</w:t>
      </w:r>
      <w:r w:rsidRPr="00CF2780">
        <w:rPr>
          <w:rFonts w:ascii="Arial" w:eastAsia="Times New Roman" w:hAnsi="Arial" w:cs="Arial"/>
          <w:i/>
          <w:sz w:val="28"/>
          <w:szCs w:val="24"/>
          <w:lang w:val="es-ES_tradnl" w:eastAsia="es-ES"/>
        </w:rPr>
        <w:t xml:space="preserve"> </w:t>
      </w:r>
      <w:r w:rsidRPr="00CF2780">
        <w:rPr>
          <w:rFonts w:ascii="Arial" w:eastAsia="Times New Roman" w:hAnsi="Arial" w:cs="Arial"/>
          <w:sz w:val="28"/>
          <w:szCs w:val="24"/>
          <w:lang w:val="es-ES_tradnl" w:eastAsia="es-ES"/>
        </w:rPr>
        <w:t xml:space="preserve">escrita a fines de 1541, mejor conocida como </w:t>
      </w:r>
      <w:r w:rsidRPr="00CF2780">
        <w:rPr>
          <w:rFonts w:ascii="Arial" w:eastAsia="Times New Roman" w:hAnsi="Arial" w:cs="Arial"/>
          <w:i/>
          <w:sz w:val="28"/>
          <w:szCs w:val="24"/>
          <w:lang w:val="es-ES_tradnl" w:eastAsia="es-ES"/>
        </w:rPr>
        <w:t>Relación de Michoacán</w:t>
      </w:r>
      <w:r w:rsidRPr="00CF2780">
        <w:rPr>
          <w:rFonts w:ascii="Arial" w:eastAsia="Times New Roman" w:hAnsi="Arial" w:cs="Arial"/>
          <w:sz w:val="28"/>
          <w:szCs w:val="24"/>
          <w:lang w:val="es-ES_tradnl" w:eastAsia="es-ES"/>
        </w:rPr>
        <w:t xml:space="preserve">. En la edición de Leoncio Cabrero, editado por Historia 16 e impresa en España en 1989, Cherán es mencionada en las páginas 116, 173 y176  como una de las </w:t>
      </w:r>
      <w:r w:rsidRPr="00CF2780">
        <w:rPr>
          <w:rFonts w:ascii="Arial" w:eastAsia="Times New Roman" w:hAnsi="Arial" w:cs="Arial"/>
          <w:sz w:val="28"/>
          <w:szCs w:val="24"/>
          <w:lang w:val="es-ES_tradnl" w:eastAsia="es-ES"/>
        </w:rPr>
        <w:lastRenderedPageBreak/>
        <w:t>poblaciones conquistada por Hiripan, Tangaxoan e Hiquingaje y que al ser repartido el reino entre isleños y chichimecas, éstos se quedan con los territorios "</w:t>
      </w:r>
      <w:r w:rsidRPr="00CF2780">
        <w:rPr>
          <w:rFonts w:ascii="Arial" w:eastAsia="Times New Roman" w:hAnsi="Arial" w:cs="Arial"/>
          <w:i/>
          <w:sz w:val="28"/>
          <w:szCs w:val="24"/>
          <w:lang w:val="es-ES_tradnl" w:eastAsia="es-ES"/>
        </w:rPr>
        <w:t>a la mano derecha</w:t>
      </w:r>
      <w:r w:rsidRPr="00CF2780">
        <w:rPr>
          <w:rFonts w:ascii="Arial" w:eastAsia="Times New Roman" w:hAnsi="Arial" w:cs="Arial"/>
          <w:sz w:val="28"/>
          <w:szCs w:val="24"/>
          <w:lang w:val="es-ES_tradnl" w:eastAsia="es-ES"/>
        </w:rPr>
        <w:t>", que incluía a Cherán.</w:t>
      </w:r>
    </w:p>
    <w:p w14:paraId="061453B5" w14:textId="77777777" w:rsidR="00AD59FF" w:rsidRPr="00CF2780" w:rsidRDefault="00AD59FF" w:rsidP="00AD59FF">
      <w:pPr>
        <w:spacing w:after="0" w:line="360" w:lineRule="auto"/>
        <w:ind w:firstLine="709"/>
        <w:jc w:val="both"/>
        <w:rPr>
          <w:rFonts w:ascii="Arial" w:eastAsia="Times New Roman" w:hAnsi="Arial" w:cs="Arial"/>
          <w:sz w:val="28"/>
          <w:szCs w:val="24"/>
          <w:lang w:val="es-ES_tradnl" w:eastAsia="es-ES"/>
        </w:rPr>
      </w:pPr>
    </w:p>
    <w:p w14:paraId="54DBFEF3" w14:textId="77777777" w:rsidR="00AD59FF" w:rsidRPr="00CF2780" w:rsidRDefault="00AD59FF" w:rsidP="001C6A89">
      <w:pPr>
        <w:numPr>
          <w:ilvl w:val="0"/>
          <w:numId w:val="15"/>
        </w:numPr>
        <w:spacing w:after="0" w:line="360" w:lineRule="auto"/>
        <w:jc w:val="both"/>
        <w:rPr>
          <w:rFonts w:ascii="Arial" w:eastAsia="Times New Roman" w:hAnsi="Arial" w:cs="Arial"/>
          <w:sz w:val="28"/>
          <w:szCs w:val="24"/>
          <w:lang w:val="es-ES_tradnl" w:eastAsia="es-ES"/>
        </w:rPr>
      </w:pPr>
      <w:r w:rsidRPr="00CF2780">
        <w:rPr>
          <w:rFonts w:ascii="Arial" w:eastAsia="Times New Roman" w:hAnsi="Arial" w:cs="Arial"/>
          <w:sz w:val="28"/>
          <w:szCs w:val="24"/>
          <w:lang w:val="es-ES_tradnl" w:eastAsia="es-ES"/>
        </w:rPr>
        <w:t>También existe constancia de la existencia de la comunidad indígena de Cherán durante la época colonial, según puede advertirse en el resultando segundo de la Resolución sobre reconocimiento y titulación de bienes comunales, del poblado denominado San Francisco Cherán (hoy Cherán), publicado en el Diario Oficial de la Federación de 23 de agosto de 1984, en el cual se manifiesta:</w:t>
      </w:r>
    </w:p>
    <w:p w14:paraId="16D092F6" w14:textId="77777777" w:rsidR="00AD59FF" w:rsidRPr="00CF2780" w:rsidRDefault="00AD59FF" w:rsidP="00AD59FF">
      <w:pPr>
        <w:spacing w:after="0" w:line="360" w:lineRule="auto"/>
        <w:ind w:firstLine="709"/>
        <w:jc w:val="both"/>
        <w:rPr>
          <w:rFonts w:ascii="Arial" w:eastAsia="Times New Roman" w:hAnsi="Arial" w:cs="Arial"/>
          <w:sz w:val="28"/>
          <w:szCs w:val="24"/>
          <w:lang w:val="es-ES_tradnl" w:eastAsia="es-ES"/>
        </w:rPr>
      </w:pPr>
    </w:p>
    <w:p w14:paraId="5AA2A34F" w14:textId="77777777" w:rsidR="00AD59FF" w:rsidRPr="00CF2780" w:rsidRDefault="00AD59FF" w:rsidP="00AD59FF">
      <w:pPr>
        <w:spacing w:after="0" w:line="240" w:lineRule="auto"/>
        <w:ind w:left="1069"/>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“Revisados los antecedentes y analizadas las constancias que obran en el expediente respectivo, se llegó al conocimiento de los siguiente: que obra en el expediente en estudio, dictamen paleográfico efectuado por el entonces Departamento Jurídico de fecha lo. de febrero de 1952, en el que se determina que la comunidad indígena de "SAN FRANCISCO CHERAN", Municipio de Cherán, Estado de Michoacán, tiene títulos virreinales auténticos toda vez que de la documentación presentada se establece la indiscutible posesión que sobre los terrenos ostentaban los naturales del citado pueblo indígena, en los años de 1552,1565 y 75, puesto que autoridades de esa época se avocaron a "...ejecutar la vista de ojos prevenida y dar cumplimiento a lo mandado por su alteza en la real provisión presentada para su cumplimiento por los naturales del pueblo de "SAN FRANCISCO CHERAN". . . " y zanjar dificultades en los linderos con los pueblos circunvecinos, consignándose diversos encaminamientos, descripción de linderos y presentación de testimonios…”</w:t>
      </w:r>
    </w:p>
    <w:p w14:paraId="2C5FF387" w14:textId="77777777" w:rsidR="00AD59FF" w:rsidRPr="00CF2780" w:rsidRDefault="00AD59FF" w:rsidP="00AD59FF">
      <w:pPr>
        <w:spacing w:after="0" w:line="360" w:lineRule="auto"/>
        <w:ind w:firstLine="709"/>
        <w:jc w:val="both"/>
        <w:rPr>
          <w:rFonts w:ascii="Arial" w:eastAsia="Times New Roman" w:hAnsi="Arial" w:cs="Arial"/>
          <w:sz w:val="28"/>
          <w:szCs w:val="24"/>
          <w:lang w:val="es-ES_tradnl" w:eastAsia="es-ES"/>
        </w:rPr>
      </w:pPr>
    </w:p>
    <w:p w14:paraId="780E561C" w14:textId="77777777" w:rsidR="00AD59FF" w:rsidRPr="00CF2780" w:rsidRDefault="00AD59FF" w:rsidP="001C6A89">
      <w:pPr>
        <w:numPr>
          <w:ilvl w:val="0"/>
          <w:numId w:val="15"/>
        </w:numPr>
        <w:spacing w:after="0" w:line="360" w:lineRule="auto"/>
        <w:jc w:val="both"/>
        <w:rPr>
          <w:rFonts w:ascii="Arial" w:eastAsia="Times New Roman" w:hAnsi="Arial" w:cs="Arial"/>
          <w:sz w:val="28"/>
          <w:szCs w:val="24"/>
          <w:lang w:val="es-ES" w:eastAsia="es-ES"/>
        </w:rPr>
      </w:pPr>
      <w:r w:rsidRPr="00CF2780">
        <w:rPr>
          <w:rFonts w:ascii="Arial" w:eastAsia="Times New Roman" w:hAnsi="Arial" w:cs="Arial"/>
          <w:sz w:val="28"/>
          <w:szCs w:val="24"/>
          <w:lang w:val="es-ES_tradnl" w:eastAsia="es-ES"/>
        </w:rPr>
        <w:t xml:space="preserve">Esta misma resolución permite constatar la existencia de la comunidad indígena de Cherán en la época moderna, en la cual se determinó declarar procedente el reconocimiento y titulación de la superficie de tierras comunales en favor de los </w:t>
      </w:r>
      <w:r w:rsidRPr="00CF2780">
        <w:rPr>
          <w:rFonts w:ascii="Arial" w:eastAsia="Times New Roman" w:hAnsi="Arial" w:cs="Arial"/>
          <w:sz w:val="28"/>
          <w:szCs w:val="24"/>
          <w:lang w:val="es-ES_tradnl" w:eastAsia="es-ES"/>
        </w:rPr>
        <w:lastRenderedPageBreak/>
        <w:t>integrantes de la comunidad denominada "San Francisco Cherán”  (hoy Cherán),</w:t>
      </w:r>
      <w:r w:rsidRPr="00CF2780">
        <w:rPr>
          <w:rFonts w:ascii="Arial" w:eastAsia="Times New Roman" w:hAnsi="Arial" w:cs="Arial"/>
          <w:sz w:val="28"/>
          <w:szCs w:val="24"/>
          <w:lang w:val="es-ES" w:eastAsia="es-ES"/>
        </w:rPr>
        <w:t xml:space="preserve"> por considerar que: “…</w:t>
      </w:r>
      <w:r w:rsidRPr="00CF2780">
        <w:rPr>
          <w:rFonts w:ascii="Arial" w:eastAsia="Times New Roman" w:hAnsi="Arial" w:cs="Arial"/>
          <w:i/>
          <w:sz w:val="28"/>
          <w:szCs w:val="24"/>
          <w:lang w:val="es-ES" w:eastAsia="es-ES"/>
        </w:rPr>
        <w:t>tiene en posesión, de acuerdo con sus títulos virreinales y en forma pacífica y libre de conflictos, una superficie de 20,826-95-57 Has., de agostadero y monte alto con pequeñas porciones laborables</w:t>
      </w:r>
      <w:r w:rsidRPr="00CF2780">
        <w:rPr>
          <w:rFonts w:ascii="Arial" w:eastAsia="Times New Roman" w:hAnsi="Arial" w:cs="Arial"/>
          <w:sz w:val="28"/>
          <w:szCs w:val="24"/>
          <w:lang w:val="es-ES" w:eastAsia="es-ES"/>
        </w:rPr>
        <w:t>”.</w:t>
      </w:r>
    </w:p>
    <w:p w14:paraId="590A68BB" w14:textId="77777777" w:rsidR="00AD59FF" w:rsidRPr="00CF2780" w:rsidRDefault="00AD59FF" w:rsidP="00AD59FF">
      <w:pPr>
        <w:spacing w:after="0" w:line="360" w:lineRule="auto"/>
        <w:ind w:left="1069"/>
        <w:jc w:val="both"/>
        <w:rPr>
          <w:rFonts w:ascii="Arial" w:eastAsia="Times New Roman" w:hAnsi="Arial" w:cs="Arial"/>
          <w:sz w:val="28"/>
          <w:szCs w:val="24"/>
          <w:lang w:val="es-ES" w:eastAsia="es-ES"/>
        </w:rPr>
      </w:pPr>
    </w:p>
    <w:p w14:paraId="7F60B1CF" w14:textId="77777777" w:rsidR="00AD59FF" w:rsidRPr="00CF2780" w:rsidRDefault="00AD59FF" w:rsidP="001C6A89">
      <w:pPr>
        <w:numPr>
          <w:ilvl w:val="0"/>
          <w:numId w:val="15"/>
        </w:numPr>
        <w:spacing w:after="0" w:line="360" w:lineRule="auto"/>
        <w:jc w:val="both"/>
        <w:rPr>
          <w:rFonts w:ascii="Arial" w:eastAsia="Times New Roman" w:hAnsi="Arial" w:cs="Arial"/>
          <w:sz w:val="28"/>
          <w:szCs w:val="24"/>
          <w:lang w:val="es-ES" w:eastAsia="es-ES"/>
        </w:rPr>
      </w:pPr>
      <w:r w:rsidRPr="00CF2780">
        <w:rPr>
          <w:rFonts w:ascii="Arial" w:eastAsia="Times New Roman" w:hAnsi="Arial" w:cs="Arial"/>
          <w:sz w:val="28"/>
          <w:szCs w:val="24"/>
          <w:lang w:val="es-ES_tradnl" w:eastAsia="es-ES"/>
        </w:rPr>
        <w:t>Además, tal hecho no se encuentra controvertido en forma alguna por las partes en el presente juicio.</w:t>
      </w:r>
    </w:p>
    <w:p w14:paraId="3B925746"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782AE2AE"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Acorde con lo expuesto se tiene que la comunidad indígena de Cherán existe desde la época prehispánica  y que ha permanecido a lo largo de las diversas etapas de la historia de México.</w:t>
      </w:r>
    </w:p>
    <w:p w14:paraId="20472DA4"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65AEACF1"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792D7483"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Dadas estas circunstancia y en aplicación del principio de autoadscripción ya referido se tiene que tanto a sus integrantes como a la propia comunidad le son aplicables las normas jurídicas establecidas en el artículo 2o de la Constitución Política de los Estados Unidos Mexicanos y los tratados internaciones sobre derechos humanos de los pueblos indígenas, entre los cuales, se encuentra el derecho a la libre determinación en su vertiente de autogobierno.</w:t>
      </w:r>
    </w:p>
    <w:p w14:paraId="5FDBB30F"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0A712ED4"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 xml:space="preserve">Al respecto, no existe duda de que esta manifestación concreta de autonomía constituye un derecho humano, lo que  significa que resulta indisponible a las autoridades constituidas e invocable ante los tribunales de justicia para su respeto efectivo, como se desprende del </w:t>
      </w:r>
      <w:r w:rsidRPr="00CF2780">
        <w:rPr>
          <w:rFonts w:ascii="Arial" w:eastAsia="Times New Roman" w:hAnsi="Arial" w:cs="Arial"/>
          <w:sz w:val="28"/>
          <w:szCs w:val="24"/>
          <w:lang w:val="es-ES" w:eastAsia="es-ES"/>
        </w:rPr>
        <w:lastRenderedPageBreak/>
        <w:t>mismo artículo 2, apartado A, fracción VIII de la Constitución y del diverso numeral 12 del convenio.</w:t>
      </w:r>
    </w:p>
    <w:p w14:paraId="331E2F77"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280FC7C4"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Asimismo, su configuración como derecho fundamental implica que todas las autoridades (jurisdiccionales o no) se encuentran obligadas a: 1) promover, respetar, proteger y garantizar ese derecho; 2) interpretar las normas que conforman el marco jurídico que lo rige con un criterio extensivo y, 3) aplicarlas acorde con los principios de universalidad, indivisibilidad, interdependencia y progresividad, en término del artículo 1o constitucional.</w:t>
      </w:r>
    </w:p>
    <w:p w14:paraId="006F7463"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4ED0A6B2"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Al respecto, debe considerarse que la reforma constitucional en materia de derechos humanos publicada en el Diario Oficial de la Federación de diez de junio de dos mil once establece una serie de normas jurídicas que todas las autoridades (jurisdiccionales o no) tienen el deber de observar en la interpretación y aplicación de los derechos humanos reconocidos en la Constitución y en los tratados internacionales correspondientes.</w:t>
      </w:r>
    </w:p>
    <w:p w14:paraId="3597E55D"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1F46F8E7"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Dicha reforma entró en vigor al día siguiente de su publicación, acorde con el artículo primero transitorio del Decreto correspondiente, por lo que es claro que al resolver en torno a la petición formulada, este tribunal tiene el deber de atender a lo dispuesto en el artículo 1º constitucional en relación con lo dispuesto en los artículos 2o de la Carta Magna; 1, apartado 1, del Pacto Internacional de Derechos Civiles y Políticos; 1, apartado 1, del Pacto Internacional de Derechos Económicos, Sociales y Culturales; </w:t>
      </w:r>
      <w:r w:rsidRPr="00CF2780">
        <w:rPr>
          <w:rFonts w:ascii="Arial" w:eastAsia="Times New Roman" w:hAnsi="Arial" w:cs="Arial"/>
          <w:sz w:val="28"/>
          <w:szCs w:val="24"/>
          <w:lang w:val="es-ES" w:eastAsia="es-ES"/>
        </w:rPr>
        <w:t xml:space="preserve">5, apartado b), 6 y 8 del </w:t>
      </w:r>
      <w:r w:rsidRPr="00CF2780">
        <w:rPr>
          <w:rFonts w:ascii="Arial" w:eastAsia="Times New Roman" w:hAnsi="Arial" w:cs="Arial"/>
          <w:sz w:val="28"/>
          <w:szCs w:val="28"/>
          <w:lang w:val="es-ES" w:eastAsia="es-ES"/>
        </w:rPr>
        <w:t xml:space="preserve">Convenio </w:t>
      </w:r>
      <w:r w:rsidRPr="00CF2780">
        <w:rPr>
          <w:rFonts w:ascii="Arial" w:eastAsia="Times New Roman" w:hAnsi="Arial" w:cs="Arial"/>
          <w:sz w:val="28"/>
          <w:szCs w:val="28"/>
          <w:lang w:val="es-ES" w:eastAsia="es-ES"/>
        </w:rPr>
        <w:lastRenderedPageBreak/>
        <w:t>número 169 de la Organización Internacional del Trabajo sobre Pueblos Indígenas y Tribales en Países Independientes Convenio, así como 4, 5 y 20 de la Declaración de las Naciones Unidas sobre los Derechos de los Pueblos Indígenas.</w:t>
      </w:r>
    </w:p>
    <w:p w14:paraId="00C780C7"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00A3F105"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En esas condiciones, es necesario reconocer que los promoventes tienen derecho a solicitar que se reconozca la posibilidad de autodeterminarse y, en consecuencia a establecer  en cualquier momento la forma de organización que más se acomode a sus necesidades y prioridades, pues ello constituye la base esencial del derecho a la libre determinación.</w:t>
      </w:r>
    </w:p>
    <w:p w14:paraId="2C61EC10"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43A9FD56"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Al respecto, dado que la Constitución obliga a realizar una interpretación </w:t>
      </w:r>
      <w:r w:rsidRPr="00CF2780">
        <w:rPr>
          <w:rFonts w:ascii="Arial" w:eastAsia="Times New Roman" w:hAnsi="Arial" w:cs="Arial"/>
          <w:i/>
          <w:sz w:val="28"/>
          <w:szCs w:val="28"/>
          <w:lang w:val="es-ES" w:eastAsia="es-ES"/>
        </w:rPr>
        <w:t>pro personae</w:t>
      </w:r>
      <w:r w:rsidRPr="00CF2780">
        <w:rPr>
          <w:rFonts w:ascii="Arial" w:eastAsia="Times New Roman" w:hAnsi="Arial" w:cs="Arial"/>
          <w:sz w:val="28"/>
          <w:szCs w:val="28"/>
          <w:lang w:val="es-ES" w:eastAsia="es-ES"/>
        </w:rPr>
        <w:t xml:space="preserve"> de los derechos humanos, lo que trae como consecuencia, entre otras cuestiones, interpretar con criterio extensivo tales derechos para potenciar su ejercicio y buscando la protección más amplia se tiene que el derecho al autogobierno engloba todas las manifestaciones concretas y medidas específicas a las que se ha hecho referencia, las cuales implican, entre otras cuestiones, el derecho a elegir a sus autoridades, su forma de organización, así como el derecho a la consulta de todas aquellas medidas de las autoridades estatales que les afecten.</w:t>
      </w:r>
    </w:p>
    <w:p w14:paraId="6B689D6D"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276C4434"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El derecho de autogobierno implica también el derecho de las comunidades indígenas a determinar en cualquier momento sí en las elecciones de sus autoridades, las mismas deban realizarse por el sistema legal ordinario, o bien, mediante sus usos y costumbres, pues </w:t>
      </w:r>
      <w:r w:rsidRPr="00CF2780">
        <w:rPr>
          <w:rFonts w:ascii="Arial" w:eastAsia="Times New Roman" w:hAnsi="Arial" w:cs="Arial"/>
          <w:sz w:val="28"/>
          <w:szCs w:val="28"/>
          <w:lang w:val="es-ES" w:eastAsia="es-ES"/>
        </w:rPr>
        <w:lastRenderedPageBreak/>
        <w:t>debe considerarse que la manifestación esencial de ese derecho lo constituye precisamente la posibilidad de determinarse la forma de organización para atender sus asuntos internos y locales.</w:t>
      </w:r>
    </w:p>
    <w:p w14:paraId="7F813E0D"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1C367DA6"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Ello es acorde con los principios que en la aplicación de los derechos fundamentales deben observar las autoridades en términos del texto constitucional.</w:t>
      </w:r>
    </w:p>
    <w:p w14:paraId="717F05C5"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310D46CF"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Esto es así, porque el principio de universalidad implica que los derechos indígenas son exigibles en cualquier contexto político, jurídico, social, y cultural, así como en cualquier momento y lugar, de tal forma que su reconocimiento o cumplimiento por parte de las autoridades no queda a su arbitrio.</w:t>
      </w:r>
    </w:p>
    <w:p w14:paraId="656250EF"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07C7C395"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También se observan los principios de interdependencia e indivisibilidad, porque, como se ha visto el derecho al autogobierno constituye una vertiente del derecho a la libre determinación de los pueblos indígenas, el cual articula y engloba todas las manifestaciones concretas de autonomía de dichos pueblos, el cual en cuanto forma parte de dicho entramado viene a constituir una parte esencial para el ejercicio de la autodeterminación de tal comunidad y un elemento fundamental para el respeto y defensa de los restantes derechos de tal comunidad.</w:t>
      </w:r>
    </w:p>
    <w:p w14:paraId="15A6EE0B"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4006D757"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Pero sobre todo con ello se atiende a un principio de progresividad, en virtud de que a lo largo de los dos últimas décadas se han realizado avances importantes en el reconocimiento de los </w:t>
      </w:r>
      <w:r w:rsidRPr="00CF2780">
        <w:rPr>
          <w:rFonts w:ascii="Arial" w:eastAsia="Times New Roman" w:hAnsi="Arial" w:cs="Arial"/>
          <w:sz w:val="28"/>
          <w:szCs w:val="28"/>
          <w:lang w:val="es-ES" w:eastAsia="es-ES"/>
        </w:rPr>
        <w:lastRenderedPageBreak/>
        <w:t>derechos de los pueblos indígenas, tanto a nivel nacional como internacional y que en nuestro país se artículo en el derecho a la libre determinación de los pueblos indígenas y como una de las concretas manifestaciones de autonomía el derecho al autogobierno.</w:t>
      </w:r>
    </w:p>
    <w:p w14:paraId="617FF90C"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05823667"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En este caso, la progresividad consiste precisamente en reconocer que una comunidad indígena tiene derecho a decidir la forma de elección de sus autoridades, lo que constituye una aplicación del principio del pluralismo en los mecanismos para la determinación de la representación política establecido por nuestra Constitución en la reforma de dos mil uno en materia étnica.</w:t>
      </w:r>
    </w:p>
    <w:p w14:paraId="6F6DB640"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5EF5B53A"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Acorde con todo lo anterior, y dado que la Constitución determina que todas las autoridades deben respetar, proteger, garantizar y promover los derechos humanos, incluyendo los derechos indígenas, se tiene que este tribunal debe eliminar los obstáculos que impiden el ejercicio de ese derecho, así como determinar los mecanismos o propuestas de solución a fin de permitirles el acceso a ese bien.</w:t>
      </w:r>
    </w:p>
    <w:p w14:paraId="13365534"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266F6B48"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Ahora bien, el aspecto referido a la remoción de obstáculos será analizado a continuación  y tiene que ver con la inexistencia de ley secundaria en el Estado de Michoacán para atender la petición de la comunidad indígena de Cherán, en tanto que el segundo aspecto (establecimiento de mecanismos de solución) se encuentra íntimamente relacionado con el cumplimiento de la presente ejecutoria y será analizado en la parte relativa a los efectos de la sentencia.</w:t>
      </w:r>
    </w:p>
    <w:p w14:paraId="1B737643"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378C984B"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lastRenderedPageBreak/>
        <w:t>Importa destacar que a juicio de esta Sala, ninguna entidad estatal sea ella del nivel nacional o del nivel local puede permanecer indiferente en relación con las obligaciones que se derivan del artículo 1º de nuestra Carta Magna, y de los demás artículos constitucionales que desarrollan la exigencia constitucional de reconocimiento y debida protección de la diversidad étnica y cultural de los pueblos indígenas y que vincula a todas las autoridades públicas sin excepción.</w:t>
      </w:r>
    </w:p>
    <w:p w14:paraId="27BB58AE"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5945C01C"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Lo anterior, independientemente de que, en cumplimiento de la atribución específica prevista en el artículo 2, apartado A, fracción III, de la Ley Fundamental, en las constituciones y leyes de las entidades federativas se encontraren o no contemplada, detallada o desarrollada esta exigencia, por tratarse de principios establecidos en la Constitución federal y en instrumentos internacionales suscritos y ratificados por los órganos constitucionalmente previstos, por lo que, en términos del artículo 133 de la Constitución Política de los Estados Unidos Mexicanos, constituyen la ley Suprema de la Unión, y, en esa medida, cuentan con un carácter imperativo, de orden público, de obediencia inexcusable y de imposible renuncia.</w:t>
      </w:r>
    </w:p>
    <w:p w14:paraId="63E7D526"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4FE910FC"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8"/>
          <w:lang w:val="es-ES" w:eastAsia="es-ES"/>
        </w:rPr>
        <w:t xml:space="preserve">Por tanto, </w:t>
      </w:r>
      <w:r w:rsidRPr="00CF2780">
        <w:rPr>
          <w:rFonts w:ascii="Arial" w:eastAsia="Times New Roman" w:hAnsi="Arial" w:cs="Arial"/>
          <w:sz w:val="28"/>
          <w:szCs w:val="24"/>
          <w:lang w:val="es-ES" w:eastAsia="es-ES"/>
        </w:rPr>
        <w:t xml:space="preserve">el reconocimiento y protección del derecho de autogobierno de los pueblos indígenas no puede ser soslayado so pretexto de que tenga que ser contemplado, detallado o desarrollado por las leyes secundarias, porque lo importante es que tal derecho se encuentra contenido en la Carta Magna y en los referidos instrumentos internacionales, cuya imperatividad y posición normativa suprema resultan indiscutibles, máxime que en la aplicación de este derecho las </w:t>
      </w:r>
      <w:r w:rsidRPr="00CF2780">
        <w:rPr>
          <w:rFonts w:ascii="Arial" w:eastAsia="Times New Roman" w:hAnsi="Arial" w:cs="Arial"/>
          <w:sz w:val="28"/>
          <w:szCs w:val="24"/>
          <w:lang w:val="es-ES" w:eastAsia="es-ES"/>
        </w:rPr>
        <w:lastRenderedPageBreak/>
        <w:t>autoridades deben acudir a los principios rectores de interpretación y aplicación que en materia de derechos humanos establece el bloque de constitucionalidad referido.</w:t>
      </w:r>
    </w:p>
    <w:p w14:paraId="3B3D68E4"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3DEDC866"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4"/>
          <w:lang w:val="es-ES" w:eastAsia="es-ES"/>
        </w:rPr>
        <w:t xml:space="preserve">En ese sentido, las autoridades tienen la alta responsabilidad de interpretar los derechos humanos </w:t>
      </w:r>
      <w:r w:rsidRPr="00CF2780">
        <w:rPr>
          <w:rFonts w:ascii="Arial" w:eastAsia="Times New Roman" w:hAnsi="Arial" w:cs="Arial"/>
          <w:sz w:val="28"/>
          <w:szCs w:val="28"/>
          <w:lang w:val="es-ES" w:eastAsia="es-ES"/>
        </w:rPr>
        <w:t>de conformidad con bloque de constitucionalidad en su conjunto</w:t>
      </w:r>
      <w:r w:rsidRPr="00CF2780">
        <w:rPr>
          <w:rFonts w:ascii="Arial" w:eastAsia="Times New Roman" w:hAnsi="Arial" w:cs="Arial"/>
          <w:sz w:val="28"/>
          <w:szCs w:val="24"/>
          <w:lang w:val="es-ES" w:eastAsia="es-ES"/>
        </w:rPr>
        <w:t xml:space="preserve"> y ejecutar las obligaciones de respeto, protección, garantía y promoción que le impone </w:t>
      </w:r>
      <w:r w:rsidRPr="00CF2780">
        <w:rPr>
          <w:rFonts w:ascii="Arial" w:eastAsia="Times New Roman" w:hAnsi="Arial" w:cs="Arial"/>
          <w:sz w:val="28"/>
          <w:szCs w:val="28"/>
          <w:lang w:val="es-ES" w:eastAsia="es-ES"/>
        </w:rPr>
        <w:t>de buena fe, acorde con lo establecido en el multicitado convenio.</w:t>
      </w:r>
    </w:p>
    <w:p w14:paraId="662DB52A"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028BEA5F"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De ahí que ni las entidades del orden nacional ni las del orden local puedan permanecer indiferentes ante la conculcación del derecho al autogobierno de los indígenas.</w:t>
      </w:r>
    </w:p>
    <w:p w14:paraId="4CAAF762"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55E13F46"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Considerar lo contrario implicaría desconocer y hacer nugatorio tanto el derecho a la libre determinación en su vertiente de autodisposición en materia política y sujetar el reconocimiento, ejercicio y defensa de ese derecho a los caprichos y vaivenes tanto del legislador secundario como de la autoridad administrativa encargada de velar por su aplicación, pues en materia de derechos humanos debe evitarse a toda costa “…la ilusión, tan frecuenta de que la reforma de la ley trae consigo de inmediato la reforma de la vida”</w:t>
      </w:r>
      <w:r w:rsidRPr="00CF2780">
        <w:rPr>
          <w:rFonts w:ascii="Arial" w:eastAsia="Times New Roman" w:hAnsi="Arial" w:cs="Arial"/>
          <w:sz w:val="28"/>
          <w:szCs w:val="28"/>
          <w:vertAlign w:val="superscript"/>
          <w:lang w:val="es-ES" w:eastAsia="es-ES"/>
        </w:rPr>
        <w:footnoteReference w:id="16"/>
      </w:r>
      <w:r w:rsidRPr="00CF2780">
        <w:rPr>
          <w:rFonts w:ascii="Arial" w:eastAsia="Times New Roman" w:hAnsi="Arial" w:cs="Arial"/>
          <w:sz w:val="28"/>
          <w:szCs w:val="28"/>
          <w:lang w:val="es-ES" w:eastAsia="es-ES"/>
        </w:rPr>
        <w:t>.</w:t>
      </w:r>
    </w:p>
    <w:p w14:paraId="3D4534A6"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2301A471"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lastRenderedPageBreak/>
        <w:t xml:space="preserve">Lo anterior resulta relevante, porque resulta insuficiente que la Constitución y los instrumentos internacionales en materia de derechos humanos de los que México es parte establezcan un conjunto de derechos por medio de los cuales se afirme el reconocimiento y protección del derecho a la diversidad étnica y cultural de los pueblos indígenas. Es preciso que las autoridades en el ejercicio del poder público los respeten y, ante cualquier conculcación se garanticen también las vías para hacer factible este derecho en la práctica. De lo contrario, el derecho constitucional fundamental al reconocimiento y debida protección de la diversidad étnica y cultural de los pueblos indígenas correría el riesgo de verse convertido en letra muerta. </w:t>
      </w:r>
    </w:p>
    <w:p w14:paraId="110E3841"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6990C7BD"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El reconocimiento de que la comunidad indígena de Cherán tiene derecho al autogobierno como una manifestación concreta de su derecho a autodeterminarse constituye un elemento esencial para la protección y desarrollo de dichos pueblos a lo cual se encuentra obligado un Estado que como el Mexicano acoge el principio del multiculturalismo como base para la convivencia y el orden social.</w:t>
      </w:r>
    </w:p>
    <w:p w14:paraId="724B8B5A"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572DF8E6"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Aquí es preciso recordar que la situación de abandono y de pobreza en que se encuentran por lo general los pueblos indígenas – durante siglos objeto de la imposición o de la indiferencia estatal – y la falta de realización en la práctica de sus derechos constitucionales fundamentales puede llegar a diezmar de manera considerable el derecho que tienen las comunidades indígenas a participar de manera activa y consciente en el manejo de los asuntos que los afectan y termina por desconocer de facto el derecho constitucional fundamental </w:t>
      </w:r>
      <w:r w:rsidRPr="00CF2780">
        <w:rPr>
          <w:rFonts w:ascii="Arial" w:eastAsia="Times New Roman" w:hAnsi="Arial" w:cs="Arial"/>
          <w:sz w:val="28"/>
          <w:szCs w:val="28"/>
          <w:lang w:val="es-ES" w:eastAsia="es-ES"/>
        </w:rPr>
        <w:lastRenderedPageBreak/>
        <w:t xml:space="preserve">al reconocimiento y debida protección de la diversidad étnica y cultural de los pueblos indígenas. </w:t>
      </w:r>
    </w:p>
    <w:p w14:paraId="19B27D7A"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6F8476B4"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Al respecto, se reitera que los derechos de los pueblos y comunidades indígenas constituyen el reconocimiento de las necesidades específicas de estos grupos en condiciones estructurales de desventaja y tienen como objetivo que dichos pueblos puedan gozar del ejercicio pleno de sus derechos como cualesquiera otro ciudadano del Estado, tal y como se reconoce en las reformas constitucionales en materia indígena.</w:t>
      </w:r>
    </w:p>
    <w:p w14:paraId="47CAB8DF"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472328FD"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Por ello, el reconocimiento, ejercicio y efectiva aplicación de ese derecho resulta indispensable para la democracia, conforme a lo siguiente:</w:t>
      </w:r>
    </w:p>
    <w:p w14:paraId="2AE853EB"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2DE82854"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 xml:space="preserve">Los artículos 39 y 40 de la Constitución Política de los Estados Unidos Mexicanos disponen que la soberanía nacional reside esencial y originariamente en el pueblo mexicano, por lo que todo poder público dimana de él y en su beneficio, siendo precisamente su voluntad constituirse en una República representativa, democrática, federal, compuesta de Estados libres y soberanos en todo lo concerniente a su régimen interior, pero unidos en una federación establecida según los principios de la propia Ley Fundamental. A lo que agrega el artículo 41, primer párrafo, que el pueblo ejerce su soberanía por medio de los Poderes de la Unión, en las materias de su competencia, y por los de los Estados, en sus respectivos regímenes interiores, en los términos establecidos, respectivamente, por la misma Constitución federal y las </w:t>
      </w:r>
      <w:r w:rsidRPr="00CF2780">
        <w:rPr>
          <w:rFonts w:ascii="Arial" w:eastAsia="Times New Roman" w:hAnsi="Arial" w:cs="Arial"/>
          <w:sz w:val="28"/>
          <w:szCs w:val="24"/>
          <w:lang w:val="es-ES" w:eastAsia="es-ES"/>
        </w:rPr>
        <w:lastRenderedPageBreak/>
        <w:t>particulares de los Estados, las que se encuentran impedidas para contravenir las disposiciones de aquélla.</w:t>
      </w:r>
    </w:p>
    <w:p w14:paraId="3E5FDCB5"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7EA2DC73"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Esa formulación abstracta de reconocimiento consistente en que el poder radica en última instancia en el pueblo y se institucionaliza para su beneficio, por virtud del cual el Estado mexicano merece el calificativo de democrático, reviste el carácter de columna vertebral de todo el sistema constitucional, principio estructural que se encuentra desarrollado a lo largo de todo el articulado y que, además, impregna todo el texto constitucional y el resto del ordenamiento jurídico, el cual debe ser interpretado a la luz de estas declaraciones y de los valores que propugna, establecidos como ideales que una comunidad decide proponerse como los máximos objetivos de su ordenamiento jurídico, valores que si bien no se encuentran necesariamente explicitados como tales, su existencia resulta evidente del propio articulado, por lo que no pueden ser desconocidos.</w:t>
      </w:r>
    </w:p>
    <w:p w14:paraId="48F019AB"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3E15928F"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Así, la caracterización como República representativa y democrática, entonces, se despliega mediante el consentimiento fundacional de los gobernados como fuente última del poder, legitimando todo el orden de autoridades del Estado y todo el orden de prescripciones de derecho. Asimismo, implica la necesaria conexión entre el poder y los ciudadanos, principalmente, mediante la participación de los ciudadanos en la designación de quienes se ocupan de las tareas del Estado, a través de las instituciones clave del sistema, que normalmente tienen un carácter representativo.</w:t>
      </w:r>
    </w:p>
    <w:p w14:paraId="5CA43ED4"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240B44C7"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lastRenderedPageBreak/>
        <w:t>Esto se encuentra claramente preceptuado cuando el artículo 41 de la Ley Fundamental ordena que la renovación de los poderes Legislativo y Ejecutivo de la Unión se realice mediante elecciones libres, auténticas y periódicas.</w:t>
      </w:r>
    </w:p>
    <w:p w14:paraId="5F5A4023"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245B613F"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Acorde con lo anterior, los artículos 115 y 116 de la propia Carta Magna imponen diversos deberes al régimen interior de las entidades federativas para garantizar el carácter democrático y representativo de la Nación, tales como la elección popular directa de los ayuntamientos municipales, de los integrantes de las legislaturas locales y de los gobernadores, mediante sufragio universal, libre y secreto y directo.</w:t>
      </w:r>
    </w:p>
    <w:p w14:paraId="60AE8241"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21C7E5AF"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Con las disposiciones referidas, entre otras, es posible constatar que la Constitución Política de los Estados Unidos Mexicanos articula una serie de elementos que desarrollan y garantizan su carácter de República representativa y democrática, al plasmar en su articulado los principios fundamentales de una elección democrática, cuyo cumplimiento debe ser imprescindible para que unos comicios se consideren producto del ejercicio popular de la soberanía, y que al estar elevados a rango constitucional tiene un carácter imperativo, de orden público, de obediencia inexcusable y no son renunciables, sin que para prevalecer tengan que ser contemplados, detallados o desarrollados por las constituciones locales, el estatuto de gobierno del Distrito Federal o las leyes electorales correspondientes, porque lo importante es que tales principios se encuentran sostenidos en la Carta Magna, cuya imperatividad y posición normativa suprema resultan indiscutibles, al tenor del artículo 133 del mismo ordenamiento.</w:t>
      </w:r>
    </w:p>
    <w:p w14:paraId="0CC33DE6"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392A536F"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27CF899D"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 xml:space="preserve">Ahora bien, </w:t>
      </w:r>
      <w:r w:rsidRPr="00CF2780">
        <w:rPr>
          <w:rFonts w:ascii="Arial" w:eastAsia="Times New Roman" w:hAnsi="Arial" w:cs="Arial"/>
          <w:b/>
          <w:sz w:val="28"/>
          <w:szCs w:val="24"/>
          <w:lang w:val="es-ES" w:eastAsia="es-ES"/>
        </w:rPr>
        <w:t>una democracia sólo se constituye como tal si la sociedad política que la conforma se encuentra convenientemente diversificada y organizada para ello</w:t>
      </w:r>
      <w:r w:rsidRPr="00CF2780">
        <w:rPr>
          <w:rFonts w:ascii="Arial" w:eastAsia="Times New Roman" w:hAnsi="Arial" w:cs="Arial"/>
          <w:sz w:val="28"/>
          <w:szCs w:val="24"/>
          <w:lang w:val="es-ES" w:eastAsia="es-ES"/>
        </w:rPr>
        <w:t>, por lo que el principio democrático también exige que opere como manifestación de la pluralidad de la población, de tal forma que puedan ser articuladas políticamente las distintas visiones y proyectos de Nación, dentro de los límites constitucionales, es decir, un régimen democrático conlleva un sistema que permite el planteamiento de distintas opciones (políticas, sociales, culturales, etcétera), pues se encuentra directamente relacionado con aquellas garantías individuales que protegen la libertad ideológica y la intimidad o el secreto voluntario de la misma, aspectos que se encuentran reconocidos en los artículos 1o,  6o, 7o y 24 constitucionales.</w:t>
      </w:r>
    </w:p>
    <w:p w14:paraId="5FDF2007"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0DDC9E23"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Bajo esa perspectiva, en los últimos años se han producido diversas modificaciones normativas, tanto legales como de corte constitucional, con el propósito de impulsar acciones a cargo del Estado, a través de la Federación y de los estados, para revertir la problemática de la población indígena, que usualmente no había sido tomada en cuenta, de forma sistemática y ordenada, a efecto de que sea considerada, especialmente, la individualidad misma de los sujetos componentes de estas culturas, esto es, su identidad personal, misma que depende de la propia identidad étnica o cultural del conglomerado al que pertenecen y de las particulares formas de organización social, política, cultural y económicas que tradicionalmente han adoptado.</w:t>
      </w:r>
    </w:p>
    <w:p w14:paraId="63AB6646"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417F8929"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Mediante reforma aprobada el tres de agosto de dos mil uno y publicada en el Diario Oficial de la Federación del catorce del mismo mes y año se reformó el artículo 2º de la Constitución Política de los Estados Unidos Mexicanos, en el cual tras declarar la unidad e indivisibilidad de la Nación Mexicana, reconoce su composición pluricultural sustentada originalmente en sus pueblos indígenas, identificados como aquellos que habitan en el territorio actual del país al iniciarse la colonización y que conservan, total o parcialmente, sus propias instituciones sociales, económicas, culturales y políticas.</w:t>
      </w:r>
    </w:p>
    <w:p w14:paraId="54BDBBCA"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0DDA22AE"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Conforme el precepto en cuestión, como criterio fundamental, las disposiciones sobre pueblos indígenas se aplican a quienes mantengan una conciencia sobre su identidad indígena. A continuación se precisa que los pueblos indígenas se conforman por comunidades, entendiéndose por éstas aquellas que formen una unidad social, económica y cultural, asentadas en un territorio y que reconocen autoridades propias de acuerdo con sus usos y costumbres.</w:t>
      </w:r>
    </w:p>
    <w:p w14:paraId="04712F14"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0527B8C8"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Como se ha demostrado, uno de los aspectos principales del texto constitucional lo constituye el reconocimiento a los pueblos indígenas del derecho a la libre determinación, el cual debe ejercerse en un marco constitucional de autonomía que asegure la unidad nacional. A tal efecto, el apartado A de dicho precepto les reconoce y garantiza diversas manifestaciones concretas de autonomía, entre las cuales se encuentra el derecho al autogobierno.</w:t>
      </w:r>
    </w:p>
    <w:p w14:paraId="5FE89211"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783885F7"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lastRenderedPageBreak/>
        <w:t>Los derechos reconocidos a los pueblos y comunidades indígenas, así como a sus integrantes, no constituyen meras concreciones normativas derivadas del valor intrínseco que el poder revisor de la Constitución confiere a diversas expresiones de la idiosincrasia indígena como vértice del carácter pluricultural que distingue a la Nación mexicana, sino que cumplen una función necesaria e indispensable del reconocimiento igualitario de un sistema de derechos al que una sociedad mínimamente justa no puede renunciar.</w:t>
      </w:r>
    </w:p>
    <w:p w14:paraId="2B78553C"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426AA60E"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En efecto, las disposiciones constitucionales e internacionales de mérito parten de un reconocimiento consistente en que, por diferentes causas y razones, las condiciones precarias en las que subsisten los indígenas en nuestro país se debe, entre otras causas, a que las garantías individuales de las que goza todo sujeto no han sido suficientes para un adecuado desarrollo individual y colectivo de estos grupos, reconocimiento del cual se ha derivado un necesario reforzamiento de esa situación igualitaria de todos los individuos con un reconocimiento más general y previo de las situaciones y características que identifican y dan sentido a estas colectividades y sus miembros.</w:t>
      </w:r>
    </w:p>
    <w:p w14:paraId="107136F6"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625646F8"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 xml:space="preserve">Así, los derechos de corte fundamental reconocidos a los pueblos y comunidades indígenas, así como sus integrantes, constituyen medidas que procuran beneficiar directa e indirectamente a estos conglomerados de la sociedad mexicana, a través de una clara diferenciación de trato que redunde en una mayor igualdad, por considerarse que se encuentran en una grave situación de desigualdad </w:t>
      </w:r>
      <w:r w:rsidRPr="00CF2780">
        <w:rPr>
          <w:rFonts w:ascii="Arial" w:eastAsia="Times New Roman" w:hAnsi="Arial" w:cs="Arial"/>
          <w:sz w:val="28"/>
          <w:szCs w:val="24"/>
          <w:lang w:val="es-ES" w:eastAsia="es-ES"/>
        </w:rPr>
        <w:lastRenderedPageBreak/>
        <w:t>y desamparo con el resto de la población, precisamente porque no han sido tomadas en cuenta sus particulares concepciones del uso y explotación de la tierra, sus procesos de producción, sus tradiciones y costumbres en las elecciones de sus propias autoridades, los entramados sociales y políticos que les son propios, aspectos que han redundado en ciertas relaciones de sometimiento, discriminación y miseria.</w:t>
      </w:r>
    </w:p>
    <w:p w14:paraId="22ED7C80"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0BCDFD44"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La incorporación constitucional de derechos a estos sujetos no equivale a pretender crear un ámbito jurídico propio y exclusivo de la realidad indígena, desvinculado del ordenamiento jurídico general, ni perpetuar o reinstaurar viejas desigualdades propias de los viejos colonialismos.</w:t>
      </w:r>
    </w:p>
    <w:p w14:paraId="7879C71B"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72D859DB"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 xml:space="preserve">Por el contrario, tales derechos forman parte de dicho ordenamiento, como mecanismos específicos de defensa de los derechos a la libertad de pensamiento y expresión, a la libertad de formas de vida y maneras de vivir, así como a la libertad de creación, mantenimiento y desarrollo de culturas, contempladas en el artículo 27, apartado 1 del Pacto Internacional de Derechos Civiles y Políticos, cuyo basamento último se encuentra en la especial consideración que el ordenamiento tiene para con la dignidad humana, como valor imprescindible sobre el que se ha de sustentar cualquier sociedad que pretenda dotar de legitimidad a las normas jurídicas que le rigen, derivado de la cláusula general del artículo 39 de la Constitución federal, así como del reconocimiento genérico a la personalidad jurídica y dignidad de todo ser humano, previsto en los artículos 16, apartado 1, </w:t>
      </w:r>
      <w:r w:rsidRPr="00CF2780">
        <w:rPr>
          <w:rFonts w:ascii="Arial" w:eastAsia="Times New Roman" w:hAnsi="Arial" w:cs="Arial"/>
          <w:sz w:val="28"/>
          <w:szCs w:val="24"/>
          <w:lang w:val="es-ES" w:eastAsia="es-ES"/>
        </w:rPr>
        <w:lastRenderedPageBreak/>
        <w:t>del pacto recién invocado, 3 y 11, apartado 1 de la Convención Americana sobre Derechos Humanos.</w:t>
      </w:r>
    </w:p>
    <w:p w14:paraId="70FC1AEB"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12A1AD06"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De tal forma, con motivo del reconocimiento de la dignidad humana, se le dota de significado a la libertad individual, que permite desarrollar su ámbito inmediato en la capacidad y posibilidad de pensar, crear, opinar sobre y elegir estilos y formas de vida, y que también sustenta la búsqueda y creación de los medios sociales y económicos que hacen posible el desarrollo normal de la vida humana, así como también, dicha libertad sirve de sostén para la introducción de instrumentos o mecanismos que destruyan o disminuyan los obstáculos de orden social y económico que limiten la posibilidad de vivir dignamente, como ciertamente ocurre en regímenes que, como el nuestro, tutelan diversos derechos de índole social para la consecución de tales objetivos, adquiriendo así un calificativo de Estado Constitucional Democrático de Derecho.</w:t>
      </w:r>
    </w:p>
    <w:p w14:paraId="5F777833"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054B1F23"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Lo anterior, encuentra apoyo en las razones expuestas durante los trámites de reforma constitucional de los años mil novecientos noventa a noventa y dos, por la que se adicionó un primer párrafo al artículo 4 (ahora derogado); y de dos mil y dos mil uno, por el que se aprobó la redacción actual del artículo 2o.</w:t>
      </w:r>
    </w:p>
    <w:p w14:paraId="2DF636B1"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599CE7E3"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 xml:space="preserve">La materia indígena en la Constitución estaba contenida en el artículo 4º (reforma publicada en el Diario Oficial de la Federación el veintiocho de enero de mil novecientos noventa y dos). En éste se establecía que la Nación Mexicana era pluricultural con base en la </w:t>
      </w:r>
      <w:r w:rsidRPr="00CF2780">
        <w:rPr>
          <w:rFonts w:ascii="Arial" w:eastAsia="Times New Roman" w:hAnsi="Arial" w:cs="Arial"/>
          <w:sz w:val="28"/>
          <w:szCs w:val="24"/>
          <w:lang w:val="es-ES" w:eastAsia="es-ES"/>
        </w:rPr>
        <w:lastRenderedPageBreak/>
        <w:t>existencia de los pueblos indígenas y mandataba la reglamentación de su organización interna, el acceso a la justicia del Estado y se reconocía la aplicación del derecho indígena en materia agraria.</w:t>
      </w:r>
    </w:p>
    <w:p w14:paraId="7378C328"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7AE3D19C"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Así, la iniciativa presentada por el Ejecutivo federal, de siete de diciembre de mil novecientos noventa, explicaba las razones por las cuales se aducía la necesidad de incorporar un nuevo primer párrafo al artículo 4 constitucional:</w:t>
      </w:r>
    </w:p>
    <w:p w14:paraId="10ED4616"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79A66992"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 Los pueblos y las comunidades indígenas de México viven en condiciones distantes de la equidad y el bienestar de (sic) la Revolución mexicana se propuso y elevó como postulado constitucional. La igualdad ante la ley, el principio esencial e indiscutible de nuestra convivencia, no siempre se cumple frente a nuestros compatriotas indígenas. Esa situación es incompatible con la modernización del país, con la justicia y, finalmente, con la defensa y el fortalecimiento de nuestra soberanía...</w:t>
      </w:r>
    </w:p>
    <w:p w14:paraId="002CECFF"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p>
    <w:p w14:paraId="568C95ED"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Como consecuencia de dilatados procesos históricos los indígenas mexicanos se encuentran en posición objetiva de desigualdad económica, social y para acceder a la jurisdicción efectiva del Estado. Son muchos y graves los rezagos que los afectan. Las carencias se concentran desproporcionadamente en las comunidades indígenas, conformando un círculo en el que la pobreza se reproduce y perpetúa. La intermediación que medra con la desigualdad y se opone al progreso de los indígenas, no ha sido erradicada. La justicia encuentra barreras en las condiciones de aislamiento, pobreza y exclusión en que viven los indígenas mexicanos.</w:t>
      </w:r>
    </w:p>
    <w:p w14:paraId="6A609424"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El setenta por ciento de los indígenas del país viven en municipios rurales, proporción que es inversa a la del conjunto de la población nacional, y fincan su subsistencia en las actividades primarias. El noventa y seis y medio por ciento de los indígenas en municipios rurales radica en localidades calificadas como de elevada marginación, con la consecuente escasez de servicios públicos, carencia de fuentes de trabajo y empleo remunerado, bajos ingresos, precariedad, asilamiento y exclusión. Los seiscientos treinta y siete municipios rurales con más del treinta por ciento de población indígenas –la cuarta parte de todos los municipios del país- han sido clasificados con alto o muy alto grado de marginación. El treinta por ciento de los indígenas asentados en municipios considerados como urbanos, viven en condiciones de pobreza y marginalidad casi en su totalidad. Así lo ilustran, por ejemplo, las condiciones en que viven casi un millón de indígenas en la zona metropolitana de la ciudad de México.</w:t>
      </w:r>
    </w:p>
    <w:p w14:paraId="162018A6"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p>
    <w:p w14:paraId="685E5D89"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Los indicadores sociales de la pobreza: analfabetismo, mortalidad infantil, desnutrición y morbilidad asociada, y bajo esperanza de vida, se elevan desproporcionadamente en las comunidades indígenas hasta duplicar, en algunos índices, los promedios generales...</w:t>
      </w:r>
    </w:p>
    <w:p w14:paraId="07374AAF"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p>
    <w:p w14:paraId="6F38BCFD"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En muchas zonas indígenas, la productividad de los sistemas tradicionales de cultivo se ha deteriorado y a veces también el suelo y la vegetación. La falta de apoyo para el desarrollo de esos sistemas o su sustitución, como también la explotación irracional de los recursos naturales por intereses ajenos a las comunidades, ha generado una permanente situación de restricción en la producción. Esta se agrava por los injustos términos de intercambio que privan en casi todas esas zonas...</w:t>
      </w:r>
    </w:p>
    <w:p w14:paraId="6EB7368F"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p>
    <w:p w14:paraId="05B50783"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La ley no siempre se aplica a los indígenas con sentido de justicia y a veces persisten resabios discriminatorios. Muchos de los detenidos indígenas no hablan el español ni tuvieron acceso al conocimiento de las leyes; están siendo juzgados sin los beneficios de un intérprete o de una defensoría adecuada. Reclamos y demandas indígenas no siempre son atendidos oportuna y adecuadamente por las instancias de procuración y administración de justicia. En casos aislados, quedan impunes quienes ejercen violencia contra los indígenas. Por ello, hay una identidad casi absoluta entre los pueblos indígenas y la pobreza, con frecuencia extrema.</w:t>
      </w:r>
    </w:p>
    <w:p w14:paraId="0CEDCDF0"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p>
    <w:p w14:paraId="1A021D26"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La solidaridad entre los propios indígenas, que se expresa a través de su organización social, mitiga conflictos y ofrece protección que resulta insuficiente. Está sustentada en prácticas jurídicas arraigadas y respetadas entre ellos, que en la mayoría de los casos no sólo no contradicen sino que podrían complementar las normas del derecho positivo. Las instituciones tradicionales indígenas también contienen elementos para cambiar determinadas situaciones, de tal forma que la solidaridad que aquellas protegen y defienden sirva para el desarrollo y el bienestar que los indígenas reclaman y merecen. Sin embargo, algunas de esas formas de organización social carecen de reconocimiento y sus principios no son tomados en cuenta. Es necesario procurar la armonía entre las tradiciones jurídicas de los indígenas con las normas legales que coinciden en la aspiración de un estado de derecho.</w:t>
      </w:r>
    </w:p>
    <w:p w14:paraId="5E24EDAE"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p>
    <w:p w14:paraId="49BF12DD"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Las cifras y los datos confirman un hecho que está en la experiencia y conciencia de todos los mexicanos: nuestros compatriotas indígenas viven en condiciones de desigualdad e injusticia. Están más lejos que el resto de los mexicanos del bienestar y del disfrute cabal de los derechos que el Estado tiene la responsabilidad de garantizar por mandato de nuestra ley fundamental...</w:t>
      </w:r>
    </w:p>
    <w:p w14:paraId="42437C48"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p>
    <w:p w14:paraId="3203A163"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 xml:space="preserve">La iniciativa contiene dos elementos principales. El primero reconoce la composición pluricultural de la nación. Se trata de una declaración general </w:t>
      </w:r>
      <w:r w:rsidRPr="00CF2780">
        <w:rPr>
          <w:rFonts w:ascii="Arial" w:eastAsia="Times New Roman" w:hAnsi="Arial" w:cs="Arial"/>
          <w:sz w:val="24"/>
          <w:szCs w:val="24"/>
          <w:lang w:val="es-ES" w:eastAsia="es-ES"/>
        </w:rPr>
        <w:lastRenderedPageBreak/>
        <w:t>que incumbe a todos los mexicanos y que en muchos sentidos nos define. Al hacerlo protege el derecho a la diferencia dentro del marco de la convivencia. La declaración reconoce que la naturaleza pluricultural se origina en la diversidad que aportaron los pueblos indígenas, previa a la formación de la nación moderna. A esa persistente diversidad original se agregaron muchas otras vigorosas corrientes, hasta conformar la pluralidad que nos constituye. Si el principio es universal, la movilización de la sociedad tiene en la inadmisible condición de los pueblos indígenas un propósito urgente y prioritario, preeminente en términos del bienestar común. El segundo elemento establece el mandato constitucional para que la ley prevea los instrumentos adecuados para garantizar a los pueblos indígenas el pleno e igualitario acceso a la jurisdicción del Estado, así como para proteger y desarrollar sus culturas, organizaciones sociales y recursos que las sustentan. También establece que las prácticas y costumbres jurídicas de los pueblos indígenas serán tomadas en consideración en los términos que la ley establezca, en los juicios y procedimientos agrarios en que los indígenas sean parte...".</w:t>
      </w:r>
    </w:p>
    <w:p w14:paraId="50531487"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1E475669"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El veinticuatro de junio del año siguiente, las comisiones unidas de Gobernación y Puntos Constitucionales y de Asuntos Indígenas, de la Cámara de Diputados emitieron dictamen favorable a la iniciativa de mérito, en el que, básicamente reiteraron los motivos expuestos en aquélla:</w:t>
      </w:r>
    </w:p>
    <w:p w14:paraId="31CACC0B"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4C0289ED"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"La inmensa mayoría de los mexicanos soberanos (sic) que los indígenas viven en pésimas condiciones de subsistencia, pegados a la tierra para producir un poco de maíz, fríjol y chile en una agricultura de autoconsumo, pero ignoramos sus estructuras sociales; sus relaciones de parentesco lineales, bilaterales y espirituales; la importancia de sus tradiciones que tienen fuerza de normas jurídicas; las diversas formas del control de la tierra, en algunas regiones en manos de las comunidades, en otras en forma individual y en otras más en poder de grupos familiares; estas formas de tenencia y control de la tierra en los diversos núcleos indígenas, no siempre concuerdan con las formas establecidas en nuestras leyes, generando conflictos entre las normas y la realidad.</w:t>
      </w:r>
    </w:p>
    <w:p w14:paraId="18723153"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p>
    <w:p w14:paraId="6FDB0A07"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 xml:space="preserve">El texto propuesto como adición al precepto constitucional, empieza por reconocer nuestra realidad pluricultural y sienta las bases para que la legislación ordinaria proteja y promueva el desarrollo de las culturas autóctonas en su más amplia expresión y provea los medios necesarios para que los indígenas tengan efectivo acceso a la protección que brinda el Estado </w:t>
      </w:r>
      <w:r w:rsidRPr="00CF2780">
        <w:rPr>
          <w:rFonts w:ascii="Arial" w:eastAsia="Times New Roman" w:hAnsi="Arial" w:cs="Arial"/>
          <w:sz w:val="24"/>
          <w:szCs w:val="24"/>
          <w:lang w:val="es-ES" w:eastAsia="es-ES"/>
        </w:rPr>
        <w:lastRenderedPageBreak/>
        <w:t>y particularmente, que en los juicios y procedimientos agrarios, se tomen en cuenta sus tradiciones, prácticas y costumbres jurídicas, lo que facilitará sin duda, desanudar multitud de complejos conflictos que tienen paralizada la actividad campesina...".</w:t>
      </w:r>
    </w:p>
    <w:p w14:paraId="411C9652"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00BF914C"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En el mismo tenor, el dictamen rendido por las comisiones unidas segunda de Gobernación, de Puntos Constitucionales, de Educación y de Estudios Legislativos, segunda sección, de la Cámara de Senadores, el dieciocho de diciembre de mil novecientos noventa y uno, recalcó:</w:t>
      </w:r>
    </w:p>
    <w:p w14:paraId="5035CB5A"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3AC7251F"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"El hecho de que en el texto vigente del artículo 4o constitucional se hable de la igualdad jurídica entre el hombre y la mujer, o de cuestiones materia de las relaciones familiares, pudiera sugerir a algunos que al introducir el tema de las comunidades indígenas no hubiese continuado o interrelación temática entre los aspectos abordados en dicho artículo.</w:t>
      </w:r>
    </w:p>
    <w:p w14:paraId="04E7EB02"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p>
    <w:p w14:paraId="502F6FE9"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A este respecto, es oportuno recordar que hay otros artículos constitucionales que abordan en el mismo precepto disposiciones de naturaleza diversa...</w:t>
      </w:r>
    </w:p>
    <w:p w14:paraId="46E522B9"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p>
    <w:p w14:paraId="5F71EE51"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Así, cabe señalar que el artículo 4o constitucional recoge preceptos de diversa índole:</w:t>
      </w:r>
    </w:p>
    <w:p w14:paraId="30D094D5"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p>
    <w:p w14:paraId="4CEA8F70"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De igualdad entre el hombre y la mujer; de libre e informada procreación; de derecho a disfrutar de una vivienda digna y de derecho de los menores a la protección.</w:t>
      </w:r>
    </w:p>
    <w:p w14:paraId="5D8D9048"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p>
    <w:p w14:paraId="1AE4F6C5"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Estas prerrogativas constitucionales pueden agruparse en una doble vertiente:</w:t>
      </w:r>
    </w:p>
    <w:p w14:paraId="5CDBAA86"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p>
    <w:p w14:paraId="7229B10A"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Derechos de grupos específicos: la mujer, los padres y los menores; así como de orden programático:</w:t>
      </w:r>
    </w:p>
    <w:p w14:paraId="4479CF15"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p>
    <w:p w14:paraId="100A3B9D"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La salud y la vivienda.</w:t>
      </w:r>
    </w:p>
    <w:p w14:paraId="739DA77C"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Ahora, con la adición propuesta, se incidiría en la vertiente de derechos de grupos específicos:</w:t>
      </w:r>
    </w:p>
    <w:p w14:paraId="022F3BC2"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p>
    <w:p w14:paraId="691430C1"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Los de los pueblos indígenas. Se trata de un precepto que dentro del principio de igualdad ante la ley, confiere derechos adicionales a ciertos grupos o sectores de la población.</w:t>
      </w:r>
    </w:p>
    <w:p w14:paraId="469F4D8F"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p>
    <w:p w14:paraId="686F3193"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lastRenderedPageBreak/>
        <w:t>Por las razones expuestas, los miembros de las Comisiones Unidas que dictaminan hemos estimado pertinente no sólo la elevación a rango constitucional de las declaraciones y principios contenidos en la minuta aprobada por nuestra Colegisladora, sino que también hemos considerado idónea la inclusión de esta reforma precisamente en el texto del artículo 4o constitucional...</w:t>
      </w:r>
    </w:p>
    <w:p w14:paraId="0CCDD150"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El texto original de la Constitución de 1917 y su evolución posterior implicaron modificaciones esenciales a la concepción tradicional de la Teoría de la Constitución, al introducir reglamentaciones que hubieran podido corresponder a la legislación secundaria. Hoy, la explicación unánimemente aceptada por los estudios de la materia, ha sido en el sentido de que el influjo del movimiento social que hizo posible un nuevo texto de ley suprema trajo la necesidad de preservar, mediante su elevación a rango de disposición jurídica fundamental diversas aspiraciones y conquistas que entrañan en sí misma las decisiones políticas fundamentales que se intentaba materializar como consecuencia del ideal de justicia. Es el caso bien estudiado del contenido de los artículos 3o, 27 y 123 constitucionales.</w:t>
      </w:r>
    </w:p>
    <w:p w14:paraId="4EE395AC"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p>
    <w:p w14:paraId="0BF1B663"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La legislación social mexicana, al igual que la legislación social de cualquier otro país, es un reconocimiento expreso de situaciones diferenciales que son indispensables para mantener la convivencia social armónica y la posibilidad de alcanzar la justicia, sin detrimento del principio de igualdad ante la ley.</w:t>
      </w:r>
    </w:p>
    <w:p w14:paraId="52EEB1B4"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p>
    <w:p w14:paraId="2A243A02"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El conjunto de disposiciones tutelares contenidas en la Constitución Política de los Estados Unidos Mexicanos y sus leyes reglamentarias, dieron origen a lo que conocemos como el estado social de derecho en nuestro país. Ahora bien, una legislación social es necesaria y eminentemente tutelar de los grupos sociales que se ha decidido proteger.</w:t>
      </w:r>
    </w:p>
    <w:p w14:paraId="4AD21C9E"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p>
    <w:p w14:paraId="79A0B495"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De tal manera que la esfera de protección jurídica que otorgan el Poder Constituyente Permanente o el legislador ordinario a dichos grupos sociales, si bien es cierto que establece excepciones a la ficción de la igualdad ante la ley, trae como consecuencia el reconocimiento formal de una diversidad social que es realidad cotidiana...".</w:t>
      </w:r>
    </w:p>
    <w:p w14:paraId="253CBA82"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25CBC2CD"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Por su parte, en la iniciativa de reforma constitucional presentada por Poder Ejecutivo de la Unión el cinco de diciembre de dos mil, la cual, tras diversas modificaciones, dio lugar a la actual redacción del numeral 2 y a la derogación del ahora párrafo primero del artículo 4º se manifestó:</w:t>
      </w:r>
    </w:p>
    <w:p w14:paraId="14FD0772"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4A135324"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lastRenderedPageBreak/>
        <w:t>"... México es el producto de la unión de pueblos y culturas diferentes. La mayor riqueza de nuestro país está en su diversidad cultural. Por ello, la unidad nacional no puede sustentarse en la imposición de una cultura sobre las demás. Por el contrario, nuestra unión debe ser el resultado de la colaboración fraterna entre los distintos pueblos y comunidades que integran la Nación.</w:t>
      </w:r>
    </w:p>
    <w:p w14:paraId="626964CB"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p>
    <w:p w14:paraId="004C9BFD"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A este respecto, el Convenio sobre pueblos indígenas y tribales en países independientes, de la Organización Internacional del Trabajo (No. 169, 1988 – 1989), reconoce que los pueblos indígenas, en muchas partes del mundo, no gozan de los derechos humanos fundamentales en el mismo grado que el resto de la población de los países en que viven. Igualmente, sostiene que las leyes, valores, costumbres y perspectivas de dichos pueblos se erosionan constantemente.</w:t>
      </w:r>
    </w:p>
    <w:p w14:paraId="1608DD07"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p>
    <w:p w14:paraId="6D141E26"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Nuestro país no es la excepción. A dos siglos de la fundación del Estado nacional, la situación jurídica de los pueblos indígenas es aún profundamente insatisfactoria y su condición social, motivo de honda preocupación nacional.</w:t>
      </w:r>
    </w:p>
    <w:p w14:paraId="37D58063"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p>
    <w:p w14:paraId="14AB2744"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Los pueblos originarios de estas tierras han sido histórica y frecuentemente obligados a abandonar sus tierras y a remontarse a las más inhóspitas regiones del país; han vivido muchas veces sometidos al dominio caciquil, así como a humillaciones racistas y discriminatorias, y les ha sido negada la posibilidad de expresión y participación políticas.</w:t>
      </w:r>
    </w:p>
    <w:p w14:paraId="050E1241"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p>
    <w:p w14:paraId="07DF0416"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En el transcurso de las últimas décadas, se han realizado esfuerzos para superar la falta de reconocimiento de la situación legal de los indígenas. En esos intentos, se reformó el artículo 4o de la Carta Magna y, con ello, se dio relevancia constitucional a la composición pluricultural de la Nación mexicana, que se sustenta originalmente en sus pueblos indígenas.</w:t>
      </w:r>
    </w:p>
    <w:p w14:paraId="11AC6383"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p>
    <w:p w14:paraId="1D724FD0"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Sin embargo, la reforma no resultó jurídicamente suficiente para aliviar las graves condiciones de los pueblos y comunidades indígenas del país.</w:t>
      </w:r>
    </w:p>
    <w:p w14:paraId="456CB362"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p>
    <w:p w14:paraId="762A81C0"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Esa situación, que se ha mantenido desde hace mucho tiempo, propició, entre otras cosas, el levantamiento de un grupo armado, el EZLN, que reivindicaba mejores condiciones para los indígenas chiapanecos en particular, y para la totalidad de los indígenas del país en lo general...</w:t>
      </w:r>
    </w:p>
    <w:p w14:paraId="57C0AA12"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p>
    <w:p w14:paraId="1549502E"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 La iniciativa reconoce la libre determinación y la autonomía de los pueblos indígenas. Asimismo, prevé diversos mecanismos para garantizar que los pueblos indígenas de México tengan acceso a las instancias de representación política, a los recursos materiales, a la defensa jurídica, a la educación, así como a la protección de derechos compatibles con sus usos y costumbres y, en general, con su especificidad cultural...</w:t>
      </w:r>
    </w:p>
    <w:p w14:paraId="3895ADCF"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p>
    <w:p w14:paraId="6139A168"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lastRenderedPageBreak/>
        <w:t>…la iniciativa que hoy presento a ese H. Cuerpo Colegiado, debe leerse en consonancia con todo el texto constitucional. Deberá interpretarse en consistencia con los principios de unidad nacional, de prohibición de leyes privativas y tribunales especiales, de igualdad entre las partes que participen en cualquier controversia y de unidad de jurisdicción sobre el territorio nacional...".</w:t>
      </w:r>
    </w:p>
    <w:p w14:paraId="7AF2105C"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336A83BF"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A su vez, la Conferencia General de la Organización Internacional del Trabajo destacó, en el preámbulo del instrumento internacional invocado, lo siguiente:</w:t>
      </w:r>
    </w:p>
    <w:p w14:paraId="184D06A3"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5E04634B"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"La Conferencia General de la Organización Internacional del Trabajo:...</w:t>
      </w:r>
    </w:p>
    <w:p w14:paraId="69622A68"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p>
    <w:p w14:paraId="7601C2C7"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Recordando los términos de la Declaración Universal de Derechos Humanos, del Pacto Internacional de Derechos Económicos, Sociales y Culturales, del Pacto Internacional de Derechos Civiles y Políticos, y de los numerosos instrumentos internacionales sobre la prevención de la discriminación;</w:t>
      </w:r>
    </w:p>
    <w:p w14:paraId="3C9A34D2"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p>
    <w:p w14:paraId="02E91EC1"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Considerando que la evolución del derecho internacional desde 1957 y los cambios sobrevenidos en la situación de los pueblos indígenas y tribales en todas las regiones del mundo hacen aconsejable adoptar nuevas normas internacionales en la materia, a fin de eliminar la orientación hacia la asimilación de las normas anteriores;</w:t>
      </w:r>
    </w:p>
    <w:p w14:paraId="444D8A03"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p>
    <w:p w14:paraId="6DB45BE6"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Reconociendo las aspiraciones de esos pueblos a asumir el control de sus propias instituciones y formas de vida y de su desarrollo económico y a mantener y fortalecer sus identidades, lenguas y religiones, dentro del marco de los Estados en que viven;</w:t>
      </w:r>
    </w:p>
    <w:p w14:paraId="3B3669FC"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p>
    <w:p w14:paraId="318CC3E3"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Observando que en muchas partes del mundo esos pueblos no pueden gozar de los derechos humanos fundamentales en el mismo grado que el resto de la población de los Estados en que viven y que sus leyes, valores, costumbres y perspectivas han sufrido a menudo una erosión...".</w:t>
      </w:r>
    </w:p>
    <w:p w14:paraId="00439F0E"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3D39896B"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Por su parte la Asamblea General de las Naciones Unidas estimó en Declaración sobre los derechos de los pueblos indígenas manifiesta:</w:t>
      </w:r>
    </w:p>
    <w:p w14:paraId="6359A397"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p>
    <w:p w14:paraId="00E5B84B"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Afirmando que los pueblos indígenas son iguales a todos los demás pueblos y reconociendo al mismo tiempo el derecho de todos los pueblos a ser diferentes, a considerarse a sí mismos diferentes y a ser respetados como tales,</w:t>
      </w:r>
    </w:p>
    <w:p w14:paraId="07DBBFF5"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lastRenderedPageBreak/>
        <w:t>…</w:t>
      </w:r>
    </w:p>
    <w:p w14:paraId="145FE204"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Preocupada por el hecho de que los pueblos indígenas han sufrido injusticias históricas como resultado, entre otras cosas, de la colonización y de haber sido desposeídos de sus tierras, territorios y recursos, lo que les ha impedido ejercer, en particular, su derecho al desarrollo de conformidad con sus propias necesidades e intereses,</w:t>
      </w:r>
    </w:p>
    <w:p w14:paraId="3D6E616C"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p>
    <w:p w14:paraId="4E9C43A3"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Reconociendo la urgente necesidad de respetar y promover los derechos intrínsecos de los pueblos indígenas, que derivan de sus estructuras políticas, económicas y sociales y de sus culturas, de sus tradiciones espirituales, de su historia y de su filosofía, especialmente los derechos a sus tierras, territorios y recursos,</w:t>
      </w:r>
    </w:p>
    <w:p w14:paraId="5BDBACD0"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p>
    <w:p w14:paraId="15819749"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Reconociendo también la urgente necesidad de respetar y promover los derechos de los pueblos indígenas afirmados en tratados, acuerdos y otros arreglos constructivos con los Estados,</w:t>
      </w:r>
    </w:p>
    <w:p w14:paraId="27957854"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w:t>
      </w:r>
    </w:p>
    <w:p w14:paraId="2C35F9D2"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Reconociendo que la Carta de las Naciones Unidas, el Pacto Internacional de Derechos Económicos, Sociales y Culturales2 y el Pacto Internacional de Derechos Civiles y Políticos2, así como la Declaración y el Programa de Acción de Viena3 afirman la importancia fundamental del derecho de todos los pueblos a la libre determinación, en virtud del cual éstos determinan libremente su condición política y persiguen libremente su desarrollo económico, social y cultural,</w:t>
      </w:r>
    </w:p>
    <w:p w14:paraId="2DBDB5D2"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w:t>
      </w:r>
    </w:p>
    <w:p w14:paraId="61F50C88"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Alentando a los Estados a que respeten y cumplan eficazmente todas sus obligaciones para con los pueblos indígenas dimanantes de los instrumentos internacionales, en particular las relativas a los derechos humanos, en consulta y cooperación con los pueblos interesados,</w:t>
      </w:r>
    </w:p>
    <w:p w14:paraId="10EEB60B"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 xml:space="preserve">… </w:t>
      </w:r>
    </w:p>
    <w:p w14:paraId="30CA8868"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Reconociendo y reafirmando que los indígenas tienen sin discriminación todos los derechos humanos reconocidos en el derecho internacional, y que los pueblos indígenas poseen derechos colectivos que son indispensables para su existencia, bienestar y desarrollo integral como pueblos.</w:t>
      </w:r>
    </w:p>
    <w:p w14:paraId="64DFD166"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w:t>
      </w:r>
    </w:p>
    <w:p w14:paraId="79712B2A"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0591E6CB"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Como se advierte, tanto en los documentos preparatorios de las reformas constitucionales en materia indígena como en los principales instrumentos internacionales relacionados con los derechos de dichos pueblos se reconoce y determina que los derechos reconocidos a los pueblos y comunidades indígenas, así como a sus integrantes, no constituyen meras concreciones normativas derivadas del valor </w:t>
      </w:r>
      <w:r w:rsidRPr="00CF2780">
        <w:rPr>
          <w:rFonts w:ascii="Arial" w:eastAsia="Times New Roman" w:hAnsi="Arial" w:cs="Arial"/>
          <w:sz w:val="28"/>
          <w:szCs w:val="28"/>
          <w:lang w:val="es-ES" w:eastAsia="es-ES"/>
        </w:rPr>
        <w:lastRenderedPageBreak/>
        <w:t>intrínseco que el poder revisor de la Constitución confiere a diversas expresiones de la idiosincrasia indígena como vértice del carácter pluricultural que distingue a la Nación mexicana, sino que cumplen una función complementadora del reconocimiento igualitario de un sistema de derechos al que una sociedad mínimamente justa no puede renunciar.</w:t>
      </w:r>
    </w:p>
    <w:p w14:paraId="494FA907"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10143CA0"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Ello en virtud de que las condiciones precarias en las que subsisten los indígenas en nuestro país se debe, entre otras causas, a que las garantías individuales de las que goza todo sujeto no han sido suficientes para un adecuado desarrollo individual y colectivo de estos grupos, por lo cual el legislador constituyente ha reconocido los derechos de los pueblos y comunidades indígenas, los cuales considera son indispensables para su existencia, bienestar y desarrollo integral como pueblos.</w:t>
      </w:r>
    </w:p>
    <w:p w14:paraId="736679BF"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3D599A5C"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El contenido de estos postulados no es una mera declaración retórica de determinadas opciones políticas a cargo del Estado mexicano; por el contrario, al tenor de lo instituido en el diverso 133 de la propia Carta Magna, cuenta con pleno valor normativo, al tener el carácter de Ley Suprema de toda la Unión.</w:t>
      </w:r>
    </w:p>
    <w:p w14:paraId="31838C92"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1EB48C04"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 xml:space="preserve">En esas circunstancias, es claro que el derecho a la libre determinación al constituir el derecho a partir del cual se articulan y convergen todos los derechos indígenas constituye un elemento esencial para superar la marginación en la que viven dichas comunidades, de tal forma que una de las vertientes más importantes </w:t>
      </w:r>
      <w:r w:rsidRPr="00CF2780">
        <w:rPr>
          <w:rFonts w:ascii="Arial" w:eastAsia="Times New Roman" w:hAnsi="Arial" w:cs="Arial"/>
          <w:sz w:val="28"/>
          <w:szCs w:val="24"/>
          <w:lang w:val="es-ES" w:eastAsia="es-ES"/>
        </w:rPr>
        <w:lastRenderedPageBreak/>
        <w:t>de ese derecho para un pueblo consiste precisamente en decidir por sí mismo su forma de organización y la determinación de sus propias autoridades, característica que resulta esencial para la conservación y protección de las culturas indígenas que forman el asiento originario del Estado multicultural Mexicano, pues es claro que tal conservación implica necesariamente todos y cada uno de esos derechos, pues la lengua y la tradiciones indígenas no pueden permanecer y desarrollarse sino dentro del contexto social, económico, político y cultural de dichos pueblos.</w:t>
      </w:r>
    </w:p>
    <w:p w14:paraId="0F6C3A2A"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46002663"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De ahí que se estime que todas las autoridades de cualquier nivel no pueden permanecer indiferentes a los razonamientos que dieron origen al reconocimiento a nivel constitucional de los derechos de los pueblos indígenas y de su concreción en diversos instrumentos internacionales, en todos los cuales se declara de manera convergente que el reconocimiento de estos derechos no constituye una concesión graciosa por parte de los Estados, sino el reconocimiento a una realidad sociocultural, en la cual se ha impedido –ya sea por sistema o por indiferencia- que los pueblos indígenas puedan disfrutar plenamente de los derechos humanos otorgados a todos la población, pues precisamente sus condiciones de marginación y de miseria les imposibilita acceder a dichos bienes, lo cual es una muestra palpable de la interdependencia e indivisibilidad de los derechos humanos, puesto que tal y como lo reconocen los dos pactos internacionales “…</w:t>
      </w:r>
      <w:r w:rsidRPr="00CF2780">
        <w:rPr>
          <w:rFonts w:ascii="Arial" w:eastAsia="Times New Roman" w:hAnsi="Arial" w:cs="Arial"/>
          <w:i/>
          <w:sz w:val="28"/>
          <w:szCs w:val="24"/>
          <w:lang w:val="es-ES" w:eastAsia="es-ES"/>
        </w:rPr>
        <w:t xml:space="preserve">no puede realizarse el ideal del ser humano libre en el disfrute de las libertades civiles y políticas y liberado del temor y de la miseria, a menos que se creen condiciones que permitan a cada persona gozar de sus </w:t>
      </w:r>
      <w:r w:rsidRPr="00CF2780">
        <w:rPr>
          <w:rFonts w:ascii="Arial" w:eastAsia="Times New Roman" w:hAnsi="Arial" w:cs="Arial"/>
          <w:i/>
          <w:sz w:val="28"/>
          <w:szCs w:val="24"/>
          <w:lang w:val="es-ES" w:eastAsia="es-ES"/>
        </w:rPr>
        <w:lastRenderedPageBreak/>
        <w:t>derechos civiles y políticos, tanto como de sus derechos económicos, sociales y culturales</w:t>
      </w:r>
      <w:r w:rsidRPr="00CF2780">
        <w:rPr>
          <w:rFonts w:ascii="Arial" w:eastAsia="Times New Roman" w:hAnsi="Arial" w:cs="Arial"/>
          <w:sz w:val="28"/>
          <w:szCs w:val="24"/>
          <w:lang w:val="es-ES" w:eastAsia="es-ES"/>
        </w:rPr>
        <w:t>”.</w:t>
      </w:r>
    </w:p>
    <w:p w14:paraId="0ECD8899"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7DFE06E2"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 xml:space="preserve">Por ello,  se debe destacar que los derechos indígenas son la introducción de instrumentos o mecanismos a través de los cuales se busca destruir o disminuir los obstáculos de orden social y económico que afectan de manera sistemática a dichos pueblos y que no sólo les impiden el acceso pleno a todos los derechos consagrados en nuestro sistema, sino también y principalmente a preservar su cultura, mantener su estilo de vida, desarrollar sus instituciones y formas de organización, así como defender su dignidad. </w:t>
      </w:r>
    </w:p>
    <w:p w14:paraId="155AF9E0"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5E30BDE5"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 xml:space="preserve">En esas circunstancias, se reitera que en virtud de los derechos que tanto la Constitución como los tratados internacionales otorgan a los pueblos, comunidades e individuos indígenas,  ellos son libres para determinar en cualquier momento sus formas de organización y estructura para establecer a sus propias autoridades y las formas de ejercicio de las mismas, lo cual, como se ha  visto constituye un elemento esencial para el desarrollo de dichos pueblos y la conservación de su cultura, así como una medida específica que se encuentra íntimamente interconectada con los restantes derechos indígenas de tal manera que todos y cada uno de ellos sirve tanto de base y como resultado, a la vez, para el ejercicio efectivo del derecho a la libre determinación. </w:t>
      </w:r>
    </w:p>
    <w:p w14:paraId="0EF1EAE3"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71CCC122"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 xml:space="preserve">Con relación a lo anterior se considera que la inexistencia de un procedimiento para atender la petición de los ahora promovente, en </w:t>
      </w:r>
      <w:r w:rsidRPr="00CF2780">
        <w:rPr>
          <w:rFonts w:ascii="Arial" w:eastAsia="Times New Roman" w:hAnsi="Arial" w:cs="Arial"/>
          <w:sz w:val="28"/>
          <w:szCs w:val="24"/>
          <w:lang w:val="es-ES" w:eastAsia="es-ES"/>
        </w:rPr>
        <w:lastRenderedPageBreak/>
        <w:t>forma alguna puede ser motivo para desconocer e impedir el ejercicio legítimo de un derecho humano consagrado a nivel constitucional.</w:t>
      </w:r>
    </w:p>
    <w:p w14:paraId="571A17CE"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1F102DC1"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Esto es así, porque en un Estado constitucional y democrático de Derecho, la Constitución no es una mera declaración política o una norma programática y, mucho menos, una mera manifestación retórica, sino que constituye la norma fundamental  y suprema de todo el ordenamiento jurídico y en cuanto lo rige y articula.</w:t>
      </w:r>
    </w:p>
    <w:p w14:paraId="4AB7F884"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0EC5AAA9"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Los derechos humanos en tanto parte del texto constitucional imponen a las autoridades estatales el cumplimiento de obligaciones de respetar, proteger, garantizar y promover, así como interpretarlos con un criterio extensivo y bajo los principios internacionalmente aceptados.</w:t>
      </w:r>
    </w:p>
    <w:p w14:paraId="5030CC8B"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7B23BE58"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4"/>
          <w:lang w:val="es-ES" w:eastAsia="es-ES"/>
        </w:rPr>
        <w:t xml:space="preserve">Esos derechos al formar parte de la Constitución deben ser aplicados por las autoridades de todos los niveles sin necesidad de que para ello exista una ley secundaria para ello, pues si </w:t>
      </w:r>
      <w:r w:rsidRPr="00CF2780">
        <w:rPr>
          <w:rFonts w:ascii="Arial" w:eastAsia="Times New Roman" w:hAnsi="Arial" w:cs="Arial"/>
          <w:sz w:val="28"/>
          <w:szCs w:val="28"/>
          <w:lang w:val="es-ES" w:eastAsia="es-ES"/>
        </w:rPr>
        <w:t>la Constitución o las leyes establecen un derecho, pero la ley no establece un proceso para su protección, esta circunstancia no implica, ni faculta a la autoridad impedir su ejercicio y, mucho menos a vulnerarlos, sino que debe ser instaurado un proceso encaminado a proteger el derecho, en el cual se respeten las formalidades esenciales del procedimiento.</w:t>
      </w:r>
    </w:p>
    <w:p w14:paraId="254A2B9C"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2977BA0B"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 xml:space="preserve">Esto es así, porque la protección de los derechos humanos no puede ser soslayado so pretexto de que tenga que ser contemplado, detallado o desarrollado por la legislación ordinaria, porque lo importante es que tales derechos se encuentran sostenidos en la Carta </w:t>
      </w:r>
      <w:r w:rsidRPr="00CF2780">
        <w:rPr>
          <w:rFonts w:ascii="Arial" w:eastAsia="Times New Roman" w:hAnsi="Arial" w:cs="Arial"/>
          <w:sz w:val="28"/>
          <w:szCs w:val="24"/>
          <w:lang w:val="es-ES" w:eastAsia="es-ES"/>
        </w:rPr>
        <w:lastRenderedPageBreak/>
        <w:t>Magna y en los referidos instrumentos internacionales, cuya imperatividad y posición normativa suprema resultan indiscutibles, por tratarse de principios establecidos en la Constitución federal y en instrumentos internacionales suscritos y ratificados por los órganos constitucionalmente previstos, por lo que, en términos del artículo 133 de la Constitución Política de los Estados Unidos Mexicanos, constituyen la ley Suprema de la Unión, y, en esa medida, cuentan con un carácter imperativo, de orden público, de obediencia inexcusable y de imposible renuncia.</w:t>
      </w:r>
    </w:p>
    <w:p w14:paraId="7128FE93"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4CBB51A6"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Considerar lo contrario implicaría desconocer y hacer nugatorio los derechos humanos y sujetar su reconocimiento, ejercicio y defensa a las determinaciones tanto del legislador secundario como de la autoridad administrativa encargada de velar por su aplicación.</w:t>
      </w:r>
    </w:p>
    <w:p w14:paraId="49383E12"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0DB2208B"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Al respecto, debe considerarse que uno de los deberes primordiales de las autoridades es velar por la protección de los derechos humanos, de tal forma que donde quiera que exista un derecho también debe existir su defensa, pues se correría el riesgo de convertir en una mera fórmula vacía de contenido tales derechos. </w:t>
      </w:r>
    </w:p>
    <w:p w14:paraId="05972C79"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1391C55F"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Lo anterior ha sido reconocido por los tribunales de nuestro país desde la primera sentencia de amparo dictada por el juez suplente Pedro Sámano a cargo del entonces único juzgado de distrito en San Luis Potosí, el trece de agosto de mil ochocientos cuarenta y nueve a, en virtud  de la cual se concedió la protección federal al quejoso Manuel Verástegui en contra de la orden de destierro dictada por el Gobernador </w:t>
      </w:r>
      <w:r w:rsidRPr="00CF2780">
        <w:rPr>
          <w:rFonts w:ascii="Arial" w:eastAsia="Times New Roman" w:hAnsi="Arial" w:cs="Arial"/>
          <w:sz w:val="28"/>
          <w:szCs w:val="28"/>
          <w:lang w:val="es-ES" w:eastAsia="es-ES"/>
        </w:rPr>
        <w:lastRenderedPageBreak/>
        <w:t>Julián de los Reyes, no se imaginó la trascendencia que tendría dicha resolución para el sistema jurídico nacional</w:t>
      </w:r>
      <w:r w:rsidRPr="00CF2780">
        <w:rPr>
          <w:rFonts w:ascii="Arial" w:eastAsia="Times New Roman" w:hAnsi="Arial" w:cs="Arial"/>
          <w:sz w:val="28"/>
          <w:szCs w:val="28"/>
          <w:vertAlign w:val="superscript"/>
          <w:lang w:val="es-ES" w:eastAsia="es-ES"/>
        </w:rPr>
        <w:footnoteReference w:id="17"/>
      </w:r>
      <w:r w:rsidRPr="00CF2780">
        <w:rPr>
          <w:rFonts w:ascii="Arial" w:eastAsia="Times New Roman" w:hAnsi="Arial" w:cs="Arial"/>
          <w:sz w:val="28"/>
          <w:szCs w:val="28"/>
          <w:lang w:val="es-ES" w:eastAsia="es-ES"/>
        </w:rPr>
        <w:t>.</w:t>
      </w:r>
    </w:p>
    <w:p w14:paraId="5A4D95D1"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6D7957A1"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En efecto, en primer término, debe considerarse que la circunstancia de que todavía no se hubiera expedido la reglamentación procesal del amparo</w:t>
      </w:r>
      <w:r w:rsidRPr="00CF2780">
        <w:rPr>
          <w:rFonts w:ascii="Arial" w:eastAsia="Times New Roman" w:hAnsi="Arial" w:cs="Arial"/>
          <w:sz w:val="28"/>
          <w:szCs w:val="28"/>
          <w:vertAlign w:val="superscript"/>
          <w:lang w:val="es-ES" w:eastAsia="es-ES"/>
        </w:rPr>
        <w:footnoteReference w:id="18"/>
      </w:r>
      <w:r w:rsidRPr="00CF2780">
        <w:rPr>
          <w:rFonts w:ascii="Arial" w:eastAsia="Times New Roman" w:hAnsi="Arial" w:cs="Arial"/>
          <w:sz w:val="28"/>
          <w:szCs w:val="28"/>
          <w:lang w:val="es-ES" w:eastAsia="es-ES"/>
        </w:rPr>
        <w:t xml:space="preserve"> en forma alguna impidió el dictado de la sentencia:</w:t>
      </w:r>
    </w:p>
    <w:p w14:paraId="63239A1F" w14:textId="77777777" w:rsidR="00AD59FF" w:rsidRPr="00CF2780" w:rsidRDefault="00AD59FF" w:rsidP="00AD59FF">
      <w:pPr>
        <w:tabs>
          <w:tab w:val="left" w:pos="720"/>
        </w:tabs>
        <w:spacing w:before="120" w:after="120" w:line="360" w:lineRule="auto"/>
        <w:ind w:firstLine="851"/>
        <w:jc w:val="both"/>
        <w:rPr>
          <w:rFonts w:ascii="Arial" w:eastAsia="Times New Roman" w:hAnsi="Arial" w:cs="Arial"/>
          <w:sz w:val="28"/>
          <w:szCs w:val="28"/>
          <w:lang w:val="es-ES" w:eastAsia="es-ES"/>
        </w:rPr>
      </w:pPr>
    </w:p>
    <w:p w14:paraId="67DC80FC" w14:textId="77777777" w:rsidR="00AD59FF" w:rsidRPr="00CF2780" w:rsidRDefault="00AD59FF" w:rsidP="00AD59FF">
      <w:pPr>
        <w:spacing w:after="0" w:line="240" w:lineRule="auto"/>
        <w:ind w:left="708"/>
        <w:jc w:val="both"/>
        <w:rPr>
          <w:rFonts w:ascii="Arial" w:eastAsia="Times New Roman" w:hAnsi="Arial" w:cs="Arial"/>
          <w:sz w:val="28"/>
          <w:szCs w:val="28"/>
          <w:lang w:val="es-ES" w:eastAsia="es-ES"/>
        </w:rPr>
      </w:pPr>
      <w:r w:rsidRPr="00CF2780">
        <w:rPr>
          <w:rFonts w:ascii="Arial" w:eastAsia="Times New Roman" w:hAnsi="Arial" w:cs="Arial"/>
          <w:sz w:val="24"/>
          <w:szCs w:val="24"/>
          <w:lang w:val="es-ES" w:eastAsia="es-ES"/>
        </w:rPr>
        <w:t>“…el artículo 25 del Acta de Reformas, impone al juzgado a mi cargo la obligación de amparar a cualquier ciudadano contra los ataques violentos ya sea de los supremos poderes de la nación, ya de los estados: que la circunstancia de no haberse reglamentado el modo y términos en que tal protección debe dispensarse, no es ni puede ser un obstáculo para cumplir con ese sagrado deber porque a nadie puede ocultarse el modo de sustanciar un expediente y que, de no dar cumplimiento al citado artículo, resultaría una contravención del objeto y fin que los legisladores se propusieron, no menos que una muy notable infracción que inconcusamente haría responsable al que la cometiera; que una ley desde el momento en que se publica debe ser obligatoria; no expresándose con ella lo contrario, como dice muy bien el asesor, y que por lo mismo no se ha podido ni puede dejar de cumplir con la referida disposición constitucional…”</w:t>
      </w:r>
      <w:r w:rsidRPr="00CF2780">
        <w:rPr>
          <w:rFonts w:ascii="Arial" w:eastAsia="Times New Roman" w:hAnsi="Arial" w:cs="Arial"/>
          <w:sz w:val="28"/>
          <w:szCs w:val="28"/>
          <w:vertAlign w:val="superscript"/>
          <w:lang w:val="es-ES" w:eastAsia="es-ES"/>
        </w:rPr>
        <w:footnoteReference w:id="19"/>
      </w:r>
    </w:p>
    <w:p w14:paraId="114D28B4"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581F3D1B"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Adviértase que en su argumentación, el juez aduce que el Acta de Reformas de 1847, en cuanto documento incorporado al cuerpo constitucional vigente en ese momento debe obedecerse, sin que pueda interponerse la circunstancia de la inexistencia de una ley </w:t>
      </w:r>
      <w:r w:rsidRPr="00CF2780">
        <w:rPr>
          <w:rFonts w:ascii="Arial" w:eastAsia="Times New Roman" w:hAnsi="Arial" w:cs="Arial"/>
          <w:sz w:val="28"/>
          <w:szCs w:val="28"/>
          <w:lang w:val="es-ES" w:eastAsia="es-ES"/>
        </w:rPr>
        <w:lastRenderedPageBreak/>
        <w:t>reglamentaria, porque a final de cuentas el proceso sólo constituye el medio (instrumento) para alcanzar el fin trascendente de la salvaguarda de los derechos fundamentales del hombre frente a los ataques de los poderes políticos.</w:t>
      </w:r>
    </w:p>
    <w:p w14:paraId="41782C18" w14:textId="77777777" w:rsidR="00AD59FF" w:rsidRPr="00CF2780" w:rsidRDefault="00AD59FF" w:rsidP="00AD59FF">
      <w:pPr>
        <w:tabs>
          <w:tab w:val="left" w:pos="720"/>
        </w:tabs>
        <w:spacing w:before="120" w:after="120" w:line="360" w:lineRule="auto"/>
        <w:ind w:firstLine="851"/>
        <w:jc w:val="both"/>
        <w:rPr>
          <w:rFonts w:ascii="Arial" w:eastAsia="Times New Roman" w:hAnsi="Arial" w:cs="Arial"/>
          <w:sz w:val="28"/>
          <w:szCs w:val="28"/>
          <w:lang w:val="es-ES" w:eastAsia="es-ES"/>
        </w:rPr>
      </w:pPr>
    </w:p>
    <w:p w14:paraId="3A407527"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En otras palabras, en la sentencia se trata a la Constitución como una verdadera norma jurídica aplicable directamente al caso concreto sin necesidad de la existencia de una concreción legislativa, lo que constituye precisamente el punto de partida del actual paradigma jurídico occidental del Estado Constitucional de Derecho.</w:t>
      </w:r>
    </w:p>
    <w:p w14:paraId="55DB2A3D" w14:textId="77777777" w:rsidR="00AD59FF" w:rsidRPr="00CF2780" w:rsidRDefault="00AD59FF" w:rsidP="00AD59FF">
      <w:pPr>
        <w:tabs>
          <w:tab w:val="left" w:pos="720"/>
        </w:tabs>
        <w:spacing w:before="120" w:after="120" w:line="360" w:lineRule="auto"/>
        <w:ind w:firstLine="851"/>
        <w:jc w:val="both"/>
        <w:rPr>
          <w:rFonts w:ascii="Arial" w:eastAsia="Times New Roman" w:hAnsi="Arial" w:cs="Arial"/>
          <w:sz w:val="28"/>
          <w:szCs w:val="28"/>
          <w:lang w:val="es-ES" w:eastAsia="es-ES"/>
        </w:rPr>
      </w:pPr>
    </w:p>
    <w:p w14:paraId="53F05487"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La sentencia además de tratar a la Constitución como una verdadera norma que debe aplicarse al caso concreto (referencia al artículo 25 del Acta de Reformas) también expresa que las garantías individuales deben respetarse por estar afianzadas precisamente en el texto constitucional, lo que constituye el segundo pilar en el cual se apoya el modelo en cuestión consistente en considerar que </w:t>
      </w:r>
      <w:smartTag w:uri="urn:schemas-microsoft-com:office:smarttags" w:element="PersonName">
        <w:smartTagPr>
          <w:attr w:name="ProductID" w:val="la Constituci￳n"/>
        </w:smartTagPr>
        <w:r w:rsidRPr="00CF2780">
          <w:rPr>
            <w:rFonts w:ascii="Arial" w:eastAsia="Times New Roman" w:hAnsi="Arial" w:cs="Arial"/>
            <w:sz w:val="28"/>
            <w:szCs w:val="28"/>
            <w:lang w:val="es-ES" w:eastAsia="es-ES"/>
          </w:rPr>
          <w:t>la Constitución</w:t>
        </w:r>
      </w:smartTag>
      <w:r w:rsidRPr="00CF2780">
        <w:rPr>
          <w:rFonts w:ascii="Arial" w:eastAsia="Times New Roman" w:hAnsi="Arial" w:cs="Arial"/>
          <w:sz w:val="28"/>
          <w:szCs w:val="28"/>
          <w:lang w:val="es-ES" w:eastAsia="es-ES"/>
        </w:rPr>
        <w:t xml:space="preserve"> contiene una serie de principios, entre los que destacan los derechos humanos y respecto de los cuales, el papel del juez constitucional consiste en buscar su optimización en el caso concreto, ampliar sus efectos e irradiarlos al resto del sistema jurídico. </w:t>
      </w:r>
    </w:p>
    <w:p w14:paraId="45E7AE3D" w14:textId="77777777" w:rsidR="00AD59FF" w:rsidRPr="00CF2780" w:rsidRDefault="00AD59FF" w:rsidP="00AD59FF">
      <w:pPr>
        <w:tabs>
          <w:tab w:val="left" w:pos="720"/>
        </w:tabs>
        <w:spacing w:before="120" w:after="120" w:line="360" w:lineRule="auto"/>
        <w:ind w:firstLine="851"/>
        <w:jc w:val="both"/>
        <w:rPr>
          <w:rFonts w:ascii="Arial" w:eastAsia="Times New Roman" w:hAnsi="Arial" w:cs="Arial"/>
          <w:sz w:val="28"/>
          <w:szCs w:val="28"/>
          <w:lang w:val="es-ES" w:eastAsia="es-ES"/>
        </w:rPr>
      </w:pPr>
    </w:p>
    <w:p w14:paraId="641422EA" w14:textId="77777777" w:rsidR="00AD59FF" w:rsidRPr="00CF2780" w:rsidRDefault="00AD59FF" w:rsidP="00AD59FF">
      <w:pPr>
        <w:spacing w:after="0" w:line="240" w:lineRule="auto"/>
        <w:ind w:left="708"/>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 xml:space="preserve"> “…la orden de destierro que motivó el ocurso que ha dado lugar a la formación de las antecedentes actuaciones…cometiendo un verdadero ataque a las garantías individuales que deben respetarse siempre por cualquier autoridad, por estar afianzadas en la Constitución y ser esto conforme al buen orden y comunal provecho de la sociedad por tales fundamentos…este juzgado dispensa a don Manuel Verástegui la protección </w:t>
      </w:r>
      <w:r w:rsidRPr="00CF2780">
        <w:rPr>
          <w:rFonts w:ascii="Arial" w:eastAsia="Times New Roman" w:hAnsi="Arial" w:cs="Arial"/>
          <w:sz w:val="24"/>
          <w:szCs w:val="24"/>
          <w:lang w:val="es-ES" w:eastAsia="es-ES"/>
        </w:rPr>
        <w:lastRenderedPageBreak/>
        <w:t>que solicita de conformidad con lo dispuesto en el repetido artículo 25 del Acta de Reformas, para que no pueda ser desterrado del Estado…”</w:t>
      </w:r>
      <w:r w:rsidRPr="00CF2780">
        <w:rPr>
          <w:rFonts w:ascii="Arial" w:eastAsia="Times New Roman" w:hAnsi="Arial" w:cs="Arial"/>
          <w:sz w:val="28"/>
          <w:szCs w:val="28"/>
          <w:vertAlign w:val="superscript"/>
          <w:lang w:val="es-ES" w:eastAsia="es-ES"/>
        </w:rPr>
        <w:footnoteReference w:id="20"/>
      </w:r>
    </w:p>
    <w:p w14:paraId="738C5328"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695F11CD"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En esta línea de pensamiento, esta Sala Superior ha sostenido de forma que la inexistencia de una ley secundaria no constituye causa justificada para impedir el ejercicio de los derechos humanos.</w:t>
      </w:r>
    </w:p>
    <w:p w14:paraId="7F3AD171"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0E81D271"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Así, por ejemplo, en los expedientes SUP-JDC-117/2001, SUP-JDC-127/2001 y SUP-JDC-128/2001 determinó que los registros a cargo de la Dirección Ejecutiva de Prerrogativas y Partidos Políticos del Instituto Federal Electoral relativos a los documentos básicos y cuadros dirigentes de los partidos políticos, así como los procedimientos que sustenten su designación o elección tienen el carácter de públicos, por lo que el acceso a los mismos estar abierto a los ciudadanos peticionarios (en general y no solo a los afiliados del respectivo partido), en virtud de que la información anotada está relacionada con entidades de interés público y el registro lo lleva un organismo público autónomo sin que legalmente se prevea que la respectiva información tenga carácter confidencial, pues sólo de esa forma se garantiza el derecho constitucional de acceso a la información. Es importante resaltar también que el citado criterio garante del derecho de información político-electoral se estableció por esta Sala Superior, en aplicación directa del artículo 6o. constitucional, antes de la expedición de la Ley Federal de Transparencia y Acceso a la Información Gubernamental y en aplicación directa del artículo 6o. constitucional, pues dicha ley fue </w:t>
      </w:r>
      <w:r w:rsidRPr="00CF2780">
        <w:rPr>
          <w:rFonts w:ascii="Arial" w:eastAsia="Times New Roman" w:hAnsi="Arial" w:cs="Arial"/>
          <w:sz w:val="28"/>
          <w:szCs w:val="28"/>
          <w:lang w:val="es-ES" w:eastAsia="es-ES"/>
        </w:rPr>
        <w:lastRenderedPageBreak/>
        <w:t>publicada el once de junio de dos mil dos, en tanto que las sentencias respectivas fueron emitidas el treinta de enero de ese mismo año.</w:t>
      </w:r>
    </w:p>
    <w:p w14:paraId="2572EC3B"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44DD493B"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En ese mismo orden de ideas, al resolver el SUP-RAP-175/2009 la Sala Superior determinó que de la interpretación sistemática y funcional de los artículos 1°, párrafo primero, y 6°, párrafo primero, de la Constitución Política de los Estados Unidos Mexicanos; 233, párrafo 3, 367 y 368, párrafo 2, del Código Federal de Instituciones y Procedimientos Electorales, se desprende que, para tutelar el derecho de réplica de los partidos políticos, precandidatos y candidatos, son aplicables las reglas del procedimiento especial sancionador. Lo anterior, porque debe resolverse con prontitud, ya que si este derecho se ejerce en un plazo ordinario, posterior a la difusión de la información que se pretende corregir, la réplica ya no tendría los mismos efectos, por lo que su expeditez se justifica por la brevedad de los plazos del proceso electoral, de tal forma que, a pesar de que hasta el momento no se ha legislado en materia de derecho de réplica, este órgano jurisdiccional, en aplicación directa del artículo 6o. constitucional, determinó que el derecho de réplica es exigible en materia electoral.</w:t>
      </w:r>
    </w:p>
    <w:p w14:paraId="784F464E"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1449116E"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En igual sentido, este órgano jurisdiccional ha sostenido que la falta de procedimiento no es obstáculo para tutelar derechos humanos.</w:t>
      </w:r>
    </w:p>
    <w:p w14:paraId="522E5C70"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579D065C"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Así, por ejemplo en los expedientes SUP-JDC-084/2003 SUP-JDC-092/2003 y SUP-JDC-109/2003 se determinó, en aplicación directa de los artículos 14, 17 y 41 constitucional,  que el juicio para la protección de los derechos político-electorales es procedente en contra </w:t>
      </w:r>
      <w:r w:rsidRPr="00CF2780">
        <w:rPr>
          <w:rFonts w:ascii="Arial" w:eastAsia="Times New Roman" w:hAnsi="Arial" w:cs="Arial"/>
          <w:sz w:val="28"/>
          <w:szCs w:val="28"/>
          <w:lang w:val="es-ES" w:eastAsia="es-ES"/>
        </w:rPr>
        <w:lastRenderedPageBreak/>
        <w:t>actos o resoluciones definitivas de los partidos políticos que sean susceptibles de vulnerar irreparablemente los derechos político-electorales de sus militantes o de otros ciudadanos vinculados directamente con ellos, cuando no existan medios específicos para conseguir la restitución oportuna y directa de esos derechos, a través de la impugnación de algún acto o resolución concretos de una autoridad electoral.</w:t>
      </w:r>
    </w:p>
    <w:p w14:paraId="3E09D0D0"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199C89CA"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En dichos asuntos se determinó que no era  obstáculo para la adopción de dicho criterio, el hecho de que en la Ley General del Sistema de Medios de Impugnación en Materia Electoral no existan reglas precisas especiales, que regulen el procedimiento del juicio para la protección de los derechos político-electorales del ciudadano, cuando el sujeto pasivo sea un partido político, puesto que es posible aplicar las reglas existentes, adecuándolas al caso concreto, utilizar analógicamente preceptos de otros medios de impugnación previstos en la propia ley, o echar mano de los principios generales del derecho procesal conforme al criterio reiterado por los tribunales federales, así como por esta Sala Superior, en el sentido de que si la Constitución o las leyes establecen un derecho, pero la ley no establece un proceso para su protección, esta circunstancia no implica, ni faculta a la autoridad para la vulneración de los artículos 14 y 17 constitucionales, sino que debe ser instaurado un proceso encaminado a proteger el derecho, en el cual se respeten las formalidades esenciales del procedimiento.</w:t>
      </w:r>
    </w:p>
    <w:p w14:paraId="255ED623"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4249C8B1"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lastRenderedPageBreak/>
        <w:t>En igual sentido, se pronuncio esta Sala Superior en los asuntos SUP-RAP-17/2006, SUP-RAP-34/2006 y acumulado, así como SUP-JRC-202/2007 al establecer, a pesar de que en la legislación electoral no se encontraba regulado, el denominado procedimiento sumario preventivo.</w:t>
      </w:r>
    </w:p>
    <w:p w14:paraId="23A50F2F"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0E445299"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En tales determinaciones, se consideró que el principio rector, contenido en la fracción IV del artículo 116 de la Constitución Política de los Estados Unidos Mexicanos, permite establecer que las autoridades administrativas electorales tienen atribuciones relacionadas con la vigilancia de las actividades de los partidos políticos y coaliciones, así como de los candidatos y sus simpatizantes, para que tales actividades se desarrollen con apego a la ley. El ejercicio de dichas atribuciones debe satisfacer el principio depurador del proceso electoral respectivo, a fin de asegurar su apego a la legalidad a través del voto universal, libre, secreto y directo, con la finalidad de preservar la voluntad popular cuando se requiera la reorientación o reencauzamiento de las actividades de los actores políticos, a través del ejercicio de atribuciones correctivas e inhibitorias de la autoridad y no exclusivamente de aquellas que sean sancionadoras o anulatorias. De ahí que, la falta de regulación expresa en la ley ordinaria de un procedimiento sumario preventivo, no es obstáculo para que la autoridad electoral lo instaure, pues se deben privilegiar los principios rectores del orden constitucional.</w:t>
      </w:r>
    </w:p>
    <w:p w14:paraId="6E2166DC"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p w14:paraId="1273F75E"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8"/>
          <w:lang w:val="es-ES" w:eastAsia="es-ES"/>
        </w:rPr>
        <w:t xml:space="preserve">Por todo lo expuesto, es claro que la inexistencia de una ley secundaria respecto de un derecho fundamental no constituye una </w:t>
      </w:r>
      <w:r w:rsidRPr="00CF2780">
        <w:rPr>
          <w:rFonts w:ascii="Arial" w:eastAsia="Times New Roman" w:hAnsi="Arial" w:cs="Arial"/>
          <w:sz w:val="28"/>
          <w:szCs w:val="28"/>
          <w:lang w:val="es-ES" w:eastAsia="es-ES"/>
        </w:rPr>
        <w:lastRenderedPageBreak/>
        <w:t>causa justificada para impedir el ejercicio de ese derecho y, mucho menos, para vulnerarlo, puesto que en ese tipo de situaciones los tribunales se encuentran en aptitud de aplicar directamente la Constitución a efecto de salvaguardar y proteger ese derecho.</w:t>
      </w:r>
    </w:p>
    <w:p w14:paraId="05E584EE"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51293F47"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Finalmente, cabe mencionar que en lo referente al tema de los límites del derecho al autogobierno se tiene lo siguiente.</w:t>
      </w:r>
    </w:p>
    <w:p w14:paraId="366D7610"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2057138A"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La implementación eficaz de los derechos de los pueblos indígenas reconocidos internacionalmente exige el reconocimiento y la aceptación de las costumbres, el derecho consuetudinario y los sistemas jurídicos de los pueblos indígenas, en especial en lo que respecta a la determinación de sus formas de organización y en la determinación de sus autoridades.</w:t>
      </w:r>
    </w:p>
    <w:p w14:paraId="479552CC"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469648C1"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Sin embargo, tanto la Constitución como los instrumentos internacionales de la materia determinan que esta implementación tiene límites.</w:t>
      </w:r>
    </w:p>
    <w:p w14:paraId="0E71FC7E"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45F02239"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 xml:space="preserve">En efecto, el  artículo 8, apartado 2, del Convenio número 169 establece que los pueblos indígenas tienen derecho a de conservar sus costumbres e instituciones propias, siempre que éstas no sean incompatibles con los derechos fundamentales definidos por el sistema jurídico nacional ni con los derechos humanos internacionalmente reconocidos. </w:t>
      </w:r>
    </w:p>
    <w:p w14:paraId="285DC43E"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303E48B4"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lastRenderedPageBreak/>
        <w:t xml:space="preserve">Por tanto, sólo quedan excluidas aquellas costumbres e instituciones que sean incompatibles con los derechos fundamentales definidos por el sistema jurídico nacional y con los derechos humanos internacionalmente reconocidos. </w:t>
      </w:r>
    </w:p>
    <w:p w14:paraId="6077F47C"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74EB23BE"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 xml:space="preserve">En esa medida, el artículo 34 de la Declaración de las Naciones Unidas sobre los Derechos de los Pueblos Indígenas reafirma este principio en el sentido de que son los derechos humanos internacionalmente reconocidos los que determinan los parámetros para decidir qué costumbres son inaceptables, pues los mismos establecen los parámetros universales mínimos para los derechos y libertades humanos que surgen de la dignidad inherente a la persona humana. </w:t>
      </w:r>
    </w:p>
    <w:p w14:paraId="7BC72309"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21980995"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 xml:space="preserve">El artículo 34 de la Declaración estipula que los pueblos indígenas tienen derecho a promover, desarrollar y mantener sus estructuras institucionales y sus propias costumbres, espiritualidad, tradiciones, procedimientos, prácticas y, cuando existan, costumbres o sistemas jurídicos, de conformidad con las normas internacionales de derechos humanos. </w:t>
      </w:r>
    </w:p>
    <w:p w14:paraId="60B44F9A"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005EA2D0"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Asimismo, a lo largo del texto constitucional se dispone que los derechos de los indígenas deben respetar las garantías individuales, los derechos humanos y, de manera relevante, la dignidad e integridad de las mujeres.</w:t>
      </w:r>
    </w:p>
    <w:p w14:paraId="4998AD33"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01395ABE"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lastRenderedPageBreak/>
        <w:t xml:space="preserve">En este punto, importa mencionar que el hecho de que se reconozca jurídicamente la existencia de procedimientos electorales consuetudinarios, no implica prácticas discriminatorias prohibidas por el artículo 1o. de la Constitución Política de los Estados Unidos Mexicanos. </w:t>
      </w:r>
    </w:p>
    <w:p w14:paraId="105AEB64"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0B050FEF"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 xml:space="preserve">Una de las concreciones normativas del principio de igualdad, en específico, la contenida en el artículo de referencia, según el cual está prohibida toda discriminación motivada por origen étnico o nacional, género, edad, capacidades diferentes, condición social, condiciones de salud, religión, opiniones, preferencias, estado civil o cualquiera otra que atente contra la dignidad humana y tenga por objeto anular o menoscabar los derechos y libertades de las personas. </w:t>
      </w:r>
    </w:p>
    <w:p w14:paraId="5C40F011"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4246B320"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 xml:space="preserve">Si este precepto se leyera de manera superficial, podría conducir al equívoco de considerar que lo que se encuentra prohibido es toda discriminación, entendida como mera diferenciación por los motivos ahí enunciados, pues, literalmente, si distinguir por cualquier condición o circunstancia personal o social fuera discriminatorio, serían incompatibles con esta disposición innumerables leyes e, incluso, diversas normas constitucionales, como la tutela privilegiada a los trabajadores o normas establecidas para regular los derechos reconocidos a los pueblos y comunidades indígenas y sus miembros (artículo 2o. constitucional), dado que el punto de referencia para la diferenciación o discriminación en tales supuestos es, precisamente, una determinada situación personal. </w:t>
      </w:r>
    </w:p>
    <w:p w14:paraId="2D52A6D9"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56D78C9A"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lastRenderedPageBreak/>
        <w:t>Sin embargo, de la interpretación de dicho artículo lleva a percatarse que, tras describir los motivos que son causa de discriminación, se agrega "... o cualquier otra que atente contra la dignidad humana y tenga por objeto anular o menoscabar los derechos y libertades de las personas", enunciado que permite concluir que la discriminación no es ocasionada por la diferenciación basada en alguna de las circunstancias allí mencionadas, sino que por discriminación, en el sentido jurídico constitucional que es utilizado, se ha de entender la diferenciación injusta, aquella que no toma en cuenta criterios objetivos, razonables y proporcionales para diferenciar o, utilizando la expresión empleada por el Poder revisor de la Constitución, aquella que atenta contra la dignidad humana y tiene como propósito o consecuencia reducir o dejar sin efecto los derechos y libertades de los individuos.</w:t>
      </w:r>
    </w:p>
    <w:p w14:paraId="2639CB82"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124112B8"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 xml:space="preserve">Lo anterior, implica que constituye una falacia pretender que los usos, costumbres y prácticas tradicionales constituyen, </w:t>
      </w:r>
      <w:r w:rsidRPr="00CF2780">
        <w:rPr>
          <w:rFonts w:ascii="Arial" w:eastAsia="Times New Roman" w:hAnsi="Arial" w:cs="Arial"/>
          <w:i/>
          <w:sz w:val="28"/>
          <w:szCs w:val="24"/>
          <w:lang w:val="es-ES" w:eastAsia="es-ES"/>
        </w:rPr>
        <w:t>per se</w:t>
      </w:r>
      <w:r w:rsidRPr="00CF2780">
        <w:rPr>
          <w:rFonts w:ascii="Arial" w:eastAsia="Times New Roman" w:hAnsi="Arial" w:cs="Arial"/>
          <w:sz w:val="28"/>
          <w:szCs w:val="24"/>
          <w:lang w:val="es-ES" w:eastAsia="es-ES"/>
        </w:rPr>
        <w:t xml:space="preserve"> o por ese sólo hecho, conculcaciones a los derechos humanos, al implicar la aplicación de medidas específicas a favor de un sector de la población, sino que es necesario siempre y en todos los casos analizar de manera específica el uso, costumbre o practica impugnada a efecto de determinar lo conducente</w:t>
      </w:r>
    </w:p>
    <w:p w14:paraId="6577E42C"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43796931"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 xml:space="preserve">El criterio anterior se encuentra contenido en la tesis CLII/2002 consultable en </w:t>
      </w:r>
      <w:r w:rsidRPr="00CF2780">
        <w:rPr>
          <w:rFonts w:ascii="Arial" w:eastAsia="Times New Roman" w:hAnsi="Arial" w:cs="Arial"/>
          <w:sz w:val="28"/>
          <w:szCs w:val="28"/>
          <w:lang w:val="es-ES" w:eastAsia="es-ES"/>
        </w:rPr>
        <w:t xml:space="preserve">las páginas 1676 y 1677 de la </w:t>
      </w:r>
      <w:r w:rsidRPr="00CF2780">
        <w:rPr>
          <w:rFonts w:ascii="Arial" w:eastAsia="Times New Roman" w:hAnsi="Arial" w:cs="Arial"/>
          <w:i/>
          <w:sz w:val="28"/>
          <w:szCs w:val="28"/>
          <w:lang w:val="es-ES" w:eastAsia="es-ES"/>
        </w:rPr>
        <w:t>Compilación 1997-2010: Jurisprudencia y tesis en materia electoral</w:t>
      </w:r>
      <w:r w:rsidRPr="00CF2780">
        <w:rPr>
          <w:rFonts w:ascii="Arial" w:eastAsia="Times New Roman" w:hAnsi="Arial" w:cs="Arial"/>
          <w:sz w:val="28"/>
          <w:szCs w:val="28"/>
          <w:lang w:val="es-ES" w:eastAsia="es-ES"/>
        </w:rPr>
        <w:t xml:space="preserve">, tomo II Tesis, volumen 2, publicada por el Tribunal </w:t>
      </w:r>
      <w:r w:rsidRPr="00CF2780">
        <w:rPr>
          <w:rFonts w:ascii="Arial" w:eastAsia="Times New Roman" w:hAnsi="Arial" w:cs="Arial"/>
          <w:sz w:val="28"/>
          <w:szCs w:val="24"/>
          <w:lang w:val="es-ES" w:eastAsia="es-ES"/>
        </w:rPr>
        <w:t>Electoral del Poder Judicial de la Federación, cuyo rubro es:</w:t>
      </w:r>
      <w:bookmarkStart w:id="9" w:name="TEXTO_CLII/2002"/>
      <w:r w:rsidRPr="00CF2780">
        <w:rPr>
          <w:rFonts w:ascii="Arial" w:eastAsia="Times New Roman" w:hAnsi="Arial" w:cs="Arial"/>
          <w:sz w:val="28"/>
          <w:szCs w:val="24"/>
          <w:lang w:val="es-ES" w:eastAsia="es-ES"/>
        </w:rPr>
        <w:t xml:space="preserve"> “</w:t>
      </w:r>
      <w:hyperlink r:id="rId18" w:anchor="CLII/2002" w:history="1">
        <w:r w:rsidRPr="00CF2780">
          <w:rPr>
            <w:rFonts w:ascii="Arial" w:eastAsia="Times New Roman" w:hAnsi="Arial" w:cs="Arial"/>
            <w:b/>
            <w:sz w:val="28"/>
            <w:szCs w:val="24"/>
            <w:lang w:val="es-ES" w:eastAsia="es-ES"/>
          </w:rPr>
          <w:t xml:space="preserve">USOS Y COSTUMBRES. LAS ELECCIONES POR </w:t>
        </w:r>
        <w:r w:rsidRPr="00CF2780">
          <w:rPr>
            <w:rFonts w:ascii="Arial" w:eastAsia="Times New Roman" w:hAnsi="Arial" w:cs="Arial"/>
            <w:b/>
            <w:sz w:val="28"/>
            <w:szCs w:val="24"/>
            <w:lang w:val="es-ES" w:eastAsia="es-ES"/>
          </w:rPr>
          <w:lastRenderedPageBreak/>
          <w:t>ESTE SISTEMA NO IMPLICAN POR SÍ MISMAS VIOLACIÓN AL PRINCIPIO DE IGUALDAD”.</w:t>
        </w:r>
      </w:hyperlink>
      <w:bookmarkEnd w:id="9"/>
    </w:p>
    <w:p w14:paraId="23C54449"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61D962EF"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Ahora bien, a partir de estas premisas se tiene que si bien en la elección de sus autoridades deben necesariamente aplicarse en el proceso comicial los usos y costumbres propios de la comunidad, sin que, para ello, tengan que seguirse escrupulosamente los principios rectores y organizacionales de toda elección, contemplados en la Constitución, ello no significa que, merced al ejercicio de este derecho Constitucional, puedan convalidarse situaciones o conductas tendentes a perpetuar o reinstaurar viejas desigualdades que tradicionalmente han perjudicado a individuos o minorías pertenecientes a los conglomerados indígenas, por ser irreconciliables con los valores, principios y derechos que postula un Estado Constitucional Democrático de Derecho y con la finalidad y razón misma del origen de ese derecho subjetivo.</w:t>
      </w:r>
    </w:p>
    <w:p w14:paraId="6BB5506D"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25DB4B21"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En efecto, los derechos fundamentales, por encima de cualquier otra finalidad y función, se hallan al servicio de la persona humana y de sus fines esenciales. Dichos servicios se concretan en la protección de una serie de bienes jurídicos que el constituyente estimó de especial importancia a la luz de las circunstancias históricas. Así, desde una compresión de interdependencia e indivisibilidad de los derechos fundamentales es posible afirmar que todos contribuyen coordinadamente al logro de los fines existenciales de la persona, sin que necesariamente quepa establecer jerarquías entre ellos, pues todos, cada uno en su medida, caminan en la misma dirección.</w:t>
      </w:r>
    </w:p>
    <w:p w14:paraId="68DDE942"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244A72A1"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lastRenderedPageBreak/>
        <w:t>De la misma forma en que el desconocimiento de los derechos indígenas impide el acceso a los restantes derechos humanos por parte de esas comunidades; la conculcación de esos derechos por ciertos usos y costumbres indígenas impiden el ejercicio pleno y coherente de los derechos de esos pueblos.</w:t>
      </w:r>
    </w:p>
    <w:p w14:paraId="571C424F"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7228B6E6"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Consecuentemente, no puede estimarse como válido aquél desarrollo de conductas que, pretendiéndose amparar en un derecho fundamental recogido en el sistema jurídico, tenga como efecto conculcar otro derecho establecido por la propia Constitución o en un tratado internacional suscrito y ratificado por México, o bien, que tenga aparejada la vulneración de la dignidad de la persona humana, pues, en esos casos, las conductas desplegadas se encuentran fuera de toda cobertura o protección jurídica.</w:t>
      </w:r>
    </w:p>
    <w:p w14:paraId="1EFD8C78"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00029544"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 xml:space="preserve">Así lo ha entendido el constituyente permanente cuando en diversos apartados del artículo 2 ha establecido que la aplicación de los sistemas normativos indígenas para la regulación y solución de sus conflictos internos, debe sujetarse a los principios generales de la Constitución, así como respetar las garantías individuales, derechos humanos y, especialmente, la dignidad e integridad de las mujeres (apartado A, fracción II), que la elección de las autoridades o representantes para el ejercicio de sus formas propias de gobierno, conforme sus normas, procedimientos y prácticas tradicionales, debe garantizar la participación de las mujeres en condiciones de equidad frente a los varones (apartado A, fracción III), o bien, al imponer un deber a la federación, los estados y los municipios para propiciar la </w:t>
      </w:r>
      <w:r w:rsidRPr="00CF2780">
        <w:rPr>
          <w:rFonts w:ascii="Arial" w:eastAsia="Times New Roman" w:hAnsi="Arial" w:cs="Arial"/>
          <w:sz w:val="28"/>
          <w:szCs w:val="24"/>
          <w:lang w:val="es-ES" w:eastAsia="es-ES"/>
        </w:rPr>
        <w:lastRenderedPageBreak/>
        <w:t>incorporación de las mujeres indígenas al desarrollo, mediante el apoyo a sus proyectos productivos, la protección de su salud, el otorgamiento de estímulos para favorecer su educación y su participación en la toma de decisiones con la vida comunitaria (apartado B, fracción V).</w:t>
      </w:r>
    </w:p>
    <w:p w14:paraId="7E24F19E"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6A564923"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El Convenio sobre pueblos indígenas y tribales, 1989, guarda la misma postura delineada por el poder revisor de la Constitución, al establecer como reglas generales, en su artículo 8, las siguientes:</w:t>
      </w:r>
    </w:p>
    <w:p w14:paraId="0B40AC65"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4B2248A7"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a) Si bien en la aplicación de la legislación nacional a los pueblos indígenas (comprendiendo, consecuentemente, a las comunidades e individuos que los integren) deben tomarse en cuenta sus costumbres o derecho consuetudinario, su resultado no puede tener como consecuencia impedir a los miembros de los mismos ejercer los derechos reconocidos a todos los ciudadanos del país y asumir las obligaciones correspondientes.</w:t>
      </w:r>
    </w:p>
    <w:p w14:paraId="7D49FDB7"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1A974786"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b) El derecho de los pueblos, comunidades e individuos indígenas a conservar (y, por ende, practicar) sus costumbres e instituciones propias, se encuentra supeditado o tiene como límite la incompatibilidad de tales costumbres e instituciones con los derechos fundamentales definidos por el sistema jurídico nacional o con los derechos humanos internacionalmente reconocidos, o bien, si su ejercicio o actualización tiene como efecto impedir a los miembros de estas colectividades ejercer los derechos reconocidos a todos los ciudadanos y asumir las obligaciones respectivas.</w:t>
      </w:r>
    </w:p>
    <w:p w14:paraId="389FA4D7"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5F8398AE"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lastRenderedPageBreak/>
        <w:t>En consecuencia, por cuanto importa al asunto que se trata, debe concluirse que en los comicios que se lleven a cabo por usos, costumbres o derecho consuetudinario, si bien no resultan exactamente aplicables los principios rectores de corte constitucional que rigen a toda elección, para que se les reconozca validez a los procedimientos o prácticas que se sigan, éstos no deben ser incompatibles con los derechos fundamentales recogidos por la Carta Magna ni con los derechos humanos contenidos en los instrumentos internacionales suscritos y ratificados por México, así como tampoco, tener como consecuencia impedir a los individuos que conformen los pueblos y comunidades indígenas, ejercer los derechos reconocidos a todos los ciudadanos del país y asumir las obligaciones correspondientes.</w:t>
      </w:r>
    </w:p>
    <w:p w14:paraId="56853D7A"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50944B3C"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Por ende, el reconocimiento y aplicación del derecho al autogobierno que asiste a la comunidad indígena de Cherán en forma alguna pueden traducirse en que las autoridades o los ciudadanos se encuentren compelidos a obedecer aquellas situaciones en que la práctica de ciertos procedimientos o instituciones propias del derecho consuetudinario de los pueblos y comunidades indígenas pudieren conculcar algún o algunos derechos fundamentales recogidos por la Constitución federal o los tratados internacionales suscritos y ratificados por el gobierno mexicano, y, mucho menos, que los tribunales deban desarrollar una actividad mecánica o letrística de las disposiciones, conductas y situaciones que resultaren conducentes al momento de analizar los límites en que debe ejercerse el derecho a utilizar los usos o costumbres indígenas.</w:t>
      </w:r>
    </w:p>
    <w:p w14:paraId="6417156F"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649E3EF4"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lastRenderedPageBreak/>
        <w:t>Por el contrario, debe tenerse en cuenta que los derechos fundamentales constituyen el fundamento mismo de orden público-jurídico del Estado, en virtud del doble carácter que revisten.  Por un lado, se trata de derechos subjetivos en cuanto tutelan un status jurídico o la libertad en un ámbito de la existencia. Al mismo tiempo, se constituyen como elementos esenciales del ordenamiento objetivo de la comunidad nacional, en cuanto ésta se configura como marco de una convivencia justa y pacífica, sirviendo así como fundamento de la unidad política.</w:t>
      </w:r>
    </w:p>
    <w:p w14:paraId="25E20B9B"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6BE4018A"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La Constitución concede, entonces, protección de los derechos fundamentales considerados no en sentido teórico o ideal, sino como derechos reales y efectivos, y ello impone el deber de examinar sus presuntas vulneraciones mediante la utilización de criterios sustantivos que, atendiendo al contenido y finalidad del derecho que se supone transgredido, permita apreciar si esa vulneración se ha, o no, real y efectivamente producido, más allá de la mera apariencia nominalista, atendiendo especialmente, en la especie, a la idiosincrasia y circunstancias especiales de los pueblos y comunidades indígenas.</w:t>
      </w:r>
    </w:p>
    <w:p w14:paraId="251BE8DF"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3AC16F7B"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 xml:space="preserve">Consecuentemente, los derechos fundamentales reconocidos por la Constitución federal a las colectividades y personas indígenas sólo pueden ceder ante los límites que la propia Constitución expresamente imponga, o, como acontece con el artículo 8 del Convenio sobre pueblos indígenas y tribales, 1989, ante los que de manera mediata o directa se infieran de la misma al resultar justificados por la necesidad de preservar otros derechos o bienes jurídicamente protegidos, siempre y </w:t>
      </w:r>
      <w:r w:rsidRPr="00CF2780">
        <w:rPr>
          <w:rFonts w:ascii="Arial" w:eastAsia="Times New Roman" w:hAnsi="Arial" w:cs="Arial"/>
          <w:sz w:val="28"/>
          <w:szCs w:val="24"/>
          <w:lang w:val="es-ES" w:eastAsia="es-ES"/>
        </w:rPr>
        <w:lastRenderedPageBreak/>
        <w:t>cuando, se reitera, la infracción a tales derechos sea de corte sustancial, y no instrumental, para los bienes que con los mismos se pretende tutelar.</w:t>
      </w:r>
    </w:p>
    <w:p w14:paraId="29DE8B91"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599CF0E6"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 xml:space="preserve">Así, por ejemplo, esta Sala Superior ha determinado que si bien las elecciones por usos y costumbres indígenas no contravienen el principio constitucional de igualdad; cuando impliquen actividades que violenten la universalidad del voto, no serán válidas. </w:t>
      </w:r>
    </w:p>
    <w:p w14:paraId="74D27C5F"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49FA3A07"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 xml:space="preserve">Lo anterior, porque de la interpretación de los artículos 30, 34, 35, fracción I y 36, fracción III, 115, primer párrafo, fracción I; 116, segundo párrafo, fracción I, párrafo segundo y fracción IV inciso a); así como 122, párrafos cuarto y sexto, apartado C, base primera, fracción I de la Constitución federal, se infiere que el derecho de sufragio constituye la piedra angular del sistema democrático, en tanto que, con su ejercicio, se permite la necesaria conexión entre los ciudadanos y el poder público, legitimando a éste; de ahí que, si se considera que en una elección no se respetó el principio de universalidad del sufragio, ello conduce a establecer que se han infringido los preceptos que lo tutelan y que, además, se ha atentado contra la esencia misma del sistema democrático. </w:t>
      </w:r>
    </w:p>
    <w:p w14:paraId="1F90FF94"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18A98CDC"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3B8DA153"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 xml:space="preserve">Por lo tanto, la característica de universalidad del sufragio implica que, salvo las excepciones expresamente permitidas por los ordenamientos nacional y estatal, toda persona física se encuentra en aptitud de ejercerlo en las elecciones populares que se celebren, para </w:t>
      </w:r>
      <w:r w:rsidRPr="00CF2780">
        <w:rPr>
          <w:rFonts w:ascii="Arial" w:eastAsia="Times New Roman" w:hAnsi="Arial" w:cs="Arial"/>
          <w:sz w:val="28"/>
          <w:szCs w:val="24"/>
          <w:lang w:val="es-ES" w:eastAsia="es-ES"/>
        </w:rPr>
        <w:lastRenderedPageBreak/>
        <w:t xml:space="preserve">la renovación de los órganos públicos representativos del Estado mexicano, sean estos federales, estatales o municipales ordinarias, o mediante reglas de derecho consuetudinario, sin que para tales efectos sean relevantes cualesquiera otras circunstancias o condiciones sociales o personales, tales como etnia, raza, sexo, dignidad, mérito, experiencia, formación, rendimiento, etcétera. </w:t>
      </w:r>
    </w:p>
    <w:p w14:paraId="4372B8FB"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232F4822"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 xml:space="preserve">Por ello, es posible afirmar que la universalidad del sufragio, se funda en el principio de un hombre, un voto; con el cual se pretende el máximo ensanchamiento del cuerpo electoral en orden a asegurar la coincidencia del electorado activo con la capacidad de derecho público. </w:t>
      </w:r>
    </w:p>
    <w:p w14:paraId="67EEF6BF"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557CF8A5"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Consecuentemente, si en una comunidad indígena no se permitiera votar a los ciudadanos que tienen derecho por determinadas prácticas tradicionales, entonces dicha restricción se traduciría en la negación o anulación de su derecho fundamental a sufragar, y ello significaría la transgresión al principio de igualdad, visto desde el punto de vista subjetivo que emana de dicha norma, el derecho a no ser discriminado injustamente; por lo tanto, esta situación violatoria de derechos fundamentales, queda excluida del ámbito de reconocimiento y tutela de los derechos de los pueblos y comunidades indígenas previstos por la Constitución federal, al resultar incompatible con los derechos fundamentales que han quedado precisados; por lo que, en consecuencia, esa práctica o tradición de una comunidad indígena no tendría el carácter de democrática.</w:t>
      </w:r>
    </w:p>
    <w:p w14:paraId="365BA410"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74B1D6A5"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lastRenderedPageBreak/>
        <w:t xml:space="preserve">El criterio anterior se encuentra contenido en la tesis CLI/2002 consultable en </w:t>
      </w:r>
      <w:r w:rsidRPr="00CF2780">
        <w:rPr>
          <w:rFonts w:ascii="Arial" w:eastAsia="Times New Roman" w:hAnsi="Arial" w:cs="Arial"/>
          <w:sz w:val="28"/>
          <w:szCs w:val="28"/>
          <w:lang w:val="es-ES" w:eastAsia="es-ES"/>
        </w:rPr>
        <w:t xml:space="preserve">las páginas 1676 y 1677 de la </w:t>
      </w:r>
      <w:r w:rsidRPr="00CF2780">
        <w:rPr>
          <w:rFonts w:ascii="Arial" w:eastAsia="Times New Roman" w:hAnsi="Arial" w:cs="Arial"/>
          <w:i/>
          <w:sz w:val="28"/>
          <w:szCs w:val="28"/>
          <w:lang w:val="es-ES" w:eastAsia="es-ES"/>
        </w:rPr>
        <w:t>Compilación 1997-2010: Jurisprudencia y tesis en materia electoral</w:t>
      </w:r>
      <w:r w:rsidRPr="00CF2780">
        <w:rPr>
          <w:rFonts w:ascii="Arial" w:eastAsia="Times New Roman" w:hAnsi="Arial" w:cs="Arial"/>
          <w:sz w:val="28"/>
          <w:szCs w:val="28"/>
          <w:lang w:val="es-ES" w:eastAsia="es-ES"/>
        </w:rPr>
        <w:t xml:space="preserve">, tomo II Tesis, volumen 2, publicada por el Tribunal </w:t>
      </w:r>
      <w:r w:rsidRPr="00CF2780">
        <w:rPr>
          <w:rFonts w:ascii="Arial" w:eastAsia="Times New Roman" w:hAnsi="Arial" w:cs="Arial"/>
          <w:sz w:val="28"/>
          <w:szCs w:val="24"/>
          <w:lang w:val="es-ES" w:eastAsia="es-ES"/>
        </w:rPr>
        <w:t xml:space="preserve">Electoral del Poder Judicial de la Federación, cuyo rubro es: </w:t>
      </w:r>
      <w:bookmarkStart w:id="10" w:name="TEXTO_CLI/2002"/>
      <w:r w:rsidRPr="00CF2780">
        <w:rPr>
          <w:rFonts w:ascii="Arial" w:eastAsia="Times New Roman" w:hAnsi="Arial" w:cs="Arial"/>
          <w:sz w:val="28"/>
          <w:szCs w:val="24"/>
          <w:lang w:val="es-ES" w:eastAsia="es-ES"/>
        </w:rPr>
        <w:t>“</w:t>
      </w:r>
      <w:hyperlink r:id="rId19" w:anchor="CLI/2002_" w:history="1">
        <w:r w:rsidRPr="00CF2780">
          <w:rPr>
            <w:rFonts w:ascii="Arial" w:eastAsia="Times New Roman" w:hAnsi="Arial" w:cs="Arial"/>
            <w:b/>
            <w:sz w:val="28"/>
            <w:szCs w:val="24"/>
            <w:lang w:val="es-ES" w:eastAsia="es-ES"/>
          </w:rPr>
          <w:t>USOS Y COSTUMBRES. ELECCIONES EFECTUADAS BAJO ESTE RÉGIMEN PUEDEN SER AFECTADAS SI VULNERAN EL PRINCIPIO DE UNIVERSALIDAD DEL SUFRAGIO</w:t>
        </w:r>
      </w:hyperlink>
      <w:bookmarkEnd w:id="10"/>
      <w:r w:rsidRPr="00CF2780">
        <w:rPr>
          <w:rFonts w:ascii="Arial" w:eastAsia="Times New Roman" w:hAnsi="Arial" w:cs="Arial"/>
          <w:sz w:val="28"/>
          <w:szCs w:val="24"/>
          <w:lang w:val="es-ES" w:eastAsia="es-ES"/>
        </w:rPr>
        <w:t>”.</w:t>
      </w:r>
    </w:p>
    <w:p w14:paraId="65847A2A"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264F91C6"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b/>
          <w:sz w:val="28"/>
          <w:szCs w:val="28"/>
          <w:lang w:val="es-ES" w:eastAsia="es-ES"/>
        </w:rPr>
        <w:t xml:space="preserve">NOVENO. </w:t>
      </w:r>
      <w:r w:rsidRPr="00CF2780">
        <w:rPr>
          <w:rFonts w:ascii="Arial" w:eastAsia="Times New Roman" w:hAnsi="Arial" w:cs="Arial"/>
          <w:b/>
          <w:sz w:val="28"/>
          <w:szCs w:val="24"/>
          <w:lang w:val="es-ES" w:eastAsia="es-ES"/>
        </w:rPr>
        <w:t xml:space="preserve">Efectos. </w:t>
      </w:r>
      <w:r w:rsidRPr="00CF2780">
        <w:rPr>
          <w:rFonts w:ascii="Arial" w:eastAsia="Times New Roman" w:hAnsi="Arial" w:cs="Arial"/>
          <w:sz w:val="28"/>
          <w:szCs w:val="24"/>
          <w:lang w:val="es-ES" w:eastAsia="es-ES"/>
        </w:rPr>
        <w:t>En virtud de lo establecido en el considerando anterior lo procedente es determinar los efectos de la presente resolución:</w:t>
      </w:r>
    </w:p>
    <w:p w14:paraId="55981DB6"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47B8C594" w14:textId="77777777" w:rsidR="00AD59FF" w:rsidRPr="00CF2780" w:rsidRDefault="00AD59FF" w:rsidP="001C6A89">
      <w:pPr>
        <w:numPr>
          <w:ilvl w:val="0"/>
          <w:numId w:val="13"/>
        </w:numPr>
        <w:spacing w:after="0" w:line="360" w:lineRule="auto"/>
        <w:jc w:val="both"/>
        <w:rPr>
          <w:rFonts w:ascii="Arial" w:eastAsia="Times New Roman" w:hAnsi="Arial" w:cs="Arial"/>
          <w:bCs/>
          <w:color w:val="000000"/>
          <w:spacing w:val="3"/>
          <w:sz w:val="28"/>
          <w:szCs w:val="28"/>
          <w:lang w:val="es-ES_tradnl" w:eastAsia="es-ES"/>
        </w:rPr>
      </w:pPr>
      <w:r w:rsidRPr="00CF2780">
        <w:rPr>
          <w:rFonts w:ascii="Arial" w:eastAsia="Times New Roman" w:hAnsi="Arial" w:cs="Arial"/>
          <w:sz w:val="28"/>
          <w:szCs w:val="28"/>
          <w:lang w:val="es-ES" w:eastAsia="es-ES"/>
        </w:rPr>
        <w:t xml:space="preserve">De acuerdo a lo establecido en </w:t>
      </w:r>
      <w:r w:rsidRPr="00CF2780">
        <w:rPr>
          <w:rFonts w:ascii="Arial" w:eastAsia="Times New Roman" w:hAnsi="Arial" w:cs="Arial"/>
          <w:bCs/>
          <w:sz w:val="28"/>
          <w:szCs w:val="28"/>
          <w:lang w:val="es-ES_tradnl" w:eastAsia="es-ES"/>
        </w:rPr>
        <w:t xml:space="preserve">los artículos 2º, Apartado A, fracción III, de la Constitución Política de los Estados Unidos Mexicanos; 3º, segundo párrafo de la Constitución Política del Estado Libre y Soberano de Michoacán, 5, incisos a) y b); </w:t>
      </w:r>
      <w:r w:rsidRPr="00CF2780">
        <w:rPr>
          <w:rFonts w:ascii="Arial" w:eastAsia="Times New Roman" w:hAnsi="Arial" w:cs="Arial"/>
          <w:sz w:val="28"/>
          <w:szCs w:val="28"/>
          <w:lang w:val="es-ES" w:eastAsia="es-ES"/>
        </w:rPr>
        <w:t xml:space="preserve">7, párrafo 1, </w:t>
      </w:r>
      <w:r w:rsidRPr="00CF2780">
        <w:rPr>
          <w:rFonts w:ascii="Arial" w:eastAsia="Times New Roman" w:hAnsi="Arial" w:cs="Arial"/>
          <w:bCs/>
          <w:sz w:val="28"/>
          <w:szCs w:val="28"/>
          <w:lang w:val="es-ES_tradnl" w:eastAsia="es-ES"/>
        </w:rPr>
        <w:t xml:space="preserve">y 8, párrafo 2, del Convenio número 169 de la Organización Internacional del Trabajo sobre Pueblos Indígenas y Tribales en Países Independientes; así como 1, tanto del </w:t>
      </w:r>
      <w:r w:rsidRPr="00CF2780">
        <w:rPr>
          <w:rFonts w:ascii="Arial" w:eastAsia="Times New Roman" w:hAnsi="Arial" w:cs="Arial"/>
          <w:bCs/>
          <w:sz w:val="28"/>
          <w:szCs w:val="28"/>
          <w:lang w:val="es-ES" w:eastAsia="es-ES"/>
        </w:rPr>
        <w:t xml:space="preserve">Pacto Internacional de Derechos Civiles y Políticos como del Pacto Internacional de Derechos Económicos, Sociales y Culturales, </w:t>
      </w:r>
      <w:r w:rsidRPr="00CF2780">
        <w:rPr>
          <w:rFonts w:ascii="Arial" w:eastAsia="Times New Roman" w:hAnsi="Arial" w:cs="Arial"/>
          <w:bCs/>
          <w:color w:val="000000"/>
          <w:spacing w:val="3"/>
          <w:sz w:val="28"/>
          <w:szCs w:val="28"/>
          <w:lang w:val="es-ES_tradnl" w:eastAsia="es-ES"/>
        </w:rPr>
        <w:t xml:space="preserve">así como 4, 5, 20 y 33 de la Declaración de las Naciones Unidas sobre los Derechos de los Pueblos Indígenas se determina que los integrantes  de la comunidad indígena de Cherán que acuden al presente juicio tienen derecho a solicitar la elección de sus propias autoridades, </w:t>
      </w:r>
      <w:r w:rsidRPr="00CF2780">
        <w:rPr>
          <w:rFonts w:ascii="Arial" w:eastAsia="Times New Roman" w:hAnsi="Arial" w:cs="Arial"/>
          <w:bCs/>
          <w:color w:val="000000"/>
          <w:spacing w:val="3"/>
          <w:sz w:val="28"/>
          <w:szCs w:val="28"/>
          <w:lang w:val="es-ES_tradnl" w:eastAsia="es-ES"/>
        </w:rPr>
        <w:lastRenderedPageBreak/>
        <w:t>siguiendo para ello sus normas, procedimientos y prácticas tradicionales, con pleno respeto a los derechos humanos.</w:t>
      </w:r>
    </w:p>
    <w:p w14:paraId="16809F47" w14:textId="77777777" w:rsidR="00AD59FF" w:rsidRPr="00CF2780" w:rsidRDefault="00AD59FF" w:rsidP="00AD59FF">
      <w:pPr>
        <w:spacing w:after="0" w:line="360" w:lineRule="auto"/>
        <w:ind w:left="1068"/>
        <w:jc w:val="both"/>
        <w:rPr>
          <w:rFonts w:ascii="Arial" w:eastAsia="Times New Roman" w:hAnsi="Arial" w:cs="Arial"/>
          <w:bCs/>
          <w:color w:val="000000"/>
          <w:spacing w:val="3"/>
          <w:sz w:val="28"/>
          <w:szCs w:val="28"/>
          <w:lang w:val="es-ES_tradnl" w:eastAsia="es-ES"/>
        </w:rPr>
      </w:pPr>
    </w:p>
    <w:p w14:paraId="5F6B1878" w14:textId="77777777" w:rsidR="00AD59FF" w:rsidRPr="00CF2780" w:rsidRDefault="00AD59FF" w:rsidP="001C6A89">
      <w:pPr>
        <w:numPr>
          <w:ilvl w:val="0"/>
          <w:numId w:val="13"/>
        </w:numPr>
        <w:spacing w:after="0" w:line="360" w:lineRule="auto"/>
        <w:jc w:val="both"/>
        <w:rPr>
          <w:rFonts w:ascii="Arial" w:eastAsia="Times New Roman" w:hAnsi="Arial" w:cs="Arial"/>
          <w:bCs/>
          <w:color w:val="000000"/>
          <w:spacing w:val="3"/>
          <w:sz w:val="28"/>
          <w:szCs w:val="28"/>
          <w:lang w:val="es-ES_tradnl" w:eastAsia="es-ES"/>
        </w:rPr>
      </w:pPr>
      <w:r w:rsidRPr="00CF2780">
        <w:rPr>
          <w:rFonts w:ascii="Arial" w:eastAsia="Times New Roman" w:hAnsi="Arial" w:cs="Arial"/>
          <w:bCs/>
          <w:color w:val="000000"/>
          <w:spacing w:val="3"/>
          <w:sz w:val="28"/>
          <w:szCs w:val="28"/>
          <w:lang w:val="es-ES_tradnl" w:eastAsia="es-ES"/>
        </w:rPr>
        <w:t>En virtud de que, acorde con lo establecido en los artículos 41, 115 y 122 de la Constitución Política de los Estados Unidos Mexicanos uno de los principios rectores de toda elección democrática consiste en que la misma sea vigilada y sus resultados sean validados por una autoridad constitucionalmente autónoma, el Consejo General del Instituto Electoral de Michoacán,</w:t>
      </w:r>
      <w:r w:rsidRPr="00CF2780">
        <w:rPr>
          <w:rFonts w:ascii="Arial" w:eastAsia="Times New Roman" w:hAnsi="Arial" w:cs="Arial"/>
          <w:bCs/>
          <w:sz w:val="28"/>
          <w:szCs w:val="28"/>
          <w:lang w:val="es-ES" w:eastAsia="es-ES"/>
        </w:rPr>
        <w:t xml:space="preserve"> en su calidad de máxima autoridad electoral en la entidad, conforme a lo dispuesto en el artículo 98 de la constitución local, y atender lo relativo a la preparación, desarrollo y vigilancia de los procesos electorales, de acuerdo a lo establecido en el artículo 113, fracción III, del Código Electoral local</w:t>
      </w:r>
      <w:r w:rsidRPr="00CF2780">
        <w:rPr>
          <w:rFonts w:ascii="Arial" w:eastAsia="Times New Roman" w:hAnsi="Arial" w:cs="Arial"/>
          <w:bCs/>
          <w:color w:val="000000"/>
          <w:spacing w:val="3"/>
          <w:sz w:val="28"/>
          <w:szCs w:val="28"/>
          <w:lang w:val="es-ES_tradnl" w:eastAsia="es-ES"/>
        </w:rPr>
        <w:t xml:space="preserve"> de manera inmediata, deberá:</w:t>
      </w:r>
    </w:p>
    <w:p w14:paraId="2A969DD8" w14:textId="77777777" w:rsidR="00AD59FF" w:rsidRPr="00CF2780" w:rsidRDefault="00AD59FF" w:rsidP="00AD59FF">
      <w:pPr>
        <w:spacing w:after="200" w:line="276" w:lineRule="auto"/>
        <w:ind w:left="720"/>
        <w:contextualSpacing/>
        <w:rPr>
          <w:rFonts w:ascii="Arial" w:eastAsia="Calibri" w:hAnsi="Arial" w:cs="Arial"/>
          <w:bCs/>
          <w:color w:val="000000"/>
          <w:spacing w:val="3"/>
          <w:sz w:val="28"/>
          <w:szCs w:val="28"/>
          <w:lang w:val="es-ES_tradnl"/>
        </w:rPr>
      </w:pPr>
    </w:p>
    <w:p w14:paraId="6F3230AC" w14:textId="77777777" w:rsidR="00AD59FF" w:rsidRPr="00CF2780" w:rsidRDefault="00AD59FF" w:rsidP="001C6A89">
      <w:pPr>
        <w:numPr>
          <w:ilvl w:val="0"/>
          <w:numId w:val="14"/>
        </w:numPr>
        <w:spacing w:after="0" w:line="360" w:lineRule="auto"/>
        <w:jc w:val="both"/>
        <w:rPr>
          <w:rFonts w:ascii="Arial" w:eastAsia="Times New Roman" w:hAnsi="Arial" w:cs="Arial"/>
          <w:bCs/>
          <w:color w:val="000000"/>
          <w:spacing w:val="3"/>
          <w:sz w:val="28"/>
          <w:szCs w:val="28"/>
          <w:lang w:val="es-ES_tradnl" w:eastAsia="es-ES"/>
        </w:rPr>
      </w:pPr>
      <w:r w:rsidRPr="00CF2780">
        <w:rPr>
          <w:rFonts w:ascii="Arial" w:eastAsia="Times New Roman" w:hAnsi="Arial" w:cs="Arial"/>
          <w:bCs/>
          <w:color w:val="000000"/>
          <w:spacing w:val="3"/>
          <w:sz w:val="28"/>
          <w:szCs w:val="28"/>
          <w:lang w:val="es-ES_tradnl" w:eastAsia="es-ES"/>
        </w:rPr>
        <w:t xml:space="preserve">Disponer las medidas necesarias, suficientes y que resulten razonables para que, de acuerdo a una conciliación pertinente, consultas requeridas directamente a los miembros de la comunidad indígena de Cherán y resoluciones correspondientes se determine: </w:t>
      </w:r>
    </w:p>
    <w:p w14:paraId="73822214" w14:textId="77777777" w:rsidR="00AD59FF" w:rsidRPr="00CF2780" w:rsidRDefault="00AD59FF" w:rsidP="00AD59FF">
      <w:pPr>
        <w:spacing w:after="0" w:line="360" w:lineRule="auto"/>
        <w:ind w:left="1428"/>
        <w:jc w:val="both"/>
        <w:rPr>
          <w:rFonts w:ascii="Arial" w:eastAsia="Times New Roman" w:hAnsi="Arial" w:cs="Arial"/>
          <w:bCs/>
          <w:color w:val="000000"/>
          <w:spacing w:val="3"/>
          <w:sz w:val="28"/>
          <w:szCs w:val="28"/>
          <w:lang w:val="es-ES_tradnl" w:eastAsia="es-ES"/>
        </w:rPr>
      </w:pPr>
    </w:p>
    <w:p w14:paraId="6262532C" w14:textId="77777777" w:rsidR="00AD59FF" w:rsidRPr="00CF2780" w:rsidRDefault="00AD59FF" w:rsidP="00AD59FF">
      <w:pPr>
        <w:spacing w:after="0" w:line="360" w:lineRule="auto"/>
        <w:ind w:left="1428"/>
        <w:jc w:val="both"/>
        <w:rPr>
          <w:rFonts w:ascii="Arial" w:eastAsia="Times New Roman" w:hAnsi="Arial" w:cs="Arial"/>
          <w:bCs/>
          <w:color w:val="000000"/>
          <w:spacing w:val="3"/>
          <w:sz w:val="28"/>
          <w:szCs w:val="28"/>
          <w:lang w:val="es-ES_tradnl" w:eastAsia="es-ES"/>
        </w:rPr>
      </w:pPr>
      <w:r w:rsidRPr="00CF2780">
        <w:rPr>
          <w:rFonts w:ascii="Arial" w:eastAsia="Times New Roman" w:hAnsi="Arial" w:cs="Arial"/>
          <w:bCs/>
          <w:color w:val="000000"/>
          <w:spacing w:val="3"/>
          <w:sz w:val="28"/>
          <w:szCs w:val="28"/>
          <w:lang w:val="es-ES_tradnl" w:eastAsia="es-ES"/>
        </w:rPr>
        <w:t xml:space="preserve">1) Si la mayoría de los integrantes de la comunidad indígena de Cherán está de acuerdo en celebrar elecciones por el sistema de usos y costumbres; </w:t>
      </w:r>
    </w:p>
    <w:p w14:paraId="711DAD34" w14:textId="77777777" w:rsidR="00AD59FF" w:rsidRPr="00CF2780" w:rsidRDefault="00AD59FF" w:rsidP="00AD59FF">
      <w:pPr>
        <w:spacing w:after="0" w:line="360" w:lineRule="auto"/>
        <w:ind w:left="1428"/>
        <w:jc w:val="both"/>
        <w:rPr>
          <w:rFonts w:ascii="Arial" w:eastAsia="Times New Roman" w:hAnsi="Arial" w:cs="Arial"/>
          <w:bCs/>
          <w:color w:val="000000"/>
          <w:spacing w:val="3"/>
          <w:sz w:val="28"/>
          <w:szCs w:val="28"/>
          <w:lang w:val="es-ES_tradnl" w:eastAsia="es-ES"/>
        </w:rPr>
      </w:pPr>
    </w:p>
    <w:p w14:paraId="1A8A8526" w14:textId="77777777" w:rsidR="00AD59FF" w:rsidRPr="00CF2780" w:rsidRDefault="00AD59FF" w:rsidP="00AD59FF">
      <w:pPr>
        <w:spacing w:after="0" w:line="360" w:lineRule="auto"/>
        <w:ind w:left="1428"/>
        <w:jc w:val="both"/>
        <w:rPr>
          <w:rFonts w:ascii="Arial" w:eastAsia="Times New Roman" w:hAnsi="Arial" w:cs="Arial"/>
          <w:sz w:val="28"/>
          <w:szCs w:val="28"/>
          <w:lang w:val="es-ES" w:eastAsia="es-ES"/>
        </w:rPr>
      </w:pPr>
      <w:r w:rsidRPr="00CF2780">
        <w:rPr>
          <w:rFonts w:ascii="Arial" w:eastAsia="Times New Roman" w:hAnsi="Arial" w:cs="Arial"/>
          <w:bCs/>
          <w:color w:val="000000"/>
          <w:spacing w:val="3"/>
          <w:sz w:val="28"/>
          <w:szCs w:val="28"/>
          <w:lang w:val="es-ES_tradnl" w:eastAsia="es-ES"/>
        </w:rPr>
        <w:lastRenderedPageBreak/>
        <w:t xml:space="preserve">2) </w:t>
      </w:r>
      <w:r w:rsidRPr="00CF2780">
        <w:rPr>
          <w:rFonts w:ascii="Arial" w:eastAsia="Times New Roman" w:hAnsi="Arial" w:cs="Arial"/>
          <w:sz w:val="28"/>
          <w:szCs w:val="28"/>
          <w:lang w:val="es-ES" w:eastAsia="es-ES"/>
        </w:rPr>
        <w:t>Toda vez que no existen condiciones para celebrar las elecciones el próximo trece de noviembre, deberá determinar si es posible realizar comicios por usos y costumbres en el Municipio de Cherán en diversa fecha, a efecto de que los ciudadanos que resulten elegidos entre en posesión del cargo y tomen la protesta de ley correspondiente.</w:t>
      </w:r>
    </w:p>
    <w:p w14:paraId="4F22D3F4" w14:textId="77777777" w:rsidR="00AD59FF" w:rsidRPr="00CF2780" w:rsidRDefault="00AD59FF" w:rsidP="00AD59FF">
      <w:pPr>
        <w:spacing w:after="0" w:line="360" w:lineRule="auto"/>
        <w:ind w:left="1428"/>
        <w:jc w:val="both"/>
        <w:rPr>
          <w:rFonts w:ascii="Arial" w:eastAsia="Times New Roman" w:hAnsi="Arial" w:cs="Arial"/>
          <w:sz w:val="28"/>
          <w:szCs w:val="28"/>
          <w:lang w:val="es-ES" w:eastAsia="es-ES"/>
        </w:rPr>
      </w:pPr>
    </w:p>
    <w:p w14:paraId="062A069E" w14:textId="77777777" w:rsidR="00AD59FF" w:rsidRPr="00CF2780" w:rsidRDefault="00AD59FF" w:rsidP="00AD59FF">
      <w:pPr>
        <w:spacing w:after="0" w:line="360" w:lineRule="auto"/>
        <w:ind w:left="1428"/>
        <w:jc w:val="both"/>
        <w:rPr>
          <w:rFonts w:ascii="Arial" w:eastAsia="Times New Roman" w:hAnsi="Arial" w:cs="Arial"/>
          <w:bCs/>
          <w:color w:val="000000"/>
          <w:spacing w:val="3"/>
          <w:sz w:val="28"/>
          <w:szCs w:val="28"/>
          <w:lang w:val="es-ES_tradnl" w:eastAsia="es-ES"/>
        </w:rPr>
      </w:pPr>
      <w:r w:rsidRPr="00CF2780">
        <w:rPr>
          <w:rFonts w:ascii="Arial" w:eastAsia="Times New Roman" w:hAnsi="Arial" w:cs="Arial"/>
          <w:bCs/>
          <w:color w:val="000000"/>
          <w:spacing w:val="3"/>
          <w:sz w:val="28"/>
          <w:szCs w:val="28"/>
          <w:lang w:val="es-ES_tradnl" w:eastAsia="es-ES"/>
        </w:rPr>
        <w:t>Si existen condiciones de realizar comicios por usos y costumbres en el Municipio de Cherán, a efecto de que los ciudadanos que resulten elegidos entren en posesión del cargo y tomen la protesta de ley correspondiente.</w:t>
      </w:r>
    </w:p>
    <w:p w14:paraId="154CA01C" w14:textId="77777777" w:rsidR="00AD59FF" w:rsidRPr="00CF2780" w:rsidRDefault="00AD59FF" w:rsidP="00AD59FF">
      <w:pPr>
        <w:spacing w:after="0" w:line="360" w:lineRule="auto"/>
        <w:ind w:left="1428"/>
        <w:jc w:val="both"/>
        <w:rPr>
          <w:rFonts w:ascii="Arial" w:eastAsia="Times New Roman" w:hAnsi="Arial" w:cs="Arial"/>
          <w:bCs/>
          <w:color w:val="000000"/>
          <w:spacing w:val="3"/>
          <w:sz w:val="28"/>
          <w:szCs w:val="28"/>
          <w:lang w:val="es-ES_tradnl" w:eastAsia="es-ES"/>
        </w:rPr>
      </w:pPr>
    </w:p>
    <w:p w14:paraId="37A71B4D" w14:textId="77777777" w:rsidR="00AD59FF" w:rsidRPr="00CF2780" w:rsidRDefault="00AD59FF" w:rsidP="001C6A89">
      <w:pPr>
        <w:numPr>
          <w:ilvl w:val="0"/>
          <w:numId w:val="14"/>
        </w:numPr>
        <w:spacing w:after="0" w:line="360" w:lineRule="auto"/>
        <w:jc w:val="both"/>
        <w:rPr>
          <w:rFonts w:ascii="Arial" w:eastAsia="Times New Roman" w:hAnsi="Arial" w:cs="Arial"/>
          <w:bCs/>
          <w:color w:val="000000"/>
          <w:spacing w:val="3"/>
          <w:sz w:val="28"/>
          <w:szCs w:val="28"/>
          <w:lang w:val="es-ES_tradnl" w:eastAsia="es-ES"/>
        </w:rPr>
      </w:pPr>
      <w:r w:rsidRPr="00CF2780">
        <w:rPr>
          <w:rFonts w:ascii="Arial" w:eastAsia="Times New Roman" w:hAnsi="Arial" w:cs="Arial"/>
          <w:bCs/>
          <w:color w:val="000000"/>
          <w:spacing w:val="3"/>
          <w:sz w:val="28"/>
          <w:szCs w:val="28"/>
          <w:lang w:val="es-ES_tradnl" w:eastAsia="es-ES"/>
        </w:rPr>
        <w:t>De estimar que existen las condiciones necesarias para celebrar los comicios, deberá:</w:t>
      </w:r>
    </w:p>
    <w:p w14:paraId="20CF3D9B" w14:textId="77777777" w:rsidR="00AD59FF" w:rsidRPr="00CF2780" w:rsidRDefault="00AD59FF" w:rsidP="00AD59FF">
      <w:pPr>
        <w:spacing w:after="0" w:line="360" w:lineRule="auto"/>
        <w:ind w:left="1428"/>
        <w:jc w:val="both"/>
        <w:rPr>
          <w:rFonts w:ascii="Arial" w:eastAsia="Times New Roman" w:hAnsi="Arial" w:cs="Arial"/>
          <w:bCs/>
          <w:color w:val="000000"/>
          <w:spacing w:val="3"/>
          <w:sz w:val="28"/>
          <w:szCs w:val="28"/>
          <w:lang w:val="es-ES_tradnl" w:eastAsia="es-ES"/>
        </w:rPr>
      </w:pPr>
    </w:p>
    <w:p w14:paraId="497B149C" w14:textId="77777777" w:rsidR="00AD59FF" w:rsidRPr="00CF2780" w:rsidRDefault="00AD59FF" w:rsidP="00AD59FF">
      <w:pPr>
        <w:spacing w:after="0" w:line="360" w:lineRule="auto"/>
        <w:ind w:left="1428"/>
        <w:jc w:val="both"/>
        <w:rPr>
          <w:rFonts w:ascii="Arial" w:eastAsia="Times New Roman" w:hAnsi="Arial" w:cs="Arial"/>
          <w:bCs/>
          <w:color w:val="000000"/>
          <w:spacing w:val="3"/>
          <w:sz w:val="28"/>
          <w:szCs w:val="28"/>
          <w:lang w:val="es-ES_tradnl" w:eastAsia="es-ES"/>
        </w:rPr>
      </w:pPr>
      <w:r w:rsidRPr="00CF2780">
        <w:rPr>
          <w:rFonts w:ascii="Arial" w:eastAsia="Times New Roman" w:hAnsi="Arial" w:cs="Arial"/>
          <w:bCs/>
          <w:color w:val="000000"/>
          <w:spacing w:val="3"/>
          <w:sz w:val="28"/>
          <w:szCs w:val="28"/>
          <w:lang w:val="es-ES_tradnl" w:eastAsia="es-ES"/>
        </w:rPr>
        <w:t xml:space="preserve">1) Someter al Congreso los resultados de la consulta, a efecto de que dicha autoridad emita el decreto correspondiente, en el cual, en su caso, determinará la fecha de la elección y de toma de posesión. </w:t>
      </w:r>
    </w:p>
    <w:p w14:paraId="11D29272" w14:textId="77777777" w:rsidR="00AD59FF" w:rsidRPr="00CF2780" w:rsidRDefault="00AD59FF" w:rsidP="00AD59FF">
      <w:pPr>
        <w:spacing w:after="0" w:line="360" w:lineRule="auto"/>
        <w:ind w:left="1428"/>
        <w:jc w:val="both"/>
        <w:rPr>
          <w:rFonts w:ascii="Arial" w:eastAsia="Times New Roman" w:hAnsi="Arial" w:cs="Arial"/>
          <w:bCs/>
          <w:color w:val="000000"/>
          <w:spacing w:val="3"/>
          <w:sz w:val="28"/>
          <w:szCs w:val="28"/>
          <w:lang w:val="es-ES_tradnl" w:eastAsia="es-ES"/>
        </w:rPr>
      </w:pPr>
    </w:p>
    <w:p w14:paraId="5648D6DC" w14:textId="77777777" w:rsidR="00AD59FF" w:rsidRPr="00CF2780" w:rsidRDefault="00AD59FF" w:rsidP="00AD59FF">
      <w:pPr>
        <w:spacing w:after="0" w:line="360" w:lineRule="auto"/>
        <w:ind w:left="1428"/>
        <w:jc w:val="both"/>
        <w:rPr>
          <w:rFonts w:ascii="Arial" w:eastAsia="Times New Roman" w:hAnsi="Arial" w:cs="Arial"/>
          <w:bCs/>
          <w:color w:val="000000"/>
          <w:spacing w:val="3"/>
          <w:sz w:val="28"/>
          <w:szCs w:val="28"/>
          <w:lang w:val="es-ES_tradnl" w:eastAsia="es-ES"/>
        </w:rPr>
      </w:pPr>
      <w:r w:rsidRPr="00CF2780">
        <w:rPr>
          <w:rFonts w:ascii="Arial" w:eastAsia="Times New Roman" w:hAnsi="Arial" w:cs="Arial"/>
          <w:bCs/>
          <w:color w:val="000000"/>
          <w:spacing w:val="3"/>
          <w:sz w:val="28"/>
          <w:szCs w:val="28"/>
          <w:lang w:val="es-ES_tradnl" w:eastAsia="es-ES"/>
        </w:rPr>
        <w:t xml:space="preserve">2) Emitida la resolución del Congreso deberá disponer las consultas, así como las medidas conducentes y adecuadas, para que se establezcan todas las condiciones de diálogo y consenso que sean necesarias para llevar a cabo, en su caso, las elecciones por usos y costumbres. </w:t>
      </w:r>
    </w:p>
    <w:p w14:paraId="43679FA5" w14:textId="77777777" w:rsidR="00AD59FF" w:rsidRPr="00CF2780" w:rsidRDefault="00AD59FF" w:rsidP="00AD59FF">
      <w:pPr>
        <w:spacing w:after="0" w:line="360" w:lineRule="auto"/>
        <w:ind w:left="1428"/>
        <w:jc w:val="both"/>
        <w:rPr>
          <w:rFonts w:ascii="Arial" w:eastAsia="Times New Roman" w:hAnsi="Arial" w:cs="Arial"/>
          <w:bCs/>
          <w:color w:val="000000"/>
          <w:spacing w:val="3"/>
          <w:sz w:val="28"/>
          <w:szCs w:val="28"/>
          <w:lang w:val="es-ES_tradnl" w:eastAsia="es-ES"/>
        </w:rPr>
      </w:pPr>
    </w:p>
    <w:p w14:paraId="79646217" w14:textId="77777777" w:rsidR="00AD59FF" w:rsidRPr="00CF2780" w:rsidRDefault="00AD59FF" w:rsidP="001C6A89">
      <w:pPr>
        <w:numPr>
          <w:ilvl w:val="0"/>
          <w:numId w:val="14"/>
        </w:numPr>
        <w:spacing w:after="0" w:line="360" w:lineRule="auto"/>
        <w:jc w:val="both"/>
        <w:rPr>
          <w:rFonts w:ascii="Arial" w:eastAsia="Times New Roman" w:hAnsi="Arial" w:cs="Arial"/>
          <w:bCs/>
          <w:color w:val="000000"/>
          <w:spacing w:val="3"/>
          <w:sz w:val="28"/>
          <w:szCs w:val="28"/>
          <w:lang w:val="es-ES_tradnl" w:eastAsia="es-ES"/>
        </w:rPr>
      </w:pPr>
      <w:r w:rsidRPr="00CF2780">
        <w:rPr>
          <w:rFonts w:ascii="Arial" w:eastAsia="Times New Roman" w:hAnsi="Arial" w:cs="Arial"/>
          <w:bCs/>
          <w:color w:val="000000"/>
          <w:spacing w:val="3"/>
          <w:sz w:val="28"/>
          <w:szCs w:val="28"/>
          <w:lang w:val="es-ES_tradnl" w:eastAsia="es-ES"/>
        </w:rPr>
        <w:lastRenderedPageBreak/>
        <w:t>En la realización de las consultas y la adopción de las medidas correspondientes se deberán atender a los principios establecidos tanto en el Convenio Nº 169 de la Organización Internacional del Trabajo sobre Pueblos Indígenas y Tribales en Países Independientes como en la Declaración sobre los Derechos de los Pueblos Indígenas y conforme a los cuales, las consultas a los pueblos indígenas en las cuestiones que les afectan deben realizarse en observancia de los principios siguientes:</w:t>
      </w:r>
    </w:p>
    <w:p w14:paraId="1B1414CD" w14:textId="77777777" w:rsidR="00AD59FF" w:rsidRPr="00CF2780" w:rsidRDefault="00AD59FF" w:rsidP="00AD59FF">
      <w:pPr>
        <w:spacing w:after="0" w:line="360" w:lineRule="auto"/>
        <w:ind w:left="1428"/>
        <w:jc w:val="both"/>
        <w:rPr>
          <w:rFonts w:ascii="Arial" w:eastAsia="Times New Roman" w:hAnsi="Arial" w:cs="Arial"/>
          <w:bCs/>
          <w:color w:val="000000"/>
          <w:spacing w:val="3"/>
          <w:sz w:val="28"/>
          <w:szCs w:val="28"/>
          <w:lang w:val="es-ES_tradnl" w:eastAsia="es-ES"/>
        </w:rPr>
      </w:pPr>
    </w:p>
    <w:p w14:paraId="6C6ECD78" w14:textId="77777777" w:rsidR="00AD59FF" w:rsidRPr="00CF2780" w:rsidRDefault="00AD59FF" w:rsidP="001C6A89">
      <w:pPr>
        <w:numPr>
          <w:ilvl w:val="1"/>
          <w:numId w:val="13"/>
        </w:num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Endógeno:</w:t>
      </w:r>
      <w:r w:rsidRPr="00CF2780">
        <w:rPr>
          <w:rFonts w:ascii="Arial" w:eastAsia="Times New Roman" w:hAnsi="Arial" w:cs="Arial"/>
          <w:sz w:val="28"/>
          <w:szCs w:val="28"/>
          <w:lang w:val="es-ES" w:eastAsia="es-ES"/>
        </w:rPr>
        <w:t xml:space="preserve"> el resultado de dichas consultas debe surgir de los propios pueblos y comunidad indígenas para hacer frente a necesidades de la colectividad;</w:t>
      </w:r>
    </w:p>
    <w:p w14:paraId="71CD5BFE" w14:textId="77777777" w:rsidR="00AD59FF" w:rsidRPr="00CF2780" w:rsidRDefault="00AD59FF" w:rsidP="00AD59FF">
      <w:pPr>
        <w:spacing w:after="0" w:line="360" w:lineRule="auto"/>
        <w:ind w:left="1843"/>
        <w:jc w:val="both"/>
        <w:rPr>
          <w:rFonts w:ascii="Arial" w:eastAsia="Times New Roman" w:hAnsi="Arial" w:cs="Arial"/>
          <w:sz w:val="28"/>
          <w:szCs w:val="28"/>
          <w:lang w:val="es-ES" w:eastAsia="es-ES"/>
        </w:rPr>
      </w:pPr>
    </w:p>
    <w:p w14:paraId="6E4F1296" w14:textId="77777777" w:rsidR="00AD59FF" w:rsidRPr="00CF2780" w:rsidRDefault="00AD59FF" w:rsidP="001C6A89">
      <w:pPr>
        <w:numPr>
          <w:ilvl w:val="1"/>
          <w:numId w:val="13"/>
        </w:num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Libre:</w:t>
      </w:r>
      <w:r w:rsidRPr="00CF2780">
        <w:rPr>
          <w:rFonts w:ascii="Arial" w:eastAsia="Times New Roman" w:hAnsi="Arial" w:cs="Arial"/>
          <w:sz w:val="28"/>
          <w:szCs w:val="28"/>
          <w:lang w:val="es-ES" w:eastAsia="es-ES"/>
        </w:rPr>
        <w:t xml:space="preserve"> el desarrollo de la consulta debe realizarse con el consentimiento libre e informado de los pueblos y comunidades indígenas, que deben participar en todas las fases del desarrollo;</w:t>
      </w:r>
    </w:p>
    <w:p w14:paraId="6A88F34F" w14:textId="77777777" w:rsidR="00AD59FF" w:rsidRPr="00CF2780" w:rsidRDefault="00AD59FF" w:rsidP="00AD59FF">
      <w:pPr>
        <w:spacing w:after="0" w:line="360" w:lineRule="auto"/>
        <w:ind w:left="1843"/>
        <w:jc w:val="both"/>
        <w:rPr>
          <w:rFonts w:ascii="Arial" w:eastAsia="Times New Roman" w:hAnsi="Arial" w:cs="Arial"/>
          <w:sz w:val="28"/>
          <w:szCs w:val="28"/>
          <w:lang w:val="es-ES" w:eastAsia="es-ES"/>
        </w:rPr>
      </w:pPr>
    </w:p>
    <w:p w14:paraId="22EB106B" w14:textId="77777777" w:rsidR="00AD59FF" w:rsidRPr="00CF2780" w:rsidRDefault="00AD59FF" w:rsidP="001C6A89">
      <w:pPr>
        <w:numPr>
          <w:ilvl w:val="1"/>
          <w:numId w:val="13"/>
        </w:num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Pacífico:</w:t>
      </w:r>
      <w:r w:rsidRPr="00CF2780">
        <w:rPr>
          <w:rFonts w:ascii="Arial" w:eastAsia="Times New Roman" w:hAnsi="Arial" w:cs="Arial"/>
          <w:sz w:val="28"/>
          <w:szCs w:val="28"/>
          <w:lang w:val="es-ES" w:eastAsia="es-ES"/>
        </w:rPr>
        <w:t xml:space="preserve"> deberá privilegiar las medidas conducentes y adecuadas, para que se establezcan todas las condiciones de diálogo y consenso que sean necesarias para evitar la generación de violencia o la comisión de cualquier tipo de desordenes sociales al seno de la comunidad;</w:t>
      </w:r>
    </w:p>
    <w:p w14:paraId="2EE18FDF" w14:textId="77777777" w:rsidR="00AD59FF" w:rsidRPr="00CF2780" w:rsidRDefault="00AD59FF" w:rsidP="00AD59FF">
      <w:pPr>
        <w:spacing w:after="0" w:line="360" w:lineRule="auto"/>
        <w:ind w:left="1843"/>
        <w:jc w:val="both"/>
        <w:rPr>
          <w:rFonts w:ascii="Arial" w:eastAsia="Times New Roman" w:hAnsi="Arial" w:cs="Arial"/>
          <w:sz w:val="28"/>
          <w:szCs w:val="28"/>
          <w:lang w:val="es-ES" w:eastAsia="es-ES"/>
        </w:rPr>
      </w:pPr>
    </w:p>
    <w:p w14:paraId="1E591DEE" w14:textId="77777777" w:rsidR="00AD59FF" w:rsidRPr="00CF2780" w:rsidRDefault="00AD59FF" w:rsidP="001C6A89">
      <w:pPr>
        <w:numPr>
          <w:ilvl w:val="1"/>
          <w:numId w:val="13"/>
        </w:num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lastRenderedPageBreak/>
        <w:t>Informado:</w:t>
      </w:r>
      <w:r w:rsidRPr="00CF2780">
        <w:rPr>
          <w:rFonts w:ascii="Arial" w:eastAsia="Times New Roman" w:hAnsi="Arial" w:cs="Arial"/>
          <w:sz w:val="28"/>
          <w:szCs w:val="28"/>
          <w:lang w:val="es-ES" w:eastAsia="es-ES"/>
        </w:rPr>
        <w:t xml:space="preserve"> se debe proporcionar a los pueblos y comunidades indígenas todos los datos y la información necesaria respecto de la realización, contenidos y resultados de la consulta a efecto de que puedan adoptar la mejor decisión. A su vez dichos pueblos y comunidades deben proporcionar a la autoridad la información relativa a los usos, costumbres y prácticas tradicionales, para que en un ejercicio constante de retroalimentación se lleve a cabo la consulta correspondiente;</w:t>
      </w:r>
    </w:p>
    <w:p w14:paraId="5BDDE49D" w14:textId="77777777" w:rsidR="00AD59FF" w:rsidRPr="00CF2780" w:rsidRDefault="00AD59FF" w:rsidP="00AD59FF">
      <w:pPr>
        <w:spacing w:after="0" w:line="360" w:lineRule="auto"/>
        <w:ind w:left="1843"/>
        <w:jc w:val="both"/>
        <w:rPr>
          <w:rFonts w:ascii="Arial" w:eastAsia="Times New Roman" w:hAnsi="Arial" w:cs="Arial"/>
          <w:sz w:val="28"/>
          <w:szCs w:val="28"/>
          <w:lang w:val="es-ES" w:eastAsia="es-ES"/>
        </w:rPr>
      </w:pPr>
    </w:p>
    <w:p w14:paraId="6A983ADE" w14:textId="77777777" w:rsidR="00AD59FF" w:rsidRPr="00CF2780" w:rsidRDefault="00AD59FF" w:rsidP="001C6A89">
      <w:pPr>
        <w:numPr>
          <w:ilvl w:val="1"/>
          <w:numId w:val="13"/>
        </w:num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Democrático:</w:t>
      </w:r>
      <w:r w:rsidRPr="00CF2780">
        <w:rPr>
          <w:rFonts w:ascii="Arial" w:eastAsia="Times New Roman" w:hAnsi="Arial" w:cs="Arial"/>
          <w:sz w:val="28"/>
          <w:szCs w:val="28"/>
          <w:lang w:val="es-ES" w:eastAsia="es-ES"/>
        </w:rPr>
        <w:t xml:space="preserve"> en la consulta se deben establecer los mecanismos correspondiente a efecto que puedan participar el mayor número de integrantes de la comunidad; que en la adopción de las resoluciones se aplique el criterio de mayoría y se respeten en todo momento los derechos humanos;</w:t>
      </w:r>
    </w:p>
    <w:p w14:paraId="6D173CB3" w14:textId="77777777" w:rsidR="00AD59FF" w:rsidRPr="00CF2780" w:rsidRDefault="00AD59FF" w:rsidP="00AD59FF">
      <w:pPr>
        <w:spacing w:after="0" w:line="360" w:lineRule="auto"/>
        <w:ind w:left="1843"/>
        <w:jc w:val="both"/>
        <w:rPr>
          <w:rFonts w:ascii="Arial" w:eastAsia="Times New Roman" w:hAnsi="Arial" w:cs="Arial"/>
          <w:sz w:val="28"/>
          <w:szCs w:val="28"/>
          <w:lang w:val="es-ES" w:eastAsia="es-ES"/>
        </w:rPr>
      </w:pPr>
    </w:p>
    <w:p w14:paraId="2F808801" w14:textId="77777777" w:rsidR="00AD59FF" w:rsidRPr="00CF2780" w:rsidRDefault="00AD59FF" w:rsidP="001C6A89">
      <w:pPr>
        <w:numPr>
          <w:ilvl w:val="1"/>
          <w:numId w:val="13"/>
        </w:num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Equitativo:</w:t>
      </w:r>
      <w:r w:rsidRPr="00CF2780">
        <w:rPr>
          <w:rFonts w:ascii="Arial" w:eastAsia="Times New Roman" w:hAnsi="Arial" w:cs="Arial"/>
          <w:sz w:val="28"/>
          <w:szCs w:val="28"/>
          <w:lang w:val="es-ES" w:eastAsia="es-ES"/>
        </w:rPr>
        <w:t xml:space="preserve"> debe beneficiar por igual a todos los miembros, sin discriminación, y contribuir a reducir desigualdades, garantizando la participación de las mujeres en condiciones de equidad frente a los varones;</w:t>
      </w:r>
    </w:p>
    <w:p w14:paraId="70EE5445" w14:textId="77777777" w:rsidR="00AD59FF" w:rsidRPr="00CF2780" w:rsidRDefault="00AD59FF" w:rsidP="00AD59FF">
      <w:pPr>
        <w:spacing w:after="200" w:line="276" w:lineRule="auto"/>
        <w:ind w:left="720"/>
        <w:contextualSpacing/>
        <w:rPr>
          <w:rFonts w:ascii="Arial" w:eastAsia="Calibri" w:hAnsi="Arial" w:cs="Arial"/>
          <w:sz w:val="28"/>
          <w:szCs w:val="28"/>
        </w:rPr>
      </w:pPr>
    </w:p>
    <w:p w14:paraId="0223C6F8" w14:textId="77777777" w:rsidR="00AD59FF" w:rsidRPr="00CF2780" w:rsidRDefault="00AD59FF" w:rsidP="001C6A89">
      <w:pPr>
        <w:numPr>
          <w:ilvl w:val="1"/>
          <w:numId w:val="13"/>
        </w:num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 xml:space="preserve">Socialmente responsable: </w:t>
      </w:r>
      <w:r w:rsidRPr="00CF2780">
        <w:rPr>
          <w:rFonts w:ascii="Arial" w:eastAsia="Times New Roman" w:hAnsi="Arial" w:cs="Arial"/>
          <w:sz w:val="28"/>
          <w:szCs w:val="28"/>
          <w:lang w:val="es-ES" w:eastAsia="es-ES"/>
        </w:rPr>
        <w:t xml:space="preserve">debe responder a las necesidades identificadas por los propios pueblos y comunidades indígenas, y reforzar sus propias iniciativas de desarrollo; debe promover el empoderamiento de los </w:t>
      </w:r>
      <w:r w:rsidRPr="00CF2780">
        <w:rPr>
          <w:rFonts w:ascii="Arial" w:eastAsia="Times New Roman" w:hAnsi="Arial" w:cs="Arial"/>
          <w:sz w:val="28"/>
          <w:szCs w:val="28"/>
          <w:lang w:val="es-ES" w:eastAsia="es-ES"/>
        </w:rPr>
        <w:lastRenderedPageBreak/>
        <w:t>pueblos indígenas y especialmente de las mujeres indígenas;</w:t>
      </w:r>
    </w:p>
    <w:p w14:paraId="3194BAC9" w14:textId="77777777" w:rsidR="00AD59FF" w:rsidRPr="00CF2780" w:rsidRDefault="00AD59FF" w:rsidP="00AD59FF">
      <w:pPr>
        <w:spacing w:after="0" w:line="360" w:lineRule="auto"/>
        <w:ind w:left="1843"/>
        <w:jc w:val="both"/>
        <w:rPr>
          <w:rFonts w:ascii="Arial" w:eastAsia="Times New Roman" w:hAnsi="Arial" w:cs="Arial"/>
          <w:sz w:val="28"/>
          <w:szCs w:val="28"/>
          <w:lang w:val="es-ES" w:eastAsia="es-ES"/>
        </w:rPr>
      </w:pPr>
    </w:p>
    <w:p w14:paraId="31CE8EAF" w14:textId="77777777" w:rsidR="00AD59FF" w:rsidRPr="00CF2780" w:rsidRDefault="00AD59FF" w:rsidP="001C6A89">
      <w:pPr>
        <w:numPr>
          <w:ilvl w:val="1"/>
          <w:numId w:val="13"/>
        </w:num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Autogestionado:</w:t>
      </w:r>
      <w:r w:rsidRPr="00CF2780">
        <w:rPr>
          <w:rFonts w:ascii="Arial" w:eastAsia="Times New Roman" w:hAnsi="Arial" w:cs="Arial"/>
          <w:sz w:val="28"/>
          <w:szCs w:val="28"/>
          <w:lang w:val="es-ES" w:eastAsia="es-ES"/>
        </w:rPr>
        <w:t xml:space="preserve"> las medidas que se adopten a partir de la consulta deben ser manejados por los propios interesados a través de formas propias de organización y participación.</w:t>
      </w:r>
    </w:p>
    <w:p w14:paraId="5C449C00" w14:textId="77777777" w:rsidR="00AD59FF" w:rsidRPr="00CF2780" w:rsidRDefault="00AD59FF" w:rsidP="00AD59FF">
      <w:pPr>
        <w:spacing w:after="0" w:line="360" w:lineRule="auto"/>
        <w:ind w:left="1428"/>
        <w:jc w:val="both"/>
        <w:rPr>
          <w:rFonts w:ascii="Arial" w:eastAsia="Times New Roman" w:hAnsi="Arial" w:cs="Arial"/>
          <w:bCs/>
          <w:color w:val="000000"/>
          <w:spacing w:val="3"/>
          <w:sz w:val="28"/>
          <w:szCs w:val="28"/>
          <w:lang w:val="es-ES_tradnl" w:eastAsia="es-ES"/>
        </w:rPr>
      </w:pPr>
    </w:p>
    <w:p w14:paraId="4F219054" w14:textId="77777777" w:rsidR="00AD59FF" w:rsidRPr="00CF2780" w:rsidRDefault="00AD59FF" w:rsidP="001C6A89">
      <w:pPr>
        <w:numPr>
          <w:ilvl w:val="0"/>
          <w:numId w:val="13"/>
        </w:num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bCs/>
          <w:color w:val="000000"/>
          <w:spacing w:val="3"/>
          <w:sz w:val="28"/>
          <w:szCs w:val="28"/>
          <w:lang w:val="es-ES_tradnl" w:eastAsia="es-ES"/>
        </w:rPr>
        <w:t>En el supuesto que para el primero de enero de dos mil doce no se haya definido o determinado a la autoridad municipal de Cherán, el Instituto Electoral de Michoacán deberá</w:t>
      </w:r>
      <w:r w:rsidRPr="00CF2780">
        <w:rPr>
          <w:rFonts w:ascii="Arial" w:eastAsia="Times New Roman" w:hAnsi="Arial" w:cs="Arial"/>
          <w:sz w:val="28"/>
          <w:szCs w:val="28"/>
          <w:lang w:val="es-ES" w:eastAsia="es-ES"/>
        </w:rPr>
        <w:t xml:space="preserve"> informar al Congreso del Estado para que en ejercicio de sus facultades para la debida integración del ayuntamiento del Municipio de Cherán, conforme a lo establecido en el artículo 44, fracción XX, de la Constitución local, designe a los miembros del órgano municipal provisional, para lo cual deberá respetar el derecho de consulta de la comunidad.</w:t>
      </w:r>
    </w:p>
    <w:p w14:paraId="55AAC8AC" w14:textId="77777777" w:rsidR="00AD59FF" w:rsidRPr="00CF2780" w:rsidRDefault="00AD59FF" w:rsidP="00AD59FF">
      <w:pPr>
        <w:spacing w:after="0" w:line="360" w:lineRule="auto"/>
        <w:ind w:left="1068"/>
        <w:jc w:val="both"/>
        <w:rPr>
          <w:rFonts w:ascii="Arial" w:eastAsia="Times New Roman" w:hAnsi="Arial" w:cs="Arial"/>
          <w:bCs/>
          <w:color w:val="000000"/>
          <w:spacing w:val="3"/>
          <w:sz w:val="28"/>
          <w:szCs w:val="28"/>
          <w:lang w:val="es-ES_tradnl" w:eastAsia="es-ES"/>
        </w:rPr>
      </w:pPr>
    </w:p>
    <w:p w14:paraId="13E14661" w14:textId="77777777" w:rsidR="00AD59FF" w:rsidRPr="00CF2780" w:rsidRDefault="00AD59FF" w:rsidP="001C6A89">
      <w:pPr>
        <w:numPr>
          <w:ilvl w:val="0"/>
          <w:numId w:val="13"/>
        </w:numPr>
        <w:spacing w:after="0" w:line="360" w:lineRule="auto"/>
        <w:jc w:val="both"/>
        <w:rPr>
          <w:rFonts w:ascii="Arial" w:eastAsia="Times New Roman" w:hAnsi="Arial" w:cs="Arial"/>
          <w:bCs/>
          <w:color w:val="000000"/>
          <w:spacing w:val="3"/>
          <w:sz w:val="28"/>
          <w:szCs w:val="28"/>
          <w:lang w:val="es-ES_tradnl" w:eastAsia="es-ES"/>
        </w:rPr>
      </w:pPr>
      <w:r w:rsidRPr="00CF2780">
        <w:rPr>
          <w:rFonts w:ascii="Arial" w:eastAsia="Times New Roman" w:hAnsi="Arial" w:cs="Arial"/>
          <w:bCs/>
          <w:color w:val="000000"/>
          <w:spacing w:val="3"/>
          <w:sz w:val="28"/>
          <w:szCs w:val="28"/>
          <w:lang w:val="es-ES_tradnl" w:eastAsia="es-ES"/>
        </w:rPr>
        <w:t xml:space="preserve">La elección de los integrantes del </w:t>
      </w:r>
      <w:r w:rsidRPr="00CF2780">
        <w:rPr>
          <w:rFonts w:ascii="Arial" w:eastAsia="Times New Roman" w:hAnsi="Arial" w:cs="Arial"/>
          <w:bCs/>
          <w:color w:val="000000"/>
          <w:spacing w:val="3"/>
          <w:sz w:val="28"/>
          <w:szCs w:val="28"/>
          <w:lang w:val="es-ES_tradnl" w:eastAsia="es-ES"/>
        </w:rPr>
        <w:br/>
        <w:t>Ayuntamiento del Municipio de Cherán sólo podrá celebrarse hasta que las autoridades den pleno cumplimiento a lo establecido en la presente ejecutoria.</w:t>
      </w:r>
    </w:p>
    <w:p w14:paraId="4455AD30" w14:textId="77777777" w:rsidR="00AD59FF" w:rsidRPr="00CF2780" w:rsidRDefault="00AD59FF" w:rsidP="00AD59FF">
      <w:pPr>
        <w:spacing w:after="0" w:line="360" w:lineRule="auto"/>
        <w:jc w:val="both"/>
        <w:rPr>
          <w:rFonts w:ascii="Arial" w:eastAsia="Times New Roman" w:hAnsi="Arial" w:cs="Arial"/>
          <w:bCs/>
          <w:color w:val="000000"/>
          <w:spacing w:val="3"/>
          <w:sz w:val="28"/>
          <w:szCs w:val="28"/>
          <w:lang w:val="es-ES_tradnl" w:eastAsia="es-ES"/>
        </w:rPr>
      </w:pPr>
    </w:p>
    <w:p w14:paraId="25E1DBE3" w14:textId="77777777" w:rsidR="00AD59FF" w:rsidRPr="00CF2780" w:rsidRDefault="00AD59FF" w:rsidP="00AD59FF">
      <w:pPr>
        <w:spacing w:after="0" w:line="360" w:lineRule="auto"/>
        <w:ind w:left="1068"/>
        <w:jc w:val="both"/>
        <w:rPr>
          <w:rFonts w:ascii="Arial" w:eastAsia="Times New Roman" w:hAnsi="Arial" w:cs="Arial"/>
          <w:bCs/>
          <w:color w:val="000000"/>
          <w:spacing w:val="3"/>
          <w:sz w:val="28"/>
          <w:szCs w:val="28"/>
          <w:lang w:val="es-ES_tradnl" w:eastAsia="es-ES"/>
        </w:rPr>
      </w:pPr>
      <w:r w:rsidRPr="00CF2780">
        <w:rPr>
          <w:rFonts w:ascii="Arial" w:eastAsia="Times New Roman" w:hAnsi="Arial" w:cs="Arial"/>
          <w:bCs/>
          <w:color w:val="000000"/>
          <w:spacing w:val="3"/>
          <w:sz w:val="28"/>
          <w:szCs w:val="28"/>
          <w:lang w:val="es-ES_tradnl" w:eastAsia="es-ES"/>
        </w:rPr>
        <w:t xml:space="preserve">Por tanto, se dejan sin efectos todos los acuerdos de las autoridades electorales locales relacionados directamente con la elección en dicho municipio, para la preparación y </w:t>
      </w:r>
      <w:r w:rsidRPr="00CF2780">
        <w:rPr>
          <w:rFonts w:ascii="Arial" w:eastAsia="Times New Roman" w:hAnsi="Arial" w:cs="Arial"/>
          <w:bCs/>
          <w:color w:val="000000"/>
          <w:spacing w:val="3"/>
          <w:sz w:val="28"/>
          <w:szCs w:val="28"/>
          <w:lang w:val="es-ES_tradnl" w:eastAsia="es-ES"/>
        </w:rPr>
        <w:lastRenderedPageBreak/>
        <w:t>organización de los comicios conforme al régimen de partidos políticos.</w:t>
      </w:r>
    </w:p>
    <w:p w14:paraId="64BD57F3" w14:textId="77777777" w:rsidR="00AD59FF" w:rsidRPr="00CF2780" w:rsidRDefault="00AD59FF" w:rsidP="00AD59FF">
      <w:pPr>
        <w:spacing w:after="0" w:line="360" w:lineRule="auto"/>
        <w:ind w:left="1068"/>
        <w:jc w:val="both"/>
        <w:rPr>
          <w:rFonts w:ascii="Arial" w:eastAsia="Times New Roman" w:hAnsi="Arial" w:cs="Arial"/>
          <w:bCs/>
          <w:color w:val="000000"/>
          <w:spacing w:val="3"/>
          <w:sz w:val="28"/>
          <w:szCs w:val="28"/>
          <w:lang w:val="es-ES_tradnl" w:eastAsia="es-ES"/>
        </w:rPr>
      </w:pPr>
    </w:p>
    <w:p w14:paraId="4EE3DFDD" w14:textId="77777777" w:rsidR="00AD59FF" w:rsidRPr="00CF2780" w:rsidRDefault="00AD59FF" w:rsidP="001C6A89">
      <w:pPr>
        <w:numPr>
          <w:ilvl w:val="0"/>
          <w:numId w:val="13"/>
        </w:numPr>
        <w:spacing w:after="0" w:line="360" w:lineRule="auto"/>
        <w:jc w:val="both"/>
        <w:rPr>
          <w:rFonts w:ascii="Arial" w:eastAsia="Times New Roman" w:hAnsi="Arial" w:cs="Arial"/>
          <w:bCs/>
          <w:color w:val="000000"/>
          <w:spacing w:val="3"/>
          <w:sz w:val="28"/>
          <w:szCs w:val="28"/>
          <w:lang w:val="es-ES_tradnl" w:eastAsia="es-ES"/>
        </w:rPr>
      </w:pPr>
      <w:r w:rsidRPr="00CF2780">
        <w:rPr>
          <w:rFonts w:ascii="Arial" w:eastAsia="Times New Roman" w:hAnsi="Arial" w:cs="Arial"/>
          <w:bCs/>
          <w:color w:val="000000"/>
          <w:spacing w:val="3"/>
          <w:sz w:val="28"/>
          <w:szCs w:val="28"/>
          <w:lang w:val="es-ES_tradnl" w:eastAsia="es-ES"/>
        </w:rPr>
        <w:t>Al advertir que, a pesar de lo dispuesto en el artículo 2o constitucional y en específico de la obligación impuesta en el artículo segundo transitorio del Decreto publicado en el Diario Oficial de la Federación el catorce de agosto del dos mil uno, por el que se adicionan un segundo y tercer párrafos al Artículo 1o., se reforma el Artículo 2º., se deroga el párrafo primero del Artículo 4o.; y se adicionan un sexto párrafo al Artículo 18, y un último párrafo a la Fracción tercera del Artículo 115 de la Constitución Política de los Estados Unidos Mexicanos, en virtud de la cual se determinó que a la entrada en vigor de la reforma constitucional en materia indígena, las legislaturas de las entidades federativas debían realizar las adecuaciones a las constituciones y leyes locales que procedan y reglamenten lo estipulado en la misma, se advierte que el Congreso del Estado de Michoacán no ha emitido ni dictado normas secundarias en torno a los derechos de los pueblos indígenas.</w:t>
      </w:r>
    </w:p>
    <w:p w14:paraId="17101248" w14:textId="77777777" w:rsidR="00AD59FF" w:rsidRPr="00CF2780" w:rsidRDefault="00AD59FF" w:rsidP="00AD59FF">
      <w:pPr>
        <w:spacing w:after="0" w:line="360" w:lineRule="auto"/>
        <w:jc w:val="both"/>
        <w:rPr>
          <w:rFonts w:ascii="Arial" w:eastAsia="Times New Roman" w:hAnsi="Arial" w:cs="Arial"/>
          <w:bCs/>
          <w:color w:val="000000"/>
          <w:spacing w:val="3"/>
          <w:sz w:val="28"/>
          <w:szCs w:val="28"/>
          <w:lang w:val="es-ES_tradnl" w:eastAsia="es-ES"/>
        </w:rPr>
      </w:pPr>
    </w:p>
    <w:p w14:paraId="5E9A0455" w14:textId="77777777" w:rsidR="00AD59FF" w:rsidRPr="00CF2780" w:rsidRDefault="00AD59FF" w:rsidP="00AD59FF">
      <w:pPr>
        <w:spacing w:after="0" w:line="360" w:lineRule="auto"/>
        <w:ind w:left="1068"/>
        <w:jc w:val="both"/>
        <w:rPr>
          <w:rFonts w:ascii="Arial" w:eastAsia="Times New Roman" w:hAnsi="Arial" w:cs="Arial"/>
          <w:bCs/>
          <w:color w:val="000000"/>
          <w:spacing w:val="3"/>
          <w:sz w:val="28"/>
          <w:szCs w:val="28"/>
          <w:lang w:val="es-ES_tradnl" w:eastAsia="es-ES"/>
        </w:rPr>
      </w:pPr>
      <w:r w:rsidRPr="00CF2780">
        <w:rPr>
          <w:rFonts w:ascii="Arial" w:eastAsia="Times New Roman" w:hAnsi="Arial" w:cs="Arial"/>
          <w:bCs/>
          <w:color w:val="000000"/>
          <w:spacing w:val="3"/>
          <w:sz w:val="28"/>
          <w:szCs w:val="28"/>
          <w:lang w:val="es-ES_tradnl" w:eastAsia="es-ES"/>
        </w:rPr>
        <w:t>Dado que han transcurrido más de diez años desde el inicio de la vigencia de la reforma constitucional en materia de derechos humanos se vincula al Congreso del Estado de Michoacán, para que de acuerdo a su agenda legislativa, armonice la Constitución y legislación interna al Pacto Federal y tratados internacionales en materia de derechos indígenas.</w:t>
      </w:r>
    </w:p>
    <w:p w14:paraId="55A52936" w14:textId="77777777" w:rsidR="00AD59FF" w:rsidRPr="00CF2780" w:rsidRDefault="00AD59FF" w:rsidP="00AD59FF">
      <w:pPr>
        <w:spacing w:after="0" w:line="360" w:lineRule="auto"/>
        <w:ind w:left="1068"/>
        <w:jc w:val="both"/>
        <w:rPr>
          <w:rFonts w:ascii="Arial" w:eastAsia="Times New Roman" w:hAnsi="Arial" w:cs="Arial"/>
          <w:bCs/>
          <w:color w:val="000000"/>
          <w:spacing w:val="3"/>
          <w:sz w:val="28"/>
          <w:szCs w:val="28"/>
          <w:lang w:val="es-ES_tradnl" w:eastAsia="es-ES"/>
        </w:rPr>
      </w:pPr>
    </w:p>
    <w:p w14:paraId="3C2AF1E1" w14:textId="77777777" w:rsidR="00AD59FF" w:rsidRPr="00CF2780" w:rsidRDefault="00AD59FF" w:rsidP="001C6A89">
      <w:pPr>
        <w:numPr>
          <w:ilvl w:val="0"/>
          <w:numId w:val="13"/>
        </w:numPr>
        <w:spacing w:after="0" w:line="360" w:lineRule="auto"/>
        <w:jc w:val="both"/>
        <w:rPr>
          <w:rFonts w:ascii="Arial" w:eastAsia="Times New Roman" w:hAnsi="Arial" w:cs="Arial"/>
          <w:bCs/>
          <w:color w:val="000000"/>
          <w:spacing w:val="3"/>
          <w:sz w:val="28"/>
          <w:szCs w:val="28"/>
          <w:lang w:val="es-ES_tradnl" w:eastAsia="es-ES"/>
        </w:rPr>
      </w:pPr>
      <w:r w:rsidRPr="00CF2780">
        <w:rPr>
          <w:rFonts w:ascii="Arial" w:eastAsia="Times New Roman" w:hAnsi="Arial" w:cs="Arial"/>
          <w:bCs/>
          <w:color w:val="000000"/>
          <w:spacing w:val="3"/>
          <w:sz w:val="28"/>
          <w:szCs w:val="28"/>
          <w:lang w:val="es-ES_tradnl" w:eastAsia="es-ES"/>
        </w:rPr>
        <w:t>Se ordena a las autoridades estatales que, en el ejercicio de sus funciones, den cumplimiento a la presente ejecutoria y presten el auxilio necesario para que el Congreso del Estado y el  Instituto Electoral de Michoacán realicen los actos ordenados, ya que los artículos 17, párrafo tercero; 41 y 99 constitucionales, y acorde con los principios de obligatoriedad y orden público, rectores de las sentencias dictadas por este órgano jurisdiccional, sustentados en la vital importancia para la vida institucional del país y con objeto de consolidar el imperio de los mandatos que contiene la Constitución General de la República, sobre cualquier ley y autoridad, tales sentencias obligan a todas las autoridades, independientemente de que figuren o no con el carácter de responsables, sobre todo, si en virtud de sus funciones, les corresponde desplegar actos tendentes a cumplimentar aquellos fallos.</w:t>
      </w:r>
    </w:p>
    <w:p w14:paraId="568E28D7" w14:textId="77777777" w:rsidR="00AD59FF" w:rsidRPr="00CF2780" w:rsidRDefault="00AD59FF" w:rsidP="00AD59FF">
      <w:pPr>
        <w:spacing w:after="0" w:line="360" w:lineRule="auto"/>
        <w:jc w:val="both"/>
        <w:rPr>
          <w:rFonts w:ascii="Arial" w:eastAsia="Times New Roman" w:hAnsi="Arial" w:cs="Arial"/>
          <w:bCs/>
          <w:color w:val="000000"/>
          <w:spacing w:val="3"/>
          <w:sz w:val="28"/>
          <w:szCs w:val="28"/>
          <w:lang w:val="es-ES_tradnl" w:eastAsia="es-ES"/>
        </w:rPr>
      </w:pPr>
    </w:p>
    <w:p w14:paraId="26C1B3B9" w14:textId="77777777" w:rsidR="00AD59FF" w:rsidRPr="00CF2780" w:rsidRDefault="00AD59FF" w:rsidP="00AD59FF">
      <w:pPr>
        <w:spacing w:after="0" w:line="360" w:lineRule="auto"/>
        <w:ind w:left="1068"/>
        <w:jc w:val="both"/>
        <w:rPr>
          <w:rFonts w:ascii="Arial" w:eastAsia="Times New Roman" w:hAnsi="Arial" w:cs="Arial"/>
          <w:bCs/>
          <w:color w:val="000000"/>
          <w:spacing w:val="3"/>
          <w:sz w:val="28"/>
          <w:szCs w:val="28"/>
          <w:lang w:val="es-ES_tradnl" w:eastAsia="es-ES"/>
        </w:rPr>
      </w:pPr>
      <w:r w:rsidRPr="00CF2780">
        <w:rPr>
          <w:rFonts w:ascii="Arial" w:eastAsia="Times New Roman" w:hAnsi="Arial" w:cs="Arial"/>
          <w:bCs/>
          <w:color w:val="000000"/>
          <w:spacing w:val="3"/>
          <w:sz w:val="28"/>
          <w:szCs w:val="28"/>
          <w:lang w:val="es-ES_tradnl" w:eastAsia="es-ES"/>
        </w:rPr>
        <w:t>Sirve de apoyo a lo anterior, la jurisprudencia 31/2002</w:t>
      </w:r>
      <w:r w:rsidRPr="00CF2780">
        <w:rPr>
          <w:rFonts w:ascii="Arial" w:eastAsia="Times New Roman" w:hAnsi="Arial" w:cs="Arial"/>
          <w:sz w:val="28"/>
          <w:szCs w:val="28"/>
          <w:lang w:val="es-ES" w:eastAsia="es-ES"/>
        </w:rPr>
        <w:t xml:space="preserve"> consultable en las páginas 275 a 276 en la </w:t>
      </w:r>
      <w:r w:rsidRPr="00CF2780">
        <w:rPr>
          <w:rFonts w:ascii="Arial" w:eastAsia="Times New Roman" w:hAnsi="Arial" w:cs="Arial"/>
          <w:i/>
          <w:sz w:val="28"/>
          <w:szCs w:val="28"/>
          <w:lang w:val="es-ES" w:eastAsia="es-ES"/>
        </w:rPr>
        <w:t>Compilación 1997-2010: Jurisprudencia y tesis en materia electoral</w:t>
      </w:r>
      <w:r w:rsidRPr="00CF2780">
        <w:rPr>
          <w:rFonts w:ascii="Arial" w:eastAsia="Times New Roman" w:hAnsi="Arial" w:cs="Arial"/>
          <w:sz w:val="28"/>
          <w:szCs w:val="28"/>
          <w:lang w:val="es-ES" w:eastAsia="es-ES"/>
        </w:rPr>
        <w:t xml:space="preserve">, tomo </w:t>
      </w:r>
      <w:r w:rsidRPr="00CF2780">
        <w:rPr>
          <w:rFonts w:ascii="Arial" w:eastAsia="Times New Roman" w:hAnsi="Arial" w:cs="Arial"/>
          <w:i/>
          <w:sz w:val="28"/>
          <w:szCs w:val="28"/>
          <w:lang w:val="es-ES" w:eastAsia="es-ES"/>
        </w:rPr>
        <w:t>Jurisprudencia</w:t>
      </w:r>
      <w:r w:rsidRPr="00CF2780">
        <w:rPr>
          <w:rFonts w:ascii="Arial" w:eastAsia="Times New Roman" w:hAnsi="Arial" w:cs="Arial"/>
          <w:sz w:val="28"/>
          <w:szCs w:val="28"/>
          <w:lang w:val="es-ES" w:eastAsia="es-ES"/>
        </w:rPr>
        <w:t>, volumen 1, publicada por el Tribunal Electoral del Poder Judicial de la Federación, de rubro:</w:t>
      </w:r>
      <w:bookmarkStart w:id="11" w:name="TEXTO_31/2002"/>
      <w:r w:rsidRPr="00CF2780">
        <w:rPr>
          <w:rFonts w:ascii="Arial" w:eastAsia="Times New Roman" w:hAnsi="Arial" w:cs="Arial"/>
          <w:sz w:val="28"/>
          <w:szCs w:val="28"/>
          <w:lang w:val="es-ES" w:eastAsia="es-ES"/>
        </w:rPr>
        <w:t xml:space="preserve"> </w:t>
      </w:r>
      <w:r w:rsidRPr="00CF2780">
        <w:rPr>
          <w:rFonts w:ascii="Arial" w:eastAsia="Times New Roman" w:hAnsi="Arial" w:cs="Arial"/>
          <w:bCs/>
          <w:color w:val="000000"/>
          <w:spacing w:val="3"/>
          <w:sz w:val="28"/>
          <w:szCs w:val="28"/>
          <w:lang w:val="es-ES_tradnl" w:eastAsia="es-ES"/>
        </w:rPr>
        <w:t>“</w:t>
      </w:r>
      <w:hyperlink r:id="rId20" w:anchor="31/2002" w:history="1">
        <w:r w:rsidRPr="00CF2780">
          <w:rPr>
            <w:rFonts w:ascii="Arial" w:eastAsia="Times New Roman" w:hAnsi="Arial" w:cs="Arial"/>
            <w:b/>
            <w:color w:val="000000"/>
            <w:spacing w:val="3"/>
            <w:sz w:val="28"/>
            <w:szCs w:val="28"/>
            <w:lang w:val="es-ES_tradnl" w:eastAsia="es-ES"/>
          </w:rPr>
          <w:t xml:space="preserve">EJECUCIÓN DE SENTENCIAS ELECTORALES. LAS AUTORIDADES ESTÁN OBLIGADAS A ACATARLAS, INDEPENDIENTEMENTE DE QUE NO TENGAN EL CARÁCTER DE RESPONSABLES, CUANDO POR SUS </w:t>
        </w:r>
        <w:r w:rsidRPr="00CF2780">
          <w:rPr>
            <w:rFonts w:ascii="Arial" w:eastAsia="Times New Roman" w:hAnsi="Arial" w:cs="Arial"/>
            <w:b/>
            <w:color w:val="000000"/>
            <w:spacing w:val="3"/>
            <w:sz w:val="28"/>
            <w:szCs w:val="28"/>
            <w:lang w:val="es-ES_tradnl" w:eastAsia="es-ES"/>
          </w:rPr>
          <w:lastRenderedPageBreak/>
          <w:t>FUNCIONES DEBAN DESPLEGAR ACTOS PARA SU CUMPLIMIENTO”.</w:t>
        </w:r>
      </w:hyperlink>
      <w:bookmarkEnd w:id="11"/>
      <w:r w:rsidRPr="00CF2780">
        <w:rPr>
          <w:rFonts w:ascii="Arial" w:eastAsia="Times New Roman" w:hAnsi="Arial" w:cs="Arial"/>
          <w:bCs/>
          <w:color w:val="000000"/>
          <w:spacing w:val="3"/>
          <w:sz w:val="28"/>
          <w:szCs w:val="28"/>
          <w:lang w:val="es-ES_tradnl" w:eastAsia="es-ES"/>
        </w:rPr>
        <w:t xml:space="preserve"> </w:t>
      </w:r>
    </w:p>
    <w:p w14:paraId="70187E18" w14:textId="77777777" w:rsidR="00AD59FF" w:rsidRPr="00CF2780" w:rsidRDefault="00AD59FF" w:rsidP="00AD59FF">
      <w:pPr>
        <w:spacing w:after="0" w:line="360" w:lineRule="auto"/>
        <w:ind w:left="1068"/>
        <w:jc w:val="both"/>
        <w:rPr>
          <w:rFonts w:ascii="Arial" w:eastAsia="Times New Roman" w:hAnsi="Arial" w:cs="Arial"/>
          <w:bCs/>
          <w:color w:val="000000"/>
          <w:spacing w:val="3"/>
          <w:sz w:val="28"/>
          <w:szCs w:val="28"/>
          <w:lang w:val="es-ES_tradnl" w:eastAsia="es-ES"/>
        </w:rPr>
      </w:pPr>
    </w:p>
    <w:p w14:paraId="76AA6044" w14:textId="77777777" w:rsidR="00AD59FF" w:rsidRPr="00CF2780" w:rsidRDefault="00AD59FF" w:rsidP="001C6A89">
      <w:pPr>
        <w:numPr>
          <w:ilvl w:val="0"/>
          <w:numId w:val="13"/>
        </w:numPr>
        <w:spacing w:after="0" w:line="360" w:lineRule="auto"/>
        <w:jc w:val="both"/>
        <w:rPr>
          <w:rFonts w:ascii="Arial" w:eastAsia="Times New Roman" w:hAnsi="Arial" w:cs="Arial"/>
          <w:bCs/>
          <w:color w:val="000000"/>
          <w:spacing w:val="3"/>
          <w:sz w:val="28"/>
          <w:szCs w:val="28"/>
          <w:lang w:val="es-ES_tradnl" w:eastAsia="es-ES"/>
        </w:rPr>
      </w:pPr>
      <w:r w:rsidRPr="00CF2780">
        <w:rPr>
          <w:rFonts w:ascii="Arial" w:eastAsia="Times New Roman" w:hAnsi="Arial" w:cs="Arial"/>
          <w:bCs/>
          <w:color w:val="000000"/>
          <w:spacing w:val="3"/>
          <w:sz w:val="28"/>
          <w:szCs w:val="28"/>
          <w:lang w:val="es-ES_tradnl" w:eastAsia="es-ES"/>
        </w:rPr>
        <w:t>Las autoridades deberán remitir a esta Sala Superior copia certificada de las constancias relativas que demuestren el cumplimiento dado a la presente ejecutoria, en un plazo de tres días hábiles contados, a partir del momento en que emitan las respectivas resoluciones.</w:t>
      </w:r>
    </w:p>
    <w:p w14:paraId="013C1328"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78B7A225"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Por lo expuesto y fundado, se</w:t>
      </w:r>
    </w:p>
    <w:p w14:paraId="37D4639F" w14:textId="77777777" w:rsidR="00AD59FF" w:rsidRPr="00CF2780" w:rsidRDefault="00AD59FF" w:rsidP="00AD59FF">
      <w:pPr>
        <w:spacing w:after="0" w:line="360" w:lineRule="auto"/>
        <w:ind w:firstLine="709"/>
        <w:jc w:val="both"/>
        <w:rPr>
          <w:rFonts w:ascii="Arial" w:eastAsia="Times New Roman" w:hAnsi="Arial" w:cs="Arial"/>
          <w:sz w:val="28"/>
          <w:szCs w:val="24"/>
          <w:lang w:val="es-ES" w:eastAsia="es-ES"/>
        </w:rPr>
      </w:pPr>
    </w:p>
    <w:p w14:paraId="69FEABA4" w14:textId="77777777" w:rsidR="00AD59FF" w:rsidRPr="00CF2780" w:rsidRDefault="00AD59FF" w:rsidP="00AD59FF">
      <w:pPr>
        <w:spacing w:after="0" w:line="360" w:lineRule="auto"/>
        <w:ind w:firstLine="709"/>
        <w:jc w:val="center"/>
        <w:rPr>
          <w:rFonts w:ascii="Arial" w:eastAsia="Times New Roman" w:hAnsi="Arial" w:cs="Arial"/>
          <w:b/>
          <w:sz w:val="28"/>
          <w:szCs w:val="28"/>
          <w:lang w:val="pt-BR" w:eastAsia="es-ES"/>
        </w:rPr>
      </w:pPr>
      <w:r w:rsidRPr="00CF2780">
        <w:rPr>
          <w:rFonts w:ascii="Arial" w:eastAsia="Times New Roman" w:hAnsi="Arial" w:cs="Arial"/>
          <w:b/>
          <w:sz w:val="28"/>
          <w:szCs w:val="28"/>
          <w:lang w:val="pt-BR" w:eastAsia="es-ES"/>
        </w:rPr>
        <w:t>R E S U E L V E</w:t>
      </w:r>
    </w:p>
    <w:p w14:paraId="6A0BAD75" w14:textId="77777777" w:rsidR="00AD59FF" w:rsidRPr="00CF2780" w:rsidRDefault="00AD59FF" w:rsidP="00AD59FF">
      <w:pPr>
        <w:spacing w:after="0" w:line="360" w:lineRule="auto"/>
        <w:ind w:firstLine="709"/>
        <w:jc w:val="center"/>
        <w:rPr>
          <w:rFonts w:ascii="Arial" w:eastAsia="Times New Roman" w:hAnsi="Arial" w:cs="Arial"/>
          <w:b/>
          <w:sz w:val="28"/>
          <w:szCs w:val="28"/>
          <w:lang w:val="pt-BR" w:eastAsia="es-ES"/>
        </w:rPr>
      </w:pPr>
    </w:p>
    <w:p w14:paraId="5D0A5D82" w14:textId="77777777" w:rsidR="00AD59FF" w:rsidRPr="00CF2780" w:rsidRDefault="00AD59FF" w:rsidP="00AD59FF">
      <w:pPr>
        <w:spacing w:after="0" w:line="360" w:lineRule="auto"/>
        <w:ind w:firstLine="708"/>
        <w:jc w:val="both"/>
        <w:rPr>
          <w:rFonts w:ascii="Arial" w:eastAsia="Times New Roman" w:hAnsi="Arial" w:cs="Arial"/>
          <w:bCs/>
          <w:color w:val="000000"/>
          <w:spacing w:val="3"/>
          <w:sz w:val="28"/>
          <w:szCs w:val="28"/>
          <w:lang w:val="es-ES_tradnl" w:eastAsia="es-ES"/>
        </w:rPr>
      </w:pPr>
      <w:r w:rsidRPr="00CF2780">
        <w:rPr>
          <w:rFonts w:ascii="Arial" w:eastAsia="Times New Roman" w:hAnsi="Arial" w:cs="Arial"/>
          <w:b/>
          <w:sz w:val="28"/>
          <w:szCs w:val="28"/>
          <w:lang w:val="es-ES" w:eastAsia="es-ES"/>
        </w:rPr>
        <w:t>PRIMERO.</w:t>
      </w:r>
      <w:r w:rsidRPr="00CF2780">
        <w:rPr>
          <w:rFonts w:ascii="Arial" w:eastAsia="Times New Roman" w:hAnsi="Arial" w:cs="Arial"/>
          <w:sz w:val="28"/>
          <w:szCs w:val="28"/>
          <w:lang w:val="es-ES" w:eastAsia="es-ES"/>
        </w:rPr>
        <w:t xml:space="preserve"> Se </w:t>
      </w:r>
      <w:r w:rsidRPr="00CF2780">
        <w:rPr>
          <w:rFonts w:ascii="Arial" w:eastAsia="Times New Roman" w:hAnsi="Arial" w:cs="Arial"/>
          <w:b/>
          <w:sz w:val="28"/>
          <w:szCs w:val="28"/>
          <w:lang w:val="es-ES" w:eastAsia="es-ES"/>
        </w:rPr>
        <w:t>revoca</w:t>
      </w:r>
      <w:r w:rsidRPr="00CF2780">
        <w:rPr>
          <w:rFonts w:ascii="Arial" w:eastAsia="Times New Roman" w:hAnsi="Arial" w:cs="Arial"/>
          <w:sz w:val="28"/>
          <w:szCs w:val="28"/>
          <w:lang w:val="es-ES" w:eastAsia="es-ES"/>
        </w:rPr>
        <w:t xml:space="preserve"> el </w:t>
      </w:r>
      <w:r w:rsidRPr="00CF2780">
        <w:rPr>
          <w:rFonts w:ascii="Arial" w:eastAsia="Times New Roman" w:hAnsi="Arial" w:cs="Arial"/>
          <w:bCs/>
          <w:color w:val="000000"/>
          <w:spacing w:val="3"/>
          <w:sz w:val="28"/>
          <w:szCs w:val="28"/>
          <w:lang w:val="es-ES_tradnl" w:eastAsia="es-ES"/>
        </w:rPr>
        <w:t xml:space="preserve">acuerdo CG-38/2011 de nueve de septiembre de dos mil once emitido por el Consejo General del Instituto Electoral de Michoacán por el que se da </w:t>
      </w:r>
      <w:r w:rsidRPr="00CF2780">
        <w:rPr>
          <w:rFonts w:ascii="Arial" w:eastAsia="Times New Roman" w:hAnsi="Arial" w:cs="Arial"/>
          <w:bCs/>
          <w:color w:val="000000"/>
          <w:spacing w:val="2"/>
          <w:sz w:val="28"/>
          <w:szCs w:val="28"/>
          <w:lang w:val="es-ES_tradnl" w:eastAsia="es-ES"/>
        </w:rPr>
        <w:t xml:space="preserve">respuesta a la petición de la Comunidad Indígena de Cherán para celebrar elecciones </w:t>
      </w:r>
      <w:r w:rsidRPr="00CF2780">
        <w:rPr>
          <w:rFonts w:ascii="Arial" w:eastAsia="Times New Roman" w:hAnsi="Arial" w:cs="Arial"/>
          <w:bCs/>
          <w:color w:val="000000"/>
          <w:spacing w:val="3"/>
          <w:sz w:val="28"/>
          <w:szCs w:val="28"/>
          <w:lang w:val="es-ES_tradnl" w:eastAsia="es-ES"/>
        </w:rPr>
        <w:t>bajo sus usos y costumbres.</w:t>
      </w:r>
    </w:p>
    <w:p w14:paraId="71B235AA" w14:textId="77777777" w:rsidR="00AD59FF" w:rsidRPr="00CF2780" w:rsidRDefault="00AD59FF" w:rsidP="00AD59FF">
      <w:pPr>
        <w:spacing w:after="0" w:line="360" w:lineRule="auto"/>
        <w:ind w:firstLine="708"/>
        <w:jc w:val="both"/>
        <w:rPr>
          <w:rFonts w:ascii="Arial" w:eastAsia="Times New Roman" w:hAnsi="Arial" w:cs="Arial"/>
          <w:b/>
          <w:sz w:val="28"/>
          <w:szCs w:val="28"/>
          <w:lang w:val="es-ES" w:eastAsia="es-ES"/>
        </w:rPr>
      </w:pPr>
    </w:p>
    <w:p w14:paraId="5CC1BB1C" w14:textId="77777777" w:rsidR="00AD59FF" w:rsidRPr="00CF2780" w:rsidRDefault="00AD59FF" w:rsidP="00AD59FF">
      <w:pPr>
        <w:spacing w:after="0" w:line="360" w:lineRule="auto"/>
        <w:ind w:firstLine="708"/>
        <w:jc w:val="both"/>
        <w:rPr>
          <w:rFonts w:ascii="Arial" w:eastAsia="Times New Roman" w:hAnsi="Arial" w:cs="Arial"/>
          <w:bCs/>
          <w:color w:val="000000"/>
          <w:spacing w:val="3"/>
          <w:sz w:val="28"/>
          <w:szCs w:val="28"/>
          <w:lang w:val="es-ES_tradnl" w:eastAsia="es-ES"/>
        </w:rPr>
      </w:pPr>
      <w:r w:rsidRPr="00CF2780">
        <w:rPr>
          <w:rFonts w:ascii="Arial" w:eastAsia="Times New Roman" w:hAnsi="Arial" w:cs="Arial"/>
          <w:b/>
          <w:sz w:val="28"/>
          <w:szCs w:val="28"/>
          <w:lang w:val="es-ES" w:eastAsia="es-ES"/>
        </w:rPr>
        <w:t xml:space="preserve">SEGUNDO. </w:t>
      </w:r>
      <w:r w:rsidRPr="00CF2780">
        <w:rPr>
          <w:rFonts w:ascii="Arial" w:eastAsia="Times New Roman" w:hAnsi="Arial" w:cs="Arial"/>
          <w:bCs/>
          <w:color w:val="000000"/>
          <w:spacing w:val="3"/>
          <w:sz w:val="28"/>
          <w:szCs w:val="28"/>
          <w:lang w:val="es-ES_tradnl" w:eastAsia="es-ES"/>
        </w:rPr>
        <w:t xml:space="preserve">Se </w:t>
      </w:r>
      <w:r w:rsidRPr="00CF2780">
        <w:rPr>
          <w:rFonts w:ascii="Arial" w:eastAsia="Times New Roman" w:hAnsi="Arial" w:cs="Arial"/>
          <w:b/>
          <w:bCs/>
          <w:color w:val="000000"/>
          <w:spacing w:val="3"/>
          <w:sz w:val="28"/>
          <w:szCs w:val="28"/>
          <w:lang w:val="es-ES_tradnl" w:eastAsia="es-ES"/>
        </w:rPr>
        <w:t>determina</w:t>
      </w:r>
      <w:r w:rsidRPr="00CF2780">
        <w:rPr>
          <w:rFonts w:ascii="Arial" w:eastAsia="Times New Roman" w:hAnsi="Arial" w:cs="Arial"/>
          <w:bCs/>
          <w:color w:val="000000"/>
          <w:spacing w:val="3"/>
          <w:sz w:val="28"/>
          <w:szCs w:val="28"/>
          <w:lang w:val="es-ES_tradnl" w:eastAsia="es-ES"/>
        </w:rPr>
        <w:t xml:space="preserve"> que los integrantes  de la comunidad indígena de Cherán tienen derecho a solicitar la elección de sus propias autoridades, siguiendo para ello sus normas, procedimientos y prácticas tradicionales, con pleno respeto a los derechos humanos.</w:t>
      </w:r>
    </w:p>
    <w:p w14:paraId="0F3400DC" w14:textId="77777777" w:rsidR="00AD59FF" w:rsidRPr="00CF2780" w:rsidRDefault="00AD59FF" w:rsidP="00AD59FF">
      <w:pPr>
        <w:spacing w:after="0" w:line="360" w:lineRule="auto"/>
        <w:ind w:firstLine="708"/>
        <w:jc w:val="both"/>
        <w:rPr>
          <w:rFonts w:ascii="Arial" w:eastAsia="Times New Roman" w:hAnsi="Arial" w:cs="Arial"/>
          <w:bCs/>
          <w:color w:val="000000"/>
          <w:spacing w:val="3"/>
          <w:sz w:val="28"/>
          <w:szCs w:val="28"/>
          <w:lang w:val="es-ES_tradnl" w:eastAsia="es-ES"/>
        </w:rPr>
      </w:pPr>
    </w:p>
    <w:p w14:paraId="5911A9AC" w14:textId="77777777" w:rsidR="00AD59FF" w:rsidRPr="00CF2780" w:rsidRDefault="00AD59FF" w:rsidP="00AD59FF">
      <w:pPr>
        <w:spacing w:after="0" w:line="360" w:lineRule="auto"/>
        <w:ind w:firstLine="708"/>
        <w:jc w:val="both"/>
        <w:rPr>
          <w:rFonts w:ascii="Arial" w:eastAsia="Times New Roman" w:hAnsi="Arial" w:cs="Arial"/>
          <w:bCs/>
          <w:color w:val="000000"/>
          <w:spacing w:val="3"/>
          <w:sz w:val="28"/>
          <w:szCs w:val="28"/>
          <w:lang w:val="es-ES_tradnl" w:eastAsia="es-ES"/>
        </w:rPr>
      </w:pPr>
      <w:r w:rsidRPr="00CF2780">
        <w:rPr>
          <w:rFonts w:ascii="Arial" w:eastAsia="Times New Roman" w:hAnsi="Arial" w:cs="Arial"/>
          <w:b/>
          <w:bCs/>
          <w:color w:val="000000"/>
          <w:spacing w:val="3"/>
          <w:sz w:val="28"/>
          <w:szCs w:val="28"/>
          <w:lang w:val="es-ES_tradnl" w:eastAsia="es-ES"/>
        </w:rPr>
        <w:t>TERCERO.</w:t>
      </w:r>
      <w:r w:rsidRPr="00CF2780">
        <w:rPr>
          <w:rFonts w:ascii="Arial" w:eastAsia="Times New Roman" w:hAnsi="Arial" w:cs="Arial"/>
          <w:bCs/>
          <w:color w:val="000000"/>
          <w:spacing w:val="3"/>
          <w:sz w:val="28"/>
          <w:szCs w:val="28"/>
          <w:lang w:val="es-ES_tradnl" w:eastAsia="es-ES"/>
        </w:rPr>
        <w:t xml:space="preserve"> Se dejan sin efectos todos los acuerdos de las autoridades electorales locales relacionados directamente con la elección de integrantes del Ayuntamiento en el Municipio de Cherán, </w:t>
      </w:r>
      <w:r w:rsidRPr="00CF2780">
        <w:rPr>
          <w:rFonts w:ascii="Arial" w:eastAsia="Times New Roman" w:hAnsi="Arial" w:cs="Arial"/>
          <w:bCs/>
          <w:color w:val="000000"/>
          <w:spacing w:val="3"/>
          <w:sz w:val="28"/>
          <w:szCs w:val="28"/>
          <w:lang w:val="es-ES_tradnl" w:eastAsia="es-ES"/>
        </w:rPr>
        <w:lastRenderedPageBreak/>
        <w:t>para la preparación y organización de los comicios conforme al régimen de partidos políticos.</w:t>
      </w:r>
    </w:p>
    <w:p w14:paraId="15A71CB4" w14:textId="77777777" w:rsidR="00AD59FF" w:rsidRPr="00CF2780" w:rsidRDefault="00AD59FF" w:rsidP="00AD59FF">
      <w:pPr>
        <w:spacing w:after="0" w:line="360" w:lineRule="auto"/>
        <w:ind w:firstLine="708"/>
        <w:jc w:val="both"/>
        <w:rPr>
          <w:rFonts w:ascii="Arial" w:eastAsia="Times New Roman" w:hAnsi="Arial" w:cs="Arial"/>
          <w:bCs/>
          <w:color w:val="000000"/>
          <w:spacing w:val="3"/>
          <w:sz w:val="28"/>
          <w:szCs w:val="28"/>
          <w:lang w:val="es-ES_tradnl" w:eastAsia="es-ES"/>
        </w:rPr>
      </w:pPr>
    </w:p>
    <w:p w14:paraId="4704EA79" w14:textId="77777777" w:rsidR="00AD59FF" w:rsidRPr="00CF2780" w:rsidRDefault="00AD59FF" w:rsidP="00AD59FF">
      <w:pPr>
        <w:spacing w:after="0" w:line="360" w:lineRule="auto"/>
        <w:ind w:firstLine="708"/>
        <w:jc w:val="both"/>
        <w:rPr>
          <w:rFonts w:ascii="Arial" w:eastAsia="Times New Roman" w:hAnsi="Arial" w:cs="Arial"/>
          <w:bCs/>
          <w:color w:val="000000"/>
          <w:spacing w:val="3"/>
          <w:sz w:val="28"/>
          <w:szCs w:val="28"/>
          <w:lang w:val="es-ES_tradnl" w:eastAsia="es-ES"/>
        </w:rPr>
      </w:pPr>
      <w:r w:rsidRPr="00CF2780">
        <w:rPr>
          <w:rFonts w:ascii="Arial" w:eastAsia="Times New Roman" w:hAnsi="Arial" w:cs="Arial"/>
          <w:b/>
          <w:bCs/>
          <w:color w:val="000000"/>
          <w:spacing w:val="3"/>
          <w:sz w:val="28"/>
          <w:szCs w:val="28"/>
          <w:lang w:val="es-ES_tradnl" w:eastAsia="es-ES"/>
        </w:rPr>
        <w:t>CUARTO.</w:t>
      </w:r>
      <w:r w:rsidRPr="00CF2780">
        <w:rPr>
          <w:rFonts w:ascii="Arial" w:eastAsia="Times New Roman" w:hAnsi="Arial" w:cs="Arial"/>
          <w:bCs/>
          <w:color w:val="000000"/>
          <w:spacing w:val="3"/>
          <w:sz w:val="28"/>
          <w:szCs w:val="28"/>
          <w:lang w:val="es-ES_tradnl" w:eastAsia="es-ES"/>
        </w:rPr>
        <w:t xml:space="preserve"> </w:t>
      </w:r>
      <w:r w:rsidRPr="00CF2780">
        <w:rPr>
          <w:rFonts w:ascii="Arial" w:eastAsia="Times New Roman" w:hAnsi="Arial" w:cs="Arial"/>
          <w:b/>
          <w:bCs/>
          <w:color w:val="000000"/>
          <w:spacing w:val="3"/>
          <w:sz w:val="28"/>
          <w:szCs w:val="28"/>
          <w:lang w:val="es-ES_tradnl" w:eastAsia="es-ES"/>
        </w:rPr>
        <w:t xml:space="preserve"> </w:t>
      </w:r>
      <w:r w:rsidRPr="00CF2780">
        <w:rPr>
          <w:rFonts w:ascii="Arial" w:eastAsia="Times New Roman" w:hAnsi="Arial" w:cs="Arial"/>
          <w:bCs/>
          <w:color w:val="000000"/>
          <w:spacing w:val="3"/>
          <w:sz w:val="28"/>
          <w:szCs w:val="28"/>
          <w:lang w:val="es-ES_tradnl" w:eastAsia="es-ES"/>
        </w:rPr>
        <w:t xml:space="preserve"> Se </w:t>
      </w:r>
      <w:r w:rsidRPr="00CF2780">
        <w:rPr>
          <w:rFonts w:ascii="Arial" w:eastAsia="Times New Roman" w:hAnsi="Arial" w:cs="Arial"/>
          <w:b/>
          <w:bCs/>
          <w:color w:val="000000"/>
          <w:spacing w:val="3"/>
          <w:sz w:val="28"/>
          <w:szCs w:val="28"/>
          <w:lang w:val="es-ES_tradnl" w:eastAsia="es-ES"/>
        </w:rPr>
        <w:t>ordena</w:t>
      </w:r>
      <w:r w:rsidRPr="00CF2780">
        <w:rPr>
          <w:rFonts w:ascii="Arial" w:eastAsia="Times New Roman" w:hAnsi="Arial" w:cs="Arial"/>
          <w:bCs/>
          <w:color w:val="000000"/>
          <w:spacing w:val="3"/>
          <w:sz w:val="28"/>
          <w:szCs w:val="28"/>
          <w:lang w:val="es-ES_tradnl" w:eastAsia="es-ES"/>
        </w:rPr>
        <w:t xml:space="preserve"> al Consejo General del Instituto Estatal Electoral de Michoacán realizar todas las acciones ordenadas en el considerando Noveno de la presente resolución.</w:t>
      </w:r>
    </w:p>
    <w:p w14:paraId="22A40FEE" w14:textId="77777777" w:rsidR="00AD59FF" w:rsidRPr="00CF2780" w:rsidRDefault="00AD59FF" w:rsidP="00AD59FF">
      <w:pPr>
        <w:spacing w:after="0" w:line="360" w:lineRule="auto"/>
        <w:ind w:firstLine="708"/>
        <w:jc w:val="both"/>
        <w:rPr>
          <w:rFonts w:ascii="Arial" w:eastAsia="Times New Roman" w:hAnsi="Arial" w:cs="Arial"/>
          <w:bCs/>
          <w:color w:val="000000"/>
          <w:spacing w:val="3"/>
          <w:sz w:val="28"/>
          <w:szCs w:val="28"/>
          <w:lang w:val="es-ES_tradnl" w:eastAsia="es-ES"/>
        </w:rPr>
      </w:pPr>
    </w:p>
    <w:p w14:paraId="0B03ED7D" w14:textId="77777777" w:rsidR="00AD59FF" w:rsidRPr="00CF2780" w:rsidRDefault="00AD59FF" w:rsidP="00AD59FF">
      <w:pPr>
        <w:spacing w:after="0" w:line="360" w:lineRule="auto"/>
        <w:ind w:firstLine="708"/>
        <w:jc w:val="both"/>
        <w:rPr>
          <w:rFonts w:ascii="Arial" w:eastAsia="Times New Roman" w:hAnsi="Arial" w:cs="Arial"/>
          <w:bCs/>
          <w:color w:val="000000"/>
          <w:spacing w:val="3"/>
          <w:sz w:val="28"/>
          <w:szCs w:val="28"/>
          <w:lang w:val="es-ES_tradnl" w:eastAsia="es-ES"/>
        </w:rPr>
      </w:pPr>
      <w:r w:rsidRPr="00CF2780">
        <w:rPr>
          <w:rFonts w:ascii="Arial" w:eastAsia="Times New Roman" w:hAnsi="Arial" w:cs="Arial"/>
          <w:b/>
          <w:bCs/>
          <w:color w:val="000000"/>
          <w:spacing w:val="3"/>
          <w:sz w:val="28"/>
          <w:szCs w:val="28"/>
          <w:lang w:val="es-ES_tradnl" w:eastAsia="es-ES"/>
        </w:rPr>
        <w:t xml:space="preserve">QUINTO. </w:t>
      </w:r>
      <w:r w:rsidRPr="00CF2780">
        <w:rPr>
          <w:rFonts w:ascii="Arial" w:eastAsia="Times New Roman" w:hAnsi="Arial" w:cs="Arial"/>
          <w:bCs/>
          <w:color w:val="000000"/>
          <w:spacing w:val="3"/>
          <w:sz w:val="28"/>
          <w:szCs w:val="28"/>
          <w:lang w:val="es-ES_tradnl" w:eastAsia="es-ES"/>
        </w:rPr>
        <w:t>Se ordena al Congreso del Estado de Michoacán realizar todas las acciones ordenadas en el considerando Noveno de la presente resolución.</w:t>
      </w:r>
    </w:p>
    <w:p w14:paraId="30BA8796" w14:textId="77777777" w:rsidR="00AD59FF" w:rsidRPr="00CF2780" w:rsidRDefault="00AD59FF" w:rsidP="00AD59FF">
      <w:pPr>
        <w:spacing w:after="0" w:line="360" w:lineRule="auto"/>
        <w:ind w:firstLine="708"/>
        <w:jc w:val="both"/>
        <w:rPr>
          <w:rFonts w:ascii="Arial" w:eastAsia="Times New Roman" w:hAnsi="Arial" w:cs="Arial"/>
          <w:bCs/>
          <w:color w:val="000000"/>
          <w:spacing w:val="3"/>
          <w:sz w:val="28"/>
          <w:szCs w:val="28"/>
          <w:lang w:val="es-ES_tradnl" w:eastAsia="es-ES"/>
        </w:rPr>
      </w:pPr>
    </w:p>
    <w:p w14:paraId="7EF061A7" w14:textId="77777777" w:rsidR="00AD59FF" w:rsidRPr="00CF2780" w:rsidRDefault="00AD59FF" w:rsidP="00AD59FF">
      <w:pPr>
        <w:spacing w:after="0" w:line="360" w:lineRule="auto"/>
        <w:ind w:firstLine="708"/>
        <w:jc w:val="both"/>
        <w:rPr>
          <w:rFonts w:ascii="Arial" w:eastAsia="Times New Roman" w:hAnsi="Arial" w:cs="Arial"/>
          <w:bCs/>
          <w:color w:val="000000"/>
          <w:spacing w:val="3"/>
          <w:sz w:val="28"/>
          <w:szCs w:val="28"/>
          <w:lang w:val="es-ES_tradnl" w:eastAsia="es-ES"/>
        </w:rPr>
      </w:pPr>
      <w:r w:rsidRPr="00CF2780">
        <w:rPr>
          <w:rFonts w:ascii="Arial" w:eastAsia="Times New Roman" w:hAnsi="Arial" w:cs="Arial"/>
          <w:b/>
          <w:bCs/>
          <w:color w:val="000000"/>
          <w:spacing w:val="3"/>
          <w:sz w:val="28"/>
          <w:szCs w:val="28"/>
          <w:lang w:val="es-ES_tradnl" w:eastAsia="es-ES"/>
        </w:rPr>
        <w:t xml:space="preserve">SEXTO. </w:t>
      </w:r>
      <w:r w:rsidRPr="00CF2780">
        <w:rPr>
          <w:rFonts w:ascii="Arial" w:eastAsia="Times New Roman" w:hAnsi="Arial" w:cs="Arial"/>
          <w:bCs/>
          <w:color w:val="000000"/>
          <w:spacing w:val="3"/>
          <w:sz w:val="28"/>
          <w:szCs w:val="28"/>
          <w:lang w:val="es-ES_tradnl" w:eastAsia="es-ES"/>
        </w:rPr>
        <w:t xml:space="preserve">Se </w:t>
      </w:r>
      <w:r w:rsidRPr="00CF2780">
        <w:rPr>
          <w:rFonts w:ascii="Arial" w:eastAsia="Times New Roman" w:hAnsi="Arial" w:cs="Arial"/>
          <w:b/>
          <w:bCs/>
          <w:color w:val="000000"/>
          <w:spacing w:val="3"/>
          <w:sz w:val="28"/>
          <w:szCs w:val="28"/>
          <w:lang w:val="es-ES_tradnl" w:eastAsia="es-ES"/>
        </w:rPr>
        <w:t>ordena</w:t>
      </w:r>
      <w:r w:rsidRPr="00CF2780">
        <w:rPr>
          <w:rFonts w:ascii="Arial" w:eastAsia="Times New Roman" w:hAnsi="Arial" w:cs="Arial"/>
          <w:bCs/>
          <w:color w:val="000000"/>
          <w:spacing w:val="3"/>
          <w:sz w:val="28"/>
          <w:szCs w:val="28"/>
          <w:lang w:val="es-ES_tradnl" w:eastAsia="es-ES"/>
        </w:rPr>
        <w:t xml:space="preserve"> a las autoridades estatales que, en el ejercicio de sus funciones, acaten la presente ejecutoria y presten el auxilio necesario al Instituto Electoral de Michoacán.</w:t>
      </w:r>
    </w:p>
    <w:p w14:paraId="66DF2D8A" w14:textId="77777777" w:rsidR="00AD59FF" w:rsidRPr="00CF2780" w:rsidRDefault="00AD59FF" w:rsidP="00AD59FF">
      <w:pPr>
        <w:spacing w:after="0" w:line="360" w:lineRule="auto"/>
        <w:ind w:firstLine="708"/>
        <w:jc w:val="both"/>
        <w:rPr>
          <w:rFonts w:ascii="Arial" w:eastAsia="Times New Roman" w:hAnsi="Arial" w:cs="Arial"/>
          <w:b/>
          <w:bCs/>
          <w:color w:val="000000"/>
          <w:spacing w:val="3"/>
          <w:sz w:val="28"/>
          <w:szCs w:val="28"/>
          <w:lang w:val="es-ES_tradnl" w:eastAsia="es-ES"/>
        </w:rPr>
      </w:pPr>
    </w:p>
    <w:p w14:paraId="1AE2FA4D" w14:textId="77777777" w:rsidR="00AD59FF" w:rsidRPr="00CF2780" w:rsidRDefault="00AD59FF" w:rsidP="00AD59FF">
      <w:pPr>
        <w:spacing w:after="0" w:line="360" w:lineRule="auto"/>
        <w:ind w:firstLine="708"/>
        <w:jc w:val="both"/>
        <w:rPr>
          <w:rFonts w:ascii="Arial" w:eastAsia="Times New Roman" w:hAnsi="Arial" w:cs="Arial"/>
          <w:bCs/>
          <w:color w:val="000000"/>
          <w:spacing w:val="3"/>
          <w:sz w:val="28"/>
          <w:szCs w:val="28"/>
          <w:lang w:val="es-ES_tradnl" w:eastAsia="es-ES"/>
        </w:rPr>
      </w:pPr>
      <w:r w:rsidRPr="00CF2780">
        <w:rPr>
          <w:rFonts w:ascii="Arial" w:eastAsia="Times New Roman" w:hAnsi="Arial" w:cs="Arial"/>
          <w:b/>
          <w:bCs/>
          <w:color w:val="000000"/>
          <w:spacing w:val="3"/>
          <w:sz w:val="28"/>
          <w:szCs w:val="28"/>
          <w:lang w:val="es-ES_tradnl" w:eastAsia="es-ES"/>
        </w:rPr>
        <w:t>SÉPTIMO.</w:t>
      </w:r>
      <w:r w:rsidRPr="00CF2780">
        <w:rPr>
          <w:rFonts w:ascii="Arial" w:eastAsia="Times New Roman" w:hAnsi="Arial" w:cs="Arial"/>
          <w:bCs/>
          <w:color w:val="000000"/>
          <w:spacing w:val="3"/>
          <w:sz w:val="28"/>
          <w:szCs w:val="28"/>
          <w:lang w:val="es-ES_tradnl" w:eastAsia="es-ES"/>
        </w:rPr>
        <w:t xml:space="preserve"> Las autoridades deberán </w:t>
      </w:r>
      <w:r w:rsidRPr="00CF2780">
        <w:rPr>
          <w:rFonts w:ascii="Arial" w:eastAsia="Times New Roman" w:hAnsi="Arial" w:cs="Arial"/>
          <w:b/>
          <w:bCs/>
          <w:color w:val="000000"/>
          <w:spacing w:val="3"/>
          <w:sz w:val="28"/>
          <w:szCs w:val="28"/>
          <w:lang w:val="es-ES_tradnl" w:eastAsia="es-ES"/>
        </w:rPr>
        <w:t>remitir</w:t>
      </w:r>
      <w:r w:rsidRPr="00CF2780">
        <w:rPr>
          <w:rFonts w:ascii="Arial" w:eastAsia="Times New Roman" w:hAnsi="Arial" w:cs="Arial"/>
          <w:bCs/>
          <w:color w:val="000000"/>
          <w:spacing w:val="3"/>
          <w:sz w:val="28"/>
          <w:szCs w:val="28"/>
          <w:lang w:val="es-ES_tradnl" w:eastAsia="es-ES"/>
        </w:rPr>
        <w:t xml:space="preserve"> a esta Sala Superior copia certificada de las constancias relativas que demuestren el cumplimiento dado a la presente ejecutoria, en un plazo de tres días hábiles contados, a partir del momento en que emitan las respectivas resoluciones.</w:t>
      </w:r>
    </w:p>
    <w:p w14:paraId="10A9166C" w14:textId="77777777" w:rsidR="00AD59FF" w:rsidRPr="00CF2780" w:rsidRDefault="00AD59FF" w:rsidP="00AD59FF">
      <w:pPr>
        <w:spacing w:after="0" w:line="360" w:lineRule="auto"/>
        <w:ind w:firstLine="708"/>
        <w:jc w:val="both"/>
        <w:rPr>
          <w:rFonts w:ascii="Arial" w:eastAsia="Times New Roman" w:hAnsi="Arial" w:cs="Arial"/>
          <w:sz w:val="28"/>
          <w:szCs w:val="28"/>
          <w:lang w:val="es-ES" w:eastAsia="es-ES"/>
        </w:rPr>
      </w:pPr>
    </w:p>
    <w:p w14:paraId="41CDD46C" w14:textId="77777777" w:rsidR="00AD59FF" w:rsidRPr="00CF2780" w:rsidRDefault="00AD59FF" w:rsidP="00AD59FF">
      <w:pPr>
        <w:spacing w:after="0" w:line="360" w:lineRule="auto"/>
        <w:ind w:firstLine="720"/>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NOTIFÍQUESE</w:t>
      </w:r>
      <w:r w:rsidRPr="00CF2780">
        <w:rPr>
          <w:rFonts w:ascii="Arial" w:eastAsia="Times New Roman" w:hAnsi="Arial" w:cs="Arial"/>
          <w:sz w:val="28"/>
          <w:szCs w:val="28"/>
          <w:lang w:val="es-ES" w:eastAsia="es-ES"/>
        </w:rPr>
        <w:t xml:space="preserve">, </w:t>
      </w:r>
      <w:r w:rsidRPr="00CF2780">
        <w:rPr>
          <w:rFonts w:ascii="Arial" w:eastAsia="Times New Roman" w:hAnsi="Arial" w:cs="Arial"/>
          <w:b/>
          <w:sz w:val="28"/>
          <w:szCs w:val="28"/>
          <w:lang w:val="es-ES" w:eastAsia="es-ES"/>
        </w:rPr>
        <w:t>personalmente</w:t>
      </w:r>
      <w:r w:rsidRPr="00CF2780">
        <w:rPr>
          <w:rFonts w:ascii="Arial" w:eastAsia="Times New Roman" w:hAnsi="Arial" w:cs="Arial"/>
          <w:sz w:val="28"/>
          <w:szCs w:val="28"/>
          <w:lang w:val="es-ES" w:eastAsia="es-ES"/>
        </w:rPr>
        <w:t xml:space="preserve">, a los promoventes, en el domicilio señalado en el escrito de demanda; </w:t>
      </w:r>
      <w:r w:rsidRPr="00CF2780">
        <w:rPr>
          <w:rFonts w:ascii="Arial" w:eastAsia="Times New Roman" w:hAnsi="Arial" w:cs="Arial"/>
          <w:b/>
          <w:sz w:val="28"/>
          <w:szCs w:val="28"/>
          <w:lang w:val="es-ES" w:eastAsia="es-ES"/>
        </w:rPr>
        <w:t xml:space="preserve">por oficio, </w:t>
      </w:r>
      <w:r w:rsidRPr="00CF2780">
        <w:rPr>
          <w:rFonts w:ascii="Arial" w:eastAsia="Times New Roman" w:hAnsi="Arial" w:cs="Arial"/>
          <w:sz w:val="28"/>
          <w:szCs w:val="28"/>
          <w:lang w:val="es-ES" w:eastAsia="es-ES"/>
        </w:rPr>
        <w:t xml:space="preserve">al  </w:t>
      </w:r>
      <w:r w:rsidRPr="00CF2780">
        <w:rPr>
          <w:rFonts w:ascii="Arial" w:eastAsia="Times New Roman" w:hAnsi="Arial" w:cs="Arial"/>
          <w:bCs/>
          <w:color w:val="000000"/>
          <w:spacing w:val="3"/>
          <w:sz w:val="28"/>
          <w:szCs w:val="28"/>
          <w:lang w:val="es-ES_tradnl" w:eastAsia="es-ES"/>
        </w:rPr>
        <w:t>Consejo General del Instituto Electoral de Michoacán</w:t>
      </w:r>
      <w:r w:rsidRPr="00CF2780">
        <w:rPr>
          <w:rFonts w:ascii="Arial" w:eastAsia="Times New Roman" w:hAnsi="Arial" w:cs="Arial"/>
          <w:b/>
          <w:sz w:val="28"/>
          <w:szCs w:val="28"/>
          <w:lang w:val="es-ES" w:eastAsia="es-ES"/>
        </w:rPr>
        <w:t xml:space="preserve">, y por estrados, </w:t>
      </w:r>
      <w:r w:rsidRPr="00CF2780">
        <w:rPr>
          <w:rFonts w:ascii="Arial" w:eastAsia="Times New Roman" w:hAnsi="Arial" w:cs="Arial"/>
          <w:sz w:val="28"/>
          <w:szCs w:val="28"/>
          <w:lang w:val="es-ES" w:eastAsia="es-ES"/>
        </w:rPr>
        <w:t xml:space="preserve">a los demás interesados. Lo anterior, con apoyo en los artículos 26, párrafo 3, 27 y 29, apartado 5, de </w:t>
      </w:r>
      <w:smartTag w:uri="urn:schemas-microsoft-com:office:smarttags" w:element="PersonName">
        <w:smartTagPr>
          <w:attr w:name="ProductID" w:val="la Ley General"/>
        </w:smartTagPr>
        <w:r w:rsidRPr="00CF2780">
          <w:rPr>
            <w:rFonts w:ascii="Arial" w:eastAsia="Times New Roman" w:hAnsi="Arial" w:cs="Arial"/>
            <w:sz w:val="28"/>
            <w:szCs w:val="28"/>
            <w:lang w:val="es-ES" w:eastAsia="es-ES"/>
          </w:rPr>
          <w:t>la Ley General</w:t>
        </w:r>
      </w:smartTag>
      <w:r w:rsidRPr="00CF2780">
        <w:rPr>
          <w:rFonts w:ascii="Arial" w:eastAsia="Times New Roman" w:hAnsi="Arial" w:cs="Arial"/>
          <w:sz w:val="28"/>
          <w:szCs w:val="28"/>
          <w:lang w:val="es-ES" w:eastAsia="es-ES"/>
        </w:rPr>
        <w:t xml:space="preserve"> del Sistema de Medios de Impugnación.</w:t>
      </w:r>
    </w:p>
    <w:p w14:paraId="105B0D00" w14:textId="77777777" w:rsidR="00AD59FF" w:rsidRPr="00CF2780" w:rsidRDefault="00AD59FF" w:rsidP="00AD59FF">
      <w:pPr>
        <w:spacing w:after="0" w:line="360" w:lineRule="auto"/>
        <w:ind w:firstLine="720"/>
        <w:jc w:val="both"/>
        <w:rPr>
          <w:rFonts w:ascii="Arial" w:eastAsia="Times New Roman" w:hAnsi="Arial" w:cs="Arial"/>
          <w:sz w:val="28"/>
          <w:szCs w:val="28"/>
          <w:lang w:val="es-ES" w:eastAsia="es-ES"/>
        </w:rPr>
      </w:pPr>
    </w:p>
    <w:p w14:paraId="100E83B5" w14:textId="77777777" w:rsidR="00AD59FF" w:rsidRPr="00CF2780" w:rsidRDefault="00AD59FF" w:rsidP="00AD59FF">
      <w:pPr>
        <w:spacing w:after="0" w:line="360" w:lineRule="auto"/>
        <w:ind w:firstLine="720"/>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Así, por </w:t>
      </w:r>
      <w:r w:rsidRPr="00CF2780">
        <w:rPr>
          <w:rFonts w:ascii="Arial" w:eastAsia="Times New Roman" w:hAnsi="Arial" w:cs="Arial"/>
          <w:b/>
          <w:sz w:val="28"/>
          <w:szCs w:val="28"/>
          <w:lang w:val="es-ES" w:eastAsia="es-ES"/>
        </w:rPr>
        <w:t>mayoría</w:t>
      </w:r>
      <w:r w:rsidRPr="00CF2780">
        <w:rPr>
          <w:rFonts w:ascii="Arial" w:eastAsia="Times New Roman" w:hAnsi="Arial" w:cs="Arial"/>
          <w:sz w:val="28"/>
          <w:szCs w:val="28"/>
          <w:lang w:val="es-ES" w:eastAsia="es-ES"/>
        </w:rPr>
        <w:t xml:space="preserve"> de votos, lo resolvieron los Magistrados Electorales que integran </w:t>
      </w:r>
      <w:smartTag w:uri="urn:schemas-microsoft-com:office:smarttags" w:element="PersonName">
        <w:smartTagPr>
          <w:attr w:name="ProductID" w:val="la Sala Superior"/>
        </w:smartTagPr>
        <w:r w:rsidRPr="00CF2780">
          <w:rPr>
            <w:rFonts w:ascii="Arial" w:eastAsia="Times New Roman" w:hAnsi="Arial" w:cs="Arial"/>
            <w:sz w:val="28"/>
            <w:szCs w:val="28"/>
            <w:lang w:val="es-ES" w:eastAsia="es-ES"/>
          </w:rPr>
          <w:t>la Sala Superior</w:t>
        </w:r>
      </w:smartTag>
      <w:r w:rsidRPr="00CF2780">
        <w:rPr>
          <w:rFonts w:ascii="Arial" w:eastAsia="Times New Roman" w:hAnsi="Arial" w:cs="Arial"/>
          <w:sz w:val="28"/>
          <w:szCs w:val="28"/>
          <w:lang w:val="es-ES" w:eastAsia="es-ES"/>
        </w:rPr>
        <w:t xml:space="preserve"> del Tribunal Electoral del Poder Judicial de la Federación, con el voto en contra del Magistrado Flavio Galván Rivera, ante el Secretario General de Acuerdos que autoriza y da fe.  </w:t>
      </w:r>
    </w:p>
    <w:p w14:paraId="17DF6DE7" w14:textId="77777777" w:rsidR="00AD59FF" w:rsidRPr="00CF2780" w:rsidRDefault="00AD59FF" w:rsidP="00AD59FF">
      <w:pPr>
        <w:spacing w:after="0" w:line="360" w:lineRule="auto"/>
        <w:ind w:firstLine="709"/>
        <w:jc w:val="both"/>
        <w:rPr>
          <w:rFonts w:ascii="Arial" w:eastAsia="Times New Roman" w:hAnsi="Arial" w:cs="Arial"/>
          <w:sz w:val="28"/>
          <w:szCs w:val="28"/>
          <w:lang w:val="es-ES" w:eastAsia="es-ES"/>
        </w:rPr>
      </w:pPr>
    </w:p>
    <w:tbl>
      <w:tblPr>
        <w:tblW w:w="8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89"/>
        <w:gridCol w:w="3952"/>
      </w:tblGrid>
      <w:tr w:rsidR="00AD59FF" w:rsidRPr="00CF2780" w14:paraId="304CDF17" w14:textId="77777777" w:rsidTr="00B05F31">
        <w:trPr>
          <w:cantSplit/>
          <w:jc w:val="center"/>
        </w:trPr>
        <w:tc>
          <w:tcPr>
            <w:tcW w:w="8041" w:type="dxa"/>
            <w:gridSpan w:val="2"/>
            <w:tcBorders>
              <w:top w:val="nil"/>
              <w:left w:val="nil"/>
              <w:bottom w:val="nil"/>
              <w:right w:val="nil"/>
            </w:tcBorders>
          </w:tcPr>
          <w:p w14:paraId="718804C4" w14:textId="77777777" w:rsidR="00AD59FF" w:rsidRPr="00CF2780" w:rsidRDefault="00AD59FF" w:rsidP="00AD59FF">
            <w:pPr>
              <w:spacing w:after="0" w:line="240" w:lineRule="auto"/>
              <w:jc w:val="center"/>
              <w:rPr>
                <w:rFonts w:ascii="Arial" w:eastAsia="Times New Roman" w:hAnsi="Arial" w:cs="Arial"/>
                <w:b/>
                <w:bCs/>
                <w:sz w:val="28"/>
                <w:szCs w:val="28"/>
                <w:lang w:val="pt-BR" w:eastAsia="es-ES"/>
              </w:rPr>
            </w:pPr>
            <w:r w:rsidRPr="00CF2780">
              <w:rPr>
                <w:rFonts w:ascii="Arial" w:eastAsia="Times New Roman" w:hAnsi="Arial" w:cs="Arial"/>
                <w:b/>
                <w:bCs/>
                <w:sz w:val="28"/>
                <w:szCs w:val="28"/>
                <w:lang w:val="pt-BR" w:eastAsia="es-ES"/>
              </w:rPr>
              <w:t>MAGISTRADO PRESIDENTE</w:t>
            </w:r>
          </w:p>
          <w:p w14:paraId="0A2BC8D8" w14:textId="77777777" w:rsidR="00AD59FF" w:rsidRPr="00CF2780" w:rsidRDefault="00AD59FF" w:rsidP="00AD59FF">
            <w:pPr>
              <w:spacing w:after="0" w:line="240" w:lineRule="auto"/>
              <w:jc w:val="center"/>
              <w:rPr>
                <w:rFonts w:ascii="Arial" w:eastAsia="Times New Roman" w:hAnsi="Arial" w:cs="Arial"/>
                <w:b/>
                <w:bCs/>
                <w:sz w:val="28"/>
                <w:szCs w:val="28"/>
                <w:lang w:val="pt-BR" w:eastAsia="es-ES"/>
              </w:rPr>
            </w:pPr>
          </w:p>
          <w:p w14:paraId="4CC4C0D6" w14:textId="77777777" w:rsidR="00AD59FF" w:rsidRPr="00CF2780" w:rsidRDefault="00AD59FF" w:rsidP="00AD59FF">
            <w:pPr>
              <w:spacing w:after="0" w:line="240" w:lineRule="auto"/>
              <w:jc w:val="center"/>
              <w:rPr>
                <w:rFonts w:ascii="Arial" w:eastAsia="Times New Roman" w:hAnsi="Arial" w:cs="Arial"/>
                <w:b/>
                <w:bCs/>
                <w:sz w:val="28"/>
                <w:szCs w:val="28"/>
                <w:lang w:val="pt-BR" w:eastAsia="es-ES"/>
              </w:rPr>
            </w:pPr>
          </w:p>
          <w:p w14:paraId="3326BEB0" w14:textId="77777777" w:rsidR="00AD59FF" w:rsidRPr="00CF2780" w:rsidRDefault="00AD59FF" w:rsidP="00AD59FF">
            <w:pPr>
              <w:spacing w:after="0" w:line="240" w:lineRule="auto"/>
              <w:jc w:val="center"/>
              <w:rPr>
                <w:rFonts w:ascii="Arial" w:eastAsia="Times New Roman" w:hAnsi="Arial" w:cs="Arial"/>
                <w:b/>
                <w:bCs/>
                <w:sz w:val="28"/>
                <w:szCs w:val="28"/>
                <w:lang w:val="pt-BR" w:eastAsia="es-ES"/>
              </w:rPr>
            </w:pPr>
          </w:p>
          <w:p w14:paraId="706E43D2" w14:textId="77777777" w:rsidR="00AD59FF" w:rsidRPr="00CF2780" w:rsidRDefault="00AD59FF" w:rsidP="00AD59FF">
            <w:pPr>
              <w:spacing w:after="0" w:line="240" w:lineRule="auto"/>
              <w:jc w:val="center"/>
              <w:rPr>
                <w:rFonts w:ascii="Arial" w:eastAsia="Times New Roman" w:hAnsi="Arial" w:cs="Arial"/>
                <w:b/>
                <w:bCs/>
                <w:sz w:val="28"/>
                <w:szCs w:val="28"/>
                <w:lang w:val="pt-BR" w:eastAsia="es-ES"/>
              </w:rPr>
            </w:pPr>
            <w:r w:rsidRPr="00CF2780">
              <w:rPr>
                <w:rFonts w:ascii="Arial" w:eastAsia="Times New Roman" w:hAnsi="Arial" w:cs="Arial"/>
                <w:b/>
                <w:bCs/>
                <w:sz w:val="28"/>
                <w:szCs w:val="28"/>
                <w:lang w:val="pt-BR" w:eastAsia="es-ES"/>
              </w:rPr>
              <w:t>JOSÉ ALEJANDRO LUNA RAMOS</w:t>
            </w:r>
          </w:p>
          <w:p w14:paraId="512CBFFB" w14:textId="77777777" w:rsidR="00AD59FF" w:rsidRPr="00CF2780" w:rsidRDefault="00AD59FF" w:rsidP="00AD59FF">
            <w:pPr>
              <w:spacing w:after="0" w:line="240" w:lineRule="auto"/>
              <w:jc w:val="center"/>
              <w:rPr>
                <w:rFonts w:ascii="Arial" w:eastAsia="Times New Roman" w:hAnsi="Arial" w:cs="Arial"/>
                <w:b/>
                <w:bCs/>
                <w:sz w:val="28"/>
                <w:szCs w:val="28"/>
                <w:lang w:val="pt-BR" w:eastAsia="es-ES"/>
              </w:rPr>
            </w:pPr>
          </w:p>
          <w:p w14:paraId="3CCDE137" w14:textId="77777777" w:rsidR="00AD59FF" w:rsidRPr="00CF2780" w:rsidRDefault="00AD59FF" w:rsidP="00AD59FF">
            <w:pPr>
              <w:spacing w:after="0" w:line="240" w:lineRule="auto"/>
              <w:jc w:val="center"/>
              <w:rPr>
                <w:rFonts w:ascii="Arial" w:eastAsia="Times New Roman" w:hAnsi="Arial" w:cs="Arial"/>
                <w:b/>
                <w:bCs/>
                <w:sz w:val="28"/>
                <w:szCs w:val="28"/>
                <w:lang w:val="pt-BR" w:eastAsia="es-ES"/>
              </w:rPr>
            </w:pPr>
          </w:p>
          <w:p w14:paraId="4145DD70" w14:textId="77777777" w:rsidR="00AD59FF" w:rsidRPr="00CF2780" w:rsidRDefault="00AD59FF" w:rsidP="00AD59FF">
            <w:pPr>
              <w:spacing w:after="0" w:line="240" w:lineRule="auto"/>
              <w:jc w:val="center"/>
              <w:rPr>
                <w:rFonts w:ascii="Arial" w:eastAsia="Times New Roman" w:hAnsi="Arial" w:cs="Arial"/>
                <w:b/>
                <w:bCs/>
                <w:sz w:val="28"/>
                <w:szCs w:val="28"/>
                <w:lang w:val="pt-BR" w:eastAsia="es-ES"/>
              </w:rPr>
            </w:pPr>
          </w:p>
        </w:tc>
      </w:tr>
      <w:tr w:rsidR="00AD59FF" w:rsidRPr="00CF2780" w14:paraId="1A97DF24" w14:textId="77777777" w:rsidTr="00B05F31">
        <w:trPr>
          <w:jc w:val="center"/>
        </w:trPr>
        <w:tc>
          <w:tcPr>
            <w:tcW w:w="4089" w:type="dxa"/>
            <w:tcBorders>
              <w:top w:val="nil"/>
              <w:left w:val="nil"/>
              <w:bottom w:val="nil"/>
              <w:right w:val="nil"/>
            </w:tcBorders>
          </w:tcPr>
          <w:p w14:paraId="10174130" w14:textId="77777777" w:rsidR="00AD59FF" w:rsidRPr="00CF2780" w:rsidRDefault="00AD59FF" w:rsidP="00AD59FF">
            <w:pPr>
              <w:spacing w:after="0" w:line="240" w:lineRule="auto"/>
              <w:jc w:val="center"/>
              <w:rPr>
                <w:rFonts w:ascii="Arial" w:eastAsia="Times New Roman" w:hAnsi="Arial" w:cs="Arial"/>
                <w:b/>
                <w:bCs/>
                <w:sz w:val="28"/>
                <w:szCs w:val="28"/>
                <w:lang w:val="es-ES" w:eastAsia="es-ES"/>
              </w:rPr>
            </w:pPr>
            <w:r w:rsidRPr="00CF2780">
              <w:rPr>
                <w:rFonts w:ascii="Arial" w:eastAsia="Times New Roman" w:hAnsi="Arial" w:cs="Arial"/>
                <w:b/>
                <w:bCs/>
                <w:sz w:val="28"/>
                <w:szCs w:val="28"/>
                <w:lang w:val="es-ES" w:eastAsia="es-ES"/>
              </w:rPr>
              <w:t>MAGISTRADA</w:t>
            </w:r>
          </w:p>
          <w:p w14:paraId="672C7B05" w14:textId="77777777" w:rsidR="00AD59FF" w:rsidRPr="00CF2780" w:rsidRDefault="00AD59FF" w:rsidP="00AD59FF">
            <w:pPr>
              <w:spacing w:after="0" w:line="240" w:lineRule="auto"/>
              <w:jc w:val="center"/>
              <w:rPr>
                <w:rFonts w:ascii="Arial" w:eastAsia="Times New Roman" w:hAnsi="Arial" w:cs="Arial"/>
                <w:b/>
                <w:bCs/>
                <w:sz w:val="28"/>
                <w:szCs w:val="28"/>
                <w:lang w:val="es-ES" w:eastAsia="es-ES"/>
              </w:rPr>
            </w:pPr>
          </w:p>
          <w:p w14:paraId="30784B94" w14:textId="77777777" w:rsidR="00AD59FF" w:rsidRPr="00CF2780" w:rsidRDefault="00AD59FF" w:rsidP="00AD59FF">
            <w:pPr>
              <w:spacing w:after="0" w:line="240" w:lineRule="auto"/>
              <w:jc w:val="center"/>
              <w:rPr>
                <w:rFonts w:ascii="Arial" w:eastAsia="Times New Roman" w:hAnsi="Arial" w:cs="Arial"/>
                <w:b/>
                <w:bCs/>
                <w:sz w:val="28"/>
                <w:szCs w:val="28"/>
                <w:lang w:val="es-ES" w:eastAsia="es-ES"/>
              </w:rPr>
            </w:pPr>
          </w:p>
          <w:p w14:paraId="11F841AA" w14:textId="77777777" w:rsidR="00AD59FF" w:rsidRPr="00CF2780" w:rsidRDefault="00AD59FF" w:rsidP="00AD59FF">
            <w:pPr>
              <w:spacing w:after="0" w:line="240" w:lineRule="auto"/>
              <w:jc w:val="center"/>
              <w:rPr>
                <w:rFonts w:ascii="Arial" w:eastAsia="Times New Roman" w:hAnsi="Arial" w:cs="Arial"/>
                <w:b/>
                <w:bCs/>
                <w:sz w:val="28"/>
                <w:szCs w:val="28"/>
                <w:lang w:val="es-ES" w:eastAsia="es-ES"/>
              </w:rPr>
            </w:pPr>
          </w:p>
          <w:p w14:paraId="7BFBC283" w14:textId="77777777" w:rsidR="00AD59FF" w:rsidRPr="00CF2780" w:rsidRDefault="00AD59FF" w:rsidP="00AD59FF">
            <w:pPr>
              <w:spacing w:after="0" w:line="240" w:lineRule="auto"/>
              <w:jc w:val="center"/>
              <w:rPr>
                <w:rFonts w:ascii="Arial" w:eastAsia="Times New Roman" w:hAnsi="Arial" w:cs="Arial"/>
                <w:b/>
                <w:bCs/>
                <w:sz w:val="28"/>
                <w:szCs w:val="28"/>
                <w:lang w:val="es-ES" w:eastAsia="es-ES"/>
              </w:rPr>
            </w:pPr>
            <w:r w:rsidRPr="00CF2780">
              <w:rPr>
                <w:rFonts w:ascii="Arial" w:eastAsia="Times New Roman" w:hAnsi="Arial" w:cs="Arial"/>
                <w:b/>
                <w:bCs/>
                <w:sz w:val="28"/>
                <w:szCs w:val="28"/>
                <w:lang w:val="es-ES" w:eastAsia="es-ES"/>
              </w:rPr>
              <w:t>MARÍA DEL CARMEN ALANIS FIGUEROA</w:t>
            </w:r>
            <w:r w:rsidRPr="00CF2780">
              <w:rPr>
                <w:rFonts w:ascii="Arial" w:eastAsia="Times New Roman" w:hAnsi="Arial" w:cs="Arial"/>
                <w:b/>
                <w:bCs/>
                <w:sz w:val="28"/>
                <w:szCs w:val="28"/>
                <w:lang w:val="pt-BR" w:eastAsia="es-ES"/>
              </w:rPr>
              <w:t xml:space="preserve"> </w:t>
            </w:r>
          </w:p>
          <w:p w14:paraId="04621ECB" w14:textId="77777777" w:rsidR="00AD59FF" w:rsidRPr="00CF2780" w:rsidRDefault="00AD59FF" w:rsidP="00AD59FF">
            <w:pPr>
              <w:spacing w:after="0" w:line="240" w:lineRule="auto"/>
              <w:jc w:val="center"/>
              <w:rPr>
                <w:rFonts w:ascii="Arial" w:eastAsia="Times New Roman" w:hAnsi="Arial" w:cs="Arial"/>
                <w:b/>
                <w:bCs/>
                <w:sz w:val="28"/>
                <w:szCs w:val="28"/>
                <w:lang w:val="es-ES" w:eastAsia="es-ES"/>
              </w:rPr>
            </w:pPr>
          </w:p>
        </w:tc>
        <w:tc>
          <w:tcPr>
            <w:tcW w:w="3952" w:type="dxa"/>
            <w:tcBorders>
              <w:top w:val="nil"/>
              <w:left w:val="nil"/>
              <w:bottom w:val="nil"/>
              <w:right w:val="nil"/>
            </w:tcBorders>
          </w:tcPr>
          <w:p w14:paraId="43440752" w14:textId="77777777" w:rsidR="00AD59FF" w:rsidRPr="00CF2780" w:rsidRDefault="00AD59FF" w:rsidP="00AD59FF">
            <w:pPr>
              <w:spacing w:after="0" w:line="240" w:lineRule="auto"/>
              <w:jc w:val="center"/>
              <w:rPr>
                <w:rFonts w:ascii="Arial" w:eastAsia="Times New Roman" w:hAnsi="Arial" w:cs="Arial"/>
                <w:b/>
                <w:bCs/>
                <w:sz w:val="28"/>
                <w:szCs w:val="28"/>
                <w:lang w:val="es-ES" w:eastAsia="es-ES"/>
              </w:rPr>
            </w:pPr>
          </w:p>
          <w:p w14:paraId="23D9A9C3" w14:textId="77777777" w:rsidR="00AD59FF" w:rsidRPr="00CF2780" w:rsidRDefault="00AD59FF" w:rsidP="00AD59FF">
            <w:pPr>
              <w:spacing w:after="0" w:line="240" w:lineRule="auto"/>
              <w:jc w:val="center"/>
              <w:rPr>
                <w:rFonts w:ascii="Arial" w:eastAsia="Times New Roman" w:hAnsi="Arial" w:cs="Arial"/>
                <w:b/>
                <w:bCs/>
                <w:sz w:val="28"/>
                <w:szCs w:val="28"/>
                <w:lang w:val="es-ES" w:eastAsia="es-ES"/>
              </w:rPr>
            </w:pPr>
            <w:r w:rsidRPr="00CF2780">
              <w:rPr>
                <w:rFonts w:ascii="Arial" w:eastAsia="Times New Roman" w:hAnsi="Arial" w:cs="Arial"/>
                <w:b/>
                <w:bCs/>
                <w:sz w:val="28"/>
                <w:szCs w:val="28"/>
                <w:lang w:val="es-ES" w:eastAsia="es-ES"/>
              </w:rPr>
              <w:t>MAGISTRADO</w:t>
            </w:r>
          </w:p>
          <w:p w14:paraId="70525090" w14:textId="77777777" w:rsidR="00AD59FF" w:rsidRPr="00CF2780" w:rsidRDefault="00AD59FF" w:rsidP="00AD59FF">
            <w:pPr>
              <w:spacing w:after="0" w:line="240" w:lineRule="auto"/>
              <w:jc w:val="center"/>
              <w:rPr>
                <w:rFonts w:ascii="Arial" w:eastAsia="Times New Roman" w:hAnsi="Arial" w:cs="Arial"/>
                <w:b/>
                <w:bCs/>
                <w:sz w:val="28"/>
                <w:szCs w:val="28"/>
                <w:lang w:val="es-ES" w:eastAsia="es-ES"/>
              </w:rPr>
            </w:pPr>
          </w:p>
          <w:p w14:paraId="20E9A365" w14:textId="77777777" w:rsidR="00AD59FF" w:rsidRPr="00CF2780" w:rsidRDefault="00AD59FF" w:rsidP="00AD59FF">
            <w:pPr>
              <w:spacing w:after="0" w:line="240" w:lineRule="auto"/>
              <w:jc w:val="center"/>
              <w:rPr>
                <w:rFonts w:ascii="Arial" w:eastAsia="Times New Roman" w:hAnsi="Arial" w:cs="Arial"/>
                <w:b/>
                <w:bCs/>
                <w:sz w:val="28"/>
                <w:szCs w:val="28"/>
                <w:lang w:val="es-ES" w:eastAsia="es-ES"/>
              </w:rPr>
            </w:pPr>
          </w:p>
          <w:p w14:paraId="3E2E0F91" w14:textId="77777777" w:rsidR="00AD59FF" w:rsidRPr="00CF2780" w:rsidRDefault="00AD59FF" w:rsidP="00AD59FF">
            <w:pPr>
              <w:spacing w:after="0" w:line="240" w:lineRule="auto"/>
              <w:jc w:val="center"/>
              <w:rPr>
                <w:rFonts w:ascii="Arial" w:eastAsia="Times New Roman" w:hAnsi="Arial" w:cs="Arial"/>
                <w:b/>
                <w:bCs/>
                <w:sz w:val="28"/>
                <w:szCs w:val="28"/>
                <w:lang w:val="es-ES" w:eastAsia="es-ES"/>
              </w:rPr>
            </w:pPr>
            <w:r w:rsidRPr="00CF2780">
              <w:rPr>
                <w:rFonts w:ascii="Arial" w:eastAsia="Times New Roman" w:hAnsi="Arial" w:cs="Arial"/>
                <w:b/>
                <w:bCs/>
                <w:sz w:val="28"/>
                <w:szCs w:val="28"/>
                <w:lang w:val="pt-BR" w:eastAsia="es-ES"/>
              </w:rPr>
              <w:t>CONSTANCIO CARRASCO DAZA</w:t>
            </w:r>
          </w:p>
          <w:p w14:paraId="0817F829" w14:textId="77777777" w:rsidR="00AD59FF" w:rsidRPr="00CF2780" w:rsidRDefault="00AD59FF" w:rsidP="00AD59FF">
            <w:pPr>
              <w:spacing w:after="0" w:line="240" w:lineRule="auto"/>
              <w:jc w:val="center"/>
              <w:rPr>
                <w:rFonts w:ascii="Arial" w:eastAsia="Times New Roman" w:hAnsi="Arial" w:cs="Arial"/>
                <w:b/>
                <w:bCs/>
                <w:sz w:val="28"/>
                <w:szCs w:val="28"/>
                <w:lang w:val="es-ES" w:eastAsia="es-ES"/>
              </w:rPr>
            </w:pPr>
          </w:p>
        </w:tc>
      </w:tr>
      <w:tr w:rsidR="00AD59FF" w:rsidRPr="00CF2780" w14:paraId="46246E66" w14:textId="77777777" w:rsidTr="00B05F31">
        <w:trPr>
          <w:cantSplit/>
          <w:jc w:val="center"/>
        </w:trPr>
        <w:tc>
          <w:tcPr>
            <w:tcW w:w="4089" w:type="dxa"/>
            <w:tcBorders>
              <w:top w:val="nil"/>
              <w:left w:val="nil"/>
              <w:bottom w:val="nil"/>
              <w:right w:val="nil"/>
            </w:tcBorders>
          </w:tcPr>
          <w:p w14:paraId="4F581BEE" w14:textId="77777777" w:rsidR="00AD59FF" w:rsidRPr="00CF2780" w:rsidRDefault="00AD59FF" w:rsidP="00AD59FF">
            <w:pPr>
              <w:spacing w:after="0" w:line="240" w:lineRule="auto"/>
              <w:jc w:val="center"/>
              <w:rPr>
                <w:rFonts w:ascii="Arial" w:eastAsia="Times New Roman" w:hAnsi="Arial" w:cs="Arial"/>
                <w:b/>
                <w:bCs/>
                <w:sz w:val="28"/>
                <w:szCs w:val="28"/>
                <w:lang w:val="es-ES" w:eastAsia="es-ES"/>
              </w:rPr>
            </w:pPr>
            <w:r w:rsidRPr="00CF2780">
              <w:rPr>
                <w:rFonts w:ascii="Arial" w:eastAsia="Times New Roman" w:hAnsi="Arial" w:cs="Arial"/>
                <w:b/>
                <w:bCs/>
                <w:sz w:val="28"/>
                <w:szCs w:val="28"/>
                <w:lang w:val="es-ES" w:eastAsia="es-ES"/>
              </w:rPr>
              <w:t>MAGISTRADO</w:t>
            </w:r>
          </w:p>
          <w:p w14:paraId="0234479E" w14:textId="77777777" w:rsidR="00AD59FF" w:rsidRPr="00CF2780" w:rsidRDefault="00AD59FF" w:rsidP="00AD59FF">
            <w:pPr>
              <w:spacing w:after="0" w:line="240" w:lineRule="auto"/>
              <w:jc w:val="center"/>
              <w:rPr>
                <w:rFonts w:ascii="Arial" w:eastAsia="Times New Roman" w:hAnsi="Arial" w:cs="Arial"/>
                <w:b/>
                <w:bCs/>
                <w:sz w:val="28"/>
                <w:szCs w:val="28"/>
                <w:lang w:val="es-ES" w:eastAsia="es-ES"/>
              </w:rPr>
            </w:pPr>
          </w:p>
          <w:p w14:paraId="2AAC16D2" w14:textId="77777777" w:rsidR="00AD59FF" w:rsidRPr="00CF2780" w:rsidRDefault="00AD59FF" w:rsidP="00AD59FF">
            <w:pPr>
              <w:spacing w:after="0" w:line="240" w:lineRule="auto"/>
              <w:jc w:val="center"/>
              <w:rPr>
                <w:rFonts w:ascii="Arial" w:eastAsia="Times New Roman" w:hAnsi="Arial" w:cs="Arial"/>
                <w:b/>
                <w:bCs/>
                <w:sz w:val="28"/>
                <w:szCs w:val="28"/>
                <w:lang w:val="es-ES" w:eastAsia="es-ES"/>
              </w:rPr>
            </w:pPr>
          </w:p>
          <w:p w14:paraId="26F44664" w14:textId="77777777" w:rsidR="00AD59FF" w:rsidRPr="00CF2780" w:rsidRDefault="00AD59FF" w:rsidP="00AD59FF">
            <w:pPr>
              <w:spacing w:after="0" w:line="240" w:lineRule="auto"/>
              <w:jc w:val="center"/>
              <w:rPr>
                <w:rFonts w:ascii="Arial" w:eastAsia="Times New Roman" w:hAnsi="Arial" w:cs="Arial"/>
                <w:b/>
                <w:bCs/>
                <w:sz w:val="28"/>
                <w:szCs w:val="28"/>
                <w:lang w:val="es-ES" w:eastAsia="es-ES"/>
              </w:rPr>
            </w:pPr>
          </w:p>
          <w:p w14:paraId="043D3B7B" w14:textId="77777777" w:rsidR="00AD59FF" w:rsidRPr="00CF2780" w:rsidRDefault="00AD59FF" w:rsidP="00AD59FF">
            <w:pPr>
              <w:spacing w:after="0" w:line="240" w:lineRule="auto"/>
              <w:jc w:val="center"/>
              <w:rPr>
                <w:rFonts w:ascii="Arial" w:eastAsia="Times New Roman" w:hAnsi="Arial" w:cs="Arial"/>
                <w:b/>
                <w:bCs/>
                <w:sz w:val="28"/>
                <w:szCs w:val="28"/>
                <w:lang w:val="es-ES" w:eastAsia="es-ES"/>
              </w:rPr>
            </w:pPr>
            <w:r w:rsidRPr="00CF2780">
              <w:rPr>
                <w:rFonts w:ascii="Arial" w:eastAsia="Times New Roman" w:hAnsi="Arial" w:cs="Arial"/>
                <w:b/>
                <w:bCs/>
                <w:sz w:val="28"/>
                <w:szCs w:val="28"/>
                <w:lang w:val="pt-BR" w:eastAsia="es-ES"/>
              </w:rPr>
              <w:t>FLAVIO GALVÁN RIVERA</w:t>
            </w:r>
            <w:r w:rsidRPr="00CF2780">
              <w:rPr>
                <w:rFonts w:ascii="Arial" w:eastAsia="Times New Roman" w:hAnsi="Arial" w:cs="Arial"/>
                <w:b/>
                <w:bCs/>
                <w:sz w:val="28"/>
                <w:szCs w:val="28"/>
                <w:lang w:val="es-ES" w:eastAsia="es-ES"/>
              </w:rPr>
              <w:t xml:space="preserve"> </w:t>
            </w:r>
          </w:p>
        </w:tc>
        <w:tc>
          <w:tcPr>
            <w:tcW w:w="3952" w:type="dxa"/>
            <w:tcBorders>
              <w:top w:val="nil"/>
              <w:left w:val="nil"/>
              <w:bottom w:val="nil"/>
              <w:right w:val="nil"/>
            </w:tcBorders>
          </w:tcPr>
          <w:p w14:paraId="3C1F864C" w14:textId="77777777" w:rsidR="00AD59FF" w:rsidRPr="00CF2780" w:rsidRDefault="00AD59FF" w:rsidP="00AD59FF">
            <w:pPr>
              <w:spacing w:after="0" w:line="240" w:lineRule="auto"/>
              <w:jc w:val="center"/>
              <w:rPr>
                <w:rFonts w:ascii="Arial" w:eastAsia="Times New Roman" w:hAnsi="Arial" w:cs="Arial"/>
                <w:b/>
                <w:bCs/>
                <w:sz w:val="28"/>
                <w:szCs w:val="28"/>
                <w:lang w:val="pt-BR" w:eastAsia="es-ES"/>
              </w:rPr>
            </w:pPr>
            <w:r w:rsidRPr="00CF2780">
              <w:rPr>
                <w:rFonts w:ascii="Arial" w:eastAsia="Times New Roman" w:hAnsi="Arial" w:cs="Arial"/>
                <w:b/>
                <w:bCs/>
                <w:sz w:val="28"/>
                <w:szCs w:val="28"/>
                <w:lang w:val="pt-BR" w:eastAsia="es-ES"/>
              </w:rPr>
              <w:t>MAGISTRADO</w:t>
            </w:r>
          </w:p>
          <w:p w14:paraId="206FD652" w14:textId="77777777" w:rsidR="00AD59FF" w:rsidRPr="00CF2780" w:rsidRDefault="00AD59FF" w:rsidP="00AD59FF">
            <w:pPr>
              <w:spacing w:after="0" w:line="240" w:lineRule="auto"/>
              <w:jc w:val="center"/>
              <w:rPr>
                <w:rFonts w:ascii="Arial" w:eastAsia="Times New Roman" w:hAnsi="Arial" w:cs="Arial"/>
                <w:b/>
                <w:bCs/>
                <w:sz w:val="28"/>
                <w:szCs w:val="28"/>
                <w:lang w:val="pt-BR" w:eastAsia="es-ES"/>
              </w:rPr>
            </w:pPr>
          </w:p>
          <w:p w14:paraId="7D7DD0EA" w14:textId="77777777" w:rsidR="00AD59FF" w:rsidRPr="00CF2780" w:rsidRDefault="00AD59FF" w:rsidP="00AD59FF">
            <w:pPr>
              <w:spacing w:after="0" w:line="240" w:lineRule="auto"/>
              <w:jc w:val="center"/>
              <w:rPr>
                <w:rFonts w:ascii="Arial" w:eastAsia="Times New Roman" w:hAnsi="Arial" w:cs="Arial"/>
                <w:b/>
                <w:bCs/>
                <w:sz w:val="28"/>
                <w:szCs w:val="28"/>
                <w:lang w:val="pt-BR" w:eastAsia="es-ES"/>
              </w:rPr>
            </w:pPr>
          </w:p>
          <w:p w14:paraId="5EC4AC00" w14:textId="77777777" w:rsidR="00AD59FF" w:rsidRPr="00CF2780" w:rsidRDefault="00AD59FF" w:rsidP="00AD59FF">
            <w:pPr>
              <w:spacing w:after="0" w:line="240" w:lineRule="auto"/>
              <w:jc w:val="center"/>
              <w:rPr>
                <w:rFonts w:ascii="Arial" w:eastAsia="Times New Roman" w:hAnsi="Arial" w:cs="Arial"/>
                <w:b/>
                <w:bCs/>
                <w:sz w:val="28"/>
                <w:szCs w:val="28"/>
                <w:lang w:val="pt-BR" w:eastAsia="es-ES"/>
              </w:rPr>
            </w:pPr>
          </w:p>
          <w:p w14:paraId="3A0753BE" w14:textId="77777777" w:rsidR="00AD59FF" w:rsidRPr="00CF2780" w:rsidRDefault="00AD59FF" w:rsidP="00AD59FF">
            <w:pPr>
              <w:spacing w:after="0" w:line="240" w:lineRule="auto"/>
              <w:jc w:val="center"/>
              <w:rPr>
                <w:rFonts w:ascii="Arial" w:eastAsia="Times New Roman" w:hAnsi="Arial" w:cs="Arial"/>
                <w:b/>
                <w:bCs/>
                <w:sz w:val="28"/>
                <w:szCs w:val="28"/>
                <w:lang w:val="pt-BR" w:eastAsia="es-ES"/>
              </w:rPr>
            </w:pPr>
            <w:r w:rsidRPr="00CF2780">
              <w:rPr>
                <w:rFonts w:ascii="Arial" w:eastAsia="Times New Roman" w:hAnsi="Arial" w:cs="Arial"/>
                <w:b/>
                <w:bCs/>
                <w:sz w:val="28"/>
                <w:szCs w:val="28"/>
                <w:lang w:val="es-ES" w:eastAsia="es-ES"/>
              </w:rPr>
              <w:t>MANUEL GONZÁLEZ OROPEZA</w:t>
            </w:r>
          </w:p>
        </w:tc>
      </w:tr>
      <w:tr w:rsidR="00AD59FF" w:rsidRPr="00CF2780" w14:paraId="1B8F4F5D" w14:textId="77777777" w:rsidTr="00B05F31">
        <w:trPr>
          <w:cantSplit/>
          <w:trHeight w:val="2336"/>
          <w:jc w:val="center"/>
        </w:trPr>
        <w:tc>
          <w:tcPr>
            <w:tcW w:w="4089" w:type="dxa"/>
            <w:tcBorders>
              <w:top w:val="nil"/>
              <w:left w:val="nil"/>
              <w:bottom w:val="nil"/>
              <w:right w:val="nil"/>
            </w:tcBorders>
          </w:tcPr>
          <w:p w14:paraId="7EAC18BE" w14:textId="77777777" w:rsidR="00AD59FF" w:rsidRPr="00CF2780" w:rsidRDefault="00AD59FF" w:rsidP="00AD59FF">
            <w:pPr>
              <w:spacing w:after="0" w:line="240" w:lineRule="auto"/>
              <w:jc w:val="center"/>
              <w:rPr>
                <w:rFonts w:ascii="Arial" w:eastAsia="Times New Roman" w:hAnsi="Arial" w:cs="Arial"/>
                <w:b/>
                <w:bCs/>
                <w:sz w:val="28"/>
                <w:szCs w:val="28"/>
                <w:lang w:val="es-ES" w:eastAsia="es-ES"/>
              </w:rPr>
            </w:pPr>
            <w:r w:rsidRPr="00CF2780">
              <w:rPr>
                <w:rFonts w:ascii="Arial" w:eastAsia="Times New Roman" w:hAnsi="Arial" w:cs="Arial"/>
                <w:b/>
                <w:bCs/>
                <w:sz w:val="28"/>
                <w:szCs w:val="28"/>
                <w:lang w:val="pt-BR" w:eastAsia="es-ES"/>
              </w:rPr>
              <w:br w:type="page"/>
            </w:r>
            <w:r w:rsidRPr="00CF2780">
              <w:rPr>
                <w:rFonts w:ascii="Arial" w:eastAsia="Times New Roman" w:hAnsi="Arial" w:cs="Arial"/>
                <w:b/>
                <w:bCs/>
                <w:sz w:val="28"/>
                <w:szCs w:val="28"/>
                <w:lang w:val="pt-BR" w:eastAsia="es-ES"/>
              </w:rPr>
              <w:br w:type="page"/>
            </w:r>
            <w:r w:rsidRPr="00CF2780">
              <w:rPr>
                <w:rFonts w:ascii="Arial" w:eastAsia="Times New Roman" w:hAnsi="Arial" w:cs="Arial"/>
                <w:b/>
                <w:bCs/>
                <w:sz w:val="28"/>
                <w:szCs w:val="28"/>
                <w:lang w:val="pt-BR" w:eastAsia="es-ES"/>
              </w:rPr>
              <w:br w:type="page"/>
            </w:r>
            <w:r w:rsidRPr="00CF2780">
              <w:rPr>
                <w:rFonts w:ascii="Arial" w:eastAsia="Times New Roman" w:hAnsi="Arial" w:cs="Arial"/>
                <w:b/>
                <w:bCs/>
                <w:sz w:val="28"/>
                <w:szCs w:val="28"/>
                <w:lang w:val="pt-BR" w:eastAsia="es-ES"/>
              </w:rPr>
              <w:br w:type="page"/>
            </w:r>
            <w:r w:rsidRPr="00CF2780">
              <w:rPr>
                <w:rFonts w:ascii="Arial" w:eastAsia="Times New Roman" w:hAnsi="Arial" w:cs="Arial"/>
                <w:b/>
                <w:bCs/>
                <w:sz w:val="28"/>
                <w:szCs w:val="28"/>
                <w:lang w:val="es-ES" w:eastAsia="es-ES"/>
              </w:rPr>
              <w:t>MAGISTRADO</w:t>
            </w:r>
          </w:p>
          <w:p w14:paraId="2B3E1B20" w14:textId="77777777" w:rsidR="00AD59FF" w:rsidRPr="00CF2780" w:rsidRDefault="00AD59FF" w:rsidP="00AD59FF">
            <w:pPr>
              <w:spacing w:after="0" w:line="240" w:lineRule="auto"/>
              <w:jc w:val="center"/>
              <w:rPr>
                <w:rFonts w:ascii="Arial" w:eastAsia="Times New Roman" w:hAnsi="Arial" w:cs="Arial"/>
                <w:b/>
                <w:bCs/>
                <w:sz w:val="28"/>
                <w:szCs w:val="28"/>
                <w:lang w:val="es-ES" w:eastAsia="es-ES"/>
              </w:rPr>
            </w:pPr>
          </w:p>
          <w:p w14:paraId="08A355E6" w14:textId="77777777" w:rsidR="00AD59FF" w:rsidRPr="00CF2780" w:rsidRDefault="00AD59FF" w:rsidP="00AD59FF">
            <w:pPr>
              <w:spacing w:after="0" w:line="240" w:lineRule="auto"/>
              <w:jc w:val="center"/>
              <w:rPr>
                <w:rFonts w:ascii="Arial" w:eastAsia="Times New Roman" w:hAnsi="Arial" w:cs="Arial"/>
                <w:b/>
                <w:bCs/>
                <w:sz w:val="28"/>
                <w:szCs w:val="28"/>
                <w:lang w:val="es-ES" w:eastAsia="es-ES"/>
              </w:rPr>
            </w:pPr>
          </w:p>
          <w:p w14:paraId="7D22FFAA" w14:textId="77777777" w:rsidR="00AD59FF" w:rsidRPr="00CF2780" w:rsidRDefault="00AD59FF" w:rsidP="00AD59FF">
            <w:pPr>
              <w:spacing w:after="0" w:line="240" w:lineRule="auto"/>
              <w:jc w:val="center"/>
              <w:rPr>
                <w:rFonts w:ascii="Arial" w:eastAsia="Times New Roman" w:hAnsi="Arial" w:cs="Arial"/>
                <w:b/>
                <w:bCs/>
                <w:sz w:val="28"/>
                <w:szCs w:val="28"/>
                <w:lang w:val="es-ES" w:eastAsia="es-ES"/>
              </w:rPr>
            </w:pPr>
          </w:p>
          <w:p w14:paraId="42B715EB" w14:textId="77777777" w:rsidR="00AD59FF" w:rsidRPr="00CF2780" w:rsidRDefault="00AD59FF" w:rsidP="00AD59FF">
            <w:pPr>
              <w:spacing w:after="0" w:line="240" w:lineRule="auto"/>
              <w:jc w:val="center"/>
              <w:rPr>
                <w:rFonts w:ascii="Arial" w:eastAsia="Times New Roman" w:hAnsi="Arial" w:cs="Arial"/>
                <w:b/>
                <w:bCs/>
                <w:sz w:val="28"/>
                <w:szCs w:val="28"/>
                <w:lang w:val="es-ES" w:eastAsia="es-ES"/>
              </w:rPr>
            </w:pPr>
            <w:r w:rsidRPr="00CF2780">
              <w:rPr>
                <w:rFonts w:ascii="Arial" w:eastAsia="Times New Roman" w:hAnsi="Arial" w:cs="Arial"/>
                <w:b/>
                <w:bCs/>
                <w:sz w:val="28"/>
                <w:szCs w:val="28"/>
                <w:lang w:val="es-ES" w:eastAsia="es-ES"/>
              </w:rPr>
              <w:t>SALVADOR OLIMPO NAVA GOMAR</w:t>
            </w:r>
          </w:p>
          <w:p w14:paraId="04D0A746" w14:textId="77777777" w:rsidR="00AD59FF" w:rsidRPr="00CF2780" w:rsidRDefault="00AD59FF" w:rsidP="00AD59FF">
            <w:pPr>
              <w:spacing w:after="0" w:line="240" w:lineRule="auto"/>
              <w:jc w:val="center"/>
              <w:rPr>
                <w:rFonts w:ascii="Arial" w:eastAsia="Times New Roman" w:hAnsi="Arial" w:cs="Arial"/>
                <w:b/>
                <w:bCs/>
                <w:sz w:val="28"/>
                <w:szCs w:val="28"/>
                <w:lang w:val="pt-BR" w:eastAsia="es-ES"/>
              </w:rPr>
            </w:pPr>
          </w:p>
        </w:tc>
        <w:tc>
          <w:tcPr>
            <w:tcW w:w="3952" w:type="dxa"/>
            <w:tcBorders>
              <w:top w:val="nil"/>
              <w:left w:val="nil"/>
              <w:bottom w:val="nil"/>
              <w:right w:val="nil"/>
            </w:tcBorders>
          </w:tcPr>
          <w:p w14:paraId="53ADE62B" w14:textId="77777777" w:rsidR="00AD59FF" w:rsidRPr="00CF2780" w:rsidRDefault="00AD59FF" w:rsidP="00AD59FF">
            <w:pPr>
              <w:spacing w:after="0" w:line="240" w:lineRule="auto"/>
              <w:jc w:val="center"/>
              <w:rPr>
                <w:rFonts w:ascii="Arial" w:eastAsia="Times New Roman" w:hAnsi="Arial" w:cs="Arial"/>
                <w:b/>
                <w:bCs/>
                <w:sz w:val="28"/>
                <w:szCs w:val="28"/>
                <w:lang w:val="pt-BR" w:eastAsia="es-ES"/>
              </w:rPr>
            </w:pPr>
            <w:r w:rsidRPr="00CF2780">
              <w:rPr>
                <w:rFonts w:ascii="Arial" w:eastAsia="Times New Roman" w:hAnsi="Arial" w:cs="Arial"/>
                <w:b/>
                <w:bCs/>
                <w:sz w:val="28"/>
                <w:szCs w:val="28"/>
                <w:lang w:val="pt-BR" w:eastAsia="es-ES"/>
              </w:rPr>
              <w:t>MAGISTRADO</w:t>
            </w:r>
          </w:p>
          <w:p w14:paraId="5163F33C" w14:textId="77777777" w:rsidR="00AD59FF" w:rsidRPr="00CF2780" w:rsidRDefault="00AD59FF" w:rsidP="00AD59FF">
            <w:pPr>
              <w:spacing w:after="0" w:line="240" w:lineRule="auto"/>
              <w:jc w:val="center"/>
              <w:rPr>
                <w:rFonts w:ascii="Arial" w:eastAsia="Times New Roman" w:hAnsi="Arial" w:cs="Arial"/>
                <w:b/>
                <w:bCs/>
                <w:sz w:val="28"/>
                <w:szCs w:val="28"/>
                <w:lang w:val="pt-BR" w:eastAsia="es-ES"/>
              </w:rPr>
            </w:pPr>
          </w:p>
          <w:p w14:paraId="0277290E" w14:textId="77777777" w:rsidR="00AD59FF" w:rsidRPr="00CF2780" w:rsidRDefault="00AD59FF" w:rsidP="00AD59FF">
            <w:pPr>
              <w:spacing w:after="0" w:line="240" w:lineRule="auto"/>
              <w:jc w:val="center"/>
              <w:rPr>
                <w:rFonts w:ascii="Arial" w:eastAsia="Times New Roman" w:hAnsi="Arial" w:cs="Arial"/>
                <w:b/>
                <w:bCs/>
                <w:sz w:val="28"/>
                <w:szCs w:val="28"/>
                <w:lang w:val="pt-BR" w:eastAsia="es-ES"/>
              </w:rPr>
            </w:pPr>
          </w:p>
          <w:p w14:paraId="306EB2E9" w14:textId="77777777" w:rsidR="00AD59FF" w:rsidRPr="00CF2780" w:rsidRDefault="00AD59FF" w:rsidP="00AD59FF">
            <w:pPr>
              <w:spacing w:after="0" w:line="240" w:lineRule="auto"/>
              <w:jc w:val="center"/>
              <w:rPr>
                <w:rFonts w:ascii="Arial" w:eastAsia="Times New Roman" w:hAnsi="Arial" w:cs="Arial"/>
                <w:b/>
                <w:bCs/>
                <w:sz w:val="28"/>
                <w:szCs w:val="28"/>
                <w:lang w:val="pt-BR" w:eastAsia="es-ES"/>
              </w:rPr>
            </w:pPr>
          </w:p>
          <w:p w14:paraId="21D270A9" w14:textId="77777777" w:rsidR="00AD59FF" w:rsidRPr="00CF2780" w:rsidRDefault="00AD59FF" w:rsidP="00AD59FF">
            <w:pPr>
              <w:spacing w:after="0" w:line="240" w:lineRule="auto"/>
              <w:jc w:val="center"/>
              <w:rPr>
                <w:rFonts w:ascii="Arial" w:eastAsia="Times New Roman" w:hAnsi="Arial" w:cs="Arial"/>
                <w:b/>
                <w:bCs/>
                <w:sz w:val="28"/>
                <w:szCs w:val="28"/>
                <w:lang w:val="pt-BR" w:eastAsia="es-ES"/>
              </w:rPr>
            </w:pPr>
            <w:r w:rsidRPr="00CF2780">
              <w:rPr>
                <w:rFonts w:ascii="Arial" w:eastAsia="Times New Roman" w:hAnsi="Arial" w:cs="Arial"/>
                <w:b/>
                <w:bCs/>
                <w:sz w:val="28"/>
                <w:szCs w:val="28"/>
                <w:lang w:val="pt-BR" w:eastAsia="es-ES"/>
              </w:rPr>
              <w:t>PEDRO ESTEBAN PENAGOS LÓPEZ</w:t>
            </w:r>
          </w:p>
          <w:p w14:paraId="2138CFF9" w14:textId="77777777" w:rsidR="00AD59FF" w:rsidRPr="00CF2780" w:rsidRDefault="00AD59FF" w:rsidP="00AD59FF">
            <w:pPr>
              <w:spacing w:after="0" w:line="240" w:lineRule="auto"/>
              <w:jc w:val="center"/>
              <w:rPr>
                <w:rFonts w:ascii="Arial" w:eastAsia="Times New Roman" w:hAnsi="Arial" w:cs="Arial"/>
                <w:b/>
                <w:bCs/>
                <w:sz w:val="28"/>
                <w:szCs w:val="28"/>
                <w:lang w:val="pt-BR" w:eastAsia="es-ES"/>
              </w:rPr>
            </w:pPr>
          </w:p>
        </w:tc>
      </w:tr>
      <w:tr w:rsidR="00AD59FF" w:rsidRPr="00CF2780" w14:paraId="740C27E2" w14:textId="77777777" w:rsidTr="00B05F31">
        <w:trPr>
          <w:cantSplit/>
          <w:jc w:val="center"/>
        </w:trPr>
        <w:tc>
          <w:tcPr>
            <w:tcW w:w="8041" w:type="dxa"/>
            <w:gridSpan w:val="2"/>
            <w:tcBorders>
              <w:top w:val="nil"/>
              <w:left w:val="nil"/>
              <w:bottom w:val="nil"/>
              <w:right w:val="nil"/>
            </w:tcBorders>
          </w:tcPr>
          <w:p w14:paraId="63E45655" w14:textId="77777777" w:rsidR="00AD59FF" w:rsidRPr="00CF2780" w:rsidRDefault="00AD59FF" w:rsidP="00AD59FF">
            <w:pPr>
              <w:spacing w:after="0" w:line="240" w:lineRule="auto"/>
              <w:jc w:val="center"/>
              <w:rPr>
                <w:rFonts w:ascii="Arial" w:eastAsia="Times New Roman" w:hAnsi="Arial" w:cs="Arial"/>
                <w:b/>
                <w:bCs/>
                <w:sz w:val="28"/>
                <w:szCs w:val="28"/>
                <w:lang w:val="es-ES" w:eastAsia="es-ES"/>
              </w:rPr>
            </w:pPr>
            <w:r w:rsidRPr="00CF2780">
              <w:rPr>
                <w:rFonts w:ascii="Arial" w:eastAsia="Times New Roman" w:hAnsi="Arial" w:cs="Arial"/>
                <w:b/>
                <w:bCs/>
                <w:sz w:val="28"/>
                <w:szCs w:val="28"/>
                <w:lang w:val="es-ES" w:eastAsia="es-ES"/>
              </w:rPr>
              <w:lastRenderedPageBreak/>
              <w:t>SECRETARIO GENERAL DE ACUERDOS</w:t>
            </w:r>
          </w:p>
          <w:p w14:paraId="49D0F9E2" w14:textId="77777777" w:rsidR="00AD59FF" w:rsidRPr="00CF2780" w:rsidRDefault="00AD59FF" w:rsidP="00AD59FF">
            <w:pPr>
              <w:spacing w:after="0" w:line="240" w:lineRule="auto"/>
              <w:jc w:val="center"/>
              <w:rPr>
                <w:rFonts w:ascii="Arial" w:eastAsia="Times New Roman" w:hAnsi="Arial" w:cs="Arial"/>
                <w:b/>
                <w:bCs/>
                <w:sz w:val="28"/>
                <w:szCs w:val="28"/>
                <w:lang w:val="es-ES" w:eastAsia="es-ES"/>
              </w:rPr>
            </w:pPr>
          </w:p>
          <w:p w14:paraId="710F285E" w14:textId="77777777" w:rsidR="00AD59FF" w:rsidRPr="00CF2780" w:rsidRDefault="00AD59FF" w:rsidP="00AD59FF">
            <w:pPr>
              <w:spacing w:after="0" w:line="240" w:lineRule="auto"/>
              <w:jc w:val="center"/>
              <w:rPr>
                <w:rFonts w:ascii="Arial" w:eastAsia="Times New Roman" w:hAnsi="Arial" w:cs="Arial"/>
                <w:b/>
                <w:bCs/>
                <w:sz w:val="28"/>
                <w:szCs w:val="28"/>
                <w:lang w:val="es-ES" w:eastAsia="es-ES"/>
              </w:rPr>
            </w:pPr>
          </w:p>
          <w:p w14:paraId="6D8C931C" w14:textId="77777777" w:rsidR="00AD59FF" w:rsidRPr="00CF2780" w:rsidRDefault="00AD59FF" w:rsidP="00AD59FF">
            <w:pPr>
              <w:spacing w:after="0" w:line="240" w:lineRule="auto"/>
              <w:jc w:val="center"/>
              <w:rPr>
                <w:rFonts w:ascii="Arial" w:eastAsia="Times New Roman" w:hAnsi="Arial" w:cs="Arial"/>
                <w:b/>
                <w:bCs/>
                <w:sz w:val="28"/>
                <w:szCs w:val="28"/>
                <w:lang w:val="es-ES" w:eastAsia="es-ES"/>
              </w:rPr>
            </w:pPr>
          </w:p>
          <w:p w14:paraId="44F487D7" w14:textId="77777777" w:rsidR="00AD59FF" w:rsidRPr="00CF2780" w:rsidRDefault="00AD59FF" w:rsidP="00AD59FF">
            <w:pPr>
              <w:spacing w:after="0" w:line="240" w:lineRule="auto"/>
              <w:jc w:val="center"/>
              <w:rPr>
                <w:rFonts w:ascii="Arial" w:eastAsia="Times New Roman" w:hAnsi="Arial" w:cs="Arial"/>
                <w:b/>
                <w:bCs/>
                <w:sz w:val="28"/>
                <w:szCs w:val="28"/>
                <w:lang w:val="es-ES" w:eastAsia="es-ES"/>
              </w:rPr>
            </w:pPr>
            <w:r w:rsidRPr="00CF2780">
              <w:rPr>
                <w:rFonts w:ascii="Arial" w:eastAsia="Times New Roman" w:hAnsi="Arial" w:cs="Arial"/>
                <w:b/>
                <w:bCs/>
                <w:sz w:val="28"/>
                <w:szCs w:val="28"/>
                <w:lang w:val="es-ES" w:eastAsia="es-ES"/>
              </w:rPr>
              <w:t>MARCO ANTONIO ZAVALA ARREDONDO</w:t>
            </w:r>
          </w:p>
        </w:tc>
      </w:tr>
    </w:tbl>
    <w:p w14:paraId="1162EEB5" w14:textId="77777777" w:rsidR="00AD59FF" w:rsidRPr="00CF2780" w:rsidRDefault="00AD59FF" w:rsidP="00AD59FF">
      <w:pPr>
        <w:spacing w:after="0" w:line="240" w:lineRule="auto"/>
        <w:rPr>
          <w:rFonts w:ascii="Arial" w:eastAsia="Times New Roman" w:hAnsi="Arial" w:cs="Arial"/>
          <w:sz w:val="2"/>
          <w:szCs w:val="2"/>
          <w:lang w:val="es-ES" w:eastAsia="es-ES"/>
        </w:rPr>
      </w:pPr>
    </w:p>
    <w:p w14:paraId="1B6C54EC" w14:textId="77777777" w:rsidR="00AD59FF" w:rsidRPr="00CF2780" w:rsidRDefault="00AD59FF" w:rsidP="00AD59FF">
      <w:pPr>
        <w:spacing w:after="0" w:line="240" w:lineRule="auto"/>
        <w:rPr>
          <w:rFonts w:ascii="Arial" w:eastAsia="Times New Roman" w:hAnsi="Arial" w:cs="Arial"/>
          <w:sz w:val="24"/>
          <w:szCs w:val="24"/>
          <w:lang w:val="es-ES" w:eastAsia="es-ES"/>
        </w:rPr>
      </w:pPr>
    </w:p>
    <w:p w14:paraId="260299EF" w14:textId="77777777" w:rsidR="00AD59FF" w:rsidRPr="00CF2780" w:rsidRDefault="00AD59FF" w:rsidP="00AD59FF">
      <w:pPr>
        <w:spacing w:after="0" w:line="240" w:lineRule="auto"/>
        <w:rPr>
          <w:rFonts w:ascii="Arial" w:eastAsia="Times New Roman" w:hAnsi="Arial" w:cs="Arial"/>
          <w:sz w:val="24"/>
          <w:szCs w:val="24"/>
          <w:lang w:val="es-ES" w:eastAsia="es-ES"/>
        </w:rPr>
      </w:pPr>
    </w:p>
    <w:p w14:paraId="4CD82224" w14:textId="77777777" w:rsidR="00AD59FF" w:rsidRPr="00CF2780" w:rsidRDefault="00AD59FF" w:rsidP="00AD59FF">
      <w:pPr>
        <w:spacing w:after="0" w:line="240" w:lineRule="auto"/>
        <w:jc w:val="both"/>
        <w:rPr>
          <w:rFonts w:ascii="Arial" w:eastAsia="Times New Roman" w:hAnsi="Arial" w:cs="Arial"/>
          <w:b/>
          <w:sz w:val="28"/>
          <w:szCs w:val="28"/>
          <w:lang w:val="es-ES" w:eastAsia="es-ES"/>
        </w:rPr>
      </w:pPr>
      <w:r w:rsidRPr="00CF2780">
        <w:rPr>
          <w:rFonts w:ascii="Arial" w:eastAsia="Times New Roman" w:hAnsi="Arial" w:cs="Arial"/>
          <w:b/>
          <w:sz w:val="28"/>
          <w:szCs w:val="28"/>
          <w:lang w:val="es-ES" w:eastAsia="es-ES"/>
        </w:rPr>
        <w:t>VOTO PARTICULAR QUE, CON FUNDAMENTO EN EL ÚLTIMO PÁRRAFO DEL ARTÍCULO 187, DE LA LEY ORGÁNICA DEL PODER JUDICIAL DE LA FEDERACIÓN, EMITE EL MAGISTRADO FLAVIO GALVÁN RIVERA, EN EL JUICIO PARA LA PROTECCIÓN DE LOS DERECHOS POLÍTICO-ELECTORALES DEL CIUDADANO IDENTIFICADO CON LA CLAVE SUP-JDC-9167/2011.</w:t>
      </w:r>
    </w:p>
    <w:p w14:paraId="1AA2A163" w14:textId="77777777" w:rsidR="00AD59FF" w:rsidRPr="00CF2780" w:rsidRDefault="00AD59FF" w:rsidP="00AD59FF">
      <w:pPr>
        <w:spacing w:after="0" w:line="360" w:lineRule="auto"/>
        <w:ind w:firstLine="720"/>
        <w:jc w:val="both"/>
        <w:rPr>
          <w:rFonts w:ascii="Arial" w:eastAsia="Times New Roman" w:hAnsi="Arial" w:cs="Arial"/>
          <w:sz w:val="28"/>
          <w:szCs w:val="28"/>
          <w:lang w:val="es-ES" w:eastAsia="es-ES"/>
        </w:rPr>
      </w:pPr>
    </w:p>
    <w:p w14:paraId="6C16126D" w14:textId="77777777" w:rsidR="00AD59FF" w:rsidRPr="00CF2780" w:rsidRDefault="00AD59FF" w:rsidP="00AD59FF">
      <w:pPr>
        <w:spacing w:after="0" w:line="360" w:lineRule="auto"/>
        <w:ind w:firstLine="720"/>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Porque no coincido con la sentencia dictada por la mayoría de los Magistrados integrantes de esta Sala Superior, formulo </w:t>
      </w:r>
      <w:r w:rsidRPr="00CF2780">
        <w:rPr>
          <w:rFonts w:ascii="Arial" w:eastAsia="Times New Roman" w:hAnsi="Arial" w:cs="Arial"/>
          <w:b/>
          <w:bCs/>
          <w:sz w:val="28"/>
          <w:szCs w:val="28"/>
          <w:lang w:val="es-ES" w:eastAsia="es-ES"/>
        </w:rPr>
        <w:t>VOTO PARTICULAR</w:t>
      </w:r>
      <w:r w:rsidRPr="00CF2780">
        <w:rPr>
          <w:rFonts w:ascii="Arial" w:eastAsia="Times New Roman" w:hAnsi="Arial" w:cs="Arial"/>
          <w:sz w:val="28"/>
          <w:szCs w:val="28"/>
          <w:lang w:val="es-ES" w:eastAsia="es-ES"/>
        </w:rPr>
        <w:t>, en los términos siguientes.</w:t>
      </w:r>
    </w:p>
    <w:p w14:paraId="25CDDA08" w14:textId="77777777" w:rsidR="00AD59FF" w:rsidRPr="00CF2780" w:rsidRDefault="00AD59FF" w:rsidP="00AD59FF">
      <w:pPr>
        <w:spacing w:after="0" w:line="360" w:lineRule="auto"/>
        <w:ind w:firstLine="720"/>
        <w:jc w:val="both"/>
        <w:rPr>
          <w:rFonts w:ascii="Arial" w:eastAsia="Times New Roman" w:hAnsi="Arial" w:cs="Arial"/>
          <w:sz w:val="28"/>
          <w:szCs w:val="28"/>
          <w:lang w:val="es-ES" w:eastAsia="es-ES"/>
        </w:rPr>
      </w:pPr>
    </w:p>
    <w:p w14:paraId="65323740" w14:textId="77777777" w:rsidR="00AD59FF" w:rsidRPr="00CF2780" w:rsidRDefault="00AD59FF" w:rsidP="00AD59FF">
      <w:pPr>
        <w:spacing w:after="0" w:line="360" w:lineRule="auto"/>
        <w:ind w:firstLine="720"/>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Previo a exponer las consideraciones que sustentan mi disenso, considero necesario precisar los hechos relevantes que preceden al juicio que se resuelve.</w:t>
      </w:r>
    </w:p>
    <w:p w14:paraId="527E83FE" w14:textId="77777777" w:rsidR="00AD59FF" w:rsidRPr="00CF2780" w:rsidRDefault="00AD59FF" w:rsidP="00AD59FF">
      <w:pPr>
        <w:spacing w:after="0" w:line="360" w:lineRule="auto"/>
        <w:ind w:firstLine="720"/>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El seis de junio de dos mil once, fue recibido en la Presidencia del Instituto Electoral de Michoacán, un escrito por el cual se informó al Consejo General de ese Instituto, entre otras autoridades, que la comunidad indígena de San Francisco Cherán, Estado de Michoacán, en asamblea general de primero de junio del año en cita, “acordó no participar ni permitir el proceso electoral en el municipio”.</w:t>
      </w:r>
    </w:p>
    <w:p w14:paraId="5A9A76C5" w14:textId="77777777" w:rsidR="00AD59FF" w:rsidRPr="00CF2780" w:rsidRDefault="00AD59FF" w:rsidP="00AD59FF">
      <w:pPr>
        <w:spacing w:after="0" w:line="360" w:lineRule="auto"/>
        <w:ind w:firstLine="720"/>
        <w:jc w:val="both"/>
        <w:rPr>
          <w:rFonts w:ascii="Arial" w:eastAsia="Times New Roman" w:hAnsi="Arial" w:cs="Arial"/>
          <w:sz w:val="28"/>
          <w:szCs w:val="28"/>
          <w:lang w:val="es-ES" w:eastAsia="es-ES"/>
        </w:rPr>
      </w:pPr>
    </w:p>
    <w:p w14:paraId="72CB590D" w14:textId="77777777" w:rsidR="00AD59FF" w:rsidRPr="00CF2780" w:rsidRDefault="00AD59FF" w:rsidP="00AD59FF">
      <w:pPr>
        <w:spacing w:after="0" w:line="360" w:lineRule="auto"/>
        <w:ind w:firstLine="720"/>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 Por escrito presentado en la Presidencia del Instituto Electoral de Michoacán, el veintiséis de agosto del año en que se actúa, la “comunidad indígena de Cherán” solicitó, al Consejo General de ese </w:t>
      </w:r>
      <w:r w:rsidRPr="00CF2780">
        <w:rPr>
          <w:rFonts w:ascii="Arial" w:eastAsia="Times New Roman" w:hAnsi="Arial" w:cs="Arial"/>
          <w:sz w:val="28"/>
          <w:szCs w:val="28"/>
          <w:lang w:val="es-ES" w:eastAsia="es-ES"/>
        </w:rPr>
        <w:lastRenderedPageBreak/>
        <w:t>Instituto, se respetara el derecho de la comunidad a decidir y elegir el nombramiento de sus autoridades municipales conforme a sus usos y costumbres.</w:t>
      </w:r>
    </w:p>
    <w:p w14:paraId="7E2440BA" w14:textId="77777777" w:rsidR="00AD59FF" w:rsidRPr="00CF2780" w:rsidRDefault="00AD59FF" w:rsidP="00AD59FF">
      <w:pPr>
        <w:spacing w:after="0" w:line="360" w:lineRule="auto"/>
        <w:ind w:firstLine="720"/>
        <w:jc w:val="both"/>
        <w:rPr>
          <w:rFonts w:ascii="Arial" w:eastAsia="Times New Roman" w:hAnsi="Arial" w:cs="Arial"/>
          <w:sz w:val="28"/>
          <w:szCs w:val="28"/>
          <w:lang w:val="es-ES" w:eastAsia="es-ES"/>
        </w:rPr>
      </w:pPr>
    </w:p>
    <w:p w14:paraId="4FD42D42" w14:textId="77777777" w:rsidR="00AD59FF" w:rsidRPr="00CF2780" w:rsidRDefault="00AD59FF" w:rsidP="00AD59FF">
      <w:pPr>
        <w:spacing w:after="0" w:line="360" w:lineRule="auto"/>
        <w:ind w:firstLine="720"/>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El nueve de septiembre de dos mil once, el Consejo General del Instituto Electoral de Michoacán emitió el acuerdo por el que dio respuesta a la petición de la comunidad indígena de Cherán, en el sentido de que ese Instituto carece de atribuciones para resolver sobre la petición de los interesados para celebrar la elección de sus autoridades municipales bajo el principio de usos y costumbres.</w:t>
      </w:r>
    </w:p>
    <w:p w14:paraId="19D92967" w14:textId="77777777" w:rsidR="00AD59FF" w:rsidRPr="00CF2780" w:rsidRDefault="00AD59FF" w:rsidP="00AD59FF">
      <w:pPr>
        <w:spacing w:after="0" w:line="360" w:lineRule="auto"/>
        <w:ind w:firstLine="720"/>
        <w:jc w:val="both"/>
        <w:rPr>
          <w:rFonts w:ascii="Arial" w:eastAsia="Times New Roman" w:hAnsi="Arial" w:cs="Arial"/>
          <w:sz w:val="28"/>
          <w:szCs w:val="28"/>
          <w:lang w:val="es-ES" w:eastAsia="es-ES"/>
        </w:rPr>
      </w:pPr>
    </w:p>
    <w:p w14:paraId="3B160187" w14:textId="77777777" w:rsidR="00AD59FF" w:rsidRPr="00CF2780" w:rsidRDefault="00AD59FF" w:rsidP="00AD59FF">
      <w:pPr>
        <w:spacing w:after="0" w:line="360" w:lineRule="auto"/>
        <w:ind w:firstLine="720"/>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Disconformes con la determinación del Consejo General del Instituto Electoral de Michoacán, dos mil trescientos doce ciudadanos, que aducen ser integrantes de la comunidad indígena de Cherán, promovieron el juicio para la protección de los derechos político-electorales del ciudadano que ahora se resuelve.</w:t>
      </w:r>
    </w:p>
    <w:p w14:paraId="564558DB" w14:textId="77777777" w:rsidR="00AD59FF" w:rsidRPr="00CF2780" w:rsidRDefault="00AD59FF" w:rsidP="00AD59FF">
      <w:pPr>
        <w:spacing w:after="0" w:line="360" w:lineRule="auto"/>
        <w:ind w:firstLine="720"/>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Ahora bien, en el proyecto aprobado por la mayoría de los Magistrados integrantes de esta Sala Superior, se considera que la </w:t>
      </w:r>
      <w:r w:rsidRPr="00CF2780">
        <w:rPr>
          <w:rFonts w:ascii="Arial" w:eastAsia="Times New Roman" w:hAnsi="Arial" w:cs="Arial"/>
          <w:i/>
          <w:sz w:val="28"/>
          <w:szCs w:val="28"/>
          <w:lang w:val="es-ES" w:eastAsia="es-ES"/>
        </w:rPr>
        <w:t>litis</w:t>
      </w:r>
      <w:r w:rsidRPr="00CF2780">
        <w:rPr>
          <w:rFonts w:ascii="Arial" w:eastAsia="Times New Roman" w:hAnsi="Arial" w:cs="Arial"/>
          <w:sz w:val="28"/>
          <w:szCs w:val="28"/>
          <w:lang w:val="es-ES" w:eastAsia="es-ES"/>
        </w:rPr>
        <w:t xml:space="preserve"> en el juicio al rubro identificado, se constriñe a determinar si la comunidad indígena de Cherán tiene derecho a elegir a sus autoridades o representantes conforme a sus usos y costumbres, a pesar de la inexistencia de un procedimiento en la normativa local para garantizar el ejercicio de ese derecho.</w:t>
      </w:r>
    </w:p>
    <w:p w14:paraId="3D6EA7F8" w14:textId="77777777" w:rsidR="00AD59FF" w:rsidRPr="00CF2780" w:rsidRDefault="00AD59FF" w:rsidP="00AD59FF">
      <w:pPr>
        <w:spacing w:after="0" w:line="360" w:lineRule="auto"/>
        <w:ind w:firstLine="720"/>
        <w:jc w:val="both"/>
        <w:rPr>
          <w:rFonts w:ascii="Arial" w:eastAsia="Times New Roman" w:hAnsi="Arial" w:cs="Arial"/>
          <w:sz w:val="28"/>
          <w:szCs w:val="28"/>
          <w:lang w:val="es-ES" w:eastAsia="es-ES"/>
        </w:rPr>
      </w:pPr>
    </w:p>
    <w:p w14:paraId="592EA9D6" w14:textId="77777777" w:rsidR="00AD59FF" w:rsidRPr="00CF2780" w:rsidRDefault="00AD59FF" w:rsidP="00AD59FF">
      <w:pPr>
        <w:spacing w:after="0" w:line="360" w:lineRule="auto"/>
        <w:ind w:firstLine="720"/>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En mi opinión, la </w:t>
      </w:r>
      <w:r w:rsidRPr="00CF2780">
        <w:rPr>
          <w:rFonts w:ascii="Arial" w:eastAsia="Times New Roman" w:hAnsi="Arial" w:cs="Arial"/>
          <w:i/>
          <w:sz w:val="28"/>
          <w:szCs w:val="28"/>
          <w:lang w:val="es-ES" w:eastAsia="es-ES"/>
        </w:rPr>
        <w:t>litis</w:t>
      </w:r>
      <w:r w:rsidRPr="00CF2780">
        <w:rPr>
          <w:rFonts w:ascii="Arial" w:eastAsia="Times New Roman" w:hAnsi="Arial" w:cs="Arial"/>
          <w:sz w:val="28"/>
          <w:szCs w:val="28"/>
          <w:lang w:val="es-ES" w:eastAsia="es-ES"/>
        </w:rPr>
        <w:t xml:space="preserve"> en el juicio que se resuelve está constreñida en determinar si el Consejo General del Instituto Electoral de Michoacán es competente o no, para resolver la solicitud formulada por los </w:t>
      </w:r>
      <w:r w:rsidRPr="00CF2780">
        <w:rPr>
          <w:rFonts w:ascii="Arial" w:eastAsia="Times New Roman" w:hAnsi="Arial" w:cs="Arial"/>
          <w:sz w:val="28"/>
          <w:szCs w:val="28"/>
          <w:lang w:val="es-ES" w:eastAsia="es-ES"/>
        </w:rPr>
        <w:lastRenderedPageBreak/>
        <w:t>demandantes, en el sentido de que esa autoridad administrativa electoral local declare que la comunidad de Cherán puede elegir a sus autoridades conforme al sistema de sus usos y costumbres.</w:t>
      </w:r>
    </w:p>
    <w:p w14:paraId="6E36614A" w14:textId="77777777" w:rsidR="00AD59FF" w:rsidRPr="00CF2780" w:rsidRDefault="00AD59FF" w:rsidP="00AD59FF">
      <w:pPr>
        <w:spacing w:after="0" w:line="360" w:lineRule="auto"/>
        <w:ind w:firstLine="720"/>
        <w:jc w:val="both"/>
        <w:rPr>
          <w:rFonts w:ascii="Arial" w:eastAsia="Times New Roman" w:hAnsi="Arial" w:cs="Arial"/>
          <w:sz w:val="28"/>
          <w:szCs w:val="28"/>
          <w:lang w:val="es-ES" w:eastAsia="es-ES"/>
        </w:rPr>
      </w:pPr>
    </w:p>
    <w:p w14:paraId="373F38F6" w14:textId="77777777" w:rsidR="00AD59FF" w:rsidRPr="00CF2780" w:rsidRDefault="00AD59FF" w:rsidP="00AD59FF">
      <w:pPr>
        <w:spacing w:after="0" w:line="360" w:lineRule="auto"/>
        <w:ind w:firstLine="720"/>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En efecto, la </w:t>
      </w:r>
      <w:r w:rsidRPr="00CF2780">
        <w:rPr>
          <w:rFonts w:ascii="Arial" w:eastAsia="Times New Roman" w:hAnsi="Arial" w:cs="Arial"/>
          <w:i/>
          <w:sz w:val="28"/>
          <w:szCs w:val="28"/>
          <w:lang w:val="es-ES" w:eastAsia="es-ES"/>
        </w:rPr>
        <w:t xml:space="preserve">litis, </w:t>
      </w:r>
      <w:r w:rsidRPr="00CF2780">
        <w:rPr>
          <w:rFonts w:ascii="Arial" w:eastAsia="Times New Roman" w:hAnsi="Arial" w:cs="Arial"/>
          <w:sz w:val="28"/>
          <w:szCs w:val="28"/>
          <w:lang w:val="es-ES" w:eastAsia="es-ES"/>
        </w:rPr>
        <w:t xml:space="preserve">en cualquier medio de impugnación, procedente para controvertir actos de autoridad, se determina con el acto o resolución impugnada emitida por la autoridad responsable y con los conceptos de agravio contenidos en el escrito de demanda. </w:t>
      </w:r>
    </w:p>
    <w:p w14:paraId="0F79108F" w14:textId="77777777" w:rsidR="00AD59FF" w:rsidRPr="00CF2780" w:rsidRDefault="00AD59FF" w:rsidP="00AD59FF">
      <w:pPr>
        <w:spacing w:after="0" w:line="360" w:lineRule="auto"/>
        <w:ind w:firstLine="720"/>
        <w:jc w:val="both"/>
        <w:rPr>
          <w:rFonts w:ascii="Arial" w:eastAsia="Times New Roman" w:hAnsi="Arial" w:cs="Arial"/>
          <w:sz w:val="28"/>
          <w:szCs w:val="28"/>
          <w:lang w:val="es-ES" w:eastAsia="es-ES"/>
        </w:rPr>
      </w:pPr>
    </w:p>
    <w:p w14:paraId="327CF399" w14:textId="77777777" w:rsidR="00AD59FF" w:rsidRPr="00CF2780" w:rsidRDefault="00AD59FF" w:rsidP="00AD59FF">
      <w:pPr>
        <w:spacing w:after="0" w:line="360" w:lineRule="auto"/>
        <w:ind w:firstLine="720"/>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En la especie, la autoridad responsable consideró, en el acto que se controvierte mediante el juicio indicado al rubro, que carece de competencia para resolver la solicitud formulada por la comunidad de Cherán. A su vez, los demandantes alegan que el Instituto Electoral del Estado de Michoacán únicamente resolvió que era incompetente, sin atender el fondo de su planteamiento.</w:t>
      </w:r>
    </w:p>
    <w:p w14:paraId="7E9A1084" w14:textId="77777777" w:rsidR="00AD59FF" w:rsidRPr="00CF2780" w:rsidRDefault="00AD59FF" w:rsidP="00AD59FF">
      <w:pPr>
        <w:spacing w:after="0" w:line="360" w:lineRule="auto"/>
        <w:ind w:firstLine="720"/>
        <w:jc w:val="both"/>
        <w:rPr>
          <w:rFonts w:ascii="Arial" w:eastAsia="Times New Roman" w:hAnsi="Arial" w:cs="Arial"/>
          <w:sz w:val="28"/>
          <w:szCs w:val="28"/>
          <w:lang w:val="es-ES" w:eastAsia="es-ES"/>
        </w:rPr>
      </w:pPr>
    </w:p>
    <w:p w14:paraId="77789348" w14:textId="77777777" w:rsidR="00AD59FF" w:rsidRPr="00CF2780" w:rsidRDefault="00AD59FF" w:rsidP="00AD59FF">
      <w:pPr>
        <w:spacing w:after="0" w:line="360" w:lineRule="auto"/>
        <w:ind w:firstLine="720"/>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Lo anterior, en mi concepto evidencia, claramente, que la </w:t>
      </w:r>
      <w:r w:rsidRPr="00CF2780">
        <w:rPr>
          <w:rFonts w:ascii="Arial" w:eastAsia="Times New Roman" w:hAnsi="Arial" w:cs="Arial"/>
          <w:i/>
          <w:sz w:val="28"/>
          <w:szCs w:val="28"/>
          <w:lang w:val="es-ES" w:eastAsia="es-ES"/>
        </w:rPr>
        <w:t xml:space="preserve">litis, </w:t>
      </w:r>
      <w:r w:rsidRPr="00CF2780">
        <w:rPr>
          <w:rFonts w:ascii="Arial" w:eastAsia="Times New Roman" w:hAnsi="Arial" w:cs="Arial"/>
          <w:sz w:val="28"/>
          <w:szCs w:val="28"/>
          <w:lang w:val="es-ES" w:eastAsia="es-ES"/>
        </w:rPr>
        <w:t xml:space="preserve">en el juicio que se resuelve, está limitada a determinar si el Instituto Electoral del Estado de Michoacán es o no competente para resolver la solicitud formulada por la comunidad de Cherán. </w:t>
      </w:r>
    </w:p>
    <w:p w14:paraId="67B730C2" w14:textId="77777777" w:rsidR="00AD59FF" w:rsidRPr="00CF2780" w:rsidRDefault="00AD59FF" w:rsidP="00AD59FF">
      <w:pPr>
        <w:spacing w:after="0" w:line="360" w:lineRule="auto"/>
        <w:ind w:firstLine="720"/>
        <w:jc w:val="both"/>
        <w:rPr>
          <w:rFonts w:ascii="Arial" w:eastAsia="Times New Roman" w:hAnsi="Arial" w:cs="Arial"/>
          <w:sz w:val="28"/>
          <w:szCs w:val="28"/>
          <w:lang w:val="es-ES" w:eastAsia="es-ES"/>
        </w:rPr>
      </w:pPr>
    </w:p>
    <w:p w14:paraId="79D66933" w14:textId="77777777" w:rsidR="00AD59FF" w:rsidRPr="00CF2780" w:rsidRDefault="00AD59FF" w:rsidP="00AD59FF">
      <w:pPr>
        <w:spacing w:after="0" w:line="360" w:lineRule="auto"/>
        <w:ind w:firstLine="720"/>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Ahora bien, aun cuando no comparto las consideraciones que sustentaron la resolución emitida por la autoridad responsable, porque, en mi opinión, la autoridad administrativa electoral no solo está facultada, sino que tiene el deber jurídico de tutelar los derechos humanos, así como de aplicar e interpretar las disposiciones </w:t>
      </w:r>
      <w:r w:rsidRPr="00CF2780">
        <w:rPr>
          <w:rFonts w:ascii="Arial" w:eastAsia="Times New Roman" w:hAnsi="Arial" w:cs="Arial"/>
          <w:sz w:val="28"/>
          <w:szCs w:val="28"/>
          <w:lang w:val="es-ES" w:eastAsia="es-ES"/>
        </w:rPr>
        <w:lastRenderedPageBreak/>
        <w:t>constitucionales; sin embargo, ello debe ser en el ámbito de sus atribuciones, no fuera de su ámbito de competencia.</w:t>
      </w:r>
    </w:p>
    <w:p w14:paraId="318ECADB" w14:textId="77777777" w:rsidR="00AD59FF" w:rsidRPr="00CF2780" w:rsidRDefault="00AD59FF" w:rsidP="00AD59FF">
      <w:pPr>
        <w:spacing w:after="0" w:line="360" w:lineRule="auto"/>
        <w:ind w:firstLine="720"/>
        <w:jc w:val="both"/>
        <w:rPr>
          <w:rFonts w:ascii="Arial" w:eastAsia="Times New Roman" w:hAnsi="Arial" w:cs="Arial"/>
          <w:sz w:val="28"/>
          <w:szCs w:val="28"/>
          <w:lang w:val="es-ES" w:eastAsia="es-ES"/>
        </w:rPr>
      </w:pPr>
    </w:p>
    <w:p w14:paraId="4E08FAD1" w14:textId="77777777" w:rsidR="00AD59FF" w:rsidRPr="00CF2780" w:rsidRDefault="00AD59FF" w:rsidP="00AD59FF">
      <w:pPr>
        <w:spacing w:after="0" w:line="360" w:lineRule="auto"/>
        <w:ind w:firstLine="720"/>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En este particular, considero que efectivamente el Consejo General del Instituto Electoral del Estado de Michoacán es incompetente para resolver los planteamientos formulados por los ahora demandantes, es decir, para declarar, conforme a la legislación constitucional y ordinaria vigente en el Estado de Michoacán, que la comunidad indígena de Cherán, puede celebrar elecciones por el sistema de usos y costumbres, a fin de elegir a sus propias autoridades.</w:t>
      </w:r>
    </w:p>
    <w:p w14:paraId="498AF3CD" w14:textId="77777777" w:rsidR="00AD59FF" w:rsidRPr="00CF2780" w:rsidRDefault="00AD59FF" w:rsidP="00AD59FF">
      <w:pPr>
        <w:spacing w:after="0" w:line="360" w:lineRule="auto"/>
        <w:ind w:firstLine="720"/>
        <w:jc w:val="both"/>
        <w:rPr>
          <w:rFonts w:ascii="Arial" w:eastAsia="Times New Roman" w:hAnsi="Arial" w:cs="Arial"/>
          <w:sz w:val="28"/>
          <w:szCs w:val="28"/>
          <w:lang w:val="es-ES" w:eastAsia="es-ES"/>
        </w:rPr>
      </w:pPr>
    </w:p>
    <w:p w14:paraId="72B7CB13" w14:textId="77777777" w:rsidR="00AD59FF" w:rsidRPr="00CF2780" w:rsidRDefault="00AD59FF" w:rsidP="00AD59FF">
      <w:pPr>
        <w:spacing w:after="0" w:line="360" w:lineRule="auto"/>
        <w:ind w:firstLine="720"/>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Así, al considerar que, efectivamente, el Instituto Electoral del Estado de Michoacán es incompetente para resolver lo solicitado por la comunidad de Cherán, queda pendiente la resolución a lo solicitado por la comunidad de Cherán, razón por la cual considero necesario determinar a qué autoridad debe ser remitido el escrito petitorio correspondiente, a fin de que emita la resolución que en Derecho proceda.</w:t>
      </w:r>
    </w:p>
    <w:p w14:paraId="0FF67C4F" w14:textId="77777777" w:rsidR="00AD59FF" w:rsidRPr="00CF2780" w:rsidRDefault="00AD59FF" w:rsidP="00AD59FF">
      <w:pPr>
        <w:spacing w:after="0" w:line="360" w:lineRule="auto"/>
        <w:ind w:firstLine="720"/>
        <w:jc w:val="both"/>
        <w:rPr>
          <w:rFonts w:ascii="Arial" w:eastAsia="Times New Roman" w:hAnsi="Arial" w:cs="Arial"/>
          <w:sz w:val="28"/>
          <w:szCs w:val="28"/>
          <w:lang w:val="es-ES" w:eastAsia="es-ES"/>
        </w:rPr>
      </w:pPr>
    </w:p>
    <w:p w14:paraId="7E0BA575" w14:textId="77777777" w:rsidR="00AD59FF" w:rsidRPr="00CF2780" w:rsidRDefault="00AD59FF" w:rsidP="00AD59FF">
      <w:pPr>
        <w:spacing w:after="0" w:line="360" w:lineRule="auto"/>
        <w:ind w:firstLine="720"/>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En mi opinión, la solicitud de los ciudadanos de Cherán debe ser remitida al Congreso del Estado de Michoacán, a fin de que, en ejercicio de la soberanía popular de que es depositario y en el ámbito de sus facultades, resuelva lo que en Derecho corresponda, razón por la cual tampoco coincido con los argumentos contenidos en la sentencia aprobada por la mayoría de los Magistrados integrantes de esta Sala Superior, relativos a que, este órgano jurisdiccional especializado, por ser la autoridad máxima en la materia electoral, es la “</w:t>
      </w:r>
      <w:r w:rsidRPr="00CF2780">
        <w:rPr>
          <w:rFonts w:ascii="Arial" w:eastAsia="Times New Roman" w:hAnsi="Arial" w:cs="Arial"/>
          <w:i/>
          <w:sz w:val="28"/>
          <w:szCs w:val="28"/>
          <w:lang w:val="es-ES" w:eastAsia="es-ES"/>
        </w:rPr>
        <w:t xml:space="preserve">competente para </w:t>
      </w:r>
      <w:r w:rsidRPr="00CF2780">
        <w:rPr>
          <w:rFonts w:ascii="Arial" w:eastAsia="Times New Roman" w:hAnsi="Arial" w:cs="Arial"/>
          <w:i/>
          <w:sz w:val="28"/>
          <w:szCs w:val="28"/>
          <w:lang w:val="es-ES" w:eastAsia="es-ES"/>
        </w:rPr>
        <w:lastRenderedPageBreak/>
        <w:t>resolver lo conducente en torno a la petición formulada por la comunidad indígena de Cherán</w:t>
      </w:r>
      <w:r w:rsidRPr="00CF2780">
        <w:rPr>
          <w:rFonts w:ascii="Arial" w:eastAsia="Times New Roman" w:hAnsi="Arial" w:cs="Arial"/>
          <w:sz w:val="28"/>
          <w:szCs w:val="28"/>
          <w:lang w:val="es-ES" w:eastAsia="es-ES"/>
        </w:rPr>
        <w:t>”.</w:t>
      </w:r>
    </w:p>
    <w:p w14:paraId="1FD773A4" w14:textId="77777777" w:rsidR="00AD59FF" w:rsidRPr="00CF2780" w:rsidRDefault="00AD59FF" w:rsidP="00AD59FF">
      <w:pPr>
        <w:spacing w:after="0" w:line="360" w:lineRule="auto"/>
        <w:ind w:firstLine="720"/>
        <w:jc w:val="both"/>
        <w:rPr>
          <w:rFonts w:ascii="Arial" w:eastAsia="Times New Roman" w:hAnsi="Arial" w:cs="Arial"/>
          <w:sz w:val="28"/>
          <w:szCs w:val="28"/>
          <w:lang w:val="es-ES" w:eastAsia="es-ES"/>
        </w:rPr>
      </w:pPr>
    </w:p>
    <w:p w14:paraId="277C110E" w14:textId="77777777" w:rsidR="00AD59FF" w:rsidRPr="00CF2780" w:rsidRDefault="00AD59FF" w:rsidP="00AD59FF">
      <w:pPr>
        <w:spacing w:after="0" w:line="360" w:lineRule="auto"/>
        <w:ind w:firstLine="720"/>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En efecto, no comparto esa consideración, porque en el fondo lo que subyace en el juicio identificado al rubro es, precisamente, determinar qué órgano, en el ámbito estatal de Michoacán, es competente para resolver la petición hecha por una comunidad que pretende cambiar el sistema electoral de partidos políticos a un sistema regido por los usos y costumbres que aducen tener, lo que evidentemente no es materia de la competencia de este Tribunal Electoral del Poder Judicial de la Federación.</w:t>
      </w:r>
    </w:p>
    <w:p w14:paraId="5DA6FB95" w14:textId="77777777" w:rsidR="00AD59FF" w:rsidRPr="00CF2780" w:rsidRDefault="00AD59FF" w:rsidP="00AD59FF">
      <w:pPr>
        <w:spacing w:after="0" w:line="360" w:lineRule="auto"/>
        <w:ind w:firstLine="720"/>
        <w:jc w:val="both"/>
        <w:rPr>
          <w:rFonts w:ascii="Arial" w:eastAsia="Times New Roman" w:hAnsi="Arial" w:cs="Arial"/>
          <w:sz w:val="28"/>
          <w:szCs w:val="28"/>
          <w:lang w:val="es-ES" w:eastAsia="es-ES"/>
        </w:rPr>
      </w:pPr>
    </w:p>
    <w:p w14:paraId="6A0E777E" w14:textId="77777777" w:rsidR="00AD59FF" w:rsidRPr="00CF2780" w:rsidRDefault="00AD59FF" w:rsidP="00AD59FF">
      <w:pPr>
        <w:spacing w:after="0" w:line="360" w:lineRule="auto"/>
        <w:ind w:firstLine="720"/>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En razón de lo anterior, considero que la solicitud presentada por los ciudadanos integrantes de la comunidad de Cherán, debe ser remitida al Honorable Congreso del Estado de Michoacán, con fundamento en el artículo 2, párrafo quinto y apartado “A”, fracción III, de la Constitución Política de los Estados Unidos Mexicanos, al tenor siguiente:</w:t>
      </w:r>
    </w:p>
    <w:p w14:paraId="480AF9FC" w14:textId="77777777" w:rsidR="00AD59FF" w:rsidRPr="00CF2780" w:rsidRDefault="00AD59FF" w:rsidP="00AD59FF">
      <w:pPr>
        <w:spacing w:after="0" w:line="240" w:lineRule="auto"/>
        <w:ind w:left="567" w:right="567"/>
        <w:jc w:val="both"/>
        <w:rPr>
          <w:rFonts w:ascii="Arial" w:eastAsia="Times New Roman" w:hAnsi="Arial" w:cs="Arial"/>
          <w:b/>
          <w:bCs/>
          <w:sz w:val="24"/>
          <w:szCs w:val="24"/>
          <w:lang w:val="es-ES" w:eastAsia="es-ES"/>
        </w:rPr>
      </w:pPr>
    </w:p>
    <w:p w14:paraId="682510E3" w14:textId="77777777" w:rsidR="00AD59FF" w:rsidRPr="00CF2780" w:rsidRDefault="00AD59FF" w:rsidP="00AD59FF">
      <w:pPr>
        <w:spacing w:after="0" w:line="240" w:lineRule="auto"/>
        <w:ind w:left="567" w:right="567"/>
        <w:jc w:val="both"/>
        <w:rPr>
          <w:rFonts w:ascii="Arial" w:eastAsia="Times New Roman" w:hAnsi="Arial" w:cs="Arial"/>
          <w:sz w:val="24"/>
          <w:szCs w:val="24"/>
          <w:lang w:val="es-ES" w:eastAsia="es-ES"/>
        </w:rPr>
      </w:pPr>
      <w:r w:rsidRPr="00CF2780">
        <w:rPr>
          <w:rFonts w:ascii="Arial" w:eastAsia="Times New Roman" w:hAnsi="Arial" w:cs="Arial"/>
          <w:b/>
          <w:bCs/>
          <w:sz w:val="24"/>
          <w:szCs w:val="24"/>
          <w:lang w:val="es-ES" w:eastAsia="es-ES"/>
        </w:rPr>
        <w:t>Artículo 2o.</w:t>
      </w:r>
      <w:r w:rsidRPr="00CF2780">
        <w:rPr>
          <w:rFonts w:ascii="Arial" w:eastAsia="Times New Roman" w:hAnsi="Arial" w:cs="Arial"/>
          <w:sz w:val="24"/>
          <w:szCs w:val="24"/>
          <w:lang w:val="es-ES" w:eastAsia="es-ES"/>
        </w:rPr>
        <w:t xml:space="preserve">- </w:t>
      </w:r>
    </w:p>
    <w:p w14:paraId="7105B438" w14:textId="77777777" w:rsidR="00AD59FF" w:rsidRPr="00CF2780" w:rsidRDefault="00AD59FF" w:rsidP="00AD59FF">
      <w:pPr>
        <w:spacing w:after="0" w:line="240" w:lineRule="auto"/>
        <w:ind w:left="567" w:right="567"/>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w:t>
      </w:r>
    </w:p>
    <w:p w14:paraId="02DFCDCC" w14:textId="77777777" w:rsidR="00AD59FF" w:rsidRPr="00CF2780" w:rsidRDefault="00AD59FF" w:rsidP="00AD59FF">
      <w:pPr>
        <w:spacing w:after="0" w:line="240" w:lineRule="auto"/>
        <w:ind w:left="567" w:right="567"/>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 xml:space="preserve">El derecho de los pueblos indígenas a la libre determinación se ejercerá en un marco constitucional de autonomía que asegure la unidad nacional. </w:t>
      </w:r>
      <w:r w:rsidRPr="00CF2780">
        <w:rPr>
          <w:rFonts w:ascii="Arial" w:eastAsia="Times New Roman" w:hAnsi="Arial" w:cs="Arial"/>
          <w:b/>
          <w:sz w:val="24"/>
          <w:szCs w:val="24"/>
          <w:lang w:val="es-ES" w:eastAsia="es-ES"/>
        </w:rPr>
        <w:t>El reconocimiento de los pueblos y comunidades indígenas se hará en las constituciones y leyes de las entidades federativas</w:t>
      </w:r>
      <w:r w:rsidRPr="00CF2780">
        <w:rPr>
          <w:rFonts w:ascii="Arial" w:eastAsia="Times New Roman" w:hAnsi="Arial" w:cs="Arial"/>
          <w:sz w:val="24"/>
          <w:szCs w:val="24"/>
          <w:lang w:val="es-ES" w:eastAsia="es-ES"/>
        </w:rPr>
        <w:t>, las que deberán tomar en cuenta, además de los principios generales establecidos en los párrafos anteriores de este artículo, criterios etnolingüísticos y de asentamiento físico.</w:t>
      </w:r>
    </w:p>
    <w:p w14:paraId="5EE6AB8D" w14:textId="77777777" w:rsidR="00AD59FF" w:rsidRPr="00CF2780" w:rsidRDefault="00AD59FF" w:rsidP="00AD59FF">
      <w:pPr>
        <w:spacing w:after="0" w:line="240" w:lineRule="auto"/>
        <w:ind w:left="567" w:right="567"/>
        <w:jc w:val="both"/>
        <w:rPr>
          <w:rFonts w:ascii="Arial" w:eastAsia="Times New Roman" w:hAnsi="Arial" w:cs="Arial"/>
          <w:b/>
          <w:sz w:val="24"/>
          <w:szCs w:val="24"/>
          <w:lang w:val="es-ES" w:eastAsia="es-ES"/>
        </w:rPr>
      </w:pPr>
      <w:r w:rsidRPr="00CF2780">
        <w:rPr>
          <w:rFonts w:ascii="Arial" w:eastAsia="Times New Roman" w:hAnsi="Arial" w:cs="Arial"/>
          <w:b/>
          <w:sz w:val="24"/>
          <w:szCs w:val="24"/>
          <w:lang w:val="es-ES" w:eastAsia="es-ES"/>
        </w:rPr>
        <w:t>A. Esta Constitución reconoce y garantiza el derecho de los pueblos y las comunidades indígenas a la libre determinación y, en consecuencia, a la autonomía para:</w:t>
      </w:r>
    </w:p>
    <w:p w14:paraId="52503304" w14:textId="77777777" w:rsidR="00AD59FF" w:rsidRPr="00CF2780" w:rsidRDefault="00AD59FF" w:rsidP="00AD59FF">
      <w:pPr>
        <w:spacing w:after="0" w:line="240" w:lineRule="auto"/>
        <w:ind w:left="567" w:right="567"/>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w:t>
      </w:r>
    </w:p>
    <w:p w14:paraId="69C1F56B" w14:textId="77777777" w:rsidR="00AD59FF" w:rsidRPr="00CF2780" w:rsidRDefault="00AD59FF" w:rsidP="00AD59FF">
      <w:pPr>
        <w:spacing w:after="0" w:line="240" w:lineRule="auto"/>
        <w:ind w:left="567" w:right="567"/>
        <w:jc w:val="both"/>
        <w:rPr>
          <w:rFonts w:ascii="Arial" w:eastAsia="Times New Roman" w:hAnsi="Arial" w:cs="Arial"/>
          <w:sz w:val="24"/>
          <w:szCs w:val="24"/>
          <w:lang w:val="es-ES" w:eastAsia="es-ES"/>
        </w:rPr>
      </w:pPr>
      <w:r w:rsidRPr="00CF2780">
        <w:rPr>
          <w:rFonts w:ascii="Arial" w:eastAsia="Times New Roman" w:hAnsi="Arial" w:cs="Arial"/>
          <w:b/>
          <w:sz w:val="24"/>
          <w:szCs w:val="24"/>
          <w:lang w:val="es-ES" w:eastAsia="es-ES"/>
        </w:rPr>
        <w:lastRenderedPageBreak/>
        <w:t>III. Elegir de acuerdo con sus normas, procedimientos y prácticas tradicionales, a las autoridades o representantes para el ejercicio de sus formas propias de gobierno interno</w:t>
      </w:r>
      <w:r w:rsidRPr="00CF2780">
        <w:rPr>
          <w:rFonts w:ascii="Arial" w:eastAsia="Times New Roman" w:hAnsi="Arial" w:cs="Arial"/>
          <w:sz w:val="24"/>
          <w:szCs w:val="24"/>
          <w:lang w:val="es-ES" w:eastAsia="es-ES"/>
        </w:rPr>
        <w:t>, garantizando la participación de las mujeres en condiciones de equidad frente a los varones, en un marco que respete el pacto federal y la soberanía de los estados.</w:t>
      </w:r>
    </w:p>
    <w:p w14:paraId="50F10953" w14:textId="77777777" w:rsidR="00AD59FF" w:rsidRPr="00CF2780" w:rsidRDefault="00AD59FF" w:rsidP="00AD59FF">
      <w:pPr>
        <w:spacing w:after="0" w:line="240" w:lineRule="auto"/>
        <w:ind w:left="567" w:right="567"/>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w:t>
      </w:r>
    </w:p>
    <w:p w14:paraId="49FF8DDE" w14:textId="77777777" w:rsidR="00AD59FF" w:rsidRPr="00CF2780" w:rsidRDefault="00AD59FF" w:rsidP="00AD59FF">
      <w:pPr>
        <w:spacing w:after="0" w:line="360" w:lineRule="auto"/>
        <w:ind w:firstLine="720"/>
        <w:jc w:val="both"/>
        <w:rPr>
          <w:rFonts w:ascii="Arial" w:eastAsia="Times New Roman" w:hAnsi="Arial" w:cs="Arial"/>
          <w:sz w:val="28"/>
          <w:szCs w:val="28"/>
          <w:lang w:val="es-ES" w:eastAsia="es-ES"/>
        </w:rPr>
      </w:pPr>
    </w:p>
    <w:p w14:paraId="6BF259E2" w14:textId="77777777" w:rsidR="00AD59FF" w:rsidRPr="00CF2780" w:rsidRDefault="00AD59FF" w:rsidP="00AD59FF">
      <w:pPr>
        <w:spacing w:after="0" w:line="360" w:lineRule="auto"/>
        <w:ind w:firstLine="720"/>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De la porción normativa constitucional que se ha transcrito, si bien se advierte que los pueblos y comunidades indígenas tienen derecho a elegir a sus propias autoridades, conforme a sus normas, procedimientos y prácticas tradicionales (usos y costumbres), también es verdad que el Poder Revisor Permanente de la Constitución estableció que el reconocimiento de los pueblos y comunidades indígenas y el derecho de elegir a sus autoridades mediante usos y costumbres, se debe hacer en la Constitución Política de cada Estado de la República, así como en las leyes de las entidades federativas, para lo cual es necesario tener en consideración los principios contenidos en los mencionados preceptos de la Constitución federal.</w:t>
      </w:r>
    </w:p>
    <w:p w14:paraId="4B6F23F1" w14:textId="77777777" w:rsidR="00AD59FF" w:rsidRPr="00CF2780" w:rsidRDefault="00AD59FF" w:rsidP="00AD59FF">
      <w:pPr>
        <w:spacing w:after="0" w:line="360" w:lineRule="auto"/>
        <w:ind w:firstLine="720"/>
        <w:jc w:val="both"/>
        <w:rPr>
          <w:rFonts w:ascii="Arial" w:eastAsia="Times New Roman" w:hAnsi="Arial" w:cs="Arial"/>
          <w:sz w:val="28"/>
          <w:szCs w:val="28"/>
          <w:lang w:val="es-ES" w:eastAsia="es-ES"/>
        </w:rPr>
      </w:pPr>
    </w:p>
    <w:p w14:paraId="01C2C3AC" w14:textId="77777777" w:rsidR="00AD59FF" w:rsidRPr="00CF2780" w:rsidRDefault="00AD59FF" w:rsidP="00AD59FF">
      <w:pPr>
        <w:spacing w:after="0" w:line="360" w:lineRule="auto"/>
        <w:ind w:firstLine="720"/>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Para el caso es importante señalar que, conforme a la normativa constitucional y legal vigente en el Estado de Michoacán, las autoridades municipales son electas por el sistema de partidos políticos y, en el particular, en su esencia, la pretensión de los actores consiste en reformar esa legislación constitucional y legal, para estar en aptitud jurídica de elegir a sus autoridades por un sistema de usos y costumbres, materia de la cual, corresponde conocer y resolver al Honorable Congreso del Estado, en los términos precisados en el artículo 2, párrafo quinto, de la Constitución federal, para lo cual se debe cumplir un amplio procedimiento, no solo jurídico, sino incluso de </w:t>
      </w:r>
      <w:r w:rsidRPr="00CF2780">
        <w:rPr>
          <w:rFonts w:ascii="Arial" w:eastAsia="Times New Roman" w:hAnsi="Arial" w:cs="Arial"/>
          <w:sz w:val="28"/>
          <w:szCs w:val="28"/>
          <w:lang w:val="es-ES" w:eastAsia="es-ES"/>
        </w:rPr>
        <w:lastRenderedPageBreak/>
        <w:t>estudios de Sociología, Antropología y otras materias afines, para dictar la resolución que en Derecho corresponda, sin olvidar la celebración, seguramente de asambleas y consultas en la comunidad de Cherán.</w:t>
      </w:r>
    </w:p>
    <w:p w14:paraId="27D95F46" w14:textId="77777777" w:rsidR="00AD59FF" w:rsidRPr="00CF2780" w:rsidRDefault="00AD59FF" w:rsidP="00AD59FF">
      <w:pPr>
        <w:spacing w:after="0" w:line="360" w:lineRule="auto"/>
        <w:ind w:firstLine="720"/>
        <w:jc w:val="both"/>
        <w:rPr>
          <w:rFonts w:ascii="Arial" w:eastAsia="Times New Roman" w:hAnsi="Arial" w:cs="Arial"/>
          <w:sz w:val="28"/>
          <w:szCs w:val="28"/>
          <w:lang w:val="es-ES" w:eastAsia="es-ES"/>
        </w:rPr>
      </w:pPr>
    </w:p>
    <w:p w14:paraId="5928C657" w14:textId="77777777" w:rsidR="00AD59FF" w:rsidRPr="00CF2780" w:rsidRDefault="00AD59FF" w:rsidP="00AD59FF">
      <w:pPr>
        <w:spacing w:after="0" w:line="360" w:lineRule="auto"/>
        <w:ind w:firstLine="720"/>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En este orden de ideas, es mi convicción que, </w:t>
      </w:r>
      <w:r w:rsidRPr="00CF2780">
        <w:rPr>
          <w:rFonts w:ascii="Arial" w:eastAsia="Times New Roman" w:hAnsi="Arial" w:cs="Arial"/>
          <w:sz w:val="27"/>
          <w:szCs w:val="27"/>
          <w:lang w:val="es-ES" w:eastAsia="es-ES"/>
        </w:rPr>
        <w:t xml:space="preserve">lo procedente, conforme a Derecho, es que </w:t>
      </w:r>
      <w:r w:rsidRPr="00CF2780">
        <w:rPr>
          <w:rFonts w:ascii="Arial" w:eastAsia="Times New Roman" w:hAnsi="Arial" w:cs="Arial"/>
          <w:sz w:val="28"/>
          <w:szCs w:val="28"/>
          <w:lang w:val="es-ES" w:eastAsia="es-ES"/>
        </w:rPr>
        <w:t xml:space="preserve">los efectos de la sentencia del juicio en que se actúa, se deben limitar a remitir </w:t>
      </w:r>
      <w:r w:rsidRPr="00CF2780">
        <w:rPr>
          <w:rFonts w:ascii="Arial" w:eastAsia="Times New Roman" w:hAnsi="Arial" w:cs="Arial"/>
          <w:sz w:val="27"/>
          <w:szCs w:val="27"/>
          <w:lang w:val="es-ES" w:eastAsia="es-ES"/>
        </w:rPr>
        <w:t xml:space="preserve">la solicitud presentada por la comunidad de Cherán </w:t>
      </w:r>
      <w:r w:rsidRPr="00CF2780">
        <w:rPr>
          <w:rFonts w:ascii="Arial" w:eastAsia="Times New Roman" w:hAnsi="Arial" w:cs="Arial"/>
          <w:sz w:val="28"/>
          <w:szCs w:val="28"/>
          <w:lang w:val="es-ES" w:eastAsia="es-ES"/>
        </w:rPr>
        <w:t xml:space="preserve">al Congreso del Estado de Michoacán, </w:t>
      </w:r>
      <w:r w:rsidRPr="00CF2780">
        <w:rPr>
          <w:rFonts w:ascii="Arial" w:eastAsia="Times New Roman" w:hAnsi="Arial" w:cs="Arial"/>
          <w:sz w:val="27"/>
          <w:szCs w:val="27"/>
          <w:lang w:val="es-ES" w:eastAsia="es-ES"/>
        </w:rPr>
        <w:t xml:space="preserve">a fin de que éste órgano legislativo, </w:t>
      </w:r>
      <w:r w:rsidRPr="00CF2780">
        <w:rPr>
          <w:rFonts w:ascii="Arial" w:eastAsia="Times New Roman" w:hAnsi="Arial" w:cs="Arial"/>
          <w:sz w:val="28"/>
          <w:szCs w:val="28"/>
          <w:lang w:val="es-ES" w:eastAsia="es-ES"/>
        </w:rPr>
        <w:t xml:space="preserve">en ejercicio de su potestad soberana, </w:t>
      </w:r>
      <w:r w:rsidRPr="00CF2780">
        <w:rPr>
          <w:rFonts w:ascii="Arial" w:eastAsia="Times New Roman" w:hAnsi="Arial" w:cs="Arial"/>
          <w:sz w:val="27"/>
          <w:szCs w:val="27"/>
          <w:lang w:val="es-ES" w:eastAsia="es-ES"/>
        </w:rPr>
        <w:t xml:space="preserve">lleve a cabo las acciones que considere necesarias y, en plenitud de facultades, </w:t>
      </w:r>
      <w:r w:rsidRPr="00CF2780">
        <w:rPr>
          <w:rFonts w:ascii="Arial" w:eastAsia="Times New Roman" w:hAnsi="Arial" w:cs="Arial"/>
          <w:sz w:val="28"/>
          <w:szCs w:val="28"/>
          <w:lang w:val="es-ES" w:eastAsia="es-ES"/>
        </w:rPr>
        <w:t>resuelva lo que en Derecho corresponda.</w:t>
      </w:r>
    </w:p>
    <w:p w14:paraId="0C4DD425" w14:textId="77777777" w:rsidR="00AD59FF" w:rsidRPr="00CF2780" w:rsidRDefault="00AD59FF" w:rsidP="00AD59FF">
      <w:pPr>
        <w:spacing w:after="0" w:line="360" w:lineRule="auto"/>
        <w:ind w:firstLine="720"/>
        <w:jc w:val="both"/>
        <w:rPr>
          <w:rFonts w:ascii="Arial" w:eastAsia="Times New Roman" w:hAnsi="Arial" w:cs="Arial"/>
          <w:sz w:val="28"/>
          <w:szCs w:val="28"/>
          <w:lang w:val="es-ES" w:eastAsia="es-ES"/>
        </w:rPr>
      </w:pPr>
    </w:p>
    <w:p w14:paraId="20D04F6F" w14:textId="77777777" w:rsidR="00AD59FF" w:rsidRPr="00CF2780" w:rsidRDefault="00AD59FF" w:rsidP="00AD59FF">
      <w:pPr>
        <w:spacing w:after="0" w:line="360" w:lineRule="auto"/>
        <w:ind w:firstLine="720"/>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Por lo </w:t>
      </w:r>
      <w:r w:rsidRPr="00CF2780">
        <w:rPr>
          <w:rFonts w:ascii="Arial" w:eastAsia="Times New Roman" w:hAnsi="Arial" w:cs="Arial"/>
          <w:sz w:val="27"/>
          <w:szCs w:val="27"/>
          <w:lang w:val="es-ES" w:eastAsia="es-ES"/>
        </w:rPr>
        <w:t>expuesto</w:t>
      </w:r>
      <w:r w:rsidRPr="00CF2780">
        <w:rPr>
          <w:rFonts w:ascii="Arial" w:eastAsia="Times New Roman" w:hAnsi="Arial" w:cs="Arial"/>
          <w:sz w:val="28"/>
          <w:szCs w:val="28"/>
          <w:lang w:val="es-ES" w:eastAsia="es-ES"/>
        </w:rPr>
        <w:t xml:space="preserve"> y fundado, formulo el presente </w:t>
      </w:r>
      <w:r w:rsidRPr="00CF2780">
        <w:rPr>
          <w:rFonts w:ascii="Arial" w:eastAsia="Times New Roman" w:hAnsi="Arial" w:cs="Arial"/>
          <w:b/>
          <w:sz w:val="28"/>
          <w:szCs w:val="28"/>
          <w:lang w:val="es-ES" w:eastAsia="es-ES"/>
        </w:rPr>
        <w:t>VOTO PARTICULAR</w:t>
      </w:r>
      <w:r w:rsidRPr="00CF2780">
        <w:rPr>
          <w:rFonts w:ascii="Arial" w:eastAsia="Times New Roman" w:hAnsi="Arial" w:cs="Arial"/>
          <w:sz w:val="28"/>
          <w:szCs w:val="28"/>
          <w:lang w:val="es-ES" w:eastAsia="es-ES"/>
        </w:rPr>
        <w:t>.</w:t>
      </w:r>
    </w:p>
    <w:p w14:paraId="72840D71" w14:textId="77777777" w:rsidR="00AD59FF" w:rsidRPr="00CF2780" w:rsidRDefault="00AD59FF" w:rsidP="00AD59FF">
      <w:pPr>
        <w:spacing w:before="100" w:beforeAutospacing="1" w:after="100" w:afterAutospacing="1" w:line="360" w:lineRule="auto"/>
        <w:jc w:val="center"/>
        <w:rPr>
          <w:rFonts w:ascii="Arial" w:eastAsia="Times New Roman" w:hAnsi="Arial" w:cs="Arial"/>
          <w:b/>
          <w:sz w:val="28"/>
          <w:szCs w:val="28"/>
          <w:lang w:val="es-ES" w:eastAsia="es-ES"/>
        </w:rPr>
      </w:pPr>
      <w:r w:rsidRPr="00CF2780">
        <w:rPr>
          <w:rFonts w:ascii="Arial" w:eastAsia="Times New Roman" w:hAnsi="Arial" w:cs="Arial"/>
          <w:b/>
          <w:sz w:val="28"/>
          <w:szCs w:val="28"/>
          <w:lang w:val="es-ES" w:eastAsia="es-ES"/>
        </w:rPr>
        <w:t>MAGISTRADO</w:t>
      </w:r>
    </w:p>
    <w:p w14:paraId="4F04AA20" w14:textId="77777777" w:rsidR="00AD59FF" w:rsidRPr="00CF2780" w:rsidRDefault="00AD59FF" w:rsidP="00AD59FF">
      <w:pPr>
        <w:spacing w:before="100" w:beforeAutospacing="1" w:after="100" w:afterAutospacing="1" w:line="360" w:lineRule="auto"/>
        <w:jc w:val="center"/>
        <w:rPr>
          <w:rFonts w:ascii="Arial" w:eastAsia="Times New Roman" w:hAnsi="Arial" w:cs="Arial"/>
          <w:b/>
          <w:sz w:val="28"/>
          <w:szCs w:val="28"/>
          <w:lang w:val="es-ES" w:eastAsia="es-ES"/>
        </w:rPr>
      </w:pPr>
    </w:p>
    <w:p w14:paraId="00FF740E" w14:textId="77777777" w:rsidR="00AD59FF" w:rsidRPr="00CF2780" w:rsidRDefault="00AD59FF" w:rsidP="00AD59FF">
      <w:pPr>
        <w:spacing w:before="100" w:beforeAutospacing="1" w:after="100" w:afterAutospacing="1" w:line="360" w:lineRule="auto"/>
        <w:jc w:val="center"/>
        <w:rPr>
          <w:rFonts w:ascii="Arial" w:eastAsia="Times New Roman" w:hAnsi="Arial" w:cs="Arial"/>
          <w:b/>
          <w:sz w:val="28"/>
          <w:szCs w:val="28"/>
          <w:lang w:val="es-ES" w:eastAsia="es-ES"/>
        </w:rPr>
      </w:pPr>
      <w:r w:rsidRPr="00CF2780">
        <w:rPr>
          <w:rFonts w:ascii="Arial" w:eastAsia="Times New Roman" w:hAnsi="Arial" w:cs="Arial"/>
          <w:b/>
          <w:sz w:val="28"/>
          <w:szCs w:val="28"/>
          <w:lang w:val="es-ES" w:eastAsia="es-ES"/>
        </w:rPr>
        <w:t>FLAVIO GALVÁN RIVERA</w:t>
      </w:r>
    </w:p>
    <w:p w14:paraId="6313FC2C" w14:textId="77777777" w:rsidR="00AD59FF" w:rsidRPr="00CF2780" w:rsidRDefault="00AD59FF" w:rsidP="00AD59FF">
      <w:pPr>
        <w:spacing w:after="0" w:line="360" w:lineRule="auto"/>
        <w:ind w:firstLine="720"/>
        <w:jc w:val="both"/>
        <w:rPr>
          <w:rFonts w:ascii="Arial" w:eastAsia="Times New Roman" w:hAnsi="Arial" w:cs="Arial"/>
          <w:sz w:val="28"/>
          <w:szCs w:val="28"/>
          <w:lang w:val="es-ES" w:eastAsia="es-ES"/>
        </w:rPr>
      </w:pPr>
    </w:p>
    <w:p w14:paraId="4FAA5DB7" w14:textId="512344BC" w:rsidR="00AD58E8" w:rsidRPr="00CF2780" w:rsidRDefault="00AD58E8" w:rsidP="00AD58E8">
      <w:pPr>
        <w:rPr>
          <w:rFonts w:ascii="Arial" w:hAnsi="Arial" w:cs="Arial"/>
          <w:lang w:eastAsia="es-MX"/>
        </w:rPr>
      </w:pPr>
    </w:p>
    <w:p w14:paraId="5110C573" w14:textId="0B73AEDD" w:rsidR="00AD59FF" w:rsidRPr="00CF2780" w:rsidRDefault="00AD59FF" w:rsidP="00AD58E8">
      <w:pPr>
        <w:rPr>
          <w:rFonts w:ascii="Arial" w:hAnsi="Arial" w:cs="Arial"/>
          <w:lang w:eastAsia="es-MX"/>
        </w:rPr>
      </w:pPr>
    </w:p>
    <w:p w14:paraId="7007FED8" w14:textId="77777777" w:rsidR="00AD59FF" w:rsidRPr="00CF2780" w:rsidRDefault="00AD59FF" w:rsidP="00AD58E8">
      <w:pPr>
        <w:rPr>
          <w:rFonts w:ascii="Arial" w:hAnsi="Arial" w:cs="Arial"/>
          <w:lang w:eastAsia="es-MX"/>
        </w:rPr>
      </w:pPr>
    </w:p>
    <w:p w14:paraId="73093DB4" w14:textId="2FE78717" w:rsidR="004D5F2B" w:rsidRPr="00CF2780" w:rsidRDefault="004D5F2B" w:rsidP="004D5F2B">
      <w:pPr>
        <w:pStyle w:val="Ttulo4"/>
        <w:rPr>
          <w:rFonts w:ascii="Arial" w:eastAsia="Times New Roman" w:hAnsi="Arial" w:cs="Arial"/>
          <w:b/>
          <w:bCs/>
          <w:i w:val="0"/>
          <w:iCs w:val="0"/>
          <w:color w:val="C00000"/>
          <w:sz w:val="24"/>
          <w:szCs w:val="24"/>
          <w:lang w:eastAsia="es-MX"/>
        </w:rPr>
      </w:pPr>
      <w:r w:rsidRPr="00CF2780">
        <w:rPr>
          <w:rFonts w:ascii="Arial" w:eastAsia="Times New Roman" w:hAnsi="Arial" w:cs="Arial"/>
          <w:b/>
          <w:bCs/>
          <w:i w:val="0"/>
          <w:iCs w:val="0"/>
          <w:color w:val="C00000"/>
          <w:sz w:val="24"/>
          <w:szCs w:val="24"/>
          <w:lang w:eastAsia="es-MX"/>
        </w:rPr>
        <w:t>CASO 1: CASO COMUNIDAD INDÍGENA YAKYE AXA VS PARAGUAY</w:t>
      </w:r>
    </w:p>
    <w:p w14:paraId="4491242B" w14:textId="77777777" w:rsidR="004D5F2B" w:rsidRPr="00CF2780" w:rsidRDefault="004D5F2B" w:rsidP="004D5F2B">
      <w:pPr>
        <w:rPr>
          <w:rFonts w:ascii="Arial" w:eastAsia="Times New Roman" w:hAnsi="Arial" w:cs="Arial"/>
          <w:b/>
          <w:bCs/>
          <w:i/>
          <w:iCs/>
          <w:color w:val="C00000"/>
          <w:sz w:val="24"/>
          <w:szCs w:val="24"/>
          <w:lang w:eastAsia="es-MX"/>
        </w:rPr>
      </w:pPr>
    </w:p>
    <w:p w14:paraId="0F25502E" w14:textId="77777777" w:rsidR="004D5F2B" w:rsidRPr="00CF2780" w:rsidRDefault="004D5F2B" w:rsidP="004D5F2B">
      <w:pPr>
        <w:spacing w:after="0" w:line="240" w:lineRule="auto"/>
        <w:jc w:val="both"/>
        <w:rPr>
          <w:rFonts w:ascii="Arial" w:eastAsia="Times New Roman" w:hAnsi="Arial" w:cs="Arial"/>
          <w:b/>
          <w:bCs/>
          <w:color w:val="000000"/>
          <w:lang w:eastAsia="es-MX"/>
        </w:rPr>
      </w:pPr>
      <w:r w:rsidRPr="00CF2780">
        <w:rPr>
          <w:rFonts w:ascii="Arial" w:eastAsia="Times New Roman" w:hAnsi="Arial" w:cs="Arial"/>
          <w:b/>
          <w:bCs/>
          <w:color w:val="000000"/>
          <w:lang w:eastAsia="es-MX"/>
        </w:rPr>
        <w:t>Órgano CoIDH.</w:t>
      </w:r>
    </w:p>
    <w:p w14:paraId="25819DEC" w14:textId="77777777" w:rsidR="004D5F2B" w:rsidRPr="00CF2780" w:rsidRDefault="004D5F2B" w:rsidP="004D5F2B">
      <w:pPr>
        <w:spacing w:after="0" w:line="240" w:lineRule="auto"/>
        <w:jc w:val="both"/>
        <w:rPr>
          <w:rFonts w:ascii="Arial" w:eastAsia="Times New Roman" w:hAnsi="Arial" w:cs="Arial"/>
          <w:b/>
          <w:bCs/>
          <w:color w:val="000000"/>
          <w:lang w:eastAsia="es-MX"/>
        </w:rPr>
      </w:pPr>
    </w:p>
    <w:p w14:paraId="78943CD3" w14:textId="77777777" w:rsidR="004D5F2B" w:rsidRPr="00CF2780" w:rsidRDefault="004D5F2B" w:rsidP="004D5F2B">
      <w:pPr>
        <w:spacing w:after="0" w:line="240" w:lineRule="auto"/>
        <w:jc w:val="both"/>
        <w:rPr>
          <w:rFonts w:ascii="Arial" w:eastAsia="Times New Roman" w:hAnsi="Arial" w:cs="Arial"/>
          <w:b/>
          <w:bCs/>
          <w:color w:val="000000"/>
          <w:lang w:eastAsia="es-MX"/>
        </w:rPr>
      </w:pPr>
      <w:r w:rsidRPr="00CF2780">
        <w:rPr>
          <w:rFonts w:ascii="Arial" w:eastAsia="Times New Roman" w:hAnsi="Arial" w:cs="Arial"/>
          <w:b/>
          <w:bCs/>
          <w:color w:val="000000"/>
          <w:lang w:eastAsia="es-MX"/>
        </w:rPr>
        <w:t>Corte Interamericana de Derechos Humanos</w:t>
      </w:r>
    </w:p>
    <w:p w14:paraId="69EE5F8A" w14:textId="77777777" w:rsidR="004D5F2B" w:rsidRPr="00CF2780" w:rsidRDefault="004D5F2B" w:rsidP="004D5F2B">
      <w:pPr>
        <w:spacing w:after="0" w:line="240" w:lineRule="auto"/>
        <w:jc w:val="both"/>
        <w:rPr>
          <w:rFonts w:ascii="Arial" w:eastAsia="Times New Roman" w:hAnsi="Arial" w:cs="Arial"/>
          <w:b/>
          <w:bCs/>
          <w:color w:val="C00000"/>
          <w:lang w:eastAsia="es-MX"/>
        </w:rPr>
      </w:pPr>
      <w:r w:rsidRPr="00CF2780">
        <w:rPr>
          <w:rFonts w:ascii="Arial" w:eastAsia="Times New Roman" w:hAnsi="Arial" w:cs="Arial"/>
          <w:b/>
          <w:bCs/>
          <w:color w:val="C00000"/>
          <w:lang w:eastAsia="es-MX"/>
        </w:rPr>
        <w:t>Caso  Comunidad indígena Yakye Axa Vs. Paraguay</w:t>
      </w:r>
    </w:p>
    <w:p w14:paraId="78D418C1" w14:textId="77777777" w:rsidR="004D5F2B" w:rsidRPr="00CF2780" w:rsidRDefault="004D5F2B" w:rsidP="004D5F2B">
      <w:pPr>
        <w:spacing w:after="0" w:line="240" w:lineRule="auto"/>
        <w:jc w:val="both"/>
        <w:rPr>
          <w:rFonts w:ascii="Arial" w:eastAsia="Times New Roman" w:hAnsi="Arial" w:cs="Arial"/>
          <w:b/>
          <w:bCs/>
          <w:color w:val="000000"/>
          <w:lang w:eastAsia="es-MX"/>
        </w:rPr>
      </w:pPr>
      <w:r w:rsidRPr="00CF2780">
        <w:rPr>
          <w:rFonts w:ascii="Arial" w:eastAsia="Times New Roman" w:hAnsi="Arial" w:cs="Arial"/>
          <w:b/>
          <w:bCs/>
          <w:color w:val="000000"/>
          <w:lang w:eastAsia="es-MX"/>
        </w:rPr>
        <w:lastRenderedPageBreak/>
        <w:t>Resuelto el 17 de junio de 2005</w:t>
      </w:r>
    </w:p>
    <w:p w14:paraId="7BC6AC54" w14:textId="77777777" w:rsidR="004D5F2B" w:rsidRPr="00CF2780" w:rsidRDefault="004D5F2B" w:rsidP="004D5F2B">
      <w:pPr>
        <w:spacing w:after="0" w:line="240" w:lineRule="auto"/>
        <w:jc w:val="both"/>
        <w:rPr>
          <w:rFonts w:ascii="Arial" w:eastAsia="Times New Roman" w:hAnsi="Arial" w:cs="Arial"/>
          <w:color w:val="000000"/>
          <w:lang w:eastAsia="es-MX"/>
        </w:rPr>
      </w:pPr>
    </w:p>
    <w:p w14:paraId="0FCE1B6A" w14:textId="77777777" w:rsidR="004D5F2B" w:rsidRPr="00CF2780" w:rsidRDefault="004D5F2B" w:rsidP="004D5F2B">
      <w:pPr>
        <w:spacing w:after="0" w:line="240" w:lineRule="auto"/>
        <w:jc w:val="both"/>
        <w:rPr>
          <w:rFonts w:ascii="Arial" w:eastAsia="Times New Roman" w:hAnsi="Arial" w:cs="Arial"/>
          <w:color w:val="000000"/>
          <w:lang w:eastAsia="es-MX"/>
        </w:rPr>
      </w:pPr>
    </w:p>
    <w:p w14:paraId="70FE5F96" w14:textId="77777777" w:rsidR="004D5F2B" w:rsidRPr="00CF2780" w:rsidRDefault="004D5F2B" w:rsidP="004D5F2B">
      <w:pPr>
        <w:spacing w:after="0" w:line="240" w:lineRule="auto"/>
        <w:jc w:val="both"/>
        <w:rPr>
          <w:rFonts w:ascii="Arial" w:eastAsia="Times New Roman" w:hAnsi="Arial" w:cs="Arial"/>
          <w:b/>
          <w:bCs/>
          <w:color w:val="000000"/>
          <w:lang w:eastAsia="es-MX"/>
        </w:rPr>
      </w:pPr>
      <w:r w:rsidRPr="00CF2780">
        <w:rPr>
          <w:rFonts w:ascii="Arial" w:eastAsia="Times New Roman" w:hAnsi="Arial" w:cs="Arial"/>
          <w:b/>
          <w:bCs/>
          <w:color w:val="000000"/>
          <w:lang w:eastAsia="es-MX"/>
        </w:rPr>
        <w:t>Temática</w:t>
      </w:r>
    </w:p>
    <w:p w14:paraId="69A5F287" w14:textId="77777777" w:rsidR="004D5F2B" w:rsidRPr="00CF2780" w:rsidRDefault="004D5F2B" w:rsidP="004D5F2B">
      <w:pPr>
        <w:spacing w:after="0" w:line="240" w:lineRule="auto"/>
        <w:jc w:val="both"/>
        <w:rPr>
          <w:rFonts w:ascii="Arial" w:eastAsia="Times New Roman" w:hAnsi="Arial" w:cs="Arial"/>
          <w:color w:val="000000"/>
          <w:lang w:eastAsia="es-MX"/>
        </w:rPr>
      </w:pPr>
      <w:r w:rsidRPr="00CF2780">
        <w:rPr>
          <w:rFonts w:ascii="Arial" w:eastAsia="Times New Roman" w:hAnsi="Arial" w:cs="Arial"/>
          <w:color w:val="000000"/>
          <w:lang w:eastAsia="es-MX"/>
        </w:rPr>
        <w:t>•Derechos económicos sociales y culturales</w:t>
      </w:r>
    </w:p>
    <w:p w14:paraId="1E561AC2" w14:textId="77777777" w:rsidR="004D5F2B" w:rsidRPr="00CF2780" w:rsidRDefault="004D5F2B" w:rsidP="004D5F2B">
      <w:pPr>
        <w:spacing w:after="0" w:line="240" w:lineRule="auto"/>
        <w:jc w:val="both"/>
        <w:rPr>
          <w:rFonts w:ascii="Arial" w:eastAsia="Times New Roman" w:hAnsi="Arial" w:cs="Arial"/>
          <w:color w:val="000000"/>
          <w:lang w:eastAsia="es-MX"/>
        </w:rPr>
      </w:pPr>
      <w:r w:rsidRPr="00CF2780">
        <w:rPr>
          <w:rFonts w:ascii="Arial" w:eastAsia="Times New Roman" w:hAnsi="Arial" w:cs="Arial"/>
          <w:color w:val="000000"/>
          <w:lang w:eastAsia="es-MX"/>
        </w:rPr>
        <w:t>•Garantías judiciales y procesales</w:t>
      </w:r>
    </w:p>
    <w:p w14:paraId="684D45A9" w14:textId="77777777" w:rsidR="004D5F2B" w:rsidRPr="00CF2780" w:rsidRDefault="004D5F2B" w:rsidP="004D5F2B">
      <w:pPr>
        <w:spacing w:after="0" w:line="240" w:lineRule="auto"/>
        <w:jc w:val="both"/>
        <w:rPr>
          <w:rFonts w:ascii="Arial" w:eastAsia="Times New Roman" w:hAnsi="Arial" w:cs="Arial"/>
          <w:color w:val="000000"/>
          <w:lang w:eastAsia="es-MX"/>
        </w:rPr>
      </w:pPr>
      <w:r w:rsidRPr="00CF2780">
        <w:rPr>
          <w:rFonts w:ascii="Arial" w:eastAsia="Times New Roman" w:hAnsi="Arial" w:cs="Arial"/>
          <w:color w:val="000000"/>
          <w:lang w:eastAsia="es-MX"/>
        </w:rPr>
        <w:t>•Derecho a la integridad personal</w:t>
      </w:r>
    </w:p>
    <w:p w14:paraId="777665A5" w14:textId="77777777" w:rsidR="004D5F2B" w:rsidRPr="00CF2780" w:rsidRDefault="004D5F2B" w:rsidP="004D5F2B">
      <w:pPr>
        <w:spacing w:after="0" w:line="240" w:lineRule="auto"/>
        <w:jc w:val="both"/>
        <w:rPr>
          <w:rFonts w:ascii="Arial" w:eastAsia="Times New Roman" w:hAnsi="Arial" w:cs="Arial"/>
          <w:color w:val="000000"/>
          <w:lang w:eastAsia="es-MX"/>
        </w:rPr>
      </w:pPr>
      <w:r w:rsidRPr="00CF2780">
        <w:rPr>
          <w:rFonts w:ascii="Arial" w:eastAsia="Times New Roman" w:hAnsi="Arial" w:cs="Arial"/>
          <w:color w:val="000000"/>
          <w:lang w:eastAsia="es-MX"/>
        </w:rPr>
        <w:t>•Derechos de los niños y las niñas</w:t>
      </w:r>
    </w:p>
    <w:p w14:paraId="14265172" w14:textId="77777777" w:rsidR="004D5F2B" w:rsidRPr="00CF2780" w:rsidRDefault="004D5F2B" w:rsidP="004D5F2B">
      <w:pPr>
        <w:spacing w:after="0" w:line="240" w:lineRule="auto"/>
        <w:jc w:val="both"/>
        <w:rPr>
          <w:rFonts w:ascii="Arial" w:eastAsia="Times New Roman" w:hAnsi="Arial" w:cs="Arial"/>
          <w:color w:val="000000"/>
          <w:lang w:eastAsia="es-MX"/>
        </w:rPr>
      </w:pPr>
      <w:r w:rsidRPr="00CF2780">
        <w:rPr>
          <w:rFonts w:ascii="Arial" w:eastAsia="Times New Roman" w:hAnsi="Arial" w:cs="Arial"/>
          <w:color w:val="000000"/>
          <w:lang w:eastAsia="es-MX"/>
        </w:rPr>
        <w:t>•Derecho a la vida</w:t>
      </w:r>
    </w:p>
    <w:p w14:paraId="1D0F4879" w14:textId="77777777" w:rsidR="004D5F2B" w:rsidRPr="00CF2780" w:rsidRDefault="004D5F2B" w:rsidP="004D5F2B">
      <w:pPr>
        <w:spacing w:after="0" w:line="240" w:lineRule="auto"/>
        <w:jc w:val="both"/>
        <w:rPr>
          <w:rFonts w:ascii="Arial" w:eastAsia="Times New Roman" w:hAnsi="Arial" w:cs="Arial"/>
          <w:color w:val="000000"/>
          <w:lang w:eastAsia="es-MX"/>
        </w:rPr>
      </w:pPr>
    </w:p>
    <w:p w14:paraId="6E5C1D6D" w14:textId="77777777" w:rsidR="004D5F2B" w:rsidRPr="00CF2780" w:rsidRDefault="004D5F2B" w:rsidP="004D5F2B">
      <w:pPr>
        <w:spacing w:after="0" w:line="240" w:lineRule="auto"/>
        <w:jc w:val="both"/>
        <w:rPr>
          <w:rFonts w:ascii="Arial" w:eastAsia="Times New Roman" w:hAnsi="Arial" w:cs="Arial"/>
          <w:color w:val="000000"/>
          <w:lang w:eastAsia="es-MX"/>
        </w:rPr>
      </w:pPr>
    </w:p>
    <w:p w14:paraId="5EE1C5C6" w14:textId="77777777" w:rsidR="004D5F2B" w:rsidRPr="00CF2780" w:rsidRDefault="004D5F2B" w:rsidP="004D5F2B">
      <w:pPr>
        <w:spacing w:after="0" w:line="240" w:lineRule="auto"/>
        <w:jc w:val="both"/>
        <w:rPr>
          <w:rFonts w:ascii="Arial" w:eastAsia="Times New Roman" w:hAnsi="Arial" w:cs="Arial"/>
          <w:b/>
          <w:bCs/>
          <w:color w:val="000000"/>
          <w:lang w:eastAsia="es-MX"/>
        </w:rPr>
      </w:pPr>
      <w:r w:rsidRPr="00CF2780">
        <w:rPr>
          <w:rFonts w:ascii="Arial" w:eastAsia="Times New Roman" w:hAnsi="Arial" w:cs="Arial"/>
          <w:b/>
          <w:bCs/>
          <w:color w:val="000000"/>
          <w:lang w:eastAsia="es-MX"/>
        </w:rPr>
        <w:t>Caso concreto</w:t>
      </w:r>
    </w:p>
    <w:p w14:paraId="166D1B6B" w14:textId="77777777" w:rsidR="004D5F2B" w:rsidRPr="00CF2780" w:rsidRDefault="004D5F2B" w:rsidP="004D5F2B">
      <w:pPr>
        <w:spacing w:after="0" w:line="240" w:lineRule="auto"/>
        <w:jc w:val="both"/>
        <w:rPr>
          <w:rFonts w:ascii="Arial" w:eastAsia="Times New Roman" w:hAnsi="Arial" w:cs="Arial"/>
          <w:b/>
          <w:bCs/>
          <w:color w:val="000000"/>
          <w:lang w:eastAsia="es-MX"/>
        </w:rPr>
      </w:pPr>
    </w:p>
    <w:p w14:paraId="72C18D38" w14:textId="77777777" w:rsidR="004D5F2B" w:rsidRPr="00CF2780" w:rsidRDefault="004D5F2B" w:rsidP="004D5F2B">
      <w:pPr>
        <w:spacing w:after="0" w:line="240" w:lineRule="auto"/>
        <w:jc w:val="both"/>
        <w:rPr>
          <w:rFonts w:ascii="Arial" w:eastAsia="Times New Roman" w:hAnsi="Arial" w:cs="Arial"/>
          <w:color w:val="000000"/>
          <w:lang w:eastAsia="es-MX"/>
        </w:rPr>
      </w:pPr>
      <w:r w:rsidRPr="00CF2780">
        <w:rPr>
          <w:rFonts w:ascii="Arial" w:eastAsia="Times New Roman" w:hAnsi="Arial" w:cs="Arial"/>
          <w:color w:val="000000"/>
          <w:lang w:eastAsia="es-MX"/>
        </w:rPr>
        <w:t xml:space="preserve">El caso se refiere a la responsabilidad internacional del Estado por no haber garantizado el derecho de propiedad ancestral de la Comunidad Yakye Axa, lo cual generó numerosas afectaciones a sus miembros. </w:t>
      </w:r>
    </w:p>
    <w:p w14:paraId="065383C6" w14:textId="77777777" w:rsidR="004D5F2B" w:rsidRPr="00CF2780" w:rsidRDefault="004D5F2B" w:rsidP="004D5F2B">
      <w:pPr>
        <w:spacing w:after="0" w:line="240" w:lineRule="auto"/>
        <w:jc w:val="both"/>
        <w:rPr>
          <w:rFonts w:ascii="Arial" w:eastAsia="Times New Roman" w:hAnsi="Arial" w:cs="Arial"/>
          <w:color w:val="000000"/>
          <w:lang w:eastAsia="es-MX"/>
        </w:rPr>
      </w:pPr>
    </w:p>
    <w:p w14:paraId="4CF30218" w14:textId="77777777" w:rsidR="004D5F2B" w:rsidRPr="00CF2780" w:rsidRDefault="004D5F2B" w:rsidP="004D5F2B">
      <w:pPr>
        <w:spacing w:after="0" w:line="240" w:lineRule="auto"/>
        <w:jc w:val="both"/>
        <w:rPr>
          <w:rFonts w:ascii="Arial" w:eastAsia="Times New Roman" w:hAnsi="Arial" w:cs="Arial"/>
          <w:color w:val="000000"/>
          <w:lang w:eastAsia="es-MX"/>
        </w:rPr>
      </w:pPr>
    </w:p>
    <w:p w14:paraId="21A43148" w14:textId="77777777" w:rsidR="004D5F2B" w:rsidRPr="00CF2780" w:rsidRDefault="004D5F2B" w:rsidP="004D5F2B">
      <w:pPr>
        <w:spacing w:after="0" w:line="240" w:lineRule="auto"/>
        <w:jc w:val="both"/>
        <w:rPr>
          <w:rFonts w:ascii="Arial" w:eastAsia="Times New Roman" w:hAnsi="Arial" w:cs="Arial"/>
          <w:b/>
          <w:bCs/>
          <w:color w:val="000000"/>
          <w:lang w:eastAsia="es-MX"/>
        </w:rPr>
      </w:pPr>
      <w:r w:rsidRPr="00CF2780">
        <w:rPr>
          <w:rFonts w:ascii="Arial" w:eastAsia="Times New Roman" w:hAnsi="Arial" w:cs="Arial"/>
          <w:b/>
          <w:bCs/>
          <w:color w:val="000000"/>
          <w:lang w:eastAsia="es-MX"/>
        </w:rPr>
        <w:t>Hechos</w:t>
      </w:r>
    </w:p>
    <w:p w14:paraId="3303537A" w14:textId="77777777" w:rsidR="004D5F2B" w:rsidRPr="00CF2780" w:rsidRDefault="004D5F2B" w:rsidP="004D5F2B">
      <w:pPr>
        <w:spacing w:after="0" w:line="240" w:lineRule="auto"/>
        <w:jc w:val="both"/>
        <w:rPr>
          <w:rFonts w:ascii="Arial" w:eastAsia="Times New Roman" w:hAnsi="Arial" w:cs="Arial"/>
          <w:color w:val="000000"/>
          <w:lang w:eastAsia="es-MX"/>
        </w:rPr>
      </w:pPr>
    </w:p>
    <w:p w14:paraId="21A62B44" w14:textId="77777777" w:rsidR="004D5F2B" w:rsidRPr="00CF2780" w:rsidRDefault="004D5F2B" w:rsidP="004D5F2B">
      <w:pPr>
        <w:spacing w:after="0" w:line="240" w:lineRule="auto"/>
        <w:jc w:val="both"/>
        <w:rPr>
          <w:rFonts w:ascii="Arial" w:eastAsia="Times New Roman" w:hAnsi="Arial" w:cs="Arial"/>
          <w:color w:val="000000"/>
          <w:lang w:eastAsia="es-MX"/>
        </w:rPr>
      </w:pPr>
      <w:r w:rsidRPr="00CF2780">
        <w:rPr>
          <w:rFonts w:ascii="Arial" w:eastAsia="Times New Roman" w:hAnsi="Arial" w:cs="Arial"/>
          <w:color w:val="000000"/>
          <w:lang w:eastAsia="es-MX"/>
        </w:rPr>
        <w:t xml:space="preserve">1. La Comunidad Yakye Axa ("Isla de Palmas") es una comunidad indígena perteneciente al pueblo Lengua Enxet Sur. Los Lengua Enxet Sur, así como los Lengua Enlhet Norte, Sanapaná, Toba, Angaité, Toba Maskoy y Guaná, forman parte de la familia lingüística Lengua-Maskoy (Enhelt-Enenlhet) y ocupan ancestralmente el Chaco paraguayo. </w:t>
      </w:r>
    </w:p>
    <w:p w14:paraId="7ED68F2A" w14:textId="77777777" w:rsidR="004D5F2B" w:rsidRPr="00CF2780" w:rsidRDefault="004D5F2B" w:rsidP="004D5F2B">
      <w:pPr>
        <w:spacing w:after="0" w:line="240" w:lineRule="auto"/>
        <w:jc w:val="both"/>
        <w:rPr>
          <w:rFonts w:ascii="Arial" w:eastAsia="Times New Roman" w:hAnsi="Arial" w:cs="Arial"/>
          <w:color w:val="000000"/>
          <w:lang w:eastAsia="es-MX"/>
        </w:rPr>
      </w:pPr>
    </w:p>
    <w:p w14:paraId="083F38B2" w14:textId="77777777" w:rsidR="004D5F2B" w:rsidRPr="00CF2780" w:rsidRDefault="004D5F2B" w:rsidP="004D5F2B">
      <w:pPr>
        <w:spacing w:after="0" w:line="240" w:lineRule="auto"/>
        <w:jc w:val="both"/>
        <w:rPr>
          <w:rFonts w:ascii="Arial" w:eastAsia="Times New Roman" w:hAnsi="Arial" w:cs="Arial"/>
          <w:color w:val="000000"/>
          <w:lang w:eastAsia="es-MX"/>
        </w:rPr>
      </w:pPr>
      <w:r w:rsidRPr="00CF2780">
        <w:rPr>
          <w:rFonts w:ascii="Arial" w:eastAsia="Times New Roman" w:hAnsi="Arial" w:cs="Arial"/>
          <w:color w:val="000000"/>
          <w:lang w:eastAsia="es-MX"/>
        </w:rPr>
        <w:t xml:space="preserve">2. Desde el año 1996 parte de la Comunidad Yakye Axa está asentada al costado de la ruta que une Pozo Colorado y Concepción en el Departamento de Presidente Hayes, frente a la alambrada de la Estancia Loma Verde. En este lugar se encuentran asentadas un número que oscila entre 28 a 57 familias. El grupo restante de miembros de la Comunidad Yakye Axa permanecen en las aldeas 20 de Enero, Alegre, Karanda, San Carlos, Para Todo´i, La Madrina y Santa Fe de la Estancia El Estribo o dispersas en otras estancias del Departamento Presidente Hayes en el Chaco paraguayo, tales como Makxlawaya, Naranjito, Espinillo, Concepción, La Palma-Loma Plata, Nueva Vida, Para Todo, Campo Largo, Lolita, Santa Ana, La Victoria, Paz del Chaco, entre otras. </w:t>
      </w:r>
    </w:p>
    <w:p w14:paraId="7C6EB0A5" w14:textId="77777777" w:rsidR="004D5F2B" w:rsidRPr="00CF2780" w:rsidRDefault="004D5F2B" w:rsidP="004D5F2B">
      <w:pPr>
        <w:spacing w:after="0" w:line="240" w:lineRule="auto"/>
        <w:jc w:val="both"/>
        <w:rPr>
          <w:rFonts w:ascii="Arial" w:eastAsia="Times New Roman" w:hAnsi="Arial" w:cs="Arial"/>
          <w:color w:val="000000"/>
          <w:lang w:eastAsia="es-MX"/>
        </w:rPr>
      </w:pPr>
    </w:p>
    <w:p w14:paraId="3D7B9BAF" w14:textId="77777777" w:rsidR="004D5F2B" w:rsidRPr="00CF2780" w:rsidRDefault="004D5F2B" w:rsidP="004D5F2B">
      <w:pPr>
        <w:spacing w:after="0" w:line="240" w:lineRule="auto"/>
        <w:jc w:val="both"/>
        <w:rPr>
          <w:rFonts w:ascii="Arial" w:eastAsia="Times New Roman" w:hAnsi="Arial" w:cs="Arial"/>
          <w:color w:val="000000"/>
          <w:lang w:eastAsia="es-MX"/>
        </w:rPr>
      </w:pPr>
      <w:r w:rsidRPr="00CF2780">
        <w:rPr>
          <w:rFonts w:ascii="Arial" w:eastAsia="Times New Roman" w:hAnsi="Arial" w:cs="Arial"/>
          <w:color w:val="000000"/>
          <w:lang w:eastAsia="es-MX"/>
        </w:rPr>
        <w:t xml:space="preserve">3. A finales del siglo XIX grandes extensiones de tierra del Chaco paraguayo fueron vendidas a través de la bolsa de valores de Londres. En esa misma época y como consecuencia de la adquisición de estas tierras por parte de empresarios británicos, comenzaron a instalarse varias misiones de la iglesia anglicana en la zona.  En el año 1907 W.B. Grubb fundó la Misión Makxlawaya dentro del territorio del pueblo indígena Lengua (Enlhet Norte y Enxet Sur) con la finalidad de iniciar su evangelización y "pacificación. </w:t>
      </w:r>
    </w:p>
    <w:p w14:paraId="4A105839" w14:textId="77777777" w:rsidR="004D5F2B" w:rsidRPr="00CF2780" w:rsidRDefault="004D5F2B" w:rsidP="004D5F2B">
      <w:pPr>
        <w:spacing w:after="0" w:line="240" w:lineRule="auto"/>
        <w:jc w:val="both"/>
        <w:rPr>
          <w:rFonts w:ascii="Arial" w:eastAsia="Times New Roman" w:hAnsi="Arial" w:cs="Arial"/>
          <w:color w:val="000000"/>
          <w:lang w:eastAsia="es-MX"/>
        </w:rPr>
      </w:pPr>
    </w:p>
    <w:p w14:paraId="70155FC4" w14:textId="77777777" w:rsidR="004D5F2B" w:rsidRPr="00CF2780" w:rsidRDefault="004D5F2B" w:rsidP="004D5F2B">
      <w:pPr>
        <w:spacing w:after="0" w:line="240" w:lineRule="auto"/>
        <w:jc w:val="both"/>
        <w:rPr>
          <w:rFonts w:ascii="Arial" w:eastAsia="Times New Roman" w:hAnsi="Arial" w:cs="Arial"/>
          <w:color w:val="000000"/>
          <w:lang w:eastAsia="es-MX"/>
        </w:rPr>
      </w:pPr>
      <w:r w:rsidRPr="00CF2780">
        <w:rPr>
          <w:rFonts w:ascii="Arial" w:eastAsia="Times New Roman" w:hAnsi="Arial" w:cs="Arial"/>
          <w:color w:val="000000"/>
          <w:lang w:eastAsia="es-MX"/>
        </w:rPr>
        <w:t>4. Después de la adquisición de la Estancia El Estribo, la iglesia anglicana promovió el asentamiento de los grupos indígenas establecidos en Makxlawaya en la nueva estancia.  A principios del año 1986 los miembros de la Comunidad indígena Yakye Axa se trasladaron a El Estribo debido a las graves condiciones de vida que tenían en la Estancia Loma Verde donde los hombres no recibían sueldos o estos eran muy bajos, las mujeres eran explotadas sexualmente por obreros paraguayos y no contaban con servicios de salud ni alimentación suficiente</w:t>
      </w:r>
    </w:p>
    <w:p w14:paraId="7F07D2F7" w14:textId="77777777" w:rsidR="004D5F2B" w:rsidRPr="00CF2780" w:rsidRDefault="004D5F2B" w:rsidP="004D5F2B">
      <w:pPr>
        <w:spacing w:after="0" w:line="240" w:lineRule="auto"/>
        <w:jc w:val="both"/>
        <w:rPr>
          <w:rFonts w:ascii="Arial" w:eastAsia="Times New Roman" w:hAnsi="Arial" w:cs="Arial"/>
          <w:color w:val="000000"/>
          <w:lang w:eastAsia="es-MX"/>
        </w:rPr>
      </w:pPr>
    </w:p>
    <w:p w14:paraId="6A355C2B" w14:textId="77777777" w:rsidR="004D5F2B" w:rsidRPr="00CF2780" w:rsidRDefault="004D5F2B" w:rsidP="004D5F2B">
      <w:pPr>
        <w:spacing w:after="0" w:line="240" w:lineRule="auto"/>
        <w:jc w:val="both"/>
        <w:rPr>
          <w:rFonts w:ascii="Arial" w:eastAsia="Times New Roman" w:hAnsi="Arial" w:cs="Arial"/>
          <w:color w:val="000000"/>
          <w:lang w:eastAsia="es-MX"/>
        </w:rPr>
      </w:pPr>
      <w:r w:rsidRPr="00CF2780">
        <w:rPr>
          <w:rFonts w:ascii="Arial" w:eastAsia="Times New Roman" w:hAnsi="Arial" w:cs="Arial"/>
          <w:color w:val="000000"/>
          <w:lang w:eastAsia="es-MX"/>
        </w:rPr>
        <w:lastRenderedPageBreak/>
        <w:t>5. La Estancia El Estribo está ubicada en una zona de colonias menonitas, lejana a la morada de los que serían sus pobladores. Asimismo, el medio ambiente y los recursos naturales de la estancia, característicos del norte del Chaco, son diferentes a los propios del lugar de origen de estos grupos indígenas.</w:t>
      </w:r>
    </w:p>
    <w:p w14:paraId="1C1DC300" w14:textId="77777777" w:rsidR="004D5F2B" w:rsidRPr="00CF2780" w:rsidRDefault="004D5F2B" w:rsidP="004D5F2B">
      <w:pPr>
        <w:spacing w:after="0" w:line="240" w:lineRule="auto"/>
        <w:jc w:val="both"/>
        <w:rPr>
          <w:rFonts w:ascii="Arial" w:eastAsia="Times New Roman" w:hAnsi="Arial" w:cs="Arial"/>
          <w:color w:val="000000"/>
          <w:lang w:eastAsia="es-MX"/>
        </w:rPr>
      </w:pPr>
    </w:p>
    <w:p w14:paraId="3CCEA7A0" w14:textId="77777777" w:rsidR="004D5F2B" w:rsidRPr="00CF2780" w:rsidRDefault="004D5F2B" w:rsidP="004D5F2B">
      <w:pPr>
        <w:spacing w:after="0" w:line="240" w:lineRule="auto"/>
        <w:jc w:val="both"/>
        <w:rPr>
          <w:rFonts w:ascii="Arial" w:eastAsia="Times New Roman" w:hAnsi="Arial" w:cs="Arial"/>
          <w:color w:val="000000"/>
          <w:lang w:eastAsia="es-MX"/>
        </w:rPr>
      </w:pPr>
      <w:r w:rsidRPr="00CF2780">
        <w:rPr>
          <w:rFonts w:ascii="Arial" w:eastAsia="Times New Roman" w:hAnsi="Arial" w:cs="Arial"/>
          <w:color w:val="000000"/>
          <w:lang w:eastAsia="es-MX"/>
        </w:rPr>
        <w:t>6. El traslado a la Estancia El Estribo no trajo consigo una mejoría en las condiciones de vida de los miembros de la Comunidad.  La estancia tenía una extensión de 25.000 hectáreas y contaba con más de 3.000 mil habitantes.  Los cultivos producían poco, en el área no había animales para cazar y los animales domésticos morían, por lo que fue necesario buscar trabajo fuera de la misma. La falta de agua y alimento ocasionó la muerte de muchos niños y niñas, jóvenes y ancianos. Dado que la Estancia El Estribo era el asentamiento principal de las comunidades indígenas de Makxlawaya, los miembros de la Comunidad Yakye Axa estaban marginados y no podían celebrar libremente sus prácticas culturales.</w:t>
      </w:r>
    </w:p>
    <w:p w14:paraId="5F0169AF" w14:textId="77777777" w:rsidR="004D5F2B" w:rsidRPr="00CF2780" w:rsidRDefault="004D5F2B" w:rsidP="004D5F2B">
      <w:pPr>
        <w:spacing w:after="0" w:line="240" w:lineRule="auto"/>
        <w:jc w:val="both"/>
        <w:rPr>
          <w:rFonts w:ascii="Arial" w:eastAsia="Times New Roman" w:hAnsi="Arial" w:cs="Arial"/>
          <w:color w:val="000000"/>
          <w:lang w:eastAsia="es-MX"/>
        </w:rPr>
      </w:pPr>
    </w:p>
    <w:p w14:paraId="54404021" w14:textId="77777777" w:rsidR="004D5F2B" w:rsidRPr="00CF2780" w:rsidRDefault="004D5F2B" w:rsidP="004D5F2B">
      <w:pPr>
        <w:spacing w:after="0" w:line="240" w:lineRule="auto"/>
        <w:jc w:val="both"/>
        <w:rPr>
          <w:rFonts w:ascii="Arial" w:eastAsia="Times New Roman" w:hAnsi="Arial" w:cs="Arial"/>
          <w:color w:val="000000"/>
          <w:lang w:eastAsia="es-MX"/>
        </w:rPr>
      </w:pPr>
      <w:r w:rsidRPr="00CF2780">
        <w:rPr>
          <w:rFonts w:ascii="Arial" w:eastAsia="Times New Roman" w:hAnsi="Arial" w:cs="Arial"/>
          <w:color w:val="000000"/>
          <w:lang w:eastAsia="es-MX"/>
        </w:rPr>
        <w:t>7. El 5 de octubre de 1993 el señor Tomás Galeano, en su carácter de líder de la Comunidad, presentó una comunicación al IBR, mediante la cual informó sobre el interés de la Comunidad indígena Yakye Axa de regresar a su territorio tradicional, ubicado alrededor de las estancias Loma Verde, Ledesma y Maroma del Distrito Pozo Colorado, departamento Presidente Hayes, y solicitó la legalización de un mínimo de 15.000 hectáreas dentro de dichas estancias a nombre de la Comunidad.  Junto con dicha comunicación, presentó un censo de la Comunidad, en el cual se estableció que para ese momento estaba conformada por 221 miembros, agrupados en 57 familias.</w:t>
      </w:r>
    </w:p>
    <w:p w14:paraId="3FE91EDC" w14:textId="77777777" w:rsidR="004D5F2B" w:rsidRPr="00CF2780" w:rsidRDefault="004D5F2B" w:rsidP="004D5F2B">
      <w:pPr>
        <w:spacing w:after="0" w:line="240" w:lineRule="auto"/>
        <w:jc w:val="both"/>
        <w:rPr>
          <w:rFonts w:ascii="Arial" w:eastAsia="Times New Roman" w:hAnsi="Arial" w:cs="Arial"/>
          <w:color w:val="000000"/>
          <w:lang w:eastAsia="es-MX"/>
        </w:rPr>
      </w:pPr>
    </w:p>
    <w:p w14:paraId="6D51B4D6" w14:textId="77777777" w:rsidR="004D5F2B" w:rsidRPr="00CF2780" w:rsidRDefault="004D5F2B" w:rsidP="004D5F2B">
      <w:pPr>
        <w:spacing w:after="0" w:line="240" w:lineRule="auto"/>
        <w:jc w:val="both"/>
        <w:rPr>
          <w:rFonts w:ascii="Arial" w:eastAsia="Times New Roman" w:hAnsi="Arial" w:cs="Arial"/>
          <w:color w:val="000000"/>
          <w:lang w:eastAsia="es-MX"/>
        </w:rPr>
      </w:pPr>
      <w:r w:rsidRPr="00CF2780">
        <w:rPr>
          <w:rFonts w:ascii="Arial" w:eastAsia="Times New Roman" w:hAnsi="Arial" w:cs="Arial"/>
          <w:color w:val="000000"/>
          <w:lang w:eastAsia="es-MX"/>
        </w:rPr>
        <w:t>8. Los miembros de la Comunidad Yakye Axa han sido víctimas de constantes amenazas y actos de hostigamiento durante el tiempo que han permanecido asentados al costado de la carretera pública que une Pozo Colorado y Concepción.  Frente a estos hechos, los miembros de la Comunidad presentaron denuncias ante diversos órganos del Estado, sin que se conozca del inicio de algún tipo de investigación.</w:t>
      </w:r>
    </w:p>
    <w:p w14:paraId="72936A8D" w14:textId="77777777" w:rsidR="004D5F2B" w:rsidRPr="00CF2780" w:rsidRDefault="004D5F2B" w:rsidP="004D5F2B">
      <w:pPr>
        <w:spacing w:after="0" w:line="240" w:lineRule="auto"/>
        <w:jc w:val="both"/>
        <w:rPr>
          <w:rFonts w:ascii="Arial" w:eastAsia="Times New Roman" w:hAnsi="Arial" w:cs="Arial"/>
          <w:color w:val="000000"/>
          <w:lang w:eastAsia="es-MX"/>
        </w:rPr>
      </w:pPr>
    </w:p>
    <w:p w14:paraId="1C6BAA52" w14:textId="77777777" w:rsidR="004D5F2B" w:rsidRPr="00CF2780" w:rsidRDefault="004D5F2B" w:rsidP="004D5F2B">
      <w:pPr>
        <w:spacing w:after="0" w:line="240" w:lineRule="auto"/>
        <w:jc w:val="both"/>
        <w:rPr>
          <w:rFonts w:ascii="Arial" w:eastAsia="Times New Roman" w:hAnsi="Arial" w:cs="Arial"/>
          <w:color w:val="000000"/>
          <w:lang w:eastAsia="es-MX"/>
        </w:rPr>
      </w:pPr>
    </w:p>
    <w:p w14:paraId="6971D272" w14:textId="77777777" w:rsidR="004D5F2B" w:rsidRPr="00CF2780" w:rsidRDefault="004D5F2B" w:rsidP="004D5F2B">
      <w:pPr>
        <w:spacing w:after="0" w:line="240" w:lineRule="auto"/>
        <w:jc w:val="both"/>
        <w:rPr>
          <w:rFonts w:ascii="Arial" w:eastAsia="Times New Roman" w:hAnsi="Arial" w:cs="Arial"/>
          <w:b/>
          <w:bCs/>
          <w:color w:val="000000"/>
          <w:lang w:eastAsia="es-MX"/>
        </w:rPr>
      </w:pPr>
      <w:r w:rsidRPr="00CF2780">
        <w:rPr>
          <w:rFonts w:ascii="Arial" w:eastAsia="Times New Roman" w:hAnsi="Arial" w:cs="Arial"/>
          <w:b/>
          <w:bCs/>
          <w:color w:val="000000"/>
          <w:lang w:eastAsia="es-MX"/>
        </w:rPr>
        <w:t>Consideraciones de la CoIDH</w:t>
      </w:r>
    </w:p>
    <w:p w14:paraId="4EA34444" w14:textId="77777777" w:rsidR="004D5F2B" w:rsidRPr="00CF2780" w:rsidRDefault="004D5F2B" w:rsidP="004D5F2B">
      <w:pPr>
        <w:spacing w:after="0" w:line="240" w:lineRule="auto"/>
        <w:jc w:val="both"/>
        <w:rPr>
          <w:rFonts w:ascii="Arial" w:eastAsia="Times New Roman" w:hAnsi="Arial" w:cs="Arial"/>
          <w:color w:val="000000"/>
          <w:lang w:eastAsia="es-MX"/>
        </w:rPr>
      </w:pPr>
    </w:p>
    <w:p w14:paraId="687ED146" w14:textId="77777777" w:rsidR="004D5F2B" w:rsidRPr="00CF2780" w:rsidRDefault="004D5F2B" w:rsidP="004D5F2B">
      <w:pPr>
        <w:spacing w:after="0" w:line="240" w:lineRule="auto"/>
        <w:jc w:val="both"/>
        <w:rPr>
          <w:rFonts w:ascii="Arial" w:eastAsia="Times New Roman" w:hAnsi="Arial" w:cs="Arial"/>
          <w:color w:val="000000"/>
          <w:lang w:eastAsia="es-MX"/>
        </w:rPr>
      </w:pPr>
      <w:r w:rsidRPr="00CF2780">
        <w:rPr>
          <w:rFonts w:ascii="Arial" w:eastAsia="Times New Roman" w:hAnsi="Arial" w:cs="Arial"/>
          <w:color w:val="000000"/>
          <w:lang w:eastAsia="es-MX"/>
        </w:rPr>
        <w:t>La Corte consideró oportuno recordar que, de conformidad con los artículos 24 (Igualdad ante la Ley) y 1.1 (Obligación de Respetar los Derechos) de la Convención Americana, los Estados deben garantizar, en condiciones de igualdad, el pleno ejercicio y goce de los derechos de estas personas que están sujetas a su jurisdicción.</w:t>
      </w:r>
    </w:p>
    <w:p w14:paraId="642F4BD6" w14:textId="77777777" w:rsidR="004D5F2B" w:rsidRPr="00CF2780" w:rsidRDefault="004D5F2B" w:rsidP="004D5F2B">
      <w:pPr>
        <w:spacing w:after="0" w:line="240" w:lineRule="auto"/>
        <w:jc w:val="both"/>
        <w:rPr>
          <w:rFonts w:ascii="Arial" w:eastAsia="Times New Roman" w:hAnsi="Arial" w:cs="Arial"/>
          <w:color w:val="000000"/>
          <w:lang w:eastAsia="es-MX"/>
        </w:rPr>
      </w:pPr>
    </w:p>
    <w:p w14:paraId="057D2FAE" w14:textId="77777777" w:rsidR="004D5F2B" w:rsidRPr="00CF2780" w:rsidRDefault="004D5F2B" w:rsidP="004D5F2B">
      <w:pPr>
        <w:spacing w:after="0" w:line="240" w:lineRule="auto"/>
        <w:jc w:val="both"/>
        <w:rPr>
          <w:rFonts w:ascii="Arial" w:eastAsia="Times New Roman" w:hAnsi="Arial" w:cs="Arial"/>
          <w:color w:val="000000"/>
          <w:lang w:eastAsia="es-MX"/>
        </w:rPr>
      </w:pPr>
      <w:r w:rsidRPr="00CF2780">
        <w:rPr>
          <w:rFonts w:ascii="Arial" w:eastAsia="Times New Roman" w:hAnsi="Arial" w:cs="Arial"/>
          <w:color w:val="000000"/>
          <w:lang w:eastAsia="es-MX"/>
        </w:rPr>
        <w:t>Dicha Corte señaló, en relación con el artículo 25 de la Convención, que la inexistencia de un recurso efectivo contra las violaciones a los derechos reconocidos por la Convención constituye una transgresión de la misma por el Estado Parte en el cual semejante situación tenga lugar. En ese sentido debe subrayarse que, para que tal recurso exista, no basta con que esté previsto por la Constitución o la ley o con que sea formalmente admisible, sino que se requiere que sea realmente idóneo para establecer si se ha incurrido en una violación a los derechos humanos y proveer lo necesario para remediarla.</w:t>
      </w:r>
    </w:p>
    <w:p w14:paraId="2E9ADF02" w14:textId="77777777" w:rsidR="004D5F2B" w:rsidRPr="00CF2780" w:rsidRDefault="004D5F2B" w:rsidP="004D5F2B">
      <w:pPr>
        <w:spacing w:after="0" w:line="240" w:lineRule="auto"/>
        <w:jc w:val="both"/>
        <w:rPr>
          <w:rFonts w:ascii="Arial" w:eastAsia="Times New Roman" w:hAnsi="Arial" w:cs="Arial"/>
          <w:color w:val="000000"/>
          <w:lang w:eastAsia="es-MX"/>
        </w:rPr>
      </w:pPr>
    </w:p>
    <w:p w14:paraId="066A1D6E" w14:textId="77777777" w:rsidR="004D5F2B" w:rsidRPr="00CF2780" w:rsidRDefault="004D5F2B" w:rsidP="004D5F2B">
      <w:pPr>
        <w:spacing w:after="0" w:line="240" w:lineRule="auto"/>
        <w:jc w:val="both"/>
        <w:rPr>
          <w:rFonts w:ascii="Arial" w:eastAsia="Times New Roman" w:hAnsi="Arial" w:cs="Arial"/>
          <w:color w:val="000000"/>
          <w:lang w:eastAsia="es-MX"/>
        </w:rPr>
      </w:pPr>
      <w:r w:rsidRPr="00CF2780">
        <w:rPr>
          <w:rFonts w:ascii="Arial" w:eastAsia="Times New Roman" w:hAnsi="Arial" w:cs="Arial"/>
          <w:color w:val="000000"/>
          <w:lang w:eastAsia="es-MX"/>
        </w:rPr>
        <w:t xml:space="preserve">La Corte señaló en otras oportunidades que el artículo 2 de la Convención, impone a los Estados Partes la obligación general de adecuar su derecho interno a las normas de la propia Convención, para garantizar así los derechos consagrados en ésta.  Las disposiciones de derecho interno que sirvan a este fin han de ser efectivas, lo que significa </w:t>
      </w:r>
      <w:r w:rsidRPr="00CF2780">
        <w:rPr>
          <w:rFonts w:ascii="Arial" w:eastAsia="Times New Roman" w:hAnsi="Arial" w:cs="Arial"/>
          <w:color w:val="000000"/>
          <w:lang w:eastAsia="es-MX"/>
        </w:rPr>
        <w:lastRenderedPageBreak/>
        <w:t>que el Estado debe adoptar todas las medidas necesarias para que lo establecido en la Convención sea realmente cumplido.</w:t>
      </w:r>
    </w:p>
    <w:p w14:paraId="2FF7C64D" w14:textId="77777777" w:rsidR="004D5F2B" w:rsidRPr="00CF2780" w:rsidRDefault="004D5F2B" w:rsidP="004D5F2B">
      <w:pPr>
        <w:spacing w:after="0" w:line="240" w:lineRule="auto"/>
        <w:jc w:val="both"/>
        <w:rPr>
          <w:rFonts w:ascii="Arial" w:eastAsia="Times New Roman" w:hAnsi="Arial" w:cs="Arial"/>
          <w:color w:val="000000"/>
          <w:lang w:eastAsia="es-MX"/>
        </w:rPr>
      </w:pPr>
    </w:p>
    <w:p w14:paraId="4F7F3A6F" w14:textId="77777777" w:rsidR="004D5F2B" w:rsidRPr="00CF2780" w:rsidRDefault="004D5F2B" w:rsidP="004D5F2B">
      <w:pPr>
        <w:spacing w:after="0" w:line="240" w:lineRule="auto"/>
        <w:jc w:val="both"/>
        <w:rPr>
          <w:rFonts w:ascii="Arial" w:eastAsia="Times New Roman" w:hAnsi="Arial" w:cs="Arial"/>
          <w:color w:val="000000"/>
          <w:lang w:eastAsia="es-MX"/>
        </w:rPr>
      </w:pPr>
      <w:r w:rsidRPr="00CF2780">
        <w:rPr>
          <w:rFonts w:ascii="Arial" w:eastAsia="Times New Roman" w:hAnsi="Arial" w:cs="Arial"/>
          <w:color w:val="000000"/>
          <w:lang w:eastAsia="es-MX"/>
        </w:rPr>
        <w:t>La Corte estuvo de acuerdo con el Estado en el sentido de que tanto la propiedad privada de los particulares como la propiedad comunitaria de los miembros de las comunidades indígenas tienen la protección convencional que les otorga el artículo 21 de la Convención Americana. No obstante, el reconocimiento meramente abstracto o jurídico de las tierras, territorios o recursos indígenas carece prácticamente de sentido si no se ha establecido y delimitado física mente la propiedad.</w:t>
      </w:r>
    </w:p>
    <w:p w14:paraId="5EF19295" w14:textId="77777777" w:rsidR="004D5F2B" w:rsidRPr="00CF2780" w:rsidRDefault="004D5F2B" w:rsidP="004D5F2B">
      <w:pPr>
        <w:spacing w:after="0" w:line="240" w:lineRule="auto"/>
        <w:jc w:val="both"/>
        <w:rPr>
          <w:rFonts w:ascii="Arial" w:eastAsia="Times New Roman" w:hAnsi="Arial" w:cs="Arial"/>
          <w:color w:val="000000"/>
          <w:lang w:eastAsia="es-MX"/>
        </w:rPr>
      </w:pPr>
    </w:p>
    <w:p w14:paraId="74914B4C" w14:textId="77777777" w:rsidR="004D5F2B" w:rsidRPr="00CF2780" w:rsidRDefault="004D5F2B" w:rsidP="004D5F2B">
      <w:pPr>
        <w:spacing w:after="0" w:line="240" w:lineRule="auto"/>
        <w:jc w:val="both"/>
        <w:rPr>
          <w:rFonts w:ascii="Arial" w:eastAsia="Times New Roman" w:hAnsi="Arial" w:cs="Arial"/>
          <w:color w:val="000000"/>
          <w:lang w:eastAsia="es-MX"/>
        </w:rPr>
      </w:pPr>
    </w:p>
    <w:p w14:paraId="05029567" w14:textId="77777777" w:rsidR="004D5F2B" w:rsidRPr="00CF2780" w:rsidRDefault="004D5F2B" w:rsidP="004D5F2B">
      <w:pPr>
        <w:spacing w:after="0" w:line="240" w:lineRule="auto"/>
        <w:jc w:val="both"/>
        <w:rPr>
          <w:rFonts w:ascii="Arial" w:eastAsia="Times New Roman" w:hAnsi="Arial" w:cs="Arial"/>
          <w:b/>
          <w:bCs/>
          <w:color w:val="000000"/>
          <w:lang w:eastAsia="es-MX"/>
        </w:rPr>
      </w:pPr>
      <w:r w:rsidRPr="00CF2780">
        <w:rPr>
          <w:rFonts w:ascii="Arial" w:eastAsia="Times New Roman" w:hAnsi="Arial" w:cs="Arial"/>
          <w:b/>
          <w:bCs/>
          <w:color w:val="000000"/>
          <w:lang w:eastAsia="es-MX"/>
        </w:rPr>
        <w:t>Reparaciones</w:t>
      </w:r>
    </w:p>
    <w:p w14:paraId="4F2A4E62" w14:textId="77777777" w:rsidR="004D5F2B" w:rsidRPr="00CF2780" w:rsidRDefault="004D5F2B" w:rsidP="004D5F2B">
      <w:pPr>
        <w:spacing w:after="0" w:line="240" w:lineRule="auto"/>
        <w:jc w:val="both"/>
        <w:rPr>
          <w:rFonts w:ascii="Arial" w:eastAsia="Times New Roman" w:hAnsi="Arial" w:cs="Arial"/>
          <w:color w:val="000000"/>
          <w:lang w:eastAsia="es-MX"/>
        </w:rPr>
      </w:pPr>
      <w:r w:rsidRPr="00CF2780">
        <w:rPr>
          <w:rFonts w:ascii="Arial" w:eastAsia="Times New Roman" w:hAnsi="Arial" w:cs="Arial"/>
          <w:color w:val="000000"/>
          <w:lang w:eastAsia="es-MX"/>
        </w:rPr>
        <w:t>La Corte dispone que:</w:t>
      </w:r>
    </w:p>
    <w:p w14:paraId="250DE7C2" w14:textId="77777777" w:rsidR="004D5F2B" w:rsidRPr="00CF2780" w:rsidRDefault="004D5F2B" w:rsidP="004D5F2B">
      <w:pPr>
        <w:spacing w:after="0" w:line="240" w:lineRule="auto"/>
        <w:jc w:val="both"/>
        <w:rPr>
          <w:rFonts w:ascii="Arial" w:eastAsia="Times New Roman" w:hAnsi="Arial" w:cs="Arial"/>
          <w:color w:val="000000"/>
          <w:lang w:eastAsia="es-MX"/>
        </w:rPr>
      </w:pPr>
    </w:p>
    <w:p w14:paraId="2180D55F" w14:textId="77777777" w:rsidR="004D5F2B" w:rsidRPr="00CF2780" w:rsidRDefault="004D5F2B" w:rsidP="004D5F2B">
      <w:pPr>
        <w:spacing w:after="0" w:line="240" w:lineRule="auto"/>
        <w:jc w:val="both"/>
        <w:rPr>
          <w:rFonts w:ascii="Arial" w:eastAsia="Times New Roman" w:hAnsi="Arial" w:cs="Arial"/>
          <w:color w:val="000000"/>
          <w:lang w:eastAsia="es-MX"/>
        </w:rPr>
      </w:pPr>
      <w:r w:rsidRPr="00CF2780">
        <w:rPr>
          <w:rFonts w:ascii="Arial" w:eastAsia="Times New Roman" w:hAnsi="Arial" w:cs="Arial"/>
          <w:color w:val="000000"/>
          <w:lang w:eastAsia="es-MX"/>
        </w:rPr>
        <w:t>1. Esta sentencia constituye per se una forma de reparación.</w:t>
      </w:r>
    </w:p>
    <w:p w14:paraId="66865375" w14:textId="77777777" w:rsidR="004D5F2B" w:rsidRPr="00CF2780" w:rsidRDefault="004D5F2B" w:rsidP="004D5F2B">
      <w:pPr>
        <w:spacing w:after="0" w:line="240" w:lineRule="auto"/>
        <w:jc w:val="both"/>
        <w:rPr>
          <w:rFonts w:ascii="Arial" w:eastAsia="Times New Roman" w:hAnsi="Arial" w:cs="Arial"/>
          <w:color w:val="000000"/>
          <w:lang w:eastAsia="es-MX"/>
        </w:rPr>
      </w:pPr>
    </w:p>
    <w:p w14:paraId="4A3CA750" w14:textId="77777777" w:rsidR="004D5F2B" w:rsidRPr="00CF2780" w:rsidRDefault="004D5F2B" w:rsidP="004D5F2B">
      <w:pPr>
        <w:spacing w:after="0" w:line="240" w:lineRule="auto"/>
        <w:jc w:val="both"/>
        <w:rPr>
          <w:rFonts w:ascii="Arial" w:eastAsia="Times New Roman" w:hAnsi="Arial" w:cs="Arial"/>
          <w:color w:val="000000"/>
          <w:lang w:eastAsia="es-MX"/>
        </w:rPr>
      </w:pPr>
      <w:r w:rsidRPr="00CF2780">
        <w:rPr>
          <w:rFonts w:ascii="Arial" w:eastAsia="Times New Roman" w:hAnsi="Arial" w:cs="Arial"/>
          <w:color w:val="000000"/>
          <w:lang w:eastAsia="es-MX"/>
        </w:rPr>
        <w:t xml:space="preserve">2. El Estado deberá identificar el territorio tradicional de los miembros de la Comunidad indígena Yakye Axa y entregárselos de manera gratuita, en un plazo máximo de tres años contados a partir de la notificación de la presente Sentencia, en los términos de los párrafos 211 a 217 de la presente Sentencia. </w:t>
      </w:r>
    </w:p>
    <w:p w14:paraId="13EB92EA" w14:textId="77777777" w:rsidR="004D5F2B" w:rsidRPr="00CF2780" w:rsidRDefault="004D5F2B" w:rsidP="004D5F2B">
      <w:pPr>
        <w:spacing w:after="0" w:line="240" w:lineRule="auto"/>
        <w:jc w:val="both"/>
        <w:rPr>
          <w:rFonts w:ascii="Arial" w:eastAsia="Times New Roman" w:hAnsi="Arial" w:cs="Arial"/>
          <w:color w:val="000000"/>
          <w:lang w:eastAsia="es-MX"/>
        </w:rPr>
      </w:pPr>
    </w:p>
    <w:p w14:paraId="4F6FCF3B" w14:textId="77777777" w:rsidR="004D5F2B" w:rsidRPr="00CF2780" w:rsidRDefault="004D5F2B" w:rsidP="004D5F2B">
      <w:pPr>
        <w:spacing w:after="0" w:line="240" w:lineRule="auto"/>
        <w:jc w:val="both"/>
        <w:rPr>
          <w:rFonts w:ascii="Arial" w:eastAsia="Times New Roman" w:hAnsi="Arial" w:cs="Arial"/>
          <w:color w:val="000000"/>
          <w:lang w:eastAsia="es-MX"/>
        </w:rPr>
      </w:pPr>
      <w:r w:rsidRPr="00CF2780">
        <w:rPr>
          <w:rFonts w:ascii="Arial" w:eastAsia="Times New Roman" w:hAnsi="Arial" w:cs="Arial"/>
          <w:color w:val="000000"/>
          <w:lang w:eastAsia="es-MX"/>
        </w:rPr>
        <w:t>3. Mientras los miembros de la Comunidad indígena Yakye Axa se encuentren sin tierras, el Estado deberá suministrarles los bienes y servicios básicos necesarios para su subsistencia, en los términos del párrafo 221 de la presente Sentencia.</w:t>
      </w:r>
    </w:p>
    <w:p w14:paraId="0F6DFB6E" w14:textId="77777777" w:rsidR="004D5F2B" w:rsidRPr="00CF2780" w:rsidRDefault="004D5F2B" w:rsidP="004D5F2B">
      <w:pPr>
        <w:spacing w:after="0" w:line="240" w:lineRule="auto"/>
        <w:jc w:val="both"/>
        <w:rPr>
          <w:rFonts w:ascii="Arial" w:eastAsia="Times New Roman" w:hAnsi="Arial" w:cs="Arial"/>
          <w:color w:val="000000"/>
          <w:lang w:eastAsia="es-MX"/>
        </w:rPr>
      </w:pPr>
    </w:p>
    <w:p w14:paraId="09535B25" w14:textId="77777777" w:rsidR="004D5F2B" w:rsidRPr="00CF2780" w:rsidRDefault="004D5F2B" w:rsidP="004D5F2B">
      <w:pPr>
        <w:spacing w:after="0" w:line="240" w:lineRule="auto"/>
        <w:jc w:val="both"/>
        <w:rPr>
          <w:rFonts w:ascii="Arial" w:eastAsia="Times New Roman" w:hAnsi="Arial" w:cs="Arial"/>
          <w:color w:val="000000"/>
          <w:lang w:eastAsia="es-MX"/>
        </w:rPr>
      </w:pPr>
      <w:r w:rsidRPr="00CF2780">
        <w:rPr>
          <w:rFonts w:ascii="Arial" w:eastAsia="Times New Roman" w:hAnsi="Arial" w:cs="Arial"/>
          <w:color w:val="000000"/>
          <w:lang w:eastAsia="es-MX"/>
        </w:rPr>
        <w:t xml:space="preserve">4. El Estado deberá crear un fondo destinado exclusivamente a la adquisición de las tierras a entregarse a los miembros de la Comunidad indígena Yakye Axa, en un plazo máximo de un año contado a partir de la notificación de la presente Sentencia, en los términos del párrafo 218 de la misma. </w:t>
      </w:r>
    </w:p>
    <w:p w14:paraId="5DDC460C" w14:textId="77777777" w:rsidR="004D5F2B" w:rsidRPr="00CF2780" w:rsidRDefault="004D5F2B" w:rsidP="004D5F2B">
      <w:pPr>
        <w:spacing w:after="0" w:line="240" w:lineRule="auto"/>
        <w:jc w:val="both"/>
        <w:rPr>
          <w:rFonts w:ascii="Arial" w:eastAsia="Times New Roman" w:hAnsi="Arial" w:cs="Arial"/>
          <w:color w:val="000000"/>
          <w:lang w:eastAsia="es-MX"/>
        </w:rPr>
      </w:pPr>
    </w:p>
    <w:p w14:paraId="66782F9F" w14:textId="77777777" w:rsidR="004D5F2B" w:rsidRPr="00CF2780" w:rsidRDefault="004D5F2B" w:rsidP="004D5F2B">
      <w:pPr>
        <w:spacing w:after="0" w:line="240" w:lineRule="auto"/>
        <w:jc w:val="both"/>
        <w:rPr>
          <w:rFonts w:ascii="Arial" w:eastAsia="Times New Roman" w:hAnsi="Arial" w:cs="Arial"/>
          <w:color w:val="000000"/>
          <w:lang w:eastAsia="es-MX"/>
        </w:rPr>
      </w:pPr>
      <w:r w:rsidRPr="00CF2780">
        <w:rPr>
          <w:rFonts w:ascii="Arial" w:eastAsia="Times New Roman" w:hAnsi="Arial" w:cs="Arial"/>
          <w:color w:val="000000"/>
          <w:lang w:eastAsia="es-MX"/>
        </w:rPr>
        <w:t>5. El Estado deberá implementar un programa y un fondo de desarrollo comunitario, en los términos de los párrafos 205 y 206 de la presente Sentencia.</w:t>
      </w:r>
    </w:p>
    <w:p w14:paraId="2BC7CADE" w14:textId="77777777" w:rsidR="004D5F2B" w:rsidRPr="00CF2780" w:rsidRDefault="004D5F2B" w:rsidP="004D5F2B">
      <w:pPr>
        <w:spacing w:after="0" w:line="240" w:lineRule="auto"/>
        <w:jc w:val="both"/>
        <w:rPr>
          <w:rFonts w:ascii="Arial" w:eastAsia="Times New Roman" w:hAnsi="Arial" w:cs="Arial"/>
          <w:color w:val="000000"/>
          <w:lang w:eastAsia="es-MX"/>
        </w:rPr>
      </w:pPr>
    </w:p>
    <w:p w14:paraId="2ABE73E7" w14:textId="77777777" w:rsidR="004D5F2B" w:rsidRPr="00CF2780" w:rsidRDefault="004D5F2B" w:rsidP="004D5F2B">
      <w:pPr>
        <w:spacing w:after="0" w:line="240" w:lineRule="auto"/>
        <w:jc w:val="both"/>
        <w:rPr>
          <w:rFonts w:ascii="Arial" w:eastAsia="Times New Roman" w:hAnsi="Arial" w:cs="Arial"/>
          <w:color w:val="000000"/>
          <w:lang w:eastAsia="es-MX"/>
        </w:rPr>
      </w:pPr>
      <w:r w:rsidRPr="00CF2780">
        <w:rPr>
          <w:rFonts w:ascii="Arial" w:eastAsia="Times New Roman" w:hAnsi="Arial" w:cs="Arial"/>
          <w:color w:val="000000"/>
          <w:lang w:eastAsia="es-MX"/>
        </w:rPr>
        <w:t>6. El Estado deberá adoptar en su derecho interno, en un plazo razonable, las medidas legislativas, administrativas y de cualquier otro carácter que sean necesarias para garantizar el efectivo goce del derecho a la propiedad de los miembros de los pueblos indígenas, en los términos del párrafo 225 de la presente Sentencia.</w:t>
      </w:r>
    </w:p>
    <w:p w14:paraId="677122CF" w14:textId="77777777" w:rsidR="004D5F2B" w:rsidRPr="00CF2780" w:rsidRDefault="004D5F2B" w:rsidP="004D5F2B">
      <w:pPr>
        <w:spacing w:after="0" w:line="240" w:lineRule="auto"/>
        <w:jc w:val="both"/>
        <w:rPr>
          <w:rFonts w:ascii="Arial" w:eastAsia="Times New Roman" w:hAnsi="Arial" w:cs="Arial"/>
          <w:color w:val="000000"/>
          <w:lang w:eastAsia="es-MX"/>
        </w:rPr>
      </w:pPr>
    </w:p>
    <w:p w14:paraId="7A513A62" w14:textId="77777777" w:rsidR="004D5F2B" w:rsidRPr="00CF2780" w:rsidRDefault="004D5F2B" w:rsidP="004D5F2B">
      <w:pPr>
        <w:spacing w:after="0" w:line="240" w:lineRule="auto"/>
        <w:jc w:val="both"/>
        <w:rPr>
          <w:rFonts w:ascii="Arial" w:eastAsia="Times New Roman" w:hAnsi="Arial" w:cs="Arial"/>
          <w:color w:val="000000"/>
          <w:lang w:eastAsia="es-MX"/>
        </w:rPr>
      </w:pPr>
      <w:r w:rsidRPr="00CF2780">
        <w:rPr>
          <w:rFonts w:ascii="Arial" w:eastAsia="Times New Roman" w:hAnsi="Arial" w:cs="Arial"/>
          <w:color w:val="000000"/>
          <w:lang w:eastAsia="es-MX"/>
        </w:rPr>
        <w:t>7. El Estado deberá realizar un acto público de reconocimiento de su responsabilidad, dentro del plazo de un año, contado a partir de la notificación de la presente Sentencia, en los términos del párrafo 226 de la misma.</w:t>
      </w:r>
    </w:p>
    <w:p w14:paraId="1939C3FB" w14:textId="77777777" w:rsidR="004D5F2B" w:rsidRPr="00CF2780" w:rsidRDefault="004D5F2B" w:rsidP="004D5F2B">
      <w:pPr>
        <w:spacing w:after="0" w:line="240" w:lineRule="auto"/>
        <w:jc w:val="both"/>
        <w:rPr>
          <w:rFonts w:ascii="Arial" w:eastAsia="Times New Roman" w:hAnsi="Arial" w:cs="Arial"/>
          <w:color w:val="000000"/>
          <w:lang w:eastAsia="es-MX"/>
        </w:rPr>
      </w:pPr>
    </w:p>
    <w:p w14:paraId="582029C2" w14:textId="77777777" w:rsidR="004D5F2B" w:rsidRPr="00CF2780" w:rsidRDefault="004D5F2B" w:rsidP="004D5F2B">
      <w:pPr>
        <w:spacing w:after="0" w:line="240" w:lineRule="auto"/>
        <w:jc w:val="both"/>
        <w:rPr>
          <w:rFonts w:ascii="Arial" w:eastAsia="Times New Roman" w:hAnsi="Arial" w:cs="Arial"/>
          <w:color w:val="000000"/>
          <w:lang w:eastAsia="es-MX"/>
        </w:rPr>
      </w:pPr>
      <w:r w:rsidRPr="00CF2780">
        <w:rPr>
          <w:rFonts w:ascii="Arial" w:eastAsia="Times New Roman" w:hAnsi="Arial" w:cs="Arial"/>
          <w:color w:val="000000"/>
          <w:lang w:eastAsia="es-MX"/>
        </w:rPr>
        <w:t>8. El Estado deberá publicar, dentro del plazo de un año contado a partir de la notificación de la presente Sentencia, al menos por una vez, en el Diario Oficial y en otro diario de circulación nacional, tanto la sección denominada Hechos Probados como los puntos resolutivos Primero a Décimo Cuarto de ésta.  Asimismo, el Estado deberá financiar la transmisión radial de esta Sentencia.</w:t>
      </w:r>
    </w:p>
    <w:p w14:paraId="64EECC71" w14:textId="77777777" w:rsidR="004D5F2B" w:rsidRPr="00CF2780" w:rsidRDefault="004D5F2B" w:rsidP="004D5F2B">
      <w:pPr>
        <w:spacing w:after="0" w:line="240" w:lineRule="auto"/>
        <w:jc w:val="both"/>
        <w:rPr>
          <w:rFonts w:ascii="Arial" w:eastAsia="Times New Roman" w:hAnsi="Arial" w:cs="Arial"/>
          <w:color w:val="000000"/>
          <w:lang w:eastAsia="es-MX"/>
        </w:rPr>
      </w:pPr>
    </w:p>
    <w:p w14:paraId="38260A81" w14:textId="77777777" w:rsidR="004D5F2B" w:rsidRPr="00CF2780" w:rsidRDefault="004D5F2B" w:rsidP="004D5F2B">
      <w:pPr>
        <w:spacing w:after="0" w:line="240" w:lineRule="auto"/>
        <w:jc w:val="both"/>
        <w:rPr>
          <w:rFonts w:ascii="Arial" w:eastAsia="Times New Roman" w:hAnsi="Arial" w:cs="Arial"/>
          <w:color w:val="000000"/>
          <w:lang w:eastAsia="es-MX"/>
        </w:rPr>
      </w:pPr>
      <w:r w:rsidRPr="00CF2780">
        <w:rPr>
          <w:rFonts w:ascii="Arial" w:eastAsia="Times New Roman" w:hAnsi="Arial" w:cs="Arial"/>
          <w:color w:val="000000"/>
          <w:lang w:eastAsia="es-MX"/>
        </w:rPr>
        <w:t>9. El Estado deberá efectuar los pagos por concepto de daño material y costas y gastos dentro del plazo de un año, contado a partir de la notificación del presente fallo, en los términos de los párrafos 195 y 232 de esta Sentencia.</w:t>
      </w:r>
    </w:p>
    <w:p w14:paraId="266DCF95" w14:textId="77777777" w:rsidR="004D5F2B" w:rsidRPr="00CF2780" w:rsidRDefault="004D5F2B" w:rsidP="004D5F2B">
      <w:pPr>
        <w:spacing w:after="0" w:line="240" w:lineRule="auto"/>
        <w:jc w:val="both"/>
        <w:rPr>
          <w:rFonts w:ascii="Arial" w:eastAsia="Times New Roman" w:hAnsi="Arial" w:cs="Arial"/>
          <w:color w:val="000000"/>
          <w:lang w:eastAsia="es-MX"/>
        </w:rPr>
      </w:pPr>
    </w:p>
    <w:p w14:paraId="5DC13D00" w14:textId="77777777" w:rsidR="004D5F2B" w:rsidRPr="00CF2780" w:rsidRDefault="004D5F2B" w:rsidP="004D5F2B">
      <w:pPr>
        <w:spacing w:after="0" w:line="240" w:lineRule="auto"/>
        <w:jc w:val="both"/>
        <w:rPr>
          <w:rFonts w:ascii="Arial" w:eastAsia="Times New Roman" w:hAnsi="Arial" w:cs="Arial"/>
          <w:color w:val="000000"/>
          <w:lang w:eastAsia="es-MX"/>
        </w:rPr>
      </w:pPr>
      <w:r w:rsidRPr="00CF2780">
        <w:rPr>
          <w:rFonts w:ascii="Arial" w:eastAsia="Times New Roman" w:hAnsi="Arial" w:cs="Arial"/>
          <w:color w:val="000000"/>
          <w:lang w:eastAsia="es-MX"/>
        </w:rPr>
        <w:t xml:space="preserve"> La Corte supervisará el cumplimiento íntegro de esta Sentencia,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de la notificación de esta Sentencia, rendir al Tribunal un informe sobre las medidas adoptadas para cumplir con la misma.</w:t>
      </w:r>
    </w:p>
    <w:p w14:paraId="594E19D7" w14:textId="77777777" w:rsidR="004D5F2B" w:rsidRPr="00CF2780" w:rsidRDefault="004D5F2B" w:rsidP="004D5F2B">
      <w:pPr>
        <w:spacing w:after="0" w:line="240" w:lineRule="auto"/>
        <w:jc w:val="both"/>
        <w:rPr>
          <w:rFonts w:ascii="Arial" w:eastAsia="Times New Roman" w:hAnsi="Arial" w:cs="Arial"/>
          <w:color w:val="000000"/>
          <w:lang w:eastAsia="es-MX"/>
        </w:rPr>
      </w:pPr>
    </w:p>
    <w:p w14:paraId="24423C14" w14:textId="77777777" w:rsidR="004D5F2B" w:rsidRPr="00CF2780" w:rsidRDefault="004D5F2B" w:rsidP="004D5F2B">
      <w:pPr>
        <w:spacing w:after="0" w:line="240" w:lineRule="auto"/>
        <w:jc w:val="both"/>
        <w:rPr>
          <w:rFonts w:ascii="Arial" w:eastAsia="Times New Roman" w:hAnsi="Arial" w:cs="Arial"/>
          <w:color w:val="000000"/>
          <w:lang w:eastAsia="es-MX"/>
        </w:rPr>
      </w:pPr>
    </w:p>
    <w:p w14:paraId="1C077F1E" w14:textId="77777777" w:rsidR="004D5F2B" w:rsidRPr="00CF2780" w:rsidRDefault="004D5F2B" w:rsidP="004D5F2B">
      <w:pPr>
        <w:spacing w:after="0" w:line="240" w:lineRule="auto"/>
        <w:jc w:val="both"/>
        <w:rPr>
          <w:rFonts w:ascii="Arial" w:eastAsia="Times New Roman" w:hAnsi="Arial" w:cs="Arial"/>
          <w:b/>
          <w:bCs/>
          <w:color w:val="000000"/>
          <w:lang w:eastAsia="es-MX"/>
        </w:rPr>
      </w:pPr>
      <w:r w:rsidRPr="00CF2780">
        <w:rPr>
          <w:rFonts w:ascii="Arial" w:eastAsia="Times New Roman" w:hAnsi="Arial" w:cs="Arial"/>
          <w:b/>
          <w:bCs/>
          <w:color w:val="000000"/>
          <w:lang w:eastAsia="es-MX"/>
        </w:rPr>
        <w:t>Resolutivos</w:t>
      </w:r>
    </w:p>
    <w:p w14:paraId="66A4700C" w14:textId="77777777" w:rsidR="004D5F2B" w:rsidRPr="00CF2780" w:rsidRDefault="004D5F2B" w:rsidP="004D5F2B">
      <w:pPr>
        <w:spacing w:after="0" w:line="240" w:lineRule="auto"/>
        <w:jc w:val="both"/>
        <w:rPr>
          <w:rFonts w:ascii="Arial" w:eastAsia="Times New Roman" w:hAnsi="Arial" w:cs="Arial"/>
          <w:color w:val="000000"/>
          <w:lang w:eastAsia="es-MX"/>
        </w:rPr>
      </w:pPr>
      <w:r w:rsidRPr="00CF2780">
        <w:rPr>
          <w:rFonts w:ascii="Arial" w:eastAsia="Times New Roman" w:hAnsi="Arial" w:cs="Arial"/>
          <w:color w:val="000000"/>
          <w:lang w:eastAsia="es-MX"/>
        </w:rPr>
        <w:t>La Corte declara por unanimidad, que:</w:t>
      </w:r>
    </w:p>
    <w:p w14:paraId="4D6B6782" w14:textId="77777777" w:rsidR="004D5F2B" w:rsidRPr="00CF2780" w:rsidRDefault="004D5F2B" w:rsidP="004D5F2B">
      <w:pPr>
        <w:spacing w:after="0" w:line="240" w:lineRule="auto"/>
        <w:jc w:val="both"/>
        <w:rPr>
          <w:rFonts w:ascii="Arial" w:eastAsia="Times New Roman" w:hAnsi="Arial" w:cs="Arial"/>
          <w:color w:val="000000"/>
          <w:lang w:eastAsia="es-MX"/>
        </w:rPr>
      </w:pPr>
    </w:p>
    <w:p w14:paraId="2C6EB654" w14:textId="77777777" w:rsidR="004D5F2B" w:rsidRPr="00CF2780" w:rsidRDefault="004D5F2B" w:rsidP="004D5F2B">
      <w:pPr>
        <w:spacing w:after="0" w:line="240" w:lineRule="auto"/>
        <w:jc w:val="both"/>
        <w:rPr>
          <w:rFonts w:ascii="Arial" w:eastAsia="Times New Roman" w:hAnsi="Arial" w:cs="Arial"/>
          <w:color w:val="000000"/>
          <w:lang w:eastAsia="es-MX"/>
        </w:rPr>
      </w:pPr>
      <w:r w:rsidRPr="00CF2780">
        <w:rPr>
          <w:rFonts w:ascii="Arial" w:eastAsia="Times New Roman" w:hAnsi="Arial" w:cs="Arial"/>
          <w:color w:val="000000"/>
          <w:lang w:eastAsia="es-MX"/>
        </w:rPr>
        <w:t>1. El Estado violó el Derecho a la Vida consagrado en el artículo 4.1 de la Convención Americana sobre Derechos Humanos, en relación con el artículo 1.1. de la misma, en perjuicio de los miembros de la Comunidad indígena Yakye Axa en los términos de los párrafos 160 a 176 de la presente Sentencia.</w:t>
      </w:r>
    </w:p>
    <w:p w14:paraId="2E556EA9" w14:textId="77777777" w:rsidR="004D5F2B" w:rsidRPr="00CF2780" w:rsidRDefault="004D5F2B" w:rsidP="004D5F2B">
      <w:pPr>
        <w:spacing w:after="0" w:line="240" w:lineRule="auto"/>
        <w:jc w:val="both"/>
        <w:rPr>
          <w:rFonts w:ascii="Arial" w:eastAsia="Times New Roman" w:hAnsi="Arial" w:cs="Arial"/>
          <w:color w:val="000000"/>
          <w:lang w:eastAsia="es-MX"/>
        </w:rPr>
      </w:pPr>
    </w:p>
    <w:p w14:paraId="1E832170" w14:textId="77777777" w:rsidR="004D5F2B" w:rsidRPr="00CF2780" w:rsidRDefault="004D5F2B" w:rsidP="004D5F2B">
      <w:pPr>
        <w:spacing w:after="0" w:line="240" w:lineRule="auto"/>
        <w:jc w:val="both"/>
        <w:rPr>
          <w:rFonts w:ascii="Arial" w:eastAsia="Times New Roman" w:hAnsi="Arial" w:cs="Arial"/>
          <w:color w:val="000000"/>
          <w:lang w:eastAsia="es-MX"/>
        </w:rPr>
      </w:pPr>
      <w:r w:rsidRPr="00CF2780">
        <w:rPr>
          <w:rFonts w:ascii="Arial" w:eastAsia="Times New Roman" w:hAnsi="Arial" w:cs="Arial"/>
          <w:color w:val="000000"/>
          <w:lang w:eastAsia="es-MX"/>
        </w:rPr>
        <w:t xml:space="preserve"> Por cinco votos contra tres,</w:t>
      </w:r>
    </w:p>
    <w:p w14:paraId="27A68993" w14:textId="77777777" w:rsidR="004D5F2B" w:rsidRPr="00CF2780" w:rsidRDefault="004D5F2B" w:rsidP="004D5F2B">
      <w:pPr>
        <w:spacing w:after="0" w:line="240" w:lineRule="auto"/>
        <w:jc w:val="both"/>
        <w:rPr>
          <w:rFonts w:ascii="Arial" w:eastAsia="Times New Roman" w:hAnsi="Arial" w:cs="Arial"/>
          <w:color w:val="000000"/>
          <w:lang w:eastAsia="es-MX"/>
        </w:rPr>
      </w:pPr>
    </w:p>
    <w:p w14:paraId="3AF8959C" w14:textId="77777777" w:rsidR="004D5F2B" w:rsidRPr="00CF2780" w:rsidRDefault="004D5F2B" w:rsidP="004D5F2B">
      <w:pPr>
        <w:spacing w:after="0" w:line="240" w:lineRule="auto"/>
        <w:jc w:val="both"/>
        <w:rPr>
          <w:rFonts w:ascii="Arial" w:eastAsia="Times New Roman" w:hAnsi="Arial" w:cs="Arial"/>
          <w:color w:val="000000"/>
          <w:lang w:eastAsia="es-MX"/>
        </w:rPr>
      </w:pPr>
      <w:r w:rsidRPr="00CF2780">
        <w:rPr>
          <w:rFonts w:ascii="Arial" w:eastAsia="Times New Roman" w:hAnsi="Arial" w:cs="Arial"/>
          <w:color w:val="000000"/>
          <w:lang w:eastAsia="es-MX"/>
        </w:rPr>
        <w:t xml:space="preserve">2. No cuenta con elementos probatorios suficientes para demostrar la violación del Derecho a la Vida consagrado en el artículo 4.1 de la Convención Americana sobre Derechos Humanos, en perjuicio de dieciséis miembros de la Comunidad indígena Yakye Axa, en los términos de los párrafos 177 a 178 de la presente Sentencia.  </w:t>
      </w:r>
    </w:p>
    <w:p w14:paraId="6D9046E7" w14:textId="77777777" w:rsidR="004D5F2B" w:rsidRPr="00CF2780" w:rsidRDefault="004D5F2B" w:rsidP="004D5F2B">
      <w:pPr>
        <w:spacing w:after="0" w:line="240" w:lineRule="auto"/>
        <w:jc w:val="both"/>
        <w:rPr>
          <w:rFonts w:ascii="Arial" w:eastAsia="Times New Roman" w:hAnsi="Arial" w:cs="Arial"/>
          <w:color w:val="000000"/>
          <w:lang w:eastAsia="es-MX"/>
        </w:rPr>
      </w:pPr>
    </w:p>
    <w:p w14:paraId="52FD05D3" w14:textId="77777777" w:rsidR="004D5F2B" w:rsidRPr="00CF2780" w:rsidRDefault="004D5F2B" w:rsidP="004D5F2B">
      <w:pPr>
        <w:spacing w:after="0" w:line="240" w:lineRule="auto"/>
        <w:jc w:val="both"/>
        <w:rPr>
          <w:rFonts w:ascii="Arial" w:eastAsia="Times New Roman" w:hAnsi="Arial" w:cs="Arial"/>
          <w:color w:val="000000"/>
          <w:lang w:eastAsia="es-MX"/>
        </w:rPr>
      </w:pPr>
      <w:r w:rsidRPr="00CF2780">
        <w:rPr>
          <w:rFonts w:ascii="Arial" w:eastAsia="Times New Roman" w:hAnsi="Arial" w:cs="Arial"/>
          <w:color w:val="000000"/>
          <w:lang w:eastAsia="es-MX"/>
        </w:rPr>
        <w:t xml:space="preserve"> Por siete votos contra uno, </w:t>
      </w:r>
    </w:p>
    <w:p w14:paraId="4FD55DDF" w14:textId="77777777" w:rsidR="004D5F2B" w:rsidRPr="00CF2780" w:rsidRDefault="004D5F2B" w:rsidP="004D5F2B">
      <w:pPr>
        <w:spacing w:after="0" w:line="240" w:lineRule="auto"/>
        <w:jc w:val="both"/>
        <w:rPr>
          <w:rFonts w:ascii="Arial" w:eastAsia="Times New Roman" w:hAnsi="Arial" w:cs="Arial"/>
          <w:color w:val="000000"/>
          <w:lang w:eastAsia="es-MX"/>
        </w:rPr>
      </w:pPr>
    </w:p>
    <w:p w14:paraId="477F1545" w14:textId="77777777" w:rsidR="004D5F2B" w:rsidRPr="00CF2780" w:rsidRDefault="004D5F2B" w:rsidP="004D5F2B">
      <w:pPr>
        <w:spacing w:after="0" w:line="240" w:lineRule="auto"/>
        <w:jc w:val="both"/>
        <w:rPr>
          <w:rFonts w:ascii="Arial" w:eastAsia="Times New Roman" w:hAnsi="Arial" w:cs="Arial"/>
          <w:color w:val="000000"/>
          <w:lang w:eastAsia="es-MX"/>
        </w:rPr>
      </w:pPr>
      <w:r w:rsidRPr="00CF2780">
        <w:rPr>
          <w:rFonts w:ascii="Arial" w:eastAsia="Times New Roman" w:hAnsi="Arial" w:cs="Arial"/>
          <w:color w:val="000000"/>
          <w:lang w:eastAsia="es-MX"/>
        </w:rPr>
        <w:t xml:space="preserve">3. El Estado violó los derechos a las Garantías Judiciales y a la Protección Judicial consagrados en los artículos 8 y 25, respectivamente, de la Convención Americana sobre Derechos Humanos, en relación con los artículos 1.1. y 2 de la misma, en perjuicio de los miembros de la Comunidad indígena Yakye Axa, en los términos de los párrafos 55 a 119 de la presente Sentencia. </w:t>
      </w:r>
    </w:p>
    <w:p w14:paraId="715FC910" w14:textId="77777777" w:rsidR="004D5F2B" w:rsidRPr="00CF2780" w:rsidRDefault="004D5F2B" w:rsidP="004D5F2B">
      <w:pPr>
        <w:spacing w:after="0" w:line="240" w:lineRule="auto"/>
        <w:jc w:val="both"/>
        <w:rPr>
          <w:rFonts w:ascii="Arial" w:eastAsia="Times New Roman" w:hAnsi="Arial" w:cs="Arial"/>
          <w:color w:val="000000"/>
          <w:lang w:eastAsia="es-MX"/>
        </w:rPr>
      </w:pPr>
    </w:p>
    <w:p w14:paraId="02B15238" w14:textId="77777777" w:rsidR="004D5F2B" w:rsidRPr="00CF2780" w:rsidRDefault="004D5F2B" w:rsidP="004D5F2B">
      <w:pPr>
        <w:spacing w:after="0" w:line="240" w:lineRule="auto"/>
        <w:jc w:val="both"/>
        <w:rPr>
          <w:rFonts w:ascii="Arial" w:eastAsia="Times New Roman" w:hAnsi="Arial" w:cs="Arial"/>
          <w:color w:val="000000"/>
          <w:lang w:eastAsia="es-MX"/>
        </w:rPr>
      </w:pPr>
    </w:p>
    <w:p w14:paraId="67ABD4EE" w14:textId="77777777" w:rsidR="004D5F2B" w:rsidRPr="00CF2780" w:rsidRDefault="004D5F2B" w:rsidP="004D5F2B">
      <w:pPr>
        <w:spacing w:after="0" w:line="240" w:lineRule="auto"/>
        <w:jc w:val="both"/>
        <w:rPr>
          <w:rFonts w:ascii="Arial" w:eastAsia="Times New Roman" w:hAnsi="Arial" w:cs="Arial"/>
          <w:color w:val="000000"/>
          <w:lang w:eastAsia="es-MX"/>
        </w:rPr>
      </w:pPr>
      <w:r w:rsidRPr="00CF2780">
        <w:rPr>
          <w:rFonts w:ascii="Arial" w:eastAsia="Times New Roman" w:hAnsi="Arial" w:cs="Arial"/>
          <w:color w:val="000000"/>
          <w:lang w:eastAsia="es-MX"/>
        </w:rPr>
        <w:t>4. El Estado violó el derecho a la Propiedad consagrado en el artículo 21 de la Convención Americana sobre Derechos Humanos, en relación con los artículos 1.1 y 2 de la misma, en perjuicio de los miembros de la Comunidad indígena Yakye Axa, en los términos de los párrafos 123 a 156 de la presente Sentencia.</w:t>
      </w:r>
    </w:p>
    <w:p w14:paraId="46149D35" w14:textId="77777777" w:rsidR="004D5F2B" w:rsidRPr="00CF2780" w:rsidRDefault="004D5F2B" w:rsidP="004D5F2B">
      <w:pPr>
        <w:spacing w:after="0" w:line="240" w:lineRule="auto"/>
        <w:jc w:val="both"/>
        <w:rPr>
          <w:rFonts w:ascii="Arial" w:hAnsi="Arial" w:cs="Arial"/>
          <w:lang w:eastAsia="es-MX"/>
        </w:rPr>
      </w:pPr>
    </w:p>
    <w:p w14:paraId="1FDFD691" w14:textId="77777777" w:rsidR="004D5F2B" w:rsidRPr="00CF2780" w:rsidRDefault="004D5F2B" w:rsidP="004D5F2B">
      <w:pPr>
        <w:rPr>
          <w:rFonts w:ascii="Arial" w:hAnsi="Arial" w:cs="Arial"/>
          <w:lang w:eastAsia="es-MX"/>
        </w:rPr>
      </w:pPr>
    </w:p>
    <w:p w14:paraId="69374A1F" w14:textId="77777777" w:rsidR="004D5F2B" w:rsidRPr="00CF2780" w:rsidRDefault="004D5F2B" w:rsidP="004D5F2B">
      <w:pPr>
        <w:rPr>
          <w:rFonts w:ascii="Arial" w:hAnsi="Arial" w:cs="Arial"/>
          <w:b/>
          <w:bCs/>
          <w:i/>
          <w:iCs/>
          <w:color w:val="C00000"/>
          <w:sz w:val="24"/>
          <w:szCs w:val="24"/>
        </w:rPr>
      </w:pPr>
    </w:p>
    <w:p w14:paraId="7C7F93B1" w14:textId="77777777" w:rsidR="00A665EB" w:rsidRPr="00CF2780" w:rsidRDefault="00CC4652" w:rsidP="00A665EB">
      <w:pPr>
        <w:pStyle w:val="Ttulo4"/>
        <w:rPr>
          <w:rFonts w:ascii="Arial" w:hAnsi="Arial" w:cs="Arial"/>
          <w:b/>
          <w:bCs/>
          <w:i w:val="0"/>
          <w:iCs w:val="0"/>
          <w:color w:val="C00000"/>
          <w:sz w:val="24"/>
          <w:szCs w:val="24"/>
          <w:shd w:val="clear" w:color="auto" w:fill="FFFFFF"/>
        </w:rPr>
      </w:pPr>
      <w:r w:rsidRPr="00CF2780">
        <w:rPr>
          <w:rFonts w:ascii="Arial" w:eastAsia="Times New Roman" w:hAnsi="Arial" w:cs="Arial"/>
          <w:b/>
          <w:bCs/>
          <w:i w:val="0"/>
          <w:iCs w:val="0"/>
          <w:color w:val="C00000"/>
          <w:sz w:val="24"/>
          <w:szCs w:val="24"/>
          <w:lang w:eastAsia="es-MX"/>
        </w:rPr>
        <w:t>CASO 2:</w:t>
      </w:r>
      <w:r w:rsidR="00A665EB" w:rsidRPr="00CF2780">
        <w:rPr>
          <w:rFonts w:ascii="Arial" w:eastAsia="Times New Roman" w:hAnsi="Arial" w:cs="Arial"/>
          <w:b/>
          <w:bCs/>
          <w:i w:val="0"/>
          <w:iCs w:val="0"/>
          <w:color w:val="C00000"/>
          <w:sz w:val="24"/>
          <w:szCs w:val="24"/>
          <w:lang w:eastAsia="es-MX"/>
        </w:rPr>
        <w:t xml:space="preserve"> </w:t>
      </w:r>
      <w:r w:rsidR="00A665EB" w:rsidRPr="00CF2780">
        <w:rPr>
          <w:rFonts w:ascii="Arial" w:hAnsi="Arial" w:cs="Arial"/>
          <w:b/>
          <w:bCs/>
          <w:i w:val="0"/>
          <w:iCs w:val="0"/>
          <w:color w:val="C00000"/>
          <w:sz w:val="24"/>
          <w:szCs w:val="24"/>
          <w:shd w:val="clear" w:color="auto" w:fill="FFFFFF"/>
        </w:rPr>
        <w:t>CASO VELÁSQUEZ RODRÍGUEZ VS HONDURAS</w:t>
      </w:r>
    </w:p>
    <w:p w14:paraId="4551EEB4" w14:textId="77777777" w:rsidR="00A665EB" w:rsidRPr="00CF2780" w:rsidRDefault="00A665EB" w:rsidP="00A665EB">
      <w:pPr>
        <w:rPr>
          <w:rFonts w:ascii="Arial" w:hAnsi="Arial" w:cs="Arial"/>
        </w:rPr>
      </w:pPr>
    </w:p>
    <w:p w14:paraId="733F3D8A" w14:textId="77777777" w:rsidR="00A665EB" w:rsidRPr="00CF2780" w:rsidRDefault="00A665EB" w:rsidP="00A665EB">
      <w:pPr>
        <w:spacing w:after="0" w:line="240" w:lineRule="auto"/>
        <w:jc w:val="both"/>
        <w:rPr>
          <w:rFonts w:ascii="Arial" w:hAnsi="Arial" w:cs="Arial"/>
          <w:b/>
          <w:bCs/>
          <w:color w:val="000000"/>
          <w:shd w:val="clear" w:color="auto" w:fill="FFFFFF"/>
        </w:rPr>
      </w:pPr>
      <w:r w:rsidRPr="00CF2780">
        <w:rPr>
          <w:rFonts w:ascii="Arial" w:hAnsi="Arial" w:cs="Arial"/>
          <w:b/>
          <w:bCs/>
          <w:color w:val="000000"/>
          <w:shd w:val="clear" w:color="auto" w:fill="FFFFFF"/>
        </w:rPr>
        <w:t>Órgano CoIDH.</w:t>
      </w:r>
    </w:p>
    <w:p w14:paraId="5C28C247" w14:textId="77777777" w:rsidR="00A665EB" w:rsidRPr="00CF2780" w:rsidRDefault="00A665EB" w:rsidP="00A665EB">
      <w:pPr>
        <w:spacing w:after="0" w:line="240" w:lineRule="auto"/>
        <w:jc w:val="both"/>
        <w:rPr>
          <w:rFonts w:ascii="Arial" w:hAnsi="Arial" w:cs="Arial"/>
          <w:b/>
          <w:bCs/>
          <w:color w:val="000000"/>
          <w:shd w:val="clear" w:color="auto" w:fill="FFFFFF"/>
        </w:rPr>
      </w:pPr>
    </w:p>
    <w:p w14:paraId="22B21468" w14:textId="77777777" w:rsidR="00A665EB" w:rsidRPr="00CF2780" w:rsidRDefault="00A665EB" w:rsidP="00A665EB">
      <w:pPr>
        <w:spacing w:after="0" w:line="240" w:lineRule="auto"/>
        <w:jc w:val="both"/>
        <w:rPr>
          <w:rFonts w:ascii="Arial" w:hAnsi="Arial" w:cs="Arial"/>
          <w:b/>
          <w:bCs/>
        </w:rPr>
      </w:pPr>
      <w:r w:rsidRPr="00CF2780">
        <w:rPr>
          <w:rFonts w:ascii="Arial" w:hAnsi="Arial" w:cs="Arial"/>
          <w:b/>
          <w:bCs/>
        </w:rPr>
        <w:t>Corte Interamericana de Derechos Humanos</w:t>
      </w:r>
    </w:p>
    <w:p w14:paraId="24C5A1DD" w14:textId="77777777" w:rsidR="00A665EB" w:rsidRPr="00CF2780" w:rsidRDefault="00A665EB" w:rsidP="00A665EB">
      <w:pPr>
        <w:spacing w:after="0" w:line="240" w:lineRule="auto"/>
        <w:jc w:val="both"/>
        <w:rPr>
          <w:rFonts w:ascii="Arial" w:hAnsi="Arial" w:cs="Arial"/>
          <w:b/>
          <w:bCs/>
          <w:color w:val="C00000"/>
        </w:rPr>
      </w:pPr>
      <w:r w:rsidRPr="00CF2780">
        <w:rPr>
          <w:rFonts w:ascii="Arial" w:hAnsi="Arial" w:cs="Arial"/>
          <w:b/>
          <w:bCs/>
          <w:color w:val="C00000"/>
        </w:rPr>
        <w:t>Caso Velásquez Rodríguez VS Honduras</w:t>
      </w:r>
    </w:p>
    <w:p w14:paraId="4CDF6B15" w14:textId="77777777" w:rsidR="00A665EB" w:rsidRPr="00CF2780" w:rsidRDefault="00A665EB" w:rsidP="00A665EB">
      <w:pPr>
        <w:spacing w:after="0" w:line="240" w:lineRule="auto"/>
        <w:jc w:val="both"/>
        <w:rPr>
          <w:rFonts w:ascii="Arial" w:hAnsi="Arial" w:cs="Arial"/>
          <w:b/>
          <w:bCs/>
        </w:rPr>
      </w:pPr>
      <w:r w:rsidRPr="00CF2780">
        <w:rPr>
          <w:rFonts w:ascii="Arial" w:hAnsi="Arial" w:cs="Arial"/>
          <w:b/>
          <w:bCs/>
        </w:rPr>
        <w:t>Resuelto el 29 de julio de 1988</w:t>
      </w:r>
    </w:p>
    <w:p w14:paraId="321BEFA1" w14:textId="77777777" w:rsidR="00A665EB" w:rsidRPr="00CF2780" w:rsidRDefault="00A665EB" w:rsidP="00A665EB">
      <w:pPr>
        <w:spacing w:after="0" w:line="240" w:lineRule="auto"/>
        <w:jc w:val="both"/>
        <w:rPr>
          <w:rFonts w:ascii="Arial" w:hAnsi="Arial" w:cs="Arial"/>
        </w:rPr>
      </w:pPr>
    </w:p>
    <w:p w14:paraId="74C4B5A6" w14:textId="77777777" w:rsidR="00A665EB" w:rsidRPr="00CF2780" w:rsidRDefault="00A665EB" w:rsidP="00A665EB">
      <w:pPr>
        <w:spacing w:after="0" w:line="240" w:lineRule="auto"/>
        <w:jc w:val="both"/>
        <w:rPr>
          <w:rFonts w:ascii="Arial" w:hAnsi="Arial" w:cs="Arial"/>
        </w:rPr>
      </w:pPr>
    </w:p>
    <w:p w14:paraId="39798A0E" w14:textId="77777777" w:rsidR="00A665EB" w:rsidRPr="00CF2780" w:rsidRDefault="00A665EB" w:rsidP="00A665EB">
      <w:pPr>
        <w:spacing w:after="0" w:line="240" w:lineRule="auto"/>
        <w:jc w:val="both"/>
        <w:rPr>
          <w:rFonts w:ascii="Arial" w:hAnsi="Arial" w:cs="Arial"/>
          <w:b/>
          <w:bCs/>
        </w:rPr>
      </w:pPr>
      <w:r w:rsidRPr="00CF2780">
        <w:rPr>
          <w:rFonts w:ascii="Arial" w:hAnsi="Arial" w:cs="Arial"/>
          <w:b/>
          <w:bCs/>
        </w:rPr>
        <w:t>Temática</w:t>
      </w:r>
    </w:p>
    <w:p w14:paraId="06B21288" w14:textId="77777777" w:rsidR="00A665EB" w:rsidRPr="00CF2780" w:rsidRDefault="00A665EB" w:rsidP="00A665EB">
      <w:pPr>
        <w:spacing w:after="0" w:line="240" w:lineRule="auto"/>
        <w:jc w:val="both"/>
        <w:rPr>
          <w:rFonts w:ascii="Arial" w:hAnsi="Arial" w:cs="Arial"/>
        </w:rPr>
      </w:pPr>
      <w:r w:rsidRPr="00CF2780">
        <w:rPr>
          <w:rFonts w:ascii="Arial" w:hAnsi="Arial" w:cs="Arial"/>
        </w:rPr>
        <w:t>•Derecho a la integridad personal</w:t>
      </w:r>
    </w:p>
    <w:p w14:paraId="787D9DE8" w14:textId="77777777" w:rsidR="00A665EB" w:rsidRPr="00CF2780" w:rsidRDefault="00A665EB" w:rsidP="00A665EB">
      <w:pPr>
        <w:spacing w:after="0" w:line="240" w:lineRule="auto"/>
        <w:jc w:val="both"/>
        <w:rPr>
          <w:rFonts w:ascii="Arial" w:hAnsi="Arial" w:cs="Arial"/>
        </w:rPr>
      </w:pPr>
      <w:r w:rsidRPr="00CF2780">
        <w:rPr>
          <w:rFonts w:ascii="Arial" w:hAnsi="Arial" w:cs="Arial"/>
        </w:rPr>
        <w:t>•Derecho a la vida</w:t>
      </w:r>
    </w:p>
    <w:p w14:paraId="061FB775" w14:textId="77777777" w:rsidR="00A665EB" w:rsidRPr="00CF2780" w:rsidRDefault="00A665EB" w:rsidP="00A665EB">
      <w:pPr>
        <w:spacing w:after="0" w:line="240" w:lineRule="auto"/>
        <w:jc w:val="both"/>
        <w:rPr>
          <w:rFonts w:ascii="Arial" w:hAnsi="Arial" w:cs="Arial"/>
        </w:rPr>
      </w:pPr>
      <w:r w:rsidRPr="00CF2780">
        <w:rPr>
          <w:rFonts w:ascii="Arial" w:hAnsi="Arial" w:cs="Arial"/>
        </w:rPr>
        <w:t>•Desaparición forzada</w:t>
      </w:r>
    </w:p>
    <w:p w14:paraId="09CDC5D2" w14:textId="77777777" w:rsidR="00A665EB" w:rsidRPr="00CF2780" w:rsidRDefault="00A665EB" w:rsidP="00A665EB">
      <w:pPr>
        <w:spacing w:after="0" w:line="240" w:lineRule="auto"/>
        <w:jc w:val="both"/>
        <w:rPr>
          <w:rFonts w:ascii="Arial" w:hAnsi="Arial" w:cs="Arial"/>
        </w:rPr>
      </w:pPr>
      <w:r w:rsidRPr="00CF2780">
        <w:rPr>
          <w:rFonts w:ascii="Arial" w:hAnsi="Arial" w:cs="Arial"/>
        </w:rPr>
        <w:t>•Libertad personal</w:t>
      </w:r>
    </w:p>
    <w:p w14:paraId="362AB340" w14:textId="77777777" w:rsidR="00A665EB" w:rsidRPr="00CF2780" w:rsidRDefault="00A665EB" w:rsidP="00A665EB">
      <w:pPr>
        <w:spacing w:after="0" w:line="240" w:lineRule="auto"/>
        <w:jc w:val="both"/>
        <w:rPr>
          <w:rFonts w:ascii="Arial" w:hAnsi="Arial" w:cs="Arial"/>
        </w:rPr>
      </w:pPr>
      <w:r w:rsidRPr="00CF2780">
        <w:rPr>
          <w:rFonts w:ascii="Arial" w:hAnsi="Arial" w:cs="Arial"/>
        </w:rPr>
        <w:t>•Trato cruel y degradante</w:t>
      </w:r>
    </w:p>
    <w:p w14:paraId="1F2B6D4D" w14:textId="77777777" w:rsidR="00A665EB" w:rsidRPr="00CF2780" w:rsidRDefault="00A665EB" w:rsidP="00A665EB">
      <w:pPr>
        <w:spacing w:after="0" w:line="240" w:lineRule="auto"/>
        <w:jc w:val="both"/>
        <w:rPr>
          <w:rFonts w:ascii="Arial" w:hAnsi="Arial" w:cs="Arial"/>
        </w:rPr>
      </w:pPr>
    </w:p>
    <w:p w14:paraId="600CEEA6" w14:textId="77777777" w:rsidR="00A665EB" w:rsidRPr="00CF2780" w:rsidRDefault="00A665EB" w:rsidP="00A665EB">
      <w:pPr>
        <w:spacing w:after="0" w:line="240" w:lineRule="auto"/>
        <w:jc w:val="both"/>
        <w:rPr>
          <w:rFonts w:ascii="Arial" w:hAnsi="Arial" w:cs="Arial"/>
        </w:rPr>
      </w:pPr>
    </w:p>
    <w:p w14:paraId="6B2C41AD" w14:textId="77777777" w:rsidR="00A665EB" w:rsidRPr="00CF2780" w:rsidRDefault="00A665EB" w:rsidP="00A665EB">
      <w:pPr>
        <w:spacing w:after="0" w:line="240" w:lineRule="auto"/>
        <w:jc w:val="both"/>
        <w:rPr>
          <w:rFonts w:ascii="Arial" w:hAnsi="Arial" w:cs="Arial"/>
          <w:b/>
          <w:bCs/>
        </w:rPr>
      </w:pPr>
      <w:r w:rsidRPr="00CF2780">
        <w:rPr>
          <w:rFonts w:ascii="Arial" w:hAnsi="Arial" w:cs="Arial"/>
          <w:b/>
          <w:bCs/>
        </w:rPr>
        <w:t>Caso concreto</w:t>
      </w:r>
    </w:p>
    <w:p w14:paraId="1BE06EDB" w14:textId="77777777" w:rsidR="00A665EB" w:rsidRPr="00CF2780" w:rsidRDefault="00A665EB" w:rsidP="00A665EB">
      <w:pPr>
        <w:spacing w:after="0" w:line="240" w:lineRule="auto"/>
        <w:jc w:val="both"/>
        <w:rPr>
          <w:rFonts w:ascii="Arial" w:hAnsi="Arial" w:cs="Arial"/>
        </w:rPr>
      </w:pPr>
    </w:p>
    <w:p w14:paraId="0C097558" w14:textId="77777777" w:rsidR="00A665EB" w:rsidRPr="00CF2780" w:rsidRDefault="00A665EB" w:rsidP="00A665EB">
      <w:pPr>
        <w:spacing w:after="0" w:line="240" w:lineRule="auto"/>
        <w:jc w:val="both"/>
        <w:rPr>
          <w:rFonts w:ascii="Arial" w:hAnsi="Arial" w:cs="Arial"/>
        </w:rPr>
      </w:pPr>
      <w:r w:rsidRPr="00CF2780">
        <w:rPr>
          <w:rFonts w:ascii="Arial" w:hAnsi="Arial" w:cs="Arial"/>
        </w:rPr>
        <w:t>El caso se refiere a la responsabilidad internacional del Estado hondureño por la detención y posterior desaparición de Ángel Manfredo Velásquez Rodríguez.</w:t>
      </w:r>
    </w:p>
    <w:p w14:paraId="61E763C5" w14:textId="77777777" w:rsidR="00A665EB" w:rsidRPr="00CF2780" w:rsidRDefault="00A665EB" w:rsidP="00A665EB">
      <w:pPr>
        <w:spacing w:after="0" w:line="240" w:lineRule="auto"/>
        <w:jc w:val="both"/>
        <w:rPr>
          <w:rFonts w:ascii="Arial" w:hAnsi="Arial" w:cs="Arial"/>
        </w:rPr>
      </w:pPr>
    </w:p>
    <w:p w14:paraId="04EB5C41" w14:textId="77777777" w:rsidR="00A665EB" w:rsidRPr="00CF2780" w:rsidRDefault="00A665EB" w:rsidP="00A665EB">
      <w:pPr>
        <w:spacing w:after="0" w:line="240" w:lineRule="auto"/>
        <w:jc w:val="both"/>
        <w:rPr>
          <w:rFonts w:ascii="Arial" w:hAnsi="Arial" w:cs="Arial"/>
        </w:rPr>
      </w:pPr>
    </w:p>
    <w:p w14:paraId="543EDB5D" w14:textId="77777777" w:rsidR="00A665EB" w:rsidRPr="00CF2780" w:rsidRDefault="00A665EB" w:rsidP="00A665EB">
      <w:pPr>
        <w:spacing w:after="0" w:line="240" w:lineRule="auto"/>
        <w:jc w:val="both"/>
        <w:rPr>
          <w:rFonts w:ascii="Arial" w:hAnsi="Arial" w:cs="Arial"/>
          <w:b/>
          <w:bCs/>
        </w:rPr>
      </w:pPr>
      <w:r w:rsidRPr="00CF2780">
        <w:rPr>
          <w:rFonts w:ascii="Arial" w:hAnsi="Arial" w:cs="Arial"/>
          <w:b/>
          <w:bCs/>
        </w:rPr>
        <w:t>Hechos</w:t>
      </w:r>
    </w:p>
    <w:p w14:paraId="0A727001" w14:textId="77777777" w:rsidR="00A665EB" w:rsidRPr="00CF2780" w:rsidRDefault="00A665EB" w:rsidP="00A665EB">
      <w:pPr>
        <w:spacing w:after="0" w:line="240" w:lineRule="auto"/>
        <w:jc w:val="both"/>
        <w:rPr>
          <w:rFonts w:ascii="Arial" w:hAnsi="Arial" w:cs="Arial"/>
        </w:rPr>
      </w:pPr>
    </w:p>
    <w:p w14:paraId="633F9B72" w14:textId="77777777" w:rsidR="00A665EB" w:rsidRPr="00CF2780" w:rsidRDefault="00A665EB" w:rsidP="00A665EB">
      <w:pPr>
        <w:spacing w:after="0" w:line="240" w:lineRule="auto"/>
        <w:jc w:val="both"/>
        <w:rPr>
          <w:rFonts w:ascii="Arial" w:hAnsi="Arial" w:cs="Arial"/>
        </w:rPr>
      </w:pPr>
      <w:r w:rsidRPr="00CF2780">
        <w:rPr>
          <w:rFonts w:ascii="Arial" w:hAnsi="Arial" w:cs="Arial"/>
        </w:rPr>
        <w:t>Los hechos del presente caso se producen en un contexto en el cual, durante los años de 1981 a 1984, entre 100 y 150 personas desaparecieron sin que de muchas de ellas se haya vuelto a tener alguna noticia. Tales desapariciones tenían un patrón muy similar, que se iniciaba mediante el secuestro violento de las víctimas, muchas veces a la luz del día y en lugares poblados, por parte de hombres armados, vestidos de civil y disfrazados, en vehículos sin identificación oficial y con cristales polarizados, sin placas o con placas falsas. Al respecto, la población consideraba como un hecho público y notorio que los secuestros se perpetraban por agentes militares, o por policías o por personal bajo su dirección.</w:t>
      </w:r>
    </w:p>
    <w:p w14:paraId="1A3B5063" w14:textId="77777777" w:rsidR="00A665EB" w:rsidRPr="00CF2780" w:rsidRDefault="00A665EB" w:rsidP="00A665EB">
      <w:pPr>
        <w:spacing w:after="0" w:line="240" w:lineRule="auto"/>
        <w:jc w:val="both"/>
        <w:rPr>
          <w:rFonts w:ascii="Arial" w:hAnsi="Arial" w:cs="Arial"/>
        </w:rPr>
      </w:pPr>
    </w:p>
    <w:p w14:paraId="7087B5FC" w14:textId="77777777" w:rsidR="00A665EB" w:rsidRPr="00CF2780" w:rsidRDefault="00A665EB" w:rsidP="00A665EB">
      <w:pPr>
        <w:spacing w:after="0" w:line="240" w:lineRule="auto"/>
        <w:jc w:val="both"/>
        <w:rPr>
          <w:rFonts w:ascii="Arial" w:hAnsi="Arial" w:cs="Arial"/>
        </w:rPr>
      </w:pPr>
      <w:r w:rsidRPr="00CF2780">
        <w:rPr>
          <w:rFonts w:ascii="Arial" w:hAnsi="Arial" w:cs="Arial"/>
        </w:rPr>
        <w:t>Manfredo Velásquez era un estudiante de la Universidad Nacional Autónoma de Honduras. Desapareció el 12 de septiembre de 1981 en un estacionamiento de vehículos en el centro de Tegucigalpa, secuestrado por varios hombres fuertemente armados, vestidos de civil, que utilizaron un vehículo Ford de color blanco y sin placas. El secuestro fue llevado a cabo por personas vinculadas con las Fuerzas Armadas o bajo su dirección.</w:t>
      </w:r>
    </w:p>
    <w:p w14:paraId="215D8474" w14:textId="77777777" w:rsidR="00A665EB" w:rsidRPr="00CF2780" w:rsidRDefault="00A665EB" w:rsidP="00A665EB">
      <w:pPr>
        <w:spacing w:after="0" w:line="240" w:lineRule="auto"/>
        <w:jc w:val="both"/>
        <w:rPr>
          <w:rFonts w:ascii="Arial" w:hAnsi="Arial" w:cs="Arial"/>
        </w:rPr>
      </w:pPr>
    </w:p>
    <w:p w14:paraId="1BAF0C04" w14:textId="77777777" w:rsidR="00A665EB" w:rsidRPr="00CF2780" w:rsidRDefault="00A665EB" w:rsidP="00A665EB">
      <w:pPr>
        <w:spacing w:after="0" w:line="240" w:lineRule="auto"/>
        <w:jc w:val="both"/>
        <w:rPr>
          <w:rFonts w:ascii="Arial" w:hAnsi="Arial" w:cs="Arial"/>
        </w:rPr>
      </w:pPr>
      <w:r w:rsidRPr="00CF2780">
        <w:rPr>
          <w:rFonts w:ascii="Arial" w:hAnsi="Arial" w:cs="Arial"/>
        </w:rPr>
        <w:t>Se interpusieron tres recursos de exhibición personal y dos denuncias penales. No obstante, los tribunales de justicia no efectuaron las investigaciones necesarias para encontrar a Manfredo Velásquez o sancionar a los responsables.</w:t>
      </w:r>
    </w:p>
    <w:p w14:paraId="256CBFEF" w14:textId="77777777" w:rsidR="00A665EB" w:rsidRPr="00CF2780" w:rsidRDefault="00A665EB" w:rsidP="00A665EB">
      <w:pPr>
        <w:spacing w:after="0" w:line="240" w:lineRule="auto"/>
        <w:jc w:val="both"/>
        <w:rPr>
          <w:rFonts w:ascii="Arial" w:hAnsi="Arial" w:cs="Arial"/>
        </w:rPr>
      </w:pPr>
    </w:p>
    <w:p w14:paraId="580BFC6E" w14:textId="77777777" w:rsidR="00A665EB" w:rsidRPr="00CF2780" w:rsidRDefault="00A665EB" w:rsidP="00A665EB">
      <w:pPr>
        <w:spacing w:after="0" w:line="240" w:lineRule="auto"/>
        <w:jc w:val="both"/>
        <w:rPr>
          <w:rFonts w:ascii="Arial" w:hAnsi="Arial" w:cs="Arial"/>
        </w:rPr>
      </w:pPr>
    </w:p>
    <w:p w14:paraId="5EDFE22C" w14:textId="77777777" w:rsidR="00A665EB" w:rsidRPr="00CF2780" w:rsidRDefault="00A665EB" w:rsidP="00A665EB">
      <w:pPr>
        <w:spacing w:after="0" w:line="240" w:lineRule="auto"/>
        <w:jc w:val="both"/>
        <w:rPr>
          <w:rFonts w:ascii="Arial" w:hAnsi="Arial" w:cs="Arial"/>
          <w:b/>
          <w:bCs/>
        </w:rPr>
      </w:pPr>
      <w:r w:rsidRPr="00CF2780">
        <w:rPr>
          <w:rFonts w:ascii="Arial" w:hAnsi="Arial" w:cs="Arial"/>
          <w:b/>
          <w:bCs/>
        </w:rPr>
        <w:t>Consideraciones de la CoIDH</w:t>
      </w:r>
    </w:p>
    <w:p w14:paraId="4DF4A67F" w14:textId="77777777" w:rsidR="00A665EB" w:rsidRPr="00CF2780" w:rsidRDefault="00A665EB" w:rsidP="00A665EB">
      <w:pPr>
        <w:spacing w:after="0" w:line="240" w:lineRule="auto"/>
        <w:jc w:val="both"/>
        <w:rPr>
          <w:rFonts w:ascii="Arial" w:hAnsi="Arial" w:cs="Arial"/>
        </w:rPr>
      </w:pPr>
    </w:p>
    <w:p w14:paraId="3DA44149" w14:textId="77777777" w:rsidR="00A665EB" w:rsidRPr="00CF2780" w:rsidRDefault="00A665EB" w:rsidP="00A665EB">
      <w:pPr>
        <w:spacing w:after="0" w:line="240" w:lineRule="auto"/>
        <w:jc w:val="both"/>
        <w:rPr>
          <w:rFonts w:ascii="Arial" w:hAnsi="Arial" w:cs="Arial"/>
        </w:rPr>
      </w:pPr>
      <w:r w:rsidRPr="00CF2780">
        <w:rPr>
          <w:rFonts w:ascii="Arial" w:hAnsi="Arial" w:cs="Arial"/>
        </w:rPr>
        <w:t>La Corte precisó que el Estado de Honduras es responsable de la desaparición involuntaria de Angel Manfredo Velásquez Rodríguez. En consecuencia, son imputables a Honduras violaciones a los artículos 7, 5 y 4 de la Convención.</w:t>
      </w:r>
    </w:p>
    <w:p w14:paraId="61695D9E" w14:textId="77777777" w:rsidR="00A665EB" w:rsidRPr="00CF2780" w:rsidRDefault="00A665EB" w:rsidP="00A665EB">
      <w:pPr>
        <w:spacing w:after="0" w:line="240" w:lineRule="auto"/>
        <w:jc w:val="both"/>
        <w:rPr>
          <w:rFonts w:ascii="Arial" w:hAnsi="Arial" w:cs="Arial"/>
        </w:rPr>
      </w:pPr>
    </w:p>
    <w:p w14:paraId="223956E9" w14:textId="77777777" w:rsidR="00A665EB" w:rsidRPr="00CF2780" w:rsidRDefault="00A665EB" w:rsidP="00A665EB">
      <w:pPr>
        <w:spacing w:after="0" w:line="240" w:lineRule="auto"/>
        <w:jc w:val="both"/>
        <w:rPr>
          <w:rFonts w:ascii="Arial" w:hAnsi="Arial" w:cs="Arial"/>
        </w:rPr>
      </w:pPr>
      <w:r w:rsidRPr="00CF2780">
        <w:rPr>
          <w:rFonts w:ascii="Arial" w:hAnsi="Arial" w:cs="Arial"/>
        </w:rPr>
        <w:t>Esto porque Manfredo Velásquez fue víctima de una detención arbitraria, que lo privó de su libertad física sin fundamento en causas legales y sin ser llevado ante un juez o tribunal competente que conociera de su detención. Todo ello infringe directamente el derecho a la libertad personal reconocido en el artículo 7 de la Convención (…) y constituye una violación, imputable a Honduras, de los deberes de respetarlo y garantizarlo, consagrado en el artículo 1.1 de la misma Convención.</w:t>
      </w:r>
    </w:p>
    <w:p w14:paraId="0CC7DA53" w14:textId="77777777" w:rsidR="00A665EB" w:rsidRPr="00CF2780" w:rsidRDefault="00A665EB" w:rsidP="00A665EB">
      <w:pPr>
        <w:spacing w:after="0" w:line="240" w:lineRule="auto"/>
        <w:jc w:val="both"/>
        <w:rPr>
          <w:rFonts w:ascii="Arial" w:hAnsi="Arial" w:cs="Arial"/>
        </w:rPr>
      </w:pPr>
    </w:p>
    <w:p w14:paraId="6A0F6609" w14:textId="77777777" w:rsidR="00A665EB" w:rsidRPr="00CF2780" w:rsidRDefault="00A665EB" w:rsidP="00A665EB">
      <w:pPr>
        <w:spacing w:after="0" w:line="240" w:lineRule="auto"/>
        <w:jc w:val="both"/>
        <w:rPr>
          <w:rFonts w:ascii="Arial" w:hAnsi="Arial" w:cs="Arial"/>
        </w:rPr>
      </w:pPr>
      <w:r w:rsidRPr="00CF2780">
        <w:rPr>
          <w:rFonts w:ascii="Arial" w:hAnsi="Arial" w:cs="Arial"/>
        </w:rPr>
        <w:lastRenderedPageBreak/>
        <w:t>La Corte precisó que el fenómeno de las desapariciones constituye una forma compleja de violación de los derechos humanos que debe ser comprendida y encarada de una manera integral.</w:t>
      </w:r>
    </w:p>
    <w:p w14:paraId="6BCA56D6" w14:textId="77777777" w:rsidR="00A665EB" w:rsidRPr="00CF2780" w:rsidRDefault="00A665EB" w:rsidP="00A665EB">
      <w:pPr>
        <w:spacing w:after="0" w:line="240" w:lineRule="auto"/>
        <w:jc w:val="both"/>
        <w:rPr>
          <w:rFonts w:ascii="Arial" w:hAnsi="Arial" w:cs="Arial"/>
        </w:rPr>
      </w:pPr>
    </w:p>
    <w:p w14:paraId="4C723B57" w14:textId="77777777" w:rsidR="00A665EB" w:rsidRPr="00CF2780" w:rsidRDefault="00A665EB" w:rsidP="00A665EB">
      <w:pPr>
        <w:spacing w:after="0" w:line="240" w:lineRule="auto"/>
        <w:jc w:val="both"/>
        <w:rPr>
          <w:rFonts w:ascii="Arial" w:hAnsi="Arial" w:cs="Arial"/>
        </w:rPr>
      </w:pPr>
      <w:r w:rsidRPr="00CF2780">
        <w:rPr>
          <w:rFonts w:ascii="Arial" w:hAnsi="Arial" w:cs="Arial"/>
        </w:rPr>
        <w:t>Estableció que la desaparición forzada de seres humanos constituye una violación múltiple y continuada de numerosos derechos reconocidos en la Convención y que los Estados Partes están obligados a respetar y garantizar. El secuestro de la persona es un caso de privación arbitraria de libertad que conculca, además, el derecho del detenido a ser llevado sin demora ante un juez y a interponer los recursos adecuados para controlar la legalidad de su arresto, que infringe el artículo 7 de la Convención que reconoce el derecho a la libertad personal.</w:t>
      </w:r>
    </w:p>
    <w:p w14:paraId="555B4C26" w14:textId="77777777" w:rsidR="00A665EB" w:rsidRPr="00CF2780" w:rsidRDefault="00A665EB" w:rsidP="00A665EB">
      <w:pPr>
        <w:spacing w:after="0" w:line="240" w:lineRule="auto"/>
        <w:jc w:val="both"/>
        <w:rPr>
          <w:rFonts w:ascii="Arial" w:hAnsi="Arial" w:cs="Arial"/>
        </w:rPr>
      </w:pPr>
    </w:p>
    <w:p w14:paraId="2A853BF3" w14:textId="77777777" w:rsidR="00A665EB" w:rsidRPr="00CF2780" w:rsidRDefault="00A665EB" w:rsidP="00A665EB">
      <w:pPr>
        <w:spacing w:after="0" w:line="240" w:lineRule="auto"/>
        <w:jc w:val="both"/>
        <w:rPr>
          <w:rFonts w:ascii="Arial" w:hAnsi="Arial" w:cs="Arial"/>
        </w:rPr>
      </w:pPr>
      <w:r w:rsidRPr="00CF2780">
        <w:rPr>
          <w:rFonts w:ascii="Arial" w:hAnsi="Arial" w:cs="Arial"/>
        </w:rPr>
        <w:t>Además, el aislamiento prolongado y la incomunicación coactiva a los que se ve sometida la víctima representan, por sí mismos, formas de tratamiento cruel e inhumano, lesivas de la libertad psíquica y moral de la persona y del derecho de todo detenido al respeto debido a la dignidad inherente al ser humano, lo que constituye, por su lado, la violación de las disposiciones del artículo 5 de la Convención que reconocen el derecho a la integridad personal.</w:t>
      </w:r>
    </w:p>
    <w:p w14:paraId="5459B391" w14:textId="77777777" w:rsidR="00A665EB" w:rsidRPr="00CF2780" w:rsidRDefault="00A665EB" w:rsidP="00A665EB">
      <w:pPr>
        <w:spacing w:after="0" w:line="240" w:lineRule="auto"/>
        <w:jc w:val="both"/>
        <w:rPr>
          <w:rFonts w:ascii="Arial" w:hAnsi="Arial" w:cs="Arial"/>
        </w:rPr>
      </w:pPr>
    </w:p>
    <w:p w14:paraId="104A96CC" w14:textId="77777777" w:rsidR="00A665EB" w:rsidRPr="00CF2780" w:rsidRDefault="00A665EB" w:rsidP="00A665EB">
      <w:pPr>
        <w:spacing w:after="0" w:line="240" w:lineRule="auto"/>
        <w:jc w:val="both"/>
        <w:rPr>
          <w:rFonts w:ascii="Arial" w:hAnsi="Arial" w:cs="Arial"/>
        </w:rPr>
      </w:pPr>
      <w:r w:rsidRPr="00CF2780">
        <w:rPr>
          <w:rFonts w:ascii="Arial" w:hAnsi="Arial" w:cs="Arial"/>
        </w:rPr>
        <w:t>En ese sentido la Corte precisó que el artículo 1.1 contiene la obligación contraída por los Estados Partes en relación con cada uno de los derechos protegidos, de tal manera que toda pretensión de que se ha lesionado alguno de esos derechos, implica necesariamente la de que se ha infringido también el artículo 1.1 de la Convención.</w:t>
      </w:r>
    </w:p>
    <w:p w14:paraId="1887D0C6" w14:textId="77777777" w:rsidR="00A665EB" w:rsidRPr="00CF2780" w:rsidRDefault="00A665EB" w:rsidP="00A665EB">
      <w:pPr>
        <w:spacing w:after="0" w:line="240" w:lineRule="auto"/>
        <w:jc w:val="both"/>
        <w:rPr>
          <w:rFonts w:ascii="Arial" w:hAnsi="Arial" w:cs="Arial"/>
        </w:rPr>
      </w:pPr>
    </w:p>
    <w:p w14:paraId="2D610C67" w14:textId="77777777" w:rsidR="00A665EB" w:rsidRPr="00CF2780" w:rsidRDefault="00A665EB" w:rsidP="00A665EB">
      <w:pPr>
        <w:spacing w:after="0" w:line="240" w:lineRule="auto"/>
        <w:jc w:val="both"/>
        <w:rPr>
          <w:rFonts w:ascii="Arial" w:hAnsi="Arial" w:cs="Arial"/>
        </w:rPr>
      </w:pPr>
      <w:r w:rsidRPr="00CF2780">
        <w:rPr>
          <w:rFonts w:ascii="Arial" w:hAnsi="Arial" w:cs="Arial"/>
        </w:rPr>
        <w:t>La primera obligación asumida por los Estados Partes, en los términos del citado artículo, es la de "respetar los derechos y libertades" reconocidos en la Convención. El ejercicio de la función pública tiene unos límites que derivan de que los derechos humanos son atributos inherentes a la dignidad humana y, en consecuencia, superiores al poder del Estado.</w:t>
      </w:r>
    </w:p>
    <w:p w14:paraId="7F25A867" w14:textId="77777777" w:rsidR="00A665EB" w:rsidRPr="00CF2780" w:rsidRDefault="00A665EB" w:rsidP="00A665EB">
      <w:pPr>
        <w:spacing w:after="0" w:line="240" w:lineRule="auto"/>
        <w:jc w:val="both"/>
        <w:rPr>
          <w:rFonts w:ascii="Arial" w:hAnsi="Arial" w:cs="Arial"/>
        </w:rPr>
      </w:pPr>
    </w:p>
    <w:p w14:paraId="62BA6137" w14:textId="77777777" w:rsidR="00A665EB" w:rsidRPr="00CF2780" w:rsidRDefault="00A665EB" w:rsidP="00A665EB">
      <w:pPr>
        <w:spacing w:after="0" w:line="240" w:lineRule="auto"/>
        <w:jc w:val="both"/>
        <w:rPr>
          <w:rFonts w:ascii="Arial" w:hAnsi="Arial" w:cs="Arial"/>
        </w:rPr>
      </w:pPr>
      <w:r w:rsidRPr="00CF2780">
        <w:rPr>
          <w:rFonts w:ascii="Arial" w:hAnsi="Arial" w:cs="Arial"/>
        </w:rPr>
        <w:t>La segunda obligación de los Estados Partes es la de "garantizar" el libre y pleno ejercicio de los derechos reconocidos en la Convención a toda persona sujeta a su jurisdicción. Esta obligación implica el deber de los Estados Partes de organizar todo el aparato gubernamental y, en general, todas las estructuras a través de las cuales se manifiesta el ejercicio del poder público, de manera tal que sean capaces de asegurar jurídicamente el libre y pleno ejercicio de los derechos humanos. Como consecuencia de esta obligación los Estados deben prevenir, investigar y sancionar toda violación de los derechos reconocidos por la Convención y procurar, además, el restablecimiento, si es posible, del derecho conculcado y, en su caso, la reparación de los daños producidos por la violación de los derechos humanos.</w:t>
      </w:r>
    </w:p>
    <w:p w14:paraId="2330671B" w14:textId="77777777" w:rsidR="00A665EB" w:rsidRPr="00CF2780" w:rsidRDefault="00A665EB" w:rsidP="00A665EB">
      <w:pPr>
        <w:spacing w:after="0" w:line="240" w:lineRule="auto"/>
        <w:jc w:val="both"/>
        <w:rPr>
          <w:rFonts w:ascii="Arial" w:hAnsi="Arial" w:cs="Arial"/>
        </w:rPr>
      </w:pPr>
    </w:p>
    <w:p w14:paraId="12F02E69" w14:textId="77777777" w:rsidR="00A665EB" w:rsidRPr="00CF2780" w:rsidRDefault="00A665EB" w:rsidP="00A665EB">
      <w:pPr>
        <w:spacing w:after="0" w:line="240" w:lineRule="auto"/>
        <w:jc w:val="both"/>
        <w:rPr>
          <w:rFonts w:ascii="Arial" w:hAnsi="Arial" w:cs="Arial"/>
        </w:rPr>
      </w:pPr>
      <w:r w:rsidRPr="00CF2780">
        <w:rPr>
          <w:rFonts w:ascii="Arial" w:hAnsi="Arial" w:cs="Arial"/>
        </w:rPr>
        <w:t>La obligación de garantizar el libre y pleno ejercicio de los derechos humanos no se agota con la existencia de un orden normativo dirigido a hacer posible el cumplimiento de esta obligación, sino que comparta la necesidad de una conducta gubernamental que asegure la existencia, en la realidad, de una eficaz garantía del libre y pleno ejercicio de los derechos humanos.</w:t>
      </w:r>
    </w:p>
    <w:p w14:paraId="23311D15" w14:textId="77777777" w:rsidR="00A665EB" w:rsidRPr="00CF2780" w:rsidRDefault="00A665EB" w:rsidP="00A665EB">
      <w:pPr>
        <w:spacing w:after="0" w:line="240" w:lineRule="auto"/>
        <w:jc w:val="both"/>
        <w:rPr>
          <w:rFonts w:ascii="Arial" w:hAnsi="Arial" w:cs="Arial"/>
        </w:rPr>
      </w:pPr>
    </w:p>
    <w:p w14:paraId="2E35652E" w14:textId="77777777" w:rsidR="00A665EB" w:rsidRPr="00CF2780" w:rsidRDefault="00A665EB" w:rsidP="00A665EB">
      <w:pPr>
        <w:spacing w:after="0" w:line="240" w:lineRule="auto"/>
        <w:jc w:val="both"/>
        <w:rPr>
          <w:rFonts w:ascii="Arial" w:hAnsi="Arial" w:cs="Arial"/>
        </w:rPr>
      </w:pPr>
      <w:r w:rsidRPr="00CF2780">
        <w:rPr>
          <w:rFonts w:ascii="Arial" w:hAnsi="Arial" w:cs="Arial"/>
        </w:rPr>
        <w:t>En conclusión conforme al artículo 1.1 es ilícita toda forma de ejercicio del poder público que viole los derechos reconocidos por la Convención. En tal sentido, en toda circunstancia en la cual un órgano o funcionario del Estado o de una institución de carácter público lesione indebidamente uno de tales derechos, se está ante un supuesto de inobservancia del deber de respeto consagrado en ese artículo.</w:t>
      </w:r>
    </w:p>
    <w:p w14:paraId="5177522D" w14:textId="77777777" w:rsidR="00A665EB" w:rsidRPr="00CF2780" w:rsidRDefault="00A665EB" w:rsidP="00A665EB">
      <w:pPr>
        <w:spacing w:after="0" w:line="240" w:lineRule="auto"/>
        <w:jc w:val="both"/>
        <w:rPr>
          <w:rFonts w:ascii="Arial" w:hAnsi="Arial" w:cs="Arial"/>
        </w:rPr>
      </w:pPr>
    </w:p>
    <w:p w14:paraId="69987897" w14:textId="77777777" w:rsidR="00A665EB" w:rsidRPr="00CF2780" w:rsidRDefault="00A665EB" w:rsidP="00A665EB">
      <w:pPr>
        <w:spacing w:after="0" w:line="240" w:lineRule="auto"/>
        <w:jc w:val="both"/>
        <w:rPr>
          <w:rFonts w:ascii="Arial" w:hAnsi="Arial" w:cs="Arial"/>
        </w:rPr>
      </w:pPr>
      <w:r w:rsidRPr="00CF2780">
        <w:rPr>
          <w:rFonts w:ascii="Arial" w:hAnsi="Arial" w:cs="Arial"/>
        </w:rPr>
        <w:t>De ahí que, es imputable al Estado toda violación a los derechos reconocidos por la Convención cumplida por un acto del poder público o de personas que actúan prevalidas de los poderes que ostentan por su carácter oficial. No obstante, no se agotan allí las situaciones en las cuales un Estado está obligado a prevenir, investigar y sancionar las violaciones a los derechos humanos, ni los supuestos en que su responsabilidad puede verse comprometida por efecto de una lesión a esos derechos. En efecto, porque es un hecho ilícito violatorio de los derechos humanos que inicialmente no resulte imputable directamente a un Estado, por ejemplo, por ser obra de un particular o por no haberse identificado al autor de la trasgresión, puede acarrear la responsabilidad internacional del Estado, no por ese hecho en sí mismo, sino por falta de la debida diligencia para prevenir la violación o para tratarla en los términos requeridos por la Convención.</w:t>
      </w:r>
    </w:p>
    <w:p w14:paraId="19571672" w14:textId="77777777" w:rsidR="00A665EB" w:rsidRPr="00CF2780" w:rsidRDefault="00A665EB" w:rsidP="00A665EB">
      <w:pPr>
        <w:spacing w:after="0" w:line="240" w:lineRule="auto"/>
        <w:jc w:val="both"/>
        <w:rPr>
          <w:rFonts w:ascii="Arial" w:hAnsi="Arial" w:cs="Arial"/>
        </w:rPr>
      </w:pPr>
    </w:p>
    <w:p w14:paraId="3D04C1DF" w14:textId="77777777" w:rsidR="00A665EB" w:rsidRPr="00CF2780" w:rsidRDefault="00A665EB" w:rsidP="00A665EB">
      <w:pPr>
        <w:spacing w:after="0" w:line="240" w:lineRule="auto"/>
        <w:jc w:val="both"/>
        <w:rPr>
          <w:rFonts w:ascii="Arial" w:hAnsi="Arial" w:cs="Arial"/>
        </w:rPr>
      </w:pPr>
      <w:r w:rsidRPr="00CF2780">
        <w:rPr>
          <w:rFonts w:ascii="Arial" w:hAnsi="Arial" w:cs="Arial"/>
        </w:rPr>
        <w:t>Además, la Corte precisó que las infracciones a la Convención no pueden ser juzgadas aplicando reglas que tengan en cuenta elementos de naturaleza sicológica, orientados a calificar la culpabilidad individual de sus autores. A los efectos del análisis, es irrelevante la intención o motivación del agente que materialmente haya violado los derechos reconocidos por la Convención, hasta el punto que la infracción a la misma puede establecerse incluso si dicho agente no está individualmente identificado. Lo decisivo es dilucidar si una determinada violación a los derechos humanos reconocidos por la Convención ha tenido lugar con el apoyo o la tolerancia del poder público o si éste ha actuado de manera que la trasgresión se haya cumplido en defecto de toda prevención o impunemente. En definitiva, de lo que se trata es de determinar si la violación a los derechos humanos resulta de la inobservancia por parte de un Estado de sus deberes de respetar y de garantizar dichos derechos, que le impone el artículo 1.1 de la Convención.</w:t>
      </w:r>
    </w:p>
    <w:p w14:paraId="7A8E5329" w14:textId="77777777" w:rsidR="00A665EB" w:rsidRPr="00CF2780" w:rsidRDefault="00A665EB" w:rsidP="00A665EB">
      <w:pPr>
        <w:spacing w:after="0" w:line="240" w:lineRule="auto"/>
        <w:jc w:val="both"/>
        <w:rPr>
          <w:rFonts w:ascii="Arial" w:hAnsi="Arial" w:cs="Arial"/>
        </w:rPr>
      </w:pPr>
    </w:p>
    <w:p w14:paraId="41195337" w14:textId="77777777" w:rsidR="00A665EB" w:rsidRPr="00CF2780" w:rsidRDefault="00A665EB" w:rsidP="00A665EB">
      <w:pPr>
        <w:spacing w:after="0" w:line="240" w:lineRule="auto"/>
        <w:jc w:val="both"/>
        <w:rPr>
          <w:rFonts w:ascii="Arial" w:hAnsi="Arial" w:cs="Arial"/>
        </w:rPr>
      </w:pPr>
      <w:r w:rsidRPr="00CF2780">
        <w:rPr>
          <w:rFonts w:ascii="Arial" w:hAnsi="Arial" w:cs="Arial"/>
        </w:rPr>
        <w:t>Por lo que, el Estado tiene el deber jurídico de prevenir, razonablemente, las violaciones de los derechos humanos, de investigar seriamente con los medios a su alcance las violaciones que se hayan cometido dentro del ámbito de su jurisdicción a fin de identificar a los responsables, de imponerles las sanciones pertinentes y de asegurar a la víctima una adecuada reparación.</w:t>
      </w:r>
    </w:p>
    <w:p w14:paraId="039A409F" w14:textId="77777777" w:rsidR="00A665EB" w:rsidRPr="00CF2780" w:rsidRDefault="00A665EB" w:rsidP="00A665EB">
      <w:pPr>
        <w:spacing w:after="0" w:line="240" w:lineRule="auto"/>
        <w:jc w:val="both"/>
        <w:rPr>
          <w:rFonts w:ascii="Arial" w:hAnsi="Arial" w:cs="Arial"/>
        </w:rPr>
      </w:pPr>
    </w:p>
    <w:p w14:paraId="4FADCCDB" w14:textId="77777777" w:rsidR="00A665EB" w:rsidRPr="00CF2780" w:rsidRDefault="00A665EB" w:rsidP="00A665EB">
      <w:pPr>
        <w:spacing w:after="0" w:line="240" w:lineRule="auto"/>
        <w:jc w:val="both"/>
        <w:rPr>
          <w:rFonts w:ascii="Arial" w:hAnsi="Arial" w:cs="Arial"/>
        </w:rPr>
      </w:pPr>
      <w:r w:rsidRPr="00CF2780">
        <w:rPr>
          <w:rFonts w:ascii="Arial" w:hAnsi="Arial" w:cs="Arial"/>
        </w:rPr>
        <w:t>Además, la Corte consideró que el Estado tienen la obligación de investigar toda situación en la que se hayan violado los derechos humanos protegidos por la Convención. Si el aparato del Estado actúa de modo que tal violación quede impune y no se restablezca, en cuanto sea posible, a la víctima en la plenitud de sus derechos, puede afirmarse que ha incumplido el deber de garantizar su libre y pleno ejercicio a las personas sujetas a su jurisdicción. Lo mismo es válido cuando se tolere que los particulares o grupos de ellos actúen libre o impunemente en menoscabo de los derechos humanos reconocidos en la Convención.</w:t>
      </w:r>
    </w:p>
    <w:p w14:paraId="5998D722" w14:textId="77777777" w:rsidR="00A665EB" w:rsidRPr="00CF2780" w:rsidRDefault="00A665EB" w:rsidP="00A665EB">
      <w:pPr>
        <w:spacing w:after="0" w:line="240" w:lineRule="auto"/>
        <w:jc w:val="both"/>
        <w:rPr>
          <w:rFonts w:ascii="Arial" w:hAnsi="Arial" w:cs="Arial"/>
        </w:rPr>
      </w:pPr>
    </w:p>
    <w:p w14:paraId="57820A91" w14:textId="77777777" w:rsidR="00A665EB" w:rsidRPr="00CF2780" w:rsidRDefault="00A665EB" w:rsidP="00A665EB">
      <w:pPr>
        <w:spacing w:after="0" w:line="240" w:lineRule="auto"/>
        <w:jc w:val="both"/>
        <w:rPr>
          <w:rFonts w:ascii="Arial" w:hAnsi="Arial" w:cs="Arial"/>
        </w:rPr>
      </w:pPr>
      <w:r w:rsidRPr="00CF2780">
        <w:rPr>
          <w:rFonts w:ascii="Arial" w:hAnsi="Arial" w:cs="Arial"/>
        </w:rPr>
        <w:t>En el caso, la Corte precisó que hubo una completa inhibición de los mecanismos teóricamente adecuados del Estado hondureño para atender a la investigación de la desaparición de Manfredo Velásquez, así como al cumplimiento de deberes como la reparación de los daños causados y la sanción a los responsables, contenidos en el artículo 1.1 de la Convención.</w:t>
      </w:r>
    </w:p>
    <w:p w14:paraId="32DC4700" w14:textId="77777777" w:rsidR="00A665EB" w:rsidRPr="00CF2780" w:rsidRDefault="00A665EB" w:rsidP="00A665EB">
      <w:pPr>
        <w:spacing w:after="0" w:line="240" w:lineRule="auto"/>
        <w:jc w:val="both"/>
        <w:rPr>
          <w:rFonts w:ascii="Arial" w:hAnsi="Arial" w:cs="Arial"/>
        </w:rPr>
      </w:pPr>
    </w:p>
    <w:p w14:paraId="479C9B2C" w14:textId="77777777" w:rsidR="00A665EB" w:rsidRPr="00CF2780" w:rsidRDefault="00A665EB" w:rsidP="00A665EB">
      <w:pPr>
        <w:spacing w:after="0" w:line="240" w:lineRule="auto"/>
        <w:jc w:val="both"/>
        <w:rPr>
          <w:rFonts w:ascii="Arial" w:hAnsi="Arial" w:cs="Arial"/>
        </w:rPr>
      </w:pPr>
      <w:r w:rsidRPr="00CF2780">
        <w:rPr>
          <w:rFonts w:ascii="Arial" w:hAnsi="Arial" w:cs="Arial"/>
        </w:rPr>
        <w:t xml:space="preserve">La Corte estableció que la desaparición de Manfredo Velásquez fue consumada por agentes que actuaron bajo la cobertura de una función pública. Pero, aunque no hubiera podido demostrarse tal cosa, la circunstancia de que el aparato del Estado se haya abstenido de actuar, lo que está plenamente comprobado, representa un incumplimiento </w:t>
      </w:r>
      <w:r w:rsidRPr="00CF2780">
        <w:rPr>
          <w:rFonts w:ascii="Arial" w:hAnsi="Arial" w:cs="Arial"/>
        </w:rPr>
        <w:lastRenderedPageBreak/>
        <w:t>imputable a Honduras de los deberes contraídos en virtud del artículo 1.1 de la Convención, según el cual estaba obligada a garantizar a Manfredo Velásquez el pleno y libre ejercicio de sus derecho humanos.</w:t>
      </w:r>
    </w:p>
    <w:p w14:paraId="5DF9CE75" w14:textId="77777777" w:rsidR="00A665EB" w:rsidRPr="00CF2780" w:rsidRDefault="00A665EB" w:rsidP="00A665EB">
      <w:pPr>
        <w:spacing w:after="0" w:line="240" w:lineRule="auto"/>
        <w:jc w:val="both"/>
        <w:rPr>
          <w:rFonts w:ascii="Arial" w:hAnsi="Arial" w:cs="Arial"/>
        </w:rPr>
      </w:pPr>
    </w:p>
    <w:p w14:paraId="537258C9" w14:textId="77777777" w:rsidR="00A665EB" w:rsidRPr="00CF2780" w:rsidRDefault="00A665EB" w:rsidP="00A665EB">
      <w:pPr>
        <w:spacing w:after="0" w:line="240" w:lineRule="auto"/>
        <w:jc w:val="both"/>
        <w:rPr>
          <w:rFonts w:ascii="Arial" w:hAnsi="Arial" w:cs="Arial"/>
        </w:rPr>
      </w:pPr>
      <w:r w:rsidRPr="00CF2780">
        <w:rPr>
          <w:rFonts w:ascii="Arial" w:hAnsi="Arial" w:cs="Arial"/>
        </w:rPr>
        <w:t>Además, dicha desaparición es violatoria del derecho a la integridad personal reconocido en el artículo 5 de la Convención (…). En primer lugar porque el solo hecho del aislamiento prolongado y de la incomunicación coactiva, representa un tratamiento cruel e inhumano que lesiona la integridad psíquica y moral de la persona y el derecho de todo detenido a un trato respetuoso de su dignidad, en contradicción con los párrafos 1 y 2 del citado artículo. En segundo lugar porque, aun cuando no ha sido demostrado de modo directo que Manfredo Velásquez fue torturado físicamente, la mera circunstancia de que su secuestro y cautiverio hayan quedado a cargo de autoridades que comprobadamente sometían a los detenidos a vejámenes, crueldades y torturas representa la inobservancia, por parte de Honduras, del deber que le impone el artículo 1.1, en relación con los párrafos 1 y 2 del artículo 5 de la Convención. En efecto, la garantía de la integridad física de toda persona y de que todo aquél que sea privado de su libertad sea tratado con el respeto debido a la dignidad inherente al ser humano, implica la prevención razonable de situaciones virtualmente lesivas de los derechos protegidos.</w:t>
      </w:r>
    </w:p>
    <w:p w14:paraId="64C501A4" w14:textId="77777777" w:rsidR="00A665EB" w:rsidRPr="00CF2780" w:rsidRDefault="00A665EB" w:rsidP="00A665EB">
      <w:pPr>
        <w:spacing w:after="0" w:line="240" w:lineRule="auto"/>
        <w:jc w:val="both"/>
        <w:rPr>
          <w:rFonts w:ascii="Arial" w:hAnsi="Arial" w:cs="Arial"/>
        </w:rPr>
      </w:pPr>
    </w:p>
    <w:p w14:paraId="74DCDC9F" w14:textId="77777777" w:rsidR="00A665EB" w:rsidRPr="00CF2780" w:rsidRDefault="00A665EB" w:rsidP="00A665EB">
      <w:pPr>
        <w:spacing w:after="0" w:line="240" w:lineRule="auto"/>
        <w:jc w:val="both"/>
        <w:rPr>
          <w:rFonts w:ascii="Arial" w:hAnsi="Arial" w:cs="Arial"/>
        </w:rPr>
      </w:pPr>
      <w:r w:rsidRPr="00CF2780">
        <w:rPr>
          <w:rFonts w:ascii="Arial" w:hAnsi="Arial" w:cs="Arial"/>
        </w:rPr>
        <w:t>De ahí que, el razonamiento anterior es aplicable respecto del derecho a la vida consagrado en el artículo 4 de la Convención. El contexto en que se produjo la desaparición y la circunstancia de que siete años después continúe ignorándose qué ha sido de él, son de por sí suficientes para concluir razonablemente que Manfredo Velásquez fue privado de su vida. Sin embargo, incluso manteniendo un mínimo margen de duda, debe tenerse presente que su suerte fue librada a manos de autoridades cuya práctica sistemática comprendía la ejecución sin fórmula de juicio de los detenidos y el ocultamiento del cadáver para asegurar su impunidad. Ese hecho, unido a la falta de investigación de lo ocurrido, representa una infracción de un deber jurídico, a cargo de Honduras, establecido en el artículo 1.1 de la Convención en relación al artículo 4.1 de la misma, como es el de garantizar a toda persona sujeta a su jurisdicción la inviolabilidad de la vida y el derecho a no ser privado de ella arbitrariamente, lo cual implica la prevención razonable de situaciones que puedan redundar en la supresión de ese derecho.</w:t>
      </w:r>
    </w:p>
    <w:p w14:paraId="5808BD1E" w14:textId="77777777" w:rsidR="00A665EB" w:rsidRPr="00CF2780" w:rsidRDefault="00A665EB" w:rsidP="00A665EB">
      <w:pPr>
        <w:spacing w:after="0" w:line="240" w:lineRule="auto"/>
        <w:jc w:val="both"/>
        <w:rPr>
          <w:rFonts w:ascii="Arial" w:hAnsi="Arial" w:cs="Arial"/>
        </w:rPr>
      </w:pPr>
    </w:p>
    <w:p w14:paraId="624BFD64" w14:textId="77777777" w:rsidR="00A665EB" w:rsidRPr="00CF2780" w:rsidRDefault="00A665EB" w:rsidP="00A665EB">
      <w:pPr>
        <w:spacing w:after="0" w:line="240" w:lineRule="auto"/>
        <w:jc w:val="both"/>
        <w:rPr>
          <w:rFonts w:ascii="Arial" w:hAnsi="Arial" w:cs="Arial"/>
        </w:rPr>
      </w:pPr>
    </w:p>
    <w:p w14:paraId="1844C8D6" w14:textId="77777777" w:rsidR="00A665EB" w:rsidRPr="00CF2780" w:rsidRDefault="00A665EB" w:rsidP="00A665EB">
      <w:pPr>
        <w:spacing w:after="0" w:line="240" w:lineRule="auto"/>
        <w:jc w:val="both"/>
        <w:rPr>
          <w:rFonts w:ascii="Arial" w:hAnsi="Arial" w:cs="Arial"/>
          <w:b/>
          <w:bCs/>
        </w:rPr>
      </w:pPr>
      <w:r w:rsidRPr="00CF2780">
        <w:rPr>
          <w:rFonts w:ascii="Arial" w:hAnsi="Arial" w:cs="Arial"/>
          <w:b/>
          <w:bCs/>
        </w:rPr>
        <w:t>Reparaciones</w:t>
      </w:r>
    </w:p>
    <w:p w14:paraId="21D9759D" w14:textId="77777777" w:rsidR="00A665EB" w:rsidRPr="00CF2780" w:rsidRDefault="00A665EB" w:rsidP="00A665EB">
      <w:pPr>
        <w:spacing w:after="0" w:line="240" w:lineRule="auto"/>
        <w:jc w:val="both"/>
        <w:rPr>
          <w:rFonts w:ascii="Arial" w:hAnsi="Arial" w:cs="Arial"/>
        </w:rPr>
      </w:pPr>
      <w:r w:rsidRPr="00CF2780">
        <w:rPr>
          <w:rFonts w:ascii="Arial" w:hAnsi="Arial" w:cs="Arial"/>
        </w:rPr>
        <w:t>La Corte,</w:t>
      </w:r>
    </w:p>
    <w:p w14:paraId="2E81C088" w14:textId="77777777" w:rsidR="00A665EB" w:rsidRPr="00CF2780" w:rsidRDefault="00A665EB" w:rsidP="00A665EB">
      <w:pPr>
        <w:spacing w:after="0" w:line="240" w:lineRule="auto"/>
        <w:jc w:val="both"/>
        <w:rPr>
          <w:rFonts w:ascii="Arial" w:hAnsi="Arial" w:cs="Arial"/>
        </w:rPr>
      </w:pPr>
    </w:p>
    <w:p w14:paraId="42C3F999" w14:textId="77777777" w:rsidR="00A665EB" w:rsidRPr="00CF2780" w:rsidRDefault="00A665EB" w:rsidP="00A665EB">
      <w:pPr>
        <w:spacing w:after="0" w:line="240" w:lineRule="auto"/>
        <w:jc w:val="both"/>
        <w:rPr>
          <w:rFonts w:ascii="Arial" w:hAnsi="Arial" w:cs="Arial"/>
        </w:rPr>
      </w:pPr>
      <w:r w:rsidRPr="00CF2780">
        <w:rPr>
          <w:rFonts w:ascii="Arial" w:hAnsi="Arial" w:cs="Arial"/>
        </w:rPr>
        <w:t>Fija en setecientos cincuenta mil lempiras la indemnización compensatoria que el Estado de Honduras debe pagar a los familiares de Ángel Manfredo Velásquez Rodríguez.</w:t>
      </w:r>
    </w:p>
    <w:p w14:paraId="734B3467" w14:textId="77777777" w:rsidR="00A665EB" w:rsidRPr="00CF2780" w:rsidRDefault="00A665EB" w:rsidP="00A665EB">
      <w:pPr>
        <w:spacing w:after="0" w:line="240" w:lineRule="auto"/>
        <w:jc w:val="both"/>
        <w:rPr>
          <w:rFonts w:ascii="Arial" w:hAnsi="Arial" w:cs="Arial"/>
        </w:rPr>
      </w:pPr>
    </w:p>
    <w:p w14:paraId="27263ABF" w14:textId="77777777" w:rsidR="00A665EB" w:rsidRPr="00CF2780" w:rsidRDefault="00A665EB" w:rsidP="00A665EB">
      <w:pPr>
        <w:spacing w:after="0" w:line="240" w:lineRule="auto"/>
        <w:jc w:val="both"/>
        <w:rPr>
          <w:rFonts w:ascii="Arial" w:hAnsi="Arial" w:cs="Arial"/>
        </w:rPr>
      </w:pPr>
      <w:r w:rsidRPr="00CF2780">
        <w:rPr>
          <w:rFonts w:ascii="Arial" w:hAnsi="Arial" w:cs="Arial"/>
        </w:rPr>
        <w:t>Decide que la cantidad correspondiente a la cónyuge de Ángel Manfredo Velásquez Rodríguez será de ciento ochenta y siete mil quinientos lempiras.</w:t>
      </w:r>
    </w:p>
    <w:p w14:paraId="00A87773" w14:textId="77777777" w:rsidR="00A665EB" w:rsidRPr="00CF2780" w:rsidRDefault="00A665EB" w:rsidP="00A665EB">
      <w:pPr>
        <w:spacing w:after="0" w:line="240" w:lineRule="auto"/>
        <w:jc w:val="both"/>
        <w:rPr>
          <w:rFonts w:ascii="Arial" w:hAnsi="Arial" w:cs="Arial"/>
        </w:rPr>
      </w:pPr>
    </w:p>
    <w:p w14:paraId="59FB23E2" w14:textId="77777777" w:rsidR="00A665EB" w:rsidRPr="00CF2780" w:rsidRDefault="00A665EB" w:rsidP="00A665EB">
      <w:pPr>
        <w:spacing w:after="0" w:line="240" w:lineRule="auto"/>
        <w:jc w:val="both"/>
        <w:rPr>
          <w:rFonts w:ascii="Arial" w:hAnsi="Arial" w:cs="Arial"/>
        </w:rPr>
      </w:pPr>
      <w:r w:rsidRPr="00CF2780">
        <w:rPr>
          <w:rFonts w:ascii="Arial" w:hAnsi="Arial" w:cs="Arial"/>
        </w:rPr>
        <w:t>Decide que la cantidad correspondiente a los hijos de Ángel Manfredo Velásquez Rodríguez será de quinientos sesenta y dos mil quinientos lempiras.</w:t>
      </w:r>
    </w:p>
    <w:p w14:paraId="129C7C48" w14:textId="77777777" w:rsidR="00A665EB" w:rsidRPr="00CF2780" w:rsidRDefault="00A665EB" w:rsidP="00A665EB">
      <w:pPr>
        <w:spacing w:after="0" w:line="240" w:lineRule="auto"/>
        <w:jc w:val="both"/>
        <w:rPr>
          <w:rFonts w:ascii="Arial" w:hAnsi="Arial" w:cs="Arial"/>
        </w:rPr>
      </w:pPr>
    </w:p>
    <w:p w14:paraId="185899AB" w14:textId="77777777" w:rsidR="00A665EB" w:rsidRPr="00CF2780" w:rsidRDefault="00A665EB" w:rsidP="00A665EB">
      <w:pPr>
        <w:spacing w:after="0" w:line="240" w:lineRule="auto"/>
        <w:jc w:val="both"/>
        <w:rPr>
          <w:rFonts w:ascii="Arial" w:hAnsi="Arial" w:cs="Arial"/>
        </w:rPr>
      </w:pPr>
      <w:r w:rsidRPr="00CF2780">
        <w:rPr>
          <w:rFonts w:ascii="Arial" w:hAnsi="Arial" w:cs="Arial"/>
        </w:rPr>
        <w:t xml:space="preserve">Ordena que la forma y modalidades de pago de la indemnización serán las especificadas en los párrafos 57 y 58 de la Sentencia de Reparaciones y Costas. En ellos se indica que el pago de los setecientos cincuenta mil lempiras fijados por la Corte debe ser hecho dentro de los noventa días contados a partir de la notificación de la sentencia, libre de todo impuesto que eventualmente pudiera considerarse aplicable. Sin embargo, el pago podrá </w:t>
      </w:r>
      <w:r w:rsidRPr="00CF2780">
        <w:rPr>
          <w:rFonts w:ascii="Arial" w:hAnsi="Arial" w:cs="Arial"/>
        </w:rPr>
        <w:lastRenderedPageBreak/>
        <w:t>ser hecho por el Gobierno en seis cuotas mensuales iguales, la primera pagadera a los noventa días mencionados y así sucesivamente, pero en este caso los saldos se acrecentarán con los intereses correspondientes, que serán los bancarios corrientes en ese momento en Honduras. Asimismo, de la indemnización total la cuarta parte corresponderá a la cónyuge que recibirá directamente la suma que se le asigna. Los tres cuartos restantes se distribuirán entre los hijos. Con la suma atribuida a los hijos se constituirá un fideicomiso en el Banco Central de Honduras, en las condiciones más favorables según la práctica bancaria hondureña. Los hijos recibirán mensualmente los beneficios de este fideicomiso y al cumplir los veinticinco años de edad percibirán la parte alícuota que les corresponda.</w:t>
      </w:r>
    </w:p>
    <w:p w14:paraId="1A0C01DA" w14:textId="77777777" w:rsidR="00A665EB" w:rsidRPr="00CF2780" w:rsidRDefault="00A665EB" w:rsidP="00A665EB">
      <w:pPr>
        <w:spacing w:after="0" w:line="240" w:lineRule="auto"/>
        <w:jc w:val="both"/>
        <w:rPr>
          <w:rFonts w:ascii="Arial" w:hAnsi="Arial" w:cs="Arial"/>
        </w:rPr>
      </w:pPr>
    </w:p>
    <w:p w14:paraId="59AFBBAB" w14:textId="77777777" w:rsidR="00A665EB" w:rsidRPr="00CF2780" w:rsidRDefault="00A665EB" w:rsidP="00A665EB">
      <w:pPr>
        <w:spacing w:after="0" w:line="240" w:lineRule="auto"/>
        <w:jc w:val="both"/>
        <w:rPr>
          <w:rFonts w:ascii="Arial" w:hAnsi="Arial" w:cs="Arial"/>
        </w:rPr>
      </w:pPr>
      <w:r w:rsidRPr="00CF2780">
        <w:rPr>
          <w:rFonts w:ascii="Arial" w:hAnsi="Arial" w:cs="Arial"/>
        </w:rPr>
        <w:t>Resuelve que supervisará el cumplimiento del pago de la indemnización acordada y que sólo después de su cancelación archivará el expediente.</w:t>
      </w:r>
    </w:p>
    <w:p w14:paraId="45BF8728" w14:textId="77777777" w:rsidR="00A665EB" w:rsidRPr="00CF2780" w:rsidRDefault="00A665EB" w:rsidP="00A665EB">
      <w:pPr>
        <w:spacing w:after="0" w:line="240" w:lineRule="auto"/>
        <w:jc w:val="both"/>
        <w:rPr>
          <w:rFonts w:ascii="Arial" w:hAnsi="Arial" w:cs="Arial"/>
        </w:rPr>
      </w:pPr>
    </w:p>
    <w:p w14:paraId="5FB0E2EB" w14:textId="77777777" w:rsidR="00A665EB" w:rsidRPr="00CF2780" w:rsidRDefault="00A665EB" w:rsidP="00A665EB">
      <w:pPr>
        <w:spacing w:after="0" w:line="240" w:lineRule="auto"/>
        <w:jc w:val="both"/>
        <w:rPr>
          <w:rFonts w:ascii="Arial" w:hAnsi="Arial" w:cs="Arial"/>
        </w:rPr>
      </w:pPr>
    </w:p>
    <w:p w14:paraId="1FFE45F6" w14:textId="77777777" w:rsidR="00A665EB" w:rsidRPr="00CF2780" w:rsidRDefault="00A665EB" w:rsidP="00A665EB">
      <w:pPr>
        <w:spacing w:after="0" w:line="240" w:lineRule="auto"/>
        <w:jc w:val="both"/>
        <w:rPr>
          <w:rFonts w:ascii="Arial" w:hAnsi="Arial" w:cs="Arial"/>
          <w:b/>
          <w:bCs/>
        </w:rPr>
      </w:pPr>
      <w:r w:rsidRPr="00CF2780">
        <w:rPr>
          <w:rFonts w:ascii="Arial" w:hAnsi="Arial" w:cs="Arial"/>
          <w:b/>
          <w:bCs/>
        </w:rPr>
        <w:t>Resolutivos</w:t>
      </w:r>
    </w:p>
    <w:p w14:paraId="78CEBA1E" w14:textId="77777777" w:rsidR="00A665EB" w:rsidRPr="00CF2780" w:rsidRDefault="00A665EB" w:rsidP="00A665EB">
      <w:pPr>
        <w:spacing w:after="0" w:line="240" w:lineRule="auto"/>
        <w:jc w:val="both"/>
        <w:rPr>
          <w:rFonts w:ascii="Arial" w:hAnsi="Arial" w:cs="Arial"/>
        </w:rPr>
      </w:pPr>
    </w:p>
    <w:p w14:paraId="2DC7033E" w14:textId="77777777" w:rsidR="00A665EB" w:rsidRPr="00CF2780" w:rsidRDefault="00A665EB" w:rsidP="00A665EB">
      <w:pPr>
        <w:spacing w:after="0" w:line="240" w:lineRule="auto"/>
        <w:jc w:val="both"/>
        <w:rPr>
          <w:rFonts w:ascii="Arial" w:hAnsi="Arial" w:cs="Arial"/>
        </w:rPr>
      </w:pPr>
      <w:r w:rsidRPr="00CF2780">
        <w:rPr>
          <w:rFonts w:ascii="Arial" w:hAnsi="Arial" w:cs="Arial"/>
        </w:rPr>
        <w:t>La Corte,</w:t>
      </w:r>
    </w:p>
    <w:p w14:paraId="46D41C31" w14:textId="77777777" w:rsidR="00A665EB" w:rsidRPr="00CF2780" w:rsidRDefault="00A665EB" w:rsidP="00A665EB">
      <w:pPr>
        <w:spacing w:after="0" w:line="240" w:lineRule="auto"/>
        <w:jc w:val="both"/>
        <w:rPr>
          <w:rFonts w:ascii="Arial" w:hAnsi="Arial" w:cs="Arial"/>
        </w:rPr>
      </w:pPr>
    </w:p>
    <w:p w14:paraId="524A6641" w14:textId="77777777" w:rsidR="00A665EB" w:rsidRPr="00CF2780" w:rsidRDefault="00A665EB" w:rsidP="00A665EB">
      <w:pPr>
        <w:spacing w:after="0" w:line="240" w:lineRule="auto"/>
        <w:jc w:val="both"/>
        <w:rPr>
          <w:rFonts w:ascii="Arial" w:hAnsi="Arial" w:cs="Arial"/>
        </w:rPr>
      </w:pPr>
      <w:r w:rsidRPr="00CF2780">
        <w:rPr>
          <w:rFonts w:ascii="Arial" w:hAnsi="Arial" w:cs="Arial"/>
        </w:rPr>
        <w:t xml:space="preserve">Desestima las excepciones preliminares opuestas por el Gobierno de Honduras. </w:t>
      </w:r>
    </w:p>
    <w:p w14:paraId="0B41BF62" w14:textId="77777777" w:rsidR="00A665EB" w:rsidRPr="00CF2780" w:rsidRDefault="00A665EB" w:rsidP="00A665EB">
      <w:pPr>
        <w:spacing w:after="0" w:line="240" w:lineRule="auto"/>
        <w:jc w:val="both"/>
        <w:rPr>
          <w:rFonts w:ascii="Arial" w:hAnsi="Arial" w:cs="Arial"/>
        </w:rPr>
      </w:pPr>
    </w:p>
    <w:p w14:paraId="7457B810" w14:textId="77777777" w:rsidR="00A665EB" w:rsidRPr="00CF2780" w:rsidRDefault="00A665EB" w:rsidP="00A665EB">
      <w:pPr>
        <w:spacing w:after="0" w:line="240" w:lineRule="auto"/>
        <w:jc w:val="both"/>
        <w:rPr>
          <w:rFonts w:ascii="Arial" w:hAnsi="Arial" w:cs="Arial"/>
        </w:rPr>
      </w:pPr>
      <w:r w:rsidRPr="00CF2780">
        <w:rPr>
          <w:rFonts w:ascii="Arial" w:hAnsi="Arial" w:cs="Arial"/>
        </w:rPr>
        <w:t xml:space="preserve">Declara que Honduras ha violado en perjuicio de Ángel Manfredo Velásquez Rodríguez los deberes de respeto y de garantía del derecho a la libertad personal reconocido en el artículo 7 de la Convención, en conexión con el artículo 1.1 de la misma. </w:t>
      </w:r>
    </w:p>
    <w:p w14:paraId="643D371F" w14:textId="77777777" w:rsidR="00A665EB" w:rsidRPr="00CF2780" w:rsidRDefault="00A665EB" w:rsidP="00A665EB">
      <w:pPr>
        <w:spacing w:after="0" w:line="240" w:lineRule="auto"/>
        <w:jc w:val="both"/>
        <w:rPr>
          <w:rFonts w:ascii="Arial" w:hAnsi="Arial" w:cs="Arial"/>
        </w:rPr>
      </w:pPr>
    </w:p>
    <w:p w14:paraId="1B787D1A" w14:textId="77777777" w:rsidR="00A665EB" w:rsidRPr="00CF2780" w:rsidRDefault="00A665EB" w:rsidP="00A665EB">
      <w:pPr>
        <w:spacing w:after="0" w:line="240" w:lineRule="auto"/>
        <w:jc w:val="both"/>
        <w:rPr>
          <w:rFonts w:ascii="Arial" w:hAnsi="Arial" w:cs="Arial"/>
        </w:rPr>
      </w:pPr>
      <w:r w:rsidRPr="00CF2780">
        <w:rPr>
          <w:rFonts w:ascii="Arial" w:hAnsi="Arial" w:cs="Arial"/>
        </w:rPr>
        <w:t>Declara que Honduras ha violado en perjuicio de Ángel Manfredo Velásquez Rodríguez los deberes de respeto y de garantía del derecho a la integridad personal reconocido en el artículo 5 de la Convención, en conexión con el artículo 1.1 de la misma.</w:t>
      </w:r>
    </w:p>
    <w:p w14:paraId="786403F1" w14:textId="77777777" w:rsidR="00A665EB" w:rsidRPr="00CF2780" w:rsidRDefault="00A665EB" w:rsidP="00A665EB">
      <w:pPr>
        <w:spacing w:after="0" w:line="240" w:lineRule="auto"/>
        <w:jc w:val="both"/>
        <w:rPr>
          <w:rFonts w:ascii="Arial" w:hAnsi="Arial" w:cs="Arial"/>
        </w:rPr>
      </w:pPr>
    </w:p>
    <w:p w14:paraId="2FF828EA" w14:textId="77777777" w:rsidR="00A665EB" w:rsidRPr="00CF2780" w:rsidRDefault="00A665EB" w:rsidP="00A665EB">
      <w:pPr>
        <w:spacing w:after="0" w:line="240" w:lineRule="auto"/>
        <w:jc w:val="both"/>
        <w:rPr>
          <w:rFonts w:ascii="Arial" w:hAnsi="Arial" w:cs="Arial"/>
        </w:rPr>
      </w:pPr>
      <w:r w:rsidRPr="00CF2780">
        <w:rPr>
          <w:rFonts w:ascii="Arial" w:hAnsi="Arial" w:cs="Arial"/>
        </w:rPr>
        <w:t>Declara que Honduras ha violado en perjuicio de Ángel Manfredo Velásquez Rodríguez el deber de garantía del derecho a la vida reconocido en el artículo 4 de la Convención, en conexión con el artículo 1.1 de la misma.</w:t>
      </w:r>
    </w:p>
    <w:p w14:paraId="5E46764B" w14:textId="77777777" w:rsidR="00A665EB" w:rsidRPr="00CF2780" w:rsidRDefault="00A665EB" w:rsidP="00A665EB">
      <w:pPr>
        <w:rPr>
          <w:rFonts w:ascii="Arial" w:hAnsi="Arial" w:cs="Arial"/>
          <w:lang w:eastAsia="es-MX"/>
        </w:rPr>
      </w:pPr>
    </w:p>
    <w:p w14:paraId="42E27974" w14:textId="4964013A" w:rsidR="00CC4652" w:rsidRPr="00CF2780" w:rsidRDefault="00C60483" w:rsidP="00CC4652">
      <w:pPr>
        <w:pStyle w:val="Ttulo4"/>
        <w:rPr>
          <w:rFonts w:ascii="Arial" w:hAnsi="Arial" w:cs="Arial"/>
          <w:i w:val="0"/>
          <w:iCs w:val="0"/>
          <w:color w:val="C00000"/>
          <w:sz w:val="24"/>
          <w:szCs w:val="24"/>
          <w:lang w:eastAsia="es-MX"/>
        </w:rPr>
      </w:pPr>
      <w:r w:rsidRPr="00CF2780">
        <w:rPr>
          <w:rFonts w:ascii="Arial" w:eastAsia="Times New Roman" w:hAnsi="Arial" w:cs="Arial"/>
          <w:b/>
          <w:bCs/>
          <w:i w:val="0"/>
          <w:iCs w:val="0"/>
          <w:color w:val="C00000"/>
          <w:sz w:val="24"/>
          <w:szCs w:val="24"/>
          <w:lang w:eastAsia="es-MX"/>
        </w:rPr>
        <w:t>CASO 3:</w:t>
      </w:r>
      <w:r w:rsidRPr="00CF2780">
        <w:rPr>
          <w:rFonts w:ascii="Arial" w:hAnsi="Arial" w:cs="Arial"/>
          <w:b/>
          <w:bCs/>
          <w:i w:val="0"/>
          <w:iCs w:val="0"/>
          <w:color w:val="C00000"/>
          <w:sz w:val="24"/>
          <w:szCs w:val="24"/>
          <w:shd w:val="clear" w:color="auto" w:fill="FFFFFF"/>
        </w:rPr>
        <w:t xml:space="preserve"> CASO ACEVEDO BUENDÍA Y OTROS VS PERÚ</w:t>
      </w:r>
    </w:p>
    <w:p w14:paraId="757E8B1D" w14:textId="12ABD63E" w:rsidR="004D5F2B" w:rsidRPr="00CF2780" w:rsidRDefault="004D5F2B" w:rsidP="004D5F2B">
      <w:pPr>
        <w:rPr>
          <w:rFonts w:ascii="Arial" w:hAnsi="Arial" w:cs="Arial"/>
          <w:lang w:eastAsia="es-MX"/>
        </w:rPr>
      </w:pPr>
    </w:p>
    <w:p w14:paraId="7B8DBEE0" w14:textId="77777777" w:rsidR="00D8735D" w:rsidRPr="00CF2780" w:rsidRDefault="000F60CE" w:rsidP="00D8735D">
      <w:pPr>
        <w:spacing w:after="0" w:line="240" w:lineRule="auto"/>
        <w:rPr>
          <w:rFonts w:ascii="Arial" w:hAnsi="Arial" w:cs="Arial"/>
          <w:b/>
          <w:bCs/>
          <w:color w:val="000000"/>
          <w:shd w:val="clear" w:color="auto" w:fill="FFFFFF"/>
        </w:rPr>
      </w:pPr>
      <w:r w:rsidRPr="00CF2780">
        <w:rPr>
          <w:rFonts w:ascii="Arial" w:hAnsi="Arial" w:cs="Arial"/>
          <w:b/>
          <w:bCs/>
          <w:color w:val="000000"/>
          <w:shd w:val="clear" w:color="auto" w:fill="FFFFFF"/>
        </w:rPr>
        <w:t>Órgano</w:t>
      </w:r>
      <w:r w:rsidR="00D8735D" w:rsidRPr="00CF2780">
        <w:rPr>
          <w:rFonts w:ascii="Arial" w:hAnsi="Arial" w:cs="Arial"/>
          <w:b/>
          <w:bCs/>
          <w:color w:val="000000"/>
          <w:shd w:val="clear" w:color="auto" w:fill="FFFFFF"/>
        </w:rPr>
        <w:t xml:space="preserve"> </w:t>
      </w:r>
      <w:r w:rsidRPr="00CF2780">
        <w:rPr>
          <w:rFonts w:ascii="Arial" w:hAnsi="Arial" w:cs="Arial"/>
          <w:b/>
          <w:bCs/>
          <w:color w:val="000000"/>
          <w:shd w:val="clear" w:color="auto" w:fill="FFFFFF"/>
        </w:rPr>
        <w:t>CoIDH.</w:t>
      </w:r>
    </w:p>
    <w:p w14:paraId="05E0959F" w14:textId="77777777" w:rsidR="00D8735D" w:rsidRPr="00CF2780" w:rsidRDefault="000F60CE" w:rsidP="00D8735D">
      <w:pPr>
        <w:spacing w:after="0" w:line="240" w:lineRule="auto"/>
        <w:rPr>
          <w:rFonts w:ascii="Arial" w:hAnsi="Arial" w:cs="Arial"/>
          <w:lang w:eastAsia="es-MX"/>
        </w:rPr>
      </w:pPr>
      <w:r w:rsidRPr="00CF2780">
        <w:rPr>
          <w:rFonts w:ascii="Arial" w:hAnsi="Arial" w:cs="Arial"/>
          <w:color w:val="000000"/>
        </w:rPr>
        <w:br/>
      </w:r>
    </w:p>
    <w:p w14:paraId="7DC7A52B" w14:textId="4B834450" w:rsidR="00D8735D" w:rsidRPr="00CF2780" w:rsidRDefault="00D8735D" w:rsidP="00D8735D">
      <w:pPr>
        <w:spacing w:after="0" w:line="240" w:lineRule="auto"/>
        <w:rPr>
          <w:rFonts w:ascii="Arial" w:hAnsi="Arial" w:cs="Arial"/>
          <w:lang w:eastAsia="es-MX"/>
        </w:rPr>
      </w:pPr>
      <w:r w:rsidRPr="00CF2780">
        <w:rPr>
          <w:rFonts w:ascii="Arial" w:hAnsi="Arial" w:cs="Arial"/>
          <w:b/>
          <w:bCs/>
          <w:lang w:eastAsia="es-MX"/>
        </w:rPr>
        <w:t>Temática</w:t>
      </w:r>
    </w:p>
    <w:p w14:paraId="6F186751" w14:textId="13D89F19" w:rsidR="00D8735D" w:rsidRPr="00CF2780" w:rsidRDefault="00D8735D" w:rsidP="00D8735D">
      <w:pPr>
        <w:spacing w:after="0" w:line="240" w:lineRule="auto"/>
        <w:jc w:val="both"/>
        <w:rPr>
          <w:rFonts w:ascii="Arial" w:hAnsi="Arial" w:cs="Arial"/>
          <w:lang w:eastAsia="es-MX"/>
        </w:rPr>
      </w:pPr>
      <w:r w:rsidRPr="00CF2780">
        <w:rPr>
          <w:rFonts w:ascii="Arial" w:hAnsi="Arial" w:cs="Arial"/>
          <w:lang w:eastAsia="es-MX"/>
        </w:rPr>
        <w:t>•Obligación de respetar los derechos</w:t>
      </w:r>
    </w:p>
    <w:p w14:paraId="164082A4" w14:textId="785C4D9B" w:rsidR="00D8735D" w:rsidRPr="00CF2780" w:rsidRDefault="00D8735D" w:rsidP="00D8735D">
      <w:pPr>
        <w:spacing w:after="0" w:line="240" w:lineRule="auto"/>
        <w:jc w:val="both"/>
        <w:rPr>
          <w:rFonts w:ascii="Arial" w:hAnsi="Arial" w:cs="Arial"/>
          <w:lang w:eastAsia="es-MX"/>
        </w:rPr>
      </w:pPr>
      <w:r w:rsidRPr="00CF2780">
        <w:rPr>
          <w:rFonts w:ascii="Arial" w:hAnsi="Arial" w:cs="Arial"/>
          <w:lang w:eastAsia="es-MX"/>
        </w:rPr>
        <w:t>•Derecho a la propiedad privada</w:t>
      </w:r>
    </w:p>
    <w:p w14:paraId="43E09CED" w14:textId="081A371C" w:rsidR="00D8735D" w:rsidRPr="00CF2780" w:rsidRDefault="00D8735D" w:rsidP="00D8735D">
      <w:pPr>
        <w:spacing w:after="0" w:line="240" w:lineRule="auto"/>
        <w:jc w:val="both"/>
        <w:rPr>
          <w:rFonts w:ascii="Arial" w:hAnsi="Arial" w:cs="Arial"/>
          <w:lang w:eastAsia="es-MX"/>
        </w:rPr>
      </w:pPr>
      <w:r w:rsidRPr="00CF2780">
        <w:rPr>
          <w:rFonts w:ascii="Arial" w:hAnsi="Arial" w:cs="Arial"/>
          <w:lang w:eastAsia="es-MX"/>
        </w:rPr>
        <w:t>•Protección judicial</w:t>
      </w:r>
    </w:p>
    <w:p w14:paraId="1AF117A7" w14:textId="70C0F420" w:rsidR="00D8735D" w:rsidRPr="00CF2780" w:rsidRDefault="00D8735D" w:rsidP="00D8735D">
      <w:pPr>
        <w:spacing w:after="0" w:line="240" w:lineRule="auto"/>
        <w:jc w:val="both"/>
        <w:rPr>
          <w:rFonts w:ascii="Arial" w:hAnsi="Arial" w:cs="Arial"/>
          <w:lang w:eastAsia="es-MX"/>
        </w:rPr>
      </w:pPr>
      <w:r w:rsidRPr="00CF2780">
        <w:rPr>
          <w:rFonts w:ascii="Arial" w:hAnsi="Arial" w:cs="Arial"/>
          <w:lang w:eastAsia="es-MX"/>
        </w:rPr>
        <w:t>•Desarrollo progresivo</w:t>
      </w:r>
    </w:p>
    <w:p w14:paraId="2E251632" w14:textId="77777777" w:rsidR="00D8735D" w:rsidRPr="00CF2780" w:rsidRDefault="00D8735D" w:rsidP="00D8735D">
      <w:pPr>
        <w:spacing w:after="0" w:line="240" w:lineRule="auto"/>
        <w:jc w:val="both"/>
        <w:rPr>
          <w:rFonts w:ascii="Arial" w:hAnsi="Arial" w:cs="Arial"/>
          <w:lang w:eastAsia="es-MX"/>
        </w:rPr>
      </w:pPr>
    </w:p>
    <w:p w14:paraId="79034264" w14:textId="77777777" w:rsidR="00D8735D" w:rsidRPr="00CF2780" w:rsidRDefault="00D8735D" w:rsidP="00D8735D">
      <w:pPr>
        <w:spacing w:after="0" w:line="240" w:lineRule="auto"/>
        <w:jc w:val="both"/>
        <w:rPr>
          <w:rFonts w:ascii="Arial" w:hAnsi="Arial" w:cs="Arial"/>
          <w:lang w:eastAsia="es-MX"/>
        </w:rPr>
      </w:pPr>
    </w:p>
    <w:p w14:paraId="0D16F02A" w14:textId="77777777" w:rsidR="00D8735D" w:rsidRPr="00CF2780" w:rsidRDefault="00D8735D" w:rsidP="00D8735D">
      <w:pPr>
        <w:spacing w:after="0" w:line="240" w:lineRule="auto"/>
        <w:jc w:val="both"/>
        <w:rPr>
          <w:rFonts w:ascii="Arial" w:hAnsi="Arial" w:cs="Arial"/>
          <w:b/>
          <w:bCs/>
          <w:lang w:eastAsia="es-MX"/>
        </w:rPr>
      </w:pPr>
      <w:r w:rsidRPr="00CF2780">
        <w:rPr>
          <w:rFonts w:ascii="Arial" w:hAnsi="Arial" w:cs="Arial"/>
          <w:b/>
          <w:bCs/>
          <w:lang w:eastAsia="es-MX"/>
        </w:rPr>
        <w:t>Caso concreto</w:t>
      </w:r>
    </w:p>
    <w:p w14:paraId="44083C39" w14:textId="77777777" w:rsidR="00D8735D" w:rsidRPr="00CF2780" w:rsidRDefault="00D8735D" w:rsidP="00D8735D">
      <w:pPr>
        <w:spacing w:after="0" w:line="240" w:lineRule="auto"/>
        <w:jc w:val="both"/>
        <w:rPr>
          <w:rFonts w:ascii="Arial" w:hAnsi="Arial" w:cs="Arial"/>
          <w:lang w:eastAsia="es-MX"/>
        </w:rPr>
      </w:pPr>
    </w:p>
    <w:p w14:paraId="0AFB1CB2" w14:textId="77777777" w:rsidR="00D8735D" w:rsidRPr="00CF2780" w:rsidRDefault="00D8735D" w:rsidP="00D8735D">
      <w:pPr>
        <w:spacing w:after="0" w:line="240" w:lineRule="auto"/>
        <w:jc w:val="both"/>
        <w:rPr>
          <w:rFonts w:ascii="Arial" w:hAnsi="Arial" w:cs="Arial"/>
          <w:lang w:eastAsia="es-MX"/>
        </w:rPr>
      </w:pPr>
      <w:r w:rsidRPr="00CF2780">
        <w:rPr>
          <w:rFonts w:ascii="Arial" w:hAnsi="Arial" w:cs="Arial"/>
          <w:lang w:eastAsia="es-MX"/>
        </w:rPr>
        <w:t xml:space="preserve">El tema central del caso concierne a la responsabilidad internacional del Estado por el incumplimiento respecto de dos sentencias emitidas por el Tribunal que ordenaban nivelar las pensiones (a partir de noviembre de 2002) y restituir los montos adeudados por dicho </w:t>
      </w:r>
      <w:r w:rsidRPr="00CF2780">
        <w:rPr>
          <w:rFonts w:ascii="Arial" w:hAnsi="Arial" w:cs="Arial"/>
          <w:lang w:eastAsia="es-MX"/>
        </w:rPr>
        <w:lastRenderedPageBreak/>
        <w:t xml:space="preserve">concepto (desde abril de 1993 hasta octubre de 2002) a los 273 miembros de la Asociación de Cesantes y Jubilados de la Contraloría General de la República del Perú. </w:t>
      </w:r>
    </w:p>
    <w:p w14:paraId="357569C5" w14:textId="77777777" w:rsidR="00D8735D" w:rsidRPr="00CF2780" w:rsidRDefault="00D8735D" w:rsidP="00D8735D">
      <w:pPr>
        <w:spacing w:after="0" w:line="240" w:lineRule="auto"/>
        <w:jc w:val="both"/>
        <w:rPr>
          <w:rFonts w:ascii="Arial" w:hAnsi="Arial" w:cs="Arial"/>
          <w:lang w:eastAsia="es-MX"/>
        </w:rPr>
      </w:pPr>
    </w:p>
    <w:p w14:paraId="74678899" w14:textId="77777777" w:rsidR="00D8735D" w:rsidRPr="00CF2780" w:rsidRDefault="00D8735D" w:rsidP="00D8735D">
      <w:pPr>
        <w:spacing w:after="0" w:line="240" w:lineRule="auto"/>
        <w:jc w:val="both"/>
        <w:rPr>
          <w:rFonts w:ascii="Arial" w:hAnsi="Arial" w:cs="Arial"/>
          <w:lang w:eastAsia="es-MX"/>
        </w:rPr>
      </w:pPr>
    </w:p>
    <w:p w14:paraId="42F05436" w14:textId="77777777" w:rsidR="00D8735D" w:rsidRPr="00CF2780" w:rsidRDefault="00D8735D" w:rsidP="00D8735D">
      <w:pPr>
        <w:spacing w:after="0" w:line="240" w:lineRule="auto"/>
        <w:jc w:val="both"/>
        <w:rPr>
          <w:rFonts w:ascii="Arial" w:hAnsi="Arial" w:cs="Arial"/>
          <w:b/>
          <w:bCs/>
          <w:lang w:eastAsia="es-MX"/>
        </w:rPr>
      </w:pPr>
      <w:r w:rsidRPr="00CF2780">
        <w:rPr>
          <w:rFonts w:ascii="Arial" w:hAnsi="Arial" w:cs="Arial"/>
          <w:b/>
          <w:bCs/>
          <w:lang w:eastAsia="es-MX"/>
        </w:rPr>
        <w:t>Hechos</w:t>
      </w:r>
    </w:p>
    <w:p w14:paraId="18DB748F" w14:textId="77777777" w:rsidR="00D8735D" w:rsidRPr="00CF2780" w:rsidRDefault="00D8735D" w:rsidP="00D8735D">
      <w:pPr>
        <w:spacing w:after="0" w:line="240" w:lineRule="auto"/>
        <w:jc w:val="both"/>
        <w:rPr>
          <w:rFonts w:ascii="Arial" w:hAnsi="Arial" w:cs="Arial"/>
          <w:b/>
          <w:bCs/>
          <w:lang w:eastAsia="es-MX"/>
        </w:rPr>
      </w:pPr>
    </w:p>
    <w:p w14:paraId="36135CBB" w14:textId="77777777" w:rsidR="00D8735D" w:rsidRPr="00CF2780" w:rsidRDefault="00D8735D" w:rsidP="00D8735D">
      <w:pPr>
        <w:spacing w:after="0" w:line="240" w:lineRule="auto"/>
        <w:jc w:val="both"/>
        <w:rPr>
          <w:rFonts w:ascii="Arial" w:hAnsi="Arial" w:cs="Arial"/>
          <w:lang w:eastAsia="es-MX"/>
        </w:rPr>
      </w:pPr>
      <w:r w:rsidRPr="00CF2780">
        <w:rPr>
          <w:rFonts w:ascii="Arial" w:hAnsi="Arial" w:cs="Arial"/>
          <w:lang w:eastAsia="es-MX"/>
        </w:rPr>
        <w:t xml:space="preserve">Los hechos del presente caso se iniciaron cuando los 273 miembros de la Asociación de Cesantes y Jubilados de la Contraloría General de la República del Perú se acogieron al régimen de pensiones regulado por el Decreto Ley Nº 20530, el cual establece una pensión de jubilación nivelable progresivamente con la remuneración del titular en actividad de la Contraloría General de la República (CGR) que ocupara el mismo puesto o función análoga a la que ellas desempeñaban a la fecha de su jubilación. Sin embargo, el 7 de julio de 1992 se publicó el Decreto Ley Nº 25597, que encargó al Ministerio de Economía y Finanzas (MEF) asumir el pago de las remuneraciones, pensiones y similares que hasta ese momento le correspondía pagar a la CGR, y recortó el derecho de los integrantes de la Asociación a continuar recibiendo una pensión nivelable conforme al Decreto Ley Nº 20530. </w:t>
      </w:r>
    </w:p>
    <w:p w14:paraId="1FD9300D" w14:textId="77777777" w:rsidR="00D8735D" w:rsidRPr="00CF2780" w:rsidRDefault="00D8735D" w:rsidP="00D8735D">
      <w:pPr>
        <w:spacing w:after="0" w:line="240" w:lineRule="auto"/>
        <w:jc w:val="both"/>
        <w:rPr>
          <w:rFonts w:ascii="Arial" w:hAnsi="Arial" w:cs="Arial"/>
          <w:lang w:eastAsia="es-MX"/>
        </w:rPr>
      </w:pPr>
    </w:p>
    <w:p w14:paraId="6A152C73" w14:textId="77777777" w:rsidR="00D8735D" w:rsidRPr="00CF2780" w:rsidRDefault="00D8735D" w:rsidP="00D8735D">
      <w:pPr>
        <w:spacing w:after="0" w:line="240" w:lineRule="auto"/>
        <w:jc w:val="both"/>
        <w:rPr>
          <w:rFonts w:ascii="Arial" w:hAnsi="Arial" w:cs="Arial"/>
          <w:lang w:eastAsia="es-MX"/>
        </w:rPr>
      </w:pPr>
      <w:r w:rsidRPr="00CF2780">
        <w:rPr>
          <w:rFonts w:ascii="Arial" w:hAnsi="Arial" w:cs="Arial"/>
          <w:lang w:eastAsia="es-MX"/>
        </w:rPr>
        <w:t xml:space="preserve">El 27 de mayo de 1993 la Asociación interpuso una acción de amparo contra la CGR y el MEF ante el Sexto Juzgado en lo Civil de Lima, a fin de que declarara la inaplicación de los dispositivos legales mencionados a favor de sus integrantes. Luego de haber interpuesto una serie de recursos, la Asociación interpuso un recurso extraordinario ante el Tribunal Constitucional del Perú, el cual, mediante las sentencias emitidas con fecha 21 de octubre de 1997 y 26 de enero de 2001, ordenó “que la Contraloría General de la República cumpla con abonar a los integrantes de la Asociación actora las remuneraciones, gratificaciones y bonificaciones que perciben los servidores en actividad de la citada Contraloría que desempeñen cargos idénticos, similares o equivalentes a los que tuvieron los cesantes o jubilados”, respecto de doscientos setenta y tres integrantes de la Asociación de Cesantes y Jubilados de la Contraloría General de la República. </w:t>
      </w:r>
    </w:p>
    <w:p w14:paraId="49572DCA" w14:textId="77777777" w:rsidR="00D8735D" w:rsidRPr="00CF2780" w:rsidRDefault="00D8735D" w:rsidP="00D8735D">
      <w:pPr>
        <w:spacing w:after="0" w:line="240" w:lineRule="auto"/>
        <w:jc w:val="both"/>
        <w:rPr>
          <w:rFonts w:ascii="Arial" w:hAnsi="Arial" w:cs="Arial"/>
          <w:lang w:eastAsia="es-MX"/>
        </w:rPr>
      </w:pPr>
    </w:p>
    <w:p w14:paraId="30847B72" w14:textId="77777777" w:rsidR="00D8735D" w:rsidRPr="00CF2780" w:rsidRDefault="00D8735D" w:rsidP="00D8735D">
      <w:pPr>
        <w:spacing w:after="0" w:line="240" w:lineRule="auto"/>
        <w:jc w:val="both"/>
        <w:rPr>
          <w:rFonts w:ascii="Arial" w:hAnsi="Arial" w:cs="Arial"/>
          <w:lang w:eastAsia="es-MX"/>
        </w:rPr>
      </w:pPr>
      <w:r w:rsidRPr="00CF2780">
        <w:rPr>
          <w:rFonts w:ascii="Arial" w:hAnsi="Arial" w:cs="Arial"/>
          <w:lang w:eastAsia="es-MX"/>
        </w:rPr>
        <w:t>El Estado dio cumplimiento parcial a un extremo de la sentencia del Tribunal Constitucional del Perú, al nivelar las pensiones a partir de noviembre de 2002. Sin embargo, no cumplió con restituir los montos pensionarios retenidos desde el mes de abril del año 1993 hasta octubre de 2002 .</w:t>
      </w:r>
    </w:p>
    <w:p w14:paraId="65808ED1" w14:textId="77777777" w:rsidR="00D8735D" w:rsidRPr="00CF2780" w:rsidRDefault="00D8735D" w:rsidP="00D8735D">
      <w:pPr>
        <w:spacing w:after="0" w:line="240" w:lineRule="auto"/>
        <w:jc w:val="both"/>
        <w:rPr>
          <w:rFonts w:ascii="Arial" w:hAnsi="Arial" w:cs="Arial"/>
          <w:b/>
          <w:bCs/>
          <w:lang w:eastAsia="es-MX"/>
        </w:rPr>
      </w:pPr>
    </w:p>
    <w:p w14:paraId="0FF3CFEE" w14:textId="77777777" w:rsidR="00D8735D" w:rsidRPr="00CF2780" w:rsidRDefault="00D8735D" w:rsidP="00D8735D">
      <w:pPr>
        <w:spacing w:after="0" w:line="240" w:lineRule="auto"/>
        <w:jc w:val="both"/>
        <w:rPr>
          <w:rFonts w:ascii="Arial" w:hAnsi="Arial" w:cs="Arial"/>
          <w:b/>
          <w:bCs/>
          <w:lang w:eastAsia="es-MX"/>
        </w:rPr>
      </w:pPr>
      <w:r w:rsidRPr="00CF2780">
        <w:rPr>
          <w:rFonts w:ascii="Arial" w:hAnsi="Arial" w:cs="Arial"/>
          <w:b/>
          <w:bCs/>
          <w:lang w:eastAsia="es-MX"/>
        </w:rPr>
        <w:t>Consideraciones de la CoIDH</w:t>
      </w:r>
    </w:p>
    <w:p w14:paraId="177C956F" w14:textId="77777777" w:rsidR="00D8735D" w:rsidRPr="00CF2780" w:rsidRDefault="00D8735D" w:rsidP="00D8735D">
      <w:pPr>
        <w:spacing w:after="0" w:line="240" w:lineRule="auto"/>
        <w:jc w:val="both"/>
        <w:rPr>
          <w:rFonts w:ascii="Arial" w:hAnsi="Arial" w:cs="Arial"/>
          <w:lang w:eastAsia="es-MX"/>
        </w:rPr>
      </w:pPr>
    </w:p>
    <w:p w14:paraId="217D911A" w14:textId="6F496251" w:rsidR="00D8735D" w:rsidRPr="00CF2780" w:rsidRDefault="00D8735D" w:rsidP="00D8735D">
      <w:pPr>
        <w:spacing w:after="0" w:line="240" w:lineRule="auto"/>
        <w:jc w:val="both"/>
        <w:rPr>
          <w:rFonts w:ascii="Arial" w:hAnsi="Arial" w:cs="Arial"/>
          <w:b/>
          <w:bCs/>
          <w:lang w:eastAsia="es-MX"/>
        </w:rPr>
      </w:pPr>
      <w:r w:rsidRPr="00CF2780">
        <w:rPr>
          <w:rFonts w:ascii="Arial" w:hAnsi="Arial" w:cs="Arial"/>
          <w:b/>
          <w:bCs/>
          <w:lang w:eastAsia="es-MX"/>
        </w:rPr>
        <w:t>I. Violación de los artículos 25.1 y 25.2.c (Protección Judicial), y 21.1 y 21.2</w:t>
      </w:r>
      <w:r w:rsidRPr="00CF2780">
        <w:rPr>
          <w:rFonts w:ascii="Arial" w:hAnsi="Arial" w:cs="Arial"/>
          <w:lang w:eastAsia="es-MX"/>
        </w:rPr>
        <w:t xml:space="preserve"> </w:t>
      </w:r>
      <w:r w:rsidRPr="00CF2780">
        <w:rPr>
          <w:rFonts w:ascii="Arial" w:hAnsi="Arial" w:cs="Arial"/>
          <w:b/>
          <w:bCs/>
          <w:lang w:eastAsia="es-MX"/>
        </w:rPr>
        <w:t xml:space="preserve">(derecho a la propiedad privada) de la Convención Americana, en relación con el artículo 1.1 (obligación de respetar los derechos) </w:t>
      </w:r>
    </w:p>
    <w:p w14:paraId="6D4DACEB" w14:textId="77777777" w:rsidR="00F50C2E" w:rsidRPr="00CF2780" w:rsidRDefault="00F50C2E" w:rsidP="00D8735D">
      <w:pPr>
        <w:spacing w:after="0" w:line="240" w:lineRule="auto"/>
        <w:jc w:val="both"/>
        <w:rPr>
          <w:rFonts w:ascii="Arial" w:hAnsi="Arial" w:cs="Arial"/>
          <w:lang w:eastAsia="es-MX"/>
        </w:rPr>
      </w:pPr>
    </w:p>
    <w:p w14:paraId="69345AC0" w14:textId="77777777" w:rsidR="00D8735D" w:rsidRPr="00CF2780" w:rsidRDefault="00D8735D" w:rsidP="00D8735D">
      <w:pPr>
        <w:spacing w:after="0" w:line="240" w:lineRule="auto"/>
        <w:jc w:val="both"/>
        <w:rPr>
          <w:rFonts w:ascii="Arial" w:hAnsi="Arial" w:cs="Arial"/>
          <w:b/>
          <w:bCs/>
          <w:lang w:eastAsia="es-MX"/>
        </w:rPr>
      </w:pPr>
      <w:r w:rsidRPr="00CF2780">
        <w:rPr>
          <w:rFonts w:ascii="Arial" w:hAnsi="Arial" w:cs="Arial"/>
          <w:b/>
          <w:bCs/>
          <w:lang w:eastAsia="es-MX"/>
        </w:rPr>
        <w:t xml:space="preserve">1.1. El derecho a la protección judicial </w:t>
      </w:r>
    </w:p>
    <w:p w14:paraId="188A5C75" w14:textId="77777777" w:rsidR="00D8735D" w:rsidRPr="00CF2780" w:rsidRDefault="00D8735D" w:rsidP="00D8735D">
      <w:pPr>
        <w:spacing w:after="0" w:line="240" w:lineRule="auto"/>
        <w:jc w:val="both"/>
        <w:rPr>
          <w:rFonts w:ascii="Arial" w:hAnsi="Arial" w:cs="Arial"/>
          <w:lang w:eastAsia="es-MX"/>
        </w:rPr>
      </w:pPr>
    </w:p>
    <w:p w14:paraId="0F09ACC7" w14:textId="77777777" w:rsidR="00D8735D" w:rsidRPr="00CF2780" w:rsidRDefault="00D8735D" w:rsidP="00D8735D">
      <w:pPr>
        <w:spacing w:after="0" w:line="240" w:lineRule="auto"/>
        <w:jc w:val="both"/>
        <w:rPr>
          <w:rFonts w:ascii="Arial" w:hAnsi="Arial" w:cs="Arial"/>
          <w:lang w:eastAsia="es-MX"/>
        </w:rPr>
      </w:pPr>
      <w:r w:rsidRPr="00CF2780">
        <w:rPr>
          <w:rFonts w:ascii="Arial" w:hAnsi="Arial" w:cs="Arial"/>
          <w:lang w:eastAsia="es-MX"/>
        </w:rPr>
        <w:t xml:space="preserve">69. La Corte ha señalado que el artículo 25.1 de la Convención contempla la obligación de los Estados Partes de garantizar, a todas las personas bajo su jurisdicción, un recurso judicial efectivo contra actos violatorios de sus derechos fundamentales. Dicha efectividad supone que, además de la existencia formal de los recursos, éstos den resultados o respuestas a las violaciones de derechos contemplados ya sea en la Convención, en la Constitución o en las leyes. En ese sentido, no pueden considerarse efectivos aquellos recursos que, por las condiciones generales del país o incluso por las circunstancias particulares de un caso dado, resulten ilusorios. Ello puede ocurrir, por ejemplo, cuando su inutilidad haya quedado demostrada por la práctica, porque falten los medios para ejecutar </w:t>
      </w:r>
      <w:r w:rsidRPr="00CF2780">
        <w:rPr>
          <w:rFonts w:ascii="Arial" w:hAnsi="Arial" w:cs="Arial"/>
          <w:lang w:eastAsia="es-MX"/>
        </w:rPr>
        <w:lastRenderedPageBreak/>
        <w:t xml:space="preserve">sus decisiones o por cualquier otra situación que configure un cuadro de denegación de justicia. Así, el proceso debe tender a la materialización de la protección del derecho reconocido en el pronunciamiento judicial mediante la aplicación idónea de dicho pronunciamiento. </w:t>
      </w:r>
    </w:p>
    <w:p w14:paraId="01361195" w14:textId="77777777" w:rsidR="00D8735D" w:rsidRPr="00CF2780" w:rsidRDefault="00D8735D" w:rsidP="00D8735D">
      <w:pPr>
        <w:spacing w:after="0" w:line="240" w:lineRule="auto"/>
        <w:jc w:val="both"/>
        <w:rPr>
          <w:rFonts w:ascii="Arial" w:hAnsi="Arial" w:cs="Arial"/>
          <w:lang w:eastAsia="es-MX"/>
        </w:rPr>
      </w:pPr>
    </w:p>
    <w:p w14:paraId="124D38F4" w14:textId="77777777" w:rsidR="00D8735D" w:rsidRPr="00CF2780" w:rsidRDefault="00D8735D" w:rsidP="00D8735D">
      <w:pPr>
        <w:spacing w:after="0" w:line="240" w:lineRule="auto"/>
        <w:jc w:val="both"/>
        <w:rPr>
          <w:rFonts w:ascii="Arial" w:hAnsi="Arial" w:cs="Arial"/>
          <w:lang w:eastAsia="es-MX"/>
        </w:rPr>
      </w:pPr>
      <w:r w:rsidRPr="00CF2780">
        <w:rPr>
          <w:rFonts w:ascii="Arial" w:hAnsi="Arial" w:cs="Arial"/>
          <w:lang w:eastAsia="es-MX"/>
        </w:rPr>
        <w:t xml:space="preserve">72. En ese sentido, en los términos del artículo 25 de la Convención, es posible identificar dos responsabilidades concretas del Estado. La primera, consagrar normativamente y asegurar la debida aplicación de recursos efectivos ante las autoridades competentes, que amparen a todas las personas bajo su jurisdicción contra actos que violen sus derechos fundamentales o que conlleven a la determinación de los derechos y obligaciones de éstas. La segunda, garantizar los medios para ejecutar las respectivas decisiones y sentencias definitivas emitidas por tales autoridades competentes, de manera que se protejan efectivamente los derechos declarados o reconocidos. Esto último, debido a que una sentencia con carácter de cosa juzgada otorga certeza sobre el derecho o controversia discutida en el caso concreto y, por ende, tiene como uno de sus efectos la obligatoriedad o necesidad de cumplimiento. Lo contrario supone la negación misma del derecho involucrado. </w:t>
      </w:r>
    </w:p>
    <w:p w14:paraId="378EA87B" w14:textId="77777777" w:rsidR="00D8735D" w:rsidRPr="00CF2780" w:rsidRDefault="00D8735D" w:rsidP="00D8735D">
      <w:pPr>
        <w:spacing w:after="0" w:line="240" w:lineRule="auto"/>
        <w:jc w:val="both"/>
        <w:rPr>
          <w:rFonts w:ascii="Arial" w:hAnsi="Arial" w:cs="Arial"/>
          <w:lang w:eastAsia="es-MX"/>
        </w:rPr>
      </w:pPr>
    </w:p>
    <w:p w14:paraId="76E252BB" w14:textId="77777777" w:rsidR="00D8735D" w:rsidRPr="00CF2780" w:rsidRDefault="00D8735D" w:rsidP="00D8735D">
      <w:pPr>
        <w:spacing w:after="0" w:line="240" w:lineRule="auto"/>
        <w:jc w:val="both"/>
        <w:rPr>
          <w:rFonts w:ascii="Arial" w:hAnsi="Arial" w:cs="Arial"/>
          <w:lang w:eastAsia="es-MX"/>
        </w:rPr>
      </w:pPr>
      <w:r w:rsidRPr="00CF2780">
        <w:rPr>
          <w:rFonts w:ascii="Arial" w:hAnsi="Arial" w:cs="Arial"/>
          <w:lang w:eastAsia="es-MX"/>
        </w:rPr>
        <w:t xml:space="preserve">77. Además de la obligación de proveer un recurso rápido, sencillo y eficaz a las presuntas víctimas para garantizar sus derechos, lo cual no ocurrió, la Convención establece que el derecho a la protección judicial exige que el Estado garantice el cumplimiento de las decisiones que emitió el Tribunal Constitucional del Perú al respecto. En este sentido, el Tribunal observa que, en total, han transcurrido más de 11 y 8 años desde la emisión de la primera y última sentencia del Tribunal Constitucional, respectivamente – y casi 15 años desde la sentencia de la Primera Sala Civil Especializada de la Corte Superior de Lima – sin que éstas hayan sido efectivamente cumplidas. La ineficacia de dichos recursos ha causado que el derecho a la protección judicial de las presuntas víctimas haya resultado al menos parcialmente ilusorio, determinando la negación misma del derecho involucrado. </w:t>
      </w:r>
    </w:p>
    <w:p w14:paraId="638CC292" w14:textId="77777777" w:rsidR="00D8735D" w:rsidRPr="00CF2780" w:rsidRDefault="00D8735D" w:rsidP="00D8735D">
      <w:pPr>
        <w:spacing w:after="0" w:line="240" w:lineRule="auto"/>
        <w:jc w:val="both"/>
        <w:rPr>
          <w:rFonts w:ascii="Arial" w:hAnsi="Arial" w:cs="Arial"/>
          <w:lang w:eastAsia="es-MX"/>
        </w:rPr>
      </w:pPr>
    </w:p>
    <w:p w14:paraId="2A1157F2" w14:textId="77777777" w:rsidR="00D8735D" w:rsidRPr="00CF2780" w:rsidRDefault="00D8735D" w:rsidP="00D8735D">
      <w:pPr>
        <w:spacing w:after="0" w:line="240" w:lineRule="auto"/>
        <w:jc w:val="both"/>
        <w:rPr>
          <w:rFonts w:ascii="Arial" w:hAnsi="Arial" w:cs="Arial"/>
          <w:lang w:eastAsia="es-MX"/>
        </w:rPr>
      </w:pPr>
      <w:r w:rsidRPr="00CF2780">
        <w:rPr>
          <w:rFonts w:ascii="Arial" w:hAnsi="Arial" w:cs="Arial"/>
          <w:lang w:eastAsia="es-MX"/>
        </w:rPr>
        <w:t xml:space="preserve">79. Por todo lo anteriormente expuesto, la Corte considera que el Estado violó el derecho a la protección judicial reconocido en el artículo 25.1 y 25.2.c de la Convención Americana, en relación con el artículo 1.1 del mismo tratado. </w:t>
      </w:r>
    </w:p>
    <w:p w14:paraId="7667B0E2" w14:textId="77777777" w:rsidR="00D8735D" w:rsidRPr="00CF2780" w:rsidRDefault="00D8735D" w:rsidP="00D8735D">
      <w:pPr>
        <w:spacing w:after="0" w:line="240" w:lineRule="auto"/>
        <w:jc w:val="both"/>
        <w:rPr>
          <w:rFonts w:ascii="Arial" w:hAnsi="Arial" w:cs="Arial"/>
          <w:lang w:eastAsia="es-MX"/>
        </w:rPr>
      </w:pPr>
    </w:p>
    <w:p w14:paraId="02F9C35E" w14:textId="77777777" w:rsidR="00D8735D" w:rsidRPr="00CF2780" w:rsidRDefault="00D8735D" w:rsidP="00D8735D">
      <w:pPr>
        <w:spacing w:after="0" w:line="240" w:lineRule="auto"/>
        <w:jc w:val="both"/>
        <w:rPr>
          <w:rFonts w:ascii="Arial" w:hAnsi="Arial" w:cs="Arial"/>
          <w:b/>
          <w:bCs/>
          <w:lang w:eastAsia="es-MX"/>
        </w:rPr>
      </w:pPr>
      <w:r w:rsidRPr="00CF2780">
        <w:rPr>
          <w:rFonts w:ascii="Arial" w:hAnsi="Arial" w:cs="Arial"/>
          <w:b/>
          <w:bCs/>
          <w:lang w:eastAsia="es-MX"/>
        </w:rPr>
        <w:t xml:space="preserve">1.2. El derecho a la propiedad en relación con la violación al derecho a la protección judicial </w:t>
      </w:r>
    </w:p>
    <w:p w14:paraId="42C8AAF7" w14:textId="77777777" w:rsidR="00D8735D" w:rsidRPr="00CF2780" w:rsidRDefault="00D8735D" w:rsidP="00D8735D">
      <w:pPr>
        <w:spacing w:after="0" w:line="240" w:lineRule="auto"/>
        <w:jc w:val="both"/>
        <w:rPr>
          <w:rFonts w:ascii="Arial" w:hAnsi="Arial" w:cs="Arial"/>
          <w:lang w:eastAsia="es-MX"/>
        </w:rPr>
      </w:pPr>
    </w:p>
    <w:p w14:paraId="275399F4" w14:textId="77777777" w:rsidR="00D8735D" w:rsidRPr="00CF2780" w:rsidRDefault="00D8735D" w:rsidP="00D8735D">
      <w:pPr>
        <w:spacing w:after="0" w:line="240" w:lineRule="auto"/>
        <w:jc w:val="both"/>
        <w:rPr>
          <w:rFonts w:ascii="Arial" w:hAnsi="Arial" w:cs="Arial"/>
          <w:lang w:eastAsia="es-MX"/>
        </w:rPr>
      </w:pPr>
      <w:r w:rsidRPr="00CF2780">
        <w:rPr>
          <w:rFonts w:ascii="Arial" w:hAnsi="Arial" w:cs="Arial"/>
          <w:lang w:eastAsia="es-MX"/>
        </w:rPr>
        <w:t xml:space="preserve">84. El Tribunal ha desarrollado en su jurisprudencia un concepto amplio de propiedad que abarca, entre otros, el uso y goce de los bienes, definidos como cosas materiales apropiables, así como todo derecho que pueda formar parte del patrimonio de una persona. Asimismo, la Corte ha protegido a través del artículo 21 convencional los derechos adquiridos, entendidos como derechos que se han incorporado al patrimonio de las personas. Resulta necesario reiterar que el derecho a la propiedad no es absoluto y, en ese sentido, puede ser objeto de restricciones y limitaciones, siempre y cuando éstas se realicen por la vía legal adecuada y de conformidad con los parámetros establecidos en dicho artículo 21. </w:t>
      </w:r>
    </w:p>
    <w:p w14:paraId="4D45F66A" w14:textId="77777777" w:rsidR="00D8735D" w:rsidRPr="00CF2780" w:rsidRDefault="00D8735D" w:rsidP="00D8735D">
      <w:pPr>
        <w:spacing w:after="0" w:line="240" w:lineRule="auto"/>
        <w:jc w:val="both"/>
        <w:rPr>
          <w:rFonts w:ascii="Arial" w:hAnsi="Arial" w:cs="Arial"/>
          <w:lang w:eastAsia="es-MX"/>
        </w:rPr>
      </w:pPr>
    </w:p>
    <w:p w14:paraId="100B1302" w14:textId="77777777" w:rsidR="00D8735D" w:rsidRPr="00CF2780" w:rsidRDefault="00D8735D" w:rsidP="00D8735D">
      <w:pPr>
        <w:spacing w:after="0" w:line="240" w:lineRule="auto"/>
        <w:jc w:val="both"/>
        <w:rPr>
          <w:rFonts w:ascii="Arial" w:hAnsi="Arial" w:cs="Arial"/>
          <w:lang w:eastAsia="es-MX"/>
        </w:rPr>
      </w:pPr>
      <w:r w:rsidRPr="00CF2780">
        <w:rPr>
          <w:rFonts w:ascii="Arial" w:hAnsi="Arial" w:cs="Arial"/>
          <w:lang w:eastAsia="es-MX"/>
        </w:rPr>
        <w:t xml:space="preserve">88. El derecho a la pensión nivelable que adquirieron las víctimas, de conformidad con la normativa peruana aplicable, generó un efecto en el patrimonio de éstas, quienes recibían los montos correspondientes cada mes. Tal patrimonio se vio afectado directamente por la reducción de manera ilegal, según lo señalado por el Tribunal Constitucional, en el monto recibido entre abril de 1993 y octubre 2002. Por tanto, las víctimas no pudieron gozar </w:t>
      </w:r>
      <w:r w:rsidRPr="00CF2780">
        <w:rPr>
          <w:rFonts w:ascii="Arial" w:hAnsi="Arial" w:cs="Arial"/>
          <w:lang w:eastAsia="es-MX"/>
        </w:rPr>
        <w:lastRenderedPageBreak/>
        <w:t xml:space="preserve">integralmente de su derecho a la propiedad sobre los efectos patrimoniales de su pensión nivelable, legalmente reconocida, entendiendo aquéllos como los montos dejados de percibir. </w:t>
      </w:r>
    </w:p>
    <w:p w14:paraId="13E4E6AE" w14:textId="77777777" w:rsidR="00D8735D" w:rsidRPr="00CF2780" w:rsidRDefault="00D8735D" w:rsidP="00D8735D">
      <w:pPr>
        <w:spacing w:after="0" w:line="240" w:lineRule="auto"/>
        <w:jc w:val="both"/>
        <w:rPr>
          <w:rFonts w:ascii="Arial" w:hAnsi="Arial" w:cs="Arial"/>
          <w:lang w:eastAsia="es-MX"/>
        </w:rPr>
      </w:pPr>
    </w:p>
    <w:p w14:paraId="4F726878" w14:textId="77777777" w:rsidR="00D8735D" w:rsidRPr="00CF2780" w:rsidRDefault="00D8735D" w:rsidP="00D8735D">
      <w:pPr>
        <w:spacing w:after="0" w:line="240" w:lineRule="auto"/>
        <w:jc w:val="both"/>
        <w:rPr>
          <w:rFonts w:ascii="Arial" w:hAnsi="Arial" w:cs="Arial"/>
          <w:lang w:eastAsia="es-MX"/>
        </w:rPr>
      </w:pPr>
      <w:r w:rsidRPr="00CF2780">
        <w:rPr>
          <w:rFonts w:ascii="Arial" w:hAnsi="Arial" w:cs="Arial"/>
          <w:lang w:eastAsia="es-MX"/>
        </w:rPr>
        <w:t xml:space="preserve">89. En la medida en que el Estado a la fecha aún no ha cumplido con reintegrar a las víctimas los montos pensionarios retenidos entre abril de 1993 y octubre de 2002, esta afectación a su patrimonio continúa. </w:t>
      </w:r>
    </w:p>
    <w:p w14:paraId="731E9377" w14:textId="77777777" w:rsidR="00D8735D" w:rsidRPr="00CF2780" w:rsidRDefault="00D8735D" w:rsidP="00D8735D">
      <w:pPr>
        <w:spacing w:after="0" w:line="240" w:lineRule="auto"/>
        <w:jc w:val="both"/>
        <w:rPr>
          <w:rFonts w:ascii="Arial" w:hAnsi="Arial" w:cs="Arial"/>
          <w:lang w:eastAsia="es-MX"/>
        </w:rPr>
      </w:pPr>
    </w:p>
    <w:p w14:paraId="770C2E32" w14:textId="77777777" w:rsidR="00D8735D" w:rsidRPr="00CF2780" w:rsidRDefault="00D8735D" w:rsidP="00D8735D">
      <w:pPr>
        <w:spacing w:after="0" w:line="240" w:lineRule="auto"/>
        <w:jc w:val="both"/>
        <w:rPr>
          <w:rFonts w:ascii="Arial" w:hAnsi="Arial" w:cs="Arial"/>
          <w:lang w:eastAsia="es-MX"/>
        </w:rPr>
      </w:pPr>
      <w:r w:rsidRPr="00CF2780">
        <w:rPr>
          <w:rFonts w:ascii="Arial" w:hAnsi="Arial" w:cs="Arial"/>
          <w:lang w:eastAsia="es-MX"/>
        </w:rPr>
        <w:t xml:space="preserve">90. En conclusión, la Corte considera que, de la prolongada e injustificada inobservancia de las resoluciones jurisdiccionales internas deriva el quebranto al derecho a la propiedad reconocido en el artículo 21 de la Convención, que no se habría configurado si dichas sentencias hubiesen sido acatadas en forma pronta y completa. </w:t>
      </w:r>
    </w:p>
    <w:p w14:paraId="295518A5" w14:textId="77777777" w:rsidR="00D8735D" w:rsidRPr="00CF2780" w:rsidRDefault="00D8735D" w:rsidP="00D8735D">
      <w:pPr>
        <w:spacing w:after="0" w:line="240" w:lineRule="auto"/>
        <w:jc w:val="both"/>
        <w:rPr>
          <w:rFonts w:ascii="Arial" w:hAnsi="Arial" w:cs="Arial"/>
          <w:lang w:eastAsia="es-MX"/>
        </w:rPr>
      </w:pPr>
    </w:p>
    <w:p w14:paraId="409F3BBF" w14:textId="77777777" w:rsidR="00D8735D" w:rsidRPr="00CF2780" w:rsidRDefault="00D8735D" w:rsidP="00D8735D">
      <w:pPr>
        <w:spacing w:after="0" w:line="240" w:lineRule="auto"/>
        <w:jc w:val="both"/>
        <w:rPr>
          <w:rFonts w:ascii="Arial" w:hAnsi="Arial" w:cs="Arial"/>
          <w:lang w:eastAsia="es-MX"/>
        </w:rPr>
      </w:pPr>
      <w:r w:rsidRPr="00CF2780">
        <w:rPr>
          <w:rFonts w:ascii="Arial" w:hAnsi="Arial" w:cs="Arial"/>
          <w:lang w:eastAsia="es-MX"/>
        </w:rPr>
        <w:t xml:space="preserve">91. Por todo lo anteriormente expuesto, la Corte reitera que el Estado violó el derecho a la protección judicial reconocido en el artículo 25.1 y 25.2.c de la Convención Americana y </w:t>
      </w:r>
    </w:p>
    <w:p w14:paraId="37C3E501" w14:textId="77777777" w:rsidR="00D8735D" w:rsidRPr="00CF2780" w:rsidRDefault="00D8735D" w:rsidP="00D8735D">
      <w:pPr>
        <w:spacing w:after="0" w:line="240" w:lineRule="auto"/>
        <w:jc w:val="both"/>
        <w:rPr>
          <w:rFonts w:ascii="Arial" w:hAnsi="Arial" w:cs="Arial"/>
          <w:lang w:eastAsia="es-MX"/>
        </w:rPr>
      </w:pPr>
      <w:r w:rsidRPr="00CF2780">
        <w:rPr>
          <w:rFonts w:ascii="Arial" w:hAnsi="Arial" w:cs="Arial"/>
          <w:lang w:eastAsia="es-MX"/>
        </w:rPr>
        <w:t xml:space="preserve">también violó el derecho a la propiedad privada reconocido en el artículo 21.1 y 21.2 de dicho instrumento, todo ello en relación con el artículo 1.1 del mismo tratado. </w:t>
      </w:r>
    </w:p>
    <w:p w14:paraId="7135304D" w14:textId="77777777" w:rsidR="00D8735D" w:rsidRPr="00CF2780" w:rsidRDefault="00D8735D" w:rsidP="00D8735D">
      <w:pPr>
        <w:spacing w:after="0" w:line="240" w:lineRule="auto"/>
        <w:jc w:val="both"/>
        <w:rPr>
          <w:rFonts w:ascii="Arial" w:hAnsi="Arial" w:cs="Arial"/>
          <w:lang w:eastAsia="es-MX"/>
        </w:rPr>
      </w:pPr>
    </w:p>
    <w:p w14:paraId="208AEB1E" w14:textId="77777777" w:rsidR="00D8735D" w:rsidRPr="00CF2780" w:rsidRDefault="00D8735D" w:rsidP="00D8735D">
      <w:pPr>
        <w:spacing w:after="0" w:line="240" w:lineRule="auto"/>
        <w:jc w:val="both"/>
        <w:rPr>
          <w:rFonts w:ascii="Arial" w:hAnsi="Arial" w:cs="Arial"/>
          <w:lang w:eastAsia="es-MX"/>
        </w:rPr>
      </w:pPr>
    </w:p>
    <w:p w14:paraId="0C6A9C2B" w14:textId="77777777" w:rsidR="00D8735D" w:rsidRPr="00CF2780" w:rsidRDefault="00D8735D" w:rsidP="00D8735D">
      <w:pPr>
        <w:spacing w:after="0" w:line="240" w:lineRule="auto"/>
        <w:jc w:val="both"/>
        <w:rPr>
          <w:rFonts w:ascii="Arial" w:hAnsi="Arial" w:cs="Arial"/>
          <w:b/>
          <w:bCs/>
          <w:lang w:eastAsia="es-MX"/>
        </w:rPr>
      </w:pPr>
      <w:r w:rsidRPr="00CF2780">
        <w:rPr>
          <w:rFonts w:ascii="Arial" w:hAnsi="Arial" w:cs="Arial"/>
          <w:b/>
          <w:bCs/>
          <w:lang w:eastAsia="es-MX"/>
        </w:rPr>
        <w:t xml:space="preserve">II. Artículo 26 (Desarrollo progresivo de los derechos económicos, sociales y culturales) de la Convención Americana </w:t>
      </w:r>
    </w:p>
    <w:p w14:paraId="70F5CEEC" w14:textId="77777777" w:rsidR="00D8735D" w:rsidRPr="00CF2780" w:rsidRDefault="00D8735D" w:rsidP="00D8735D">
      <w:pPr>
        <w:spacing w:after="0" w:line="240" w:lineRule="auto"/>
        <w:jc w:val="both"/>
        <w:rPr>
          <w:rFonts w:ascii="Arial" w:hAnsi="Arial" w:cs="Arial"/>
          <w:lang w:eastAsia="es-MX"/>
        </w:rPr>
      </w:pPr>
    </w:p>
    <w:p w14:paraId="21102182" w14:textId="77777777" w:rsidR="00D8735D" w:rsidRPr="00CF2780" w:rsidRDefault="00D8735D" w:rsidP="00D8735D">
      <w:pPr>
        <w:spacing w:after="0" w:line="240" w:lineRule="auto"/>
        <w:jc w:val="both"/>
        <w:rPr>
          <w:rFonts w:ascii="Arial" w:hAnsi="Arial" w:cs="Arial"/>
          <w:lang w:eastAsia="es-MX"/>
        </w:rPr>
      </w:pPr>
      <w:r w:rsidRPr="00CF2780">
        <w:rPr>
          <w:rFonts w:ascii="Arial" w:hAnsi="Arial" w:cs="Arial"/>
          <w:lang w:eastAsia="es-MX"/>
        </w:rPr>
        <w:t xml:space="preserve">98. El Tribunal observa que los argumentos del representante se enfocan, primordialmente, en los siguientes dos puntos: a) la falta de pago de la totalidad de los montos devengados desde abril de 1993 hasta octubre de 2002 y el incumplimiento de las sentencias judiciales que ordenaron dicho reintegro y b) la adopción y aplicación de los Decretos Nos. 25597 y 036-93-EF. </w:t>
      </w:r>
    </w:p>
    <w:p w14:paraId="02E22FC1" w14:textId="77777777" w:rsidR="00D8735D" w:rsidRPr="00CF2780" w:rsidRDefault="00D8735D" w:rsidP="00D8735D">
      <w:pPr>
        <w:spacing w:after="0" w:line="240" w:lineRule="auto"/>
        <w:jc w:val="both"/>
        <w:rPr>
          <w:rFonts w:ascii="Arial" w:hAnsi="Arial" w:cs="Arial"/>
          <w:lang w:eastAsia="es-MX"/>
        </w:rPr>
      </w:pPr>
    </w:p>
    <w:p w14:paraId="3A4EA314" w14:textId="77777777" w:rsidR="00D8735D" w:rsidRPr="00CF2780" w:rsidRDefault="00D8735D" w:rsidP="00D8735D">
      <w:pPr>
        <w:spacing w:after="0" w:line="240" w:lineRule="auto"/>
        <w:jc w:val="both"/>
        <w:rPr>
          <w:rFonts w:ascii="Arial" w:hAnsi="Arial" w:cs="Arial"/>
          <w:lang w:eastAsia="es-MX"/>
        </w:rPr>
      </w:pPr>
      <w:r w:rsidRPr="00CF2780">
        <w:rPr>
          <w:rFonts w:ascii="Arial" w:hAnsi="Arial" w:cs="Arial"/>
          <w:lang w:eastAsia="es-MX"/>
        </w:rPr>
        <w:t xml:space="preserve">102. El Tribunal observa que el desarrollo progresivo de los derechos económicos, sociales y culturales ha sido materia de pronunciamiento por parte del Comité de Derechos Económicos, Sociales y Culturales de las Naciones Unidas, en el sentido de que la plena efectividad de aquéllos “no podrá lograrse en un breve período de tiempo” y que, en esa medida, “requiere un dispositivo de flexibilidad necesaria que refleje las realidades del mundo (...) y las dificultades que implica para cada país el asegurar [dicha] efectividad”. En el marco de dicha flexibilidad en cuanto a plazo y modalidades, el Estado tendrá esencialmente, aunque no exclusivamente, una obligación de hacer, es decir, de adoptar providencias y brindar los medios y elementos necesarios para responder a las exigencias de efectividad de los derechos involucrados, siempre en la medida de los recursos económicos y financieros de que disponga para el cumplimiento del respectivo compromiso internacional adquirido. Así, la implementación progresiva de dichas medidas podrá ser objeto de rendición de cuentas y, de ser el caso, el cumplimiento del respectivo compromiso adquirido por el Estado podrá ser exigido ante las instancias llamadas a resolver eventuales violaciones a los derechos humanos. </w:t>
      </w:r>
    </w:p>
    <w:p w14:paraId="75D3174C" w14:textId="77777777" w:rsidR="00D8735D" w:rsidRPr="00CF2780" w:rsidRDefault="00D8735D" w:rsidP="00D8735D">
      <w:pPr>
        <w:spacing w:after="0" w:line="240" w:lineRule="auto"/>
        <w:jc w:val="both"/>
        <w:rPr>
          <w:rFonts w:ascii="Arial" w:hAnsi="Arial" w:cs="Arial"/>
          <w:lang w:eastAsia="es-MX"/>
        </w:rPr>
      </w:pPr>
    </w:p>
    <w:p w14:paraId="3E31B812" w14:textId="77777777" w:rsidR="00D8735D" w:rsidRPr="00CF2780" w:rsidRDefault="00D8735D" w:rsidP="00D8735D">
      <w:pPr>
        <w:spacing w:after="0" w:line="240" w:lineRule="auto"/>
        <w:jc w:val="both"/>
        <w:rPr>
          <w:rFonts w:ascii="Arial" w:hAnsi="Arial" w:cs="Arial"/>
          <w:lang w:eastAsia="es-MX"/>
        </w:rPr>
      </w:pPr>
      <w:r w:rsidRPr="00CF2780">
        <w:rPr>
          <w:rFonts w:ascii="Arial" w:hAnsi="Arial" w:cs="Arial"/>
          <w:lang w:eastAsia="es-MX"/>
        </w:rPr>
        <w:t xml:space="preserve">103. Como correlato de lo anterior, se desprende un deber – condicionado – de no-regresividad, que no siempre deberá ser entendido como una prohibición de medidas que restrinjan el ejercicio de un derecho. Al respecto, el Comité de Derechos Económicos, Sociales y Culturales de las Naciones Unidas ha señalado que “las medidas de carácter deliberadamente re[gresivo] en este aspecto requerirán la consideración más cuidadosa y deberán justificarse plenamente por referencia a la totalidad de los derechos previstos en el Pacto [Internacional de Derechos Económicos, Sociales y Culturales] y en el contexto del </w:t>
      </w:r>
      <w:r w:rsidRPr="00CF2780">
        <w:rPr>
          <w:rFonts w:ascii="Arial" w:hAnsi="Arial" w:cs="Arial"/>
          <w:lang w:eastAsia="es-MX"/>
        </w:rPr>
        <w:lastRenderedPageBreak/>
        <w:t xml:space="preserve">aprovechamiento pleno del máximo de los recursos de que [el Estado] disponga”. En la misma línea, la Comisión Interamericana ha considerado que para evaluar si una medida regresiva es compatible con la Convención Americana, se deberá “determinar si se encuentra justificada por razones de suficiente peso”. Por todo lo expuesto, cabe afirmar que la regresividad resulta justiciable cuando de derechos económicos, sociales y culturales se trate. </w:t>
      </w:r>
    </w:p>
    <w:p w14:paraId="146F4EF4" w14:textId="77777777" w:rsidR="00D8735D" w:rsidRPr="00CF2780" w:rsidRDefault="00D8735D" w:rsidP="00D8735D">
      <w:pPr>
        <w:spacing w:after="0" w:line="240" w:lineRule="auto"/>
        <w:jc w:val="both"/>
        <w:rPr>
          <w:rFonts w:ascii="Arial" w:hAnsi="Arial" w:cs="Arial"/>
          <w:lang w:eastAsia="es-MX"/>
        </w:rPr>
      </w:pPr>
    </w:p>
    <w:p w14:paraId="0D3493E7" w14:textId="77777777" w:rsidR="00D8735D" w:rsidRPr="00CF2780" w:rsidRDefault="00D8735D" w:rsidP="00D8735D">
      <w:pPr>
        <w:spacing w:after="0" w:line="240" w:lineRule="auto"/>
        <w:jc w:val="both"/>
        <w:rPr>
          <w:rFonts w:ascii="Arial" w:hAnsi="Arial" w:cs="Arial"/>
          <w:lang w:eastAsia="es-MX"/>
        </w:rPr>
      </w:pPr>
      <w:r w:rsidRPr="00CF2780">
        <w:rPr>
          <w:rFonts w:ascii="Arial" w:hAnsi="Arial" w:cs="Arial"/>
          <w:lang w:eastAsia="es-MX"/>
        </w:rPr>
        <w:t xml:space="preserve">2.1. El artículo 26 de la Convención en relación con la falta de pago de la totalidad de los montos devengados y el incumplimiento de las sentencias judiciales que ordenan dicho pago en este caso </w:t>
      </w:r>
    </w:p>
    <w:p w14:paraId="351AAD4E" w14:textId="77777777" w:rsidR="00D8735D" w:rsidRPr="00CF2780" w:rsidRDefault="00D8735D" w:rsidP="00D8735D">
      <w:pPr>
        <w:spacing w:after="0" w:line="240" w:lineRule="auto"/>
        <w:jc w:val="both"/>
        <w:rPr>
          <w:rFonts w:ascii="Arial" w:hAnsi="Arial" w:cs="Arial"/>
          <w:lang w:eastAsia="es-MX"/>
        </w:rPr>
      </w:pPr>
    </w:p>
    <w:p w14:paraId="5B775F81" w14:textId="77777777" w:rsidR="00D8735D" w:rsidRPr="00CF2780" w:rsidRDefault="00D8735D" w:rsidP="00D8735D">
      <w:pPr>
        <w:spacing w:after="0" w:line="240" w:lineRule="auto"/>
        <w:jc w:val="both"/>
        <w:rPr>
          <w:rFonts w:ascii="Arial" w:hAnsi="Arial" w:cs="Arial"/>
          <w:lang w:eastAsia="es-MX"/>
        </w:rPr>
      </w:pPr>
      <w:r w:rsidRPr="00CF2780">
        <w:rPr>
          <w:rFonts w:ascii="Arial" w:hAnsi="Arial" w:cs="Arial"/>
          <w:lang w:eastAsia="es-MX"/>
        </w:rPr>
        <w:t xml:space="preserve">104. Este Tribunal ya consideró que el Estado violó el derecho a la protección judicial de los integrantes de la Asociación con motivo de la falta de efectividad de los recursos planteados y el incumplimiento de las sentencias que ordenaron el pago de los montos pensionarios dejados de percibir entre abril de 1993 y octubre de 2002. Asimismo, la Corte consideró que la falta de pago de dichos montos continúa afectando el derecho a la propiedad de las víctimas en tanto éstas aún no pueden gozar integralmente de los efectos patrimoniales que les correspondía, de conformidad con el régimen de pensión nivelable al que se acogieron. </w:t>
      </w:r>
    </w:p>
    <w:p w14:paraId="0D97AD5C" w14:textId="77777777" w:rsidR="00D8735D" w:rsidRPr="00CF2780" w:rsidRDefault="00D8735D" w:rsidP="00D8735D">
      <w:pPr>
        <w:spacing w:after="0" w:line="240" w:lineRule="auto"/>
        <w:jc w:val="both"/>
        <w:rPr>
          <w:rFonts w:ascii="Arial" w:hAnsi="Arial" w:cs="Arial"/>
          <w:lang w:eastAsia="es-MX"/>
        </w:rPr>
      </w:pPr>
    </w:p>
    <w:p w14:paraId="0EE25F91" w14:textId="77777777" w:rsidR="00D8735D" w:rsidRPr="00CF2780" w:rsidRDefault="00D8735D" w:rsidP="00D8735D">
      <w:pPr>
        <w:spacing w:after="0" w:line="240" w:lineRule="auto"/>
        <w:jc w:val="both"/>
        <w:rPr>
          <w:rFonts w:ascii="Arial" w:hAnsi="Arial" w:cs="Arial"/>
          <w:lang w:eastAsia="es-MX"/>
        </w:rPr>
      </w:pPr>
      <w:r w:rsidRPr="00CF2780">
        <w:rPr>
          <w:rFonts w:ascii="Arial" w:hAnsi="Arial" w:cs="Arial"/>
          <w:lang w:eastAsia="es-MX"/>
        </w:rPr>
        <w:t xml:space="preserve">105. El incumplimiento de las referidas sentencias judiciales y el consecuente efecto patrimonial que éste ha tenido sobre las víctimas son situaciones que afectan los derechos a la protección judicial y a la propiedad, reconocidos en los artículos 25 y 21 de la Convención Americana, respectivamente. </w:t>
      </w:r>
    </w:p>
    <w:p w14:paraId="1D78F98C" w14:textId="77777777" w:rsidR="00D8735D" w:rsidRPr="00CF2780" w:rsidRDefault="00D8735D" w:rsidP="00D8735D">
      <w:pPr>
        <w:spacing w:after="0" w:line="240" w:lineRule="auto"/>
        <w:jc w:val="both"/>
        <w:rPr>
          <w:rFonts w:ascii="Arial" w:hAnsi="Arial" w:cs="Arial"/>
          <w:lang w:eastAsia="es-MX"/>
        </w:rPr>
      </w:pPr>
    </w:p>
    <w:p w14:paraId="450A285B" w14:textId="77777777" w:rsidR="00D8735D" w:rsidRPr="00CF2780" w:rsidRDefault="00D8735D" w:rsidP="00D8735D">
      <w:pPr>
        <w:spacing w:after="0" w:line="240" w:lineRule="auto"/>
        <w:jc w:val="both"/>
        <w:rPr>
          <w:rFonts w:ascii="Arial" w:hAnsi="Arial" w:cs="Arial"/>
          <w:lang w:eastAsia="es-MX"/>
        </w:rPr>
      </w:pPr>
      <w:r w:rsidRPr="00CF2780">
        <w:rPr>
          <w:rFonts w:ascii="Arial" w:hAnsi="Arial" w:cs="Arial"/>
          <w:lang w:eastAsia="es-MX"/>
        </w:rPr>
        <w:t xml:space="preserve">106. Por lo tanto, teniendo en cuenta que lo que está bajo análisis no es alguna providencia adoptada por el Estado que haya impedido el desarrollo progresivo del derecho a una pensión, sino más bien el incumplimiento estatal del pago ordenado por sus órganos judiciales, el Tribunal considera que los derechos afectados son aquellos protegidos en los artículos 25 y 21 de la Convención y no encuentra motivo para declarar adicionalmente el incumplimiento del artículo 26 de dicho instrumento. De esta manera, el Tribunal se remite a lo decidido anteriormente respecto de las consecuencias jurídicas que ha tenido dicho incumplimiento y falta de pago en relación con la violación del derecho a la protección judicial y a la propiedad </w:t>
      </w:r>
    </w:p>
    <w:p w14:paraId="31BB0340" w14:textId="77777777" w:rsidR="00D8735D" w:rsidRPr="00CF2780" w:rsidRDefault="00D8735D" w:rsidP="00D8735D">
      <w:pPr>
        <w:spacing w:after="0" w:line="240" w:lineRule="auto"/>
        <w:jc w:val="both"/>
        <w:rPr>
          <w:rFonts w:ascii="Arial" w:hAnsi="Arial" w:cs="Arial"/>
          <w:lang w:eastAsia="es-MX"/>
        </w:rPr>
      </w:pPr>
      <w:r w:rsidRPr="00CF2780">
        <w:rPr>
          <w:rFonts w:ascii="Arial" w:hAnsi="Arial" w:cs="Arial"/>
          <w:lang w:eastAsia="es-MX"/>
        </w:rPr>
        <w:t xml:space="preserve">privada. </w:t>
      </w:r>
    </w:p>
    <w:p w14:paraId="6E788012" w14:textId="77777777" w:rsidR="00D8735D" w:rsidRPr="00CF2780" w:rsidRDefault="00D8735D" w:rsidP="00D8735D">
      <w:pPr>
        <w:spacing w:after="0" w:line="240" w:lineRule="auto"/>
        <w:jc w:val="both"/>
        <w:rPr>
          <w:rFonts w:ascii="Arial" w:hAnsi="Arial" w:cs="Arial"/>
          <w:lang w:eastAsia="es-MX"/>
        </w:rPr>
      </w:pPr>
    </w:p>
    <w:p w14:paraId="1FD619DE" w14:textId="77777777" w:rsidR="00D8735D" w:rsidRPr="00CF2780" w:rsidRDefault="00D8735D" w:rsidP="00D8735D">
      <w:pPr>
        <w:spacing w:after="0" w:line="240" w:lineRule="auto"/>
        <w:jc w:val="both"/>
        <w:rPr>
          <w:rFonts w:ascii="Arial" w:hAnsi="Arial" w:cs="Arial"/>
          <w:b/>
          <w:bCs/>
          <w:lang w:eastAsia="es-MX"/>
        </w:rPr>
      </w:pPr>
      <w:r w:rsidRPr="00CF2780">
        <w:rPr>
          <w:rFonts w:ascii="Arial" w:hAnsi="Arial" w:cs="Arial"/>
          <w:b/>
          <w:bCs/>
          <w:lang w:eastAsia="es-MX"/>
        </w:rPr>
        <w:t xml:space="preserve">2.2. La adopción y aplicación de los Decretos 25597 y 036-93-EF </w:t>
      </w:r>
    </w:p>
    <w:p w14:paraId="73AB1FB4" w14:textId="77777777" w:rsidR="00D8735D" w:rsidRPr="00CF2780" w:rsidRDefault="00D8735D" w:rsidP="00D8735D">
      <w:pPr>
        <w:spacing w:after="0" w:line="240" w:lineRule="auto"/>
        <w:jc w:val="both"/>
        <w:rPr>
          <w:rFonts w:ascii="Arial" w:hAnsi="Arial" w:cs="Arial"/>
          <w:lang w:eastAsia="es-MX"/>
        </w:rPr>
      </w:pPr>
    </w:p>
    <w:p w14:paraId="06EC363A" w14:textId="77777777" w:rsidR="00D8735D" w:rsidRPr="00CF2780" w:rsidRDefault="00D8735D" w:rsidP="00D8735D">
      <w:pPr>
        <w:spacing w:after="0" w:line="240" w:lineRule="auto"/>
        <w:jc w:val="both"/>
        <w:rPr>
          <w:rFonts w:ascii="Arial" w:hAnsi="Arial" w:cs="Arial"/>
          <w:lang w:eastAsia="es-MX"/>
        </w:rPr>
      </w:pPr>
      <w:r w:rsidRPr="00CF2780">
        <w:rPr>
          <w:rFonts w:ascii="Arial" w:hAnsi="Arial" w:cs="Arial"/>
          <w:lang w:eastAsia="es-MX"/>
        </w:rPr>
        <w:t xml:space="preserve">107. Por otro lado, el representante alegó el incumplimiento del artículo 26 de la Convención por la creación del Decreto Ley Nº 25597 y el Decreto Supremo Nº 036-93-EF como medidas legislativas de naturaleza regresiva, es decir, opuestas a la realización progresiva del derecho a la seguridad social. Al respecto, la Corte reitera que en el presente caso no existe controversia entre las partes sobre si las víctimas tenían o no derecho a una pensión nivelada o si tal derecho se vio afectado por la aplicación injustificada de los referidos decretos. (…) En ese sentido, al no ser materia de la presente controversia, este Tribunal no se pronunciará sobre el supuesto incumplimiento de lo exigido por el artículo 26 de la Convención como consecuencia de la emisión de dichas normas. </w:t>
      </w:r>
    </w:p>
    <w:p w14:paraId="2EE91009" w14:textId="77777777" w:rsidR="00D8735D" w:rsidRPr="00CF2780" w:rsidRDefault="00D8735D" w:rsidP="00D8735D">
      <w:pPr>
        <w:spacing w:after="0" w:line="240" w:lineRule="auto"/>
        <w:jc w:val="both"/>
        <w:rPr>
          <w:rFonts w:ascii="Arial" w:hAnsi="Arial" w:cs="Arial"/>
          <w:lang w:eastAsia="es-MX"/>
        </w:rPr>
      </w:pPr>
    </w:p>
    <w:p w14:paraId="3E18EF41" w14:textId="77777777" w:rsidR="00D8735D" w:rsidRPr="00CF2780" w:rsidRDefault="00D8735D" w:rsidP="00D8735D">
      <w:pPr>
        <w:spacing w:after="0" w:line="240" w:lineRule="auto"/>
        <w:jc w:val="both"/>
        <w:rPr>
          <w:rFonts w:ascii="Arial" w:hAnsi="Arial" w:cs="Arial"/>
          <w:b/>
          <w:bCs/>
          <w:lang w:eastAsia="es-MX"/>
        </w:rPr>
      </w:pPr>
      <w:r w:rsidRPr="00CF2780">
        <w:rPr>
          <w:rFonts w:ascii="Arial" w:hAnsi="Arial" w:cs="Arial"/>
          <w:b/>
          <w:bCs/>
          <w:lang w:eastAsia="es-MX"/>
        </w:rPr>
        <w:t>Reparaciones</w:t>
      </w:r>
    </w:p>
    <w:p w14:paraId="5D9F5D1D" w14:textId="77777777" w:rsidR="00D8735D" w:rsidRPr="00CF2780" w:rsidRDefault="00D8735D" w:rsidP="00D8735D">
      <w:pPr>
        <w:spacing w:after="0" w:line="240" w:lineRule="auto"/>
        <w:jc w:val="both"/>
        <w:rPr>
          <w:rFonts w:ascii="Arial" w:hAnsi="Arial" w:cs="Arial"/>
          <w:lang w:eastAsia="es-MX"/>
        </w:rPr>
      </w:pPr>
    </w:p>
    <w:p w14:paraId="45C40CD5" w14:textId="77777777" w:rsidR="00D8735D" w:rsidRPr="00CF2780" w:rsidRDefault="00D8735D" w:rsidP="00D8735D">
      <w:pPr>
        <w:spacing w:after="0" w:line="240" w:lineRule="auto"/>
        <w:jc w:val="both"/>
        <w:rPr>
          <w:rFonts w:ascii="Arial" w:hAnsi="Arial" w:cs="Arial"/>
          <w:lang w:eastAsia="es-MX"/>
        </w:rPr>
      </w:pPr>
      <w:r w:rsidRPr="00CF2780">
        <w:rPr>
          <w:rFonts w:ascii="Arial" w:hAnsi="Arial" w:cs="Arial"/>
          <w:lang w:eastAsia="es-MX"/>
        </w:rPr>
        <w:t>La Corte dispone que:</w:t>
      </w:r>
    </w:p>
    <w:p w14:paraId="0D2D256B" w14:textId="77777777" w:rsidR="00D8735D" w:rsidRPr="00CF2780" w:rsidRDefault="00D8735D" w:rsidP="00D8735D">
      <w:pPr>
        <w:spacing w:after="0" w:line="240" w:lineRule="auto"/>
        <w:jc w:val="both"/>
        <w:rPr>
          <w:rFonts w:ascii="Arial" w:hAnsi="Arial" w:cs="Arial"/>
          <w:lang w:eastAsia="es-MX"/>
        </w:rPr>
      </w:pPr>
    </w:p>
    <w:p w14:paraId="18012BC7" w14:textId="77777777" w:rsidR="00D8735D" w:rsidRPr="00CF2780" w:rsidRDefault="00D8735D" w:rsidP="00D8735D">
      <w:pPr>
        <w:spacing w:after="0" w:line="240" w:lineRule="auto"/>
        <w:jc w:val="both"/>
        <w:rPr>
          <w:rFonts w:ascii="Arial" w:hAnsi="Arial" w:cs="Arial"/>
          <w:lang w:eastAsia="es-MX"/>
        </w:rPr>
      </w:pPr>
      <w:r w:rsidRPr="00CF2780">
        <w:rPr>
          <w:rFonts w:ascii="Arial" w:hAnsi="Arial" w:cs="Arial"/>
          <w:lang w:eastAsia="es-MX"/>
        </w:rPr>
        <w:t xml:space="preserve">La Sentencia de Excepción Preliminar, Fondo, Reparaciones y Costas constituye, per se, una forma de reparación. </w:t>
      </w:r>
    </w:p>
    <w:p w14:paraId="7FF923B7" w14:textId="77777777" w:rsidR="00D8735D" w:rsidRPr="00CF2780" w:rsidRDefault="00D8735D" w:rsidP="00D8735D">
      <w:pPr>
        <w:spacing w:after="0" w:line="240" w:lineRule="auto"/>
        <w:jc w:val="both"/>
        <w:rPr>
          <w:rFonts w:ascii="Arial" w:hAnsi="Arial" w:cs="Arial"/>
          <w:lang w:eastAsia="es-MX"/>
        </w:rPr>
      </w:pPr>
    </w:p>
    <w:p w14:paraId="13DC2D0D" w14:textId="77777777" w:rsidR="00D8735D" w:rsidRPr="00CF2780" w:rsidRDefault="00D8735D" w:rsidP="00D8735D">
      <w:pPr>
        <w:spacing w:after="0" w:line="240" w:lineRule="auto"/>
        <w:jc w:val="both"/>
        <w:rPr>
          <w:rFonts w:ascii="Arial" w:hAnsi="Arial" w:cs="Arial"/>
          <w:lang w:eastAsia="es-MX"/>
        </w:rPr>
      </w:pPr>
      <w:r w:rsidRPr="00CF2780">
        <w:rPr>
          <w:rFonts w:ascii="Arial" w:hAnsi="Arial" w:cs="Arial"/>
          <w:lang w:eastAsia="es-MX"/>
        </w:rPr>
        <w:t xml:space="preserve">El Estado debe realizar los pagos de las cantidades establecidas en la Sentencia de Excepción Preliminar, Fondo, Reparaciones y Costas por concepto de daño inmaterial y reintegro de costas y gastos dentro del plazo de un año, contado a partir de la notificación del presente Fallo. </w:t>
      </w:r>
    </w:p>
    <w:p w14:paraId="00B91216" w14:textId="77777777" w:rsidR="00D8735D" w:rsidRPr="00CF2780" w:rsidRDefault="00D8735D" w:rsidP="00D8735D">
      <w:pPr>
        <w:spacing w:after="0" w:line="240" w:lineRule="auto"/>
        <w:jc w:val="both"/>
        <w:rPr>
          <w:rFonts w:ascii="Arial" w:hAnsi="Arial" w:cs="Arial"/>
          <w:lang w:eastAsia="es-MX"/>
        </w:rPr>
      </w:pPr>
    </w:p>
    <w:p w14:paraId="56F7789C" w14:textId="77777777" w:rsidR="00D8735D" w:rsidRPr="00CF2780" w:rsidRDefault="00D8735D" w:rsidP="00D8735D">
      <w:pPr>
        <w:spacing w:after="0" w:line="240" w:lineRule="auto"/>
        <w:jc w:val="both"/>
        <w:rPr>
          <w:rFonts w:ascii="Arial" w:hAnsi="Arial" w:cs="Arial"/>
          <w:lang w:eastAsia="es-MX"/>
        </w:rPr>
      </w:pPr>
      <w:r w:rsidRPr="00CF2780">
        <w:rPr>
          <w:rFonts w:ascii="Arial" w:hAnsi="Arial" w:cs="Arial"/>
          <w:lang w:eastAsia="es-MX"/>
        </w:rPr>
        <w:t xml:space="preserve">El Estado debe dar cumplimiento total a las sentencias del Tribunal Constitucional del Perú de 21 de octubre de 1997 y 26 de enero de 2001, en lo que respecta al reintegro de los devengados dejados de percibir por las víctimas entre abril de 1993 y octubre de 2002, dentro de un plazo razonable. El pago de los referidos devengados y sus intereses no deberán verse afectados por ninguna carga fiscal. </w:t>
      </w:r>
    </w:p>
    <w:p w14:paraId="6EDACF5D" w14:textId="77777777" w:rsidR="00D8735D" w:rsidRPr="00CF2780" w:rsidRDefault="00D8735D" w:rsidP="00D8735D">
      <w:pPr>
        <w:spacing w:after="0" w:line="240" w:lineRule="auto"/>
        <w:jc w:val="both"/>
        <w:rPr>
          <w:rFonts w:ascii="Arial" w:hAnsi="Arial" w:cs="Arial"/>
          <w:lang w:eastAsia="es-MX"/>
        </w:rPr>
      </w:pPr>
    </w:p>
    <w:p w14:paraId="5B520E28" w14:textId="77777777" w:rsidR="00D8735D" w:rsidRPr="00CF2780" w:rsidRDefault="00D8735D" w:rsidP="00D8735D">
      <w:pPr>
        <w:spacing w:after="0" w:line="240" w:lineRule="auto"/>
        <w:jc w:val="both"/>
        <w:rPr>
          <w:rFonts w:ascii="Arial" w:hAnsi="Arial" w:cs="Arial"/>
          <w:lang w:eastAsia="es-MX"/>
        </w:rPr>
      </w:pPr>
      <w:r w:rsidRPr="00CF2780">
        <w:rPr>
          <w:rFonts w:ascii="Arial" w:hAnsi="Arial" w:cs="Arial"/>
          <w:lang w:eastAsia="es-MX"/>
        </w:rPr>
        <w:t xml:space="preserve">El Estado debe publicar en el Diario Oficial y en otro diario de amplia circulación nacional, por una sola vez, los párrafos 2 a 5, 17, 19, 52, 53, 61, 65, 69 a 79, 84 a 91, 104 a 107 y 113 de la Sentencia de Excepción Preliminar, Fondo, Reparaciones y Costas, sin las notas al pie de página correspondientes y con los títulos de los capítulos respectivos, así como la parte resolutiva de la misma, en el plazo de seis meses, contado a partir de la notificación del presente Fallo. </w:t>
      </w:r>
    </w:p>
    <w:p w14:paraId="75F5F99B" w14:textId="77777777" w:rsidR="00D8735D" w:rsidRPr="00CF2780" w:rsidRDefault="00D8735D" w:rsidP="00D8735D">
      <w:pPr>
        <w:spacing w:after="0" w:line="240" w:lineRule="auto"/>
        <w:jc w:val="both"/>
        <w:rPr>
          <w:rFonts w:ascii="Arial" w:hAnsi="Arial" w:cs="Arial"/>
          <w:lang w:eastAsia="es-MX"/>
        </w:rPr>
      </w:pPr>
    </w:p>
    <w:p w14:paraId="7875B0C8" w14:textId="77777777" w:rsidR="00D8735D" w:rsidRPr="00CF2780" w:rsidRDefault="00D8735D" w:rsidP="00D8735D">
      <w:pPr>
        <w:spacing w:after="0" w:line="240" w:lineRule="auto"/>
        <w:jc w:val="both"/>
        <w:rPr>
          <w:rFonts w:ascii="Arial" w:hAnsi="Arial" w:cs="Arial"/>
          <w:lang w:eastAsia="es-MX"/>
        </w:rPr>
      </w:pPr>
      <w:r w:rsidRPr="00CF2780">
        <w:rPr>
          <w:rFonts w:ascii="Arial" w:hAnsi="Arial" w:cs="Arial"/>
          <w:lang w:eastAsia="es-MX"/>
        </w:rPr>
        <w:t xml:space="preserve">Supervisará el cumplimiento íntegro de la Sentencia de Excepción Preliminar, Fondo, Reparaciones y Costas, y dará por concluido el presente caso una vez que el Estado haya dado cumplimiento a lo dispuesto en la misma. Dentro del plazo de un año, contado a partir de la notificación de Sentencia de Excepción Preliminar, Fondo, Reparaciones y Costas, el Estado deberá rendir a la Corte un informe sobre las medidas adoptadas para darle cumplimiento. </w:t>
      </w:r>
    </w:p>
    <w:p w14:paraId="560BE410" w14:textId="77777777" w:rsidR="00D8735D" w:rsidRPr="00CF2780" w:rsidRDefault="00D8735D" w:rsidP="00D8735D">
      <w:pPr>
        <w:spacing w:after="0" w:line="240" w:lineRule="auto"/>
        <w:jc w:val="both"/>
        <w:rPr>
          <w:rFonts w:ascii="Arial" w:hAnsi="Arial" w:cs="Arial"/>
          <w:lang w:eastAsia="es-MX"/>
        </w:rPr>
      </w:pPr>
    </w:p>
    <w:p w14:paraId="213919F3" w14:textId="77777777" w:rsidR="00D8735D" w:rsidRPr="00CF2780" w:rsidRDefault="00D8735D" w:rsidP="00D8735D">
      <w:pPr>
        <w:spacing w:after="0" w:line="240" w:lineRule="auto"/>
        <w:jc w:val="both"/>
        <w:rPr>
          <w:rFonts w:ascii="Arial" w:hAnsi="Arial" w:cs="Arial"/>
          <w:b/>
          <w:bCs/>
          <w:lang w:eastAsia="es-MX"/>
        </w:rPr>
      </w:pPr>
    </w:p>
    <w:p w14:paraId="26A5347A" w14:textId="77777777" w:rsidR="00D8735D" w:rsidRPr="00CF2780" w:rsidRDefault="00D8735D" w:rsidP="00D8735D">
      <w:pPr>
        <w:spacing w:after="0" w:line="240" w:lineRule="auto"/>
        <w:jc w:val="both"/>
        <w:rPr>
          <w:rFonts w:ascii="Arial" w:hAnsi="Arial" w:cs="Arial"/>
          <w:b/>
          <w:bCs/>
          <w:lang w:eastAsia="es-MX"/>
        </w:rPr>
      </w:pPr>
      <w:r w:rsidRPr="00CF2780">
        <w:rPr>
          <w:rFonts w:ascii="Arial" w:hAnsi="Arial" w:cs="Arial"/>
          <w:b/>
          <w:bCs/>
          <w:lang w:eastAsia="es-MX"/>
        </w:rPr>
        <w:t>Resolutivos</w:t>
      </w:r>
    </w:p>
    <w:p w14:paraId="2ADB04D0" w14:textId="77777777" w:rsidR="00D8735D" w:rsidRPr="00CF2780" w:rsidRDefault="00D8735D" w:rsidP="00D8735D">
      <w:pPr>
        <w:spacing w:after="0" w:line="240" w:lineRule="auto"/>
        <w:jc w:val="both"/>
        <w:rPr>
          <w:rFonts w:ascii="Arial" w:hAnsi="Arial" w:cs="Arial"/>
          <w:b/>
          <w:bCs/>
          <w:lang w:eastAsia="es-MX"/>
        </w:rPr>
      </w:pPr>
    </w:p>
    <w:p w14:paraId="2F5466E5" w14:textId="77777777" w:rsidR="00D8735D" w:rsidRPr="00CF2780" w:rsidRDefault="00D8735D" w:rsidP="00D8735D">
      <w:pPr>
        <w:spacing w:after="0" w:line="240" w:lineRule="auto"/>
        <w:jc w:val="both"/>
        <w:rPr>
          <w:rFonts w:ascii="Arial" w:hAnsi="Arial" w:cs="Arial"/>
          <w:lang w:eastAsia="es-MX"/>
        </w:rPr>
      </w:pPr>
      <w:r w:rsidRPr="00CF2780">
        <w:rPr>
          <w:rFonts w:ascii="Arial" w:hAnsi="Arial" w:cs="Arial"/>
          <w:lang w:eastAsia="es-MX"/>
        </w:rPr>
        <w:t>La Corte decide:</w:t>
      </w:r>
    </w:p>
    <w:p w14:paraId="53FC3608" w14:textId="77777777" w:rsidR="00D8735D" w:rsidRPr="00CF2780" w:rsidRDefault="00D8735D" w:rsidP="00D8735D">
      <w:pPr>
        <w:spacing w:after="0" w:line="240" w:lineRule="auto"/>
        <w:jc w:val="both"/>
        <w:rPr>
          <w:rFonts w:ascii="Arial" w:hAnsi="Arial" w:cs="Arial"/>
          <w:lang w:eastAsia="es-MX"/>
        </w:rPr>
      </w:pPr>
    </w:p>
    <w:p w14:paraId="0DB1BEC1" w14:textId="77777777" w:rsidR="00D8735D" w:rsidRPr="00CF2780" w:rsidRDefault="00D8735D" w:rsidP="00D8735D">
      <w:pPr>
        <w:spacing w:after="0" w:line="240" w:lineRule="auto"/>
        <w:jc w:val="both"/>
        <w:rPr>
          <w:rFonts w:ascii="Arial" w:hAnsi="Arial" w:cs="Arial"/>
          <w:lang w:eastAsia="es-MX"/>
        </w:rPr>
      </w:pPr>
      <w:r w:rsidRPr="00CF2780">
        <w:rPr>
          <w:rFonts w:ascii="Arial" w:hAnsi="Arial" w:cs="Arial"/>
          <w:lang w:eastAsia="es-MX"/>
        </w:rPr>
        <w:t xml:space="preserve">Desestimar la excepción preliminar interpuesta por el Estado. </w:t>
      </w:r>
    </w:p>
    <w:p w14:paraId="76EFB087" w14:textId="77777777" w:rsidR="00D8735D" w:rsidRPr="00CF2780" w:rsidRDefault="00D8735D" w:rsidP="00D8735D">
      <w:pPr>
        <w:spacing w:after="0" w:line="240" w:lineRule="auto"/>
        <w:jc w:val="both"/>
        <w:rPr>
          <w:rFonts w:ascii="Arial" w:hAnsi="Arial" w:cs="Arial"/>
          <w:lang w:eastAsia="es-MX"/>
        </w:rPr>
      </w:pPr>
    </w:p>
    <w:p w14:paraId="645410A5" w14:textId="77777777" w:rsidR="00D8735D" w:rsidRPr="00CF2780" w:rsidRDefault="00D8735D" w:rsidP="00D8735D">
      <w:pPr>
        <w:spacing w:after="0" w:line="240" w:lineRule="auto"/>
        <w:jc w:val="both"/>
        <w:rPr>
          <w:rFonts w:ascii="Arial" w:hAnsi="Arial" w:cs="Arial"/>
          <w:lang w:eastAsia="es-MX"/>
        </w:rPr>
      </w:pPr>
      <w:r w:rsidRPr="00CF2780">
        <w:rPr>
          <w:rFonts w:ascii="Arial" w:hAnsi="Arial" w:cs="Arial"/>
          <w:lang w:eastAsia="es-MX"/>
        </w:rPr>
        <w:t>La Corte declara que:</w:t>
      </w:r>
    </w:p>
    <w:p w14:paraId="080F6F79" w14:textId="77777777" w:rsidR="00D8735D" w:rsidRPr="00CF2780" w:rsidRDefault="00D8735D" w:rsidP="00D8735D">
      <w:pPr>
        <w:spacing w:after="0" w:line="240" w:lineRule="auto"/>
        <w:jc w:val="both"/>
        <w:rPr>
          <w:rFonts w:ascii="Arial" w:hAnsi="Arial" w:cs="Arial"/>
          <w:lang w:eastAsia="es-MX"/>
        </w:rPr>
      </w:pPr>
    </w:p>
    <w:p w14:paraId="53342D27" w14:textId="77777777" w:rsidR="00D8735D" w:rsidRPr="00CF2780" w:rsidRDefault="00D8735D" w:rsidP="00D8735D">
      <w:pPr>
        <w:spacing w:after="0" w:line="240" w:lineRule="auto"/>
        <w:jc w:val="both"/>
        <w:rPr>
          <w:rFonts w:ascii="Arial" w:hAnsi="Arial" w:cs="Arial"/>
          <w:lang w:eastAsia="es-MX"/>
        </w:rPr>
      </w:pPr>
      <w:r w:rsidRPr="00CF2780">
        <w:rPr>
          <w:rFonts w:ascii="Arial" w:hAnsi="Arial" w:cs="Arial"/>
          <w:lang w:eastAsia="es-MX"/>
        </w:rPr>
        <w:t xml:space="preserve">El Estado violó el derecho a la protección judicial reconocido en el artículo 25.1 y 25.2.c de la Convención Americana sobre Derechos Humanos y el derecho a la propiedad privada reconocido en el artículo 21.1 y 21.2 de dicho instrumento, todo ello en relación con el artículo 1.1 del mismo tratado, en perjuicio de los doscientos setenta y tres integrantes de la Asociación de Cesantes y Jubilados de la Contraloría General de la República del Perú. </w:t>
      </w:r>
    </w:p>
    <w:p w14:paraId="13B513DA" w14:textId="77777777" w:rsidR="00D8735D" w:rsidRPr="00CF2780" w:rsidRDefault="00D8735D" w:rsidP="00D8735D">
      <w:pPr>
        <w:spacing w:after="0" w:line="240" w:lineRule="auto"/>
        <w:jc w:val="both"/>
        <w:rPr>
          <w:rFonts w:ascii="Arial" w:hAnsi="Arial" w:cs="Arial"/>
          <w:lang w:eastAsia="es-MX"/>
        </w:rPr>
      </w:pPr>
    </w:p>
    <w:p w14:paraId="56FB1837" w14:textId="24C74E24" w:rsidR="004D5F2B" w:rsidRPr="00CF2780" w:rsidRDefault="00D8735D" w:rsidP="00D8735D">
      <w:pPr>
        <w:spacing w:after="0" w:line="240" w:lineRule="auto"/>
        <w:jc w:val="both"/>
        <w:rPr>
          <w:rFonts w:ascii="Arial" w:hAnsi="Arial" w:cs="Arial"/>
          <w:lang w:eastAsia="es-MX"/>
        </w:rPr>
      </w:pPr>
      <w:r w:rsidRPr="00CF2780">
        <w:rPr>
          <w:rFonts w:ascii="Arial" w:hAnsi="Arial" w:cs="Arial"/>
          <w:lang w:eastAsia="es-MX"/>
        </w:rPr>
        <w:t>No se ha comprobado en el presente caso el incumplimiento de la obligación reconocida en el artículo 26 de la Convención Americana sobre Derechos Humanos.</w:t>
      </w:r>
    </w:p>
    <w:p w14:paraId="289ED911" w14:textId="70FA3338" w:rsidR="00AD58E8" w:rsidRPr="00CF2780" w:rsidRDefault="00AD58E8" w:rsidP="00D8735D">
      <w:pPr>
        <w:spacing w:after="0" w:line="240" w:lineRule="auto"/>
        <w:jc w:val="both"/>
        <w:rPr>
          <w:rFonts w:ascii="Arial" w:hAnsi="Arial" w:cs="Arial"/>
          <w:lang w:eastAsia="es-MX"/>
        </w:rPr>
      </w:pPr>
    </w:p>
    <w:p w14:paraId="498BE793" w14:textId="1AC5B2EC" w:rsidR="00AD58E8" w:rsidRPr="00CF2780" w:rsidRDefault="00AD58E8" w:rsidP="00AD58E8">
      <w:pPr>
        <w:rPr>
          <w:rFonts w:ascii="Arial" w:hAnsi="Arial" w:cs="Arial"/>
          <w:lang w:eastAsia="es-MX"/>
        </w:rPr>
      </w:pPr>
    </w:p>
    <w:p w14:paraId="2D6DC181" w14:textId="4F513F8C" w:rsidR="00F50C2E" w:rsidRPr="00CF2780" w:rsidRDefault="00F50C2E" w:rsidP="00AD58E8">
      <w:pPr>
        <w:rPr>
          <w:rFonts w:ascii="Arial" w:hAnsi="Arial" w:cs="Arial"/>
          <w:lang w:eastAsia="es-MX"/>
        </w:rPr>
      </w:pPr>
    </w:p>
    <w:p w14:paraId="7AFFBF0A" w14:textId="4050D307" w:rsidR="009B02C2" w:rsidRPr="00CF2780" w:rsidRDefault="009B02C2" w:rsidP="00AD58E8">
      <w:pPr>
        <w:rPr>
          <w:rFonts w:ascii="Arial" w:hAnsi="Arial" w:cs="Arial"/>
          <w:lang w:eastAsia="es-MX"/>
        </w:rPr>
      </w:pPr>
    </w:p>
    <w:p w14:paraId="77BC78B3" w14:textId="146F5DF8" w:rsidR="009B02C2" w:rsidRPr="00CF2780" w:rsidRDefault="009B02C2" w:rsidP="00AD58E8">
      <w:pPr>
        <w:rPr>
          <w:rFonts w:ascii="Arial" w:hAnsi="Arial" w:cs="Arial"/>
          <w:lang w:eastAsia="es-MX"/>
        </w:rPr>
      </w:pPr>
    </w:p>
    <w:p w14:paraId="0F74BF26" w14:textId="0CD5D64C" w:rsidR="009B02C2" w:rsidRPr="00CF2780" w:rsidRDefault="009B02C2" w:rsidP="00AD58E8">
      <w:pPr>
        <w:rPr>
          <w:rFonts w:ascii="Arial" w:hAnsi="Arial" w:cs="Arial"/>
          <w:lang w:eastAsia="es-MX"/>
        </w:rPr>
      </w:pPr>
    </w:p>
    <w:p w14:paraId="028ACBA6" w14:textId="21B34EF6" w:rsidR="009B02C2" w:rsidRPr="00CF2780" w:rsidRDefault="009B02C2" w:rsidP="00AD58E8">
      <w:pPr>
        <w:rPr>
          <w:rFonts w:ascii="Arial" w:hAnsi="Arial" w:cs="Arial"/>
          <w:lang w:eastAsia="es-MX"/>
        </w:rPr>
      </w:pPr>
    </w:p>
    <w:p w14:paraId="76E8FAEC" w14:textId="62EF327C" w:rsidR="009B02C2" w:rsidRPr="00CF2780" w:rsidRDefault="009B02C2" w:rsidP="00AD58E8">
      <w:pPr>
        <w:rPr>
          <w:rFonts w:ascii="Arial" w:hAnsi="Arial" w:cs="Arial"/>
          <w:lang w:eastAsia="es-MX"/>
        </w:rPr>
      </w:pPr>
    </w:p>
    <w:p w14:paraId="0D70978A" w14:textId="33725077" w:rsidR="009B02C2" w:rsidRPr="00CF2780" w:rsidRDefault="009B02C2" w:rsidP="00AD58E8">
      <w:pPr>
        <w:rPr>
          <w:rFonts w:ascii="Arial" w:hAnsi="Arial" w:cs="Arial"/>
          <w:lang w:eastAsia="es-MX"/>
        </w:rPr>
      </w:pPr>
    </w:p>
    <w:p w14:paraId="4385BC13" w14:textId="7C8CEC61" w:rsidR="009B02C2" w:rsidRPr="00CF2780" w:rsidRDefault="009B02C2" w:rsidP="00AD58E8">
      <w:pPr>
        <w:rPr>
          <w:rFonts w:ascii="Arial" w:hAnsi="Arial" w:cs="Arial"/>
          <w:lang w:eastAsia="es-MX"/>
        </w:rPr>
      </w:pPr>
    </w:p>
    <w:p w14:paraId="45555061" w14:textId="74F97EEA" w:rsidR="009B02C2" w:rsidRPr="00CF2780" w:rsidRDefault="009B02C2" w:rsidP="00AD58E8">
      <w:pPr>
        <w:rPr>
          <w:rFonts w:ascii="Arial" w:hAnsi="Arial" w:cs="Arial"/>
          <w:lang w:eastAsia="es-MX"/>
        </w:rPr>
      </w:pPr>
    </w:p>
    <w:p w14:paraId="2286C382" w14:textId="2707064E" w:rsidR="009B02C2" w:rsidRPr="00CF2780" w:rsidRDefault="009B02C2" w:rsidP="00AD58E8">
      <w:pPr>
        <w:rPr>
          <w:rFonts w:ascii="Arial" w:hAnsi="Arial" w:cs="Arial"/>
          <w:lang w:eastAsia="es-MX"/>
        </w:rPr>
      </w:pPr>
    </w:p>
    <w:p w14:paraId="53899B07" w14:textId="610D3A53" w:rsidR="009B02C2" w:rsidRPr="00CF2780" w:rsidRDefault="009B02C2" w:rsidP="00AD58E8">
      <w:pPr>
        <w:rPr>
          <w:rFonts w:ascii="Arial" w:hAnsi="Arial" w:cs="Arial"/>
          <w:lang w:eastAsia="es-MX"/>
        </w:rPr>
      </w:pPr>
    </w:p>
    <w:p w14:paraId="538379BD" w14:textId="75E21D9A" w:rsidR="009B02C2" w:rsidRPr="00CF2780" w:rsidRDefault="009B02C2" w:rsidP="00AD58E8">
      <w:pPr>
        <w:rPr>
          <w:rFonts w:ascii="Arial" w:hAnsi="Arial" w:cs="Arial"/>
          <w:lang w:eastAsia="es-MX"/>
        </w:rPr>
      </w:pPr>
    </w:p>
    <w:p w14:paraId="7E9683E5" w14:textId="6F4ED835" w:rsidR="009B02C2" w:rsidRPr="00CF2780" w:rsidRDefault="009B02C2" w:rsidP="00AD58E8">
      <w:pPr>
        <w:rPr>
          <w:rFonts w:ascii="Arial" w:hAnsi="Arial" w:cs="Arial"/>
          <w:lang w:eastAsia="es-MX"/>
        </w:rPr>
      </w:pPr>
    </w:p>
    <w:p w14:paraId="3EC9585F" w14:textId="4D501CBD" w:rsidR="009B02C2" w:rsidRPr="00CF2780" w:rsidRDefault="009B02C2" w:rsidP="00AD58E8">
      <w:pPr>
        <w:rPr>
          <w:rFonts w:ascii="Arial" w:hAnsi="Arial" w:cs="Arial"/>
          <w:lang w:eastAsia="es-MX"/>
        </w:rPr>
      </w:pPr>
    </w:p>
    <w:p w14:paraId="156B4B8A" w14:textId="503DAE8B" w:rsidR="009B02C2" w:rsidRPr="00CF2780" w:rsidRDefault="009B02C2" w:rsidP="00AD58E8">
      <w:pPr>
        <w:rPr>
          <w:rFonts w:ascii="Arial" w:hAnsi="Arial" w:cs="Arial"/>
          <w:lang w:eastAsia="es-MX"/>
        </w:rPr>
      </w:pPr>
    </w:p>
    <w:p w14:paraId="695DFA49" w14:textId="5557C305" w:rsidR="009B02C2" w:rsidRPr="00CF2780" w:rsidRDefault="009B02C2" w:rsidP="00AD58E8">
      <w:pPr>
        <w:rPr>
          <w:rFonts w:ascii="Arial" w:hAnsi="Arial" w:cs="Arial"/>
          <w:lang w:eastAsia="es-MX"/>
        </w:rPr>
      </w:pPr>
    </w:p>
    <w:p w14:paraId="22E1845D" w14:textId="409FACB1" w:rsidR="009B02C2" w:rsidRPr="00CF2780" w:rsidRDefault="009B02C2" w:rsidP="00AD58E8">
      <w:pPr>
        <w:rPr>
          <w:rFonts w:ascii="Arial" w:hAnsi="Arial" w:cs="Arial"/>
          <w:lang w:eastAsia="es-MX"/>
        </w:rPr>
      </w:pPr>
    </w:p>
    <w:p w14:paraId="48B0D206" w14:textId="42761436" w:rsidR="009B02C2" w:rsidRPr="00CF2780" w:rsidRDefault="009B02C2" w:rsidP="00AD58E8">
      <w:pPr>
        <w:rPr>
          <w:rFonts w:ascii="Arial" w:hAnsi="Arial" w:cs="Arial"/>
          <w:lang w:eastAsia="es-MX"/>
        </w:rPr>
      </w:pPr>
    </w:p>
    <w:p w14:paraId="46F221E6" w14:textId="77777777" w:rsidR="009B02C2" w:rsidRPr="00CF2780" w:rsidRDefault="009B02C2" w:rsidP="00AD58E8">
      <w:pPr>
        <w:rPr>
          <w:rFonts w:ascii="Arial" w:hAnsi="Arial" w:cs="Arial"/>
          <w:lang w:eastAsia="es-MX"/>
        </w:rPr>
      </w:pPr>
    </w:p>
    <w:p w14:paraId="26226F90" w14:textId="6A355788" w:rsidR="00A50356" w:rsidRPr="00CF2780" w:rsidRDefault="00AD58E8" w:rsidP="00A50356">
      <w:pPr>
        <w:pStyle w:val="Ttulo3"/>
        <w:rPr>
          <w:rFonts w:ascii="Arial" w:eastAsia="Times New Roman" w:hAnsi="Arial" w:cs="Arial"/>
          <w:b/>
          <w:bCs/>
          <w:color w:val="auto"/>
          <w:sz w:val="28"/>
          <w:szCs w:val="28"/>
          <w:lang w:eastAsia="es-MX"/>
        </w:rPr>
      </w:pPr>
      <w:r w:rsidRPr="00CF2780">
        <w:rPr>
          <w:rFonts w:ascii="Arial" w:eastAsia="Times New Roman" w:hAnsi="Arial" w:cs="Arial"/>
          <w:b/>
          <w:bCs/>
          <w:color w:val="auto"/>
          <w:sz w:val="28"/>
          <w:szCs w:val="28"/>
          <w:lang w:eastAsia="es-MX"/>
        </w:rPr>
        <w:t xml:space="preserve">3. SENTENCIA </w:t>
      </w:r>
      <w:hyperlink r:id="rId21" w:tgtFrame="_blank" w:history="1">
        <w:r w:rsidR="00A50356" w:rsidRPr="00CF2780">
          <w:rPr>
            <w:rFonts w:ascii="Arial" w:eastAsia="Times New Roman" w:hAnsi="Arial" w:cs="Arial"/>
            <w:b/>
            <w:bCs/>
            <w:color w:val="C00000"/>
            <w:sz w:val="28"/>
            <w:szCs w:val="28"/>
            <w:lang w:eastAsia="es-MX"/>
          </w:rPr>
          <w:t>SUP-JDC-61/2012</w:t>
        </w:r>
      </w:hyperlink>
    </w:p>
    <w:p w14:paraId="1B6BEA8E" w14:textId="1611FD84" w:rsidR="009B02C2" w:rsidRPr="00CF2780" w:rsidRDefault="009B02C2" w:rsidP="009B02C2">
      <w:pPr>
        <w:rPr>
          <w:rFonts w:ascii="Arial" w:hAnsi="Arial" w:cs="Arial"/>
        </w:rPr>
      </w:pPr>
    </w:p>
    <w:p w14:paraId="4B375FB5" w14:textId="265F89C8" w:rsidR="009B02C2" w:rsidRPr="00CF2780" w:rsidRDefault="009B02C2" w:rsidP="009B02C2">
      <w:pPr>
        <w:rPr>
          <w:rFonts w:ascii="Arial" w:eastAsia="Times New Roman" w:hAnsi="Arial" w:cs="Arial"/>
          <w:b/>
          <w:bCs/>
          <w:sz w:val="28"/>
          <w:szCs w:val="28"/>
          <w:lang w:eastAsia="es-MX"/>
        </w:rPr>
      </w:pPr>
    </w:p>
    <w:tbl>
      <w:tblPr>
        <w:tblW w:w="4647" w:type="dxa"/>
        <w:jc w:val="right"/>
        <w:tblCellSpacing w:w="0" w:type="dxa"/>
        <w:tblCellMar>
          <w:top w:w="60" w:type="dxa"/>
          <w:left w:w="60" w:type="dxa"/>
          <w:bottom w:w="60" w:type="dxa"/>
          <w:right w:w="60" w:type="dxa"/>
        </w:tblCellMar>
        <w:tblLook w:val="0000" w:firstRow="0" w:lastRow="0" w:firstColumn="0" w:lastColumn="0" w:noHBand="0" w:noVBand="0"/>
      </w:tblPr>
      <w:tblGrid>
        <w:gridCol w:w="4647"/>
      </w:tblGrid>
      <w:tr w:rsidR="009B02C2" w:rsidRPr="00CF2780" w14:paraId="0F8606BC" w14:textId="77777777" w:rsidTr="00B05F31">
        <w:trPr>
          <w:trHeight w:val="3360"/>
          <w:tblCellSpacing w:w="0" w:type="dxa"/>
          <w:jc w:val="right"/>
        </w:trPr>
        <w:tc>
          <w:tcPr>
            <w:tcW w:w="4647" w:type="dxa"/>
          </w:tcPr>
          <w:p w14:paraId="10DFED43" w14:textId="77777777" w:rsidR="009B02C2" w:rsidRPr="00CF2780" w:rsidRDefault="009B02C2" w:rsidP="009B02C2">
            <w:pPr>
              <w:widowControl w:val="0"/>
              <w:spacing w:after="0" w:line="240" w:lineRule="auto"/>
              <w:jc w:val="both"/>
              <w:rPr>
                <w:rFonts w:ascii="Arial" w:eastAsia="Times New Roman" w:hAnsi="Arial" w:cs="Arial"/>
                <w:b/>
                <w:bCs/>
                <w:spacing w:val="-3"/>
                <w:sz w:val="27"/>
                <w:szCs w:val="27"/>
                <w:lang w:val="es-ES" w:eastAsia="es-ES"/>
              </w:rPr>
            </w:pPr>
            <w:r w:rsidRPr="00CF2780">
              <w:rPr>
                <w:rFonts w:ascii="Arial" w:eastAsia="Times New Roman" w:hAnsi="Arial" w:cs="Arial"/>
                <w:b/>
                <w:bCs/>
                <w:spacing w:val="-3"/>
                <w:sz w:val="27"/>
                <w:szCs w:val="27"/>
                <w:lang w:val="es-ES" w:eastAsia="es-ES"/>
              </w:rPr>
              <w:t xml:space="preserve">JUICIO PARA </w:t>
            </w:r>
            <w:smartTag w:uri="urn:schemas-microsoft-com:office:smarttags" w:element="PersonName">
              <w:smartTagPr>
                <w:attr w:name="ProductID" w:val="LA PROTECCIￓN DE"/>
              </w:smartTagPr>
              <w:r w:rsidRPr="00CF2780">
                <w:rPr>
                  <w:rFonts w:ascii="Arial" w:eastAsia="Times New Roman" w:hAnsi="Arial" w:cs="Arial"/>
                  <w:b/>
                  <w:bCs/>
                  <w:spacing w:val="-3"/>
                  <w:sz w:val="27"/>
                  <w:szCs w:val="27"/>
                  <w:lang w:val="es-ES" w:eastAsia="es-ES"/>
                </w:rPr>
                <w:t>LA PROTECCIÓN DE</w:t>
              </w:r>
            </w:smartTag>
            <w:r w:rsidRPr="00CF2780">
              <w:rPr>
                <w:rFonts w:ascii="Arial" w:eastAsia="Times New Roman" w:hAnsi="Arial" w:cs="Arial"/>
                <w:b/>
                <w:bCs/>
                <w:spacing w:val="-3"/>
                <w:sz w:val="27"/>
                <w:szCs w:val="27"/>
                <w:lang w:val="es-ES" w:eastAsia="es-ES"/>
              </w:rPr>
              <w:t xml:space="preserve"> LOS DERECHOS POLÍTICO-ELECTORALES DEL CIUDADANO</w:t>
            </w:r>
          </w:p>
          <w:p w14:paraId="799DCE45" w14:textId="77777777" w:rsidR="009B02C2" w:rsidRPr="00CF2780" w:rsidRDefault="009B02C2" w:rsidP="009B02C2">
            <w:pPr>
              <w:spacing w:after="0" w:line="240" w:lineRule="auto"/>
              <w:jc w:val="both"/>
              <w:rPr>
                <w:rFonts w:ascii="Arial" w:eastAsia="Times New Roman" w:hAnsi="Arial" w:cs="Arial"/>
                <w:b/>
                <w:bCs/>
                <w:sz w:val="28"/>
                <w:szCs w:val="28"/>
                <w:lang w:val="es-ES" w:eastAsia="es-ES"/>
              </w:rPr>
            </w:pPr>
          </w:p>
          <w:p w14:paraId="35FF3057" w14:textId="77777777" w:rsidR="009B02C2" w:rsidRPr="00CF2780" w:rsidRDefault="009B02C2" w:rsidP="009B02C2">
            <w:pPr>
              <w:spacing w:after="0" w:line="240" w:lineRule="auto"/>
              <w:jc w:val="both"/>
              <w:rPr>
                <w:rFonts w:ascii="Arial" w:eastAsia="Times New Roman" w:hAnsi="Arial" w:cs="Arial"/>
                <w:bCs/>
                <w:sz w:val="28"/>
                <w:szCs w:val="28"/>
                <w:lang w:val="es-ES" w:eastAsia="es-ES"/>
              </w:rPr>
            </w:pPr>
            <w:r w:rsidRPr="00CF2780">
              <w:rPr>
                <w:rFonts w:ascii="Arial" w:eastAsia="Times New Roman" w:hAnsi="Arial" w:cs="Arial"/>
                <w:b/>
                <w:bCs/>
                <w:sz w:val="28"/>
                <w:szCs w:val="28"/>
                <w:lang w:val="es-ES" w:eastAsia="es-ES"/>
              </w:rPr>
              <w:t xml:space="preserve">EXPEDIENTE: </w:t>
            </w:r>
            <w:r w:rsidRPr="00CF2780">
              <w:rPr>
                <w:rFonts w:ascii="Arial" w:eastAsia="Times New Roman" w:hAnsi="Arial" w:cs="Arial"/>
                <w:bCs/>
                <w:sz w:val="28"/>
                <w:szCs w:val="28"/>
                <w:lang w:val="es-ES" w:eastAsia="es-ES"/>
              </w:rPr>
              <w:t>SUP-JDC-61/2012</w:t>
            </w:r>
          </w:p>
          <w:p w14:paraId="19EE5C70" w14:textId="77777777" w:rsidR="009B02C2" w:rsidRPr="00CF2780" w:rsidRDefault="009B02C2" w:rsidP="009B02C2">
            <w:pPr>
              <w:spacing w:after="0" w:line="240" w:lineRule="auto"/>
              <w:jc w:val="both"/>
              <w:rPr>
                <w:rFonts w:ascii="Arial" w:eastAsia="Times New Roman" w:hAnsi="Arial" w:cs="Arial"/>
                <w:b/>
                <w:bCs/>
                <w:sz w:val="28"/>
                <w:szCs w:val="28"/>
                <w:lang w:val="es-ES" w:eastAsia="es-ES"/>
              </w:rPr>
            </w:pPr>
          </w:p>
          <w:p w14:paraId="685CFE91" w14:textId="77777777" w:rsidR="009B02C2" w:rsidRPr="00CF2780" w:rsidRDefault="009B02C2" w:rsidP="009B02C2">
            <w:pPr>
              <w:spacing w:after="0" w:line="240" w:lineRule="auto"/>
              <w:jc w:val="both"/>
              <w:rPr>
                <w:rFonts w:ascii="Arial" w:eastAsia="Times New Roman" w:hAnsi="Arial" w:cs="Arial"/>
                <w:bCs/>
                <w:sz w:val="28"/>
                <w:szCs w:val="28"/>
                <w:lang w:val="es-ES" w:eastAsia="es-ES"/>
              </w:rPr>
            </w:pPr>
            <w:r w:rsidRPr="00CF2780">
              <w:rPr>
                <w:rFonts w:ascii="Arial" w:eastAsia="Times New Roman" w:hAnsi="Arial" w:cs="Arial"/>
                <w:b/>
                <w:bCs/>
                <w:sz w:val="28"/>
                <w:szCs w:val="28"/>
                <w:lang w:val="es-ES" w:eastAsia="es-ES"/>
              </w:rPr>
              <w:t xml:space="preserve">ACTOR: </w:t>
            </w:r>
            <w:r w:rsidRPr="00CF2780">
              <w:rPr>
                <w:rFonts w:ascii="Arial" w:eastAsia="Times New Roman" w:hAnsi="Arial" w:cs="Arial"/>
                <w:bCs/>
                <w:sz w:val="28"/>
                <w:szCs w:val="28"/>
                <w:lang w:val="es-ES" w:eastAsia="es-ES"/>
              </w:rPr>
              <w:t>JUAN FABÍAN JUÁREZ Y OTROS</w:t>
            </w:r>
          </w:p>
          <w:p w14:paraId="529EDE43" w14:textId="77777777" w:rsidR="009B02C2" w:rsidRPr="00CF2780" w:rsidRDefault="009B02C2" w:rsidP="009B02C2">
            <w:pPr>
              <w:spacing w:after="0" w:line="240" w:lineRule="auto"/>
              <w:jc w:val="both"/>
              <w:rPr>
                <w:rFonts w:ascii="Arial" w:eastAsia="Times New Roman" w:hAnsi="Arial" w:cs="Arial"/>
                <w:bCs/>
                <w:sz w:val="28"/>
                <w:szCs w:val="28"/>
                <w:lang w:val="es-ES" w:eastAsia="es-ES"/>
              </w:rPr>
            </w:pPr>
          </w:p>
          <w:p w14:paraId="33C18529" w14:textId="77777777" w:rsidR="009B02C2" w:rsidRPr="00CF2780" w:rsidRDefault="009B02C2" w:rsidP="009B02C2">
            <w:pPr>
              <w:spacing w:after="0" w:line="240" w:lineRule="auto"/>
              <w:jc w:val="both"/>
              <w:rPr>
                <w:rFonts w:ascii="Arial" w:eastAsia="Times New Roman" w:hAnsi="Arial" w:cs="Arial"/>
                <w:bCs/>
                <w:sz w:val="28"/>
                <w:szCs w:val="28"/>
                <w:lang w:val="es-ES" w:eastAsia="es-ES"/>
              </w:rPr>
            </w:pPr>
            <w:r w:rsidRPr="00CF2780">
              <w:rPr>
                <w:rFonts w:ascii="Arial" w:eastAsia="Times New Roman" w:hAnsi="Arial" w:cs="Arial"/>
                <w:bCs/>
                <w:sz w:val="28"/>
                <w:szCs w:val="28"/>
                <w:lang w:val="es-ES" w:eastAsia="es-ES"/>
              </w:rPr>
              <w:lastRenderedPageBreak/>
              <w:t>A</w:t>
            </w:r>
            <w:r w:rsidRPr="00CF2780">
              <w:rPr>
                <w:rFonts w:ascii="Arial" w:eastAsia="Times New Roman" w:hAnsi="Arial" w:cs="Arial"/>
                <w:b/>
                <w:bCs/>
                <w:sz w:val="28"/>
                <w:szCs w:val="28"/>
                <w:lang w:val="es-ES" w:eastAsia="es-ES"/>
              </w:rPr>
              <w:t xml:space="preserve">UTORIDAD RESPONSABLE: </w:t>
            </w:r>
            <w:r w:rsidRPr="00CF2780">
              <w:rPr>
                <w:rFonts w:ascii="Arial" w:eastAsia="Times New Roman" w:hAnsi="Arial" w:cs="Arial"/>
                <w:bCs/>
                <w:sz w:val="28"/>
                <w:szCs w:val="28"/>
                <w:lang w:val="es-ES" w:eastAsia="es-ES"/>
              </w:rPr>
              <w:t>CONSEJO GENERAL DEL INSTITUTO ELECTORAL DE MICHOACÁN</w:t>
            </w:r>
          </w:p>
          <w:p w14:paraId="221E410D" w14:textId="77777777" w:rsidR="009B02C2" w:rsidRPr="00CF2780" w:rsidRDefault="009B02C2" w:rsidP="009B02C2">
            <w:pPr>
              <w:spacing w:after="0" w:line="240" w:lineRule="auto"/>
              <w:jc w:val="both"/>
              <w:rPr>
                <w:rFonts w:ascii="Arial" w:eastAsia="Times New Roman" w:hAnsi="Arial" w:cs="Arial"/>
                <w:b/>
                <w:bCs/>
                <w:sz w:val="28"/>
                <w:szCs w:val="28"/>
                <w:lang w:val="es-ES" w:eastAsia="es-ES"/>
              </w:rPr>
            </w:pPr>
          </w:p>
          <w:p w14:paraId="7DB24A50" w14:textId="77777777" w:rsidR="009B02C2" w:rsidRPr="00CF2780" w:rsidRDefault="009B02C2" w:rsidP="009B02C2">
            <w:pPr>
              <w:spacing w:after="0" w:line="240" w:lineRule="auto"/>
              <w:jc w:val="both"/>
              <w:rPr>
                <w:rFonts w:ascii="Arial" w:eastAsia="Times New Roman" w:hAnsi="Arial" w:cs="Arial"/>
                <w:bCs/>
                <w:sz w:val="28"/>
                <w:szCs w:val="28"/>
                <w:lang w:val="es-ES" w:eastAsia="es-ES"/>
              </w:rPr>
            </w:pPr>
            <w:r w:rsidRPr="00CF2780">
              <w:rPr>
                <w:rFonts w:ascii="Arial" w:eastAsia="Times New Roman" w:hAnsi="Arial" w:cs="Arial"/>
                <w:b/>
                <w:bCs/>
                <w:sz w:val="28"/>
                <w:szCs w:val="28"/>
                <w:lang w:val="es-ES" w:eastAsia="es-ES"/>
              </w:rPr>
              <w:t xml:space="preserve">MAGISTRADO PONENTE: </w:t>
            </w:r>
            <w:r w:rsidRPr="00CF2780">
              <w:rPr>
                <w:rFonts w:ascii="Arial" w:eastAsia="Times New Roman" w:hAnsi="Arial" w:cs="Arial"/>
                <w:bCs/>
                <w:sz w:val="28"/>
                <w:szCs w:val="28"/>
                <w:lang w:val="es-ES" w:eastAsia="es-ES"/>
              </w:rPr>
              <w:t>SALVADOR OLIMPO NAVA GOMAR</w:t>
            </w:r>
          </w:p>
          <w:p w14:paraId="3BD9E0EA" w14:textId="77777777" w:rsidR="009B02C2" w:rsidRPr="00CF2780" w:rsidRDefault="009B02C2" w:rsidP="009B02C2">
            <w:pPr>
              <w:spacing w:after="0" w:line="240" w:lineRule="auto"/>
              <w:jc w:val="both"/>
              <w:rPr>
                <w:rFonts w:ascii="Arial" w:eastAsia="Times New Roman" w:hAnsi="Arial" w:cs="Arial"/>
                <w:b/>
                <w:bCs/>
                <w:sz w:val="28"/>
                <w:szCs w:val="28"/>
                <w:lang w:val="es-ES" w:eastAsia="es-ES"/>
              </w:rPr>
            </w:pPr>
          </w:p>
          <w:p w14:paraId="3096429B" w14:textId="77777777" w:rsidR="009B02C2" w:rsidRPr="00CF2780" w:rsidRDefault="009B02C2" w:rsidP="009B02C2">
            <w:pPr>
              <w:spacing w:after="0" w:line="240" w:lineRule="auto"/>
              <w:jc w:val="both"/>
              <w:rPr>
                <w:rFonts w:ascii="Arial" w:eastAsia="Times New Roman" w:hAnsi="Arial" w:cs="Arial"/>
                <w:sz w:val="28"/>
                <w:szCs w:val="28"/>
                <w:lang w:val="es-ES" w:eastAsia="es-ES"/>
              </w:rPr>
            </w:pPr>
            <w:r w:rsidRPr="00CF2780">
              <w:rPr>
                <w:rFonts w:ascii="Arial" w:eastAsia="Times New Roman" w:hAnsi="Arial" w:cs="Arial"/>
                <w:b/>
                <w:bCs/>
                <w:sz w:val="28"/>
                <w:szCs w:val="28"/>
                <w:lang w:val="es-ES" w:eastAsia="es-ES"/>
              </w:rPr>
              <w:t xml:space="preserve">SECRETARIOS: </w:t>
            </w:r>
            <w:r w:rsidRPr="00CF2780">
              <w:rPr>
                <w:rFonts w:ascii="Arial" w:eastAsia="Times New Roman" w:hAnsi="Arial" w:cs="Arial"/>
                <w:bCs/>
                <w:sz w:val="28"/>
                <w:szCs w:val="28"/>
                <w:lang w:val="es-ES" w:eastAsia="es-ES"/>
              </w:rPr>
              <w:t>JAVIER ORTIZ FLORES, JULIO CÉSAR CRUZ RICÁRDEZ Y JUAN CARLOS SILVA ADAYA</w:t>
            </w:r>
          </w:p>
        </w:tc>
      </w:tr>
    </w:tbl>
    <w:p w14:paraId="23BD0648"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25A6C389"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México, Distrito Federal, a veinte de enero de dos mil doce.</w:t>
      </w:r>
    </w:p>
    <w:p w14:paraId="09A82E46" w14:textId="77777777" w:rsidR="009B02C2" w:rsidRPr="00CF2780" w:rsidRDefault="009B02C2" w:rsidP="009B02C2">
      <w:pPr>
        <w:spacing w:after="0" w:line="360" w:lineRule="auto"/>
        <w:jc w:val="both"/>
        <w:rPr>
          <w:rFonts w:ascii="Arial" w:eastAsia="Times New Roman" w:hAnsi="Arial" w:cs="Arial"/>
          <w:b/>
          <w:sz w:val="28"/>
          <w:szCs w:val="28"/>
          <w:lang w:val="es-ES" w:eastAsia="es-ES"/>
        </w:rPr>
      </w:pPr>
    </w:p>
    <w:p w14:paraId="1403DC32"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VISTOS,</w:t>
      </w:r>
      <w:r w:rsidRPr="00CF2780">
        <w:rPr>
          <w:rFonts w:ascii="Arial" w:eastAsia="Times New Roman" w:hAnsi="Arial" w:cs="Arial"/>
          <w:sz w:val="28"/>
          <w:szCs w:val="28"/>
          <w:lang w:val="es-ES" w:eastAsia="es-ES"/>
        </w:rPr>
        <w:t xml:space="preserve"> </w:t>
      </w:r>
      <w:r w:rsidRPr="00CF2780">
        <w:rPr>
          <w:rFonts w:ascii="Arial" w:eastAsia="Times New Roman" w:hAnsi="Arial" w:cs="Arial"/>
          <w:sz w:val="28"/>
          <w:szCs w:val="28"/>
          <w:lang w:eastAsia="es-ES"/>
        </w:rPr>
        <w:t>para resolver</w:t>
      </w:r>
      <w:r w:rsidRPr="00CF2780">
        <w:rPr>
          <w:rFonts w:ascii="Arial" w:eastAsia="Times New Roman" w:hAnsi="Arial" w:cs="Arial"/>
          <w:sz w:val="28"/>
          <w:szCs w:val="28"/>
          <w:lang w:val="es-ES" w:eastAsia="es-ES"/>
        </w:rPr>
        <w:t xml:space="preserve"> los autos del juicio de para la protección de los derechos político-electorales del ciudadano </w:t>
      </w:r>
      <w:r w:rsidRPr="00CF2780">
        <w:rPr>
          <w:rFonts w:ascii="Arial" w:eastAsia="Times New Roman" w:hAnsi="Arial" w:cs="Arial"/>
          <w:sz w:val="28"/>
          <w:szCs w:val="28"/>
          <w:lang w:eastAsia="es-ES"/>
        </w:rPr>
        <w:t xml:space="preserve">identificado con la clave </w:t>
      </w:r>
      <w:r w:rsidRPr="00CF2780">
        <w:rPr>
          <w:rFonts w:ascii="Arial" w:eastAsia="Times New Roman" w:hAnsi="Arial" w:cs="Arial"/>
          <w:b/>
          <w:sz w:val="28"/>
          <w:szCs w:val="28"/>
          <w:lang w:val="es-ES" w:eastAsia="es-ES"/>
        </w:rPr>
        <w:t>SUP-JDC-61/2012,</w:t>
      </w:r>
      <w:r w:rsidRPr="00CF2780">
        <w:rPr>
          <w:rFonts w:ascii="Arial" w:eastAsia="Times New Roman" w:hAnsi="Arial" w:cs="Arial"/>
          <w:sz w:val="28"/>
          <w:szCs w:val="28"/>
          <w:lang w:val="es-ES" w:eastAsia="es-ES"/>
        </w:rPr>
        <w:t xml:space="preserve"> promovido por</w:t>
      </w:r>
      <w:r w:rsidRPr="00CF2780">
        <w:rPr>
          <w:rFonts w:ascii="Arial" w:eastAsia="Times New Roman" w:hAnsi="Arial" w:cs="Arial"/>
          <w:b/>
          <w:spacing w:val="-4"/>
          <w:sz w:val="28"/>
          <w:szCs w:val="28"/>
          <w:lang w:val="es-ES" w:eastAsia="es-ES"/>
        </w:rPr>
        <w:t xml:space="preserve"> </w:t>
      </w:r>
      <w:r w:rsidRPr="00CF2780">
        <w:rPr>
          <w:rFonts w:ascii="Arial" w:eastAsia="Times New Roman" w:hAnsi="Arial" w:cs="Arial"/>
          <w:spacing w:val="-4"/>
          <w:sz w:val="28"/>
          <w:szCs w:val="28"/>
          <w:lang w:val="es-ES" w:eastAsia="es-ES"/>
        </w:rPr>
        <w:t>varios ciudadanos integrantes de la comunidad indígena de Cherán, cabecera del municipio del mismo nombre, en el Estado de Michoacán,</w:t>
      </w:r>
      <w:r w:rsidRPr="00CF2780">
        <w:rPr>
          <w:rFonts w:ascii="Arial" w:eastAsia="Times New Roman" w:hAnsi="Arial" w:cs="Arial"/>
          <w:b/>
          <w:spacing w:val="-4"/>
          <w:sz w:val="28"/>
          <w:szCs w:val="28"/>
          <w:lang w:val="es-ES" w:eastAsia="es-ES"/>
        </w:rPr>
        <w:t xml:space="preserve"> </w:t>
      </w:r>
      <w:r w:rsidRPr="00CF2780">
        <w:rPr>
          <w:rFonts w:ascii="Arial" w:eastAsia="Times New Roman" w:hAnsi="Arial" w:cs="Arial"/>
          <w:sz w:val="28"/>
          <w:szCs w:val="28"/>
          <w:lang w:val="es-ES" w:eastAsia="es-ES"/>
        </w:rPr>
        <w:t xml:space="preserve">a fin de impugnar el Informe que rinde la Comisión Especial para dar seguimiento a la resolución emitida por la Sala Superior del Tribunal Electoral del Poder Judicial de la Federación en el juicio para la protección de los derechos político-electorales del ciudadano, número SUP-JDC-9167/2011, y los resultados de la consulta correspondiente que se celebró el dieciocho de diciembre de dos mil once, y </w:t>
      </w:r>
    </w:p>
    <w:p w14:paraId="73231672" w14:textId="77777777" w:rsidR="009B02C2" w:rsidRPr="00CF2780" w:rsidRDefault="009B02C2" w:rsidP="009B02C2">
      <w:pPr>
        <w:spacing w:after="0" w:line="360" w:lineRule="auto"/>
        <w:jc w:val="center"/>
        <w:rPr>
          <w:rFonts w:ascii="Arial" w:eastAsia="Times New Roman" w:hAnsi="Arial" w:cs="Arial"/>
          <w:b/>
          <w:bCs/>
          <w:sz w:val="28"/>
          <w:szCs w:val="28"/>
          <w:lang w:val="es-ES" w:eastAsia="es-ES"/>
        </w:rPr>
      </w:pPr>
    </w:p>
    <w:p w14:paraId="2420FAAB" w14:textId="77777777" w:rsidR="009B02C2" w:rsidRPr="00CF2780" w:rsidRDefault="009B02C2" w:rsidP="009B02C2">
      <w:pPr>
        <w:spacing w:after="0" w:line="360" w:lineRule="auto"/>
        <w:ind w:firstLine="709"/>
        <w:jc w:val="center"/>
        <w:rPr>
          <w:rFonts w:ascii="Arial" w:eastAsia="Times New Roman" w:hAnsi="Arial" w:cs="Arial"/>
          <w:b/>
          <w:bCs/>
          <w:sz w:val="28"/>
          <w:szCs w:val="28"/>
          <w:lang w:val="pt-BR" w:eastAsia="es-ES"/>
        </w:rPr>
      </w:pPr>
      <w:r w:rsidRPr="00CF2780">
        <w:rPr>
          <w:rFonts w:ascii="Arial" w:eastAsia="Times New Roman" w:hAnsi="Arial" w:cs="Arial"/>
          <w:b/>
          <w:bCs/>
          <w:sz w:val="28"/>
          <w:szCs w:val="28"/>
          <w:lang w:val="pt-BR" w:eastAsia="es-ES"/>
        </w:rPr>
        <w:t>R E S U L T A N D O</w:t>
      </w:r>
    </w:p>
    <w:p w14:paraId="203D314A" w14:textId="77777777" w:rsidR="009B02C2" w:rsidRPr="00CF2780" w:rsidRDefault="009B02C2" w:rsidP="009B02C2">
      <w:pPr>
        <w:spacing w:after="0" w:line="360" w:lineRule="auto"/>
        <w:ind w:firstLine="709"/>
        <w:jc w:val="center"/>
        <w:rPr>
          <w:rFonts w:ascii="Arial" w:eastAsia="Times New Roman" w:hAnsi="Arial" w:cs="Arial"/>
          <w:b/>
          <w:bCs/>
          <w:sz w:val="28"/>
          <w:szCs w:val="28"/>
          <w:lang w:val="pt-BR" w:eastAsia="es-ES"/>
        </w:rPr>
      </w:pPr>
    </w:p>
    <w:p w14:paraId="66989C14"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b/>
          <w:bCs/>
          <w:sz w:val="28"/>
          <w:szCs w:val="28"/>
          <w:lang w:val="es-ES" w:eastAsia="es-ES"/>
        </w:rPr>
        <w:lastRenderedPageBreak/>
        <w:t>I. Antecedentes.</w:t>
      </w:r>
      <w:r w:rsidRPr="00CF2780">
        <w:rPr>
          <w:rFonts w:ascii="Arial" w:eastAsia="Times New Roman" w:hAnsi="Arial" w:cs="Arial"/>
          <w:sz w:val="28"/>
          <w:szCs w:val="28"/>
          <w:lang w:val="es-ES" w:eastAsia="es-ES"/>
        </w:rPr>
        <w:t xml:space="preserve"> De la narración de hechos efectuada en la demanda y de las constancias que obran en autos, se tiene lo siguiente:</w:t>
      </w:r>
    </w:p>
    <w:p w14:paraId="07A88DF3" w14:textId="77777777" w:rsidR="009B02C2" w:rsidRPr="00CF2780" w:rsidRDefault="009B02C2" w:rsidP="009B02C2">
      <w:pPr>
        <w:spacing w:after="0" w:line="360" w:lineRule="auto"/>
        <w:ind w:left="1669"/>
        <w:jc w:val="both"/>
        <w:rPr>
          <w:rFonts w:ascii="Arial" w:eastAsia="Times New Roman" w:hAnsi="Arial" w:cs="Arial"/>
          <w:sz w:val="28"/>
          <w:szCs w:val="28"/>
          <w:lang w:val="es-ES" w:eastAsia="es-ES"/>
        </w:rPr>
      </w:pPr>
    </w:p>
    <w:p w14:paraId="685A5F38" w14:textId="77777777" w:rsidR="009B02C2" w:rsidRPr="00CF2780" w:rsidRDefault="009B02C2" w:rsidP="001C6A89">
      <w:pPr>
        <w:numPr>
          <w:ilvl w:val="0"/>
          <w:numId w:val="19"/>
        </w:numPr>
        <w:spacing w:after="0" w:line="360" w:lineRule="auto"/>
        <w:ind w:left="0" w:firstLine="709"/>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 xml:space="preserve">SUP-JDC-9167/2011. </w:t>
      </w:r>
      <w:r w:rsidRPr="00CF2780">
        <w:rPr>
          <w:rFonts w:ascii="Arial" w:eastAsia="Times New Roman" w:hAnsi="Arial" w:cs="Arial"/>
          <w:sz w:val="28"/>
          <w:szCs w:val="28"/>
          <w:lang w:val="es-ES" w:eastAsia="es-ES"/>
        </w:rPr>
        <w:t>El dos de noviembre de dos mil once, este órgano jurisdiccional dictó sentencia en el juicio para la protección de los derechos político-electorales del ciudadano identificado con la clave SUP-JDC-9167/2011, en el que resolvió:</w:t>
      </w:r>
    </w:p>
    <w:p w14:paraId="6E03CD2B" w14:textId="77777777" w:rsidR="009B02C2" w:rsidRPr="00CF2780" w:rsidRDefault="009B02C2" w:rsidP="009B02C2">
      <w:pPr>
        <w:spacing w:after="0" w:line="240" w:lineRule="auto"/>
        <w:ind w:left="709"/>
        <w:jc w:val="both"/>
        <w:rPr>
          <w:rFonts w:ascii="Arial" w:eastAsia="Times New Roman" w:hAnsi="Arial" w:cs="Arial"/>
          <w:sz w:val="24"/>
          <w:szCs w:val="24"/>
          <w:lang w:val="es-ES" w:eastAsia="es-ES"/>
        </w:rPr>
      </w:pPr>
    </w:p>
    <w:p w14:paraId="22E2E50E" w14:textId="77777777" w:rsidR="009B02C2" w:rsidRPr="00CF2780" w:rsidRDefault="009B02C2" w:rsidP="009B02C2">
      <w:pPr>
        <w:spacing w:after="0" w:line="240" w:lineRule="auto"/>
        <w:ind w:left="720"/>
        <w:jc w:val="both"/>
        <w:rPr>
          <w:rFonts w:ascii="Arial" w:eastAsia="Times New Roman" w:hAnsi="Arial" w:cs="Arial"/>
          <w:bCs/>
          <w:color w:val="000000"/>
          <w:spacing w:val="3"/>
          <w:sz w:val="24"/>
          <w:szCs w:val="24"/>
          <w:lang w:val="es-ES_tradnl" w:eastAsia="es-ES"/>
        </w:rPr>
      </w:pPr>
      <w:r w:rsidRPr="00CF2780">
        <w:rPr>
          <w:rFonts w:ascii="Arial" w:eastAsia="Times New Roman" w:hAnsi="Arial" w:cs="Arial"/>
          <w:b/>
          <w:sz w:val="24"/>
          <w:szCs w:val="24"/>
          <w:lang w:val="es-ES" w:eastAsia="es-ES"/>
        </w:rPr>
        <w:t>PRIMERO.</w:t>
      </w:r>
      <w:r w:rsidRPr="00CF2780">
        <w:rPr>
          <w:rFonts w:ascii="Arial" w:eastAsia="Times New Roman" w:hAnsi="Arial" w:cs="Arial"/>
          <w:sz w:val="24"/>
          <w:szCs w:val="24"/>
          <w:lang w:val="es-ES" w:eastAsia="es-ES"/>
        </w:rPr>
        <w:t xml:space="preserve"> Se </w:t>
      </w:r>
      <w:r w:rsidRPr="00CF2780">
        <w:rPr>
          <w:rFonts w:ascii="Arial" w:eastAsia="Times New Roman" w:hAnsi="Arial" w:cs="Arial"/>
          <w:b/>
          <w:sz w:val="24"/>
          <w:szCs w:val="24"/>
          <w:lang w:val="es-ES" w:eastAsia="es-ES"/>
        </w:rPr>
        <w:t>revoca</w:t>
      </w:r>
      <w:r w:rsidRPr="00CF2780">
        <w:rPr>
          <w:rFonts w:ascii="Arial" w:eastAsia="Times New Roman" w:hAnsi="Arial" w:cs="Arial"/>
          <w:sz w:val="24"/>
          <w:szCs w:val="24"/>
          <w:lang w:val="es-ES" w:eastAsia="es-ES"/>
        </w:rPr>
        <w:t xml:space="preserve"> el </w:t>
      </w:r>
      <w:r w:rsidRPr="00CF2780">
        <w:rPr>
          <w:rFonts w:ascii="Arial" w:eastAsia="Times New Roman" w:hAnsi="Arial" w:cs="Arial"/>
          <w:bCs/>
          <w:color w:val="000000"/>
          <w:spacing w:val="3"/>
          <w:sz w:val="24"/>
          <w:szCs w:val="24"/>
          <w:lang w:val="es-ES_tradnl" w:eastAsia="es-ES"/>
        </w:rPr>
        <w:t xml:space="preserve">acuerdo CG-38/2011 de nueve de septiembre de dos mil once emitido por el Consejo General del Instituto Electoral de Michoacán por el que se da </w:t>
      </w:r>
      <w:r w:rsidRPr="00CF2780">
        <w:rPr>
          <w:rFonts w:ascii="Arial" w:eastAsia="Times New Roman" w:hAnsi="Arial" w:cs="Arial"/>
          <w:bCs/>
          <w:color w:val="000000"/>
          <w:spacing w:val="2"/>
          <w:sz w:val="24"/>
          <w:szCs w:val="24"/>
          <w:lang w:val="es-ES_tradnl" w:eastAsia="es-ES"/>
        </w:rPr>
        <w:t xml:space="preserve">respuesta a la petición de la Comunidad Indígena de Cherán para celebrar elecciones </w:t>
      </w:r>
      <w:r w:rsidRPr="00CF2780">
        <w:rPr>
          <w:rFonts w:ascii="Arial" w:eastAsia="Times New Roman" w:hAnsi="Arial" w:cs="Arial"/>
          <w:bCs/>
          <w:color w:val="000000"/>
          <w:spacing w:val="3"/>
          <w:sz w:val="24"/>
          <w:szCs w:val="24"/>
          <w:lang w:val="es-ES_tradnl" w:eastAsia="es-ES"/>
        </w:rPr>
        <w:t>bajo sus usos y costumbres.</w:t>
      </w:r>
    </w:p>
    <w:p w14:paraId="757A1C6E" w14:textId="77777777" w:rsidR="009B02C2" w:rsidRPr="00CF2780" w:rsidRDefault="009B02C2" w:rsidP="009B02C2">
      <w:pPr>
        <w:spacing w:after="0" w:line="240" w:lineRule="auto"/>
        <w:jc w:val="both"/>
        <w:rPr>
          <w:rFonts w:ascii="Arial" w:eastAsia="Times New Roman" w:hAnsi="Arial" w:cs="Arial"/>
          <w:b/>
          <w:sz w:val="24"/>
          <w:szCs w:val="24"/>
          <w:lang w:val="es-ES" w:eastAsia="es-ES"/>
        </w:rPr>
      </w:pPr>
    </w:p>
    <w:p w14:paraId="68A199B3" w14:textId="77777777" w:rsidR="009B02C2" w:rsidRPr="00CF2780" w:rsidRDefault="009B02C2" w:rsidP="009B02C2">
      <w:pPr>
        <w:spacing w:after="0" w:line="240" w:lineRule="auto"/>
        <w:ind w:left="720"/>
        <w:jc w:val="both"/>
        <w:rPr>
          <w:rFonts w:ascii="Arial" w:eastAsia="Times New Roman" w:hAnsi="Arial" w:cs="Arial"/>
          <w:bCs/>
          <w:color w:val="000000"/>
          <w:spacing w:val="3"/>
          <w:sz w:val="24"/>
          <w:szCs w:val="24"/>
          <w:lang w:val="es-ES_tradnl" w:eastAsia="es-ES"/>
        </w:rPr>
      </w:pPr>
      <w:r w:rsidRPr="00CF2780">
        <w:rPr>
          <w:rFonts w:ascii="Arial" w:eastAsia="Times New Roman" w:hAnsi="Arial" w:cs="Arial"/>
          <w:b/>
          <w:sz w:val="24"/>
          <w:szCs w:val="24"/>
          <w:lang w:val="es-ES" w:eastAsia="es-ES"/>
        </w:rPr>
        <w:t xml:space="preserve">SEGUNDO. </w:t>
      </w:r>
      <w:r w:rsidRPr="00CF2780">
        <w:rPr>
          <w:rFonts w:ascii="Arial" w:eastAsia="Times New Roman" w:hAnsi="Arial" w:cs="Arial"/>
          <w:bCs/>
          <w:color w:val="000000"/>
          <w:spacing w:val="3"/>
          <w:sz w:val="24"/>
          <w:szCs w:val="24"/>
          <w:lang w:val="es-ES_tradnl" w:eastAsia="es-ES"/>
        </w:rPr>
        <w:t xml:space="preserve">Se </w:t>
      </w:r>
      <w:r w:rsidRPr="00CF2780">
        <w:rPr>
          <w:rFonts w:ascii="Arial" w:eastAsia="Times New Roman" w:hAnsi="Arial" w:cs="Arial"/>
          <w:b/>
          <w:bCs/>
          <w:color w:val="000000"/>
          <w:spacing w:val="3"/>
          <w:sz w:val="24"/>
          <w:szCs w:val="24"/>
          <w:lang w:val="es-ES_tradnl" w:eastAsia="es-ES"/>
        </w:rPr>
        <w:t>determina</w:t>
      </w:r>
      <w:r w:rsidRPr="00CF2780">
        <w:rPr>
          <w:rFonts w:ascii="Arial" w:eastAsia="Times New Roman" w:hAnsi="Arial" w:cs="Arial"/>
          <w:bCs/>
          <w:color w:val="000000"/>
          <w:spacing w:val="3"/>
          <w:sz w:val="24"/>
          <w:szCs w:val="24"/>
          <w:lang w:val="es-ES_tradnl" w:eastAsia="es-ES"/>
        </w:rPr>
        <w:t xml:space="preserve"> que los integrantes  de la comunidad indígena de Cherán tienen derecho a solicitar la elección de sus propias autoridades, siguiendo para ello sus normas, procedimientos y prácticas tradicionales, con pleno respeto a los derechos humanos.</w:t>
      </w:r>
    </w:p>
    <w:p w14:paraId="1A925E0B" w14:textId="77777777" w:rsidR="009B02C2" w:rsidRPr="00CF2780" w:rsidRDefault="009B02C2" w:rsidP="009B02C2">
      <w:pPr>
        <w:spacing w:after="0" w:line="240" w:lineRule="auto"/>
        <w:jc w:val="both"/>
        <w:rPr>
          <w:rFonts w:ascii="Arial" w:eastAsia="Times New Roman" w:hAnsi="Arial" w:cs="Arial"/>
          <w:bCs/>
          <w:color w:val="000000"/>
          <w:spacing w:val="3"/>
          <w:sz w:val="24"/>
          <w:szCs w:val="24"/>
          <w:lang w:val="es-ES_tradnl" w:eastAsia="es-ES"/>
        </w:rPr>
      </w:pPr>
    </w:p>
    <w:p w14:paraId="7C2E82B1" w14:textId="77777777" w:rsidR="009B02C2" w:rsidRPr="00CF2780" w:rsidRDefault="009B02C2" w:rsidP="009B02C2">
      <w:pPr>
        <w:spacing w:after="0" w:line="240" w:lineRule="auto"/>
        <w:ind w:left="709"/>
        <w:jc w:val="both"/>
        <w:rPr>
          <w:rFonts w:ascii="Arial" w:eastAsia="Times New Roman" w:hAnsi="Arial" w:cs="Arial"/>
          <w:bCs/>
          <w:color w:val="000000"/>
          <w:spacing w:val="3"/>
          <w:sz w:val="24"/>
          <w:szCs w:val="24"/>
          <w:lang w:val="es-ES_tradnl" w:eastAsia="es-ES"/>
        </w:rPr>
      </w:pPr>
      <w:r w:rsidRPr="00CF2780">
        <w:rPr>
          <w:rFonts w:ascii="Arial" w:eastAsia="Times New Roman" w:hAnsi="Arial" w:cs="Arial"/>
          <w:b/>
          <w:bCs/>
          <w:color w:val="000000"/>
          <w:spacing w:val="3"/>
          <w:sz w:val="24"/>
          <w:szCs w:val="24"/>
          <w:lang w:val="es-ES_tradnl" w:eastAsia="es-ES"/>
        </w:rPr>
        <w:t>TERCERO.</w:t>
      </w:r>
      <w:r w:rsidRPr="00CF2780">
        <w:rPr>
          <w:rFonts w:ascii="Arial" w:eastAsia="Times New Roman" w:hAnsi="Arial" w:cs="Arial"/>
          <w:bCs/>
          <w:color w:val="000000"/>
          <w:spacing w:val="3"/>
          <w:sz w:val="24"/>
          <w:szCs w:val="24"/>
          <w:lang w:val="es-ES_tradnl" w:eastAsia="es-ES"/>
        </w:rPr>
        <w:t xml:space="preserve"> Se dejan sin efectos todos los acuerdos de las autoridades electorales locales relacionados directamente con la elección de integrantes del Ayuntamiento en el Municipio de Cherán, para la preparación y organización de los comicios conforme al régimen de partidos políticos.</w:t>
      </w:r>
    </w:p>
    <w:p w14:paraId="1F58B112" w14:textId="77777777" w:rsidR="009B02C2" w:rsidRPr="00CF2780" w:rsidRDefault="009B02C2" w:rsidP="009B02C2">
      <w:pPr>
        <w:spacing w:after="0" w:line="240" w:lineRule="auto"/>
        <w:ind w:left="709"/>
        <w:jc w:val="both"/>
        <w:rPr>
          <w:rFonts w:ascii="Arial" w:eastAsia="Times New Roman" w:hAnsi="Arial" w:cs="Arial"/>
          <w:bCs/>
          <w:color w:val="000000"/>
          <w:spacing w:val="3"/>
          <w:sz w:val="24"/>
          <w:szCs w:val="24"/>
          <w:lang w:val="es-ES_tradnl" w:eastAsia="es-ES"/>
        </w:rPr>
      </w:pPr>
    </w:p>
    <w:p w14:paraId="288DC141" w14:textId="77777777" w:rsidR="009B02C2" w:rsidRPr="00CF2780" w:rsidRDefault="009B02C2" w:rsidP="009B02C2">
      <w:pPr>
        <w:spacing w:after="0" w:line="240" w:lineRule="auto"/>
        <w:ind w:left="709"/>
        <w:jc w:val="both"/>
        <w:rPr>
          <w:rFonts w:ascii="Arial" w:eastAsia="Times New Roman" w:hAnsi="Arial" w:cs="Arial"/>
          <w:bCs/>
          <w:color w:val="000000"/>
          <w:spacing w:val="3"/>
          <w:sz w:val="24"/>
          <w:szCs w:val="24"/>
          <w:lang w:val="es-ES_tradnl" w:eastAsia="es-ES"/>
        </w:rPr>
      </w:pPr>
      <w:r w:rsidRPr="00CF2780">
        <w:rPr>
          <w:rFonts w:ascii="Arial" w:eastAsia="Times New Roman" w:hAnsi="Arial" w:cs="Arial"/>
          <w:b/>
          <w:bCs/>
          <w:color w:val="000000"/>
          <w:spacing w:val="3"/>
          <w:sz w:val="24"/>
          <w:szCs w:val="24"/>
          <w:lang w:val="es-ES_tradnl" w:eastAsia="es-ES"/>
        </w:rPr>
        <w:t>CUARTO.</w:t>
      </w:r>
      <w:r w:rsidRPr="00CF2780">
        <w:rPr>
          <w:rFonts w:ascii="Arial" w:eastAsia="Times New Roman" w:hAnsi="Arial" w:cs="Arial"/>
          <w:bCs/>
          <w:color w:val="000000"/>
          <w:spacing w:val="3"/>
          <w:sz w:val="24"/>
          <w:szCs w:val="24"/>
          <w:lang w:val="es-ES_tradnl" w:eastAsia="es-ES"/>
        </w:rPr>
        <w:t xml:space="preserve">  Se </w:t>
      </w:r>
      <w:r w:rsidRPr="00CF2780">
        <w:rPr>
          <w:rFonts w:ascii="Arial" w:eastAsia="Times New Roman" w:hAnsi="Arial" w:cs="Arial"/>
          <w:b/>
          <w:bCs/>
          <w:color w:val="000000"/>
          <w:spacing w:val="3"/>
          <w:sz w:val="24"/>
          <w:szCs w:val="24"/>
          <w:lang w:val="es-ES_tradnl" w:eastAsia="es-ES"/>
        </w:rPr>
        <w:t>ordena</w:t>
      </w:r>
      <w:r w:rsidRPr="00CF2780">
        <w:rPr>
          <w:rFonts w:ascii="Arial" w:eastAsia="Times New Roman" w:hAnsi="Arial" w:cs="Arial"/>
          <w:bCs/>
          <w:color w:val="000000"/>
          <w:spacing w:val="3"/>
          <w:sz w:val="24"/>
          <w:szCs w:val="24"/>
          <w:lang w:val="es-ES_tradnl" w:eastAsia="es-ES"/>
        </w:rPr>
        <w:t xml:space="preserve"> al Consejo General del Instituto Estatal Electoral de Michoacán realizar todas las acciones ordenadas en el considerando Noveno de la presente resolución.</w:t>
      </w:r>
    </w:p>
    <w:p w14:paraId="613B998D" w14:textId="77777777" w:rsidR="009B02C2" w:rsidRPr="00CF2780" w:rsidRDefault="009B02C2" w:rsidP="009B02C2">
      <w:pPr>
        <w:spacing w:after="0" w:line="240" w:lineRule="auto"/>
        <w:ind w:left="709"/>
        <w:jc w:val="both"/>
        <w:rPr>
          <w:rFonts w:ascii="Arial" w:eastAsia="Times New Roman" w:hAnsi="Arial" w:cs="Arial"/>
          <w:bCs/>
          <w:color w:val="000000"/>
          <w:spacing w:val="3"/>
          <w:sz w:val="24"/>
          <w:szCs w:val="24"/>
          <w:lang w:val="es-ES_tradnl" w:eastAsia="es-ES"/>
        </w:rPr>
      </w:pPr>
    </w:p>
    <w:p w14:paraId="467EA63E" w14:textId="77777777" w:rsidR="009B02C2" w:rsidRPr="00CF2780" w:rsidRDefault="009B02C2" w:rsidP="009B02C2">
      <w:pPr>
        <w:spacing w:after="0" w:line="240" w:lineRule="auto"/>
        <w:ind w:left="709"/>
        <w:jc w:val="both"/>
        <w:rPr>
          <w:rFonts w:ascii="Arial" w:eastAsia="Times New Roman" w:hAnsi="Arial" w:cs="Arial"/>
          <w:bCs/>
          <w:color w:val="000000"/>
          <w:spacing w:val="3"/>
          <w:sz w:val="24"/>
          <w:szCs w:val="24"/>
          <w:lang w:val="es-ES_tradnl" w:eastAsia="es-ES"/>
        </w:rPr>
      </w:pPr>
      <w:r w:rsidRPr="00CF2780">
        <w:rPr>
          <w:rFonts w:ascii="Arial" w:eastAsia="Times New Roman" w:hAnsi="Arial" w:cs="Arial"/>
          <w:b/>
          <w:bCs/>
          <w:color w:val="000000"/>
          <w:spacing w:val="3"/>
          <w:sz w:val="24"/>
          <w:szCs w:val="24"/>
          <w:lang w:val="es-ES_tradnl" w:eastAsia="es-ES"/>
        </w:rPr>
        <w:t xml:space="preserve">QUINTO. </w:t>
      </w:r>
      <w:r w:rsidRPr="00CF2780">
        <w:rPr>
          <w:rFonts w:ascii="Arial" w:eastAsia="Times New Roman" w:hAnsi="Arial" w:cs="Arial"/>
          <w:bCs/>
          <w:color w:val="000000"/>
          <w:spacing w:val="3"/>
          <w:sz w:val="24"/>
          <w:szCs w:val="24"/>
          <w:lang w:val="es-ES_tradnl" w:eastAsia="es-ES"/>
        </w:rPr>
        <w:t>Se ordena al Congreso del Estado de Michoacán realizar todas las acciones ordenadas en el considerando Noveno de la presente resolución.</w:t>
      </w:r>
    </w:p>
    <w:p w14:paraId="03BC6135" w14:textId="77777777" w:rsidR="009B02C2" w:rsidRPr="00CF2780" w:rsidRDefault="009B02C2" w:rsidP="009B02C2">
      <w:pPr>
        <w:spacing w:after="0" w:line="240" w:lineRule="auto"/>
        <w:jc w:val="both"/>
        <w:rPr>
          <w:rFonts w:ascii="Arial" w:eastAsia="Times New Roman" w:hAnsi="Arial" w:cs="Arial"/>
          <w:bCs/>
          <w:color w:val="000000"/>
          <w:spacing w:val="3"/>
          <w:sz w:val="24"/>
          <w:szCs w:val="24"/>
          <w:lang w:val="es-ES_tradnl" w:eastAsia="es-ES"/>
        </w:rPr>
      </w:pPr>
    </w:p>
    <w:p w14:paraId="6CE9E912" w14:textId="77777777" w:rsidR="009B02C2" w:rsidRPr="00CF2780" w:rsidRDefault="009B02C2" w:rsidP="009B02C2">
      <w:pPr>
        <w:spacing w:after="0" w:line="240" w:lineRule="auto"/>
        <w:ind w:left="709"/>
        <w:jc w:val="both"/>
        <w:rPr>
          <w:rFonts w:ascii="Arial" w:eastAsia="Times New Roman" w:hAnsi="Arial" w:cs="Arial"/>
          <w:bCs/>
          <w:color w:val="000000"/>
          <w:spacing w:val="3"/>
          <w:sz w:val="24"/>
          <w:szCs w:val="24"/>
          <w:lang w:val="es-ES_tradnl" w:eastAsia="es-ES"/>
        </w:rPr>
      </w:pPr>
      <w:r w:rsidRPr="00CF2780">
        <w:rPr>
          <w:rFonts w:ascii="Arial" w:eastAsia="Times New Roman" w:hAnsi="Arial" w:cs="Arial"/>
          <w:b/>
          <w:bCs/>
          <w:color w:val="000000"/>
          <w:spacing w:val="3"/>
          <w:sz w:val="24"/>
          <w:szCs w:val="24"/>
          <w:lang w:val="es-ES_tradnl" w:eastAsia="es-ES"/>
        </w:rPr>
        <w:t xml:space="preserve">SEXTO. </w:t>
      </w:r>
      <w:r w:rsidRPr="00CF2780">
        <w:rPr>
          <w:rFonts w:ascii="Arial" w:eastAsia="Times New Roman" w:hAnsi="Arial" w:cs="Arial"/>
          <w:bCs/>
          <w:color w:val="000000"/>
          <w:spacing w:val="3"/>
          <w:sz w:val="24"/>
          <w:szCs w:val="24"/>
          <w:lang w:val="es-ES_tradnl" w:eastAsia="es-ES"/>
        </w:rPr>
        <w:t xml:space="preserve">Se </w:t>
      </w:r>
      <w:r w:rsidRPr="00CF2780">
        <w:rPr>
          <w:rFonts w:ascii="Arial" w:eastAsia="Times New Roman" w:hAnsi="Arial" w:cs="Arial"/>
          <w:b/>
          <w:bCs/>
          <w:color w:val="000000"/>
          <w:spacing w:val="3"/>
          <w:sz w:val="24"/>
          <w:szCs w:val="24"/>
          <w:lang w:val="es-ES_tradnl" w:eastAsia="es-ES"/>
        </w:rPr>
        <w:t>ordena</w:t>
      </w:r>
      <w:r w:rsidRPr="00CF2780">
        <w:rPr>
          <w:rFonts w:ascii="Arial" w:eastAsia="Times New Roman" w:hAnsi="Arial" w:cs="Arial"/>
          <w:bCs/>
          <w:color w:val="000000"/>
          <w:spacing w:val="3"/>
          <w:sz w:val="24"/>
          <w:szCs w:val="24"/>
          <w:lang w:val="es-ES_tradnl" w:eastAsia="es-ES"/>
        </w:rPr>
        <w:t xml:space="preserve"> a las autoridades estatales que, en el ejercicio de sus funciones, acaten la presente ejecutoria y presten el auxilio necesario al Instituto Electoral de Michoacán.</w:t>
      </w:r>
    </w:p>
    <w:p w14:paraId="649F47EE"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4D9760FC" w14:textId="77777777" w:rsidR="009B02C2" w:rsidRPr="00CF2780" w:rsidRDefault="009B02C2" w:rsidP="001C6A89">
      <w:pPr>
        <w:numPr>
          <w:ilvl w:val="0"/>
          <w:numId w:val="19"/>
        </w:numPr>
        <w:spacing w:after="0" w:line="360" w:lineRule="auto"/>
        <w:ind w:left="0" w:firstLine="709"/>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 xml:space="preserve">Creación de la Comisión Especial. </w:t>
      </w:r>
      <w:r w:rsidRPr="00CF2780">
        <w:rPr>
          <w:rFonts w:ascii="Arial" w:eastAsia="Times New Roman" w:hAnsi="Arial" w:cs="Arial"/>
          <w:sz w:val="28"/>
          <w:szCs w:val="28"/>
          <w:lang w:val="es-ES" w:eastAsia="es-ES"/>
        </w:rPr>
        <w:t xml:space="preserve">El treinta de noviembre de dos mil once, el Consejo General del Instituto Electoral de Michoacán </w:t>
      </w:r>
      <w:r w:rsidRPr="00CF2780">
        <w:rPr>
          <w:rFonts w:ascii="Arial" w:eastAsia="Times New Roman" w:hAnsi="Arial" w:cs="Arial"/>
          <w:sz w:val="28"/>
          <w:szCs w:val="28"/>
          <w:lang w:val="es-ES" w:eastAsia="es-ES"/>
        </w:rPr>
        <w:lastRenderedPageBreak/>
        <w:t>creó la Comisión Especial para dar seguimiento a la resolución referida en el punto que antecede.</w:t>
      </w:r>
    </w:p>
    <w:p w14:paraId="43707020" w14:textId="77777777" w:rsidR="009B02C2" w:rsidRPr="00CF2780" w:rsidRDefault="009B02C2" w:rsidP="009B02C2">
      <w:pPr>
        <w:spacing w:after="0" w:line="360" w:lineRule="auto"/>
        <w:ind w:left="709"/>
        <w:jc w:val="both"/>
        <w:rPr>
          <w:rFonts w:ascii="Arial" w:eastAsia="Times New Roman" w:hAnsi="Arial" w:cs="Arial"/>
          <w:sz w:val="28"/>
          <w:szCs w:val="28"/>
          <w:lang w:val="es-ES" w:eastAsia="es-ES"/>
        </w:rPr>
      </w:pPr>
    </w:p>
    <w:p w14:paraId="4B8A4787"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Después de diversas reuniones con los miembros de la comunidad de Cherán, la citada Comisión sometió el proyecto de acuerdo a consideración del Consejo General; los calendarios para las pláticas informativas y las consultas, y las convocatorias tanto para las pláticas informativas como para las consultas que deberían publicarse en las comunidades de San Francisco Cherán y Santa Cruz Tanaco.</w:t>
      </w:r>
    </w:p>
    <w:p w14:paraId="12E6DFF6" w14:textId="77777777" w:rsidR="009B02C2" w:rsidRPr="00CF2780" w:rsidRDefault="009B02C2" w:rsidP="009B02C2">
      <w:pPr>
        <w:spacing w:after="0" w:line="360" w:lineRule="auto"/>
        <w:ind w:left="709"/>
        <w:jc w:val="both"/>
        <w:rPr>
          <w:rFonts w:ascii="Arial" w:eastAsia="Times New Roman" w:hAnsi="Arial" w:cs="Arial"/>
          <w:sz w:val="28"/>
          <w:szCs w:val="28"/>
          <w:lang w:val="es-ES" w:eastAsia="es-ES"/>
        </w:rPr>
      </w:pPr>
    </w:p>
    <w:p w14:paraId="3E2A92A5" w14:textId="77777777" w:rsidR="009B02C2" w:rsidRPr="00CF2780" w:rsidRDefault="009B02C2" w:rsidP="001C6A89">
      <w:pPr>
        <w:numPr>
          <w:ilvl w:val="0"/>
          <w:numId w:val="19"/>
        </w:numPr>
        <w:spacing w:after="0" w:line="360" w:lineRule="auto"/>
        <w:ind w:left="0" w:firstLine="709"/>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Acuerdo del Consejo General.</w:t>
      </w:r>
      <w:r w:rsidRPr="00CF2780">
        <w:rPr>
          <w:rFonts w:ascii="Arial" w:eastAsia="Times New Roman" w:hAnsi="Arial" w:cs="Arial"/>
          <w:sz w:val="28"/>
          <w:szCs w:val="28"/>
          <w:lang w:val="es-ES" w:eastAsia="es-ES"/>
        </w:rPr>
        <w:t xml:space="preserve"> El nueve de diciembre de dos mil once, el Consejo General del Instituto Electoral de Michoacán aprobó el calendario en el que se llevarían a cabo las asambleas informativas y la consulta, así como la publicación de las convocatorias respectivas.</w:t>
      </w:r>
    </w:p>
    <w:p w14:paraId="02489937" w14:textId="77777777" w:rsidR="009B02C2" w:rsidRPr="00CF2780" w:rsidRDefault="009B02C2" w:rsidP="009B02C2">
      <w:pPr>
        <w:spacing w:after="0" w:line="360" w:lineRule="auto"/>
        <w:ind w:left="709"/>
        <w:jc w:val="both"/>
        <w:rPr>
          <w:rFonts w:ascii="Arial" w:eastAsia="Times New Roman" w:hAnsi="Arial" w:cs="Arial"/>
          <w:sz w:val="28"/>
          <w:szCs w:val="28"/>
          <w:lang w:val="es-ES" w:eastAsia="es-ES"/>
        </w:rPr>
      </w:pPr>
    </w:p>
    <w:p w14:paraId="362A7B38" w14:textId="77777777" w:rsidR="009B02C2" w:rsidRPr="00CF2780" w:rsidRDefault="009B02C2" w:rsidP="001C6A89">
      <w:pPr>
        <w:numPr>
          <w:ilvl w:val="0"/>
          <w:numId w:val="19"/>
        </w:numPr>
        <w:spacing w:after="0" w:line="360" w:lineRule="auto"/>
        <w:ind w:left="0" w:firstLine="709"/>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 xml:space="preserve">Pláticas informativas. </w:t>
      </w:r>
      <w:r w:rsidRPr="00CF2780">
        <w:rPr>
          <w:rFonts w:ascii="Arial" w:eastAsia="Times New Roman" w:hAnsi="Arial" w:cs="Arial"/>
          <w:sz w:val="28"/>
          <w:szCs w:val="28"/>
          <w:lang w:val="es-ES" w:eastAsia="es-ES"/>
        </w:rPr>
        <w:t>Los días once y quince de diciembre de dos mil once, se llevaron a cabo las asambleas informativas a los habitantes de las comunidades de Santa Cruz Tanaco y San Francisco Cherán, respectivamente.</w:t>
      </w:r>
    </w:p>
    <w:p w14:paraId="16C5DB94" w14:textId="77777777" w:rsidR="009B02C2" w:rsidRPr="00CF2780" w:rsidRDefault="009B02C2" w:rsidP="009B02C2">
      <w:pPr>
        <w:spacing w:after="0" w:line="240" w:lineRule="auto"/>
        <w:ind w:left="708"/>
        <w:rPr>
          <w:rFonts w:ascii="Arial" w:eastAsia="Times New Roman" w:hAnsi="Arial" w:cs="Arial"/>
          <w:sz w:val="28"/>
          <w:szCs w:val="28"/>
          <w:lang w:val="es-ES" w:eastAsia="es-ES"/>
        </w:rPr>
      </w:pPr>
    </w:p>
    <w:p w14:paraId="3F858B24" w14:textId="77777777" w:rsidR="009B02C2" w:rsidRPr="00CF2780" w:rsidRDefault="009B02C2" w:rsidP="001C6A89">
      <w:pPr>
        <w:numPr>
          <w:ilvl w:val="0"/>
          <w:numId w:val="19"/>
        </w:numPr>
        <w:spacing w:after="0" w:line="360" w:lineRule="auto"/>
        <w:ind w:left="0" w:firstLine="709"/>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Consulta.</w:t>
      </w:r>
      <w:r w:rsidRPr="00CF2780">
        <w:rPr>
          <w:rFonts w:ascii="Arial" w:eastAsia="Times New Roman" w:hAnsi="Arial" w:cs="Arial"/>
          <w:sz w:val="28"/>
          <w:szCs w:val="28"/>
          <w:lang w:val="es-ES" w:eastAsia="es-ES"/>
        </w:rPr>
        <w:t xml:space="preserve"> El dieciocho de diciembre de dos mil once, se llevó a cabo la consulta en las comunidades de San Francisco Cherán y Santa Cruz Tanaco.</w:t>
      </w:r>
    </w:p>
    <w:p w14:paraId="0137BDC5" w14:textId="77777777" w:rsidR="009B02C2" w:rsidRPr="00CF2780" w:rsidRDefault="009B02C2" w:rsidP="009B02C2">
      <w:pPr>
        <w:spacing w:after="0" w:line="240" w:lineRule="auto"/>
        <w:ind w:left="708"/>
        <w:rPr>
          <w:rFonts w:ascii="Arial" w:eastAsia="Times New Roman" w:hAnsi="Arial" w:cs="Arial"/>
          <w:sz w:val="28"/>
          <w:szCs w:val="28"/>
          <w:lang w:val="es-ES" w:eastAsia="es-ES"/>
        </w:rPr>
      </w:pPr>
    </w:p>
    <w:p w14:paraId="5277F24D" w14:textId="77777777" w:rsidR="009B02C2" w:rsidRPr="00CF2780" w:rsidRDefault="009B02C2" w:rsidP="001C6A89">
      <w:pPr>
        <w:numPr>
          <w:ilvl w:val="0"/>
          <w:numId w:val="19"/>
        </w:numPr>
        <w:spacing w:after="0" w:line="360" w:lineRule="auto"/>
        <w:ind w:left="0" w:firstLine="720"/>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 xml:space="preserve">Informe de resultados de la consulta. </w:t>
      </w:r>
      <w:r w:rsidRPr="00CF2780">
        <w:rPr>
          <w:rFonts w:ascii="Arial" w:eastAsia="Times New Roman" w:hAnsi="Arial" w:cs="Arial"/>
          <w:sz w:val="28"/>
          <w:szCs w:val="28"/>
          <w:lang w:val="es-ES" w:eastAsia="es-ES"/>
        </w:rPr>
        <w:t xml:space="preserve">En sesión del Consejo General del Instituto Electoral de Michoacán de diecinueve de </w:t>
      </w:r>
      <w:r w:rsidRPr="00CF2780">
        <w:rPr>
          <w:rFonts w:ascii="Arial" w:eastAsia="Times New Roman" w:hAnsi="Arial" w:cs="Arial"/>
          <w:sz w:val="28"/>
          <w:szCs w:val="28"/>
          <w:lang w:val="es-ES" w:eastAsia="es-ES"/>
        </w:rPr>
        <w:lastRenderedPageBreak/>
        <w:t>diciembre de dos mil once, la Comisión Especial para el seguimimiento a la resolución emitida por la Sala Superior, informó de los resultados de la consulta y se hizo la suma de la votación recibida.</w:t>
      </w:r>
    </w:p>
    <w:p w14:paraId="5E97559B" w14:textId="77777777" w:rsidR="009B02C2" w:rsidRPr="00CF2780" w:rsidRDefault="009B02C2" w:rsidP="009B02C2">
      <w:pPr>
        <w:spacing w:after="0" w:line="240" w:lineRule="auto"/>
        <w:ind w:left="708"/>
        <w:rPr>
          <w:rFonts w:ascii="Arial" w:eastAsia="Times New Roman" w:hAnsi="Arial" w:cs="Arial"/>
          <w:sz w:val="28"/>
          <w:szCs w:val="28"/>
          <w:lang w:val="es-ES" w:eastAsia="es-ES"/>
        </w:rPr>
      </w:pPr>
    </w:p>
    <w:p w14:paraId="6EBBF43F" w14:textId="77777777" w:rsidR="009B02C2" w:rsidRPr="00CF2780" w:rsidRDefault="009B02C2" w:rsidP="001C6A89">
      <w:pPr>
        <w:numPr>
          <w:ilvl w:val="0"/>
          <w:numId w:val="19"/>
        </w:numPr>
        <w:spacing w:after="0" w:line="360" w:lineRule="auto"/>
        <w:ind w:left="0" w:firstLine="720"/>
        <w:jc w:val="both"/>
        <w:rPr>
          <w:rFonts w:ascii="Arial" w:eastAsia="Times New Roman" w:hAnsi="Arial" w:cs="Arial"/>
          <w:b/>
          <w:sz w:val="28"/>
          <w:szCs w:val="28"/>
          <w:lang w:val="es-ES" w:eastAsia="es-ES"/>
        </w:rPr>
      </w:pPr>
      <w:r w:rsidRPr="00CF2780">
        <w:rPr>
          <w:rFonts w:ascii="Arial" w:eastAsia="Times New Roman" w:hAnsi="Arial" w:cs="Arial"/>
          <w:b/>
          <w:sz w:val="28"/>
          <w:szCs w:val="28"/>
          <w:lang w:val="es-ES" w:eastAsia="es-ES"/>
        </w:rPr>
        <w:t>Solicitud de información.</w:t>
      </w:r>
      <w:r w:rsidRPr="00CF2780">
        <w:rPr>
          <w:rFonts w:ascii="Arial" w:eastAsia="Times New Roman" w:hAnsi="Arial" w:cs="Arial"/>
          <w:sz w:val="28"/>
          <w:szCs w:val="28"/>
          <w:lang w:val="es-ES" w:eastAsia="es-ES"/>
        </w:rPr>
        <w:t xml:space="preserve"> El seis de enero de dos mil doce, Juan Fabián Juárez, María Erandi Niniz Turja y Jorge Ambrocio Dyran presentaron solicitud de información al Instituto Electoral de Michoacán, sobre los resultados de la consulta ciudadana en el municipio de Cherán.</w:t>
      </w:r>
    </w:p>
    <w:p w14:paraId="3B960607" w14:textId="77777777" w:rsidR="009B02C2" w:rsidRPr="00CF2780" w:rsidRDefault="009B02C2" w:rsidP="009B02C2">
      <w:pPr>
        <w:spacing w:after="0" w:line="240" w:lineRule="auto"/>
        <w:ind w:left="708"/>
        <w:rPr>
          <w:rFonts w:ascii="Arial" w:eastAsia="Times New Roman" w:hAnsi="Arial" w:cs="Arial"/>
          <w:b/>
          <w:sz w:val="28"/>
          <w:szCs w:val="28"/>
          <w:lang w:val="es-ES" w:eastAsia="es-ES"/>
        </w:rPr>
      </w:pPr>
    </w:p>
    <w:p w14:paraId="05721F2D" w14:textId="77777777" w:rsidR="009B02C2" w:rsidRPr="00CF2780" w:rsidRDefault="009B02C2" w:rsidP="001C6A89">
      <w:pPr>
        <w:numPr>
          <w:ilvl w:val="0"/>
          <w:numId w:val="19"/>
        </w:numPr>
        <w:spacing w:after="0" w:line="360" w:lineRule="auto"/>
        <w:ind w:left="0" w:firstLine="720"/>
        <w:jc w:val="both"/>
        <w:rPr>
          <w:rFonts w:ascii="Arial" w:eastAsia="Times New Roman" w:hAnsi="Arial" w:cs="Arial"/>
          <w:b/>
          <w:sz w:val="28"/>
          <w:szCs w:val="28"/>
          <w:lang w:val="es-ES" w:eastAsia="es-ES"/>
        </w:rPr>
      </w:pPr>
      <w:r w:rsidRPr="00CF2780">
        <w:rPr>
          <w:rFonts w:ascii="Arial" w:eastAsia="Times New Roman" w:hAnsi="Arial" w:cs="Arial"/>
          <w:b/>
          <w:sz w:val="28"/>
          <w:szCs w:val="28"/>
          <w:lang w:val="es-ES" w:eastAsia="es-ES"/>
        </w:rPr>
        <w:t>Respuesta del Instituto Electoral de Michoacán.</w:t>
      </w:r>
      <w:r w:rsidRPr="00CF2780">
        <w:rPr>
          <w:rFonts w:ascii="Arial" w:eastAsia="Times New Roman" w:hAnsi="Arial" w:cs="Arial"/>
          <w:sz w:val="28"/>
          <w:szCs w:val="28"/>
          <w:lang w:val="es-ES" w:eastAsia="es-ES"/>
        </w:rPr>
        <w:t xml:space="preserve"> El diez de enero de dos mil doce, el Secretario General del Instituto Electoral de Michoacán respondió la solicitud de los actores mediante oficio SG-67/2011, y les proporcionó los resultados de la consulta ciudadana.</w:t>
      </w:r>
    </w:p>
    <w:p w14:paraId="0622B2A8" w14:textId="77777777" w:rsidR="009B02C2" w:rsidRPr="00CF2780" w:rsidRDefault="009B02C2" w:rsidP="009B02C2">
      <w:pPr>
        <w:spacing w:after="0" w:line="360" w:lineRule="auto"/>
        <w:ind w:firstLine="720"/>
        <w:jc w:val="both"/>
        <w:rPr>
          <w:rFonts w:ascii="Arial" w:eastAsia="Times New Roman" w:hAnsi="Arial" w:cs="Arial"/>
          <w:sz w:val="28"/>
          <w:szCs w:val="28"/>
          <w:lang w:val="es-ES" w:eastAsia="es-ES"/>
        </w:rPr>
      </w:pPr>
    </w:p>
    <w:p w14:paraId="7C2C7812"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II. Juicio para la protección de los derechos político-electorales del ciudadano.</w:t>
      </w:r>
      <w:r w:rsidRPr="00CF2780">
        <w:rPr>
          <w:rFonts w:ascii="Arial" w:eastAsia="Times New Roman" w:hAnsi="Arial" w:cs="Arial"/>
          <w:sz w:val="28"/>
          <w:szCs w:val="28"/>
          <w:lang w:val="es-ES" w:eastAsia="es-ES"/>
        </w:rPr>
        <w:t xml:space="preserve"> Disconformes con el informe y el resultado de la consulta, el catorce de enero del año en curso, diversos ciudadanos promovieron el presente juicio para la protección de los derechos político-electorales del ciudadano.</w:t>
      </w:r>
    </w:p>
    <w:p w14:paraId="51074EB6" w14:textId="77777777" w:rsidR="009B02C2" w:rsidRPr="00CF2780" w:rsidRDefault="009B02C2" w:rsidP="009B02C2">
      <w:pPr>
        <w:spacing w:after="0" w:line="360" w:lineRule="auto"/>
        <w:ind w:firstLine="720"/>
        <w:jc w:val="both"/>
        <w:rPr>
          <w:rFonts w:ascii="Arial" w:eastAsia="Times New Roman" w:hAnsi="Arial" w:cs="Arial"/>
          <w:sz w:val="28"/>
          <w:szCs w:val="28"/>
          <w:lang w:val="es-ES" w:eastAsia="es-ES"/>
        </w:rPr>
      </w:pPr>
    </w:p>
    <w:p w14:paraId="206385D8"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III. Remisión de la demanda de juicio para la protección de los derechos político-electorales del ciudadano y sus anexos.</w:t>
      </w:r>
      <w:r w:rsidRPr="00CF2780">
        <w:rPr>
          <w:rFonts w:ascii="Arial" w:eastAsia="Times New Roman" w:hAnsi="Arial" w:cs="Arial"/>
          <w:sz w:val="28"/>
          <w:szCs w:val="28"/>
          <w:lang w:val="es-ES" w:eastAsia="es-ES"/>
        </w:rPr>
        <w:t xml:space="preserve"> El dieciséis de enero de dos mil doce, el Instituto Electoral de Michoacán remitió la demanda y sus anexos a este órgano jurisdiccional. </w:t>
      </w:r>
    </w:p>
    <w:p w14:paraId="25126E43" w14:textId="77777777" w:rsidR="009B02C2" w:rsidRPr="00CF2780" w:rsidRDefault="009B02C2" w:rsidP="009B02C2">
      <w:pPr>
        <w:spacing w:after="0" w:line="360" w:lineRule="auto"/>
        <w:ind w:firstLine="720"/>
        <w:jc w:val="both"/>
        <w:rPr>
          <w:rFonts w:ascii="Arial" w:eastAsia="Times New Roman" w:hAnsi="Arial" w:cs="Arial"/>
          <w:sz w:val="28"/>
          <w:szCs w:val="28"/>
          <w:lang w:val="es-ES" w:eastAsia="es-ES"/>
        </w:rPr>
      </w:pPr>
    </w:p>
    <w:p w14:paraId="4F1CBC0F"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b/>
          <w:bCs/>
          <w:sz w:val="28"/>
          <w:szCs w:val="28"/>
          <w:lang w:val="es-ES" w:eastAsia="es-ES"/>
        </w:rPr>
        <w:lastRenderedPageBreak/>
        <w:t xml:space="preserve">IV. Turno. </w:t>
      </w:r>
      <w:r w:rsidRPr="00CF2780">
        <w:rPr>
          <w:rFonts w:ascii="Arial" w:eastAsia="Times New Roman" w:hAnsi="Arial" w:cs="Arial"/>
          <w:bCs/>
          <w:sz w:val="28"/>
          <w:szCs w:val="28"/>
          <w:lang w:val="es-ES" w:eastAsia="es-ES"/>
        </w:rPr>
        <w:t>E</w:t>
      </w:r>
      <w:r w:rsidRPr="00CF2780">
        <w:rPr>
          <w:rFonts w:ascii="Arial" w:eastAsia="Times New Roman" w:hAnsi="Arial" w:cs="Arial"/>
          <w:sz w:val="28"/>
          <w:szCs w:val="28"/>
          <w:lang w:val="es-ES" w:eastAsia="es-ES"/>
        </w:rPr>
        <w:t xml:space="preserve">l Magistrado Presidente de </w:t>
      </w:r>
      <w:smartTag w:uri="urn:schemas-microsoft-com:office:smarttags" w:element="PersonName">
        <w:smartTagPr>
          <w:attr w:name="ProductID" w:val="la Sala Superior"/>
        </w:smartTagPr>
        <w:r w:rsidRPr="00CF2780">
          <w:rPr>
            <w:rFonts w:ascii="Arial" w:eastAsia="Times New Roman" w:hAnsi="Arial" w:cs="Arial"/>
            <w:sz w:val="28"/>
            <w:szCs w:val="28"/>
            <w:lang w:val="es-ES" w:eastAsia="es-ES"/>
          </w:rPr>
          <w:t>la Sala Superior</w:t>
        </w:r>
      </w:smartTag>
      <w:r w:rsidRPr="00CF2780">
        <w:rPr>
          <w:rFonts w:ascii="Arial" w:eastAsia="Times New Roman" w:hAnsi="Arial" w:cs="Arial"/>
          <w:sz w:val="28"/>
          <w:szCs w:val="28"/>
          <w:lang w:val="es-ES" w:eastAsia="es-ES"/>
        </w:rPr>
        <w:t xml:space="preserve"> del Tribunal Electoral del Poder Judicial de </w:t>
      </w:r>
      <w:smartTag w:uri="urn:schemas-microsoft-com:office:smarttags" w:element="PersonName">
        <w:smartTagPr>
          <w:attr w:name="ProductID" w:val="la Federaci￳n"/>
        </w:smartTagPr>
        <w:r w:rsidRPr="00CF2780">
          <w:rPr>
            <w:rFonts w:ascii="Arial" w:eastAsia="Times New Roman" w:hAnsi="Arial" w:cs="Arial"/>
            <w:sz w:val="28"/>
            <w:szCs w:val="28"/>
            <w:lang w:val="es-ES" w:eastAsia="es-ES"/>
          </w:rPr>
          <w:t>la Federación</w:t>
        </w:r>
      </w:smartTag>
      <w:r w:rsidRPr="00CF2780">
        <w:rPr>
          <w:rFonts w:ascii="Arial" w:eastAsia="Times New Roman" w:hAnsi="Arial" w:cs="Arial"/>
          <w:sz w:val="28"/>
          <w:szCs w:val="28"/>
          <w:lang w:val="es-ES" w:eastAsia="es-ES"/>
        </w:rPr>
        <w:t xml:space="preserve"> ordenó la integración del expediente y lo turno a la ponencia del Magistrado Salvador O. Nava Gomar, para los efectos señalados en el artículo 19 de </w:t>
      </w:r>
      <w:smartTag w:uri="urn:schemas-microsoft-com:office:smarttags" w:element="PersonName">
        <w:smartTagPr>
          <w:attr w:name="ProductID" w:val="la Ley General"/>
        </w:smartTagPr>
        <w:r w:rsidRPr="00CF2780">
          <w:rPr>
            <w:rFonts w:ascii="Arial" w:eastAsia="Times New Roman" w:hAnsi="Arial" w:cs="Arial"/>
            <w:sz w:val="28"/>
            <w:szCs w:val="28"/>
            <w:lang w:val="es-ES" w:eastAsia="es-ES"/>
          </w:rPr>
          <w:t>la Ley General</w:t>
        </w:r>
      </w:smartTag>
      <w:r w:rsidRPr="00CF2780">
        <w:rPr>
          <w:rFonts w:ascii="Arial" w:eastAsia="Times New Roman" w:hAnsi="Arial" w:cs="Arial"/>
          <w:sz w:val="28"/>
          <w:szCs w:val="28"/>
          <w:lang w:val="es-ES" w:eastAsia="es-ES"/>
        </w:rPr>
        <w:t xml:space="preserve"> del Sistema de Medios de Impugnación en Materia Electoral, turno que se cumplió a través del oficio TEPJF-SGA-185/12, suscrito por el Secretario General de Acuerdos de esta Sala Superior.</w:t>
      </w:r>
    </w:p>
    <w:p w14:paraId="1C675C60" w14:textId="77777777" w:rsidR="009B02C2" w:rsidRPr="00CF2780" w:rsidRDefault="009B02C2" w:rsidP="009B02C2">
      <w:pPr>
        <w:spacing w:after="0" w:line="360" w:lineRule="auto"/>
        <w:ind w:firstLine="708"/>
        <w:jc w:val="both"/>
        <w:rPr>
          <w:rFonts w:ascii="Arial" w:eastAsia="Times New Roman" w:hAnsi="Arial" w:cs="Arial"/>
          <w:sz w:val="28"/>
          <w:szCs w:val="28"/>
          <w:lang w:val="es-ES" w:eastAsia="es-ES"/>
        </w:rPr>
      </w:pPr>
    </w:p>
    <w:p w14:paraId="444F88F2"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 xml:space="preserve">V. Requerimiento. </w:t>
      </w:r>
      <w:r w:rsidRPr="00CF2780">
        <w:rPr>
          <w:rFonts w:ascii="Arial" w:eastAsia="Times New Roman" w:hAnsi="Arial" w:cs="Arial"/>
          <w:sz w:val="28"/>
          <w:szCs w:val="28"/>
          <w:lang w:val="es-ES" w:eastAsia="es-ES"/>
        </w:rPr>
        <w:t>El dieciocho de enero de dos mil doce, el magistrado instructor requirió al Consejo General del Instituto Electoral de Michoacán diversa documentación relacionada con la consulta realizada en dicha comunidad indígena.</w:t>
      </w:r>
    </w:p>
    <w:p w14:paraId="3A457CFD" w14:textId="77777777" w:rsidR="009B02C2" w:rsidRPr="00CF2780" w:rsidRDefault="009B02C2" w:rsidP="009B02C2">
      <w:pPr>
        <w:spacing w:after="0" w:line="360" w:lineRule="auto"/>
        <w:ind w:firstLine="708"/>
        <w:jc w:val="both"/>
        <w:rPr>
          <w:rFonts w:ascii="Arial" w:eastAsia="Times New Roman" w:hAnsi="Arial" w:cs="Arial"/>
          <w:b/>
          <w:sz w:val="28"/>
          <w:szCs w:val="28"/>
          <w:lang w:val="es-ES" w:eastAsia="es-ES"/>
        </w:rPr>
      </w:pPr>
    </w:p>
    <w:p w14:paraId="16D8BDEB"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 xml:space="preserve">VI. Desahogo del requerimiento. </w:t>
      </w:r>
      <w:r w:rsidRPr="00CF2780">
        <w:rPr>
          <w:rFonts w:ascii="Arial" w:eastAsia="Times New Roman" w:hAnsi="Arial" w:cs="Arial"/>
          <w:sz w:val="28"/>
          <w:szCs w:val="28"/>
          <w:lang w:val="es-ES" w:eastAsia="es-ES"/>
        </w:rPr>
        <w:t>El dieciocho de enero de dos mil doce, se recibieron los oficios SG/104/2012 y SG/105/2012, suscritos por el Secretario General del Instituto Electoral de Michoacán, por los cuales se desahogó el requerimiento que se precisa en el resultando precedente. En consecuencia, se tuvo por desahogado, en tiempo y forma, el requerimiento del magistrado instructor. El propio funcionario remitió diversa documentación en alcance a dicho cumplimiento.</w:t>
      </w:r>
    </w:p>
    <w:p w14:paraId="13FAA934" w14:textId="77777777" w:rsidR="009B02C2" w:rsidRPr="00CF2780" w:rsidRDefault="009B02C2" w:rsidP="009B02C2">
      <w:pPr>
        <w:spacing w:after="0" w:line="360" w:lineRule="auto"/>
        <w:ind w:firstLine="708"/>
        <w:jc w:val="both"/>
        <w:rPr>
          <w:rFonts w:ascii="Arial" w:eastAsia="Times New Roman" w:hAnsi="Arial" w:cs="Arial"/>
          <w:b/>
          <w:sz w:val="28"/>
          <w:szCs w:val="28"/>
          <w:lang w:val="es-ES" w:eastAsia="es-ES"/>
        </w:rPr>
      </w:pPr>
    </w:p>
    <w:p w14:paraId="1239F8A6" w14:textId="77777777" w:rsidR="009B02C2" w:rsidRPr="00CF2780" w:rsidRDefault="009B02C2" w:rsidP="009B02C2">
      <w:pPr>
        <w:spacing w:after="0" w:line="360" w:lineRule="auto"/>
        <w:jc w:val="both"/>
        <w:rPr>
          <w:rFonts w:ascii="Arial" w:eastAsia="Times New Roman" w:hAnsi="Arial" w:cs="Arial"/>
          <w:b/>
          <w:sz w:val="28"/>
          <w:szCs w:val="28"/>
          <w:lang w:val="es-ES" w:eastAsia="es-ES"/>
        </w:rPr>
      </w:pPr>
    </w:p>
    <w:p w14:paraId="5504BA17"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VII. Admisión y cierre de instrucción.</w:t>
      </w:r>
      <w:r w:rsidRPr="00CF2780">
        <w:rPr>
          <w:rFonts w:ascii="Arial" w:eastAsia="Times New Roman" w:hAnsi="Arial" w:cs="Arial"/>
          <w:sz w:val="28"/>
          <w:szCs w:val="28"/>
          <w:lang w:val="es-ES" w:eastAsia="es-ES"/>
        </w:rPr>
        <w:t xml:space="preserve"> En su oportunidad, se admitió a trámite la demanda del presente juicio y, una vez concluida su sustanciación, se declaró cerrada la instrucción, quedando el asunto en estado de dictar sentencia, y</w:t>
      </w:r>
    </w:p>
    <w:p w14:paraId="3163F0A1" w14:textId="77777777" w:rsidR="009B02C2" w:rsidRPr="00CF2780" w:rsidRDefault="009B02C2" w:rsidP="009B02C2">
      <w:pPr>
        <w:spacing w:after="0" w:line="360" w:lineRule="auto"/>
        <w:ind w:left="708"/>
        <w:jc w:val="both"/>
        <w:rPr>
          <w:rFonts w:ascii="Arial" w:eastAsia="Times New Roman" w:hAnsi="Arial" w:cs="Arial"/>
          <w:sz w:val="28"/>
          <w:szCs w:val="28"/>
          <w:lang w:val="es-ES" w:eastAsia="es-ES"/>
        </w:rPr>
      </w:pPr>
    </w:p>
    <w:p w14:paraId="62131605" w14:textId="77777777" w:rsidR="009B02C2" w:rsidRPr="00CF2780" w:rsidRDefault="009B02C2" w:rsidP="009B02C2">
      <w:pPr>
        <w:spacing w:after="0" w:line="360" w:lineRule="auto"/>
        <w:ind w:left="708"/>
        <w:jc w:val="both"/>
        <w:rPr>
          <w:rFonts w:ascii="Arial" w:eastAsia="Times New Roman" w:hAnsi="Arial" w:cs="Arial"/>
          <w:sz w:val="28"/>
          <w:szCs w:val="28"/>
          <w:lang w:val="es-ES" w:eastAsia="es-ES"/>
        </w:rPr>
      </w:pPr>
    </w:p>
    <w:p w14:paraId="1140AD3D" w14:textId="77777777" w:rsidR="009B02C2" w:rsidRPr="00CF2780" w:rsidRDefault="009B02C2" w:rsidP="009B02C2">
      <w:pPr>
        <w:spacing w:after="0" w:line="360" w:lineRule="auto"/>
        <w:jc w:val="center"/>
        <w:rPr>
          <w:rFonts w:ascii="Arial" w:eastAsia="Times New Roman" w:hAnsi="Arial" w:cs="Arial"/>
          <w:b/>
          <w:bCs/>
          <w:sz w:val="28"/>
          <w:szCs w:val="28"/>
          <w:lang w:val="pt-BR" w:eastAsia="es-ES"/>
        </w:rPr>
      </w:pPr>
      <w:bookmarkStart w:id="12" w:name="considerando"/>
      <w:r w:rsidRPr="00CF2780">
        <w:rPr>
          <w:rFonts w:ascii="Arial" w:eastAsia="Times New Roman" w:hAnsi="Arial" w:cs="Arial"/>
          <w:b/>
          <w:bCs/>
          <w:sz w:val="28"/>
          <w:szCs w:val="28"/>
          <w:lang w:val="pt-BR" w:eastAsia="es-ES"/>
        </w:rPr>
        <w:t>C O N S I D E R A N D O</w:t>
      </w:r>
      <w:bookmarkEnd w:id="12"/>
    </w:p>
    <w:p w14:paraId="7942B474" w14:textId="77777777" w:rsidR="009B02C2" w:rsidRPr="00CF2780" w:rsidRDefault="009B02C2" w:rsidP="009B02C2">
      <w:pPr>
        <w:spacing w:after="0" w:line="360" w:lineRule="auto"/>
        <w:jc w:val="center"/>
        <w:rPr>
          <w:rFonts w:ascii="Arial" w:eastAsia="Times New Roman" w:hAnsi="Arial" w:cs="Arial"/>
          <w:b/>
          <w:bCs/>
          <w:sz w:val="28"/>
          <w:szCs w:val="28"/>
          <w:lang w:val="pt-BR" w:eastAsia="es-ES"/>
        </w:rPr>
      </w:pPr>
    </w:p>
    <w:p w14:paraId="0F11C84B" w14:textId="77777777" w:rsidR="009B02C2" w:rsidRPr="00CF2780" w:rsidRDefault="009B02C2" w:rsidP="009B02C2">
      <w:pPr>
        <w:spacing w:after="0" w:line="360" w:lineRule="auto"/>
        <w:jc w:val="both"/>
        <w:rPr>
          <w:rFonts w:ascii="Arial" w:eastAsia="Times New Roman" w:hAnsi="Arial" w:cs="Arial"/>
          <w:sz w:val="28"/>
          <w:szCs w:val="28"/>
          <w:u w:val="single"/>
          <w:lang w:val="es-ES" w:eastAsia="es-ES"/>
        </w:rPr>
      </w:pPr>
      <w:r w:rsidRPr="00CF2780">
        <w:rPr>
          <w:rFonts w:ascii="Arial" w:eastAsia="Times New Roman" w:hAnsi="Arial" w:cs="Arial"/>
          <w:b/>
          <w:bCs/>
          <w:sz w:val="28"/>
          <w:szCs w:val="28"/>
          <w:lang w:val="es-ES" w:eastAsia="es-ES"/>
        </w:rPr>
        <w:t xml:space="preserve">PRIMERO. </w:t>
      </w:r>
      <w:bookmarkStart w:id="13" w:name="LPHit12"/>
      <w:bookmarkEnd w:id="13"/>
      <w:r w:rsidRPr="00CF2780">
        <w:rPr>
          <w:rFonts w:ascii="Arial" w:eastAsia="Times New Roman" w:hAnsi="Arial" w:cs="Arial"/>
          <w:b/>
          <w:i/>
          <w:sz w:val="28"/>
          <w:szCs w:val="28"/>
          <w:lang w:val="es-ES" w:eastAsia="es-ES"/>
        </w:rPr>
        <w:t xml:space="preserve">Jurisdicción y competencia. </w:t>
      </w:r>
      <w:r w:rsidRPr="00CF2780">
        <w:rPr>
          <w:rFonts w:ascii="Arial" w:eastAsia="Times New Roman" w:hAnsi="Arial" w:cs="Arial"/>
          <w:sz w:val="28"/>
          <w:szCs w:val="28"/>
          <w:lang w:val="es-ES" w:eastAsia="es-ES"/>
        </w:rPr>
        <w:t xml:space="preserve">Esta Sala Superior del Tribunal Electoral del Poder Judicial de la Federación ejerce jurisdicción y es competente para conocer y resolver el presente medio impugnativo, con fundamento en los artículos 99, párrafo cuarto, fracción V, de la Constitución Política de los Estados Unidos Mexicanos; 186, fracción III, inciso c), y 189, fracción I, inciso e), de la Ley Orgánica del Poder Judicial de la Federación, así como 83, párrafo 1, inciso a), de la Ley General del Sistema de Medios de Impugnación en Materia Electoral, por tratarse de un juicio para la protección de los derechos político-electorales del ciudadano, promovido por </w:t>
      </w:r>
      <w:r w:rsidRPr="00CF2780">
        <w:rPr>
          <w:rFonts w:ascii="Arial" w:eastAsia="Times New Roman" w:hAnsi="Arial" w:cs="Arial"/>
          <w:spacing w:val="-4"/>
          <w:sz w:val="28"/>
          <w:szCs w:val="28"/>
          <w:lang w:val="es-ES" w:eastAsia="es-ES"/>
        </w:rPr>
        <w:t xml:space="preserve">varios ciudadanos integrantes de una comunidad indígena de Cherán, del Estado de Michoacán, contra una consulta y diversas actas que eran en preparación de las mismas y que están relacionadas con el juicio para la protección de los derechos político electorales del ciudadano con número de expediente </w:t>
      </w:r>
      <w:r w:rsidRPr="00CF2780">
        <w:rPr>
          <w:rFonts w:ascii="Arial" w:eastAsia="Times New Roman" w:hAnsi="Arial" w:cs="Arial"/>
          <w:sz w:val="28"/>
          <w:szCs w:val="28"/>
          <w:lang w:val="es-ES" w:eastAsia="es-ES"/>
        </w:rPr>
        <w:t xml:space="preserve">SUP-JDC-9167/2011, a través del cual se ordenó la realización de tal consulta. </w:t>
      </w:r>
    </w:p>
    <w:p w14:paraId="383DAC5B"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3109E0FF"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 xml:space="preserve">SEGUNDO. Procedencia. </w:t>
      </w:r>
      <w:r w:rsidRPr="00CF2780">
        <w:rPr>
          <w:rFonts w:ascii="Arial" w:eastAsia="Times New Roman" w:hAnsi="Arial" w:cs="Arial"/>
          <w:sz w:val="28"/>
          <w:szCs w:val="28"/>
          <w:lang w:val="es-ES" w:eastAsia="es-ES"/>
        </w:rPr>
        <w:t xml:space="preserve">Esta Sala Superior considera que el medio de impugnación reúne los requisitos de procedencia previstos en los artículos 7, párrafo 2; 8; 9, párrafo 1; 79, y 80, párrafo 1, inciso g), de </w:t>
      </w:r>
      <w:smartTag w:uri="urn:schemas-microsoft-com:office:smarttags" w:element="PersonName">
        <w:smartTagPr>
          <w:attr w:name="ProductID" w:val="la Ley General"/>
        </w:smartTagPr>
        <w:r w:rsidRPr="00CF2780">
          <w:rPr>
            <w:rFonts w:ascii="Arial" w:eastAsia="Times New Roman" w:hAnsi="Arial" w:cs="Arial"/>
            <w:sz w:val="28"/>
            <w:szCs w:val="28"/>
            <w:lang w:val="es-ES" w:eastAsia="es-ES"/>
          </w:rPr>
          <w:t>la Ley General</w:t>
        </w:r>
      </w:smartTag>
      <w:r w:rsidRPr="00CF2780">
        <w:rPr>
          <w:rFonts w:ascii="Arial" w:eastAsia="Times New Roman" w:hAnsi="Arial" w:cs="Arial"/>
          <w:sz w:val="28"/>
          <w:szCs w:val="28"/>
          <w:lang w:val="es-ES" w:eastAsia="es-ES"/>
        </w:rPr>
        <w:t xml:space="preserve"> del Sistema de Medios de Impugnación en Materia Electoral.</w:t>
      </w:r>
    </w:p>
    <w:p w14:paraId="63096A7B" w14:textId="77777777" w:rsidR="009B02C2" w:rsidRPr="00CF2780" w:rsidRDefault="009B02C2" w:rsidP="009B02C2">
      <w:pPr>
        <w:spacing w:after="0" w:line="360" w:lineRule="auto"/>
        <w:ind w:firstLine="708"/>
        <w:jc w:val="both"/>
        <w:rPr>
          <w:rFonts w:ascii="Arial" w:eastAsia="Times New Roman" w:hAnsi="Arial" w:cs="Arial"/>
          <w:sz w:val="28"/>
          <w:szCs w:val="28"/>
          <w:lang w:val="es-ES" w:eastAsia="es-ES"/>
        </w:rPr>
      </w:pPr>
    </w:p>
    <w:p w14:paraId="7B46D456" w14:textId="77777777" w:rsidR="009B02C2" w:rsidRPr="00CF2780" w:rsidRDefault="009B02C2" w:rsidP="009B02C2">
      <w:pPr>
        <w:spacing w:after="0" w:line="360" w:lineRule="auto"/>
        <w:jc w:val="both"/>
        <w:rPr>
          <w:rFonts w:ascii="Arial" w:eastAsia="Times New Roman" w:hAnsi="Arial" w:cs="Arial"/>
          <w:sz w:val="28"/>
          <w:szCs w:val="24"/>
          <w:lang w:val="es-ES" w:eastAsia="es-ES"/>
        </w:rPr>
      </w:pPr>
      <w:r w:rsidRPr="00CF2780">
        <w:rPr>
          <w:rFonts w:ascii="Arial" w:eastAsia="Times New Roman" w:hAnsi="Arial" w:cs="Arial"/>
          <w:b/>
          <w:sz w:val="28"/>
          <w:szCs w:val="28"/>
          <w:lang w:val="es-ES" w:eastAsia="es-ES"/>
        </w:rPr>
        <w:t>a) Forma.</w:t>
      </w:r>
      <w:r w:rsidRPr="00CF2780">
        <w:rPr>
          <w:rFonts w:ascii="Arial" w:eastAsia="Times New Roman" w:hAnsi="Arial" w:cs="Arial"/>
          <w:sz w:val="28"/>
          <w:szCs w:val="28"/>
          <w:lang w:val="es-ES" w:eastAsia="es-ES"/>
        </w:rPr>
        <w:t xml:space="preserve"> </w:t>
      </w:r>
      <w:r w:rsidRPr="00CF2780">
        <w:rPr>
          <w:rFonts w:ascii="Arial" w:eastAsia="Times New Roman" w:hAnsi="Arial" w:cs="Arial"/>
          <w:sz w:val="28"/>
          <w:szCs w:val="24"/>
          <w:lang w:val="es-ES" w:eastAsia="es-ES"/>
        </w:rPr>
        <w:t xml:space="preserve">Se cumplen los requisitos esenciales previstos en el artículo 9, párrafo 1, de la Ley General del Sistema de Medios de Impugnación </w:t>
      </w:r>
      <w:r w:rsidRPr="00CF2780">
        <w:rPr>
          <w:rFonts w:ascii="Arial" w:eastAsia="Times New Roman" w:hAnsi="Arial" w:cs="Arial"/>
          <w:sz w:val="28"/>
          <w:szCs w:val="24"/>
          <w:lang w:val="es-ES" w:eastAsia="es-ES"/>
        </w:rPr>
        <w:lastRenderedPageBreak/>
        <w:t>en Materia Electoral, porque la demanda se presentó ante la responsable, y se satisfacen las exigencias formales previstas en ese precepto, a saber: el señalamiento del nombre de quinientos treinta y nueve de los promoventes, su domicilio para recibir notificaciones, la identificación del acto impugnado y de la autoridad responsable, la mención de los hechos y agravios que el actor estima le causa el acto reclamado, además de que el medio impugnativo cuenta con el nombre y la firma autógrafa de los demandantes. Sólo respecto de siete de un total de quinientos cuarenta y seis actores no se tiene por expresada la voluntad de accionar, ya que no consta algún signo inequívoco que permita desprender tal consentimiento.</w:t>
      </w:r>
    </w:p>
    <w:p w14:paraId="674CD768" w14:textId="77777777" w:rsidR="009B02C2" w:rsidRPr="00CF2780" w:rsidRDefault="009B02C2" w:rsidP="009B02C2">
      <w:pPr>
        <w:spacing w:after="0" w:line="360" w:lineRule="auto"/>
        <w:ind w:firstLine="709"/>
        <w:jc w:val="both"/>
        <w:rPr>
          <w:rFonts w:ascii="Arial" w:eastAsia="Times New Roman" w:hAnsi="Arial" w:cs="Arial"/>
          <w:sz w:val="28"/>
          <w:szCs w:val="24"/>
          <w:lang w:val="es-ES" w:eastAsia="es-ES"/>
        </w:rPr>
      </w:pPr>
    </w:p>
    <w:p w14:paraId="09F0ADD7" w14:textId="77777777" w:rsidR="009B02C2" w:rsidRPr="00CF2780" w:rsidRDefault="009B02C2" w:rsidP="009B02C2">
      <w:pPr>
        <w:spacing w:after="0" w:line="360" w:lineRule="auto"/>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Por lo que respecta a la firma de los comparecientes, el criterio fundamental consistió en estimar como cumplido tal requisito cuando en las listas correspondientes, en el espacio reservado a la firma se asentara cualquier signo o conjunto de signos.</w:t>
      </w:r>
    </w:p>
    <w:p w14:paraId="7149CAA6" w14:textId="77777777" w:rsidR="009B02C2" w:rsidRPr="00CF2780" w:rsidRDefault="009B02C2" w:rsidP="009B02C2">
      <w:pPr>
        <w:spacing w:after="0" w:line="360" w:lineRule="auto"/>
        <w:ind w:firstLine="709"/>
        <w:jc w:val="both"/>
        <w:rPr>
          <w:rFonts w:ascii="Arial" w:eastAsia="Times New Roman" w:hAnsi="Arial" w:cs="Arial"/>
          <w:sz w:val="28"/>
          <w:szCs w:val="24"/>
          <w:lang w:val="es-ES" w:eastAsia="es-ES"/>
        </w:rPr>
      </w:pPr>
    </w:p>
    <w:p w14:paraId="36F02F54" w14:textId="77777777" w:rsidR="009B02C2" w:rsidRPr="00CF2780" w:rsidRDefault="009B02C2" w:rsidP="009B02C2">
      <w:pPr>
        <w:spacing w:after="0" w:line="360" w:lineRule="auto"/>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En relación con veinticuatro ciudadanos actores se estima cumplido el requisito de firma por la circunstancia de que hubieran asentado de manera autógrafa su nombre, a pesar de que el espacio reservado a la firma se encontrara en blanco. Los ciudadanos en cuestión se encuentran contenidos en el cuadro siguiente:</w:t>
      </w:r>
    </w:p>
    <w:p w14:paraId="37546815" w14:textId="77777777" w:rsidR="009B02C2" w:rsidRPr="00CF2780" w:rsidRDefault="009B02C2" w:rsidP="009B02C2">
      <w:pPr>
        <w:spacing w:after="0" w:line="360" w:lineRule="auto"/>
        <w:ind w:firstLine="709"/>
        <w:jc w:val="both"/>
        <w:rPr>
          <w:rFonts w:ascii="Arial" w:eastAsia="Times New Roman" w:hAnsi="Arial" w:cs="Arial"/>
          <w:sz w:val="28"/>
          <w:szCs w:val="24"/>
          <w:lang w:val="es-ES" w:eastAsia="es-ES"/>
        </w:rPr>
      </w:pPr>
    </w:p>
    <w:tbl>
      <w:tblPr>
        <w:tblW w:w="7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880"/>
        <w:gridCol w:w="2740"/>
      </w:tblGrid>
      <w:tr w:rsidR="009B02C2" w:rsidRPr="00CF2780" w14:paraId="015AEEAE" w14:textId="77777777" w:rsidTr="00B05F31">
        <w:trPr>
          <w:trHeight w:val="300"/>
          <w:jc w:val="center"/>
        </w:trPr>
        <w:tc>
          <w:tcPr>
            <w:tcW w:w="460" w:type="dxa"/>
            <w:noWrap/>
            <w:hideMark/>
          </w:tcPr>
          <w:p w14:paraId="3C29BACE" w14:textId="77777777" w:rsidR="009B02C2" w:rsidRPr="00CF2780" w:rsidRDefault="009B02C2" w:rsidP="009B02C2">
            <w:pPr>
              <w:spacing w:after="0" w:line="240" w:lineRule="auto"/>
              <w:jc w:val="center"/>
              <w:rPr>
                <w:rFonts w:ascii="Arial" w:eastAsia="Times New Roman" w:hAnsi="Arial" w:cs="Arial"/>
                <w:b/>
                <w:color w:val="000000"/>
                <w:sz w:val="24"/>
                <w:szCs w:val="24"/>
                <w:lang w:val="es-ES" w:eastAsia="es-MX"/>
              </w:rPr>
            </w:pPr>
            <w:r w:rsidRPr="00CF2780">
              <w:rPr>
                <w:rFonts w:ascii="Arial" w:eastAsia="Times New Roman" w:hAnsi="Arial" w:cs="Arial"/>
                <w:b/>
                <w:color w:val="000000"/>
                <w:sz w:val="24"/>
                <w:szCs w:val="24"/>
                <w:lang w:val="es-ES" w:eastAsia="es-MX"/>
              </w:rPr>
              <w:t>No.</w:t>
            </w:r>
          </w:p>
        </w:tc>
        <w:tc>
          <w:tcPr>
            <w:tcW w:w="3880" w:type="dxa"/>
            <w:noWrap/>
            <w:hideMark/>
          </w:tcPr>
          <w:p w14:paraId="27F04E20" w14:textId="77777777" w:rsidR="009B02C2" w:rsidRPr="00CF2780" w:rsidRDefault="009B02C2" w:rsidP="009B02C2">
            <w:pPr>
              <w:spacing w:after="0" w:line="240" w:lineRule="auto"/>
              <w:jc w:val="center"/>
              <w:rPr>
                <w:rFonts w:ascii="Arial" w:eastAsia="Times New Roman" w:hAnsi="Arial" w:cs="Arial"/>
                <w:b/>
                <w:color w:val="000000"/>
                <w:sz w:val="24"/>
                <w:szCs w:val="24"/>
                <w:lang w:val="es-ES" w:eastAsia="es-MX"/>
              </w:rPr>
            </w:pPr>
            <w:r w:rsidRPr="00CF2780">
              <w:rPr>
                <w:rFonts w:ascii="Arial" w:eastAsia="Times New Roman" w:hAnsi="Arial" w:cs="Arial"/>
                <w:b/>
                <w:color w:val="000000"/>
                <w:sz w:val="24"/>
                <w:szCs w:val="24"/>
                <w:lang w:val="es-ES" w:eastAsia="es-MX"/>
              </w:rPr>
              <w:t>Nombre</w:t>
            </w:r>
          </w:p>
        </w:tc>
        <w:tc>
          <w:tcPr>
            <w:tcW w:w="2740" w:type="dxa"/>
            <w:noWrap/>
            <w:hideMark/>
          </w:tcPr>
          <w:p w14:paraId="48F1DA92" w14:textId="77777777" w:rsidR="009B02C2" w:rsidRPr="00CF2780" w:rsidRDefault="009B02C2" w:rsidP="009B02C2">
            <w:pPr>
              <w:spacing w:after="0" w:line="240" w:lineRule="auto"/>
              <w:jc w:val="center"/>
              <w:rPr>
                <w:rFonts w:ascii="Arial" w:eastAsia="Times New Roman" w:hAnsi="Arial" w:cs="Arial"/>
                <w:b/>
                <w:color w:val="000000"/>
                <w:sz w:val="24"/>
                <w:szCs w:val="24"/>
                <w:lang w:val="es-ES" w:eastAsia="es-MX"/>
              </w:rPr>
            </w:pPr>
            <w:r w:rsidRPr="00CF2780">
              <w:rPr>
                <w:rFonts w:ascii="Arial" w:eastAsia="Times New Roman" w:hAnsi="Arial" w:cs="Arial"/>
                <w:b/>
                <w:color w:val="000000"/>
                <w:sz w:val="24"/>
                <w:szCs w:val="24"/>
                <w:lang w:val="es-ES" w:eastAsia="es-MX"/>
              </w:rPr>
              <w:t>Firma</w:t>
            </w:r>
          </w:p>
        </w:tc>
      </w:tr>
      <w:tr w:rsidR="009B02C2" w:rsidRPr="00CF2780" w14:paraId="164BA66F" w14:textId="77777777" w:rsidTr="00B05F31">
        <w:trPr>
          <w:trHeight w:val="300"/>
          <w:jc w:val="center"/>
        </w:trPr>
        <w:tc>
          <w:tcPr>
            <w:tcW w:w="460" w:type="dxa"/>
            <w:noWrap/>
            <w:hideMark/>
          </w:tcPr>
          <w:p w14:paraId="1883424F"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1</w:t>
            </w:r>
          </w:p>
        </w:tc>
        <w:tc>
          <w:tcPr>
            <w:tcW w:w="3880" w:type="dxa"/>
            <w:noWrap/>
            <w:hideMark/>
          </w:tcPr>
          <w:p w14:paraId="7E9393E8"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Francisco Gutiérrez Jerónimo</w:t>
            </w:r>
          </w:p>
        </w:tc>
        <w:tc>
          <w:tcPr>
            <w:tcW w:w="2740" w:type="dxa"/>
            <w:noWrap/>
            <w:hideMark/>
          </w:tcPr>
          <w:p w14:paraId="7E9E345C"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Solo nombre</w:t>
            </w:r>
          </w:p>
        </w:tc>
      </w:tr>
      <w:tr w:rsidR="009B02C2" w:rsidRPr="00CF2780" w14:paraId="51F9BAD8" w14:textId="77777777" w:rsidTr="00B05F31">
        <w:trPr>
          <w:trHeight w:val="300"/>
          <w:jc w:val="center"/>
        </w:trPr>
        <w:tc>
          <w:tcPr>
            <w:tcW w:w="460" w:type="dxa"/>
            <w:noWrap/>
            <w:hideMark/>
          </w:tcPr>
          <w:p w14:paraId="6F3CB149"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2</w:t>
            </w:r>
          </w:p>
        </w:tc>
        <w:tc>
          <w:tcPr>
            <w:tcW w:w="3880" w:type="dxa"/>
            <w:noWrap/>
            <w:hideMark/>
          </w:tcPr>
          <w:p w14:paraId="066A29DF"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Miguel Ángel Huaroco Ambrosio</w:t>
            </w:r>
          </w:p>
        </w:tc>
        <w:tc>
          <w:tcPr>
            <w:tcW w:w="2740" w:type="dxa"/>
            <w:noWrap/>
            <w:hideMark/>
          </w:tcPr>
          <w:p w14:paraId="31D4F64D"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Solo nombre</w:t>
            </w:r>
          </w:p>
        </w:tc>
      </w:tr>
      <w:tr w:rsidR="009B02C2" w:rsidRPr="00CF2780" w14:paraId="43C7FC32" w14:textId="77777777" w:rsidTr="00B05F31">
        <w:trPr>
          <w:trHeight w:val="300"/>
          <w:jc w:val="center"/>
        </w:trPr>
        <w:tc>
          <w:tcPr>
            <w:tcW w:w="460" w:type="dxa"/>
            <w:noWrap/>
            <w:hideMark/>
          </w:tcPr>
          <w:p w14:paraId="7481C642"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3</w:t>
            </w:r>
          </w:p>
        </w:tc>
        <w:tc>
          <w:tcPr>
            <w:tcW w:w="3880" w:type="dxa"/>
            <w:noWrap/>
            <w:hideMark/>
          </w:tcPr>
          <w:p w14:paraId="319FD15B"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José Jesús García Calixto</w:t>
            </w:r>
          </w:p>
        </w:tc>
        <w:tc>
          <w:tcPr>
            <w:tcW w:w="2740" w:type="dxa"/>
            <w:noWrap/>
            <w:hideMark/>
          </w:tcPr>
          <w:p w14:paraId="5B2F61CE"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Solo nombre</w:t>
            </w:r>
          </w:p>
        </w:tc>
      </w:tr>
      <w:tr w:rsidR="009B02C2" w:rsidRPr="00CF2780" w14:paraId="6F35AD09" w14:textId="77777777" w:rsidTr="00B05F31">
        <w:trPr>
          <w:trHeight w:val="300"/>
          <w:jc w:val="center"/>
        </w:trPr>
        <w:tc>
          <w:tcPr>
            <w:tcW w:w="460" w:type="dxa"/>
            <w:noWrap/>
            <w:hideMark/>
          </w:tcPr>
          <w:p w14:paraId="6A22D444"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4</w:t>
            </w:r>
          </w:p>
        </w:tc>
        <w:tc>
          <w:tcPr>
            <w:tcW w:w="3880" w:type="dxa"/>
            <w:noWrap/>
            <w:hideMark/>
          </w:tcPr>
          <w:p w14:paraId="55362731"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Roberto Ortiz Uribe</w:t>
            </w:r>
          </w:p>
        </w:tc>
        <w:tc>
          <w:tcPr>
            <w:tcW w:w="2740" w:type="dxa"/>
            <w:noWrap/>
            <w:hideMark/>
          </w:tcPr>
          <w:p w14:paraId="198A719F"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Solo nombre</w:t>
            </w:r>
          </w:p>
        </w:tc>
      </w:tr>
      <w:tr w:rsidR="009B02C2" w:rsidRPr="00CF2780" w14:paraId="5816A065" w14:textId="77777777" w:rsidTr="00B05F31">
        <w:trPr>
          <w:trHeight w:val="300"/>
          <w:jc w:val="center"/>
        </w:trPr>
        <w:tc>
          <w:tcPr>
            <w:tcW w:w="460" w:type="dxa"/>
            <w:noWrap/>
            <w:hideMark/>
          </w:tcPr>
          <w:p w14:paraId="793C2F06"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5</w:t>
            </w:r>
          </w:p>
        </w:tc>
        <w:tc>
          <w:tcPr>
            <w:tcW w:w="3880" w:type="dxa"/>
            <w:noWrap/>
            <w:hideMark/>
          </w:tcPr>
          <w:p w14:paraId="14E4E3A8"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Carlos Ortiz Ceja</w:t>
            </w:r>
          </w:p>
        </w:tc>
        <w:tc>
          <w:tcPr>
            <w:tcW w:w="2740" w:type="dxa"/>
            <w:noWrap/>
            <w:hideMark/>
          </w:tcPr>
          <w:p w14:paraId="2BFE5BDB"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Solo nombre</w:t>
            </w:r>
          </w:p>
        </w:tc>
      </w:tr>
      <w:tr w:rsidR="009B02C2" w:rsidRPr="00CF2780" w14:paraId="43A358AC" w14:textId="77777777" w:rsidTr="00B05F31">
        <w:trPr>
          <w:trHeight w:val="300"/>
          <w:jc w:val="center"/>
        </w:trPr>
        <w:tc>
          <w:tcPr>
            <w:tcW w:w="460" w:type="dxa"/>
            <w:noWrap/>
            <w:hideMark/>
          </w:tcPr>
          <w:p w14:paraId="77143999"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lastRenderedPageBreak/>
              <w:t>6</w:t>
            </w:r>
          </w:p>
        </w:tc>
        <w:tc>
          <w:tcPr>
            <w:tcW w:w="3880" w:type="dxa"/>
            <w:noWrap/>
            <w:hideMark/>
          </w:tcPr>
          <w:p w14:paraId="5DF2ACE6"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Adela Charicata Ramos</w:t>
            </w:r>
          </w:p>
        </w:tc>
        <w:tc>
          <w:tcPr>
            <w:tcW w:w="2740" w:type="dxa"/>
            <w:noWrap/>
            <w:hideMark/>
          </w:tcPr>
          <w:p w14:paraId="41DFD962"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Solo nombre</w:t>
            </w:r>
          </w:p>
        </w:tc>
      </w:tr>
      <w:tr w:rsidR="009B02C2" w:rsidRPr="00CF2780" w14:paraId="33F3188A" w14:textId="77777777" w:rsidTr="00B05F31">
        <w:trPr>
          <w:trHeight w:val="300"/>
          <w:jc w:val="center"/>
        </w:trPr>
        <w:tc>
          <w:tcPr>
            <w:tcW w:w="460" w:type="dxa"/>
            <w:noWrap/>
            <w:hideMark/>
          </w:tcPr>
          <w:p w14:paraId="6C8D90AE"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7</w:t>
            </w:r>
          </w:p>
        </w:tc>
        <w:tc>
          <w:tcPr>
            <w:tcW w:w="3880" w:type="dxa"/>
            <w:noWrap/>
            <w:hideMark/>
          </w:tcPr>
          <w:p w14:paraId="0DF44705"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Roselia T. Ch.</w:t>
            </w:r>
          </w:p>
        </w:tc>
        <w:tc>
          <w:tcPr>
            <w:tcW w:w="2740" w:type="dxa"/>
            <w:noWrap/>
            <w:hideMark/>
          </w:tcPr>
          <w:p w14:paraId="6F553C31"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Solo nombre</w:t>
            </w:r>
          </w:p>
        </w:tc>
      </w:tr>
      <w:tr w:rsidR="009B02C2" w:rsidRPr="00CF2780" w14:paraId="06690378" w14:textId="77777777" w:rsidTr="00B05F31">
        <w:trPr>
          <w:trHeight w:val="300"/>
          <w:jc w:val="center"/>
        </w:trPr>
        <w:tc>
          <w:tcPr>
            <w:tcW w:w="460" w:type="dxa"/>
            <w:noWrap/>
            <w:hideMark/>
          </w:tcPr>
          <w:p w14:paraId="10013FFA"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8</w:t>
            </w:r>
          </w:p>
        </w:tc>
        <w:tc>
          <w:tcPr>
            <w:tcW w:w="3880" w:type="dxa"/>
            <w:noWrap/>
            <w:hideMark/>
          </w:tcPr>
          <w:p w14:paraId="1B000522"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 xml:space="preserve">María Elena H. T. </w:t>
            </w:r>
          </w:p>
        </w:tc>
        <w:tc>
          <w:tcPr>
            <w:tcW w:w="2740" w:type="dxa"/>
            <w:noWrap/>
            <w:hideMark/>
          </w:tcPr>
          <w:p w14:paraId="6AD19C60"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Solo nombre</w:t>
            </w:r>
          </w:p>
        </w:tc>
      </w:tr>
      <w:tr w:rsidR="009B02C2" w:rsidRPr="00CF2780" w14:paraId="6A4843D4" w14:textId="77777777" w:rsidTr="00B05F31">
        <w:trPr>
          <w:trHeight w:val="300"/>
          <w:jc w:val="center"/>
        </w:trPr>
        <w:tc>
          <w:tcPr>
            <w:tcW w:w="460" w:type="dxa"/>
            <w:noWrap/>
            <w:hideMark/>
          </w:tcPr>
          <w:p w14:paraId="05B6B7FD"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9</w:t>
            </w:r>
          </w:p>
        </w:tc>
        <w:tc>
          <w:tcPr>
            <w:tcW w:w="3880" w:type="dxa"/>
            <w:noWrap/>
            <w:hideMark/>
          </w:tcPr>
          <w:p w14:paraId="4DBD0A86"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Magdalena Charicata Ramos</w:t>
            </w:r>
          </w:p>
        </w:tc>
        <w:tc>
          <w:tcPr>
            <w:tcW w:w="2740" w:type="dxa"/>
            <w:noWrap/>
            <w:hideMark/>
          </w:tcPr>
          <w:p w14:paraId="6849978F"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Solo nombre</w:t>
            </w:r>
          </w:p>
        </w:tc>
      </w:tr>
      <w:tr w:rsidR="009B02C2" w:rsidRPr="00CF2780" w14:paraId="0490BD16" w14:textId="77777777" w:rsidTr="00B05F31">
        <w:trPr>
          <w:trHeight w:val="300"/>
          <w:jc w:val="center"/>
        </w:trPr>
        <w:tc>
          <w:tcPr>
            <w:tcW w:w="460" w:type="dxa"/>
            <w:noWrap/>
            <w:hideMark/>
          </w:tcPr>
          <w:p w14:paraId="715F1805"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10</w:t>
            </w:r>
          </w:p>
        </w:tc>
        <w:tc>
          <w:tcPr>
            <w:tcW w:w="3880" w:type="dxa"/>
            <w:noWrap/>
            <w:hideMark/>
          </w:tcPr>
          <w:p w14:paraId="68296941"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Melchor Turja Charicata o Turja</w:t>
            </w:r>
          </w:p>
        </w:tc>
        <w:tc>
          <w:tcPr>
            <w:tcW w:w="2740" w:type="dxa"/>
            <w:noWrap/>
            <w:hideMark/>
          </w:tcPr>
          <w:p w14:paraId="17B7E31E"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Solo nombre</w:t>
            </w:r>
          </w:p>
        </w:tc>
      </w:tr>
      <w:tr w:rsidR="009B02C2" w:rsidRPr="00CF2780" w14:paraId="39D1781F" w14:textId="77777777" w:rsidTr="00B05F31">
        <w:trPr>
          <w:trHeight w:val="300"/>
          <w:jc w:val="center"/>
        </w:trPr>
        <w:tc>
          <w:tcPr>
            <w:tcW w:w="460" w:type="dxa"/>
            <w:noWrap/>
            <w:hideMark/>
          </w:tcPr>
          <w:p w14:paraId="3FB29789"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11</w:t>
            </w:r>
          </w:p>
        </w:tc>
        <w:tc>
          <w:tcPr>
            <w:tcW w:w="3880" w:type="dxa"/>
            <w:noWrap/>
            <w:hideMark/>
          </w:tcPr>
          <w:p w14:paraId="416C327E"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Griselda Turja Guerrero</w:t>
            </w:r>
          </w:p>
        </w:tc>
        <w:tc>
          <w:tcPr>
            <w:tcW w:w="2740" w:type="dxa"/>
            <w:noWrap/>
            <w:hideMark/>
          </w:tcPr>
          <w:p w14:paraId="6ED9EFCD"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Solo nombre</w:t>
            </w:r>
          </w:p>
        </w:tc>
      </w:tr>
      <w:tr w:rsidR="009B02C2" w:rsidRPr="00CF2780" w14:paraId="6C56FF08" w14:textId="77777777" w:rsidTr="00B05F31">
        <w:trPr>
          <w:trHeight w:val="300"/>
          <w:jc w:val="center"/>
        </w:trPr>
        <w:tc>
          <w:tcPr>
            <w:tcW w:w="460" w:type="dxa"/>
            <w:noWrap/>
            <w:hideMark/>
          </w:tcPr>
          <w:p w14:paraId="33F9FF6D"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12</w:t>
            </w:r>
          </w:p>
        </w:tc>
        <w:tc>
          <w:tcPr>
            <w:tcW w:w="3880" w:type="dxa"/>
            <w:noWrap/>
            <w:hideMark/>
          </w:tcPr>
          <w:p w14:paraId="18C8BAFD"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Guillermina Turja Charicata</w:t>
            </w:r>
          </w:p>
        </w:tc>
        <w:tc>
          <w:tcPr>
            <w:tcW w:w="2740" w:type="dxa"/>
            <w:noWrap/>
            <w:hideMark/>
          </w:tcPr>
          <w:p w14:paraId="67BA2CD6"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Solo nombre</w:t>
            </w:r>
          </w:p>
        </w:tc>
      </w:tr>
      <w:tr w:rsidR="009B02C2" w:rsidRPr="00CF2780" w14:paraId="48820EBA" w14:textId="77777777" w:rsidTr="00B05F31">
        <w:trPr>
          <w:trHeight w:val="300"/>
          <w:jc w:val="center"/>
        </w:trPr>
        <w:tc>
          <w:tcPr>
            <w:tcW w:w="460" w:type="dxa"/>
            <w:noWrap/>
            <w:hideMark/>
          </w:tcPr>
          <w:p w14:paraId="6082C852"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13</w:t>
            </w:r>
          </w:p>
        </w:tc>
        <w:tc>
          <w:tcPr>
            <w:tcW w:w="3880" w:type="dxa"/>
            <w:noWrap/>
            <w:hideMark/>
          </w:tcPr>
          <w:p w14:paraId="144BD9B8"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Víctor Juárez Guerrero</w:t>
            </w:r>
          </w:p>
        </w:tc>
        <w:tc>
          <w:tcPr>
            <w:tcW w:w="2740" w:type="dxa"/>
            <w:noWrap/>
            <w:hideMark/>
          </w:tcPr>
          <w:p w14:paraId="3CEC18D9"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Solo nombre</w:t>
            </w:r>
          </w:p>
        </w:tc>
      </w:tr>
      <w:tr w:rsidR="009B02C2" w:rsidRPr="00CF2780" w14:paraId="368ED828" w14:textId="77777777" w:rsidTr="00B05F31">
        <w:trPr>
          <w:trHeight w:val="300"/>
          <w:jc w:val="center"/>
        </w:trPr>
        <w:tc>
          <w:tcPr>
            <w:tcW w:w="460" w:type="dxa"/>
            <w:noWrap/>
            <w:hideMark/>
          </w:tcPr>
          <w:p w14:paraId="407BE3DD"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14</w:t>
            </w:r>
          </w:p>
        </w:tc>
        <w:tc>
          <w:tcPr>
            <w:tcW w:w="3880" w:type="dxa"/>
            <w:noWrap/>
            <w:hideMark/>
          </w:tcPr>
          <w:p w14:paraId="6BE17D82"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Almadelia Juárez Turja</w:t>
            </w:r>
          </w:p>
        </w:tc>
        <w:tc>
          <w:tcPr>
            <w:tcW w:w="2740" w:type="dxa"/>
            <w:noWrap/>
            <w:hideMark/>
          </w:tcPr>
          <w:p w14:paraId="4498D777"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Solo nombre</w:t>
            </w:r>
          </w:p>
        </w:tc>
      </w:tr>
      <w:tr w:rsidR="009B02C2" w:rsidRPr="00CF2780" w14:paraId="7792AEC3" w14:textId="77777777" w:rsidTr="00B05F31">
        <w:trPr>
          <w:trHeight w:val="300"/>
          <w:jc w:val="center"/>
        </w:trPr>
        <w:tc>
          <w:tcPr>
            <w:tcW w:w="460" w:type="dxa"/>
            <w:noWrap/>
            <w:hideMark/>
          </w:tcPr>
          <w:p w14:paraId="21074DE6"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15</w:t>
            </w:r>
          </w:p>
        </w:tc>
        <w:tc>
          <w:tcPr>
            <w:tcW w:w="3880" w:type="dxa"/>
            <w:noWrap/>
            <w:hideMark/>
          </w:tcPr>
          <w:p w14:paraId="30444274"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Anayeli Juárez Turja</w:t>
            </w:r>
          </w:p>
        </w:tc>
        <w:tc>
          <w:tcPr>
            <w:tcW w:w="2740" w:type="dxa"/>
            <w:noWrap/>
            <w:hideMark/>
          </w:tcPr>
          <w:p w14:paraId="45B62412"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Solo nombre</w:t>
            </w:r>
          </w:p>
        </w:tc>
      </w:tr>
      <w:tr w:rsidR="009B02C2" w:rsidRPr="00CF2780" w14:paraId="675E9F84" w14:textId="77777777" w:rsidTr="00B05F31">
        <w:trPr>
          <w:trHeight w:val="300"/>
          <w:jc w:val="center"/>
        </w:trPr>
        <w:tc>
          <w:tcPr>
            <w:tcW w:w="460" w:type="dxa"/>
            <w:noWrap/>
            <w:hideMark/>
          </w:tcPr>
          <w:p w14:paraId="51476214"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16</w:t>
            </w:r>
          </w:p>
        </w:tc>
        <w:tc>
          <w:tcPr>
            <w:tcW w:w="3880" w:type="dxa"/>
            <w:noWrap/>
            <w:hideMark/>
          </w:tcPr>
          <w:p w14:paraId="3A8A8131"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Isabel Juárez Turja</w:t>
            </w:r>
          </w:p>
        </w:tc>
        <w:tc>
          <w:tcPr>
            <w:tcW w:w="2740" w:type="dxa"/>
            <w:noWrap/>
            <w:hideMark/>
          </w:tcPr>
          <w:p w14:paraId="6E8B0C2A"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Solo nombre</w:t>
            </w:r>
          </w:p>
        </w:tc>
      </w:tr>
      <w:tr w:rsidR="009B02C2" w:rsidRPr="00CF2780" w14:paraId="186EA333" w14:textId="77777777" w:rsidTr="00B05F31">
        <w:trPr>
          <w:trHeight w:val="300"/>
          <w:jc w:val="center"/>
        </w:trPr>
        <w:tc>
          <w:tcPr>
            <w:tcW w:w="460" w:type="dxa"/>
            <w:noWrap/>
            <w:hideMark/>
          </w:tcPr>
          <w:p w14:paraId="341A7953"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17</w:t>
            </w:r>
          </w:p>
        </w:tc>
        <w:tc>
          <w:tcPr>
            <w:tcW w:w="3880" w:type="dxa"/>
            <w:noWrap/>
            <w:hideMark/>
          </w:tcPr>
          <w:p w14:paraId="76AD2DFB"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Salvador Flores Bacilio</w:t>
            </w:r>
          </w:p>
        </w:tc>
        <w:tc>
          <w:tcPr>
            <w:tcW w:w="2740" w:type="dxa"/>
            <w:noWrap/>
            <w:hideMark/>
          </w:tcPr>
          <w:p w14:paraId="6CC9E54D"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Solo nombre</w:t>
            </w:r>
          </w:p>
        </w:tc>
      </w:tr>
      <w:tr w:rsidR="009B02C2" w:rsidRPr="00CF2780" w14:paraId="0E6953A3" w14:textId="77777777" w:rsidTr="00B05F31">
        <w:trPr>
          <w:trHeight w:val="300"/>
          <w:jc w:val="center"/>
        </w:trPr>
        <w:tc>
          <w:tcPr>
            <w:tcW w:w="460" w:type="dxa"/>
            <w:noWrap/>
            <w:hideMark/>
          </w:tcPr>
          <w:p w14:paraId="6777A87A"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18</w:t>
            </w:r>
          </w:p>
        </w:tc>
        <w:tc>
          <w:tcPr>
            <w:tcW w:w="3880" w:type="dxa"/>
            <w:noWrap/>
            <w:hideMark/>
          </w:tcPr>
          <w:p w14:paraId="74873F10"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Vicente Ceja Jerónimo</w:t>
            </w:r>
          </w:p>
        </w:tc>
        <w:tc>
          <w:tcPr>
            <w:tcW w:w="2740" w:type="dxa"/>
            <w:noWrap/>
            <w:hideMark/>
          </w:tcPr>
          <w:p w14:paraId="038B347D"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Solo nombre</w:t>
            </w:r>
          </w:p>
        </w:tc>
      </w:tr>
      <w:tr w:rsidR="009B02C2" w:rsidRPr="00CF2780" w14:paraId="1CD598A9" w14:textId="77777777" w:rsidTr="00B05F31">
        <w:trPr>
          <w:trHeight w:val="300"/>
          <w:jc w:val="center"/>
        </w:trPr>
        <w:tc>
          <w:tcPr>
            <w:tcW w:w="460" w:type="dxa"/>
            <w:noWrap/>
            <w:hideMark/>
          </w:tcPr>
          <w:p w14:paraId="79BA5ED7"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19</w:t>
            </w:r>
          </w:p>
        </w:tc>
        <w:tc>
          <w:tcPr>
            <w:tcW w:w="3880" w:type="dxa"/>
            <w:noWrap/>
            <w:hideMark/>
          </w:tcPr>
          <w:p w14:paraId="7DD55B02"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Israel Leco</w:t>
            </w:r>
          </w:p>
        </w:tc>
        <w:tc>
          <w:tcPr>
            <w:tcW w:w="2740" w:type="dxa"/>
            <w:noWrap/>
            <w:hideMark/>
          </w:tcPr>
          <w:p w14:paraId="7D115422"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Solo nombre</w:t>
            </w:r>
          </w:p>
        </w:tc>
      </w:tr>
      <w:tr w:rsidR="009B02C2" w:rsidRPr="00CF2780" w14:paraId="7016D1A4" w14:textId="77777777" w:rsidTr="00B05F31">
        <w:trPr>
          <w:trHeight w:val="300"/>
          <w:jc w:val="center"/>
        </w:trPr>
        <w:tc>
          <w:tcPr>
            <w:tcW w:w="460" w:type="dxa"/>
            <w:noWrap/>
            <w:hideMark/>
          </w:tcPr>
          <w:p w14:paraId="494E4C0F"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20</w:t>
            </w:r>
          </w:p>
        </w:tc>
        <w:tc>
          <w:tcPr>
            <w:tcW w:w="3880" w:type="dxa"/>
            <w:noWrap/>
            <w:hideMark/>
          </w:tcPr>
          <w:p w14:paraId="5BC8ABEC"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Antonio Jerónimo</w:t>
            </w:r>
          </w:p>
        </w:tc>
        <w:tc>
          <w:tcPr>
            <w:tcW w:w="2740" w:type="dxa"/>
            <w:noWrap/>
            <w:hideMark/>
          </w:tcPr>
          <w:p w14:paraId="3C7859B9"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Solo nombre</w:t>
            </w:r>
          </w:p>
        </w:tc>
      </w:tr>
      <w:tr w:rsidR="009B02C2" w:rsidRPr="00CF2780" w14:paraId="324F730F" w14:textId="77777777" w:rsidTr="00B05F31">
        <w:trPr>
          <w:trHeight w:val="300"/>
          <w:jc w:val="center"/>
        </w:trPr>
        <w:tc>
          <w:tcPr>
            <w:tcW w:w="460" w:type="dxa"/>
            <w:noWrap/>
            <w:hideMark/>
          </w:tcPr>
          <w:p w14:paraId="36756CB3"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21</w:t>
            </w:r>
          </w:p>
        </w:tc>
        <w:tc>
          <w:tcPr>
            <w:tcW w:w="3880" w:type="dxa"/>
            <w:noWrap/>
            <w:hideMark/>
          </w:tcPr>
          <w:p w14:paraId="51D7ED10"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Salvador Uribe</w:t>
            </w:r>
          </w:p>
        </w:tc>
        <w:tc>
          <w:tcPr>
            <w:tcW w:w="2740" w:type="dxa"/>
            <w:noWrap/>
            <w:hideMark/>
          </w:tcPr>
          <w:p w14:paraId="63AE5714"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Solo nombre</w:t>
            </w:r>
          </w:p>
        </w:tc>
      </w:tr>
      <w:tr w:rsidR="009B02C2" w:rsidRPr="00CF2780" w14:paraId="66FD2E93" w14:textId="77777777" w:rsidTr="00B05F31">
        <w:trPr>
          <w:trHeight w:val="300"/>
          <w:jc w:val="center"/>
        </w:trPr>
        <w:tc>
          <w:tcPr>
            <w:tcW w:w="460" w:type="dxa"/>
            <w:noWrap/>
            <w:hideMark/>
          </w:tcPr>
          <w:p w14:paraId="2CFDC34B"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22</w:t>
            </w:r>
          </w:p>
        </w:tc>
        <w:tc>
          <w:tcPr>
            <w:tcW w:w="3880" w:type="dxa"/>
            <w:noWrap/>
            <w:hideMark/>
          </w:tcPr>
          <w:p w14:paraId="1E39DA9B"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Jacinto Hernández</w:t>
            </w:r>
          </w:p>
        </w:tc>
        <w:tc>
          <w:tcPr>
            <w:tcW w:w="2740" w:type="dxa"/>
            <w:noWrap/>
            <w:hideMark/>
          </w:tcPr>
          <w:p w14:paraId="2C84354A"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Solo nombre</w:t>
            </w:r>
          </w:p>
        </w:tc>
      </w:tr>
      <w:tr w:rsidR="009B02C2" w:rsidRPr="00CF2780" w14:paraId="6948003C" w14:textId="77777777" w:rsidTr="00B05F31">
        <w:trPr>
          <w:trHeight w:val="300"/>
          <w:jc w:val="center"/>
        </w:trPr>
        <w:tc>
          <w:tcPr>
            <w:tcW w:w="460" w:type="dxa"/>
            <w:noWrap/>
            <w:hideMark/>
          </w:tcPr>
          <w:p w14:paraId="19F09D50"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23</w:t>
            </w:r>
          </w:p>
        </w:tc>
        <w:tc>
          <w:tcPr>
            <w:tcW w:w="3880" w:type="dxa"/>
            <w:noWrap/>
            <w:hideMark/>
          </w:tcPr>
          <w:p w14:paraId="3ECFCCB8"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Maribel Alonso Hurtado</w:t>
            </w:r>
          </w:p>
        </w:tc>
        <w:tc>
          <w:tcPr>
            <w:tcW w:w="2740" w:type="dxa"/>
            <w:noWrap/>
            <w:hideMark/>
          </w:tcPr>
          <w:p w14:paraId="44ED93B2"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Solo nombre</w:t>
            </w:r>
          </w:p>
        </w:tc>
      </w:tr>
      <w:tr w:rsidR="009B02C2" w:rsidRPr="00CF2780" w14:paraId="064E6E45" w14:textId="77777777" w:rsidTr="00B05F31">
        <w:trPr>
          <w:trHeight w:val="300"/>
          <w:jc w:val="center"/>
        </w:trPr>
        <w:tc>
          <w:tcPr>
            <w:tcW w:w="460" w:type="dxa"/>
            <w:noWrap/>
            <w:hideMark/>
          </w:tcPr>
          <w:p w14:paraId="0A3DDF35"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24</w:t>
            </w:r>
          </w:p>
        </w:tc>
        <w:tc>
          <w:tcPr>
            <w:tcW w:w="3880" w:type="dxa"/>
            <w:noWrap/>
            <w:hideMark/>
          </w:tcPr>
          <w:p w14:paraId="02A8ACD4"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Pedro Fabián Chávez Chávez</w:t>
            </w:r>
          </w:p>
        </w:tc>
        <w:tc>
          <w:tcPr>
            <w:tcW w:w="2740" w:type="dxa"/>
            <w:noWrap/>
            <w:hideMark/>
          </w:tcPr>
          <w:p w14:paraId="1BFAF9D0"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Solo nombre</w:t>
            </w:r>
          </w:p>
        </w:tc>
      </w:tr>
    </w:tbl>
    <w:p w14:paraId="09E8FF0C" w14:textId="77777777" w:rsidR="009B02C2" w:rsidRPr="00CF2780" w:rsidRDefault="009B02C2" w:rsidP="009B02C2">
      <w:pPr>
        <w:spacing w:after="0" w:line="360" w:lineRule="auto"/>
        <w:ind w:firstLine="709"/>
        <w:jc w:val="both"/>
        <w:rPr>
          <w:rFonts w:ascii="Arial" w:eastAsia="Times New Roman" w:hAnsi="Arial" w:cs="Arial"/>
          <w:sz w:val="28"/>
          <w:szCs w:val="24"/>
          <w:lang w:val="es-ES" w:eastAsia="es-ES"/>
        </w:rPr>
      </w:pPr>
    </w:p>
    <w:p w14:paraId="4A8D28C1" w14:textId="77777777" w:rsidR="009B02C2" w:rsidRPr="00CF2780" w:rsidRDefault="009B02C2" w:rsidP="009B02C2">
      <w:pPr>
        <w:spacing w:after="0" w:line="360" w:lineRule="auto"/>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Respecto de otros cuarenta y tres ciudadanos también se concluye que se colma el requisito mencionado por la circunstancia de encontrarse un signo gráfico o la huella digital, mediante el cual se advierte la voluntad de hacer suyo dicho documento. Los ciudadanos en cuestión se enlistan en el cuadro siguiente:</w:t>
      </w:r>
    </w:p>
    <w:p w14:paraId="24615333" w14:textId="77777777" w:rsidR="009B02C2" w:rsidRPr="00CF2780" w:rsidRDefault="009B02C2" w:rsidP="009B02C2">
      <w:pPr>
        <w:spacing w:after="0" w:line="360" w:lineRule="auto"/>
        <w:ind w:firstLine="709"/>
        <w:jc w:val="both"/>
        <w:rPr>
          <w:rFonts w:ascii="Arial" w:eastAsia="Times New Roman" w:hAnsi="Arial" w:cs="Arial"/>
          <w:sz w:val="28"/>
          <w:szCs w:val="24"/>
          <w:lang w:val="es-ES" w:eastAsia="es-ES"/>
        </w:rPr>
      </w:pPr>
    </w:p>
    <w:tbl>
      <w:tblPr>
        <w:tblW w:w="7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880"/>
        <w:gridCol w:w="2740"/>
      </w:tblGrid>
      <w:tr w:rsidR="009B02C2" w:rsidRPr="00CF2780" w14:paraId="629D02BB" w14:textId="77777777" w:rsidTr="00B05F31">
        <w:trPr>
          <w:trHeight w:val="300"/>
          <w:jc w:val="center"/>
        </w:trPr>
        <w:tc>
          <w:tcPr>
            <w:tcW w:w="460" w:type="dxa"/>
            <w:noWrap/>
            <w:hideMark/>
          </w:tcPr>
          <w:p w14:paraId="44C19242" w14:textId="77777777" w:rsidR="009B02C2" w:rsidRPr="00CF2780" w:rsidRDefault="009B02C2" w:rsidP="009B02C2">
            <w:pPr>
              <w:spacing w:after="0" w:line="240" w:lineRule="auto"/>
              <w:jc w:val="center"/>
              <w:rPr>
                <w:rFonts w:ascii="Arial" w:eastAsia="Times New Roman" w:hAnsi="Arial" w:cs="Arial"/>
                <w:b/>
                <w:color w:val="000000"/>
                <w:sz w:val="24"/>
                <w:szCs w:val="24"/>
                <w:lang w:val="es-ES" w:eastAsia="es-MX"/>
              </w:rPr>
            </w:pPr>
            <w:r w:rsidRPr="00CF2780">
              <w:rPr>
                <w:rFonts w:ascii="Arial" w:eastAsia="Times New Roman" w:hAnsi="Arial" w:cs="Arial"/>
                <w:b/>
                <w:color w:val="000000"/>
                <w:sz w:val="24"/>
                <w:szCs w:val="24"/>
                <w:lang w:val="es-ES" w:eastAsia="es-MX"/>
              </w:rPr>
              <w:t>No.</w:t>
            </w:r>
          </w:p>
        </w:tc>
        <w:tc>
          <w:tcPr>
            <w:tcW w:w="3880" w:type="dxa"/>
            <w:noWrap/>
            <w:hideMark/>
          </w:tcPr>
          <w:p w14:paraId="5114D9CC" w14:textId="77777777" w:rsidR="009B02C2" w:rsidRPr="00CF2780" w:rsidRDefault="009B02C2" w:rsidP="009B02C2">
            <w:pPr>
              <w:spacing w:after="0" w:line="240" w:lineRule="auto"/>
              <w:jc w:val="center"/>
              <w:rPr>
                <w:rFonts w:ascii="Arial" w:eastAsia="Times New Roman" w:hAnsi="Arial" w:cs="Arial"/>
                <w:b/>
                <w:color w:val="000000"/>
                <w:sz w:val="24"/>
                <w:szCs w:val="24"/>
                <w:lang w:val="es-ES" w:eastAsia="es-MX"/>
              </w:rPr>
            </w:pPr>
            <w:r w:rsidRPr="00CF2780">
              <w:rPr>
                <w:rFonts w:ascii="Arial" w:eastAsia="Times New Roman" w:hAnsi="Arial" w:cs="Arial"/>
                <w:b/>
                <w:color w:val="000000"/>
                <w:sz w:val="24"/>
                <w:szCs w:val="24"/>
                <w:lang w:val="es-ES" w:eastAsia="es-MX"/>
              </w:rPr>
              <w:t>Nombre</w:t>
            </w:r>
          </w:p>
        </w:tc>
        <w:tc>
          <w:tcPr>
            <w:tcW w:w="2740" w:type="dxa"/>
            <w:noWrap/>
            <w:hideMark/>
          </w:tcPr>
          <w:p w14:paraId="27F44F90" w14:textId="77777777" w:rsidR="009B02C2" w:rsidRPr="00CF2780" w:rsidRDefault="009B02C2" w:rsidP="009B02C2">
            <w:pPr>
              <w:spacing w:after="0" w:line="240" w:lineRule="auto"/>
              <w:jc w:val="center"/>
              <w:rPr>
                <w:rFonts w:ascii="Arial" w:eastAsia="Times New Roman" w:hAnsi="Arial" w:cs="Arial"/>
                <w:b/>
                <w:color w:val="000000"/>
                <w:sz w:val="24"/>
                <w:szCs w:val="24"/>
                <w:lang w:val="es-ES" w:eastAsia="es-MX"/>
              </w:rPr>
            </w:pPr>
            <w:r w:rsidRPr="00CF2780">
              <w:rPr>
                <w:rFonts w:ascii="Arial" w:eastAsia="Times New Roman" w:hAnsi="Arial" w:cs="Arial"/>
                <w:b/>
                <w:color w:val="000000"/>
                <w:sz w:val="24"/>
                <w:szCs w:val="24"/>
                <w:lang w:val="es-ES" w:eastAsia="es-MX"/>
              </w:rPr>
              <w:t>Firma</w:t>
            </w:r>
          </w:p>
        </w:tc>
      </w:tr>
      <w:tr w:rsidR="009B02C2" w:rsidRPr="00CF2780" w14:paraId="383D80BA" w14:textId="77777777" w:rsidTr="00B05F31">
        <w:trPr>
          <w:trHeight w:val="300"/>
          <w:jc w:val="center"/>
        </w:trPr>
        <w:tc>
          <w:tcPr>
            <w:tcW w:w="460" w:type="dxa"/>
            <w:noWrap/>
            <w:hideMark/>
          </w:tcPr>
          <w:p w14:paraId="3C7E9B59"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1</w:t>
            </w:r>
          </w:p>
        </w:tc>
        <w:tc>
          <w:tcPr>
            <w:tcW w:w="3880" w:type="dxa"/>
            <w:noWrap/>
            <w:hideMark/>
          </w:tcPr>
          <w:p w14:paraId="601A6FE2"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Margarita Velázquez Robles</w:t>
            </w:r>
          </w:p>
        </w:tc>
        <w:tc>
          <w:tcPr>
            <w:tcW w:w="2740" w:type="dxa"/>
            <w:noWrap/>
            <w:hideMark/>
          </w:tcPr>
          <w:p w14:paraId="71432709"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Tache</w:t>
            </w:r>
          </w:p>
        </w:tc>
      </w:tr>
      <w:tr w:rsidR="009B02C2" w:rsidRPr="00CF2780" w14:paraId="265C643D" w14:textId="77777777" w:rsidTr="00B05F31">
        <w:trPr>
          <w:trHeight w:val="300"/>
          <w:jc w:val="center"/>
        </w:trPr>
        <w:tc>
          <w:tcPr>
            <w:tcW w:w="460" w:type="dxa"/>
            <w:noWrap/>
            <w:hideMark/>
          </w:tcPr>
          <w:p w14:paraId="2A802E2C"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2</w:t>
            </w:r>
          </w:p>
        </w:tc>
        <w:tc>
          <w:tcPr>
            <w:tcW w:w="3880" w:type="dxa"/>
            <w:noWrap/>
            <w:hideMark/>
          </w:tcPr>
          <w:p w14:paraId="12781638"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Paulina Pineda Fabián</w:t>
            </w:r>
          </w:p>
        </w:tc>
        <w:tc>
          <w:tcPr>
            <w:tcW w:w="2740" w:type="dxa"/>
            <w:noWrap/>
            <w:hideMark/>
          </w:tcPr>
          <w:p w14:paraId="23F919B8"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Tache</w:t>
            </w:r>
          </w:p>
        </w:tc>
      </w:tr>
      <w:tr w:rsidR="009B02C2" w:rsidRPr="00CF2780" w14:paraId="727CF78D" w14:textId="77777777" w:rsidTr="00B05F31">
        <w:trPr>
          <w:trHeight w:val="300"/>
          <w:jc w:val="center"/>
        </w:trPr>
        <w:tc>
          <w:tcPr>
            <w:tcW w:w="460" w:type="dxa"/>
            <w:noWrap/>
            <w:hideMark/>
          </w:tcPr>
          <w:p w14:paraId="417E3B12"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3</w:t>
            </w:r>
          </w:p>
        </w:tc>
        <w:tc>
          <w:tcPr>
            <w:tcW w:w="3880" w:type="dxa"/>
            <w:noWrap/>
            <w:hideMark/>
          </w:tcPr>
          <w:p w14:paraId="22AD033F"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Felipa Jerónimo Mateo</w:t>
            </w:r>
          </w:p>
        </w:tc>
        <w:tc>
          <w:tcPr>
            <w:tcW w:w="2740" w:type="dxa"/>
            <w:noWrap/>
            <w:hideMark/>
          </w:tcPr>
          <w:p w14:paraId="62625C54"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Tache</w:t>
            </w:r>
          </w:p>
        </w:tc>
      </w:tr>
      <w:tr w:rsidR="009B02C2" w:rsidRPr="00CF2780" w14:paraId="6A249ED3" w14:textId="77777777" w:rsidTr="00B05F31">
        <w:trPr>
          <w:trHeight w:val="300"/>
          <w:jc w:val="center"/>
        </w:trPr>
        <w:tc>
          <w:tcPr>
            <w:tcW w:w="460" w:type="dxa"/>
            <w:noWrap/>
            <w:hideMark/>
          </w:tcPr>
          <w:p w14:paraId="3F31D1C9"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4</w:t>
            </w:r>
          </w:p>
        </w:tc>
        <w:tc>
          <w:tcPr>
            <w:tcW w:w="3880" w:type="dxa"/>
            <w:noWrap/>
            <w:hideMark/>
          </w:tcPr>
          <w:p w14:paraId="7549E5B5"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Juana Ambrocio Fabián</w:t>
            </w:r>
          </w:p>
        </w:tc>
        <w:tc>
          <w:tcPr>
            <w:tcW w:w="2740" w:type="dxa"/>
            <w:noWrap/>
            <w:hideMark/>
          </w:tcPr>
          <w:p w14:paraId="2EFE3ADB"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Tache</w:t>
            </w:r>
          </w:p>
        </w:tc>
      </w:tr>
      <w:tr w:rsidR="009B02C2" w:rsidRPr="00CF2780" w14:paraId="6FEFBA6B" w14:textId="77777777" w:rsidTr="00B05F31">
        <w:trPr>
          <w:trHeight w:val="300"/>
          <w:jc w:val="center"/>
        </w:trPr>
        <w:tc>
          <w:tcPr>
            <w:tcW w:w="460" w:type="dxa"/>
            <w:noWrap/>
            <w:hideMark/>
          </w:tcPr>
          <w:p w14:paraId="19EDF87E"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5</w:t>
            </w:r>
          </w:p>
        </w:tc>
        <w:tc>
          <w:tcPr>
            <w:tcW w:w="3880" w:type="dxa"/>
            <w:noWrap/>
            <w:hideMark/>
          </w:tcPr>
          <w:p w14:paraId="5962CC91"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Heriberto Tomas Muñoz</w:t>
            </w:r>
          </w:p>
        </w:tc>
        <w:tc>
          <w:tcPr>
            <w:tcW w:w="2740" w:type="dxa"/>
            <w:noWrap/>
            <w:hideMark/>
          </w:tcPr>
          <w:p w14:paraId="3E4ECBDD"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Tache</w:t>
            </w:r>
          </w:p>
        </w:tc>
      </w:tr>
      <w:tr w:rsidR="009B02C2" w:rsidRPr="00CF2780" w14:paraId="69E887D6" w14:textId="77777777" w:rsidTr="00B05F31">
        <w:trPr>
          <w:trHeight w:val="300"/>
          <w:jc w:val="center"/>
        </w:trPr>
        <w:tc>
          <w:tcPr>
            <w:tcW w:w="460" w:type="dxa"/>
            <w:noWrap/>
            <w:hideMark/>
          </w:tcPr>
          <w:p w14:paraId="5ACF929B"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6</w:t>
            </w:r>
          </w:p>
        </w:tc>
        <w:tc>
          <w:tcPr>
            <w:tcW w:w="3880" w:type="dxa"/>
            <w:noWrap/>
            <w:hideMark/>
          </w:tcPr>
          <w:p w14:paraId="68382856"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Francisco Ortiz Aguilar</w:t>
            </w:r>
          </w:p>
        </w:tc>
        <w:tc>
          <w:tcPr>
            <w:tcW w:w="2740" w:type="dxa"/>
            <w:noWrap/>
            <w:hideMark/>
          </w:tcPr>
          <w:p w14:paraId="4D7057E3"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Tache</w:t>
            </w:r>
          </w:p>
        </w:tc>
      </w:tr>
      <w:tr w:rsidR="009B02C2" w:rsidRPr="00CF2780" w14:paraId="4690EEF6" w14:textId="77777777" w:rsidTr="00B05F31">
        <w:trPr>
          <w:trHeight w:val="300"/>
          <w:jc w:val="center"/>
        </w:trPr>
        <w:tc>
          <w:tcPr>
            <w:tcW w:w="460" w:type="dxa"/>
            <w:noWrap/>
            <w:hideMark/>
          </w:tcPr>
          <w:p w14:paraId="18B01DEC"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7</w:t>
            </w:r>
          </w:p>
        </w:tc>
        <w:tc>
          <w:tcPr>
            <w:tcW w:w="3880" w:type="dxa"/>
            <w:noWrap/>
            <w:hideMark/>
          </w:tcPr>
          <w:p w14:paraId="37789FE8"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Petronila Sánchez Carrilllo</w:t>
            </w:r>
          </w:p>
        </w:tc>
        <w:tc>
          <w:tcPr>
            <w:tcW w:w="2740" w:type="dxa"/>
            <w:noWrap/>
            <w:hideMark/>
          </w:tcPr>
          <w:p w14:paraId="299B5176"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Tache</w:t>
            </w:r>
          </w:p>
        </w:tc>
      </w:tr>
      <w:tr w:rsidR="009B02C2" w:rsidRPr="00CF2780" w14:paraId="441D0342" w14:textId="77777777" w:rsidTr="00B05F31">
        <w:trPr>
          <w:trHeight w:val="300"/>
          <w:jc w:val="center"/>
        </w:trPr>
        <w:tc>
          <w:tcPr>
            <w:tcW w:w="460" w:type="dxa"/>
            <w:noWrap/>
            <w:hideMark/>
          </w:tcPr>
          <w:p w14:paraId="412C3E11"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8</w:t>
            </w:r>
          </w:p>
        </w:tc>
        <w:tc>
          <w:tcPr>
            <w:tcW w:w="3880" w:type="dxa"/>
            <w:noWrap/>
            <w:hideMark/>
          </w:tcPr>
          <w:p w14:paraId="5955DED4"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Rosa Guerrero Guerrero</w:t>
            </w:r>
          </w:p>
        </w:tc>
        <w:tc>
          <w:tcPr>
            <w:tcW w:w="2740" w:type="dxa"/>
            <w:noWrap/>
            <w:hideMark/>
          </w:tcPr>
          <w:p w14:paraId="4E523DE3"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Tache</w:t>
            </w:r>
          </w:p>
        </w:tc>
      </w:tr>
      <w:tr w:rsidR="009B02C2" w:rsidRPr="00CF2780" w14:paraId="64CA399A" w14:textId="77777777" w:rsidTr="00B05F31">
        <w:trPr>
          <w:trHeight w:val="300"/>
          <w:jc w:val="center"/>
        </w:trPr>
        <w:tc>
          <w:tcPr>
            <w:tcW w:w="460" w:type="dxa"/>
            <w:noWrap/>
            <w:hideMark/>
          </w:tcPr>
          <w:p w14:paraId="2812D3FE"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9</w:t>
            </w:r>
          </w:p>
        </w:tc>
        <w:tc>
          <w:tcPr>
            <w:tcW w:w="3880" w:type="dxa"/>
            <w:noWrap/>
            <w:hideMark/>
          </w:tcPr>
          <w:p w14:paraId="755B8904"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Eloisa Tomas León</w:t>
            </w:r>
          </w:p>
        </w:tc>
        <w:tc>
          <w:tcPr>
            <w:tcW w:w="2740" w:type="dxa"/>
            <w:noWrap/>
            <w:hideMark/>
          </w:tcPr>
          <w:p w14:paraId="53A4652C"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Tache</w:t>
            </w:r>
          </w:p>
        </w:tc>
      </w:tr>
      <w:tr w:rsidR="009B02C2" w:rsidRPr="00CF2780" w14:paraId="283D6223" w14:textId="77777777" w:rsidTr="00B05F31">
        <w:trPr>
          <w:trHeight w:val="300"/>
          <w:jc w:val="center"/>
        </w:trPr>
        <w:tc>
          <w:tcPr>
            <w:tcW w:w="460" w:type="dxa"/>
            <w:noWrap/>
            <w:hideMark/>
          </w:tcPr>
          <w:p w14:paraId="3D10A302"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10</w:t>
            </w:r>
          </w:p>
        </w:tc>
        <w:tc>
          <w:tcPr>
            <w:tcW w:w="3880" w:type="dxa"/>
            <w:noWrap/>
            <w:hideMark/>
          </w:tcPr>
          <w:p w14:paraId="424A6A4E"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Soledad Ramos</w:t>
            </w:r>
          </w:p>
        </w:tc>
        <w:tc>
          <w:tcPr>
            <w:tcW w:w="2740" w:type="dxa"/>
            <w:noWrap/>
            <w:hideMark/>
          </w:tcPr>
          <w:p w14:paraId="3BDCFF5D"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Huella</w:t>
            </w:r>
          </w:p>
        </w:tc>
      </w:tr>
      <w:tr w:rsidR="009B02C2" w:rsidRPr="00CF2780" w14:paraId="753895A9" w14:textId="77777777" w:rsidTr="00B05F31">
        <w:trPr>
          <w:trHeight w:val="300"/>
          <w:jc w:val="center"/>
        </w:trPr>
        <w:tc>
          <w:tcPr>
            <w:tcW w:w="460" w:type="dxa"/>
            <w:noWrap/>
            <w:hideMark/>
          </w:tcPr>
          <w:p w14:paraId="55EA99E7"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lastRenderedPageBreak/>
              <w:t>11</w:t>
            </w:r>
          </w:p>
        </w:tc>
        <w:tc>
          <w:tcPr>
            <w:tcW w:w="3880" w:type="dxa"/>
            <w:noWrap/>
            <w:hideMark/>
          </w:tcPr>
          <w:p w14:paraId="241F0DCF"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Lucila Auapa Guerrero</w:t>
            </w:r>
          </w:p>
        </w:tc>
        <w:tc>
          <w:tcPr>
            <w:tcW w:w="2740" w:type="dxa"/>
            <w:noWrap/>
            <w:hideMark/>
          </w:tcPr>
          <w:p w14:paraId="56617E56"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Huella</w:t>
            </w:r>
          </w:p>
        </w:tc>
      </w:tr>
      <w:tr w:rsidR="009B02C2" w:rsidRPr="00CF2780" w14:paraId="3DB23D23" w14:textId="77777777" w:rsidTr="00B05F31">
        <w:trPr>
          <w:trHeight w:val="300"/>
          <w:jc w:val="center"/>
        </w:trPr>
        <w:tc>
          <w:tcPr>
            <w:tcW w:w="460" w:type="dxa"/>
            <w:noWrap/>
            <w:hideMark/>
          </w:tcPr>
          <w:p w14:paraId="16D26E3B"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12</w:t>
            </w:r>
          </w:p>
        </w:tc>
        <w:tc>
          <w:tcPr>
            <w:tcW w:w="3880" w:type="dxa"/>
            <w:noWrap/>
            <w:hideMark/>
          </w:tcPr>
          <w:p w14:paraId="21DB8E66"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Francisco  García Macías</w:t>
            </w:r>
          </w:p>
        </w:tc>
        <w:tc>
          <w:tcPr>
            <w:tcW w:w="2740" w:type="dxa"/>
            <w:noWrap/>
            <w:hideMark/>
          </w:tcPr>
          <w:p w14:paraId="7EF2A509"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Huella</w:t>
            </w:r>
          </w:p>
        </w:tc>
      </w:tr>
      <w:tr w:rsidR="009B02C2" w:rsidRPr="00CF2780" w14:paraId="05F05B02" w14:textId="77777777" w:rsidTr="00B05F31">
        <w:trPr>
          <w:trHeight w:val="300"/>
          <w:jc w:val="center"/>
        </w:trPr>
        <w:tc>
          <w:tcPr>
            <w:tcW w:w="460" w:type="dxa"/>
            <w:noWrap/>
            <w:hideMark/>
          </w:tcPr>
          <w:p w14:paraId="79E02CB8"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13</w:t>
            </w:r>
          </w:p>
        </w:tc>
        <w:tc>
          <w:tcPr>
            <w:tcW w:w="3880" w:type="dxa"/>
            <w:noWrap/>
            <w:hideMark/>
          </w:tcPr>
          <w:p w14:paraId="28209A36"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L. F. O</w:t>
            </w:r>
          </w:p>
        </w:tc>
        <w:tc>
          <w:tcPr>
            <w:tcW w:w="2740" w:type="dxa"/>
            <w:noWrap/>
            <w:hideMark/>
          </w:tcPr>
          <w:p w14:paraId="05C8DDC4"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Huella</w:t>
            </w:r>
          </w:p>
        </w:tc>
      </w:tr>
      <w:tr w:rsidR="009B02C2" w:rsidRPr="00CF2780" w14:paraId="0F8A976F" w14:textId="77777777" w:rsidTr="00B05F31">
        <w:trPr>
          <w:trHeight w:val="300"/>
          <w:jc w:val="center"/>
        </w:trPr>
        <w:tc>
          <w:tcPr>
            <w:tcW w:w="460" w:type="dxa"/>
            <w:noWrap/>
            <w:hideMark/>
          </w:tcPr>
          <w:p w14:paraId="70E0150B"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14</w:t>
            </w:r>
          </w:p>
        </w:tc>
        <w:tc>
          <w:tcPr>
            <w:tcW w:w="3880" w:type="dxa"/>
            <w:noWrap/>
            <w:hideMark/>
          </w:tcPr>
          <w:p w14:paraId="5F944579"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Imelda Sánchez Tomás</w:t>
            </w:r>
          </w:p>
        </w:tc>
        <w:tc>
          <w:tcPr>
            <w:tcW w:w="2740" w:type="dxa"/>
            <w:noWrap/>
            <w:hideMark/>
          </w:tcPr>
          <w:p w14:paraId="563A242C"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Huella</w:t>
            </w:r>
          </w:p>
        </w:tc>
      </w:tr>
      <w:tr w:rsidR="009B02C2" w:rsidRPr="00CF2780" w14:paraId="0DC928AE" w14:textId="77777777" w:rsidTr="00B05F31">
        <w:trPr>
          <w:trHeight w:val="300"/>
          <w:jc w:val="center"/>
        </w:trPr>
        <w:tc>
          <w:tcPr>
            <w:tcW w:w="460" w:type="dxa"/>
            <w:noWrap/>
            <w:hideMark/>
          </w:tcPr>
          <w:p w14:paraId="52E042EF"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15</w:t>
            </w:r>
          </w:p>
        </w:tc>
        <w:tc>
          <w:tcPr>
            <w:tcW w:w="3880" w:type="dxa"/>
            <w:noWrap/>
            <w:hideMark/>
          </w:tcPr>
          <w:p w14:paraId="00749ADA"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Ma. De Jesús Fabián Macías</w:t>
            </w:r>
          </w:p>
        </w:tc>
        <w:tc>
          <w:tcPr>
            <w:tcW w:w="2740" w:type="dxa"/>
            <w:noWrap/>
            <w:hideMark/>
          </w:tcPr>
          <w:p w14:paraId="14655060"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Tache</w:t>
            </w:r>
          </w:p>
        </w:tc>
      </w:tr>
      <w:tr w:rsidR="009B02C2" w:rsidRPr="00CF2780" w14:paraId="3FF86FAC" w14:textId="77777777" w:rsidTr="00B05F31">
        <w:trPr>
          <w:trHeight w:val="300"/>
          <w:jc w:val="center"/>
        </w:trPr>
        <w:tc>
          <w:tcPr>
            <w:tcW w:w="460" w:type="dxa"/>
            <w:noWrap/>
            <w:hideMark/>
          </w:tcPr>
          <w:p w14:paraId="792A43DB"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16</w:t>
            </w:r>
          </w:p>
        </w:tc>
        <w:tc>
          <w:tcPr>
            <w:tcW w:w="3880" w:type="dxa"/>
            <w:noWrap/>
            <w:hideMark/>
          </w:tcPr>
          <w:p w14:paraId="657A2A4C"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Froilán T. Ch.</w:t>
            </w:r>
          </w:p>
        </w:tc>
        <w:tc>
          <w:tcPr>
            <w:tcW w:w="2740" w:type="dxa"/>
            <w:noWrap/>
            <w:hideMark/>
          </w:tcPr>
          <w:p w14:paraId="1AB57FE7"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Tache</w:t>
            </w:r>
          </w:p>
        </w:tc>
      </w:tr>
      <w:tr w:rsidR="009B02C2" w:rsidRPr="00CF2780" w14:paraId="668AF7E8" w14:textId="77777777" w:rsidTr="00B05F31">
        <w:trPr>
          <w:trHeight w:val="300"/>
          <w:jc w:val="center"/>
        </w:trPr>
        <w:tc>
          <w:tcPr>
            <w:tcW w:w="460" w:type="dxa"/>
            <w:noWrap/>
            <w:hideMark/>
          </w:tcPr>
          <w:p w14:paraId="38E10083"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17</w:t>
            </w:r>
          </w:p>
        </w:tc>
        <w:tc>
          <w:tcPr>
            <w:tcW w:w="3880" w:type="dxa"/>
            <w:noWrap/>
            <w:hideMark/>
          </w:tcPr>
          <w:p w14:paraId="2ADD7210"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Guadalupe Guerrero</w:t>
            </w:r>
          </w:p>
        </w:tc>
        <w:tc>
          <w:tcPr>
            <w:tcW w:w="2740" w:type="dxa"/>
            <w:noWrap/>
            <w:hideMark/>
          </w:tcPr>
          <w:p w14:paraId="0C6DACCD"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Tache</w:t>
            </w:r>
          </w:p>
        </w:tc>
      </w:tr>
      <w:tr w:rsidR="009B02C2" w:rsidRPr="00CF2780" w14:paraId="7EC7627E" w14:textId="77777777" w:rsidTr="00B05F31">
        <w:trPr>
          <w:trHeight w:val="300"/>
          <w:jc w:val="center"/>
        </w:trPr>
        <w:tc>
          <w:tcPr>
            <w:tcW w:w="460" w:type="dxa"/>
            <w:noWrap/>
            <w:hideMark/>
          </w:tcPr>
          <w:p w14:paraId="7C556B66"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18</w:t>
            </w:r>
          </w:p>
        </w:tc>
        <w:tc>
          <w:tcPr>
            <w:tcW w:w="3880" w:type="dxa"/>
            <w:noWrap/>
            <w:hideMark/>
          </w:tcPr>
          <w:p w14:paraId="74062C60"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Silvia Capiz Hernández</w:t>
            </w:r>
          </w:p>
        </w:tc>
        <w:tc>
          <w:tcPr>
            <w:tcW w:w="2740" w:type="dxa"/>
            <w:noWrap/>
            <w:hideMark/>
          </w:tcPr>
          <w:p w14:paraId="2BE156B0"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Huella</w:t>
            </w:r>
          </w:p>
        </w:tc>
      </w:tr>
      <w:tr w:rsidR="009B02C2" w:rsidRPr="00CF2780" w14:paraId="68DC1026" w14:textId="77777777" w:rsidTr="00B05F31">
        <w:trPr>
          <w:trHeight w:val="300"/>
          <w:jc w:val="center"/>
        </w:trPr>
        <w:tc>
          <w:tcPr>
            <w:tcW w:w="460" w:type="dxa"/>
            <w:noWrap/>
            <w:hideMark/>
          </w:tcPr>
          <w:p w14:paraId="421A83B2"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19</w:t>
            </w:r>
          </w:p>
        </w:tc>
        <w:tc>
          <w:tcPr>
            <w:tcW w:w="3880" w:type="dxa"/>
            <w:noWrap/>
            <w:hideMark/>
          </w:tcPr>
          <w:p w14:paraId="0E3B0A53"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Luci Ortiz Gerónimo</w:t>
            </w:r>
          </w:p>
        </w:tc>
        <w:tc>
          <w:tcPr>
            <w:tcW w:w="2740" w:type="dxa"/>
            <w:noWrap/>
            <w:hideMark/>
          </w:tcPr>
          <w:p w14:paraId="0A07D0A5"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Huella</w:t>
            </w:r>
          </w:p>
        </w:tc>
      </w:tr>
      <w:tr w:rsidR="009B02C2" w:rsidRPr="00CF2780" w14:paraId="22D69274" w14:textId="77777777" w:rsidTr="00B05F31">
        <w:trPr>
          <w:trHeight w:val="300"/>
          <w:jc w:val="center"/>
        </w:trPr>
        <w:tc>
          <w:tcPr>
            <w:tcW w:w="460" w:type="dxa"/>
            <w:noWrap/>
            <w:hideMark/>
          </w:tcPr>
          <w:p w14:paraId="5D646336"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20</w:t>
            </w:r>
          </w:p>
        </w:tc>
        <w:tc>
          <w:tcPr>
            <w:tcW w:w="3880" w:type="dxa"/>
            <w:noWrap/>
            <w:hideMark/>
          </w:tcPr>
          <w:p w14:paraId="6F3EED8C"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Isidora Fabián Leco</w:t>
            </w:r>
          </w:p>
        </w:tc>
        <w:tc>
          <w:tcPr>
            <w:tcW w:w="2740" w:type="dxa"/>
            <w:noWrap/>
            <w:hideMark/>
          </w:tcPr>
          <w:p w14:paraId="5C2C1961"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Tache</w:t>
            </w:r>
          </w:p>
        </w:tc>
      </w:tr>
      <w:tr w:rsidR="009B02C2" w:rsidRPr="00CF2780" w14:paraId="656484E9" w14:textId="77777777" w:rsidTr="00B05F31">
        <w:trPr>
          <w:trHeight w:val="300"/>
          <w:jc w:val="center"/>
        </w:trPr>
        <w:tc>
          <w:tcPr>
            <w:tcW w:w="460" w:type="dxa"/>
            <w:noWrap/>
            <w:hideMark/>
          </w:tcPr>
          <w:p w14:paraId="1CBD3B6B"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21</w:t>
            </w:r>
          </w:p>
        </w:tc>
        <w:tc>
          <w:tcPr>
            <w:tcW w:w="3880" w:type="dxa"/>
            <w:noWrap/>
            <w:hideMark/>
          </w:tcPr>
          <w:p w14:paraId="229D3218"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Ma. Lucina Ramos Morales</w:t>
            </w:r>
          </w:p>
        </w:tc>
        <w:tc>
          <w:tcPr>
            <w:tcW w:w="2740" w:type="dxa"/>
            <w:noWrap/>
            <w:hideMark/>
          </w:tcPr>
          <w:p w14:paraId="03977B5E"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Tache</w:t>
            </w:r>
          </w:p>
        </w:tc>
      </w:tr>
      <w:tr w:rsidR="009B02C2" w:rsidRPr="00CF2780" w14:paraId="76ED21D6" w14:textId="77777777" w:rsidTr="00B05F31">
        <w:trPr>
          <w:trHeight w:val="300"/>
          <w:jc w:val="center"/>
        </w:trPr>
        <w:tc>
          <w:tcPr>
            <w:tcW w:w="460" w:type="dxa"/>
            <w:noWrap/>
            <w:hideMark/>
          </w:tcPr>
          <w:p w14:paraId="5C4BCE96"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22</w:t>
            </w:r>
          </w:p>
        </w:tc>
        <w:tc>
          <w:tcPr>
            <w:tcW w:w="3880" w:type="dxa"/>
            <w:noWrap/>
            <w:hideMark/>
          </w:tcPr>
          <w:p w14:paraId="63413891"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Ma. Ysabel Salto Herrera</w:t>
            </w:r>
          </w:p>
        </w:tc>
        <w:tc>
          <w:tcPr>
            <w:tcW w:w="2740" w:type="dxa"/>
            <w:noWrap/>
            <w:hideMark/>
          </w:tcPr>
          <w:p w14:paraId="5823F7FA"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Tache</w:t>
            </w:r>
          </w:p>
        </w:tc>
      </w:tr>
      <w:tr w:rsidR="009B02C2" w:rsidRPr="00CF2780" w14:paraId="3FB1C2AE" w14:textId="77777777" w:rsidTr="00B05F31">
        <w:trPr>
          <w:trHeight w:val="300"/>
          <w:jc w:val="center"/>
        </w:trPr>
        <w:tc>
          <w:tcPr>
            <w:tcW w:w="460" w:type="dxa"/>
            <w:noWrap/>
            <w:hideMark/>
          </w:tcPr>
          <w:p w14:paraId="0237FDCA"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23</w:t>
            </w:r>
          </w:p>
        </w:tc>
        <w:tc>
          <w:tcPr>
            <w:tcW w:w="3880" w:type="dxa"/>
            <w:noWrap/>
            <w:hideMark/>
          </w:tcPr>
          <w:p w14:paraId="390FE95A"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Tomas Velázquez Guerrero</w:t>
            </w:r>
          </w:p>
        </w:tc>
        <w:tc>
          <w:tcPr>
            <w:tcW w:w="2740" w:type="dxa"/>
            <w:noWrap/>
            <w:hideMark/>
          </w:tcPr>
          <w:p w14:paraId="3277F9AA"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Tache</w:t>
            </w:r>
          </w:p>
        </w:tc>
      </w:tr>
      <w:tr w:rsidR="009B02C2" w:rsidRPr="00CF2780" w14:paraId="542C2C75" w14:textId="77777777" w:rsidTr="00B05F31">
        <w:trPr>
          <w:trHeight w:val="300"/>
          <w:jc w:val="center"/>
        </w:trPr>
        <w:tc>
          <w:tcPr>
            <w:tcW w:w="460" w:type="dxa"/>
            <w:noWrap/>
            <w:hideMark/>
          </w:tcPr>
          <w:p w14:paraId="21865179"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24</w:t>
            </w:r>
          </w:p>
        </w:tc>
        <w:tc>
          <w:tcPr>
            <w:tcW w:w="3880" w:type="dxa"/>
            <w:noWrap/>
            <w:hideMark/>
          </w:tcPr>
          <w:p w14:paraId="38F054A4"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 xml:space="preserve">Delfina Ambrocio Gembe </w:t>
            </w:r>
          </w:p>
        </w:tc>
        <w:tc>
          <w:tcPr>
            <w:tcW w:w="2740" w:type="dxa"/>
            <w:noWrap/>
            <w:hideMark/>
          </w:tcPr>
          <w:p w14:paraId="76EBEE91"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Tache</w:t>
            </w:r>
          </w:p>
        </w:tc>
      </w:tr>
      <w:tr w:rsidR="009B02C2" w:rsidRPr="00CF2780" w14:paraId="3DA11AB2" w14:textId="77777777" w:rsidTr="00B05F31">
        <w:trPr>
          <w:trHeight w:val="300"/>
          <w:jc w:val="center"/>
        </w:trPr>
        <w:tc>
          <w:tcPr>
            <w:tcW w:w="460" w:type="dxa"/>
            <w:noWrap/>
            <w:hideMark/>
          </w:tcPr>
          <w:p w14:paraId="3DB2610A"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25</w:t>
            </w:r>
          </w:p>
        </w:tc>
        <w:tc>
          <w:tcPr>
            <w:tcW w:w="3880" w:type="dxa"/>
            <w:noWrap/>
            <w:hideMark/>
          </w:tcPr>
          <w:p w14:paraId="7F41A2FB"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 xml:space="preserve">Pedro Juárez Valecia </w:t>
            </w:r>
          </w:p>
        </w:tc>
        <w:tc>
          <w:tcPr>
            <w:tcW w:w="2740" w:type="dxa"/>
            <w:noWrap/>
            <w:hideMark/>
          </w:tcPr>
          <w:p w14:paraId="14167C09"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Tache</w:t>
            </w:r>
          </w:p>
        </w:tc>
      </w:tr>
      <w:tr w:rsidR="009B02C2" w:rsidRPr="00CF2780" w14:paraId="4D843B3A" w14:textId="77777777" w:rsidTr="00B05F31">
        <w:trPr>
          <w:trHeight w:val="300"/>
          <w:jc w:val="center"/>
        </w:trPr>
        <w:tc>
          <w:tcPr>
            <w:tcW w:w="460" w:type="dxa"/>
            <w:noWrap/>
            <w:hideMark/>
          </w:tcPr>
          <w:p w14:paraId="6889E5B2"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26</w:t>
            </w:r>
          </w:p>
        </w:tc>
        <w:tc>
          <w:tcPr>
            <w:tcW w:w="3880" w:type="dxa"/>
            <w:noWrap/>
            <w:hideMark/>
          </w:tcPr>
          <w:p w14:paraId="0D3DBF00"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Juana Calixto Coronado</w:t>
            </w:r>
          </w:p>
        </w:tc>
        <w:tc>
          <w:tcPr>
            <w:tcW w:w="2740" w:type="dxa"/>
            <w:noWrap/>
            <w:hideMark/>
          </w:tcPr>
          <w:p w14:paraId="14D5149B"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Tache</w:t>
            </w:r>
          </w:p>
        </w:tc>
      </w:tr>
      <w:tr w:rsidR="009B02C2" w:rsidRPr="00CF2780" w14:paraId="5212D34A" w14:textId="77777777" w:rsidTr="00B05F31">
        <w:trPr>
          <w:trHeight w:val="300"/>
          <w:jc w:val="center"/>
        </w:trPr>
        <w:tc>
          <w:tcPr>
            <w:tcW w:w="460" w:type="dxa"/>
            <w:noWrap/>
            <w:hideMark/>
          </w:tcPr>
          <w:p w14:paraId="64E0ED65"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27</w:t>
            </w:r>
          </w:p>
        </w:tc>
        <w:tc>
          <w:tcPr>
            <w:tcW w:w="3880" w:type="dxa"/>
            <w:noWrap/>
            <w:hideMark/>
          </w:tcPr>
          <w:p w14:paraId="240026EA"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Francisca García Calixto</w:t>
            </w:r>
          </w:p>
        </w:tc>
        <w:tc>
          <w:tcPr>
            <w:tcW w:w="2740" w:type="dxa"/>
            <w:noWrap/>
            <w:hideMark/>
          </w:tcPr>
          <w:p w14:paraId="34E1B613"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Tache</w:t>
            </w:r>
          </w:p>
        </w:tc>
      </w:tr>
      <w:tr w:rsidR="009B02C2" w:rsidRPr="00CF2780" w14:paraId="5BC9C65C" w14:textId="77777777" w:rsidTr="00B05F31">
        <w:trPr>
          <w:trHeight w:val="300"/>
          <w:jc w:val="center"/>
        </w:trPr>
        <w:tc>
          <w:tcPr>
            <w:tcW w:w="460" w:type="dxa"/>
            <w:noWrap/>
            <w:hideMark/>
          </w:tcPr>
          <w:p w14:paraId="3740964D"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28</w:t>
            </w:r>
          </w:p>
        </w:tc>
        <w:tc>
          <w:tcPr>
            <w:tcW w:w="3880" w:type="dxa"/>
            <w:noWrap/>
            <w:hideMark/>
          </w:tcPr>
          <w:p w14:paraId="43D2C856"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Ramiro Ramos Morales</w:t>
            </w:r>
          </w:p>
        </w:tc>
        <w:tc>
          <w:tcPr>
            <w:tcW w:w="2740" w:type="dxa"/>
            <w:noWrap/>
            <w:hideMark/>
          </w:tcPr>
          <w:p w14:paraId="085C6635"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Tache</w:t>
            </w:r>
          </w:p>
        </w:tc>
      </w:tr>
      <w:tr w:rsidR="009B02C2" w:rsidRPr="00CF2780" w14:paraId="3C64E10B" w14:textId="77777777" w:rsidTr="00B05F31">
        <w:trPr>
          <w:trHeight w:val="300"/>
          <w:jc w:val="center"/>
        </w:trPr>
        <w:tc>
          <w:tcPr>
            <w:tcW w:w="460" w:type="dxa"/>
            <w:noWrap/>
            <w:hideMark/>
          </w:tcPr>
          <w:p w14:paraId="66CB9FB8"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29</w:t>
            </w:r>
          </w:p>
        </w:tc>
        <w:tc>
          <w:tcPr>
            <w:tcW w:w="3880" w:type="dxa"/>
            <w:noWrap/>
            <w:hideMark/>
          </w:tcPr>
          <w:p w14:paraId="2CBB500E"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Onorina Ramos García</w:t>
            </w:r>
          </w:p>
        </w:tc>
        <w:tc>
          <w:tcPr>
            <w:tcW w:w="2740" w:type="dxa"/>
            <w:noWrap/>
            <w:hideMark/>
          </w:tcPr>
          <w:p w14:paraId="28FAE661"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Tache</w:t>
            </w:r>
          </w:p>
        </w:tc>
      </w:tr>
      <w:tr w:rsidR="009B02C2" w:rsidRPr="00CF2780" w14:paraId="0DC82310" w14:textId="77777777" w:rsidTr="00B05F31">
        <w:trPr>
          <w:trHeight w:val="300"/>
          <w:jc w:val="center"/>
        </w:trPr>
        <w:tc>
          <w:tcPr>
            <w:tcW w:w="460" w:type="dxa"/>
            <w:noWrap/>
            <w:hideMark/>
          </w:tcPr>
          <w:p w14:paraId="051A399E"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30</w:t>
            </w:r>
          </w:p>
        </w:tc>
        <w:tc>
          <w:tcPr>
            <w:tcW w:w="3880" w:type="dxa"/>
            <w:noWrap/>
            <w:hideMark/>
          </w:tcPr>
          <w:p w14:paraId="5A2114F9"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Berta Velázquez Guerrero</w:t>
            </w:r>
          </w:p>
        </w:tc>
        <w:tc>
          <w:tcPr>
            <w:tcW w:w="2740" w:type="dxa"/>
            <w:noWrap/>
            <w:hideMark/>
          </w:tcPr>
          <w:p w14:paraId="422E8599"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Tache</w:t>
            </w:r>
          </w:p>
        </w:tc>
      </w:tr>
      <w:tr w:rsidR="009B02C2" w:rsidRPr="00CF2780" w14:paraId="733B2944" w14:textId="77777777" w:rsidTr="00B05F31">
        <w:trPr>
          <w:trHeight w:val="300"/>
          <w:jc w:val="center"/>
        </w:trPr>
        <w:tc>
          <w:tcPr>
            <w:tcW w:w="460" w:type="dxa"/>
            <w:noWrap/>
            <w:hideMark/>
          </w:tcPr>
          <w:p w14:paraId="51F5E68B"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31</w:t>
            </w:r>
          </w:p>
        </w:tc>
        <w:tc>
          <w:tcPr>
            <w:tcW w:w="3880" w:type="dxa"/>
            <w:noWrap/>
            <w:hideMark/>
          </w:tcPr>
          <w:p w14:paraId="619A3225"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Ofelia García Calixto</w:t>
            </w:r>
          </w:p>
        </w:tc>
        <w:tc>
          <w:tcPr>
            <w:tcW w:w="2740" w:type="dxa"/>
            <w:noWrap/>
            <w:hideMark/>
          </w:tcPr>
          <w:p w14:paraId="73829280"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Tache</w:t>
            </w:r>
          </w:p>
        </w:tc>
      </w:tr>
      <w:tr w:rsidR="009B02C2" w:rsidRPr="00CF2780" w14:paraId="742371BA" w14:textId="77777777" w:rsidTr="00B05F31">
        <w:trPr>
          <w:trHeight w:val="300"/>
          <w:jc w:val="center"/>
        </w:trPr>
        <w:tc>
          <w:tcPr>
            <w:tcW w:w="460" w:type="dxa"/>
            <w:noWrap/>
            <w:hideMark/>
          </w:tcPr>
          <w:p w14:paraId="3FAAFDC7"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32</w:t>
            </w:r>
          </w:p>
        </w:tc>
        <w:tc>
          <w:tcPr>
            <w:tcW w:w="3880" w:type="dxa"/>
            <w:noWrap/>
            <w:hideMark/>
          </w:tcPr>
          <w:p w14:paraId="1DD6A0AC"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García Calixto Francisca</w:t>
            </w:r>
          </w:p>
        </w:tc>
        <w:tc>
          <w:tcPr>
            <w:tcW w:w="2740" w:type="dxa"/>
            <w:noWrap/>
            <w:hideMark/>
          </w:tcPr>
          <w:p w14:paraId="4DDEB71B"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Tache</w:t>
            </w:r>
          </w:p>
        </w:tc>
      </w:tr>
      <w:tr w:rsidR="009B02C2" w:rsidRPr="00CF2780" w14:paraId="68A5A422" w14:textId="77777777" w:rsidTr="00B05F31">
        <w:trPr>
          <w:trHeight w:val="300"/>
          <w:jc w:val="center"/>
        </w:trPr>
        <w:tc>
          <w:tcPr>
            <w:tcW w:w="460" w:type="dxa"/>
            <w:noWrap/>
            <w:hideMark/>
          </w:tcPr>
          <w:p w14:paraId="0ECEF47E"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33</w:t>
            </w:r>
          </w:p>
        </w:tc>
        <w:tc>
          <w:tcPr>
            <w:tcW w:w="3880" w:type="dxa"/>
            <w:noWrap/>
            <w:hideMark/>
          </w:tcPr>
          <w:p w14:paraId="34864C6F"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Calistro Coronado Juana</w:t>
            </w:r>
          </w:p>
        </w:tc>
        <w:tc>
          <w:tcPr>
            <w:tcW w:w="2740" w:type="dxa"/>
            <w:noWrap/>
            <w:hideMark/>
          </w:tcPr>
          <w:p w14:paraId="1F2EFCD1"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Tache</w:t>
            </w:r>
          </w:p>
        </w:tc>
      </w:tr>
      <w:tr w:rsidR="009B02C2" w:rsidRPr="00CF2780" w14:paraId="2E72C730" w14:textId="77777777" w:rsidTr="00B05F31">
        <w:trPr>
          <w:trHeight w:val="300"/>
          <w:jc w:val="center"/>
        </w:trPr>
        <w:tc>
          <w:tcPr>
            <w:tcW w:w="460" w:type="dxa"/>
            <w:noWrap/>
            <w:hideMark/>
          </w:tcPr>
          <w:p w14:paraId="35968DC2"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34</w:t>
            </w:r>
          </w:p>
        </w:tc>
        <w:tc>
          <w:tcPr>
            <w:tcW w:w="3880" w:type="dxa"/>
            <w:noWrap/>
            <w:hideMark/>
          </w:tcPr>
          <w:p w14:paraId="6BC92A69"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Eudolia</w:t>
            </w:r>
          </w:p>
        </w:tc>
        <w:tc>
          <w:tcPr>
            <w:tcW w:w="2740" w:type="dxa"/>
            <w:noWrap/>
            <w:hideMark/>
          </w:tcPr>
          <w:p w14:paraId="1F6CDD4E"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Tache</w:t>
            </w:r>
          </w:p>
        </w:tc>
      </w:tr>
      <w:tr w:rsidR="009B02C2" w:rsidRPr="00CF2780" w14:paraId="4EA33665" w14:textId="77777777" w:rsidTr="00B05F31">
        <w:trPr>
          <w:trHeight w:val="300"/>
          <w:jc w:val="center"/>
        </w:trPr>
        <w:tc>
          <w:tcPr>
            <w:tcW w:w="460" w:type="dxa"/>
            <w:noWrap/>
            <w:hideMark/>
          </w:tcPr>
          <w:p w14:paraId="04504BB7"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35</w:t>
            </w:r>
          </w:p>
        </w:tc>
        <w:tc>
          <w:tcPr>
            <w:tcW w:w="3880" w:type="dxa"/>
            <w:noWrap/>
            <w:hideMark/>
          </w:tcPr>
          <w:p w14:paraId="177565B4"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 xml:space="preserve">Florencia Rafael Campos </w:t>
            </w:r>
          </w:p>
        </w:tc>
        <w:tc>
          <w:tcPr>
            <w:tcW w:w="2740" w:type="dxa"/>
            <w:noWrap/>
            <w:hideMark/>
          </w:tcPr>
          <w:p w14:paraId="0DCB630A"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Tache</w:t>
            </w:r>
          </w:p>
        </w:tc>
      </w:tr>
      <w:tr w:rsidR="009B02C2" w:rsidRPr="00CF2780" w14:paraId="2A04EC13" w14:textId="77777777" w:rsidTr="00B05F31">
        <w:trPr>
          <w:trHeight w:val="300"/>
          <w:jc w:val="center"/>
        </w:trPr>
        <w:tc>
          <w:tcPr>
            <w:tcW w:w="460" w:type="dxa"/>
            <w:noWrap/>
            <w:hideMark/>
          </w:tcPr>
          <w:p w14:paraId="666AB0A2"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36</w:t>
            </w:r>
          </w:p>
        </w:tc>
        <w:tc>
          <w:tcPr>
            <w:tcW w:w="3880" w:type="dxa"/>
            <w:noWrap/>
            <w:hideMark/>
          </w:tcPr>
          <w:p w14:paraId="26071EEE"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Ma. De Jesús Huerta Juárez</w:t>
            </w:r>
          </w:p>
        </w:tc>
        <w:tc>
          <w:tcPr>
            <w:tcW w:w="2740" w:type="dxa"/>
            <w:noWrap/>
            <w:hideMark/>
          </w:tcPr>
          <w:p w14:paraId="7A3A4F66"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Tache</w:t>
            </w:r>
          </w:p>
        </w:tc>
      </w:tr>
      <w:tr w:rsidR="009B02C2" w:rsidRPr="00CF2780" w14:paraId="34BB6728" w14:textId="77777777" w:rsidTr="00B05F31">
        <w:trPr>
          <w:trHeight w:val="300"/>
          <w:jc w:val="center"/>
        </w:trPr>
        <w:tc>
          <w:tcPr>
            <w:tcW w:w="460" w:type="dxa"/>
            <w:noWrap/>
            <w:hideMark/>
          </w:tcPr>
          <w:p w14:paraId="19E15DA9"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37</w:t>
            </w:r>
          </w:p>
        </w:tc>
        <w:tc>
          <w:tcPr>
            <w:tcW w:w="3880" w:type="dxa"/>
            <w:noWrap/>
            <w:hideMark/>
          </w:tcPr>
          <w:p w14:paraId="75D2DE2E"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Fidelina Tehandón Cucue</w:t>
            </w:r>
          </w:p>
        </w:tc>
        <w:tc>
          <w:tcPr>
            <w:tcW w:w="2740" w:type="dxa"/>
            <w:noWrap/>
            <w:hideMark/>
          </w:tcPr>
          <w:p w14:paraId="35A276FC"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Tache</w:t>
            </w:r>
          </w:p>
        </w:tc>
      </w:tr>
      <w:tr w:rsidR="009B02C2" w:rsidRPr="00CF2780" w14:paraId="0445B9E6" w14:textId="77777777" w:rsidTr="00B05F31">
        <w:trPr>
          <w:trHeight w:val="300"/>
          <w:jc w:val="center"/>
        </w:trPr>
        <w:tc>
          <w:tcPr>
            <w:tcW w:w="460" w:type="dxa"/>
            <w:noWrap/>
            <w:hideMark/>
          </w:tcPr>
          <w:p w14:paraId="1471398F"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38</w:t>
            </w:r>
          </w:p>
        </w:tc>
        <w:tc>
          <w:tcPr>
            <w:tcW w:w="3880" w:type="dxa"/>
            <w:noWrap/>
            <w:hideMark/>
          </w:tcPr>
          <w:p w14:paraId="56B9D620"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 xml:space="preserve">Francisco Macias Lemus </w:t>
            </w:r>
          </w:p>
        </w:tc>
        <w:tc>
          <w:tcPr>
            <w:tcW w:w="2740" w:type="dxa"/>
            <w:noWrap/>
            <w:hideMark/>
          </w:tcPr>
          <w:p w14:paraId="325865CA"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Tache</w:t>
            </w:r>
          </w:p>
        </w:tc>
      </w:tr>
      <w:tr w:rsidR="009B02C2" w:rsidRPr="00CF2780" w14:paraId="787F9F46" w14:textId="77777777" w:rsidTr="00B05F31">
        <w:trPr>
          <w:trHeight w:val="300"/>
          <w:jc w:val="center"/>
        </w:trPr>
        <w:tc>
          <w:tcPr>
            <w:tcW w:w="460" w:type="dxa"/>
            <w:noWrap/>
            <w:hideMark/>
          </w:tcPr>
          <w:p w14:paraId="01F952EC"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39</w:t>
            </w:r>
          </w:p>
        </w:tc>
        <w:tc>
          <w:tcPr>
            <w:tcW w:w="3880" w:type="dxa"/>
            <w:noWrap/>
            <w:hideMark/>
          </w:tcPr>
          <w:p w14:paraId="54EEDB36"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 xml:space="preserve">Ma. Nieves Sebastián Gembe </w:t>
            </w:r>
          </w:p>
        </w:tc>
        <w:tc>
          <w:tcPr>
            <w:tcW w:w="2740" w:type="dxa"/>
            <w:noWrap/>
            <w:hideMark/>
          </w:tcPr>
          <w:p w14:paraId="6A5C784A"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Tache</w:t>
            </w:r>
          </w:p>
        </w:tc>
      </w:tr>
      <w:tr w:rsidR="009B02C2" w:rsidRPr="00CF2780" w14:paraId="557900B1" w14:textId="77777777" w:rsidTr="00B05F31">
        <w:trPr>
          <w:trHeight w:val="300"/>
          <w:jc w:val="center"/>
        </w:trPr>
        <w:tc>
          <w:tcPr>
            <w:tcW w:w="460" w:type="dxa"/>
            <w:noWrap/>
            <w:hideMark/>
          </w:tcPr>
          <w:p w14:paraId="530E2BF3"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40</w:t>
            </w:r>
          </w:p>
        </w:tc>
        <w:tc>
          <w:tcPr>
            <w:tcW w:w="3880" w:type="dxa"/>
            <w:noWrap/>
            <w:hideMark/>
          </w:tcPr>
          <w:p w14:paraId="61B8FC4A"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 xml:space="preserve">Leobardo Sánchez Sánchez </w:t>
            </w:r>
          </w:p>
        </w:tc>
        <w:tc>
          <w:tcPr>
            <w:tcW w:w="2740" w:type="dxa"/>
            <w:noWrap/>
            <w:hideMark/>
          </w:tcPr>
          <w:p w14:paraId="10B39C1F"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Tache</w:t>
            </w:r>
          </w:p>
        </w:tc>
      </w:tr>
      <w:tr w:rsidR="009B02C2" w:rsidRPr="00CF2780" w14:paraId="613BCA12" w14:textId="77777777" w:rsidTr="00B05F31">
        <w:trPr>
          <w:trHeight w:val="300"/>
          <w:jc w:val="center"/>
        </w:trPr>
        <w:tc>
          <w:tcPr>
            <w:tcW w:w="460" w:type="dxa"/>
            <w:noWrap/>
            <w:hideMark/>
          </w:tcPr>
          <w:p w14:paraId="1E1C5F51"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41</w:t>
            </w:r>
          </w:p>
        </w:tc>
        <w:tc>
          <w:tcPr>
            <w:tcW w:w="3880" w:type="dxa"/>
            <w:noWrap/>
            <w:hideMark/>
          </w:tcPr>
          <w:p w14:paraId="4181782C"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 xml:space="preserve">Sebastián Guerrero Velázquez </w:t>
            </w:r>
          </w:p>
        </w:tc>
        <w:tc>
          <w:tcPr>
            <w:tcW w:w="2740" w:type="dxa"/>
            <w:noWrap/>
            <w:hideMark/>
          </w:tcPr>
          <w:p w14:paraId="1EEC1058"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Tache</w:t>
            </w:r>
          </w:p>
        </w:tc>
      </w:tr>
      <w:tr w:rsidR="009B02C2" w:rsidRPr="00CF2780" w14:paraId="3042BE5B" w14:textId="77777777" w:rsidTr="00B05F31">
        <w:trPr>
          <w:trHeight w:val="300"/>
          <w:jc w:val="center"/>
        </w:trPr>
        <w:tc>
          <w:tcPr>
            <w:tcW w:w="460" w:type="dxa"/>
            <w:noWrap/>
            <w:hideMark/>
          </w:tcPr>
          <w:p w14:paraId="4DC40707"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42</w:t>
            </w:r>
          </w:p>
        </w:tc>
        <w:tc>
          <w:tcPr>
            <w:tcW w:w="3880" w:type="dxa"/>
            <w:noWrap/>
            <w:hideMark/>
          </w:tcPr>
          <w:p w14:paraId="744E865C"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 xml:space="preserve">Jesús Enriquez Charicata </w:t>
            </w:r>
          </w:p>
        </w:tc>
        <w:tc>
          <w:tcPr>
            <w:tcW w:w="2740" w:type="dxa"/>
            <w:noWrap/>
            <w:hideMark/>
          </w:tcPr>
          <w:p w14:paraId="03856A11"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Tache</w:t>
            </w:r>
          </w:p>
        </w:tc>
      </w:tr>
      <w:tr w:rsidR="009B02C2" w:rsidRPr="00CF2780" w14:paraId="6F7994CD" w14:textId="77777777" w:rsidTr="00B05F31">
        <w:trPr>
          <w:trHeight w:val="300"/>
          <w:jc w:val="center"/>
        </w:trPr>
        <w:tc>
          <w:tcPr>
            <w:tcW w:w="460" w:type="dxa"/>
            <w:noWrap/>
            <w:hideMark/>
          </w:tcPr>
          <w:p w14:paraId="0B8D7B09"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43</w:t>
            </w:r>
          </w:p>
        </w:tc>
        <w:tc>
          <w:tcPr>
            <w:tcW w:w="3880" w:type="dxa"/>
            <w:noWrap/>
            <w:hideMark/>
          </w:tcPr>
          <w:p w14:paraId="4DB5B0CE"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 xml:space="preserve">Francisca Huerta Gembe </w:t>
            </w:r>
          </w:p>
        </w:tc>
        <w:tc>
          <w:tcPr>
            <w:tcW w:w="2740" w:type="dxa"/>
            <w:noWrap/>
            <w:hideMark/>
          </w:tcPr>
          <w:p w14:paraId="4E4CB2F1"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Tache</w:t>
            </w:r>
          </w:p>
        </w:tc>
      </w:tr>
    </w:tbl>
    <w:p w14:paraId="264E60BB" w14:textId="77777777" w:rsidR="009B02C2" w:rsidRPr="00CF2780" w:rsidRDefault="009B02C2" w:rsidP="009B02C2">
      <w:pPr>
        <w:spacing w:after="0" w:line="360" w:lineRule="auto"/>
        <w:jc w:val="both"/>
        <w:rPr>
          <w:rFonts w:ascii="Arial" w:eastAsia="Times New Roman" w:hAnsi="Arial" w:cs="Arial"/>
          <w:sz w:val="28"/>
          <w:szCs w:val="24"/>
          <w:lang w:val="es-ES" w:eastAsia="es-ES"/>
        </w:rPr>
      </w:pPr>
    </w:p>
    <w:p w14:paraId="27E19AE9" w14:textId="77777777" w:rsidR="009B02C2" w:rsidRPr="00CF2780" w:rsidRDefault="009B02C2" w:rsidP="009B02C2">
      <w:pPr>
        <w:spacing w:after="0" w:line="360" w:lineRule="auto"/>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 xml:space="preserve">Lo anterior, en virtud de que ha sido criterio de este órgano jurisdiccional que tratándose de integrantes de pueblos y comunidades indígenas, las normas procesales, especialmente aquellas que imponen determinadas cargas, deben interpretarse de la forma que les resulte más favorable, pues el artículo 2o, apartado A, fracción VIII, de la Constitución Política </w:t>
      </w:r>
      <w:r w:rsidRPr="00CF2780">
        <w:rPr>
          <w:rFonts w:ascii="Arial" w:eastAsia="Times New Roman" w:hAnsi="Arial" w:cs="Arial"/>
          <w:sz w:val="28"/>
          <w:szCs w:val="24"/>
          <w:lang w:val="es-ES" w:eastAsia="es-ES"/>
        </w:rPr>
        <w:lastRenderedPageBreak/>
        <w:t>de los Estados Unidos Mexicanos garantiza a los pueblos indígenas, el efectivo acceso a la jurisdicción del Estado, para lo cual el juzgador debe atender primordialmente a la necesidad de establecer protecciones jurídicas especiales en favor de las comunidades indígenas y de los sujetos que las conforman, por sus particulares condiciones de desigualdad, facilitándoles el acceso a la tutela judicial para que ésta sea efectiva.</w:t>
      </w:r>
    </w:p>
    <w:p w14:paraId="1500A03C" w14:textId="77777777" w:rsidR="009B02C2" w:rsidRPr="00CF2780" w:rsidRDefault="009B02C2" w:rsidP="009B02C2">
      <w:pPr>
        <w:spacing w:after="0" w:line="360" w:lineRule="auto"/>
        <w:ind w:firstLine="709"/>
        <w:jc w:val="both"/>
        <w:rPr>
          <w:rFonts w:ascii="Arial" w:eastAsia="Times New Roman" w:hAnsi="Arial" w:cs="Arial"/>
          <w:sz w:val="28"/>
          <w:szCs w:val="24"/>
          <w:lang w:val="es-ES" w:eastAsia="es-ES"/>
        </w:rPr>
      </w:pPr>
    </w:p>
    <w:p w14:paraId="540FCB21" w14:textId="77777777" w:rsidR="009B02C2" w:rsidRPr="00CF2780" w:rsidRDefault="009B02C2" w:rsidP="009B02C2">
      <w:pPr>
        <w:spacing w:after="0" w:line="360" w:lineRule="auto"/>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Dicho criterio se encuentra contenido en la tesis XLVII/2002</w:t>
      </w:r>
      <w:r w:rsidRPr="00CF2780">
        <w:rPr>
          <w:rFonts w:ascii="Arial" w:eastAsia="Times New Roman" w:hAnsi="Arial" w:cs="Arial"/>
          <w:sz w:val="28"/>
          <w:szCs w:val="28"/>
          <w:lang w:val="es-ES" w:eastAsia="es-ES"/>
        </w:rPr>
        <w:t xml:space="preserve"> visible en las páginas 1536 y 1537 de la </w:t>
      </w:r>
      <w:r w:rsidRPr="00CF2780">
        <w:rPr>
          <w:rFonts w:ascii="Arial" w:eastAsia="Times New Roman" w:hAnsi="Arial" w:cs="Arial"/>
          <w:i/>
          <w:sz w:val="28"/>
          <w:szCs w:val="28"/>
          <w:lang w:val="es-ES" w:eastAsia="es-ES"/>
        </w:rPr>
        <w:t>Compilación 1997-2010: Jurisprudencia y tesis en materia electoral</w:t>
      </w:r>
      <w:r w:rsidRPr="00CF2780">
        <w:rPr>
          <w:rFonts w:ascii="Arial" w:eastAsia="Times New Roman" w:hAnsi="Arial" w:cs="Arial"/>
          <w:sz w:val="28"/>
          <w:szCs w:val="28"/>
          <w:lang w:val="es-ES" w:eastAsia="es-ES"/>
        </w:rPr>
        <w:t xml:space="preserve">, tomo II Tesis, volumen 2, publicada por el Tribunal </w:t>
      </w:r>
      <w:r w:rsidRPr="00CF2780">
        <w:rPr>
          <w:rFonts w:ascii="Arial" w:eastAsia="Times New Roman" w:hAnsi="Arial" w:cs="Arial"/>
          <w:sz w:val="28"/>
          <w:szCs w:val="24"/>
          <w:lang w:val="es-ES" w:eastAsia="es-ES"/>
        </w:rPr>
        <w:t>Electoral del Poder Judicial de la Federación, cuyo rubro es: “</w:t>
      </w:r>
      <w:hyperlink r:id="rId22" w:anchor="XLVII/2002_" w:history="1">
        <w:r w:rsidRPr="00CF2780">
          <w:rPr>
            <w:rFonts w:ascii="Arial" w:eastAsia="Times New Roman" w:hAnsi="Arial" w:cs="Arial"/>
            <w:b/>
            <w:sz w:val="28"/>
            <w:szCs w:val="24"/>
            <w:lang w:val="es-ES" w:eastAsia="es-ES"/>
          </w:rPr>
          <w:t>PUEBLOS Y COMUNIDADES INDÍGENAS. LA INTERPRETACIÓN DE LAS NORMAS PROCESALES DEBE HACERSE DE LA FORMA QUE LES SEA MÁS FAVORABLE</w:t>
        </w:r>
      </w:hyperlink>
      <w:r w:rsidRPr="00CF2780">
        <w:rPr>
          <w:rFonts w:ascii="Arial" w:eastAsia="Times New Roman" w:hAnsi="Arial" w:cs="Arial"/>
          <w:sz w:val="28"/>
          <w:szCs w:val="24"/>
          <w:lang w:val="es-ES" w:eastAsia="es-ES"/>
        </w:rPr>
        <w:t>”.</w:t>
      </w:r>
    </w:p>
    <w:p w14:paraId="7CF086B4" w14:textId="77777777" w:rsidR="009B02C2" w:rsidRPr="00CF2780" w:rsidRDefault="009B02C2" w:rsidP="009B02C2">
      <w:pPr>
        <w:spacing w:after="0" w:line="360" w:lineRule="auto"/>
        <w:jc w:val="both"/>
        <w:rPr>
          <w:rFonts w:ascii="Arial" w:eastAsia="Times New Roman" w:hAnsi="Arial" w:cs="Arial"/>
          <w:sz w:val="28"/>
          <w:szCs w:val="24"/>
          <w:lang w:val="es-ES" w:eastAsia="es-ES"/>
        </w:rPr>
      </w:pPr>
    </w:p>
    <w:p w14:paraId="326C9FCD" w14:textId="77777777" w:rsidR="009B02C2" w:rsidRPr="00CF2780" w:rsidRDefault="009B02C2" w:rsidP="009B02C2">
      <w:pPr>
        <w:spacing w:after="0" w:line="360" w:lineRule="auto"/>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En cuanto a otros siete ciudadanos, se advierte que el espacio correspondiente a la firma se encuentra en blanco, y que la impresión respectiva que atañe al nombre no es autógrafa, sino mecánica, además de que no existe signo o huella que manifieste la voluntad de los promoventes de suscribir el documento. En consecuencia, este órgano jurisdiccional considera que en relación con esos siete nombres impresos en la demanda, en realidad no hay  la manifestación de la voluntad de alguien para promover, por lo que no existe en términos  de lo dispuesto por el artículo 9, párrafo 3, de la Ley General del Sistema de Medios de Impugnación en Materia Electoral. Dichos ciudadanos son los que se enlistan a continuación:</w:t>
      </w:r>
    </w:p>
    <w:p w14:paraId="0C3B516B" w14:textId="77777777" w:rsidR="009B02C2" w:rsidRPr="00CF2780" w:rsidRDefault="009B02C2" w:rsidP="009B02C2">
      <w:pPr>
        <w:spacing w:after="0" w:line="360" w:lineRule="auto"/>
        <w:jc w:val="both"/>
        <w:rPr>
          <w:rFonts w:ascii="Arial" w:eastAsia="Times New Roman" w:hAnsi="Arial" w:cs="Arial"/>
          <w:sz w:val="28"/>
          <w:szCs w:val="24"/>
          <w:lang w:val="es-ES" w:eastAsia="es-ES"/>
        </w:rPr>
      </w:pPr>
    </w:p>
    <w:tbl>
      <w:tblPr>
        <w:tblW w:w="7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3880"/>
        <w:gridCol w:w="2740"/>
      </w:tblGrid>
      <w:tr w:rsidR="009B02C2" w:rsidRPr="00CF2780" w14:paraId="756C65D2" w14:textId="77777777" w:rsidTr="00B05F31">
        <w:trPr>
          <w:trHeight w:val="300"/>
          <w:jc w:val="center"/>
        </w:trPr>
        <w:tc>
          <w:tcPr>
            <w:tcW w:w="460" w:type="dxa"/>
            <w:noWrap/>
            <w:hideMark/>
          </w:tcPr>
          <w:p w14:paraId="5AAF3675" w14:textId="77777777" w:rsidR="009B02C2" w:rsidRPr="00CF2780" w:rsidRDefault="009B02C2" w:rsidP="009B02C2">
            <w:pPr>
              <w:spacing w:after="0" w:line="240" w:lineRule="auto"/>
              <w:jc w:val="center"/>
              <w:rPr>
                <w:rFonts w:ascii="Arial" w:eastAsia="Times New Roman" w:hAnsi="Arial" w:cs="Arial"/>
                <w:b/>
                <w:color w:val="000000"/>
                <w:sz w:val="24"/>
                <w:szCs w:val="24"/>
                <w:lang w:val="es-ES" w:eastAsia="es-MX"/>
              </w:rPr>
            </w:pPr>
            <w:r w:rsidRPr="00CF2780">
              <w:rPr>
                <w:rFonts w:ascii="Arial" w:eastAsia="Times New Roman" w:hAnsi="Arial" w:cs="Arial"/>
                <w:b/>
                <w:color w:val="000000"/>
                <w:sz w:val="24"/>
                <w:szCs w:val="24"/>
                <w:lang w:val="es-ES" w:eastAsia="es-MX"/>
              </w:rPr>
              <w:t>No.</w:t>
            </w:r>
          </w:p>
        </w:tc>
        <w:tc>
          <w:tcPr>
            <w:tcW w:w="3880" w:type="dxa"/>
            <w:noWrap/>
            <w:hideMark/>
          </w:tcPr>
          <w:p w14:paraId="0EC91660" w14:textId="77777777" w:rsidR="009B02C2" w:rsidRPr="00CF2780" w:rsidRDefault="009B02C2" w:rsidP="009B02C2">
            <w:pPr>
              <w:spacing w:after="0" w:line="240" w:lineRule="auto"/>
              <w:jc w:val="center"/>
              <w:rPr>
                <w:rFonts w:ascii="Arial" w:eastAsia="Times New Roman" w:hAnsi="Arial" w:cs="Arial"/>
                <w:b/>
                <w:color w:val="000000"/>
                <w:sz w:val="24"/>
                <w:szCs w:val="24"/>
                <w:lang w:val="es-ES" w:eastAsia="es-MX"/>
              </w:rPr>
            </w:pPr>
            <w:r w:rsidRPr="00CF2780">
              <w:rPr>
                <w:rFonts w:ascii="Arial" w:eastAsia="Times New Roman" w:hAnsi="Arial" w:cs="Arial"/>
                <w:b/>
                <w:color w:val="000000"/>
                <w:sz w:val="24"/>
                <w:szCs w:val="24"/>
                <w:lang w:val="es-ES" w:eastAsia="es-MX"/>
              </w:rPr>
              <w:t>Nombre</w:t>
            </w:r>
          </w:p>
        </w:tc>
        <w:tc>
          <w:tcPr>
            <w:tcW w:w="2740" w:type="dxa"/>
            <w:noWrap/>
            <w:hideMark/>
          </w:tcPr>
          <w:p w14:paraId="536C1B9E" w14:textId="77777777" w:rsidR="009B02C2" w:rsidRPr="00CF2780" w:rsidRDefault="009B02C2" w:rsidP="009B02C2">
            <w:pPr>
              <w:spacing w:after="0" w:line="240" w:lineRule="auto"/>
              <w:jc w:val="center"/>
              <w:rPr>
                <w:rFonts w:ascii="Arial" w:eastAsia="Times New Roman" w:hAnsi="Arial" w:cs="Arial"/>
                <w:b/>
                <w:color w:val="000000"/>
                <w:sz w:val="24"/>
                <w:szCs w:val="24"/>
                <w:lang w:val="es-ES" w:eastAsia="es-MX"/>
              </w:rPr>
            </w:pPr>
            <w:r w:rsidRPr="00CF2780">
              <w:rPr>
                <w:rFonts w:ascii="Arial" w:eastAsia="Times New Roman" w:hAnsi="Arial" w:cs="Arial"/>
                <w:b/>
                <w:color w:val="000000"/>
                <w:sz w:val="24"/>
                <w:szCs w:val="24"/>
                <w:lang w:val="es-ES" w:eastAsia="es-MX"/>
              </w:rPr>
              <w:t>Firma</w:t>
            </w:r>
          </w:p>
        </w:tc>
      </w:tr>
      <w:tr w:rsidR="009B02C2" w:rsidRPr="00CF2780" w14:paraId="71D51207" w14:textId="77777777" w:rsidTr="00B05F31">
        <w:trPr>
          <w:trHeight w:val="300"/>
          <w:jc w:val="center"/>
        </w:trPr>
        <w:tc>
          <w:tcPr>
            <w:tcW w:w="460" w:type="dxa"/>
            <w:noWrap/>
            <w:hideMark/>
          </w:tcPr>
          <w:p w14:paraId="5A8B18EE"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1</w:t>
            </w:r>
          </w:p>
        </w:tc>
        <w:tc>
          <w:tcPr>
            <w:tcW w:w="3880" w:type="dxa"/>
            <w:noWrap/>
            <w:hideMark/>
          </w:tcPr>
          <w:p w14:paraId="2548552E"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Ángel Quereapa Flores</w:t>
            </w:r>
          </w:p>
        </w:tc>
        <w:tc>
          <w:tcPr>
            <w:tcW w:w="2740" w:type="dxa"/>
            <w:noWrap/>
            <w:hideMark/>
          </w:tcPr>
          <w:p w14:paraId="62F87CB5"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Sin firma</w:t>
            </w:r>
          </w:p>
        </w:tc>
      </w:tr>
      <w:tr w:rsidR="009B02C2" w:rsidRPr="00CF2780" w14:paraId="4FC9AF0B" w14:textId="77777777" w:rsidTr="00B05F31">
        <w:trPr>
          <w:trHeight w:val="300"/>
          <w:jc w:val="center"/>
        </w:trPr>
        <w:tc>
          <w:tcPr>
            <w:tcW w:w="460" w:type="dxa"/>
            <w:noWrap/>
            <w:hideMark/>
          </w:tcPr>
          <w:p w14:paraId="1621946D"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2</w:t>
            </w:r>
          </w:p>
        </w:tc>
        <w:tc>
          <w:tcPr>
            <w:tcW w:w="3880" w:type="dxa"/>
            <w:noWrap/>
            <w:hideMark/>
          </w:tcPr>
          <w:p w14:paraId="2147D312"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Adelaida González Tomas</w:t>
            </w:r>
          </w:p>
        </w:tc>
        <w:tc>
          <w:tcPr>
            <w:tcW w:w="2740" w:type="dxa"/>
            <w:noWrap/>
            <w:hideMark/>
          </w:tcPr>
          <w:p w14:paraId="5B79193A"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Sin firma</w:t>
            </w:r>
          </w:p>
        </w:tc>
      </w:tr>
      <w:tr w:rsidR="009B02C2" w:rsidRPr="00CF2780" w14:paraId="67D08B75" w14:textId="77777777" w:rsidTr="00B05F31">
        <w:trPr>
          <w:trHeight w:val="300"/>
          <w:jc w:val="center"/>
        </w:trPr>
        <w:tc>
          <w:tcPr>
            <w:tcW w:w="460" w:type="dxa"/>
            <w:noWrap/>
            <w:hideMark/>
          </w:tcPr>
          <w:p w14:paraId="074D2532"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3</w:t>
            </w:r>
          </w:p>
        </w:tc>
        <w:tc>
          <w:tcPr>
            <w:tcW w:w="3880" w:type="dxa"/>
            <w:noWrap/>
            <w:hideMark/>
          </w:tcPr>
          <w:p w14:paraId="3598ADBB"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Pascual Romero Sánchez</w:t>
            </w:r>
          </w:p>
        </w:tc>
        <w:tc>
          <w:tcPr>
            <w:tcW w:w="2740" w:type="dxa"/>
            <w:noWrap/>
            <w:hideMark/>
          </w:tcPr>
          <w:p w14:paraId="3D4DAC1C"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Sin firma</w:t>
            </w:r>
          </w:p>
        </w:tc>
      </w:tr>
      <w:tr w:rsidR="009B02C2" w:rsidRPr="00CF2780" w14:paraId="4313411F" w14:textId="77777777" w:rsidTr="00B05F31">
        <w:trPr>
          <w:trHeight w:val="300"/>
          <w:jc w:val="center"/>
        </w:trPr>
        <w:tc>
          <w:tcPr>
            <w:tcW w:w="460" w:type="dxa"/>
            <w:noWrap/>
            <w:hideMark/>
          </w:tcPr>
          <w:p w14:paraId="4682E6D0"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4</w:t>
            </w:r>
          </w:p>
        </w:tc>
        <w:tc>
          <w:tcPr>
            <w:tcW w:w="3880" w:type="dxa"/>
            <w:noWrap/>
            <w:hideMark/>
          </w:tcPr>
          <w:p w14:paraId="26DD9534"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Ma. De Jesús Sánchez Ambrocio</w:t>
            </w:r>
          </w:p>
        </w:tc>
        <w:tc>
          <w:tcPr>
            <w:tcW w:w="2740" w:type="dxa"/>
            <w:noWrap/>
            <w:hideMark/>
          </w:tcPr>
          <w:p w14:paraId="1DB1A4FD"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Sin firma</w:t>
            </w:r>
          </w:p>
        </w:tc>
      </w:tr>
      <w:tr w:rsidR="009B02C2" w:rsidRPr="00CF2780" w14:paraId="31AF2103" w14:textId="77777777" w:rsidTr="00B05F31">
        <w:trPr>
          <w:trHeight w:val="300"/>
          <w:jc w:val="center"/>
        </w:trPr>
        <w:tc>
          <w:tcPr>
            <w:tcW w:w="460" w:type="dxa"/>
            <w:noWrap/>
            <w:hideMark/>
          </w:tcPr>
          <w:p w14:paraId="54B6197A"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5</w:t>
            </w:r>
          </w:p>
        </w:tc>
        <w:tc>
          <w:tcPr>
            <w:tcW w:w="3880" w:type="dxa"/>
            <w:noWrap/>
            <w:hideMark/>
          </w:tcPr>
          <w:p w14:paraId="68FC47A4"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 xml:space="preserve">Ninfa J. Lucas Avilés </w:t>
            </w:r>
          </w:p>
        </w:tc>
        <w:tc>
          <w:tcPr>
            <w:tcW w:w="2740" w:type="dxa"/>
            <w:noWrap/>
            <w:hideMark/>
          </w:tcPr>
          <w:p w14:paraId="3155551E"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Sin firma</w:t>
            </w:r>
          </w:p>
        </w:tc>
      </w:tr>
      <w:tr w:rsidR="009B02C2" w:rsidRPr="00CF2780" w14:paraId="7367DD3A" w14:textId="77777777" w:rsidTr="00B05F31">
        <w:trPr>
          <w:trHeight w:val="300"/>
          <w:jc w:val="center"/>
        </w:trPr>
        <w:tc>
          <w:tcPr>
            <w:tcW w:w="460" w:type="dxa"/>
            <w:noWrap/>
            <w:hideMark/>
          </w:tcPr>
          <w:p w14:paraId="26924403"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6</w:t>
            </w:r>
          </w:p>
        </w:tc>
        <w:tc>
          <w:tcPr>
            <w:tcW w:w="3880" w:type="dxa"/>
            <w:noWrap/>
            <w:hideMark/>
          </w:tcPr>
          <w:p w14:paraId="5447EB59"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Manuel Tapia Talavera</w:t>
            </w:r>
          </w:p>
        </w:tc>
        <w:tc>
          <w:tcPr>
            <w:tcW w:w="2740" w:type="dxa"/>
            <w:noWrap/>
            <w:hideMark/>
          </w:tcPr>
          <w:p w14:paraId="661CA160"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 xml:space="preserve">Sin firma </w:t>
            </w:r>
          </w:p>
        </w:tc>
      </w:tr>
      <w:tr w:rsidR="009B02C2" w:rsidRPr="00CF2780" w14:paraId="13ED32E1" w14:textId="77777777" w:rsidTr="00B05F31">
        <w:trPr>
          <w:trHeight w:val="300"/>
          <w:jc w:val="center"/>
        </w:trPr>
        <w:tc>
          <w:tcPr>
            <w:tcW w:w="460" w:type="dxa"/>
            <w:noWrap/>
            <w:hideMark/>
          </w:tcPr>
          <w:p w14:paraId="729EF5D9"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7</w:t>
            </w:r>
          </w:p>
        </w:tc>
        <w:tc>
          <w:tcPr>
            <w:tcW w:w="3880" w:type="dxa"/>
            <w:noWrap/>
            <w:hideMark/>
          </w:tcPr>
          <w:p w14:paraId="574A88BB"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Ma. Guillermina Bartolo Ambrocio</w:t>
            </w:r>
          </w:p>
        </w:tc>
        <w:tc>
          <w:tcPr>
            <w:tcW w:w="2740" w:type="dxa"/>
            <w:noWrap/>
            <w:hideMark/>
          </w:tcPr>
          <w:p w14:paraId="616C545C" w14:textId="77777777" w:rsidR="009B02C2" w:rsidRPr="00CF2780" w:rsidRDefault="009B02C2" w:rsidP="009B02C2">
            <w:pPr>
              <w:spacing w:after="0" w:line="240" w:lineRule="auto"/>
              <w:rPr>
                <w:rFonts w:ascii="Arial" w:eastAsia="Times New Roman" w:hAnsi="Arial" w:cs="Arial"/>
                <w:color w:val="000000"/>
                <w:sz w:val="24"/>
                <w:szCs w:val="24"/>
                <w:lang w:val="es-ES" w:eastAsia="es-MX"/>
              </w:rPr>
            </w:pPr>
            <w:r w:rsidRPr="00CF2780">
              <w:rPr>
                <w:rFonts w:ascii="Arial" w:eastAsia="Times New Roman" w:hAnsi="Arial" w:cs="Arial"/>
                <w:color w:val="000000"/>
                <w:sz w:val="24"/>
                <w:szCs w:val="24"/>
                <w:lang w:val="es-ES" w:eastAsia="es-MX"/>
              </w:rPr>
              <w:t xml:space="preserve">Sin firma </w:t>
            </w:r>
          </w:p>
        </w:tc>
      </w:tr>
    </w:tbl>
    <w:p w14:paraId="0DC592F8" w14:textId="77777777" w:rsidR="009B02C2" w:rsidRPr="00CF2780" w:rsidRDefault="009B02C2" w:rsidP="009B02C2">
      <w:pPr>
        <w:spacing w:after="0" w:line="360" w:lineRule="auto"/>
        <w:ind w:firstLine="709"/>
        <w:jc w:val="both"/>
        <w:rPr>
          <w:rFonts w:ascii="Arial" w:eastAsia="Times New Roman" w:hAnsi="Arial" w:cs="Arial"/>
          <w:sz w:val="28"/>
          <w:szCs w:val="24"/>
          <w:lang w:val="es-ES" w:eastAsia="es-ES"/>
        </w:rPr>
      </w:pPr>
    </w:p>
    <w:p w14:paraId="6FA3F488"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b) Oportunidad.</w:t>
      </w:r>
      <w:r w:rsidRPr="00CF2780">
        <w:rPr>
          <w:rFonts w:ascii="Arial" w:eastAsia="Times New Roman" w:hAnsi="Arial" w:cs="Arial"/>
          <w:sz w:val="28"/>
          <w:szCs w:val="28"/>
          <w:lang w:val="es-ES" w:eastAsia="es-ES"/>
        </w:rPr>
        <w:t xml:space="preserve"> Los actores manifiestan que el seis de enero de dos mil once, solicitaron al Instituto Electoral de Michoacán información sobre los resultados de la consulta ciudadana en el Municipio de Cherán. El diez de enero siguiente, el Secretario General del Instituto Electoral de Michoacán les informó que los resultados, así como los datos referentes a la preparación de dicha consulta, se encuentran señalados en el “Informe que rinde la Comisión Especial para dar seguimiento a la resolución emitida por la Sala Superior del tribunal Electoral del Poder Judicial de la Federación dentro del Juicio para la protección de los derechos politíco-electorales del ciudadano número SUP-JDC-9167/2011”.</w:t>
      </w:r>
    </w:p>
    <w:p w14:paraId="7FE8E755" w14:textId="77777777" w:rsidR="009B02C2" w:rsidRPr="00CF2780" w:rsidRDefault="009B02C2" w:rsidP="009B02C2">
      <w:pPr>
        <w:spacing w:after="0" w:line="360" w:lineRule="auto"/>
        <w:ind w:firstLine="708"/>
        <w:jc w:val="both"/>
        <w:rPr>
          <w:rFonts w:ascii="Arial" w:eastAsia="Times New Roman" w:hAnsi="Arial" w:cs="Arial"/>
          <w:sz w:val="28"/>
          <w:szCs w:val="28"/>
          <w:lang w:val="es-ES" w:eastAsia="es-ES"/>
        </w:rPr>
      </w:pPr>
    </w:p>
    <w:p w14:paraId="24FFB7AB"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El informe y los resultados fueron publicados el cuatro y cinco de enero de dos mil doce, en el </w:t>
      </w:r>
      <w:r w:rsidRPr="00CF2780">
        <w:rPr>
          <w:rFonts w:ascii="Arial" w:eastAsia="Times New Roman" w:hAnsi="Arial" w:cs="Arial"/>
          <w:i/>
          <w:sz w:val="28"/>
          <w:szCs w:val="28"/>
          <w:lang w:val="es-ES" w:eastAsia="es-ES"/>
        </w:rPr>
        <w:t>Periódico Oficial del Gobierno Constitucional del Estado de Michoacán de Ocampo</w:t>
      </w:r>
      <w:r w:rsidRPr="00CF2780">
        <w:rPr>
          <w:rFonts w:ascii="Arial" w:eastAsia="Times New Roman" w:hAnsi="Arial" w:cs="Arial"/>
          <w:sz w:val="28"/>
          <w:szCs w:val="28"/>
          <w:lang w:val="es-ES" w:eastAsia="es-ES"/>
        </w:rPr>
        <w:t>.</w:t>
      </w:r>
    </w:p>
    <w:p w14:paraId="0135E47B" w14:textId="77777777" w:rsidR="009B02C2" w:rsidRPr="00CF2780" w:rsidRDefault="009B02C2" w:rsidP="009B02C2">
      <w:pPr>
        <w:spacing w:after="0" w:line="360" w:lineRule="auto"/>
        <w:ind w:firstLine="708"/>
        <w:jc w:val="both"/>
        <w:rPr>
          <w:rFonts w:ascii="Arial" w:eastAsia="Times New Roman" w:hAnsi="Arial" w:cs="Arial"/>
          <w:sz w:val="28"/>
          <w:szCs w:val="28"/>
          <w:lang w:val="es-ES" w:eastAsia="es-ES"/>
        </w:rPr>
      </w:pPr>
    </w:p>
    <w:p w14:paraId="0B8AEF7F"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En contra de los citados actos la demanda del juicio para la protección de los derechos político-electorales fue presentada ante el Instituto Electoral de Michoacán el catorce de enero del presente año.</w:t>
      </w:r>
    </w:p>
    <w:p w14:paraId="6C128013" w14:textId="77777777" w:rsidR="009B02C2" w:rsidRPr="00CF2780" w:rsidRDefault="009B02C2" w:rsidP="009B02C2">
      <w:pPr>
        <w:spacing w:after="0" w:line="360" w:lineRule="auto"/>
        <w:ind w:firstLine="708"/>
        <w:jc w:val="both"/>
        <w:rPr>
          <w:rFonts w:ascii="Arial" w:eastAsia="Times New Roman" w:hAnsi="Arial" w:cs="Arial"/>
          <w:sz w:val="28"/>
          <w:szCs w:val="28"/>
          <w:lang w:val="es-ES" w:eastAsia="es-ES"/>
        </w:rPr>
      </w:pPr>
    </w:p>
    <w:p w14:paraId="1CC8534D"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lastRenderedPageBreak/>
        <w:t>De conformidad con lo dispuesto en el artículo 8º de la Ley General del Sistema de Medios de Impugnación en Materia Electoral, la presentación de la demanda debe darse dentro de los cuatro días, contados a partir de la fecha en que los actores tuvieron conocimiento del acto o resolución impugnada o se les hubiese notificado de conformidad con la ley aplicable.</w:t>
      </w:r>
    </w:p>
    <w:p w14:paraId="4C306C8A" w14:textId="77777777" w:rsidR="009B02C2" w:rsidRPr="00CF2780" w:rsidRDefault="009B02C2" w:rsidP="009B02C2">
      <w:pPr>
        <w:spacing w:after="0" w:line="360" w:lineRule="auto"/>
        <w:ind w:firstLine="708"/>
        <w:jc w:val="both"/>
        <w:rPr>
          <w:rFonts w:ascii="Arial" w:eastAsia="Times New Roman" w:hAnsi="Arial" w:cs="Arial"/>
          <w:sz w:val="28"/>
          <w:szCs w:val="28"/>
          <w:lang w:val="es-ES" w:eastAsia="es-ES"/>
        </w:rPr>
      </w:pPr>
    </w:p>
    <w:p w14:paraId="78C0D37B"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La demanda presentada por los ciudadanos ocurrió oportunamente.</w:t>
      </w:r>
    </w:p>
    <w:p w14:paraId="187DFE5C" w14:textId="77777777" w:rsidR="009B02C2" w:rsidRPr="00CF2780" w:rsidRDefault="009B02C2" w:rsidP="009B02C2">
      <w:pPr>
        <w:spacing w:before="100" w:beforeAutospacing="1" w:after="100" w:afterAutospacing="1"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Para arribar a la anterior conclusión, este órgano jurisdiccional toma en cuenta que los destinatarios de la notificación son integrantes de una colectividad indígena y es incuestionable que la determinación debía comunicarse en forma efectiva a quienes se dirigió el acto, para que de esta forma estuvieren en posibilidad real de decidir la postura que adoptarían. Para lo anterior, se debe tener presente que los actores se asumen como integrantes de una comunidad indígena (Cherán) y por esa calidad subjetiva les son aplicables las disposiciones que rigen en el derecho indígena del sistema jurídico nacional. Es suficiente el criterio subjetivo de autoadscripción por los propios actores como integrantes de una comunidad indígena (purépechas), lo cual no está controvertido en el presente asunto, para que se les resulte aplicable, en una perspectiva garantista que considere sus particulares condiciones y necesidades (artículos 2°, párrafo tercero, de la Constitución federal, así como 1°, párrafo 2, del Convenio 169 ya precisado y 9° de la Declaración de las Naciones Unidas sobre Derechos de los Pueblos Indígenas).</w:t>
      </w:r>
    </w:p>
    <w:p w14:paraId="3493DFD2" w14:textId="77777777" w:rsidR="009B02C2" w:rsidRPr="00CF2780" w:rsidRDefault="009B02C2" w:rsidP="009B02C2">
      <w:pPr>
        <w:spacing w:before="240" w:after="0" w:line="360" w:lineRule="auto"/>
        <w:jc w:val="both"/>
        <w:rPr>
          <w:rFonts w:ascii="Arial" w:eastAsia="Times New Roman" w:hAnsi="Arial" w:cs="Arial"/>
          <w:sz w:val="28"/>
          <w:szCs w:val="24"/>
          <w:lang w:val="es-ES" w:eastAsia="es-ES"/>
        </w:rPr>
      </w:pPr>
    </w:p>
    <w:p w14:paraId="27FE514F" w14:textId="77777777" w:rsidR="009B02C2" w:rsidRPr="00CF2780" w:rsidRDefault="009B02C2" w:rsidP="009B02C2">
      <w:pPr>
        <w:spacing w:before="240" w:after="0" w:line="360" w:lineRule="auto"/>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lastRenderedPageBreak/>
        <w:t xml:space="preserve">En efecto, cabe concluir que los promoventes forman parte de un pueblo indígena, en razón de un criterio subjetivo y puesto que esa condición no está controvertida por alguna de las partes en el presente proceso, en términos de lo dispuesto en el artículo 15, párrafo 1, de </w:t>
      </w:r>
      <w:smartTag w:uri="urn:schemas-microsoft-com:office:smarttags" w:element="PersonName">
        <w:smartTagPr>
          <w:attr w:name="ProductID" w:val="la Ley General"/>
        </w:smartTagPr>
        <w:r w:rsidRPr="00CF2780">
          <w:rPr>
            <w:rFonts w:ascii="Arial" w:eastAsia="Times New Roman" w:hAnsi="Arial" w:cs="Arial"/>
            <w:sz w:val="28"/>
            <w:szCs w:val="24"/>
            <w:lang w:val="es-ES" w:eastAsia="es-ES"/>
          </w:rPr>
          <w:t>la Ley General</w:t>
        </w:r>
      </w:smartTag>
      <w:r w:rsidRPr="00CF2780">
        <w:rPr>
          <w:rFonts w:ascii="Arial" w:eastAsia="Times New Roman" w:hAnsi="Arial" w:cs="Arial"/>
          <w:sz w:val="28"/>
          <w:szCs w:val="24"/>
          <w:lang w:val="es-ES" w:eastAsia="es-ES"/>
        </w:rPr>
        <w:t xml:space="preserve"> del Sistema de Medios de Impugnación en Materia Electoral. Por ello se debe seguir dicho criterio fundamental para determinar que a dichos ciudadanos y en la resolución del asunto se deben aplicar las disposiciones sobre pueblos indígenas (artículo 2°, párrafo tercero, de la Constitución federal; 33, párrafo 1, de la Declaración de las Naciones Unidas sobre Derechos de los Pueblos Indígenas y 1° del Convenio 169 sobre Pueblos Indígenas y Tribales en Países Independientes).</w:t>
      </w:r>
    </w:p>
    <w:p w14:paraId="62820B41" w14:textId="77777777" w:rsidR="009B02C2" w:rsidRPr="00CF2780" w:rsidRDefault="009B02C2" w:rsidP="009B02C2">
      <w:pPr>
        <w:spacing w:before="240" w:after="0" w:line="360" w:lineRule="auto"/>
        <w:jc w:val="both"/>
        <w:rPr>
          <w:rFonts w:ascii="Arial" w:eastAsia="Times New Roman" w:hAnsi="Arial" w:cs="Arial"/>
          <w:sz w:val="28"/>
          <w:szCs w:val="24"/>
          <w:lang w:val="es-ES" w:eastAsia="es-ES"/>
        </w:rPr>
      </w:pPr>
      <w:r w:rsidRPr="00CF2780">
        <w:rPr>
          <w:rFonts w:ascii="Arial" w:eastAsia="Times New Roman" w:hAnsi="Arial" w:cs="Arial"/>
          <w:sz w:val="28"/>
          <w:szCs w:val="28"/>
          <w:lang w:val="es-ES" w:eastAsia="es-ES"/>
        </w:rPr>
        <w:t>La generalidad de las comunidades indígenas, no cuentan con los medios y las vías de comunicación debidamente desarrollados, para tener conocimiento oportuno de la publicación oficial. De igual forma, la responsable debió estimar las condiciones sociales, políticas y geográficas del municipio con el fin de cerciorarse que sus habitantes tuvieran pleno acceso, conocimiento y entendimiento claro del acto que se les estaba comunicando.</w:t>
      </w:r>
      <w:r w:rsidRPr="00CF2780">
        <w:rPr>
          <w:rFonts w:ascii="Arial" w:eastAsia="Times New Roman" w:hAnsi="Arial" w:cs="Arial"/>
          <w:sz w:val="28"/>
          <w:szCs w:val="28"/>
          <w:vertAlign w:val="superscript"/>
          <w:lang w:val="es-ES" w:eastAsia="es-ES"/>
        </w:rPr>
        <w:footnoteReference w:id="21"/>
      </w:r>
    </w:p>
    <w:p w14:paraId="31F6A85D" w14:textId="77777777" w:rsidR="009B02C2" w:rsidRPr="00CF2780" w:rsidRDefault="009B02C2" w:rsidP="009B02C2">
      <w:pPr>
        <w:spacing w:before="100" w:beforeAutospacing="1" w:after="100" w:afterAutospacing="1"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El municipio de San Francisco Cherán, se encuentra asentado en una zona rural, con pocas vías de comunicación y escasos medios de transportes por lo que padece altos índices de pobreza y marginación, que a su vez se traducen en niveles de escolaridad. Según el Censo de </w:t>
      </w:r>
      <w:r w:rsidRPr="00CF2780">
        <w:rPr>
          <w:rFonts w:ascii="Arial" w:eastAsia="Times New Roman" w:hAnsi="Arial" w:cs="Arial"/>
          <w:sz w:val="28"/>
          <w:szCs w:val="28"/>
          <w:lang w:val="es-ES" w:eastAsia="es-ES"/>
        </w:rPr>
        <w:lastRenderedPageBreak/>
        <w:t>Población y Vivienda de 2010,</w:t>
      </w:r>
      <w:r w:rsidRPr="00CF2780">
        <w:rPr>
          <w:rFonts w:ascii="Arial" w:eastAsia="Times New Roman" w:hAnsi="Arial" w:cs="Arial"/>
          <w:sz w:val="28"/>
          <w:szCs w:val="28"/>
          <w:vertAlign w:val="superscript"/>
          <w:lang w:val="es-ES" w:eastAsia="es-ES"/>
        </w:rPr>
        <w:footnoteReference w:id="22"/>
      </w:r>
      <w:r w:rsidRPr="00CF2780">
        <w:rPr>
          <w:rFonts w:ascii="Arial" w:eastAsia="Times New Roman" w:hAnsi="Arial" w:cs="Arial"/>
          <w:sz w:val="28"/>
          <w:szCs w:val="28"/>
          <w:lang w:val="es-ES" w:eastAsia="es-ES"/>
        </w:rPr>
        <w:t xml:space="preserve"> el grado de escolaridad en el municipio es de 7.1.</w:t>
      </w:r>
    </w:p>
    <w:p w14:paraId="5EA5B2E7" w14:textId="77777777" w:rsidR="009B02C2" w:rsidRPr="00CF2780" w:rsidRDefault="009B02C2" w:rsidP="009B02C2">
      <w:pPr>
        <w:spacing w:before="100" w:beforeAutospacing="1" w:after="100" w:afterAutospacing="1"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La población es de 18,141 habitantes de los cuales 4,336 hablan alguna lengua indígena, mientras que 83 no hablan español.</w:t>
      </w:r>
      <w:r w:rsidRPr="00CF2780">
        <w:rPr>
          <w:rFonts w:ascii="Arial" w:eastAsia="Times New Roman" w:hAnsi="Arial" w:cs="Arial"/>
          <w:sz w:val="28"/>
          <w:szCs w:val="28"/>
          <w:vertAlign w:val="superscript"/>
          <w:lang w:val="es-ES" w:eastAsia="es-ES"/>
        </w:rPr>
        <w:footnoteReference w:id="23"/>
      </w:r>
    </w:p>
    <w:p w14:paraId="15CD2DD3" w14:textId="77777777" w:rsidR="009B02C2" w:rsidRPr="00CF2780" w:rsidRDefault="009B02C2" w:rsidP="009B02C2">
      <w:pPr>
        <w:spacing w:before="100" w:beforeAutospacing="1" w:after="100" w:afterAutospacing="1"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La escasa escolaridad, el índice de analfabetismo, los problemas en las vías de comunicación y la dificultad en el idioma hacen que resulte poco eficaz la publicación de los actos o resoluciones en los diarios o periódicos oficiales. En localidades en las cuales la población presenta las características señaladas, las publicaciones de este tipo no tienen la circulación suficiente y, cuando llegan a circular, no siempre es en la misma fecha en que se publicó, de acuerdo con las reglas de la experiencia. Además, la escasa escolaridad, así como las circunstancias propias de las costumbres del pueblo o comunidad, en donde la lengua indígena constituye un eje fundamental en las relaciones sociales, siendo en algunos casos el único sistema de comunicación, inhiben la eficacia comunicativa de esta clase de publicaciones.</w:t>
      </w:r>
    </w:p>
    <w:p w14:paraId="7B63AC53" w14:textId="77777777" w:rsidR="009B02C2" w:rsidRPr="00CF2780" w:rsidRDefault="009B02C2" w:rsidP="009B02C2">
      <w:pPr>
        <w:spacing w:before="100" w:beforeAutospacing="1" w:after="100" w:afterAutospacing="1"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Apoya lo anterior la tesis relevante sostenida por la actual integración de esta Sala Superior de rubro </w:t>
      </w:r>
      <w:r w:rsidRPr="00CF2780">
        <w:rPr>
          <w:rFonts w:ascii="Arial" w:eastAsia="Times New Roman" w:hAnsi="Arial" w:cs="Arial"/>
          <w:b/>
          <w:bCs/>
          <w:sz w:val="28"/>
          <w:szCs w:val="28"/>
          <w:lang w:val="es-ES" w:eastAsia="es-ES"/>
        </w:rPr>
        <w:t xml:space="preserve">“COMUNIDADES INDÍGENAS. NOTIFICACIÓN DE ACTOS O RESOLUCIONES DE AUTORIDAD ELECTORAL POR PERIÓDICO OFICIAL. EL JUZGADOR DEBE </w:t>
      </w:r>
      <w:r w:rsidRPr="00CF2780">
        <w:rPr>
          <w:rFonts w:ascii="Arial" w:eastAsia="Times New Roman" w:hAnsi="Arial" w:cs="Arial"/>
          <w:b/>
          <w:bCs/>
          <w:sz w:val="28"/>
          <w:szCs w:val="28"/>
          <w:lang w:val="es-ES" w:eastAsia="es-ES"/>
        </w:rPr>
        <w:lastRenderedPageBreak/>
        <w:t xml:space="preserve">PONDERAR LAS SITUACIONES PARTICULARES PARA TENERLA POR EFICAZMENTE REALIZADA.- </w:t>
      </w:r>
    </w:p>
    <w:p w14:paraId="39D6E097" w14:textId="77777777" w:rsidR="009B02C2" w:rsidRPr="00CF2780" w:rsidRDefault="009B02C2" w:rsidP="009B02C2">
      <w:pPr>
        <w:spacing w:before="100" w:beforeAutospacing="1" w:after="100" w:afterAutospacing="1"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Asimismo, los promoventes relatan en su demanda que: </w:t>
      </w:r>
    </w:p>
    <w:p w14:paraId="0372E530" w14:textId="77777777" w:rsidR="009B02C2" w:rsidRPr="00CF2780" w:rsidRDefault="009B02C2" w:rsidP="009B02C2">
      <w:pPr>
        <w:spacing w:after="0" w:line="240" w:lineRule="auto"/>
        <w:ind w:left="1134" w:right="902"/>
        <w:jc w:val="both"/>
        <w:rPr>
          <w:rFonts w:ascii="Arial" w:eastAsia="Times New Roman" w:hAnsi="Arial" w:cs="Arial"/>
          <w:lang w:val="es-ES" w:eastAsia="es-ES"/>
        </w:rPr>
      </w:pPr>
      <w:r w:rsidRPr="00CF2780">
        <w:rPr>
          <w:rFonts w:ascii="Arial" w:eastAsia="Times New Roman" w:hAnsi="Arial" w:cs="Arial"/>
          <w:lang w:val="es-ES" w:eastAsia="es-ES"/>
        </w:rPr>
        <w:t>“No omitimos señalar que, a nuestras Comunidades Indígenas no llegan ni circulan los ejemplares del Periódico Oficial del Gobierno Constitucional del Estado de Michoacán de Ocampo; de ahí la necesidad de acudir directamente al Instituto Electoral de Michoacán con la finalidad de conocer la forma en cómo se desarrolló la propia consulta y desde luego, los resultados, pues en todo momento fuimos excluidos y discriminados en la participación política de dicha consulta”</w:t>
      </w:r>
    </w:p>
    <w:p w14:paraId="69CF1E3A" w14:textId="77777777" w:rsidR="009B02C2" w:rsidRPr="00CF2780" w:rsidRDefault="009B02C2" w:rsidP="009B02C2">
      <w:pPr>
        <w:spacing w:after="0" w:line="360" w:lineRule="auto"/>
        <w:ind w:firstLine="708"/>
        <w:jc w:val="both"/>
        <w:rPr>
          <w:rFonts w:ascii="Arial" w:eastAsia="Times New Roman" w:hAnsi="Arial" w:cs="Arial"/>
          <w:sz w:val="28"/>
          <w:szCs w:val="28"/>
          <w:lang w:val="es-ES" w:eastAsia="es-ES"/>
        </w:rPr>
      </w:pPr>
    </w:p>
    <w:p w14:paraId="49C79553" w14:textId="77777777" w:rsidR="009B02C2" w:rsidRPr="00CF2780" w:rsidRDefault="009B02C2" w:rsidP="009B02C2">
      <w:pPr>
        <w:spacing w:before="100" w:beforeAutospacing="1" w:after="100" w:afterAutospacing="1" w:line="360" w:lineRule="auto"/>
        <w:jc w:val="both"/>
        <w:rPr>
          <w:rFonts w:ascii="Arial" w:eastAsia="Times New Roman" w:hAnsi="Arial" w:cs="Arial"/>
          <w:sz w:val="28"/>
          <w:szCs w:val="28"/>
          <w:lang w:eastAsia="es-ES"/>
        </w:rPr>
      </w:pPr>
      <w:r w:rsidRPr="00CF2780">
        <w:rPr>
          <w:rFonts w:ascii="Arial" w:eastAsia="Times New Roman" w:hAnsi="Arial" w:cs="Arial"/>
          <w:sz w:val="28"/>
          <w:szCs w:val="28"/>
          <w:lang w:val="es-ES" w:eastAsia="es-ES"/>
        </w:rPr>
        <w:t>Por tanto y en atención a lo expuesto, resulta indubitable que la sola emisión del acto de autoridad que cause perjuicio y su publicación en el periódico oficial, no puede considerarse como medios aptos y suficientes para difundir o comunicar a los destinatarios el acto impugnado y su contenido, ante la dificultad natural que pudiera encontrarse para que se alleguen de tal instrumento. Por eso debe considerarse que ocurrió la oportuna presentación de la demanda de juicio para la protección de los derechos político electorales del ciudadano respecto del Informe y los actos a que se hace referencia en el mismo, a partir del oficio por el cual se desahoga la consulta que realizaron tres de los ciudadanos en cuestión</w:t>
      </w:r>
      <w:r w:rsidRPr="00CF2780">
        <w:rPr>
          <w:rFonts w:ascii="Arial" w:eastAsia="Calibri" w:hAnsi="Arial" w:cs="Arial"/>
          <w:lang w:eastAsia="es-MX"/>
        </w:rPr>
        <w:t xml:space="preserve"> (</w:t>
      </w:r>
      <w:r w:rsidRPr="00CF2780">
        <w:rPr>
          <w:rFonts w:ascii="Arial" w:eastAsia="Times New Roman" w:hAnsi="Arial" w:cs="Arial"/>
          <w:sz w:val="28"/>
          <w:szCs w:val="28"/>
          <w:lang w:eastAsia="es-ES"/>
        </w:rPr>
        <w:t>Juan Fabián Juárez, María Erandi Niniz Turja y Jorge Ambrocio Durán).</w:t>
      </w:r>
    </w:p>
    <w:p w14:paraId="08B86D78"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 xml:space="preserve">c) Legitimación. </w:t>
      </w:r>
      <w:r w:rsidRPr="00CF2780">
        <w:rPr>
          <w:rFonts w:ascii="Arial" w:eastAsia="Times New Roman" w:hAnsi="Arial" w:cs="Arial"/>
          <w:sz w:val="28"/>
          <w:szCs w:val="28"/>
          <w:lang w:val="es-ES" w:eastAsia="es-ES"/>
        </w:rPr>
        <w:t>Se estima que los actores cuentan con legitimación para promover el presente juicio pues afirman ser ciudadanos residentes del Municipio de Cherán, Estado de Michoacán, y lo acreditan con copia de su credencial de elector.</w:t>
      </w:r>
    </w:p>
    <w:p w14:paraId="264C3FAE" w14:textId="77777777" w:rsidR="009B02C2" w:rsidRPr="00CF2780" w:rsidRDefault="009B02C2" w:rsidP="009B02C2">
      <w:pPr>
        <w:spacing w:after="0" w:line="360" w:lineRule="auto"/>
        <w:ind w:firstLine="708"/>
        <w:jc w:val="both"/>
        <w:rPr>
          <w:rFonts w:ascii="Arial" w:eastAsia="Times New Roman" w:hAnsi="Arial" w:cs="Arial"/>
          <w:sz w:val="28"/>
          <w:szCs w:val="28"/>
          <w:lang w:val="es-ES" w:eastAsia="es-ES"/>
        </w:rPr>
      </w:pPr>
    </w:p>
    <w:p w14:paraId="5633BAB2"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lastRenderedPageBreak/>
        <w:t>d) Interés jurídico:</w:t>
      </w:r>
      <w:r w:rsidRPr="00CF2780">
        <w:rPr>
          <w:rFonts w:ascii="Arial" w:eastAsia="Times New Roman" w:hAnsi="Arial" w:cs="Arial"/>
          <w:sz w:val="28"/>
          <w:szCs w:val="28"/>
          <w:lang w:val="es-ES" w:eastAsia="es-ES"/>
        </w:rPr>
        <w:t xml:space="preserve"> En el presente medio impugnativo se controvierte el Informe que rinde la Comisión Especial para dar seguimiento a la resolución emitida por la Sala Superior del Tribunal Electoral del Poder Judicial de la Federación dentro del juicio para la protección de los derechos político-electorales del ciudadano número SUP-JDC-9167/2011, mediante el cual informan al Consejo General del Instituto Electoral de Michoacán, así como los resultados de la consulta ciudadana celebrada el domingo dieciocho de diciembre de dos mil once por el Instituto Electoral de Michoacán, en las comunidades indígenas de Cherán, el cual, en concepto de los demandantes, en cuanto integrantes de la comunidad indígena de San Francisco de Cherán, los excluye y discrimina en la participación política de dicha consulta.</w:t>
      </w:r>
    </w:p>
    <w:p w14:paraId="198E1941" w14:textId="77777777" w:rsidR="009B02C2" w:rsidRPr="00CF2780" w:rsidRDefault="009B02C2" w:rsidP="009B02C2">
      <w:pPr>
        <w:spacing w:after="0" w:line="360" w:lineRule="auto"/>
        <w:ind w:firstLine="709"/>
        <w:jc w:val="both"/>
        <w:rPr>
          <w:rFonts w:ascii="Arial" w:eastAsia="Times New Roman" w:hAnsi="Arial" w:cs="Arial"/>
          <w:sz w:val="28"/>
          <w:szCs w:val="28"/>
          <w:lang w:val="es-ES" w:eastAsia="es-ES"/>
        </w:rPr>
      </w:pPr>
    </w:p>
    <w:p w14:paraId="7B6B9D3D"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 xml:space="preserve">e) Definitividad y firmeza. </w:t>
      </w:r>
      <w:r w:rsidRPr="00CF2780">
        <w:rPr>
          <w:rFonts w:ascii="Arial" w:eastAsia="Times New Roman" w:hAnsi="Arial" w:cs="Arial"/>
          <w:sz w:val="28"/>
          <w:szCs w:val="28"/>
          <w:lang w:val="es-ES" w:eastAsia="es-ES"/>
        </w:rPr>
        <w:t xml:space="preserve"> En el caso concreto, los actos impugnados pueden considerarse como definitivos y firmes, toda vez que se trata del Informe de los resultados de la consulta ciudadana celebrada el dieciocho de diciembre de dos mil once por el Instituto Electoral de Michoacán, en las comunidades indígenas de Cherán, así como la consulta relativa y la exclusión de cierto grupo de ciudadanos, y en contra de dichos actos, expresamente, no está prevista la procedencia de algún medio de impugnación que deba agotarse antes de acudir a esta instancia jurisdiccional.</w:t>
      </w:r>
    </w:p>
    <w:p w14:paraId="6A7C2A10" w14:textId="77777777" w:rsidR="009B02C2" w:rsidRPr="00CF2780" w:rsidRDefault="009B02C2" w:rsidP="009B02C2">
      <w:pPr>
        <w:spacing w:after="0" w:line="360" w:lineRule="auto"/>
        <w:ind w:firstLine="708"/>
        <w:jc w:val="both"/>
        <w:rPr>
          <w:rFonts w:ascii="Arial" w:eastAsia="Times New Roman" w:hAnsi="Arial" w:cs="Arial"/>
          <w:sz w:val="28"/>
          <w:szCs w:val="28"/>
          <w:lang w:val="es-ES" w:eastAsia="es-ES"/>
        </w:rPr>
      </w:pPr>
    </w:p>
    <w:p w14:paraId="3866A039"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Así se advierte de la Ley de Justicia Electoral del Estado de Michoacán de Ocampo, porque el sistema de medios de impugnación está integrado por el recurso de revisión, el recurso de apelación y el juicio de inconformidad (artículo 3°, fracción II), y en ninguno de ellos se </w:t>
      </w:r>
      <w:r w:rsidRPr="00CF2780">
        <w:rPr>
          <w:rFonts w:ascii="Arial" w:eastAsia="Times New Roman" w:hAnsi="Arial" w:cs="Arial"/>
          <w:sz w:val="28"/>
          <w:szCs w:val="28"/>
          <w:lang w:val="es-ES" w:eastAsia="es-ES"/>
        </w:rPr>
        <w:lastRenderedPageBreak/>
        <w:t>reconoce legitimación expresa a los ciudadanos que pertenezcan a dichas comunidades por actos que provengan del Consejo General. En efecto, los partidos políticos y las coaliciones, así como  los ciudadanos están legitimados para interponer el recurso de revisión, pero en contra de actos de los consejos distritales y municipales, en la etapa de preparación de la elección (artículo 42).</w:t>
      </w:r>
    </w:p>
    <w:p w14:paraId="541D8093" w14:textId="77777777" w:rsidR="009B02C2" w:rsidRPr="00CF2780" w:rsidRDefault="009B02C2" w:rsidP="009B02C2">
      <w:pPr>
        <w:spacing w:after="0" w:line="360" w:lineRule="auto"/>
        <w:ind w:firstLine="708"/>
        <w:jc w:val="both"/>
        <w:rPr>
          <w:rFonts w:ascii="Arial" w:eastAsia="Times New Roman" w:hAnsi="Arial" w:cs="Arial"/>
          <w:sz w:val="28"/>
          <w:szCs w:val="28"/>
          <w:lang w:val="es-ES" w:eastAsia="es-ES"/>
        </w:rPr>
      </w:pPr>
    </w:p>
    <w:p w14:paraId="0ADA6764" w14:textId="77777777" w:rsidR="009B02C2" w:rsidRPr="00CF2780" w:rsidRDefault="009B02C2" w:rsidP="009B02C2">
      <w:pPr>
        <w:spacing w:after="0" w:line="360" w:lineRule="auto"/>
        <w:jc w:val="both"/>
        <w:rPr>
          <w:rFonts w:ascii="Arial" w:eastAsia="Times New Roman" w:hAnsi="Arial" w:cs="Arial"/>
          <w:sz w:val="24"/>
          <w:szCs w:val="24"/>
          <w:lang w:val="es-ES" w:eastAsia="es-ES"/>
        </w:rPr>
      </w:pPr>
      <w:r w:rsidRPr="00CF2780">
        <w:rPr>
          <w:rFonts w:ascii="Arial" w:eastAsia="Times New Roman" w:hAnsi="Arial" w:cs="Arial"/>
          <w:sz w:val="28"/>
          <w:szCs w:val="28"/>
          <w:lang w:val="es-ES" w:eastAsia="es-ES"/>
        </w:rPr>
        <w:t xml:space="preserve">En el caso del recurso de apelación procede en contra de los actos, acuerdos o resoluciones del Consejo General del Instituto Electoral de Michoacán y las resoluciones del recurso de revisión (artículo 46 de la Ley de Justicia Electoral del estado de Michoacán de Ocampo). Aunque el asunto está referido al informe de la Comisión Espacial para dar seguimiento a la resolución de esta Sala Superior que recayó en el juicio para la protección de los derechos político electorales del ciudadano con número de expediente SUP-JDC-9167/2011 y que dicha comisión fue integrada por el Consejo General de dicho Instituto para tal efecto (artículo 113, fracción X, del Código Electoral del estado de Michoacán), no es dable exigir a los integrantes de dicha comunidad indígena que impugnen a través de dicho recurso de apelación, a través de una interpretación extensiva que permita considerar los actos de dicha comisión como propios del Consejo General, porque ello iría en contra del acceso pleno a la jurisdicción del Estado para tales comunidades, al no tomar en cuenta sus costumbres y especificidades culturales y su condición como grupo desaventajado, por exigirles que realicen dichas interpretaciones para prever las determinaciones que se adoptarían en la procedencia de los medios de impugnación y para cumplir cargas procesales cuya exigencia no es razonable, atendiendo a sus </w:t>
      </w:r>
      <w:r w:rsidRPr="00CF2780">
        <w:rPr>
          <w:rFonts w:ascii="Arial" w:eastAsia="Times New Roman" w:hAnsi="Arial" w:cs="Arial"/>
          <w:sz w:val="28"/>
          <w:szCs w:val="28"/>
          <w:lang w:val="es-ES" w:eastAsia="es-ES"/>
        </w:rPr>
        <w:lastRenderedPageBreak/>
        <w:t>circunstancias personales (artículo 2°, apartado A, fracción VIII, de la Constitución federal, 12 del Convenio 169 de la Organización Internacional del Trabajo sobre Pueblos Indígenas y Tribales en Países Independientes y 40 de la Declaración de las Naciones Unidas sobre los Derechos de los Pueblos Indígenas).</w:t>
      </w:r>
    </w:p>
    <w:p w14:paraId="77BD0E96" w14:textId="77777777" w:rsidR="009B02C2" w:rsidRPr="00CF2780" w:rsidRDefault="009B02C2" w:rsidP="009B02C2">
      <w:pPr>
        <w:spacing w:after="0" w:line="360" w:lineRule="auto"/>
        <w:ind w:firstLine="708"/>
        <w:jc w:val="both"/>
        <w:rPr>
          <w:rFonts w:ascii="Arial" w:eastAsia="Times New Roman" w:hAnsi="Arial" w:cs="Arial"/>
          <w:sz w:val="28"/>
          <w:szCs w:val="28"/>
          <w:lang w:val="es-ES" w:eastAsia="es-ES"/>
        </w:rPr>
      </w:pPr>
    </w:p>
    <w:p w14:paraId="2AE59797"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Tampoco procede el juicio de inconformidad, porque dicho medio de impugnación local es procedente en contra de actos relativos a los resultados electorales; la nulidad de votación recibida en casilla y de elecciones; las determinaciones que siguen a dicha etapa electoral; el error aritmético; las asignaciones en elecciones de representación proporcional; las declaraciones de validez, y el otorgamiento de las constancias respectivas (artículo 50 de la ley procesal local).</w:t>
      </w:r>
    </w:p>
    <w:p w14:paraId="44F54283" w14:textId="77777777" w:rsidR="009B02C2" w:rsidRPr="00CF2780" w:rsidRDefault="009B02C2" w:rsidP="009B02C2">
      <w:pPr>
        <w:spacing w:after="0" w:line="360" w:lineRule="auto"/>
        <w:ind w:firstLine="708"/>
        <w:jc w:val="both"/>
        <w:rPr>
          <w:rFonts w:ascii="Arial" w:eastAsia="Times New Roman" w:hAnsi="Arial" w:cs="Arial"/>
          <w:sz w:val="28"/>
          <w:szCs w:val="28"/>
          <w:lang w:val="es-ES" w:eastAsia="es-ES"/>
        </w:rPr>
      </w:pPr>
    </w:p>
    <w:p w14:paraId="10058072"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Además, debe considerarse que en el caso se justifica la procedencia de la presente instancia federal, porque de adoptar una decisión judicial distinta (en la que se exija agotar una instancia local cuya procedencia no está prevista expresamente), se corre el riesgo de que el acto sea irreparable. Es decir, en el presente asunto, el agotamiento previo de los medios de impugnación se traduciría en una amenaza seria para los derechos sustanciales de los integrantes de una comunidad indígena que son objeto del litigio, porque los trámites de que consten y el tiempo necesario para llevarlos a cabo (resolución del recurso de apelación) implican la extinción del contenido de las pretensiones o de sus efectos o consecuencias (la pretendida exclusión de una consulta a los integrantes de dicha comunidad indígena), por lo que el acto electoral se debe considerar firme y definitivo. Lo anterior encuentra respaldo </w:t>
      </w:r>
      <w:r w:rsidRPr="00CF2780">
        <w:rPr>
          <w:rFonts w:ascii="Arial" w:eastAsia="Times New Roman" w:hAnsi="Arial" w:cs="Arial"/>
          <w:sz w:val="28"/>
          <w:szCs w:val="28"/>
          <w:lang w:val="es-ES" w:eastAsia="es-ES"/>
        </w:rPr>
        <w:lastRenderedPageBreak/>
        <w:t>argumentativo en la tesis de jurisprudencia que tiene el rubro y texto siguientes:</w:t>
      </w:r>
    </w:p>
    <w:p w14:paraId="3E1D5B9F" w14:textId="77777777" w:rsidR="009B02C2" w:rsidRPr="00CF2780" w:rsidRDefault="009B02C2" w:rsidP="009B02C2">
      <w:pPr>
        <w:spacing w:after="0" w:line="360" w:lineRule="auto"/>
        <w:ind w:firstLine="708"/>
        <w:jc w:val="both"/>
        <w:rPr>
          <w:rFonts w:ascii="Arial" w:eastAsia="Times New Roman" w:hAnsi="Arial" w:cs="Arial"/>
          <w:sz w:val="28"/>
          <w:szCs w:val="28"/>
          <w:lang w:val="es-ES" w:eastAsia="es-ES"/>
        </w:rPr>
      </w:pPr>
    </w:p>
    <w:bookmarkStart w:id="14" w:name="TEXTO_09/2001"/>
    <w:p w14:paraId="0750C42C" w14:textId="77777777" w:rsidR="009B02C2" w:rsidRPr="00CF2780" w:rsidRDefault="009B02C2" w:rsidP="009B02C2">
      <w:pPr>
        <w:spacing w:before="100" w:beforeAutospacing="1" w:after="100" w:afterAutospacing="1" w:line="240" w:lineRule="auto"/>
        <w:ind w:left="567" w:right="567"/>
        <w:jc w:val="both"/>
        <w:rPr>
          <w:rFonts w:ascii="Arial" w:eastAsia="Times New Roman" w:hAnsi="Arial" w:cs="Arial"/>
          <w:sz w:val="24"/>
          <w:szCs w:val="24"/>
          <w:lang w:val="es-ES" w:eastAsia="es-MX"/>
        </w:rPr>
      </w:pPr>
      <w:r w:rsidRPr="00CF2780">
        <w:rPr>
          <w:rFonts w:ascii="Arial" w:eastAsia="Times New Roman" w:hAnsi="Arial" w:cs="Arial"/>
          <w:b/>
          <w:bCs/>
          <w:sz w:val="24"/>
          <w:szCs w:val="24"/>
          <w:lang w:val="es-ES" w:eastAsia="es-MX"/>
        </w:rPr>
        <w:fldChar w:fldCharType="begin"/>
      </w:r>
      <w:r w:rsidRPr="00CF2780">
        <w:rPr>
          <w:rFonts w:ascii="Arial" w:eastAsia="Times New Roman" w:hAnsi="Arial" w:cs="Arial"/>
          <w:b/>
          <w:bCs/>
          <w:sz w:val="24"/>
          <w:szCs w:val="24"/>
          <w:lang w:val="es-ES" w:eastAsia="es-MX"/>
        </w:rPr>
        <w:instrText xml:space="preserve"> HYPERLINK "http://10.10.15.15/siscon/gateway.dll/nJurisprudenciayTesis/nVigentesTercerayCuartaEpoca/compilaci%C3%B3n.htm?f=templates$fn=document-frame.htm$3.0$q=$uq=$x=$up=1$nc=2928" \l "09/2001" </w:instrText>
      </w:r>
      <w:r w:rsidRPr="00CF2780">
        <w:rPr>
          <w:rFonts w:ascii="Arial" w:eastAsia="Times New Roman" w:hAnsi="Arial" w:cs="Arial"/>
          <w:b/>
          <w:bCs/>
          <w:sz w:val="24"/>
          <w:szCs w:val="24"/>
          <w:lang w:val="es-ES" w:eastAsia="es-MX"/>
        </w:rPr>
        <w:fldChar w:fldCharType="separate"/>
      </w:r>
      <w:r w:rsidRPr="00CF2780">
        <w:rPr>
          <w:rFonts w:ascii="Arial" w:eastAsia="Times New Roman" w:hAnsi="Arial" w:cs="Arial"/>
          <w:b/>
          <w:bCs/>
          <w:color w:val="762123"/>
          <w:sz w:val="24"/>
          <w:szCs w:val="24"/>
          <w:lang w:val="es-ES" w:eastAsia="es-MX"/>
        </w:rPr>
        <w:t>DEFINITIVIDAD Y FIRMEZA. SI EL AGOTAMIENTO DE LOS MEDIOS IMPUGNATIVOS ORDINARIOS IMPLICAN LA MERMA O EXTINCIÓN DE LA PRETENSIÓN DEL ACTOR, DEBE TENERSE POR CUMPLIDO EL REQUISITO.</w:t>
      </w:r>
      <w:r w:rsidRPr="00CF2780">
        <w:rPr>
          <w:rFonts w:ascii="Arial" w:eastAsia="Times New Roman" w:hAnsi="Arial" w:cs="Arial"/>
          <w:b/>
          <w:bCs/>
          <w:sz w:val="24"/>
          <w:szCs w:val="24"/>
          <w:lang w:val="es-ES" w:eastAsia="es-MX"/>
        </w:rPr>
        <w:fldChar w:fldCharType="end"/>
      </w:r>
      <w:bookmarkEnd w:id="14"/>
      <w:r w:rsidRPr="00CF2780">
        <w:rPr>
          <w:rFonts w:ascii="Arial" w:eastAsia="Times New Roman" w:hAnsi="Arial" w:cs="Arial"/>
          <w:b/>
          <w:bCs/>
          <w:sz w:val="24"/>
          <w:szCs w:val="24"/>
          <w:lang w:val="es-ES" w:eastAsia="es-MX"/>
        </w:rPr>
        <w:t xml:space="preserve"> </w:t>
      </w:r>
      <w:r w:rsidRPr="00CF2780">
        <w:rPr>
          <w:rFonts w:ascii="Arial" w:eastAsia="Times New Roman" w:hAnsi="Arial" w:cs="Arial"/>
          <w:sz w:val="24"/>
          <w:szCs w:val="24"/>
          <w:lang w:val="es-ES" w:eastAsia="es-MX"/>
        </w:rPr>
        <w:t>El actor queda exonerado de agotar los medios de impugnación previstos en la ley electoral local, en los casos en que el agotamiento previo de los medios de impugnación, se traduzca en una amenaza seria para los derechos sustanciales que son objeto del litigio, porque los trámites de que consten y el tiempo necesario para llevarlos a cabo puedan implicar la merma considerable o hasta la extinción del contenido de las pretensiones o de sus efectos o consecuencias, por lo que el acto electoral se considera firme y definitivo. En efecto, la razón que constituye la base lógica y jurídica para imponer al justiciable la carga de recurrir previamente a los medios ordinarios, antes de acceder a la justicia constitucional federal, radica en la explicación de sentido común de que tales medios de impugnación no son meras exigencias formales para retardar la impartición de la justicia, obstáculos impuestos al gobernado con el afán de dificultarle la preservación de sus derechos ni requisitos inocuos que deben cumplirse para conseguir la tutela efectiva que les garantiza la Constitución federal, sino instrumentos aptos y suficientes para reparar, oportuna y adecuadamente, las violaciones a las leyes que se hayan cometido en el acto o resolución que se combata; y al ser así las cosas, se impone deducir que, cuando ese propósito o finalidad no se puede satisfacer en algún caso concreto, ya sea por las especiales peculiaridades del asunto, por la forma en que se encuentren regulados los procesos impugnativos comunes, o por las actitudes de la propia autoridad responsable o de la que conoce o deba conocer de algún juicio o recurso de los aludidos, entonces se extingue la carga procesal de agotarlos, y por tanto se puede ocurrir directamente a la vía constitucional, pues las situaciones apuntadas imposibilitan la finalidad restitutoria plena que por naturaleza corresponde a los procesos impugnativos, lo que se robustece si se toma en cuenta que en la jurisdicción electoral no existen medidas o procesos cautelares, ni es posible fáctica ni jurídicamente retrotraer las cosas al tiempo pasado en que se cometieron las violaciones, mediante la reposición de un proceso electoral.</w:t>
      </w:r>
    </w:p>
    <w:p w14:paraId="4082848E" w14:textId="77777777" w:rsidR="009B02C2" w:rsidRPr="00CF2780" w:rsidRDefault="009B02C2" w:rsidP="009B02C2">
      <w:pPr>
        <w:spacing w:before="100" w:beforeAutospacing="1" w:after="100" w:afterAutospacing="1" w:line="240" w:lineRule="auto"/>
        <w:ind w:left="567" w:right="567"/>
        <w:jc w:val="both"/>
        <w:rPr>
          <w:rFonts w:ascii="Arial" w:eastAsia="Times New Roman" w:hAnsi="Arial" w:cs="Arial"/>
          <w:b/>
          <w:bCs/>
          <w:sz w:val="24"/>
          <w:szCs w:val="24"/>
          <w:lang w:val="es-ES" w:eastAsia="es-MX"/>
        </w:rPr>
      </w:pPr>
      <w:r w:rsidRPr="00CF2780">
        <w:rPr>
          <w:rFonts w:ascii="Arial" w:eastAsia="Times New Roman" w:hAnsi="Arial" w:cs="Arial"/>
          <w:b/>
          <w:bCs/>
          <w:sz w:val="24"/>
          <w:szCs w:val="24"/>
          <w:lang w:val="es-ES" w:eastAsia="es-MX"/>
        </w:rPr>
        <w:t>Tercera Época:</w:t>
      </w:r>
    </w:p>
    <w:p w14:paraId="6A241ABE" w14:textId="77777777" w:rsidR="009B02C2" w:rsidRPr="00CF2780" w:rsidRDefault="009B02C2" w:rsidP="009B02C2">
      <w:pPr>
        <w:spacing w:before="100" w:beforeAutospacing="1" w:after="100" w:afterAutospacing="1" w:line="240" w:lineRule="auto"/>
        <w:ind w:left="567" w:right="567"/>
        <w:jc w:val="both"/>
        <w:rPr>
          <w:rFonts w:ascii="Arial" w:eastAsia="Times New Roman" w:hAnsi="Arial" w:cs="Arial"/>
          <w:sz w:val="24"/>
          <w:szCs w:val="24"/>
          <w:lang w:val="es-ES" w:eastAsia="es-MX"/>
        </w:rPr>
      </w:pPr>
      <w:r w:rsidRPr="00CF2780">
        <w:rPr>
          <w:rFonts w:ascii="Arial" w:eastAsia="Times New Roman" w:hAnsi="Arial" w:cs="Arial"/>
          <w:i/>
          <w:iCs/>
          <w:sz w:val="24"/>
          <w:szCs w:val="24"/>
          <w:lang w:val="es-ES" w:eastAsia="es-MX"/>
        </w:rPr>
        <w:lastRenderedPageBreak/>
        <w:t>Juicio para la protección de los derechos político-electorales del ciudadano. SUP-JDC-020/2001. Daniel Ulloa Valenzuela. 8 de junio de 2001. Unanimidad de votos.</w:t>
      </w:r>
    </w:p>
    <w:p w14:paraId="0622DF17" w14:textId="77777777" w:rsidR="009B02C2" w:rsidRPr="00CF2780" w:rsidRDefault="009B02C2" w:rsidP="009B02C2">
      <w:pPr>
        <w:spacing w:before="100" w:beforeAutospacing="1" w:after="100" w:afterAutospacing="1" w:line="240" w:lineRule="auto"/>
        <w:ind w:left="567" w:right="567"/>
        <w:jc w:val="both"/>
        <w:rPr>
          <w:rFonts w:ascii="Arial" w:eastAsia="Times New Roman" w:hAnsi="Arial" w:cs="Arial"/>
          <w:i/>
          <w:iCs/>
          <w:sz w:val="24"/>
          <w:szCs w:val="24"/>
          <w:lang w:val="es-ES" w:eastAsia="es-MX"/>
        </w:rPr>
      </w:pPr>
      <w:r w:rsidRPr="00CF2780">
        <w:rPr>
          <w:rFonts w:ascii="Arial" w:eastAsia="Times New Roman" w:hAnsi="Arial" w:cs="Arial"/>
          <w:i/>
          <w:iCs/>
          <w:sz w:val="24"/>
          <w:szCs w:val="24"/>
          <w:lang w:val="es-ES" w:eastAsia="es-MX"/>
        </w:rPr>
        <w:t>Juicio para la protección de los derechos político-electorales del ciudadano. SUP-JDC-027/2001. Santa Blanca Chaidez Castillo. 10 de junio de 2001. Unanimidad de votos.</w:t>
      </w:r>
    </w:p>
    <w:p w14:paraId="02D536B2" w14:textId="77777777" w:rsidR="009B02C2" w:rsidRPr="00CF2780" w:rsidRDefault="009B02C2" w:rsidP="009B02C2">
      <w:pPr>
        <w:spacing w:before="100" w:beforeAutospacing="1" w:after="100" w:afterAutospacing="1" w:line="240" w:lineRule="auto"/>
        <w:ind w:left="567" w:right="567"/>
        <w:jc w:val="both"/>
        <w:rPr>
          <w:rFonts w:ascii="Arial" w:eastAsia="Times New Roman" w:hAnsi="Arial" w:cs="Arial"/>
          <w:i/>
          <w:iCs/>
          <w:sz w:val="24"/>
          <w:szCs w:val="24"/>
          <w:lang w:val="es-ES" w:eastAsia="es-MX"/>
        </w:rPr>
      </w:pPr>
      <w:r w:rsidRPr="00CF2780">
        <w:rPr>
          <w:rFonts w:ascii="Arial" w:eastAsia="Times New Roman" w:hAnsi="Arial" w:cs="Arial"/>
          <w:i/>
          <w:iCs/>
          <w:sz w:val="24"/>
          <w:szCs w:val="24"/>
          <w:lang w:val="es-ES" w:eastAsia="es-MX"/>
        </w:rPr>
        <w:t>Juicio para la protección de los derechos político-electorales del ciudadano. SUP-JDC-028/2001. Lucio Frías García. 10 de junio de 2001. Unanimidad de votos.</w:t>
      </w:r>
    </w:p>
    <w:p w14:paraId="48A00D20" w14:textId="77777777" w:rsidR="009B02C2" w:rsidRPr="00CF2780" w:rsidRDefault="009B02C2" w:rsidP="009B02C2">
      <w:pPr>
        <w:spacing w:before="100" w:beforeAutospacing="1" w:after="100" w:afterAutospacing="1" w:line="240" w:lineRule="auto"/>
        <w:ind w:left="567" w:right="567"/>
        <w:jc w:val="both"/>
        <w:rPr>
          <w:rFonts w:ascii="Arial" w:eastAsia="Times New Roman" w:hAnsi="Arial" w:cs="Arial"/>
          <w:sz w:val="24"/>
          <w:szCs w:val="24"/>
          <w:lang w:val="es-ES" w:eastAsia="es-MX"/>
        </w:rPr>
      </w:pPr>
      <w:r w:rsidRPr="00CF2780">
        <w:rPr>
          <w:rFonts w:ascii="Arial" w:eastAsia="Times New Roman" w:hAnsi="Arial" w:cs="Arial"/>
          <w:b/>
          <w:bCs/>
          <w:sz w:val="24"/>
          <w:szCs w:val="24"/>
          <w:lang w:val="es-ES" w:eastAsia="es-MX"/>
        </w:rPr>
        <w:t>La Sala Superior en sesión celebrada el dieciséis de noviembre del año dos mil uno, aprobó por unanimidad de votos la jurisprudencia que antecede</w:t>
      </w:r>
      <w:r w:rsidRPr="00CF2780">
        <w:rPr>
          <w:rFonts w:ascii="Arial" w:eastAsia="Times New Roman" w:hAnsi="Arial" w:cs="Arial"/>
          <w:sz w:val="24"/>
          <w:szCs w:val="24"/>
          <w:lang w:val="es-ES" w:eastAsia="es-MX"/>
        </w:rPr>
        <w:t xml:space="preserve"> </w:t>
      </w:r>
      <w:r w:rsidRPr="00CF2780">
        <w:rPr>
          <w:rFonts w:ascii="Arial" w:eastAsia="Times New Roman" w:hAnsi="Arial" w:cs="Arial"/>
          <w:b/>
          <w:bCs/>
          <w:sz w:val="24"/>
          <w:szCs w:val="24"/>
          <w:lang w:val="es-ES" w:eastAsia="es-MX"/>
        </w:rPr>
        <w:t>y la declaró formalmente obligatoria</w:t>
      </w:r>
      <w:r w:rsidRPr="00CF2780">
        <w:rPr>
          <w:rFonts w:ascii="Arial" w:eastAsia="Times New Roman" w:hAnsi="Arial" w:cs="Arial"/>
          <w:sz w:val="24"/>
          <w:szCs w:val="24"/>
          <w:lang w:val="es-ES" w:eastAsia="es-MX"/>
        </w:rPr>
        <w:t>.</w:t>
      </w:r>
    </w:p>
    <w:p w14:paraId="3F2462E3" w14:textId="77777777" w:rsidR="009B02C2" w:rsidRPr="00CF2780" w:rsidRDefault="009B02C2" w:rsidP="009B02C2">
      <w:pPr>
        <w:spacing w:before="100" w:beforeAutospacing="1" w:after="100" w:afterAutospacing="1" w:line="240" w:lineRule="auto"/>
        <w:ind w:left="567" w:right="567"/>
        <w:jc w:val="both"/>
        <w:rPr>
          <w:rFonts w:ascii="Arial" w:eastAsia="Times New Roman" w:hAnsi="Arial" w:cs="Arial"/>
          <w:b/>
          <w:bCs/>
          <w:sz w:val="24"/>
          <w:szCs w:val="24"/>
          <w:lang w:val="es-ES" w:eastAsia="es-MX"/>
        </w:rPr>
      </w:pPr>
      <w:r w:rsidRPr="00CF2780">
        <w:rPr>
          <w:rFonts w:ascii="Arial" w:eastAsia="Times New Roman" w:hAnsi="Arial" w:cs="Arial"/>
          <w:b/>
          <w:bCs/>
          <w:sz w:val="24"/>
          <w:szCs w:val="24"/>
          <w:lang w:val="es-ES" w:eastAsia="es-MX"/>
        </w:rPr>
        <w:t>Justicia Electoral. Revista del Tribunal Electoral del Poder Judicial de la Federación, Suplemento 5, Año 2002, páginas 13 y 14.</w:t>
      </w:r>
    </w:p>
    <w:p w14:paraId="71F27C46"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7E967326" w14:textId="77777777" w:rsidR="009B02C2" w:rsidRPr="00CF2780" w:rsidRDefault="009B02C2" w:rsidP="009B02C2">
      <w:pPr>
        <w:spacing w:before="240" w:after="0" w:line="360" w:lineRule="auto"/>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 xml:space="preserve">Esta Sala Superior advierte que la demanda de juicio para la protección de los derechos político electorales del ciudadano que dio lugar al presente juicio están escritos en español, por lo que no existe razón para que se designe un intérprete ni que se realice la traducción de las actuaciones que se realizaron en el juicio, especialmente, la presente sentencia, a fin de que accedan plenamente a la jurisdicción del Estado, así como para que preserven y enriquezcan su lengua (artículos 2°, fracción IV, de </w:t>
      </w:r>
      <w:smartTag w:uri="urn:schemas-microsoft-com:office:smarttags" w:element="PersonName">
        <w:smartTagPr>
          <w:attr w:name="ProductID" w:val="la Constituci￳n"/>
        </w:smartTagPr>
        <w:r w:rsidRPr="00CF2780">
          <w:rPr>
            <w:rFonts w:ascii="Arial" w:eastAsia="Times New Roman" w:hAnsi="Arial" w:cs="Arial"/>
            <w:sz w:val="28"/>
            <w:szCs w:val="24"/>
            <w:lang w:val="es-ES" w:eastAsia="es-ES"/>
          </w:rPr>
          <w:t>la Constitución</w:t>
        </w:r>
      </w:smartTag>
      <w:r w:rsidRPr="00CF2780">
        <w:rPr>
          <w:rFonts w:ascii="Arial" w:eastAsia="Times New Roman" w:hAnsi="Arial" w:cs="Arial"/>
          <w:sz w:val="28"/>
          <w:szCs w:val="24"/>
          <w:lang w:val="es-ES" w:eastAsia="es-ES"/>
        </w:rPr>
        <w:t xml:space="preserve"> federal; 12 del Convenio 169 sobre Pueblos Indígenas y Tribales en Países Independientes; 13, párrafo 2, de </w:t>
      </w:r>
      <w:smartTag w:uri="urn:schemas-microsoft-com:office:smarttags" w:element="PersonName">
        <w:smartTagPr>
          <w:attr w:name="ProductID" w:val="la Declaraci￳n"/>
        </w:smartTagPr>
        <w:r w:rsidRPr="00CF2780">
          <w:rPr>
            <w:rFonts w:ascii="Arial" w:eastAsia="Times New Roman" w:hAnsi="Arial" w:cs="Arial"/>
            <w:sz w:val="28"/>
            <w:szCs w:val="24"/>
            <w:lang w:val="es-ES" w:eastAsia="es-ES"/>
          </w:rPr>
          <w:t>la Declaración</w:t>
        </w:r>
      </w:smartTag>
      <w:r w:rsidRPr="00CF2780">
        <w:rPr>
          <w:rFonts w:ascii="Arial" w:eastAsia="Times New Roman" w:hAnsi="Arial" w:cs="Arial"/>
          <w:sz w:val="28"/>
          <w:szCs w:val="24"/>
          <w:lang w:val="es-ES" w:eastAsia="es-ES"/>
        </w:rPr>
        <w:t xml:space="preserve"> de las Naciones Unidas sobre Derechos de los Pueblos Indígenas; 4°, párrafo 2, de </w:t>
      </w:r>
      <w:smartTag w:uri="urn:schemas-microsoft-com:office:smarttags" w:element="PersonName">
        <w:smartTagPr>
          <w:attr w:name="ProductID" w:val="la Declaraci￳n"/>
        </w:smartTagPr>
        <w:r w:rsidRPr="00CF2780">
          <w:rPr>
            <w:rFonts w:ascii="Arial" w:eastAsia="Times New Roman" w:hAnsi="Arial" w:cs="Arial"/>
            <w:sz w:val="28"/>
            <w:szCs w:val="24"/>
            <w:lang w:val="es-ES" w:eastAsia="es-ES"/>
          </w:rPr>
          <w:t>la Declaración</w:t>
        </w:r>
      </w:smartTag>
      <w:r w:rsidRPr="00CF2780">
        <w:rPr>
          <w:rFonts w:ascii="Arial" w:eastAsia="Times New Roman" w:hAnsi="Arial" w:cs="Arial"/>
          <w:sz w:val="28"/>
          <w:szCs w:val="24"/>
          <w:lang w:val="es-ES" w:eastAsia="es-ES"/>
        </w:rPr>
        <w:t xml:space="preserve"> sobre Derechos de las Personas Pertenecientes a Minorías Nacionales o Étnicas, Religiosas y Lingüísticas, así como 9 y 10, párrafos primero y segundo, de </w:t>
      </w:r>
      <w:smartTag w:uri="urn:schemas-microsoft-com:office:smarttags" w:element="PersonName">
        <w:smartTagPr>
          <w:attr w:name="ProductID" w:val="la Ley General"/>
        </w:smartTagPr>
        <w:r w:rsidRPr="00CF2780">
          <w:rPr>
            <w:rFonts w:ascii="Arial" w:eastAsia="Times New Roman" w:hAnsi="Arial" w:cs="Arial"/>
            <w:sz w:val="28"/>
            <w:szCs w:val="24"/>
            <w:lang w:val="es-ES" w:eastAsia="es-ES"/>
          </w:rPr>
          <w:t>la Ley General</w:t>
        </w:r>
      </w:smartTag>
      <w:r w:rsidRPr="00CF2780">
        <w:rPr>
          <w:rFonts w:ascii="Arial" w:eastAsia="Times New Roman" w:hAnsi="Arial" w:cs="Arial"/>
          <w:sz w:val="28"/>
          <w:szCs w:val="24"/>
          <w:lang w:val="es-ES" w:eastAsia="es-ES"/>
        </w:rPr>
        <w:t xml:space="preserve"> de Derechos Lingüísticos de los Pueblos Indígenas).</w:t>
      </w:r>
    </w:p>
    <w:p w14:paraId="6CCC8465"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7CFFFFD0"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 xml:space="preserve">TERCERO. Precisión de los actos reclamados. </w:t>
      </w:r>
      <w:r w:rsidRPr="00CF2780">
        <w:rPr>
          <w:rFonts w:ascii="Arial" w:eastAsia="Times New Roman" w:hAnsi="Arial" w:cs="Arial"/>
          <w:sz w:val="28"/>
          <w:szCs w:val="28"/>
          <w:lang w:val="es-ES" w:eastAsia="es-ES"/>
        </w:rPr>
        <w:t>El diez de enero de dos mil doce, el Secretario General del Instituto Electoral del Estado de Michoacán, en su oficio de respuesta a la solicitud de información de los ahora actores en relación con el resultado de la consulta realizada en el Municipio de Cherán, Michoacán, señala que “dichos resultados, así como los datos referentes a la preparación de dicha consulta y los lugares en los que se llevó a cabo, se encuentran señalados en el ‘informe [</w:t>
      </w:r>
      <w:r w:rsidRPr="00CF2780">
        <w:rPr>
          <w:rFonts w:ascii="Arial" w:eastAsia="Times New Roman" w:hAnsi="Arial" w:cs="Arial"/>
          <w:i/>
          <w:sz w:val="28"/>
          <w:szCs w:val="28"/>
          <w:lang w:val="es-ES" w:eastAsia="es-ES"/>
        </w:rPr>
        <w:t>sic</w:t>
      </w:r>
      <w:r w:rsidRPr="00CF2780">
        <w:rPr>
          <w:rFonts w:ascii="Arial" w:eastAsia="Times New Roman" w:hAnsi="Arial" w:cs="Arial"/>
          <w:sz w:val="28"/>
          <w:szCs w:val="28"/>
          <w:lang w:val="es-ES" w:eastAsia="es-ES"/>
        </w:rPr>
        <w:t>] que rinde la Comisión Especial para dar seguimiento a la resolución emitida por la Sala Superior del Tribunal Electoral del Poder Judicial de la Federación dentro del Juicio para la Protección de los Derechos Político Electorales del Ciudadano, número SUP-JDC-916/2011’, el cual, se dice, fue presentado ante el Consejo General del Instituto Electoral de Michoacán y publicado en el Periódico Oficial del Gobierno Constitucional del Estado de Michoacán de Ocampo, el día “05 cinco de enero del año en curso” [</w:t>
      </w:r>
      <w:r w:rsidRPr="00CF2780">
        <w:rPr>
          <w:rFonts w:ascii="Arial" w:eastAsia="Times New Roman" w:hAnsi="Arial" w:cs="Arial"/>
          <w:i/>
          <w:sz w:val="28"/>
          <w:szCs w:val="28"/>
          <w:lang w:val="es-ES" w:eastAsia="es-ES"/>
        </w:rPr>
        <w:t>sic</w:t>
      </w:r>
      <w:r w:rsidRPr="00CF2780">
        <w:rPr>
          <w:rFonts w:ascii="Arial" w:eastAsia="Times New Roman" w:hAnsi="Arial" w:cs="Arial"/>
          <w:sz w:val="28"/>
          <w:szCs w:val="28"/>
          <w:lang w:val="es-ES" w:eastAsia="es-ES"/>
        </w:rPr>
        <w:t xml:space="preserve">].   </w:t>
      </w:r>
    </w:p>
    <w:p w14:paraId="0405C8C6"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6CF4114B"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En su escrito de demanda, los promoventes sostienen que, en dicho informe, el Secretario General del Instituto Electoral de Michoacán les proporcionó los resultados de la consulta y esa fue la forma a través de la cual se enteraron del desarrollo de la misma. </w:t>
      </w:r>
    </w:p>
    <w:p w14:paraId="6A486161"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75CCBF3F"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En tal virtud, dado que los agravios de los promoventes están dirigidos a mostrar que en el procedimiento de la consulta se cometieron diversos vicios y, por ende, que los resultados de la consulta no son válidos, se tiene como acto reclamado el citado informe (fojas 94 a 99 de autos), en el entendido de que coincide con la información contenida en el </w:t>
      </w:r>
      <w:r w:rsidRPr="00CF2780">
        <w:rPr>
          <w:rFonts w:ascii="Arial" w:eastAsia="Times New Roman" w:hAnsi="Arial" w:cs="Arial"/>
          <w:i/>
          <w:sz w:val="28"/>
          <w:szCs w:val="28"/>
          <w:lang w:val="es-ES" w:eastAsia="es-ES"/>
        </w:rPr>
        <w:lastRenderedPageBreak/>
        <w:t>Informe de resultados de la Consulta realizada en cumplimiento a lo dispuesto en el considerando noveno inciso b), punto 1, de la resolución de fecha 2 de noviembre de 2011, dictada dentro del Juicio para la Protección de los Derechos Político Electorales del Ciudadano, número SUP-JDC-916/2011</w:t>
      </w:r>
      <w:r w:rsidRPr="00CF2780">
        <w:rPr>
          <w:rFonts w:ascii="Arial" w:eastAsia="Times New Roman" w:hAnsi="Arial" w:cs="Arial"/>
          <w:sz w:val="28"/>
          <w:szCs w:val="28"/>
          <w:lang w:val="es-ES" w:eastAsia="es-ES"/>
        </w:rPr>
        <w:t xml:space="preserve">, el cual fue publicado en el referido Periódico Oficial el cuatro de enero de dos mil doce.  </w:t>
      </w:r>
    </w:p>
    <w:p w14:paraId="4AD1BB23" w14:textId="77777777" w:rsidR="009B02C2" w:rsidRPr="00CF2780" w:rsidRDefault="009B02C2" w:rsidP="009B02C2">
      <w:pPr>
        <w:spacing w:after="0" w:line="360" w:lineRule="auto"/>
        <w:jc w:val="both"/>
        <w:rPr>
          <w:rFonts w:ascii="Arial" w:eastAsia="Times New Roman" w:hAnsi="Arial" w:cs="Arial"/>
          <w:b/>
          <w:sz w:val="28"/>
          <w:szCs w:val="28"/>
          <w:lang w:val="es-ES" w:eastAsia="es-ES"/>
        </w:rPr>
      </w:pPr>
    </w:p>
    <w:p w14:paraId="6B05133E"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 xml:space="preserve">CUARTO. Cuestiones previas para resolver el presente asunto. </w:t>
      </w:r>
      <w:r w:rsidRPr="00CF2780">
        <w:rPr>
          <w:rFonts w:ascii="Arial" w:eastAsia="Times New Roman" w:hAnsi="Arial" w:cs="Arial"/>
          <w:sz w:val="28"/>
          <w:szCs w:val="28"/>
          <w:lang w:val="es-ES" w:eastAsia="es-ES"/>
        </w:rPr>
        <w:t>Para estar en aptitud de dar contestación a los agravios hechos valer, es preciso tener presente los siguientes antecedentes relevantes:</w:t>
      </w:r>
    </w:p>
    <w:p w14:paraId="3CC01015"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 </w:t>
      </w:r>
    </w:p>
    <w:p w14:paraId="2F35D876"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A</w:t>
      </w:r>
      <w:r w:rsidRPr="00CF2780">
        <w:rPr>
          <w:rFonts w:ascii="Arial" w:eastAsia="Times New Roman" w:hAnsi="Arial" w:cs="Arial"/>
          <w:sz w:val="28"/>
          <w:szCs w:val="28"/>
          <w:lang w:val="es-ES" w:eastAsia="es-ES"/>
        </w:rPr>
        <w:t xml:space="preserve">. </w:t>
      </w:r>
      <w:r w:rsidRPr="00CF2780">
        <w:rPr>
          <w:rFonts w:ascii="Arial" w:eastAsia="Times New Roman" w:hAnsi="Arial" w:cs="Arial"/>
          <w:b/>
          <w:sz w:val="28"/>
          <w:szCs w:val="28"/>
          <w:lang w:val="es-ES" w:eastAsia="es-ES"/>
        </w:rPr>
        <w:t>Juicio para la protección de los derechos político-electorales del ciudadano SUP-JDC-9167/2011</w:t>
      </w:r>
      <w:r w:rsidRPr="00CF2780">
        <w:rPr>
          <w:rFonts w:ascii="Arial" w:eastAsia="Times New Roman" w:hAnsi="Arial" w:cs="Arial"/>
          <w:sz w:val="28"/>
          <w:szCs w:val="28"/>
          <w:lang w:val="es-ES" w:eastAsia="es-ES"/>
        </w:rPr>
        <w:t xml:space="preserve">. Esta Sala Superior del Tribunal Electoral del Poder Judicial de la Federación, en la sesión pública de dos de noviembre de dos mil once, al resolver, por mayoría de votos, el referido juicio para la protección de los derechos político-electorales del ciudadano determinó que los integrantes de la comunidad indígena de Cherán tienen derecho a solicitar la elección de sus propias autoridades, siguiendo para ello sus normas, procedimientos y prácticas tradicionales con pleno respeto a los </w:t>
      </w:r>
      <w:r w:rsidRPr="00CF2780">
        <w:rPr>
          <w:rFonts w:ascii="Arial" w:eastAsia="Times New Roman" w:hAnsi="Arial" w:cs="Arial"/>
          <w:b/>
          <w:sz w:val="28"/>
          <w:szCs w:val="28"/>
          <w:lang w:val="es-ES" w:eastAsia="es-ES"/>
        </w:rPr>
        <w:t>derechos humanos</w:t>
      </w:r>
      <w:r w:rsidRPr="00CF2780">
        <w:rPr>
          <w:rFonts w:ascii="Arial" w:eastAsia="Times New Roman" w:hAnsi="Arial" w:cs="Arial"/>
          <w:sz w:val="28"/>
          <w:szCs w:val="28"/>
          <w:lang w:val="es-ES" w:eastAsia="es-ES"/>
        </w:rPr>
        <w:t xml:space="preserve">, al tenor de los siguientes puntos resolutivos: </w:t>
      </w:r>
    </w:p>
    <w:p w14:paraId="3FBDF0BF"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74C9ACF8" w14:textId="77777777" w:rsidR="009B02C2" w:rsidRPr="00CF2780" w:rsidRDefault="009B02C2" w:rsidP="009B02C2">
      <w:pPr>
        <w:spacing w:after="0" w:line="240" w:lineRule="auto"/>
        <w:ind w:left="567" w:right="567" w:firstLine="709"/>
        <w:jc w:val="both"/>
        <w:rPr>
          <w:rFonts w:ascii="Arial" w:eastAsia="Times New Roman" w:hAnsi="Arial" w:cs="Arial"/>
          <w:bCs/>
          <w:color w:val="000000"/>
          <w:spacing w:val="3"/>
          <w:sz w:val="24"/>
          <w:szCs w:val="24"/>
          <w:lang w:val="es-ES_tradnl" w:eastAsia="es-ES"/>
        </w:rPr>
      </w:pPr>
      <w:r w:rsidRPr="00CF2780">
        <w:rPr>
          <w:rFonts w:ascii="Arial" w:eastAsia="Times New Roman" w:hAnsi="Arial" w:cs="Arial"/>
          <w:b/>
          <w:sz w:val="24"/>
          <w:szCs w:val="24"/>
          <w:lang w:val="es-ES" w:eastAsia="es-ES"/>
        </w:rPr>
        <w:t>PRIMERO.</w:t>
      </w:r>
      <w:r w:rsidRPr="00CF2780">
        <w:rPr>
          <w:rFonts w:ascii="Arial" w:eastAsia="Times New Roman" w:hAnsi="Arial" w:cs="Arial"/>
          <w:sz w:val="24"/>
          <w:szCs w:val="24"/>
          <w:lang w:val="es-ES" w:eastAsia="es-ES"/>
        </w:rPr>
        <w:t xml:space="preserve"> Se </w:t>
      </w:r>
      <w:r w:rsidRPr="00CF2780">
        <w:rPr>
          <w:rFonts w:ascii="Arial" w:eastAsia="Times New Roman" w:hAnsi="Arial" w:cs="Arial"/>
          <w:b/>
          <w:sz w:val="24"/>
          <w:szCs w:val="24"/>
          <w:lang w:val="es-ES" w:eastAsia="es-ES"/>
        </w:rPr>
        <w:t>revoca</w:t>
      </w:r>
      <w:r w:rsidRPr="00CF2780">
        <w:rPr>
          <w:rFonts w:ascii="Arial" w:eastAsia="Times New Roman" w:hAnsi="Arial" w:cs="Arial"/>
          <w:sz w:val="24"/>
          <w:szCs w:val="24"/>
          <w:lang w:val="es-ES" w:eastAsia="es-ES"/>
        </w:rPr>
        <w:t xml:space="preserve"> el </w:t>
      </w:r>
      <w:r w:rsidRPr="00CF2780">
        <w:rPr>
          <w:rFonts w:ascii="Arial" w:eastAsia="Times New Roman" w:hAnsi="Arial" w:cs="Arial"/>
          <w:bCs/>
          <w:color w:val="000000"/>
          <w:spacing w:val="3"/>
          <w:sz w:val="24"/>
          <w:szCs w:val="24"/>
          <w:lang w:val="es-ES_tradnl" w:eastAsia="es-ES"/>
        </w:rPr>
        <w:t xml:space="preserve">acuerdo CG-38/2011 de nueve de septiembre de dos mil once emitido por el Consejo General del Instituto Electoral de Michoacán por el que se da </w:t>
      </w:r>
      <w:r w:rsidRPr="00CF2780">
        <w:rPr>
          <w:rFonts w:ascii="Arial" w:eastAsia="Times New Roman" w:hAnsi="Arial" w:cs="Arial"/>
          <w:bCs/>
          <w:color w:val="000000"/>
          <w:spacing w:val="2"/>
          <w:sz w:val="24"/>
          <w:szCs w:val="24"/>
          <w:lang w:val="es-ES_tradnl" w:eastAsia="es-ES"/>
        </w:rPr>
        <w:t xml:space="preserve">respuesta a la petición de la Comunidad Indígena de Cherán para celebrar elecciones </w:t>
      </w:r>
      <w:r w:rsidRPr="00CF2780">
        <w:rPr>
          <w:rFonts w:ascii="Arial" w:eastAsia="Times New Roman" w:hAnsi="Arial" w:cs="Arial"/>
          <w:bCs/>
          <w:color w:val="000000"/>
          <w:spacing w:val="3"/>
          <w:sz w:val="24"/>
          <w:szCs w:val="24"/>
          <w:lang w:val="es-ES_tradnl" w:eastAsia="es-ES"/>
        </w:rPr>
        <w:t>bajo sus usos y costumbres.</w:t>
      </w:r>
    </w:p>
    <w:p w14:paraId="77FDA146" w14:textId="77777777" w:rsidR="009B02C2" w:rsidRPr="00CF2780" w:rsidRDefault="009B02C2" w:rsidP="009B02C2">
      <w:pPr>
        <w:spacing w:after="0" w:line="240" w:lineRule="auto"/>
        <w:ind w:left="567" w:right="567" w:firstLine="709"/>
        <w:jc w:val="both"/>
        <w:rPr>
          <w:rFonts w:ascii="Arial" w:eastAsia="Times New Roman" w:hAnsi="Arial" w:cs="Arial"/>
          <w:b/>
          <w:sz w:val="24"/>
          <w:szCs w:val="24"/>
          <w:lang w:val="es-ES" w:eastAsia="es-ES"/>
        </w:rPr>
      </w:pPr>
    </w:p>
    <w:p w14:paraId="5820EBF2" w14:textId="77777777" w:rsidR="009B02C2" w:rsidRPr="00CF2780" w:rsidRDefault="009B02C2" w:rsidP="009B02C2">
      <w:pPr>
        <w:spacing w:after="0" w:line="240" w:lineRule="auto"/>
        <w:ind w:left="567" w:right="567" w:firstLine="709"/>
        <w:jc w:val="both"/>
        <w:rPr>
          <w:rFonts w:ascii="Arial" w:eastAsia="Times New Roman" w:hAnsi="Arial" w:cs="Arial"/>
          <w:bCs/>
          <w:color w:val="000000"/>
          <w:spacing w:val="3"/>
          <w:sz w:val="24"/>
          <w:szCs w:val="24"/>
          <w:lang w:val="es-ES_tradnl" w:eastAsia="es-ES"/>
        </w:rPr>
      </w:pPr>
      <w:r w:rsidRPr="00CF2780">
        <w:rPr>
          <w:rFonts w:ascii="Arial" w:eastAsia="Times New Roman" w:hAnsi="Arial" w:cs="Arial"/>
          <w:b/>
          <w:sz w:val="24"/>
          <w:szCs w:val="24"/>
          <w:lang w:val="es-ES" w:eastAsia="es-ES"/>
        </w:rPr>
        <w:t xml:space="preserve">SEGUNDO. </w:t>
      </w:r>
      <w:r w:rsidRPr="00CF2780">
        <w:rPr>
          <w:rFonts w:ascii="Arial" w:eastAsia="Times New Roman" w:hAnsi="Arial" w:cs="Arial"/>
          <w:bCs/>
          <w:color w:val="000000"/>
          <w:spacing w:val="3"/>
          <w:sz w:val="24"/>
          <w:szCs w:val="24"/>
          <w:lang w:val="es-ES_tradnl" w:eastAsia="es-ES"/>
        </w:rPr>
        <w:t xml:space="preserve">Se </w:t>
      </w:r>
      <w:r w:rsidRPr="00CF2780">
        <w:rPr>
          <w:rFonts w:ascii="Arial" w:eastAsia="Times New Roman" w:hAnsi="Arial" w:cs="Arial"/>
          <w:b/>
          <w:bCs/>
          <w:color w:val="000000"/>
          <w:spacing w:val="3"/>
          <w:sz w:val="24"/>
          <w:szCs w:val="24"/>
          <w:lang w:val="es-ES_tradnl" w:eastAsia="es-ES"/>
        </w:rPr>
        <w:t>determina</w:t>
      </w:r>
      <w:r w:rsidRPr="00CF2780">
        <w:rPr>
          <w:rFonts w:ascii="Arial" w:eastAsia="Times New Roman" w:hAnsi="Arial" w:cs="Arial"/>
          <w:bCs/>
          <w:color w:val="000000"/>
          <w:spacing w:val="3"/>
          <w:sz w:val="24"/>
          <w:szCs w:val="24"/>
          <w:lang w:val="es-ES_tradnl" w:eastAsia="es-ES"/>
        </w:rPr>
        <w:t xml:space="preserve"> que los integrantes  de la comunidad indígena de Cherán tienen derecho a solicitar la elección de sus propias </w:t>
      </w:r>
      <w:r w:rsidRPr="00CF2780">
        <w:rPr>
          <w:rFonts w:ascii="Arial" w:eastAsia="Times New Roman" w:hAnsi="Arial" w:cs="Arial"/>
          <w:bCs/>
          <w:color w:val="000000"/>
          <w:spacing w:val="3"/>
          <w:sz w:val="24"/>
          <w:szCs w:val="24"/>
          <w:lang w:val="es-ES_tradnl" w:eastAsia="es-ES"/>
        </w:rPr>
        <w:lastRenderedPageBreak/>
        <w:t>autoridades, siguiendo para ello sus normas, procedimientos y prácticas tradicionales, con pleno respeto a los derechos humanos.</w:t>
      </w:r>
    </w:p>
    <w:p w14:paraId="020883F3" w14:textId="77777777" w:rsidR="009B02C2" w:rsidRPr="00CF2780" w:rsidRDefault="009B02C2" w:rsidP="009B02C2">
      <w:pPr>
        <w:spacing w:after="0" w:line="240" w:lineRule="auto"/>
        <w:ind w:left="567" w:right="567" w:firstLine="709"/>
        <w:jc w:val="both"/>
        <w:rPr>
          <w:rFonts w:ascii="Arial" w:eastAsia="Times New Roman" w:hAnsi="Arial" w:cs="Arial"/>
          <w:bCs/>
          <w:color w:val="000000"/>
          <w:spacing w:val="3"/>
          <w:sz w:val="24"/>
          <w:szCs w:val="24"/>
          <w:lang w:val="es-ES_tradnl" w:eastAsia="es-ES"/>
        </w:rPr>
      </w:pPr>
    </w:p>
    <w:p w14:paraId="1BBABD5F" w14:textId="77777777" w:rsidR="009B02C2" w:rsidRPr="00CF2780" w:rsidRDefault="009B02C2" w:rsidP="009B02C2">
      <w:pPr>
        <w:spacing w:after="0" w:line="240" w:lineRule="auto"/>
        <w:ind w:left="567" w:right="567" w:firstLine="709"/>
        <w:jc w:val="both"/>
        <w:rPr>
          <w:rFonts w:ascii="Arial" w:eastAsia="Times New Roman" w:hAnsi="Arial" w:cs="Arial"/>
          <w:bCs/>
          <w:color w:val="000000"/>
          <w:spacing w:val="3"/>
          <w:sz w:val="24"/>
          <w:szCs w:val="24"/>
          <w:lang w:val="es-ES_tradnl" w:eastAsia="es-ES"/>
        </w:rPr>
      </w:pPr>
      <w:r w:rsidRPr="00CF2780">
        <w:rPr>
          <w:rFonts w:ascii="Arial" w:eastAsia="Times New Roman" w:hAnsi="Arial" w:cs="Arial"/>
          <w:b/>
          <w:bCs/>
          <w:color w:val="000000"/>
          <w:spacing w:val="3"/>
          <w:sz w:val="24"/>
          <w:szCs w:val="24"/>
          <w:lang w:val="es-ES_tradnl" w:eastAsia="es-ES"/>
        </w:rPr>
        <w:t>TERCERO.</w:t>
      </w:r>
      <w:r w:rsidRPr="00CF2780">
        <w:rPr>
          <w:rFonts w:ascii="Arial" w:eastAsia="Times New Roman" w:hAnsi="Arial" w:cs="Arial"/>
          <w:bCs/>
          <w:color w:val="000000"/>
          <w:spacing w:val="3"/>
          <w:sz w:val="24"/>
          <w:szCs w:val="24"/>
          <w:lang w:val="es-ES_tradnl" w:eastAsia="es-ES"/>
        </w:rPr>
        <w:t xml:space="preserve"> Se dejan sin efectos todos los acuerdos de las autoridades electorales locales relacionados directamente con la elección de integrantes del Ayuntamiento en el Municipio de Cherán, para la preparación y organización de los comicios conforme al régimen de partidos políticos.</w:t>
      </w:r>
    </w:p>
    <w:p w14:paraId="65FFB2EA" w14:textId="77777777" w:rsidR="009B02C2" w:rsidRPr="00CF2780" w:rsidRDefault="009B02C2" w:rsidP="009B02C2">
      <w:pPr>
        <w:spacing w:after="0" w:line="240" w:lineRule="auto"/>
        <w:ind w:left="567" w:right="567" w:firstLine="709"/>
        <w:jc w:val="both"/>
        <w:rPr>
          <w:rFonts w:ascii="Arial" w:eastAsia="Times New Roman" w:hAnsi="Arial" w:cs="Arial"/>
          <w:bCs/>
          <w:color w:val="000000"/>
          <w:spacing w:val="3"/>
          <w:sz w:val="24"/>
          <w:szCs w:val="24"/>
          <w:lang w:val="es-ES_tradnl" w:eastAsia="es-ES"/>
        </w:rPr>
      </w:pPr>
    </w:p>
    <w:p w14:paraId="1D7F9DD7" w14:textId="77777777" w:rsidR="009B02C2" w:rsidRPr="00CF2780" w:rsidRDefault="009B02C2" w:rsidP="009B02C2">
      <w:pPr>
        <w:spacing w:after="0" w:line="240" w:lineRule="auto"/>
        <w:ind w:left="567" w:right="567" w:firstLine="709"/>
        <w:jc w:val="both"/>
        <w:rPr>
          <w:rFonts w:ascii="Arial" w:eastAsia="Times New Roman" w:hAnsi="Arial" w:cs="Arial"/>
          <w:bCs/>
          <w:color w:val="000000"/>
          <w:spacing w:val="3"/>
          <w:sz w:val="24"/>
          <w:szCs w:val="24"/>
          <w:lang w:val="es-ES_tradnl" w:eastAsia="es-ES"/>
        </w:rPr>
      </w:pPr>
      <w:r w:rsidRPr="00CF2780">
        <w:rPr>
          <w:rFonts w:ascii="Arial" w:eastAsia="Times New Roman" w:hAnsi="Arial" w:cs="Arial"/>
          <w:b/>
          <w:bCs/>
          <w:color w:val="000000"/>
          <w:spacing w:val="3"/>
          <w:sz w:val="24"/>
          <w:szCs w:val="24"/>
          <w:lang w:val="es-ES_tradnl" w:eastAsia="es-ES"/>
        </w:rPr>
        <w:t>CUARTO.</w:t>
      </w:r>
      <w:r w:rsidRPr="00CF2780">
        <w:rPr>
          <w:rFonts w:ascii="Arial" w:eastAsia="Times New Roman" w:hAnsi="Arial" w:cs="Arial"/>
          <w:bCs/>
          <w:color w:val="000000"/>
          <w:spacing w:val="3"/>
          <w:sz w:val="24"/>
          <w:szCs w:val="24"/>
          <w:lang w:val="es-ES_tradnl" w:eastAsia="es-ES"/>
        </w:rPr>
        <w:t xml:space="preserve"> </w:t>
      </w:r>
      <w:r w:rsidRPr="00CF2780">
        <w:rPr>
          <w:rFonts w:ascii="Arial" w:eastAsia="Times New Roman" w:hAnsi="Arial" w:cs="Arial"/>
          <w:b/>
          <w:bCs/>
          <w:color w:val="000000"/>
          <w:spacing w:val="3"/>
          <w:sz w:val="24"/>
          <w:szCs w:val="24"/>
          <w:lang w:val="es-ES_tradnl" w:eastAsia="es-ES"/>
        </w:rPr>
        <w:t xml:space="preserve"> </w:t>
      </w:r>
      <w:r w:rsidRPr="00CF2780">
        <w:rPr>
          <w:rFonts w:ascii="Arial" w:eastAsia="Times New Roman" w:hAnsi="Arial" w:cs="Arial"/>
          <w:bCs/>
          <w:color w:val="000000"/>
          <w:spacing w:val="3"/>
          <w:sz w:val="24"/>
          <w:szCs w:val="24"/>
          <w:lang w:val="es-ES_tradnl" w:eastAsia="es-ES"/>
        </w:rPr>
        <w:t xml:space="preserve"> Se </w:t>
      </w:r>
      <w:r w:rsidRPr="00CF2780">
        <w:rPr>
          <w:rFonts w:ascii="Arial" w:eastAsia="Times New Roman" w:hAnsi="Arial" w:cs="Arial"/>
          <w:b/>
          <w:bCs/>
          <w:color w:val="000000"/>
          <w:spacing w:val="3"/>
          <w:sz w:val="24"/>
          <w:szCs w:val="24"/>
          <w:lang w:val="es-ES_tradnl" w:eastAsia="es-ES"/>
        </w:rPr>
        <w:t>ordena</w:t>
      </w:r>
      <w:r w:rsidRPr="00CF2780">
        <w:rPr>
          <w:rFonts w:ascii="Arial" w:eastAsia="Times New Roman" w:hAnsi="Arial" w:cs="Arial"/>
          <w:bCs/>
          <w:color w:val="000000"/>
          <w:spacing w:val="3"/>
          <w:sz w:val="24"/>
          <w:szCs w:val="24"/>
          <w:lang w:val="es-ES_tradnl" w:eastAsia="es-ES"/>
        </w:rPr>
        <w:t xml:space="preserve"> al Consejo General del Instituto Estatal Electoral de Michoacán realizar todas las acciones ordenadas en el considerando Noveno de la presente resolución.</w:t>
      </w:r>
    </w:p>
    <w:p w14:paraId="43D70AFC" w14:textId="77777777" w:rsidR="009B02C2" w:rsidRPr="00CF2780" w:rsidRDefault="009B02C2" w:rsidP="009B02C2">
      <w:pPr>
        <w:spacing w:after="0" w:line="240" w:lineRule="auto"/>
        <w:ind w:left="567" w:right="567" w:firstLine="709"/>
        <w:jc w:val="both"/>
        <w:rPr>
          <w:rFonts w:ascii="Arial" w:eastAsia="Times New Roman" w:hAnsi="Arial" w:cs="Arial"/>
          <w:bCs/>
          <w:color w:val="000000"/>
          <w:spacing w:val="3"/>
          <w:sz w:val="24"/>
          <w:szCs w:val="24"/>
          <w:lang w:val="es-ES_tradnl" w:eastAsia="es-ES"/>
        </w:rPr>
      </w:pPr>
    </w:p>
    <w:p w14:paraId="2BCD4322" w14:textId="77777777" w:rsidR="009B02C2" w:rsidRPr="00CF2780" w:rsidRDefault="009B02C2" w:rsidP="009B02C2">
      <w:pPr>
        <w:spacing w:after="0" w:line="240" w:lineRule="auto"/>
        <w:ind w:left="567" w:right="567" w:firstLine="709"/>
        <w:jc w:val="both"/>
        <w:rPr>
          <w:rFonts w:ascii="Arial" w:eastAsia="Times New Roman" w:hAnsi="Arial" w:cs="Arial"/>
          <w:bCs/>
          <w:color w:val="000000"/>
          <w:spacing w:val="3"/>
          <w:sz w:val="24"/>
          <w:szCs w:val="24"/>
          <w:lang w:val="es-ES_tradnl" w:eastAsia="es-ES"/>
        </w:rPr>
      </w:pPr>
      <w:r w:rsidRPr="00CF2780">
        <w:rPr>
          <w:rFonts w:ascii="Arial" w:eastAsia="Times New Roman" w:hAnsi="Arial" w:cs="Arial"/>
          <w:b/>
          <w:bCs/>
          <w:color w:val="000000"/>
          <w:spacing w:val="3"/>
          <w:sz w:val="24"/>
          <w:szCs w:val="24"/>
          <w:lang w:val="es-ES_tradnl" w:eastAsia="es-ES"/>
        </w:rPr>
        <w:t xml:space="preserve">QUINTO. </w:t>
      </w:r>
      <w:r w:rsidRPr="00CF2780">
        <w:rPr>
          <w:rFonts w:ascii="Arial" w:eastAsia="Times New Roman" w:hAnsi="Arial" w:cs="Arial"/>
          <w:bCs/>
          <w:color w:val="000000"/>
          <w:spacing w:val="3"/>
          <w:sz w:val="24"/>
          <w:szCs w:val="24"/>
          <w:lang w:val="es-ES_tradnl" w:eastAsia="es-ES"/>
        </w:rPr>
        <w:t>Se ordena al Congreso del Estado de Michoacán realizar todas las acciones ordenadas en el considerando Noveno de la presente resolución.</w:t>
      </w:r>
    </w:p>
    <w:p w14:paraId="7C95442B" w14:textId="77777777" w:rsidR="009B02C2" w:rsidRPr="00CF2780" w:rsidRDefault="009B02C2" w:rsidP="009B02C2">
      <w:pPr>
        <w:spacing w:after="0" w:line="240" w:lineRule="auto"/>
        <w:ind w:left="567" w:right="567" w:firstLine="709"/>
        <w:jc w:val="both"/>
        <w:rPr>
          <w:rFonts w:ascii="Arial" w:eastAsia="Times New Roman" w:hAnsi="Arial" w:cs="Arial"/>
          <w:bCs/>
          <w:color w:val="000000"/>
          <w:spacing w:val="3"/>
          <w:sz w:val="24"/>
          <w:szCs w:val="24"/>
          <w:lang w:val="es-ES_tradnl" w:eastAsia="es-ES"/>
        </w:rPr>
      </w:pPr>
    </w:p>
    <w:p w14:paraId="05651724" w14:textId="77777777" w:rsidR="009B02C2" w:rsidRPr="00CF2780" w:rsidRDefault="009B02C2" w:rsidP="009B02C2">
      <w:pPr>
        <w:spacing w:after="0" w:line="240" w:lineRule="auto"/>
        <w:ind w:left="567" w:right="567" w:firstLine="709"/>
        <w:jc w:val="both"/>
        <w:rPr>
          <w:rFonts w:ascii="Arial" w:eastAsia="Times New Roman" w:hAnsi="Arial" w:cs="Arial"/>
          <w:bCs/>
          <w:color w:val="000000"/>
          <w:spacing w:val="3"/>
          <w:sz w:val="24"/>
          <w:szCs w:val="24"/>
          <w:lang w:val="es-ES_tradnl" w:eastAsia="es-ES"/>
        </w:rPr>
      </w:pPr>
      <w:r w:rsidRPr="00CF2780">
        <w:rPr>
          <w:rFonts w:ascii="Arial" w:eastAsia="Times New Roman" w:hAnsi="Arial" w:cs="Arial"/>
          <w:b/>
          <w:bCs/>
          <w:color w:val="000000"/>
          <w:spacing w:val="3"/>
          <w:sz w:val="24"/>
          <w:szCs w:val="24"/>
          <w:lang w:val="es-ES_tradnl" w:eastAsia="es-ES"/>
        </w:rPr>
        <w:t xml:space="preserve">SEXTO. </w:t>
      </w:r>
      <w:r w:rsidRPr="00CF2780">
        <w:rPr>
          <w:rFonts w:ascii="Arial" w:eastAsia="Times New Roman" w:hAnsi="Arial" w:cs="Arial"/>
          <w:bCs/>
          <w:color w:val="000000"/>
          <w:spacing w:val="3"/>
          <w:sz w:val="24"/>
          <w:szCs w:val="24"/>
          <w:lang w:val="es-ES_tradnl" w:eastAsia="es-ES"/>
        </w:rPr>
        <w:t xml:space="preserve">Se </w:t>
      </w:r>
      <w:r w:rsidRPr="00CF2780">
        <w:rPr>
          <w:rFonts w:ascii="Arial" w:eastAsia="Times New Roman" w:hAnsi="Arial" w:cs="Arial"/>
          <w:b/>
          <w:bCs/>
          <w:color w:val="000000"/>
          <w:spacing w:val="3"/>
          <w:sz w:val="24"/>
          <w:szCs w:val="24"/>
          <w:lang w:val="es-ES_tradnl" w:eastAsia="es-ES"/>
        </w:rPr>
        <w:t>ordena</w:t>
      </w:r>
      <w:r w:rsidRPr="00CF2780">
        <w:rPr>
          <w:rFonts w:ascii="Arial" w:eastAsia="Times New Roman" w:hAnsi="Arial" w:cs="Arial"/>
          <w:bCs/>
          <w:color w:val="000000"/>
          <w:spacing w:val="3"/>
          <w:sz w:val="24"/>
          <w:szCs w:val="24"/>
          <w:lang w:val="es-ES_tradnl" w:eastAsia="es-ES"/>
        </w:rPr>
        <w:t xml:space="preserve"> a las autoridades estatales que, en el ejercicio de sus funciones, acaten la presente ejecutoria y presten el auxilio necesario al Instituto Electoral de Michoacán.</w:t>
      </w:r>
    </w:p>
    <w:p w14:paraId="12357AC0" w14:textId="77777777" w:rsidR="009B02C2" w:rsidRPr="00CF2780" w:rsidRDefault="009B02C2" w:rsidP="009B02C2">
      <w:pPr>
        <w:spacing w:after="0" w:line="240" w:lineRule="auto"/>
        <w:ind w:left="567" w:right="567" w:firstLine="709"/>
        <w:jc w:val="both"/>
        <w:rPr>
          <w:rFonts w:ascii="Arial" w:eastAsia="Times New Roman" w:hAnsi="Arial" w:cs="Arial"/>
          <w:b/>
          <w:bCs/>
          <w:color w:val="000000"/>
          <w:spacing w:val="3"/>
          <w:sz w:val="24"/>
          <w:szCs w:val="24"/>
          <w:lang w:val="es-ES_tradnl" w:eastAsia="es-ES"/>
        </w:rPr>
      </w:pPr>
    </w:p>
    <w:p w14:paraId="28B2D3D8" w14:textId="77777777" w:rsidR="009B02C2" w:rsidRPr="00CF2780" w:rsidRDefault="009B02C2" w:rsidP="009B02C2">
      <w:pPr>
        <w:spacing w:after="0" w:line="240" w:lineRule="auto"/>
        <w:ind w:left="567" w:right="567" w:firstLine="709"/>
        <w:jc w:val="both"/>
        <w:rPr>
          <w:rFonts w:ascii="Arial" w:eastAsia="Times New Roman" w:hAnsi="Arial" w:cs="Arial"/>
          <w:bCs/>
          <w:color w:val="000000"/>
          <w:spacing w:val="3"/>
          <w:sz w:val="24"/>
          <w:szCs w:val="24"/>
          <w:lang w:val="es-ES_tradnl" w:eastAsia="es-ES"/>
        </w:rPr>
      </w:pPr>
      <w:r w:rsidRPr="00CF2780">
        <w:rPr>
          <w:rFonts w:ascii="Arial" w:eastAsia="Times New Roman" w:hAnsi="Arial" w:cs="Arial"/>
          <w:b/>
          <w:bCs/>
          <w:color w:val="000000"/>
          <w:spacing w:val="3"/>
          <w:sz w:val="24"/>
          <w:szCs w:val="24"/>
          <w:lang w:val="es-ES_tradnl" w:eastAsia="es-ES"/>
        </w:rPr>
        <w:t>SÉPTIMO.</w:t>
      </w:r>
      <w:r w:rsidRPr="00CF2780">
        <w:rPr>
          <w:rFonts w:ascii="Arial" w:eastAsia="Times New Roman" w:hAnsi="Arial" w:cs="Arial"/>
          <w:bCs/>
          <w:color w:val="000000"/>
          <w:spacing w:val="3"/>
          <w:sz w:val="24"/>
          <w:szCs w:val="24"/>
          <w:lang w:val="es-ES_tradnl" w:eastAsia="es-ES"/>
        </w:rPr>
        <w:t xml:space="preserve"> Las autoridades deberán </w:t>
      </w:r>
      <w:r w:rsidRPr="00CF2780">
        <w:rPr>
          <w:rFonts w:ascii="Arial" w:eastAsia="Times New Roman" w:hAnsi="Arial" w:cs="Arial"/>
          <w:b/>
          <w:bCs/>
          <w:color w:val="000000"/>
          <w:spacing w:val="3"/>
          <w:sz w:val="24"/>
          <w:szCs w:val="24"/>
          <w:lang w:val="es-ES_tradnl" w:eastAsia="es-ES"/>
        </w:rPr>
        <w:t>remitir</w:t>
      </w:r>
      <w:r w:rsidRPr="00CF2780">
        <w:rPr>
          <w:rFonts w:ascii="Arial" w:eastAsia="Times New Roman" w:hAnsi="Arial" w:cs="Arial"/>
          <w:bCs/>
          <w:color w:val="000000"/>
          <w:spacing w:val="3"/>
          <w:sz w:val="24"/>
          <w:szCs w:val="24"/>
          <w:lang w:val="es-ES_tradnl" w:eastAsia="es-ES"/>
        </w:rPr>
        <w:t xml:space="preserve"> a esta Sala Superior copia certificada de las constancias relativas que demuestren el cumplimiento dado a la presente ejecutoria, en un plazo de tres días hábiles contados, a partir del momento en que emitan las respectivas resoluciones.</w:t>
      </w:r>
    </w:p>
    <w:p w14:paraId="6F75D2DE" w14:textId="77777777" w:rsidR="009B02C2" w:rsidRPr="00CF2780" w:rsidRDefault="009B02C2" w:rsidP="009B02C2">
      <w:pPr>
        <w:spacing w:after="0" w:line="360" w:lineRule="auto"/>
        <w:ind w:left="567" w:right="567" w:firstLine="708"/>
        <w:jc w:val="both"/>
        <w:rPr>
          <w:rFonts w:ascii="Arial" w:eastAsia="Times New Roman" w:hAnsi="Arial" w:cs="Arial"/>
          <w:sz w:val="24"/>
          <w:szCs w:val="24"/>
          <w:lang w:val="es-ES_tradnl" w:eastAsia="es-ES"/>
        </w:rPr>
      </w:pPr>
    </w:p>
    <w:p w14:paraId="162780D8" w14:textId="77777777" w:rsidR="009B02C2" w:rsidRPr="00CF2780" w:rsidRDefault="009B02C2" w:rsidP="009B02C2">
      <w:pPr>
        <w:spacing w:after="0" w:line="360" w:lineRule="auto"/>
        <w:ind w:right="567"/>
        <w:jc w:val="both"/>
        <w:rPr>
          <w:rFonts w:ascii="Arial" w:eastAsia="Times New Roman" w:hAnsi="Arial" w:cs="Arial"/>
          <w:sz w:val="24"/>
          <w:szCs w:val="24"/>
          <w:lang w:val="es-ES" w:eastAsia="es-ES"/>
        </w:rPr>
      </w:pPr>
    </w:p>
    <w:p w14:paraId="04868B0E"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En el considerando </w:t>
      </w:r>
      <w:r w:rsidRPr="00CF2780">
        <w:rPr>
          <w:rFonts w:ascii="Arial" w:eastAsia="Times New Roman" w:hAnsi="Arial" w:cs="Arial"/>
          <w:b/>
          <w:sz w:val="28"/>
          <w:szCs w:val="28"/>
          <w:lang w:val="es-ES" w:eastAsia="es-ES"/>
        </w:rPr>
        <w:t>noveno</w:t>
      </w:r>
      <w:r w:rsidRPr="00CF2780">
        <w:rPr>
          <w:rFonts w:ascii="Arial" w:eastAsia="Times New Roman" w:hAnsi="Arial" w:cs="Arial"/>
          <w:sz w:val="28"/>
          <w:szCs w:val="28"/>
          <w:lang w:val="es-ES" w:eastAsia="es-ES"/>
        </w:rPr>
        <w:t xml:space="preserve"> de la referida sentencia estimativa de esta Sala Superior del Tribunal Electoral del Poder Judicial de la Federación, se establecieron como efectos de la resolución los siguientes (énfasis añadido):  </w:t>
      </w:r>
    </w:p>
    <w:p w14:paraId="38914E7C" w14:textId="77777777" w:rsidR="009B02C2" w:rsidRPr="00CF2780" w:rsidRDefault="009B02C2" w:rsidP="009B02C2">
      <w:pPr>
        <w:spacing w:after="0" w:line="360" w:lineRule="auto"/>
        <w:jc w:val="both"/>
        <w:rPr>
          <w:rFonts w:ascii="Arial" w:eastAsia="Times New Roman" w:hAnsi="Arial" w:cs="Arial"/>
          <w:b/>
          <w:sz w:val="28"/>
          <w:szCs w:val="28"/>
          <w:lang w:val="es-ES" w:eastAsia="es-ES"/>
        </w:rPr>
      </w:pPr>
    </w:p>
    <w:p w14:paraId="397CBFF1" w14:textId="77777777" w:rsidR="009B02C2" w:rsidRPr="00CF2780" w:rsidRDefault="009B02C2" w:rsidP="009B02C2">
      <w:pPr>
        <w:spacing w:after="0" w:line="240" w:lineRule="auto"/>
        <w:ind w:left="567" w:right="567" w:firstLine="709"/>
        <w:jc w:val="both"/>
        <w:rPr>
          <w:rFonts w:ascii="Arial" w:eastAsia="Times New Roman" w:hAnsi="Arial" w:cs="Arial"/>
          <w:sz w:val="24"/>
          <w:szCs w:val="24"/>
          <w:lang w:val="es-ES" w:eastAsia="es-ES"/>
        </w:rPr>
      </w:pPr>
      <w:r w:rsidRPr="00CF2780">
        <w:rPr>
          <w:rFonts w:ascii="Arial" w:eastAsia="Times New Roman" w:hAnsi="Arial" w:cs="Arial"/>
          <w:b/>
          <w:sz w:val="24"/>
          <w:szCs w:val="24"/>
          <w:lang w:val="es-ES" w:eastAsia="es-ES"/>
        </w:rPr>
        <w:t xml:space="preserve">NOVENO. Efectos. </w:t>
      </w:r>
      <w:r w:rsidRPr="00CF2780">
        <w:rPr>
          <w:rFonts w:ascii="Arial" w:eastAsia="Times New Roman" w:hAnsi="Arial" w:cs="Arial"/>
          <w:sz w:val="24"/>
          <w:szCs w:val="24"/>
          <w:lang w:val="es-ES" w:eastAsia="es-ES"/>
        </w:rPr>
        <w:t>En virtud de lo establecido en el considerando anterior lo procedente es determinar los efectos de la presente resolución:</w:t>
      </w:r>
    </w:p>
    <w:p w14:paraId="01DC52AD" w14:textId="77777777" w:rsidR="009B02C2" w:rsidRPr="00CF2780" w:rsidRDefault="009B02C2" w:rsidP="009B02C2">
      <w:pPr>
        <w:spacing w:after="0" w:line="240" w:lineRule="auto"/>
        <w:ind w:left="567" w:right="567" w:firstLine="709"/>
        <w:jc w:val="both"/>
        <w:rPr>
          <w:rFonts w:ascii="Arial" w:eastAsia="Times New Roman" w:hAnsi="Arial" w:cs="Arial"/>
          <w:sz w:val="24"/>
          <w:szCs w:val="24"/>
          <w:lang w:val="es-ES" w:eastAsia="es-ES"/>
        </w:rPr>
      </w:pPr>
    </w:p>
    <w:p w14:paraId="7C5C6D51" w14:textId="77777777" w:rsidR="009B02C2" w:rsidRPr="00CF2780" w:rsidRDefault="009B02C2" w:rsidP="001C6A89">
      <w:pPr>
        <w:numPr>
          <w:ilvl w:val="0"/>
          <w:numId w:val="13"/>
        </w:numPr>
        <w:spacing w:after="0" w:line="240" w:lineRule="auto"/>
        <w:ind w:left="567" w:right="567"/>
        <w:jc w:val="both"/>
        <w:rPr>
          <w:rFonts w:ascii="Arial" w:eastAsia="Times New Roman" w:hAnsi="Arial" w:cs="Arial"/>
          <w:bCs/>
          <w:color w:val="000000"/>
          <w:spacing w:val="3"/>
          <w:sz w:val="24"/>
          <w:szCs w:val="24"/>
          <w:lang w:val="es-ES_tradnl" w:eastAsia="es-ES"/>
        </w:rPr>
      </w:pPr>
      <w:r w:rsidRPr="00CF2780">
        <w:rPr>
          <w:rFonts w:ascii="Arial" w:eastAsia="Times New Roman" w:hAnsi="Arial" w:cs="Arial"/>
          <w:sz w:val="24"/>
          <w:szCs w:val="24"/>
          <w:lang w:val="es-ES" w:eastAsia="es-ES"/>
        </w:rPr>
        <w:t xml:space="preserve">De acuerdo a lo establecido en </w:t>
      </w:r>
      <w:r w:rsidRPr="00CF2780">
        <w:rPr>
          <w:rFonts w:ascii="Arial" w:eastAsia="Times New Roman" w:hAnsi="Arial" w:cs="Arial"/>
          <w:bCs/>
          <w:sz w:val="24"/>
          <w:szCs w:val="24"/>
          <w:lang w:val="es-ES_tradnl" w:eastAsia="es-ES"/>
        </w:rPr>
        <w:t xml:space="preserve">los artículos 2º, Apartado A, fracción III, de la Constitución Política de los Estados Unidos Mexicanos; 3º, segundo párrafo de la Constitución Política del Estado Libre y Soberano de Michoacán, 5, incisos a) y b); </w:t>
      </w:r>
      <w:r w:rsidRPr="00CF2780">
        <w:rPr>
          <w:rFonts w:ascii="Arial" w:eastAsia="Times New Roman" w:hAnsi="Arial" w:cs="Arial"/>
          <w:sz w:val="24"/>
          <w:szCs w:val="24"/>
          <w:lang w:val="es-ES" w:eastAsia="es-ES"/>
        </w:rPr>
        <w:t xml:space="preserve">7, párrafo 1, </w:t>
      </w:r>
      <w:r w:rsidRPr="00CF2780">
        <w:rPr>
          <w:rFonts w:ascii="Arial" w:eastAsia="Times New Roman" w:hAnsi="Arial" w:cs="Arial"/>
          <w:bCs/>
          <w:sz w:val="24"/>
          <w:szCs w:val="24"/>
          <w:lang w:val="es-ES_tradnl" w:eastAsia="es-ES"/>
        </w:rPr>
        <w:t xml:space="preserve">y 8, párrafo 2, del Convenio número 169 de la Organización Internacional del Trabajo sobre Pueblos </w:t>
      </w:r>
      <w:r w:rsidRPr="00CF2780">
        <w:rPr>
          <w:rFonts w:ascii="Arial" w:eastAsia="Times New Roman" w:hAnsi="Arial" w:cs="Arial"/>
          <w:bCs/>
          <w:sz w:val="24"/>
          <w:szCs w:val="24"/>
          <w:lang w:val="es-ES_tradnl" w:eastAsia="es-ES"/>
        </w:rPr>
        <w:lastRenderedPageBreak/>
        <w:t xml:space="preserve">Indígenas y Tribales en Países Independientes; así como 1, tanto del </w:t>
      </w:r>
      <w:r w:rsidRPr="00CF2780">
        <w:rPr>
          <w:rFonts w:ascii="Arial" w:eastAsia="Times New Roman" w:hAnsi="Arial" w:cs="Arial"/>
          <w:bCs/>
          <w:sz w:val="24"/>
          <w:szCs w:val="24"/>
          <w:lang w:val="es-ES" w:eastAsia="es-ES"/>
        </w:rPr>
        <w:t xml:space="preserve">Pacto Internacional de Derechos Civiles y Políticos como del Pacto Internacional de Derechos Económicos, Sociales y Culturales, </w:t>
      </w:r>
      <w:r w:rsidRPr="00CF2780">
        <w:rPr>
          <w:rFonts w:ascii="Arial" w:eastAsia="Times New Roman" w:hAnsi="Arial" w:cs="Arial"/>
          <w:bCs/>
          <w:color w:val="000000"/>
          <w:spacing w:val="3"/>
          <w:sz w:val="24"/>
          <w:szCs w:val="24"/>
          <w:lang w:val="es-ES_tradnl" w:eastAsia="es-ES"/>
        </w:rPr>
        <w:t xml:space="preserve">así como 4, 5, 20 y 33 de la Declaración de las Naciones Unidas sobre los Derechos de los Pueblos Indígenas se determina que los integrantes  de la comunidad indígena de Cherán que acuden al presente juicio </w:t>
      </w:r>
      <w:r w:rsidRPr="00CF2780">
        <w:rPr>
          <w:rFonts w:ascii="Arial" w:eastAsia="Times New Roman" w:hAnsi="Arial" w:cs="Arial"/>
          <w:bCs/>
          <w:color w:val="000000"/>
          <w:spacing w:val="3"/>
          <w:sz w:val="24"/>
          <w:szCs w:val="24"/>
          <w:u w:val="single"/>
          <w:lang w:val="es-ES_tradnl" w:eastAsia="es-ES"/>
        </w:rPr>
        <w:t>tienen derecho a solicitar la elección de sus propias autoridades, siguiendo para ello sus normas, procedimientos y prácticas tradicionales, con pleno respeto a los derechos humanos</w:t>
      </w:r>
      <w:r w:rsidRPr="00CF2780">
        <w:rPr>
          <w:rFonts w:ascii="Arial" w:eastAsia="Times New Roman" w:hAnsi="Arial" w:cs="Arial"/>
          <w:bCs/>
          <w:color w:val="000000"/>
          <w:spacing w:val="3"/>
          <w:sz w:val="24"/>
          <w:szCs w:val="24"/>
          <w:lang w:val="es-ES_tradnl" w:eastAsia="es-ES"/>
        </w:rPr>
        <w:t>.</w:t>
      </w:r>
    </w:p>
    <w:p w14:paraId="00DABEA8" w14:textId="77777777" w:rsidR="009B02C2" w:rsidRPr="00CF2780" w:rsidRDefault="009B02C2" w:rsidP="009B02C2">
      <w:pPr>
        <w:spacing w:after="0" w:line="240" w:lineRule="auto"/>
        <w:ind w:left="567" w:right="567"/>
        <w:jc w:val="both"/>
        <w:rPr>
          <w:rFonts w:ascii="Arial" w:eastAsia="Times New Roman" w:hAnsi="Arial" w:cs="Arial"/>
          <w:bCs/>
          <w:color w:val="000000"/>
          <w:spacing w:val="3"/>
          <w:sz w:val="24"/>
          <w:szCs w:val="24"/>
          <w:lang w:val="es-ES_tradnl" w:eastAsia="es-ES"/>
        </w:rPr>
      </w:pPr>
    </w:p>
    <w:p w14:paraId="62D0F1BF" w14:textId="77777777" w:rsidR="009B02C2" w:rsidRPr="00CF2780" w:rsidRDefault="009B02C2" w:rsidP="001C6A89">
      <w:pPr>
        <w:numPr>
          <w:ilvl w:val="0"/>
          <w:numId w:val="13"/>
        </w:numPr>
        <w:spacing w:after="0" w:line="240" w:lineRule="auto"/>
        <w:ind w:left="567" w:right="567"/>
        <w:jc w:val="both"/>
        <w:rPr>
          <w:rFonts w:ascii="Arial" w:eastAsia="Times New Roman" w:hAnsi="Arial" w:cs="Arial"/>
          <w:bCs/>
          <w:color w:val="000000"/>
          <w:spacing w:val="3"/>
          <w:sz w:val="24"/>
          <w:szCs w:val="24"/>
          <w:lang w:val="es-ES_tradnl" w:eastAsia="es-ES"/>
        </w:rPr>
      </w:pPr>
      <w:r w:rsidRPr="00CF2780">
        <w:rPr>
          <w:rFonts w:ascii="Arial" w:eastAsia="Times New Roman" w:hAnsi="Arial" w:cs="Arial"/>
          <w:bCs/>
          <w:color w:val="000000"/>
          <w:spacing w:val="3"/>
          <w:sz w:val="24"/>
          <w:szCs w:val="24"/>
          <w:lang w:val="es-ES_tradnl" w:eastAsia="es-ES"/>
        </w:rPr>
        <w:t xml:space="preserve">En virtud de que, acorde con lo establecido en los artículos 41, 115 y 122 de la Constitución Política de los Estados Unidos Mexicanos uno de los principios rectores de toda elección democrática consiste en que la misma sea vigilada y sus resultados sean validados por una autoridad constitucionalmente autónoma, el </w:t>
      </w:r>
      <w:r w:rsidRPr="00CF2780">
        <w:rPr>
          <w:rFonts w:ascii="Arial" w:eastAsia="Times New Roman" w:hAnsi="Arial" w:cs="Arial"/>
          <w:bCs/>
          <w:color w:val="000000"/>
          <w:spacing w:val="3"/>
          <w:sz w:val="24"/>
          <w:szCs w:val="24"/>
          <w:u w:val="single"/>
          <w:lang w:val="es-ES_tradnl" w:eastAsia="es-ES"/>
        </w:rPr>
        <w:t>Consejo General del Instituto Electoral de Michoacán,</w:t>
      </w:r>
      <w:r w:rsidRPr="00CF2780">
        <w:rPr>
          <w:rFonts w:ascii="Arial" w:eastAsia="Times New Roman" w:hAnsi="Arial" w:cs="Arial"/>
          <w:bCs/>
          <w:sz w:val="24"/>
          <w:szCs w:val="24"/>
          <w:u w:val="single"/>
          <w:lang w:val="es-ES" w:eastAsia="es-ES"/>
        </w:rPr>
        <w:t xml:space="preserve"> en su calidad de máxima autoridad electoral en la entidad, conforme a lo dispuesto en el artículo 98 de la constitución local, y atender lo relativo a la preparación, desarrollo y vigilancia de los procesos electorales, de acuerdo a lo establecido en el artículo 113, fracción III, del Código Electoral local</w:t>
      </w:r>
      <w:r w:rsidRPr="00CF2780">
        <w:rPr>
          <w:rFonts w:ascii="Arial" w:eastAsia="Times New Roman" w:hAnsi="Arial" w:cs="Arial"/>
          <w:bCs/>
          <w:color w:val="000000"/>
          <w:spacing w:val="3"/>
          <w:sz w:val="24"/>
          <w:szCs w:val="24"/>
          <w:u w:val="single"/>
          <w:lang w:val="es-ES_tradnl" w:eastAsia="es-ES"/>
        </w:rPr>
        <w:t xml:space="preserve"> de manera inmediata, deberá</w:t>
      </w:r>
      <w:r w:rsidRPr="00CF2780">
        <w:rPr>
          <w:rFonts w:ascii="Arial" w:eastAsia="Times New Roman" w:hAnsi="Arial" w:cs="Arial"/>
          <w:bCs/>
          <w:color w:val="000000"/>
          <w:spacing w:val="3"/>
          <w:sz w:val="24"/>
          <w:szCs w:val="24"/>
          <w:lang w:val="es-ES_tradnl" w:eastAsia="es-ES"/>
        </w:rPr>
        <w:t>:</w:t>
      </w:r>
    </w:p>
    <w:p w14:paraId="04D70781" w14:textId="77777777" w:rsidR="009B02C2" w:rsidRPr="00CF2780" w:rsidRDefault="009B02C2" w:rsidP="009B02C2">
      <w:pPr>
        <w:spacing w:after="0" w:line="240" w:lineRule="auto"/>
        <w:ind w:left="567" w:right="567"/>
        <w:rPr>
          <w:rFonts w:ascii="Arial" w:eastAsia="Times New Roman" w:hAnsi="Arial" w:cs="Arial"/>
          <w:bCs/>
          <w:color w:val="000000"/>
          <w:spacing w:val="3"/>
          <w:sz w:val="24"/>
          <w:szCs w:val="24"/>
          <w:lang w:val="es-ES_tradnl" w:eastAsia="es-ES"/>
        </w:rPr>
      </w:pPr>
    </w:p>
    <w:p w14:paraId="48479A02" w14:textId="77777777" w:rsidR="009B02C2" w:rsidRPr="00CF2780" w:rsidRDefault="009B02C2" w:rsidP="001C6A89">
      <w:pPr>
        <w:numPr>
          <w:ilvl w:val="0"/>
          <w:numId w:val="14"/>
        </w:numPr>
        <w:spacing w:after="0" w:line="240" w:lineRule="auto"/>
        <w:ind w:left="567" w:right="567"/>
        <w:jc w:val="both"/>
        <w:rPr>
          <w:rFonts w:ascii="Arial" w:eastAsia="Times New Roman" w:hAnsi="Arial" w:cs="Arial"/>
          <w:bCs/>
          <w:color w:val="000000"/>
          <w:spacing w:val="3"/>
          <w:sz w:val="24"/>
          <w:szCs w:val="24"/>
          <w:u w:val="single"/>
          <w:lang w:val="es-ES_tradnl" w:eastAsia="es-ES"/>
        </w:rPr>
      </w:pPr>
      <w:r w:rsidRPr="00CF2780">
        <w:rPr>
          <w:rFonts w:ascii="Arial" w:eastAsia="Times New Roman" w:hAnsi="Arial" w:cs="Arial"/>
          <w:bCs/>
          <w:color w:val="000000"/>
          <w:spacing w:val="3"/>
          <w:sz w:val="24"/>
          <w:szCs w:val="24"/>
          <w:u w:val="single"/>
          <w:lang w:val="es-ES_tradnl" w:eastAsia="es-ES"/>
        </w:rPr>
        <w:t xml:space="preserve">Disponer las medidas necesarias, suficientes y que resulten razonables para que, de acuerdo a una conciliación pertinente, consultas requeridas directamente a los miembros de la comunidad indígena de Cherán y resoluciones correspondientes se determine: </w:t>
      </w:r>
    </w:p>
    <w:p w14:paraId="7DEC16C4" w14:textId="77777777" w:rsidR="009B02C2" w:rsidRPr="00CF2780" w:rsidRDefault="009B02C2" w:rsidP="009B02C2">
      <w:pPr>
        <w:spacing w:after="0" w:line="240" w:lineRule="auto"/>
        <w:ind w:left="567" w:right="567"/>
        <w:jc w:val="both"/>
        <w:rPr>
          <w:rFonts w:ascii="Arial" w:eastAsia="Times New Roman" w:hAnsi="Arial" w:cs="Arial"/>
          <w:bCs/>
          <w:color w:val="000000"/>
          <w:spacing w:val="3"/>
          <w:sz w:val="24"/>
          <w:szCs w:val="24"/>
          <w:u w:val="single"/>
          <w:lang w:val="es-ES_tradnl" w:eastAsia="es-ES"/>
        </w:rPr>
      </w:pPr>
    </w:p>
    <w:p w14:paraId="65324773" w14:textId="77777777" w:rsidR="009B02C2" w:rsidRPr="00CF2780" w:rsidRDefault="009B02C2" w:rsidP="009B02C2">
      <w:pPr>
        <w:spacing w:after="0" w:line="240" w:lineRule="auto"/>
        <w:ind w:left="567" w:right="567"/>
        <w:jc w:val="both"/>
        <w:rPr>
          <w:rFonts w:ascii="Arial" w:eastAsia="Times New Roman" w:hAnsi="Arial" w:cs="Arial"/>
          <w:bCs/>
          <w:color w:val="000000"/>
          <w:spacing w:val="3"/>
          <w:sz w:val="24"/>
          <w:szCs w:val="24"/>
          <w:lang w:val="es-ES_tradnl" w:eastAsia="es-ES"/>
        </w:rPr>
      </w:pPr>
      <w:r w:rsidRPr="00CF2780">
        <w:rPr>
          <w:rFonts w:ascii="Arial" w:eastAsia="Times New Roman" w:hAnsi="Arial" w:cs="Arial"/>
          <w:bCs/>
          <w:color w:val="000000"/>
          <w:spacing w:val="3"/>
          <w:sz w:val="24"/>
          <w:szCs w:val="24"/>
          <w:u w:val="single"/>
          <w:lang w:val="es-ES_tradnl" w:eastAsia="es-ES"/>
        </w:rPr>
        <w:t>1) Si la mayoría de los integrantes de la comunidad indígena de Cherán está de acuerdo en celebrar elecciones por el sistema de usos y costumbres</w:t>
      </w:r>
      <w:r w:rsidRPr="00CF2780">
        <w:rPr>
          <w:rFonts w:ascii="Arial" w:eastAsia="Times New Roman" w:hAnsi="Arial" w:cs="Arial"/>
          <w:bCs/>
          <w:color w:val="000000"/>
          <w:spacing w:val="3"/>
          <w:sz w:val="24"/>
          <w:szCs w:val="24"/>
          <w:lang w:val="es-ES_tradnl" w:eastAsia="es-ES"/>
        </w:rPr>
        <w:t xml:space="preserve">; </w:t>
      </w:r>
    </w:p>
    <w:p w14:paraId="54EBF67F" w14:textId="77777777" w:rsidR="009B02C2" w:rsidRPr="00CF2780" w:rsidRDefault="009B02C2" w:rsidP="009B02C2">
      <w:pPr>
        <w:spacing w:after="0" w:line="240" w:lineRule="auto"/>
        <w:ind w:left="567" w:right="567"/>
        <w:jc w:val="both"/>
        <w:rPr>
          <w:rFonts w:ascii="Arial" w:eastAsia="Times New Roman" w:hAnsi="Arial" w:cs="Arial"/>
          <w:bCs/>
          <w:color w:val="000000"/>
          <w:spacing w:val="3"/>
          <w:sz w:val="24"/>
          <w:szCs w:val="24"/>
          <w:lang w:val="es-ES_tradnl" w:eastAsia="es-ES"/>
        </w:rPr>
      </w:pPr>
    </w:p>
    <w:p w14:paraId="7B5C394E" w14:textId="77777777" w:rsidR="009B02C2" w:rsidRPr="00CF2780" w:rsidRDefault="009B02C2" w:rsidP="009B02C2">
      <w:pPr>
        <w:spacing w:after="0" w:line="240" w:lineRule="auto"/>
        <w:ind w:left="567" w:right="567"/>
        <w:jc w:val="both"/>
        <w:rPr>
          <w:rFonts w:ascii="Arial" w:eastAsia="Times New Roman" w:hAnsi="Arial" w:cs="Arial"/>
          <w:sz w:val="24"/>
          <w:szCs w:val="24"/>
          <w:lang w:val="es-ES" w:eastAsia="es-ES"/>
        </w:rPr>
      </w:pPr>
      <w:r w:rsidRPr="00CF2780">
        <w:rPr>
          <w:rFonts w:ascii="Arial" w:eastAsia="Times New Roman" w:hAnsi="Arial" w:cs="Arial"/>
          <w:bCs/>
          <w:color w:val="000000"/>
          <w:spacing w:val="3"/>
          <w:sz w:val="24"/>
          <w:szCs w:val="24"/>
          <w:lang w:val="es-ES_tradnl" w:eastAsia="es-ES"/>
        </w:rPr>
        <w:t xml:space="preserve">2) </w:t>
      </w:r>
      <w:r w:rsidRPr="00CF2780">
        <w:rPr>
          <w:rFonts w:ascii="Arial" w:eastAsia="Times New Roman" w:hAnsi="Arial" w:cs="Arial"/>
          <w:sz w:val="24"/>
          <w:szCs w:val="24"/>
          <w:lang w:val="es-ES" w:eastAsia="es-ES"/>
        </w:rPr>
        <w:t>Toda vez que no existen condiciones para celebrar las elecciones el próximo trece de noviembre, deberá determinar si es posible realizar comicios por usos y costumbres en el Municipio de Cherán en diversa fecha, a efecto de que los ciudadanos que resulten elegidos entre en posesión del cargo y tomen la protesta de ley correspondiente.</w:t>
      </w:r>
    </w:p>
    <w:p w14:paraId="1C0F5701" w14:textId="77777777" w:rsidR="009B02C2" w:rsidRPr="00CF2780" w:rsidRDefault="009B02C2" w:rsidP="009B02C2">
      <w:pPr>
        <w:spacing w:after="0" w:line="240" w:lineRule="auto"/>
        <w:ind w:left="567" w:right="567"/>
        <w:jc w:val="both"/>
        <w:rPr>
          <w:rFonts w:ascii="Arial" w:eastAsia="Times New Roman" w:hAnsi="Arial" w:cs="Arial"/>
          <w:sz w:val="24"/>
          <w:szCs w:val="24"/>
          <w:lang w:val="es-ES" w:eastAsia="es-ES"/>
        </w:rPr>
      </w:pPr>
    </w:p>
    <w:p w14:paraId="138989F9" w14:textId="77777777" w:rsidR="009B02C2" w:rsidRPr="00CF2780" w:rsidRDefault="009B02C2" w:rsidP="009B02C2">
      <w:pPr>
        <w:spacing w:after="0" w:line="240" w:lineRule="auto"/>
        <w:ind w:left="567" w:right="567"/>
        <w:jc w:val="both"/>
        <w:rPr>
          <w:rFonts w:ascii="Arial" w:eastAsia="Times New Roman" w:hAnsi="Arial" w:cs="Arial"/>
          <w:bCs/>
          <w:color w:val="000000"/>
          <w:spacing w:val="3"/>
          <w:sz w:val="24"/>
          <w:szCs w:val="24"/>
          <w:lang w:val="es-ES_tradnl" w:eastAsia="es-ES"/>
        </w:rPr>
      </w:pPr>
      <w:r w:rsidRPr="00CF2780">
        <w:rPr>
          <w:rFonts w:ascii="Arial" w:eastAsia="Times New Roman" w:hAnsi="Arial" w:cs="Arial"/>
          <w:bCs/>
          <w:color w:val="000000"/>
          <w:spacing w:val="3"/>
          <w:sz w:val="24"/>
          <w:szCs w:val="24"/>
          <w:lang w:val="es-ES_tradnl" w:eastAsia="es-ES"/>
        </w:rPr>
        <w:t>Si existen condiciones de realizar comicios por usos y costumbres en el Municipio de Cherán, a efecto de que los ciudadanos que resulten elegidos entren en posesión del cargo y tomen la protesta de ley correspondiente.</w:t>
      </w:r>
    </w:p>
    <w:p w14:paraId="1E7EC94F" w14:textId="77777777" w:rsidR="009B02C2" w:rsidRPr="00CF2780" w:rsidRDefault="009B02C2" w:rsidP="009B02C2">
      <w:pPr>
        <w:spacing w:after="0" w:line="240" w:lineRule="auto"/>
        <w:ind w:left="567" w:right="567"/>
        <w:jc w:val="both"/>
        <w:rPr>
          <w:rFonts w:ascii="Arial" w:eastAsia="Times New Roman" w:hAnsi="Arial" w:cs="Arial"/>
          <w:bCs/>
          <w:color w:val="000000"/>
          <w:spacing w:val="3"/>
          <w:sz w:val="24"/>
          <w:szCs w:val="24"/>
          <w:lang w:val="es-ES_tradnl" w:eastAsia="es-ES"/>
        </w:rPr>
      </w:pPr>
    </w:p>
    <w:p w14:paraId="00FDA9DB" w14:textId="77777777" w:rsidR="009B02C2" w:rsidRPr="00CF2780" w:rsidRDefault="009B02C2" w:rsidP="001C6A89">
      <w:pPr>
        <w:numPr>
          <w:ilvl w:val="0"/>
          <w:numId w:val="14"/>
        </w:numPr>
        <w:spacing w:after="0" w:line="240" w:lineRule="auto"/>
        <w:ind w:left="567" w:right="567"/>
        <w:jc w:val="both"/>
        <w:rPr>
          <w:rFonts w:ascii="Arial" w:eastAsia="Times New Roman" w:hAnsi="Arial" w:cs="Arial"/>
          <w:bCs/>
          <w:color w:val="000000"/>
          <w:spacing w:val="3"/>
          <w:sz w:val="24"/>
          <w:szCs w:val="24"/>
          <w:u w:val="single"/>
          <w:lang w:val="es-ES_tradnl" w:eastAsia="es-ES"/>
        </w:rPr>
      </w:pPr>
      <w:r w:rsidRPr="00CF2780">
        <w:rPr>
          <w:rFonts w:ascii="Arial" w:eastAsia="Times New Roman" w:hAnsi="Arial" w:cs="Arial"/>
          <w:bCs/>
          <w:color w:val="000000"/>
          <w:spacing w:val="3"/>
          <w:sz w:val="24"/>
          <w:szCs w:val="24"/>
          <w:u w:val="single"/>
          <w:lang w:val="es-ES_tradnl" w:eastAsia="es-ES"/>
        </w:rPr>
        <w:t>De estimar que existen las condiciones necesarias para celebrar los comicios, deberá:</w:t>
      </w:r>
    </w:p>
    <w:p w14:paraId="1E69D4FB" w14:textId="77777777" w:rsidR="009B02C2" w:rsidRPr="00CF2780" w:rsidRDefault="009B02C2" w:rsidP="009B02C2">
      <w:pPr>
        <w:spacing w:after="0" w:line="240" w:lineRule="auto"/>
        <w:ind w:left="567" w:right="567"/>
        <w:jc w:val="both"/>
        <w:rPr>
          <w:rFonts w:ascii="Arial" w:eastAsia="Times New Roman" w:hAnsi="Arial" w:cs="Arial"/>
          <w:bCs/>
          <w:color w:val="000000"/>
          <w:spacing w:val="3"/>
          <w:sz w:val="24"/>
          <w:szCs w:val="24"/>
          <w:u w:val="single"/>
          <w:lang w:val="es-ES_tradnl" w:eastAsia="es-ES"/>
        </w:rPr>
      </w:pPr>
    </w:p>
    <w:p w14:paraId="5D1C7148" w14:textId="77777777" w:rsidR="009B02C2" w:rsidRPr="00CF2780" w:rsidRDefault="009B02C2" w:rsidP="009B02C2">
      <w:pPr>
        <w:spacing w:after="0" w:line="240" w:lineRule="auto"/>
        <w:ind w:left="567" w:right="567"/>
        <w:jc w:val="both"/>
        <w:rPr>
          <w:rFonts w:ascii="Arial" w:eastAsia="Times New Roman" w:hAnsi="Arial" w:cs="Arial"/>
          <w:bCs/>
          <w:color w:val="000000"/>
          <w:spacing w:val="3"/>
          <w:sz w:val="24"/>
          <w:szCs w:val="24"/>
          <w:u w:val="single"/>
          <w:lang w:val="es-ES_tradnl" w:eastAsia="es-ES"/>
        </w:rPr>
      </w:pPr>
      <w:r w:rsidRPr="00CF2780">
        <w:rPr>
          <w:rFonts w:ascii="Arial" w:eastAsia="Times New Roman" w:hAnsi="Arial" w:cs="Arial"/>
          <w:bCs/>
          <w:color w:val="000000"/>
          <w:spacing w:val="3"/>
          <w:sz w:val="24"/>
          <w:szCs w:val="24"/>
          <w:u w:val="single"/>
          <w:lang w:val="es-ES_tradnl" w:eastAsia="es-ES"/>
        </w:rPr>
        <w:lastRenderedPageBreak/>
        <w:t xml:space="preserve">1) Someter al Congreso los resultados de la consulta, a efecto de que dicha autoridad emita el decreto correspondiente, en el cual, en su caso, determinará la fecha de la elección y de toma de posesión. </w:t>
      </w:r>
    </w:p>
    <w:p w14:paraId="2732C32B" w14:textId="77777777" w:rsidR="009B02C2" w:rsidRPr="00CF2780" w:rsidRDefault="009B02C2" w:rsidP="009B02C2">
      <w:pPr>
        <w:spacing w:after="0" w:line="240" w:lineRule="auto"/>
        <w:ind w:left="567" w:right="567"/>
        <w:jc w:val="both"/>
        <w:rPr>
          <w:rFonts w:ascii="Arial" w:eastAsia="Times New Roman" w:hAnsi="Arial" w:cs="Arial"/>
          <w:bCs/>
          <w:color w:val="000000"/>
          <w:spacing w:val="3"/>
          <w:sz w:val="24"/>
          <w:szCs w:val="24"/>
          <w:u w:val="single"/>
          <w:lang w:val="es-ES_tradnl" w:eastAsia="es-ES"/>
        </w:rPr>
      </w:pPr>
    </w:p>
    <w:p w14:paraId="617608E8" w14:textId="77777777" w:rsidR="009B02C2" w:rsidRPr="00CF2780" w:rsidRDefault="009B02C2" w:rsidP="009B02C2">
      <w:pPr>
        <w:spacing w:after="0" w:line="240" w:lineRule="auto"/>
        <w:ind w:left="567" w:right="567"/>
        <w:jc w:val="both"/>
        <w:rPr>
          <w:rFonts w:ascii="Arial" w:eastAsia="Times New Roman" w:hAnsi="Arial" w:cs="Arial"/>
          <w:bCs/>
          <w:color w:val="000000"/>
          <w:spacing w:val="3"/>
          <w:sz w:val="24"/>
          <w:szCs w:val="24"/>
          <w:lang w:val="es-ES_tradnl" w:eastAsia="es-ES"/>
        </w:rPr>
      </w:pPr>
      <w:r w:rsidRPr="00CF2780">
        <w:rPr>
          <w:rFonts w:ascii="Arial" w:eastAsia="Times New Roman" w:hAnsi="Arial" w:cs="Arial"/>
          <w:bCs/>
          <w:color w:val="000000"/>
          <w:spacing w:val="3"/>
          <w:sz w:val="24"/>
          <w:szCs w:val="24"/>
          <w:u w:val="single"/>
          <w:lang w:val="es-ES_tradnl" w:eastAsia="es-ES"/>
        </w:rPr>
        <w:t>2) Emitida la resolución del Congreso deberá disponer las consultas, así como las medidas conducentes y adecuadas, para que se establezcan todas las condiciones de diálogo y consenso que sean necesarias para llevar a cabo, en su caso, las elecciones por usos y costumbres</w:t>
      </w:r>
      <w:r w:rsidRPr="00CF2780">
        <w:rPr>
          <w:rFonts w:ascii="Arial" w:eastAsia="Times New Roman" w:hAnsi="Arial" w:cs="Arial"/>
          <w:bCs/>
          <w:color w:val="000000"/>
          <w:spacing w:val="3"/>
          <w:sz w:val="24"/>
          <w:szCs w:val="24"/>
          <w:lang w:val="es-ES_tradnl" w:eastAsia="es-ES"/>
        </w:rPr>
        <w:t xml:space="preserve">. </w:t>
      </w:r>
    </w:p>
    <w:p w14:paraId="0840A6A5" w14:textId="77777777" w:rsidR="009B02C2" w:rsidRPr="00CF2780" w:rsidRDefault="009B02C2" w:rsidP="009B02C2">
      <w:pPr>
        <w:spacing w:after="0" w:line="240" w:lineRule="auto"/>
        <w:ind w:left="567" w:right="567"/>
        <w:jc w:val="both"/>
        <w:rPr>
          <w:rFonts w:ascii="Arial" w:eastAsia="Times New Roman" w:hAnsi="Arial" w:cs="Arial"/>
          <w:bCs/>
          <w:color w:val="000000"/>
          <w:spacing w:val="3"/>
          <w:sz w:val="24"/>
          <w:szCs w:val="24"/>
          <w:lang w:val="es-ES_tradnl" w:eastAsia="es-ES"/>
        </w:rPr>
      </w:pPr>
    </w:p>
    <w:p w14:paraId="3345ACCF" w14:textId="77777777" w:rsidR="009B02C2" w:rsidRPr="00CF2780" w:rsidRDefault="009B02C2" w:rsidP="001C6A89">
      <w:pPr>
        <w:numPr>
          <w:ilvl w:val="0"/>
          <w:numId w:val="14"/>
        </w:numPr>
        <w:spacing w:after="0" w:line="240" w:lineRule="auto"/>
        <w:ind w:left="567" w:right="567"/>
        <w:jc w:val="both"/>
        <w:rPr>
          <w:rFonts w:ascii="Arial" w:eastAsia="Times New Roman" w:hAnsi="Arial" w:cs="Arial"/>
          <w:bCs/>
          <w:color w:val="000000"/>
          <w:spacing w:val="3"/>
          <w:sz w:val="24"/>
          <w:szCs w:val="24"/>
          <w:lang w:val="es-ES_tradnl" w:eastAsia="es-ES"/>
        </w:rPr>
      </w:pPr>
      <w:r w:rsidRPr="00CF2780">
        <w:rPr>
          <w:rFonts w:ascii="Arial" w:eastAsia="Times New Roman" w:hAnsi="Arial" w:cs="Arial"/>
          <w:bCs/>
          <w:color w:val="000000"/>
          <w:spacing w:val="3"/>
          <w:sz w:val="24"/>
          <w:szCs w:val="24"/>
          <w:u w:val="single"/>
          <w:lang w:val="es-ES_tradnl" w:eastAsia="es-ES"/>
        </w:rPr>
        <w:t>En la realización de las consultas y la adopción de las medidas correspondientes se deberán atender a los principios establecidos tanto en el Convenio Nº 169 de la Organización Internacional del Trabajo sobre Pueblos Indígenas y Tribales en Países Independientes como en la Declaración sobre los Derechos de los Pueblos Indígenas y conforme a los cuales, las consultas a los pueblos indígenas en las cuestiones que les afectan deben realizarse en observancia de los principios siguientes</w:t>
      </w:r>
      <w:r w:rsidRPr="00CF2780">
        <w:rPr>
          <w:rFonts w:ascii="Arial" w:eastAsia="Times New Roman" w:hAnsi="Arial" w:cs="Arial"/>
          <w:bCs/>
          <w:color w:val="000000"/>
          <w:spacing w:val="3"/>
          <w:sz w:val="24"/>
          <w:szCs w:val="24"/>
          <w:lang w:val="es-ES_tradnl" w:eastAsia="es-ES"/>
        </w:rPr>
        <w:t>:</w:t>
      </w:r>
    </w:p>
    <w:p w14:paraId="130342C4" w14:textId="77777777" w:rsidR="009B02C2" w:rsidRPr="00CF2780" w:rsidRDefault="009B02C2" w:rsidP="009B02C2">
      <w:pPr>
        <w:spacing w:after="0" w:line="240" w:lineRule="auto"/>
        <w:ind w:left="567" w:right="567"/>
        <w:jc w:val="both"/>
        <w:rPr>
          <w:rFonts w:ascii="Arial" w:eastAsia="Times New Roman" w:hAnsi="Arial" w:cs="Arial"/>
          <w:bCs/>
          <w:color w:val="000000"/>
          <w:spacing w:val="3"/>
          <w:sz w:val="24"/>
          <w:szCs w:val="24"/>
          <w:lang w:val="es-ES_tradnl" w:eastAsia="es-ES"/>
        </w:rPr>
      </w:pPr>
    </w:p>
    <w:p w14:paraId="7F250A34" w14:textId="77777777" w:rsidR="009B02C2" w:rsidRPr="00CF2780" w:rsidRDefault="009B02C2" w:rsidP="001C6A89">
      <w:pPr>
        <w:numPr>
          <w:ilvl w:val="1"/>
          <w:numId w:val="13"/>
        </w:numPr>
        <w:spacing w:after="0" w:line="240" w:lineRule="auto"/>
        <w:ind w:left="567" w:right="567"/>
        <w:jc w:val="both"/>
        <w:rPr>
          <w:rFonts w:ascii="Arial" w:eastAsia="Times New Roman" w:hAnsi="Arial" w:cs="Arial"/>
          <w:sz w:val="24"/>
          <w:szCs w:val="24"/>
          <w:u w:val="single"/>
          <w:lang w:val="es-ES" w:eastAsia="es-ES"/>
        </w:rPr>
      </w:pPr>
      <w:r w:rsidRPr="00CF2780">
        <w:rPr>
          <w:rFonts w:ascii="Arial" w:eastAsia="Times New Roman" w:hAnsi="Arial" w:cs="Arial"/>
          <w:b/>
          <w:sz w:val="24"/>
          <w:szCs w:val="24"/>
          <w:u w:val="single"/>
          <w:lang w:val="es-ES" w:eastAsia="es-ES"/>
        </w:rPr>
        <w:t>Endógeno:</w:t>
      </w:r>
      <w:r w:rsidRPr="00CF2780">
        <w:rPr>
          <w:rFonts w:ascii="Arial" w:eastAsia="Times New Roman" w:hAnsi="Arial" w:cs="Arial"/>
          <w:sz w:val="24"/>
          <w:szCs w:val="24"/>
          <w:u w:val="single"/>
          <w:lang w:val="es-ES" w:eastAsia="es-ES"/>
        </w:rPr>
        <w:t xml:space="preserve"> el resultado de dichas consultas debe surgir de los propios pueblos y comunidad indígenas para hacer frente a necesidades de la colectividad;</w:t>
      </w:r>
    </w:p>
    <w:p w14:paraId="4B056526" w14:textId="77777777" w:rsidR="009B02C2" w:rsidRPr="00CF2780" w:rsidRDefault="009B02C2" w:rsidP="009B02C2">
      <w:pPr>
        <w:spacing w:after="0" w:line="240" w:lineRule="auto"/>
        <w:ind w:left="567" w:right="567"/>
        <w:jc w:val="both"/>
        <w:rPr>
          <w:rFonts w:ascii="Arial" w:eastAsia="Times New Roman" w:hAnsi="Arial" w:cs="Arial"/>
          <w:sz w:val="24"/>
          <w:szCs w:val="24"/>
          <w:u w:val="single"/>
          <w:lang w:val="es-ES" w:eastAsia="es-ES"/>
        </w:rPr>
      </w:pPr>
    </w:p>
    <w:p w14:paraId="2906512D" w14:textId="77777777" w:rsidR="009B02C2" w:rsidRPr="00CF2780" w:rsidRDefault="009B02C2" w:rsidP="001C6A89">
      <w:pPr>
        <w:numPr>
          <w:ilvl w:val="1"/>
          <w:numId w:val="13"/>
        </w:numPr>
        <w:spacing w:after="0" w:line="240" w:lineRule="auto"/>
        <w:ind w:left="567" w:right="567"/>
        <w:jc w:val="both"/>
        <w:rPr>
          <w:rFonts w:ascii="Arial" w:eastAsia="Times New Roman" w:hAnsi="Arial" w:cs="Arial"/>
          <w:sz w:val="24"/>
          <w:szCs w:val="24"/>
          <w:u w:val="single"/>
          <w:lang w:val="es-ES" w:eastAsia="es-ES"/>
        </w:rPr>
      </w:pPr>
      <w:r w:rsidRPr="00CF2780">
        <w:rPr>
          <w:rFonts w:ascii="Arial" w:eastAsia="Times New Roman" w:hAnsi="Arial" w:cs="Arial"/>
          <w:b/>
          <w:sz w:val="24"/>
          <w:szCs w:val="24"/>
          <w:u w:val="single"/>
          <w:lang w:val="es-ES" w:eastAsia="es-ES"/>
        </w:rPr>
        <w:t>Libre:</w:t>
      </w:r>
      <w:r w:rsidRPr="00CF2780">
        <w:rPr>
          <w:rFonts w:ascii="Arial" w:eastAsia="Times New Roman" w:hAnsi="Arial" w:cs="Arial"/>
          <w:sz w:val="24"/>
          <w:szCs w:val="24"/>
          <w:u w:val="single"/>
          <w:lang w:val="es-ES" w:eastAsia="es-ES"/>
        </w:rPr>
        <w:t xml:space="preserve"> el desarrollo de la consulta debe realizarse con el consentimiento libre e informado de los pueblos y comunidades indígenas, que deben participar en todas las fases del desarrollo;</w:t>
      </w:r>
    </w:p>
    <w:p w14:paraId="7264F42D" w14:textId="77777777" w:rsidR="009B02C2" w:rsidRPr="00CF2780" w:rsidRDefault="009B02C2" w:rsidP="009B02C2">
      <w:pPr>
        <w:spacing w:after="0" w:line="240" w:lineRule="auto"/>
        <w:ind w:left="567" w:right="567"/>
        <w:jc w:val="both"/>
        <w:rPr>
          <w:rFonts w:ascii="Arial" w:eastAsia="Times New Roman" w:hAnsi="Arial" w:cs="Arial"/>
          <w:sz w:val="24"/>
          <w:szCs w:val="24"/>
          <w:u w:val="single"/>
          <w:lang w:val="es-ES" w:eastAsia="es-ES"/>
        </w:rPr>
      </w:pPr>
    </w:p>
    <w:p w14:paraId="25F85178" w14:textId="77777777" w:rsidR="009B02C2" w:rsidRPr="00CF2780" w:rsidRDefault="009B02C2" w:rsidP="001C6A89">
      <w:pPr>
        <w:numPr>
          <w:ilvl w:val="1"/>
          <w:numId w:val="13"/>
        </w:numPr>
        <w:spacing w:after="0" w:line="240" w:lineRule="auto"/>
        <w:ind w:left="567" w:right="567"/>
        <w:jc w:val="both"/>
        <w:rPr>
          <w:rFonts w:ascii="Arial" w:eastAsia="Times New Roman" w:hAnsi="Arial" w:cs="Arial"/>
          <w:sz w:val="24"/>
          <w:szCs w:val="24"/>
          <w:u w:val="single"/>
          <w:lang w:val="es-ES" w:eastAsia="es-ES"/>
        </w:rPr>
      </w:pPr>
      <w:r w:rsidRPr="00CF2780">
        <w:rPr>
          <w:rFonts w:ascii="Arial" w:eastAsia="Times New Roman" w:hAnsi="Arial" w:cs="Arial"/>
          <w:b/>
          <w:sz w:val="24"/>
          <w:szCs w:val="24"/>
          <w:u w:val="single"/>
          <w:lang w:val="es-ES" w:eastAsia="es-ES"/>
        </w:rPr>
        <w:t>Pacífico:</w:t>
      </w:r>
      <w:r w:rsidRPr="00CF2780">
        <w:rPr>
          <w:rFonts w:ascii="Arial" w:eastAsia="Times New Roman" w:hAnsi="Arial" w:cs="Arial"/>
          <w:sz w:val="24"/>
          <w:szCs w:val="24"/>
          <w:u w:val="single"/>
          <w:lang w:val="es-ES" w:eastAsia="es-ES"/>
        </w:rPr>
        <w:t xml:space="preserve"> deberá privilegiar las medidas conducentes y adecuadas, para que se establezcan todas las condiciones de diálogo y consenso que sean necesarias para evitar la generación de violencia o la comisión de cualquier tipo de desordenes sociales al seno de la comunidad;</w:t>
      </w:r>
    </w:p>
    <w:p w14:paraId="425A2A75" w14:textId="77777777" w:rsidR="009B02C2" w:rsidRPr="00CF2780" w:rsidRDefault="009B02C2" w:rsidP="009B02C2">
      <w:pPr>
        <w:spacing w:after="0" w:line="240" w:lineRule="auto"/>
        <w:ind w:left="567" w:right="567"/>
        <w:jc w:val="both"/>
        <w:rPr>
          <w:rFonts w:ascii="Arial" w:eastAsia="Times New Roman" w:hAnsi="Arial" w:cs="Arial"/>
          <w:sz w:val="24"/>
          <w:szCs w:val="24"/>
          <w:u w:val="single"/>
          <w:lang w:val="es-ES" w:eastAsia="es-ES"/>
        </w:rPr>
      </w:pPr>
    </w:p>
    <w:p w14:paraId="181B9762" w14:textId="77777777" w:rsidR="009B02C2" w:rsidRPr="00CF2780" w:rsidRDefault="009B02C2" w:rsidP="001C6A89">
      <w:pPr>
        <w:numPr>
          <w:ilvl w:val="1"/>
          <w:numId w:val="13"/>
        </w:numPr>
        <w:spacing w:after="0" w:line="240" w:lineRule="auto"/>
        <w:ind w:left="567" w:right="567"/>
        <w:jc w:val="both"/>
        <w:rPr>
          <w:rFonts w:ascii="Arial" w:eastAsia="Times New Roman" w:hAnsi="Arial" w:cs="Arial"/>
          <w:sz w:val="24"/>
          <w:szCs w:val="24"/>
          <w:u w:val="single"/>
          <w:lang w:val="es-ES" w:eastAsia="es-ES"/>
        </w:rPr>
      </w:pPr>
      <w:r w:rsidRPr="00CF2780">
        <w:rPr>
          <w:rFonts w:ascii="Arial" w:eastAsia="Times New Roman" w:hAnsi="Arial" w:cs="Arial"/>
          <w:b/>
          <w:sz w:val="24"/>
          <w:szCs w:val="24"/>
          <w:u w:val="single"/>
          <w:lang w:val="es-ES" w:eastAsia="es-ES"/>
        </w:rPr>
        <w:t>Informado:</w:t>
      </w:r>
      <w:r w:rsidRPr="00CF2780">
        <w:rPr>
          <w:rFonts w:ascii="Arial" w:eastAsia="Times New Roman" w:hAnsi="Arial" w:cs="Arial"/>
          <w:sz w:val="24"/>
          <w:szCs w:val="24"/>
          <w:u w:val="single"/>
          <w:lang w:val="es-ES" w:eastAsia="es-ES"/>
        </w:rPr>
        <w:t xml:space="preserve"> se debe proporcionar a los pueblos y comunidades indígenas todos los datos y la información necesaria respecto de la realización, contenidos y resultados de la consulta a efecto de que puedan adoptar la mejor decisión. A su vez dichos pueblos y comunidades deben proporcionar a la autoridad la información relativa a los usos, costumbres y prácticas tradicionales, para que en un ejercicio constante de retroalimentación se lleve a cabo la consulta correspondiente;</w:t>
      </w:r>
    </w:p>
    <w:p w14:paraId="758B4C03" w14:textId="77777777" w:rsidR="009B02C2" w:rsidRPr="00CF2780" w:rsidRDefault="009B02C2" w:rsidP="009B02C2">
      <w:pPr>
        <w:spacing w:after="0" w:line="240" w:lineRule="auto"/>
        <w:ind w:left="567" w:right="567"/>
        <w:jc w:val="both"/>
        <w:rPr>
          <w:rFonts w:ascii="Arial" w:eastAsia="Times New Roman" w:hAnsi="Arial" w:cs="Arial"/>
          <w:sz w:val="24"/>
          <w:szCs w:val="24"/>
          <w:u w:val="single"/>
          <w:lang w:val="es-ES" w:eastAsia="es-ES"/>
        </w:rPr>
      </w:pPr>
    </w:p>
    <w:p w14:paraId="7BEFFEE1" w14:textId="77777777" w:rsidR="009B02C2" w:rsidRPr="00CF2780" w:rsidRDefault="009B02C2" w:rsidP="001C6A89">
      <w:pPr>
        <w:numPr>
          <w:ilvl w:val="1"/>
          <w:numId w:val="13"/>
        </w:numPr>
        <w:spacing w:after="0" w:line="240" w:lineRule="auto"/>
        <w:ind w:left="567" w:right="567"/>
        <w:jc w:val="both"/>
        <w:rPr>
          <w:rFonts w:ascii="Arial" w:eastAsia="Times New Roman" w:hAnsi="Arial" w:cs="Arial"/>
          <w:sz w:val="24"/>
          <w:szCs w:val="24"/>
          <w:u w:val="single"/>
          <w:lang w:val="es-ES" w:eastAsia="es-ES"/>
        </w:rPr>
      </w:pPr>
      <w:r w:rsidRPr="00CF2780">
        <w:rPr>
          <w:rFonts w:ascii="Arial" w:eastAsia="Times New Roman" w:hAnsi="Arial" w:cs="Arial"/>
          <w:b/>
          <w:sz w:val="24"/>
          <w:szCs w:val="24"/>
          <w:u w:val="single"/>
          <w:lang w:val="es-ES" w:eastAsia="es-ES"/>
        </w:rPr>
        <w:t>Democrático:</w:t>
      </w:r>
      <w:r w:rsidRPr="00CF2780">
        <w:rPr>
          <w:rFonts w:ascii="Arial" w:eastAsia="Times New Roman" w:hAnsi="Arial" w:cs="Arial"/>
          <w:sz w:val="24"/>
          <w:szCs w:val="24"/>
          <w:u w:val="single"/>
          <w:lang w:val="es-ES" w:eastAsia="es-ES"/>
        </w:rPr>
        <w:t xml:space="preserve"> en la consulta se deben establecer los mecanismos correspondiente a efecto que puedan participar el mayor número de integrantes de la comunidad; que en la adopción de las resoluciones se aplique el criterio de mayoría y se respeten en todo momento los derechos humanos;</w:t>
      </w:r>
    </w:p>
    <w:p w14:paraId="4111FE3E" w14:textId="77777777" w:rsidR="009B02C2" w:rsidRPr="00CF2780" w:rsidRDefault="009B02C2" w:rsidP="009B02C2">
      <w:pPr>
        <w:spacing w:after="0" w:line="240" w:lineRule="auto"/>
        <w:ind w:left="567" w:right="567"/>
        <w:jc w:val="both"/>
        <w:rPr>
          <w:rFonts w:ascii="Arial" w:eastAsia="Times New Roman" w:hAnsi="Arial" w:cs="Arial"/>
          <w:sz w:val="24"/>
          <w:szCs w:val="24"/>
          <w:u w:val="single"/>
          <w:lang w:val="es-ES" w:eastAsia="es-ES"/>
        </w:rPr>
      </w:pPr>
    </w:p>
    <w:p w14:paraId="6A5357C7" w14:textId="77777777" w:rsidR="009B02C2" w:rsidRPr="00CF2780" w:rsidRDefault="009B02C2" w:rsidP="001C6A89">
      <w:pPr>
        <w:numPr>
          <w:ilvl w:val="1"/>
          <w:numId w:val="13"/>
        </w:numPr>
        <w:spacing w:after="0" w:line="240" w:lineRule="auto"/>
        <w:ind w:left="567" w:right="567"/>
        <w:jc w:val="both"/>
        <w:rPr>
          <w:rFonts w:ascii="Arial" w:eastAsia="Times New Roman" w:hAnsi="Arial" w:cs="Arial"/>
          <w:sz w:val="24"/>
          <w:szCs w:val="24"/>
          <w:u w:val="single"/>
          <w:lang w:val="es-ES" w:eastAsia="es-ES"/>
        </w:rPr>
      </w:pPr>
      <w:r w:rsidRPr="00CF2780">
        <w:rPr>
          <w:rFonts w:ascii="Arial" w:eastAsia="Times New Roman" w:hAnsi="Arial" w:cs="Arial"/>
          <w:b/>
          <w:sz w:val="24"/>
          <w:szCs w:val="24"/>
          <w:u w:val="single"/>
          <w:lang w:val="es-ES" w:eastAsia="es-ES"/>
        </w:rPr>
        <w:t>Equitativo:</w:t>
      </w:r>
      <w:r w:rsidRPr="00CF2780">
        <w:rPr>
          <w:rFonts w:ascii="Arial" w:eastAsia="Times New Roman" w:hAnsi="Arial" w:cs="Arial"/>
          <w:sz w:val="24"/>
          <w:szCs w:val="24"/>
          <w:u w:val="single"/>
          <w:lang w:val="es-ES" w:eastAsia="es-ES"/>
        </w:rPr>
        <w:t xml:space="preserve"> debe beneficiar por igual a todos los miembros, sin discriminación, y contribuir a reducir desigualdades, garantizando la participación de las mujeres en condiciones de equidad frente a los varones;</w:t>
      </w:r>
    </w:p>
    <w:p w14:paraId="1A5B6388" w14:textId="77777777" w:rsidR="009B02C2" w:rsidRPr="00CF2780" w:rsidRDefault="009B02C2" w:rsidP="009B02C2">
      <w:pPr>
        <w:spacing w:after="0" w:line="240" w:lineRule="auto"/>
        <w:ind w:left="567" w:right="567"/>
        <w:rPr>
          <w:rFonts w:ascii="Arial" w:eastAsia="Times New Roman" w:hAnsi="Arial" w:cs="Arial"/>
          <w:sz w:val="24"/>
          <w:szCs w:val="24"/>
          <w:u w:val="single"/>
          <w:lang w:val="es-ES" w:eastAsia="es-ES"/>
        </w:rPr>
      </w:pPr>
    </w:p>
    <w:p w14:paraId="3F062402" w14:textId="77777777" w:rsidR="009B02C2" w:rsidRPr="00CF2780" w:rsidRDefault="009B02C2" w:rsidP="001C6A89">
      <w:pPr>
        <w:numPr>
          <w:ilvl w:val="1"/>
          <w:numId w:val="13"/>
        </w:numPr>
        <w:spacing w:after="0" w:line="240" w:lineRule="auto"/>
        <w:ind w:left="567" w:right="567"/>
        <w:jc w:val="both"/>
        <w:rPr>
          <w:rFonts w:ascii="Arial" w:eastAsia="Times New Roman" w:hAnsi="Arial" w:cs="Arial"/>
          <w:sz w:val="24"/>
          <w:szCs w:val="24"/>
          <w:u w:val="single"/>
          <w:lang w:val="es-ES" w:eastAsia="es-ES"/>
        </w:rPr>
      </w:pPr>
      <w:r w:rsidRPr="00CF2780">
        <w:rPr>
          <w:rFonts w:ascii="Arial" w:eastAsia="Times New Roman" w:hAnsi="Arial" w:cs="Arial"/>
          <w:b/>
          <w:sz w:val="24"/>
          <w:szCs w:val="24"/>
          <w:u w:val="single"/>
          <w:lang w:val="es-ES" w:eastAsia="es-ES"/>
        </w:rPr>
        <w:t xml:space="preserve">Socialmente responsable: </w:t>
      </w:r>
      <w:r w:rsidRPr="00CF2780">
        <w:rPr>
          <w:rFonts w:ascii="Arial" w:eastAsia="Times New Roman" w:hAnsi="Arial" w:cs="Arial"/>
          <w:sz w:val="24"/>
          <w:szCs w:val="24"/>
          <w:u w:val="single"/>
          <w:lang w:val="es-ES" w:eastAsia="es-ES"/>
        </w:rPr>
        <w:t>debe responder a las necesidades identificadas por los propios pueblos y comunidades indígenas, y reforzar sus propias iniciativas de desarrollo; debe promover el empoderamiento de los pueblos indígenas y especialmente de las mujeres indígenas;</w:t>
      </w:r>
    </w:p>
    <w:p w14:paraId="69A04521" w14:textId="77777777" w:rsidR="009B02C2" w:rsidRPr="00CF2780" w:rsidRDefault="009B02C2" w:rsidP="009B02C2">
      <w:pPr>
        <w:spacing w:after="0" w:line="240" w:lineRule="auto"/>
        <w:ind w:left="567" w:right="567"/>
        <w:jc w:val="both"/>
        <w:rPr>
          <w:rFonts w:ascii="Arial" w:eastAsia="Times New Roman" w:hAnsi="Arial" w:cs="Arial"/>
          <w:sz w:val="24"/>
          <w:szCs w:val="24"/>
          <w:u w:val="single"/>
          <w:lang w:val="es-ES" w:eastAsia="es-ES"/>
        </w:rPr>
      </w:pPr>
    </w:p>
    <w:p w14:paraId="4488EC1D" w14:textId="77777777" w:rsidR="009B02C2" w:rsidRPr="00CF2780" w:rsidRDefault="009B02C2" w:rsidP="001C6A89">
      <w:pPr>
        <w:numPr>
          <w:ilvl w:val="1"/>
          <w:numId w:val="13"/>
        </w:numPr>
        <w:spacing w:after="0" w:line="240" w:lineRule="auto"/>
        <w:ind w:left="567" w:right="567"/>
        <w:jc w:val="both"/>
        <w:rPr>
          <w:rFonts w:ascii="Arial" w:eastAsia="Times New Roman" w:hAnsi="Arial" w:cs="Arial"/>
          <w:sz w:val="24"/>
          <w:szCs w:val="24"/>
          <w:lang w:val="es-ES" w:eastAsia="es-ES"/>
        </w:rPr>
      </w:pPr>
      <w:r w:rsidRPr="00CF2780">
        <w:rPr>
          <w:rFonts w:ascii="Arial" w:eastAsia="Times New Roman" w:hAnsi="Arial" w:cs="Arial"/>
          <w:b/>
          <w:sz w:val="24"/>
          <w:szCs w:val="24"/>
          <w:u w:val="single"/>
          <w:lang w:val="es-ES" w:eastAsia="es-ES"/>
        </w:rPr>
        <w:t>Autogestionado:</w:t>
      </w:r>
      <w:r w:rsidRPr="00CF2780">
        <w:rPr>
          <w:rFonts w:ascii="Arial" w:eastAsia="Times New Roman" w:hAnsi="Arial" w:cs="Arial"/>
          <w:sz w:val="24"/>
          <w:szCs w:val="24"/>
          <w:u w:val="single"/>
          <w:lang w:val="es-ES" w:eastAsia="es-ES"/>
        </w:rPr>
        <w:t xml:space="preserve"> las medidas que se adopten a partir de la consulta deben ser manejados por los propios interesados a través de formas propias de organización y participación</w:t>
      </w:r>
      <w:r w:rsidRPr="00CF2780">
        <w:rPr>
          <w:rFonts w:ascii="Arial" w:eastAsia="Times New Roman" w:hAnsi="Arial" w:cs="Arial"/>
          <w:sz w:val="24"/>
          <w:szCs w:val="24"/>
          <w:lang w:val="es-ES" w:eastAsia="es-ES"/>
        </w:rPr>
        <w:t>.</w:t>
      </w:r>
    </w:p>
    <w:p w14:paraId="53D6E84E" w14:textId="77777777" w:rsidR="009B02C2" w:rsidRPr="00CF2780" w:rsidRDefault="009B02C2" w:rsidP="009B02C2">
      <w:pPr>
        <w:spacing w:after="0" w:line="240" w:lineRule="auto"/>
        <w:ind w:left="567" w:right="567"/>
        <w:jc w:val="both"/>
        <w:rPr>
          <w:rFonts w:ascii="Arial" w:eastAsia="Times New Roman" w:hAnsi="Arial" w:cs="Arial"/>
          <w:bCs/>
          <w:color w:val="000000"/>
          <w:spacing w:val="3"/>
          <w:sz w:val="24"/>
          <w:szCs w:val="24"/>
          <w:lang w:val="es-ES_tradnl" w:eastAsia="es-ES"/>
        </w:rPr>
      </w:pPr>
    </w:p>
    <w:p w14:paraId="769AD505" w14:textId="77777777" w:rsidR="009B02C2" w:rsidRPr="00CF2780" w:rsidRDefault="009B02C2" w:rsidP="001C6A89">
      <w:pPr>
        <w:numPr>
          <w:ilvl w:val="0"/>
          <w:numId w:val="13"/>
        </w:numPr>
        <w:spacing w:after="0" w:line="240" w:lineRule="auto"/>
        <w:ind w:left="567" w:right="567"/>
        <w:jc w:val="both"/>
        <w:rPr>
          <w:rFonts w:ascii="Arial" w:eastAsia="Times New Roman" w:hAnsi="Arial" w:cs="Arial"/>
          <w:sz w:val="24"/>
          <w:szCs w:val="24"/>
          <w:lang w:val="es-ES" w:eastAsia="es-ES"/>
        </w:rPr>
      </w:pPr>
      <w:r w:rsidRPr="00CF2780">
        <w:rPr>
          <w:rFonts w:ascii="Arial" w:eastAsia="Times New Roman" w:hAnsi="Arial" w:cs="Arial"/>
          <w:bCs/>
          <w:color w:val="000000"/>
          <w:spacing w:val="3"/>
          <w:sz w:val="24"/>
          <w:szCs w:val="24"/>
          <w:lang w:val="es-ES_tradnl" w:eastAsia="es-ES"/>
        </w:rPr>
        <w:t>En el supuesto que para el primero de enero de dos mil doce no se haya definido o determinado a la autoridad municipal de Cherán, el Instituto Electoral de Michoacán deberá</w:t>
      </w:r>
      <w:r w:rsidRPr="00CF2780">
        <w:rPr>
          <w:rFonts w:ascii="Arial" w:eastAsia="Times New Roman" w:hAnsi="Arial" w:cs="Arial"/>
          <w:sz w:val="24"/>
          <w:szCs w:val="24"/>
          <w:lang w:val="es-ES" w:eastAsia="es-ES"/>
        </w:rPr>
        <w:t xml:space="preserve"> informar al Congreso del Estado para que en ejercicio de sus facultades para la debida integración del ayuntamiento del Municipio de Cherán, conforme a lo establecido en el artículo 44, fracción XX, de la Constitución local, designe a los miembros del órgano municipal provisional, para lo cual deberá respetar el derecho de consulta de la comunidad.</w:t>
      </w:r>
    </w:p>
    <w:p w14:paraId="2CEB151B" w14:textId="77777777" w:rsidR="009B02C2" w:rsidRPr="00CF2780" w:rsidRDefault="009B02C2" w:rsidP="009B02C2">
      <w:pPr>
        <w:spacing w:after="0" w:line="240" w:lineRule="auto"/>
        <w:ind w:left="567" w:right="567"/>
        <w:jc w:val="both"/>
        <w:rPr>
          <w:rFonts w:ascii="Arial" w:eastAsia="Times New Roman" w:hAnsi="Arial" w:cs="Arial"/>
          <w:bCs/>
          <w:color w:val="000000"/>
          <w:spacing w:val="3"/>
          <w:sz w:val="24"/>
          <w:szCs w:val="24"/>
          <w:lang w:val="es-ES_tradnl" w:eastAsia="es-ES"/>
        </w:rPr>
      </w:pPr>
    </w:p>
    <w:p w14:paraId="5195830D" w14:textId="77777777" w:rsidR="009B02C2" w:rsidRPr="00CF2780" w:rsidRDefault="009B02C2" w:rsidP="001C6A89">
      <w:pPr>
        <w:numPr>
          <w:ilvl w:val="0"/>
          <w:numId w:val="13"/>
        </w:numPr>
        <w:spacing w:after="0" w:line="240" w:lineRule="auto"/>
        <w:ind w:left="567" w:right="567"/>
        <w:jc w:val="both"/>
        <w:rPr>
          <w:rFonts w:ascii="Arial" w:eastAsia="Times New Roman" w:hAnsi="Arial" w:cs="Arial"/>
          <w:bCs/>
          <w:color w:val="000000"/>
          <w:spacing w:val="3"/>
          <w:sz w:val="24"/>
          <w:szCs w:val="24"/>
          <w:lang w:val="es-ES_tradnl" w:eastAsia="es-ES"/>
        </w:rPr>
      </w:pPr>
      <w:r w:rsidRPr="00CF2780">
        <w:rPr>
          <w:rFonts w:ascii="Arial" w:eastAsia="Times New Roman" w:hAnsi="Arial" w:cs="Arial"/>
          <w:bCs/>
          <w:color w:val="000000"/>
          <w:spacing w:val="3"/>
          <w:sz w:val="24"/>
          <w:szCs w:val="24"/>
          <w:lang w:val="es-ES_tradnl" w:eastAsia="es-ES"/>
        </w:rPr>
        <w:t xml:space="preserve">La elección de los integrantes del </w:t>
      </w:r>
      <w:r w:rsidRPr="00CF2780">
        <w:rPr>
          <w:rFonts w:ascii="Arial" w:eastAsia="Times New Roman" w:hAnsi="Arial" w:cs="Arial"/>
          <w:bCs/>
          <w:color w:val="000000"/>
          <w:spacing w:val="3"/>
          <w:sz w:val="24"/>
          <w:szCs w:val="24"/>
          <w:lang w:val="es-ES_tradnl" w:eastAsia="es-ES"/>
        </w:rPr>
        <w:br/>
        <w:t>Ayuntamiento del Municipio de Cherán sólo podrá celebrarse hasta que las autoridades den pleno cumplimiento a lo establecido en la presente ejecutoria.</w:t>
      </w:r>
    </w:p>
    <w:p w14:paraId="6FD1662E" w14:textId="77777777" w:rsidR="009B02C2" w:rsidRPr="00CF2780" w:rsidRDefault="009B02C2" w:rsidP="009B02C2">
      <w:pPr>
        <w:spacing w:after="0" w:line="240" w:lineRule="auto"/>
        <w:ind w:left="567" w:right="567"/>
        <w:jc w:val="both"/>
        <w:rPr>
          <w:rFonts w:ascii="Arial" w:eastAsia="Times New Roman" w:hAnsi="Arial" w:cs="Arial"/>
          <w:bCs/>
          <w:color w:val="000000"/>
          <w:spacing w:val="3"/>
          <w:sz w:val="24"/>
          <w:szCs w:val="24"/>
          <w:lang w:val="es-ES_tradnl" w:eastAsia="es-ES"/>
        </w:rPr>
      </w:pPr>
    </w:p>
    <w:p w14:paraId="4F49F875" w14:textId="77777777" w:rsidR="009B02C2" w:rsidRPr="00CF2780" w:rsidRDefault="009B02C2" w:rsidP="009B02C2">
      <w:pPr>
        <w:spacing w:after="0" w:line="240" w:lineRule="auto"/>
        <w:ind w:left="567" w:right="567"/>
        <w:jc w:val="both"/>
        <w:rPr>
          <w:rFonts w:ascii="Arial" w:eastAsia="Times New Roman" w:hAnsi="Arial" w:cs="Arial"/>
          <w:bCs/>
          <w:color w:val="000000"/>
          <w:spacing w:val="3"/>
          <w:sz w:val="24"/>
          <w:szCs w:val="24"/>
          <w:lang w:val="es-ES_tradnl" w:eastAsia="es-ES"/>
        </w:rPr>
      </w:pPr>
      <w:r w:rsidRPr="00CF2780">
        <w:rPr>
          <w:rFonts w:ascii="Arial" w:eastAsia="Times New Roman" w:hAnsi="Arial" w:cs="Arial"/>
          <w:bCs/>
          <w:color w:val="000000"/>
          <w:spacing w:val="3"/>
          <w:sz w:val="24"/>
          <w:szCs w:val="24"/>
          <w:lang w:val="es-ES_tradnl" w:eastAsia="es-ES"/>
        </w:rPr>
        <w:t>Por tanto, se dejan sin efectos todos los acuerdos de las autoridades electorales locales relacionados directamente con la elección en dicho municipio, para la preparación y organización de los comicios conforme al régimen de partidos políticos.</w:t>
      </w:r>
    </w:p>
    <w:p w14:paraId="63CD832F" w14:textId="77777777" w:rsidR="009B02C2" w:rsidRPr="00CF2780" w:rsidRDefault="009B02C2" w:rsidP="009B02C2">
      <w:pPr>
        <w:spacing w:after="0" w:line="240" w:lineRule="auto"/>
        <w:ind w:left="567" w:right="567"/>
        <w:jc w:val="both"/>
        <w:rPr>
          <w:rFonts w:ascii="Arial" w:eastAsia="Times New Roman" w:hAnsi="Arial" w:cs="Arial"/>
          <w:bCs/>
          <w:color w:val="000000"/>
          <w:spacing w:val="3"/>
          <w:sz w:val="24"/>
          <w:szCs w:val="24"/>
          <w:lang w:val="es-ES_tradnl" w:eastAsia="es-ES"/>
        </w:rPr>
      </w:pPr>
    </w:p>
    <w:p w14:paraId="5E2E8461" w14:textId="77777777" w:rsidR="009B02C2" w:rsidRPr="00CF2780" w:rsidRDefault="009B02C2" w:rsidP="001C6A89">
      <w:pPr>
        <w:numPr>
          <w:ilvl w:val="0"/>
          <w:numId w:val="13"/>
        </w:numPr>
        <w:spacing w:after="0" w:line="240" w:lineRule="auto"/>
        <w:ind w:left="567" w:right="567"/>
        <w:jc w:val="both"/>
        <w:rPr>
          <w:rFonts w:ascii="Arial" w:eastAsia="Times New Roman" w:hAnsi="Arial" w:cs="Arial"/>
          <w:bCs/>
          <w:color w:val="000000"/>
          <w:spacing w:val="3"/>
          <w:sz w:val="24"/>
          <w:szCs w:val="24"/>
          <w:lang w:val="es-ES_tradnl" w:eastAsia="es-ES"/>
        </w:rPr>
      </w:pPr>
      <w:r w:rsidRPr="00CF2780">
        <w:rPr>
          <w:rFonts w:ascii="Arial" w:eastAsia="Times New Roman" w:hAnsi="Arial" w:cs="Arial"/>
          <w:bCs/>
          <w:color w:val="000000"/>
          <w:spacing w:val="3"/>
          <w:sz w:val="24"/>
          <w:szCs w:val="24"/>
          <w:lang w:val="es-ES_tradnl" w:eastAsia="es-ES"/>
        </w:rPr>
        <w:t xml:space="preserve">Al advertir que, a pesar de lo dispuesto en el artículo 2o constitucional y en específico de la obligación impuesta en el artículo segundo transitorio del Decreto publicado en el Diario Oficial de la Federación el catorce de agosto del dos mil uno, por el que se adicionan un segundo y tercer párrafos al Artículo 1o., se reforma el Artículo 2º., se deroga el párrafo primero del Artículo 4o.; y se adicionan un sexto párrafo al Artículo 18, y un último párrafo a la Fracción tercera del Artículo 115 de la Constitución Política de los Estados Unidos Mexicanos, en virtud de la cual se determinó que a la entrada en vigor de la reforma constitucional en materia indígena, las legislaturas de las entidades federativas debían realizar las adecuaciones a las constituciones y leyes locales que procedan y reglamenten lo estipulado en la misma, </w:t>
      </w:r>
      <w:r w:rsidRPr="00CF2780">
        <w:rPr>
          <w:rFonts w:ascii="Arial" w:eastAsia="Times New Roman" w:hAnsi="Arial" w:cs="Arial"/>
          <w:bCs/>
          <w:color w:val="000000"/>
          <w:spacing w:val="3"/>
          <w:sz w:val="24"/>
          <w:szCs w:val="24"/>
          <w:lang w:val="es-ES_tradnl" w:eastAsia="es-ES"/>
        </w:rPr>
        <w:lastRenderedPageBreak/>
        <w:t>se advierte que el Congreso del Estado de Michoacán no ha emitido ni dictado normas secundarias en torno a los derechos de los pueblos indígenas.</w:t>
      </w:r>
    </w:p>
    <w:p w14:paraId="39996311" w14:textId="77777777" w:rsidR="009B02C2" w:rsidRPr="00CF2780" w:rsidRDefault="009B02C2" w:rsidP="009B02C2">
      <w:pPr>
        <w:spacing w:after="0" w:line="240" w:lineRule="auto"/>
        <w:ind w:left="567" w:right="567"/>
        <w:jc w:val="both"/>
        <w:rPr>
          <w:rFonts w:ascii="Arial" w:eastAsia="Times New Roman" w:hAnsi="Arial" w:cs="Arial"/>
          <w:bCs/>
          <w:color w:val="000000"/>
          <w:spacing w:val="3"/>
          <w:sz w:val="24"/>
          <w:szCs w:val="24"/>
          <w:lang w:val="es-ES_tradnl" w:eastAsia="es-ES"/>
        </w:rPr>
      </w:pPr>
    </w:p>
    <w:p w14:paraId="4C7A573F" w14:textId="77777777" w:rsidR="009B02C2" w:rsidRPr="00CF2780" w:rsidRDefault="009B02C2" w:rsidP="009B02C2">
      <w:pPr>
        <w:spacing w:after="0" w:line="240" w:lineRule="auto"/>
        <w:ind w:left="567" w:right="567"/>
        <w:jc w:val="both"/>
        <w:rPr>
          <w:rFonts w:ascii="Arial" w:eastAsia="Times New Roman" w:hAnsi="Arial" w:cs="Arial"/>
          <w:bCs/>
          <w:color w:val="000000"/>
          <w:spacing w:val="3"/>
          <w:sz w:val="24"/>
          <w:szCs w:val="24"/>
          <w:lang w:val="es-ES_tradnl" w:eastAsia="es-ES"/>
        </w:rPr>
      </w:pPr>
      <w:r w:rsidRPr="00CF2780">
        <w:rPr>
          <w:rFonts w:ascii="Arial" w:eastAsia="Times New Roman" w:hAnsi="Arial" w:cs="Arial"/>
          <w:bCs/>
          <w:color w:val="000000"/>
          <w:spacing w:val="3"/>
          <w:sz w:val="24"/>
          <w:szCs w:val="24"/>
          <w:lang w:val="es-ES_tradnl" w:eastAsia="es-ES"/>
        </w:rPr>
        <w:t>Dado que han transcurrido más de diez años desde el inicio de la vigencia de la reforma constitucional en materia de derechos humanos se vincula al Congreso del Estado de Michoacán, para que de acuerdo a su agenda legislativa, armonice la Constitución y legislación interna al Pacto Federal y tratados internacionales en materia de derechos indígenas.</w:t>
      </w:r>
    </w:p>
    <w:p w14:paraId="0C71DE16" w14:textId="77777777" w:rsidR="009B02C2" w:rsidRPr="00CF2780" w:rsidRDefault="009B02C2" w:rsidP="009B02C2">
      <w:pPr>
        <w:spacing w:after="0" w:line="240" w:lineRule="auto"/>
        <w:ind w:left="567" w:right="567"/>
        <w:jc w:val="both"/>
        <w:rPr>
          <w:rFonts w:ascii="Arial" w:eastAsia="Times New Roman" w:hAnsi="Arial" w:cs="Arial"/>
          <w:bCs/>
          <w:color w:val="000000"/>
          <w:spacing w:val="3"/>
          <w:sz w:val="24"/>
          <w:szCs w:val="24"/>
          <w:lang w:val="es-ES_tradnl" w:eastAsia="es-ES"/>
        </w:rPr>
      </w:pPr>
    </w:p>
    <w:p w14:paraId="0761AF70" w14:textId="77777777" w:rsidR="009B02C2" w:rsidRPr="00CF2780" w:rsidRDefault="009B02C2" w:rsidP="001C6A89">
      <w:pPr>
        <w:numPr>
          <w:ilvl w:val="0"/>
          <w:numId w:val="13"/>
        </w:numPr>
        <w:spacing w:after="0" w:line="240" w:lineRule="auto"/>
        <w:ind w:left="567" w:right="567"/>
        <w:jc w:val="both"/>
        <w:rPr>
          <w:rFonts w:ascii="Arial" w:eastAsia="Times New Roman" w:hAnsi="Arial" w:cs="Arial"/>
          <w:bCs/>
          <w:color w:val="000000"/>
          <w:spacing w:val="3"/>
          <w:sz w:val="24"/>
          <w:szCs w:val="24"/>
          <w:lang w:val="es-ES_tradnl" w:eastAsia="es-ES"/>
        </w:rPr>
      </w:pPr>
      <w:r w:rsidRPr="00CF2780">
        <w:rPr>
          <w:rFonts w:ascii="Arial" w:eastAsia="Times New Roman" w:hAnsi="Arial" w:cs="Arial"/>
          <w:bCs/>
          <w:color w:val="000000"/>
          <w:spacing w:val="3"/>
          <w:sz w:val="24"/>
          <w:szCs w:val="24"/>
          <w:lang w:val="es-ES_tradnl" w:eastAsia="es-ES"/>
        </w:rPr>
        <w:t>Se ordena a las autoridades estatales que, en el ejercicio de sus funciones, den cumplimiento a la presente ejecutoria y presten el auxilio necesario para que el Congreso del Estado y el  Instituto Electoral de Michoacán realicen los actos ordenados, ya que los artículos 17, párrafo tercero; 41 y 99 constitucionales, y acorde con los principios de obligatoriedad y orden público, rectores de las sentencias dictadas por este órgano jurisdiccional, sustentados en la vital importancia para la vida institucional del país y con objeto de consolidar el imperio de los mandatos que contiene la Constitución General de la República, sobre cualquier ley y autoridad, tales sentencias obligan a todas las autoridades, independientemente de que figuren o no con el carácter de responsables, sobre todo, si en virtud de sus funciones, les corresponde desplegar actos tendentes a cumplimentar aquellos fallos.</w:t>
      </w:r>
    </w:p>
    <w:p w14:paraId="49940D11" w14:textId="77777777" w:rsidR="009B02C2" w:rsidRPr="00CF2780" w:rsidRDefault="009B02C2" w:rsidP="009B02C2">
      <w:pPr>
        <w:spacing w:after="0" w:line="240" w:lineRule="auto"/>
        <w:ind w:left="567" w:right="567"/>
        <w:jc w:val="both"/>
        <w:rPr>
          <w:rFonts w:ascii="Arial" w:eastAsia="Times New Roman" w:hAnsi="Arial" w:cs="Arial"/>
          <w:bCs/>
          <w:color w:val="000000"/>
          <w:spacing w:val="3"/>
          <w:sz w:val="24"/>
          <w:szCs w:val="24"/>
          <w:lang w:val="es-ES_tradnl" w:eastAsia="es-ES"/>
        </w:rPr>
      </w:pPr>
    </w:p>
    <w:p w14:paraId="4FC6138D" w14:textId="77777777" w:rsidR="009B02C2" w:rsidRPr="00CF2780" w:rsidRDefault="009B02C2" w:rsidP="009B02C2">
      <w:pPr>
        <w:spacing w:after="0" w:line="240" w:lineRule="auto"/>
        <w:ind w:left="567" w:right="567"/>
        <w:jc w:val="both"/>
        <w:rPr>
          <w:rFonts w:ascii="Arial" w:eastAsia="Times New Roman" w:hAnsi="Arial" w:cs="Arial"/>
          <w:bCs/>
          <w:color w:val="000000"/>
          <w:spacing w:val="3"/>
          <w:sz w:val="24"/>
          <w:szCs w:val="24"/>
          <w:lang w:val="es-ES_tradnl" w:eastAsia="es-ES"/>
        </w:rPr>
      </w:pPr>
      <w:r w:rsidRPr="00CF2780">
        <w:rPr>
          <w:rFonts w:ascii="Arial" w:eastAsia="Times New Roman" w:hAnsi="Arial" w:cs="Arial"/>
          <w:bCs/>
          <w:color w:val="000000"/>
          <w:spacing w:val="3"/>
          <w:sz w:val="24"/>
          <w:szCs w:val="24"/>
          <w:lang w:val="es-ES_tradnl" w:eastAsia="es-ES"/>
        </w:rPr>
        <w:t>Sirve de apoyo a lo anterior, la jurisprudencia 31/2002</w:t>
      </w:r>
      <w:r w:rsidRPr="00CF2780">
        <w:rPr>
          <w:rFonts w:ascii="Arial" w:eastAsia="Times New Roman" w:hAnsi="Arial" w:cs="Arial"/>
          <w:sz w:val="24"/>
          <w:szCs w:val="24"/>
          <w:lang w:val="es-ES" w:eastAsia="es-ES"/>
        </w:rPr>
        <w:t xml:space="preserve"> consultable en las páginas 275 a 276 en la </w:t>
      </w:r>
      <w:r w:rsidRPr="00CF2780">
        <w:rPr>
          <w:rFonts w:ascii="Arial" w:eastAsia="Times New Roman" w:hAnsi="Arial" w:cs="Arial"/>
          <w:i/>
          <w:sz w:val="24"/>
          <w:szCs w:val="24"/>
          <w:lang w:val="es-ES" w:eastAsia="es-ES"/>
        </w:rPr>
        <w:t>Compilación 1997-2010: Jurisprudencia y tesis en materia electoral</w:t>
      </w:r>
      <w:r w:rsidRPr="00CF2780">
        <w:rPr>
          <w:rFonts w:ascii="Arial" w:eastAsia="Times New Roman" w:hAnsi="Arial" w:cs="Arial"/>
          <w:sz w:val="24"/>
          <w:szCs w:val="24"/>
          <w:lang w:val="es-ES" w:eastAsia="es-ES"/>
        </w:rPr>
        <w:t xml:space="preserve">, tomo </w:t>
      </w:r>
      <w:r w:rsidRPr="00CF2780">
        <w:rPr>
          <w:rFonts w:ascii="Arial" w:eastAsia="Times New Roman" w:hAnsi="Arial" w:cs="Arial"/>
          <w:i/>
          <w:sz w:val="24"/>
          <w:szCs w:val="24"/>
          <w:lang w:val="es-ES" w:eastAsia="es-ES"/>
        </w:rPr>
        <w:t>Jurisprudencia</w:t>
      </w:r>
      <w:r w:rsidRPr="00CF2780">
        <w:rPr>
          <w:rFonts w:ascii="Arial" w:eastAsia="Times New Roman" w:hAnsi="Arial" w:cs="Arial"/>
          <w:sz w:val="24"/>
          <w:szCs w:val="24"/>
          <w:lang w:val="es-ES" w:eastAsia="es-ES"/>
        </w:rPr>
        <w:t xml:space="preserve">, volumen 1, publicada por el Tribunal Electoral del Poder Judicial de la Federación, de rubro: </w:t>
      </w:r>
      <w:r w:rsidRPr="00CF2780">
        <w:rPr>
          <w:rFonts w:ascii="Arial" w:eastAsia="Times New Roman" w:hAnsi="Arial" w:cs="Arial"/>
          <w:bCs/>
          <w:color w:val="000000"/>
          <w:spacing w:val="3"/>
          <w:sz w:val="24"/>
          <w:szCs w:val="24"/>
          <w:lang w:val="es-ES_tradnl" w:eastAsia="es-ES"/>
        </w:rPr>
        <w:t>“</w:t>
      </w:r>
      <w:hyperlink r:id="rId23" w:anchor="31/2002" w:history="1">
        <w:r w:rsidRPr="00CF2780">
          <w:rPr>
            <w:rFonts w:ascii="Arial" w:eastAsia="Times New Roman" w:hAnsi="Arial" w:cs="Arial"/>
            <w:b/>
            <w:color w:val="000000"/>
            <w:spacing w:val="3"/>
            <w:sz w:val="24"/>
            <w:szCs w:val="24"/>
            <w:lang w:val="es-ES_tradnl" w:eastAsia="es-ES"/>
          </w:rPr>
          <w:t>EJECUCIÓN DE SENTENCIAS ELECTORALES. LAS AUTORIDADES ESTÁN OBLIGADAS A ACATARLAS, INDEPENDIENTEMENTE DE QUE NO TENGAN EL CARÁCTER DE RESPONSABLES, CUANDO POR SUS FUNCIONES DEBAN DESPLEGAR ACTOS PARA SU CUMPLIMIENTO”.</w:t>
        </w:r>
      </w:hyperlink>
      <w:r w:rsidRPr="00CF2780">
        <w:rPr>
          <w:rFonts w:ascii="Arial" w:eastAsia="Times New Roman" w:hAnsi="Arial" w:cs="Arial"/>
          <w:bCs/>
          <w:color w:val="000000"/>
          <w:spacing w:val="3"/>
          <w:sz w:val="24"/>
          <w:szCs w:val="24"/>
          <w:lang w:val="es-ES_tradnl" w:eastAsia="es-ES"/>
        </w:rPr>
        <w:t xml:space="preserve"> </w:t>
      </w:r>
    </w:p>
    <w:p w14:paraId="7CE8E1E9" w14:textId="77777777" w:rsidR="009B02C2" w:rsidRPr="00CF2780" w:rsidRDefault="009B02C2" w:rsidP="009B02C2">
      <w:pPr>
        <w:spacing w:after="0" w:line="240" w:lineRule="auto"/>
        <w:ind w:left="567" w:right="567"/>
        <w:jc w:val="both"/>
        <w:rPr>
          <w:rFonts w:ascii="Arial" w:eastAsia="Times New Roman" w:hAnsi="Arial" w:cs="Arial"/>
          <w:bCs/>
          <w:color w:val="000000"/>
          <w:spacing w:val="3"/>
          <w:sz w:val="24"/>
          <w:szCs w:val="24"/>
          <w:lang w:val="es-ES_tradnl" w:eastAsia="es-ES"/>
        </w:rPr>
      </w:pPr>
    </w:p>
    <w:p w14:paraId="0D2F91BF" w14:textId="77777777" w:rsidR="009B02C2" w:rsidRPr="00CF2780" w:rsidRDefault="009B02C2" w:rsidP="001C6A89">
      <w:pPr>
        <w:numPr>
          <w:ilvl w:val="0"/>
          <w:numId w:val="13"/>
        </w:numPr>
        <w:spacing w:after="0" w:line="240" w:lineRule="auto"/>
        <w:ind w:left="567" w:right="567"/>
        <w:jc w:val="both"/>
        <w:rPr>
          <w:rFonts w:ascii="Arial" w:eastAsia="Times New Roman" w:hAnsi="Arial" w:cs="Arial"/>
          <w:bCs/>
          <w:color w:val="000000"/>
          <w:spacing w:val="3"/>
          <w:sz w:val="24"/>
          <w:szCs w:val="24"/>
          <w:lang w:val="es-ES_tradnl" w:eastAsia="es-ES"/>
        </w:rPr>
      </w:pPr>
      <w:r w:rsidRPr="00CF2780">
        <w:rPr>
          <w:rFonts w:ascii="Arial" w:eastAsia="Times New Roman" w:hAnsi="Arial" w:cs="Arial"/>
          <w:bCs/>
          <w:color w:val="000000"/>
          <w:spacing w:val="3"/>
          <w:sz w:val="24"/>
          <w:szCs w:val="24"/>
          <w:lang w:val="es-ES_tradnl" w:eastAsia="es-ES"/>
        </w:rPr>
        <w:t>Las autoridades deberán remitir a esta Sala Superior copia certificada de las constancias relativas que demuestren el cumplimiento dado a la presente ejecutoria, en un plazo de tres días hábiles contados, a partir del momento en que emitan las respectivas resoluciones.”</w:t>
      </w:r>
    </w:p>
    <w:p w14:paraId="74F707A7" w14:textId="77777777" w:rsidR="009B02C2" w:rsidRPr="00CF2780" w:rsidRDefault="009B02C2" w:rsidP="009B02C2">
      <w:pPr>
        <w:spacing w:after="0" w:line="360" w:lineRule="auto"/>
        <w:jc w:val="both"/>
        <w:rPr>
          <w:rFonts w:ascii="Arial" w:eastAsia="Times New Roman" w:hAnsi="Arial" w:cs="Arial"/>
          <w:b/>
          <w:sz w:val="28"/>
          <w:szCs w:val="28"/>
          <w:lang w:val="es-ES_tradnl" w:eastAsia="es-ES"/>
        </w:rPr>
      </w:pPr>
    </w:p>
    <w:p w14:paraId="43ED8582"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_tradnl" w:eastAsia="es-ES"/>
        </w:rPr>
        <w:t xml:space="preserve">B. Integración de la Comisión Especial para dar seguimiento a la referida resolución. </w:t>
      </w:r>
      <w:r w:rsidRPr="00CF2780">
        <w:rPr>
          <w:rFonts w:ascii="Arial" w:eastAsia="Times New Roman" w:hAnsi="Arial" w:cs="Arial"/>
          <w:sz w:val="28"/>
          <w:szCs w:val="28"/>
          <w:lang w:val="es-ES_tradnl" w:eastAsia="es-ES"/>
        </w:rPr>
        <w:t xml:space="preserve">El treinta de noviembre de dos mil once, el Consejo General del Instituto Electoral de Michoacán creó la Comisión </w:t>
      </w:r>
      <w:r w:rsidRPr="00CF2780">
        <w:rPr>
          <w:rFonts w:ascii="Arial" w:eastAsia="Times New Roman" w:hAnsi="Arial" w:cs="Arial"/>
          <w:sz w:val="28"/>
          <w:szCs w:val="28"/>
          <w:lang w:val="es-ES_tradnl" w:eastAsia="es-ES"/>
        </w:rPr>
        <w:lastRenderedPageBreak/>
        <w:t xml:space="preserve">Especial para dar seguimiento a la sentencia recaída en el expediente del juicio para la protección de los derechos político-electorales del ciudadano </w:t>
      </w:r>
      <w:r w:rsidRPr="00CF2780">
        <w:rPr>
          <w:rFonts w:ascii="Arial" w:eastAsia="Times New Roman" w:hAnsi="Arial" w:cs="Arial"/>
          <w:sz w:val="28"/>
          <w:szCs w:val="28"/>
          <w:lang w:val="es-ES" w:eastAsia="es-ES"/>
        </w:rPr>
        <w:t xml:space="preserve">SUP-JDC-9167/2011. Dicha Comisión quedó integrada por los Consejeros Luis Sigfrido Gómez Campos, Ma. de Lourdes Becerra Pérez y Rodolfo Farías Rodríguez, así como por los Vocales de Organización y de Capacitación Electoral y Educación Cívica, licenciados Ana María Vargas Vélez y José Antonio Rodríguez Corona; y presidida por el primero de los mencionados. </w:t>
      </w:r>
    </w:p>
    <w:p w14:paraId="0A279F2D"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2D1237BF"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C</w:t>
      </w:r>
      <w:r w:rsidRPr="00CF2780">
        <w:rPr>
          <w:rFonts w:ascii="Arial" w:eastAsia="Times New Roman" w:hAnsi="Arial" w:cs="Arial"/>
          <w:sz w:val="28"/>
          <w:szCs w:val="28"/>
          <w:lang w:val="es-ES" w:eastAsia="es-ES"/>
        </w:rPr>
        <w:t xml:space="preserve">. </w:t>
      </w:r>
      <w:r w:rsidRPr="00CF2780">
        <w:rPr>
          <w:rFonts w:ascii="Arial" w:eastAsia="Times New Roman" w:hAnsi="Arial" w:cs="Arial"/>
          <w:b/>
          <w:sz w:val="28"/>
          <w:szCs w:val="28"/>
          <w:lang w:val="es-ES" w:eastAsia="es-ES"/>
        </w:rPr>
        <w:t>Aprobación del calendario y las convocatorias a fin de llevar a cabo las pláticas previas y la consulta</w:t>
      </w:r>
      <w:r w:rsidRPr="00CF2780">
        <w:rPr>
          <w:rFonts w:ascii="Arial" w:eastAsia="Times New Roman" w:hAnsi="Arial" w:cs="Arial"/>
          <w:sz w:val="28"/>
          <w:szCs w:val="28"/>
          <w:lang w:val="es-ES" w:eastAsia="es-ES"/>
        </w:rPr>
        <w:t xml:space="preserve">. El nueve de diciembre de dos mil once, mediante acuerdo del Consejo General, número CG-154/2011, se aprobó el calendario en el que se llevarían a cabo las asambleas informativas y las consultas, así como la publicación de las convocatorias tanto para las pláticas informativas como para las consultas que deberían publicitarse en las comunidades de San Francisco Cherán y Santa Cruz Tanaco, pertenecientes al Municipio de Cherán, Michoacán. </w:t>
      </w:r>
    </w:p>
    <w:p w14:paraId="2EF16F48"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7F46EF46"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D</w:t>
      </w:r>
      <w:r w:rsidRPr="00CF2780">
        <w:rPr>
          <w:rFonts w:ascii="Arial" w:eastAsia="Times New Roman" w:hAnsi="Arial" w:cs="Arial"/>
          <w:sz w:val="28"/>
          <w:szCs w:val="28"/>
          <w:lang w:val="es-ES" w:eastAsia="es-ES"/>
        </w:rPr>
        <w:t xml:space="preserve">. </w:t>
      </w:r>
      <w:r w:rsidRPr="00CF2780">
        <w:rPr>
          <w:rFonts w:ascii="Arial" w:eastAsia="Times New Roman" w:hAnsi="Arial" w:cs="Arial"/>
          <w:b/>
          <w:sz w:val="28"/>
          <w:szCs w:val="28"/>
          <w:lang w:val="es-ES" w:eastAsia="es-ES"/>
        </w:rPr>
        <w:t>Informe rendido por la Comisión Especial</w:t>
      </w:r>
      <w:r w:rsidRPr="00CF2780">
        <w:rPr>
          <w:rFonts w:ascii="Arial" w:eastAsia="Times New Roman" w:hAnsi="Arial" w:cs="Arial"/>
          <w:sz w:val="28"/>
          <w:szCs w:val="28"/>
          <w:lang w:val="es-ES" w:eastAsia="es-ES"/>
        </w:rPr>
        <w:t xml:space="preserve">. En el </w:t>
      </w:r>
      <w:r w:rsidRPr="00CF2780">
        <w:rPr>
          <w:rFonts w:ascii="Arial" w:eastAsia="Times New Roman" w:hAnsi="Arial" w:cs="Arial"/>
          <w:i/>
          <w:sz w:val="28"/>
          <w:szCs w:val="28"/>
          <w:lang w:val="es-ES" w:eastAsia="es-ES"/>
        </w:rPr>
        <w:t>Periódico Oficial del Gobierno Constitucional del Estado de Michoacán de Ocampo</w:t>
      </w:r>
      <w:r w:rsidRPr="00CF2780">
        <w:rPr>
          <w:rFonts w:ascii="Arial" w:eastAsia="Times New Roman" w:hAnsi="Arial" w:cs="Arial"/>
          <w:sz w:val="28"/>
          <w:szCs w:val="28"/>
          <w:lang w:val="es-ES" w:eastAsia="es-ES"/>
        </w:rPr>
        <w:t>, el cinco de enero de dos mil doce, se publicó el Informe que rinde la Comisión Especial para dar seguimiento a la resolución emitida por la Sala Superior del Tribunal Electoral del Poder Judicial de la Federación dentro del juicio para la protección de los derechos político-electorales del ciudadano, número SUP-JDC-9167/2011.</w:t>
      </w:r>
    </w:p>
    <w:p w14:paraId="5F5653A1"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0DD3236E"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lastRenderedPageBreak/>
        <w:t>E</w:t>
      </w:r>
      <w:r w:rsidRPr="00CF2780">
        <w:rPr>
          <w:rFonts w:ascii="Arial" w:eastAsia="Times New Roman" w:hAnsi="Arial" w:cs="Arial"/>
          <w:sz w:val="28"/>
          <w:szCs w:val="28"/>
          <w:lang w:val="es-ES" w:eastAsia="es-ES"/>
        </w:rPr>
        <w:t xml:space="preserve">. </w:t>
      </w:r>
      <w:r w:rsidRPr="00CF2780">
        <w:rPr>
          <w:rFonts w:ascii="Arial" w:eastAsia="Times New Roman" w:hAnsi="Arial" w:cs="Arial"/>
          <w:b/>
          <w:sz w:val="28"/>
          <w:szCs w:val="28"/>
          <w:lang w:val="es-ES" w:eastAsia="es-ES"/>
        </w:rPr>
        <w:t>Informe de resultados</w:t>
      </w:r>
      <w:r w:rsidRPr="00CF2780">
        <w:rPr>
          <w:rFonts w:ascii="Arial" w:eastAsia="Times New Roman" w:hAnsi="Arial" w:cs="Arial"/>
          <w:sz w:val="28"/>
          <w:szCs w:val="28"/>
          <w:lang w:val="es-ES" w:eastAsia="es-ES"/>
        </w:rPr>
        <w:t xml:space="preserve">. En la sesión del Consejo General de diecinueve de diciembre de dos mil once, la Comisión Especial informó de los resultados de las consultas realizadas. </w:t>
      </w:r>
    </w:p>
    <w:p w14:paraId="7802E190"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219450C5"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F</w:t>
      </w:r>
      <w:r w:rsidRPr="00CF2780">
        <w:rPr>
          <w:rFonts w:ascii="Arial" w:eastAsia="Times New Roman" w:hAnsi="Arial" w:cs="Arial"/>
          <w:sz w:val="28"/>
          <w:szCs w:val="28"/>
          <w:lang w:val="es-ES" w:eastAsia="es-ES"/>
        </w:rPr>
        <w:t xml:space="preserve">. </w:t>
      </w:r>
      <w:r w:rsidRPr="00CF2780">
        <w:rPr>
          <w:rFonts w:ascii="Arial" w:eastAsia="Times New Roman" w:hAnsi="Arial" w:cs="Arial"/>
          <w:b/>
          <w:sz w:val="28"/>
          <w:szCs w:val="28"/>
          <w:lang w:val="es-ES" w:eastAsia="es-ES"/>
        </w:rPr>
        <w:t>Publicación de resultados</w:t>
      </w:r>
      <w:r w:rsidRPr="00CF2780">
        <w:rPr>
          <w:rFonts w:ascii="Arial" w:eastAsia="Times New Roman" w:hAnsi="Arial" w:cs="Arial"/>
          <w:sz w:val="28"/>
          <w:szCs w:val="28"/>
          <w:lang w:val="es-ES" w:eastAsia="es-ES"/>
        </w:rPr>
        <w:t xml:space="preserve">. En el </w:t>
      </w:r>
      <w:r w:rsidRPr="00CF2780">
        <w:rPr>
          <w:rFonts w:ascii="Arial" w:eastAsia="Times New Roman" w:hAnsi="Arial" w:cs="Arial"/>
          <w:i/>
          <w:sz w:val="28"/>
          <w:szCs w:val="28"/>
          <w:lang w:val="es-ES" w:eastAsia="es-ES"/>
        </w:rPr>
        <w:t>Periódico Oficial del Gobierno del Estado del Estado de Michoacán</w:t>
      </w:r>
      <w:r w:rsidRPr="00CF2780">
        <w:rPr>
          <w:rFonts w:ascii="Arial" w:eastAsia="Times New Roman" w:hAnsi="Arial" w:cs="Arial"/>
          <w:sz w:val="28"/>
          <w:szCs w:val="28"/>
          <w:lang w:val="es-ES" w:eastAsia="es-ES"/>
        </w:rPr>
        <w:t xml:space="preserve"> de cuatro de enero de dos mil once se publicó el Informe de resultados de la Consulta realizada en cumplimiento a lo dispuesto el considerando noveno, inciso b), punto 1, de la resolución de fecha 2 de noviembre de 2011, dictada dentro del juicio para la protección de los derechos político-electorales del ciudadano, número SUP-JDC-916/2011. </w:t>
      </w:r>
    </w:p>
    <w:p w14:paraId="51EB47FE"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4A35BE7A"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Acorde con el citado informe, en la sumatoria general se tiene un total de:   </w:t>
      </w:r>
    </w:p>
    <w:p w14:paraId="0AD93B0B"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4ABADDFA" w14:textId="77777777" w:rsidR="009B02C2" w:rsidRPr="00CF2780" w:rsidRDefault="009B02C2" w:rsidP="001C6A89">
      <w:pPr>
        <w:numPr>
          <w:ilvl w:val="0"/>
          <w:numId w:val="13"/>
        </w:num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4,846</w:t>
      </w:r>
      <w:r w:rsidRPr="00CF2780">
        <w:rPr>
          <w:rFonts w:ascii="Arial" w:eastAsia="Times New Roman" w:hAnsi="Arial" w:cs="Arial"/>
          <w:sz w:val="28"/>
          <w:szCs w:val="28"/>
          <w:lang w:val="es-ES" w:eastAsia="es-ES"/>
        </w:rPr>
        <w:t xml:space="preserve"> personas que votaron a favor del sistema de usos y costumbres para elegir autoridades del Municipio de Cherán</w:t>
      </w:r>
    </w:p>
    <w:p w14:paraId="7DE29682" w14:textId="77777777" w:rsidR="009B02C2" w:rsidRPr="00CF2780" w:rsidRDefault="009B02C2" w:rsidP="001C6A89">
      <w:pPr>
        <w:numPr>
          <w:ilvl w:val="0"/>
          <w:numId w:val="13"/>
        </w:num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8</w:t>
      </w:r>
      <w:r w:rsidRPr="00CF2780">
        <w:rPr>
          <w:rFonts w:ascii="Arial" w:eastAsia="Times New Roman" w:hAnsi="Arial" w:cs="Arial"/>
          <w:sz w:val="28"/>
          <w:szCs w:val="28"/>
          <w:lang w:val="es-ES" w:eastAsia="es-ES"/>
        </w:rPr>
        <w:t xml:space="preserve"> personas que votaron en contra del sistema de usos y costumbres para elegir autoridades del Municipio de Cherán, y </w:t>
      </w:r>
    </w:p>
    <w:p w14:paraId="78B4FF7F" w14:textId="77777777" w:rsidR="009B02C2" w:rsidRPr="00CF2780" w:rsidRDefault="009B02C2" w:rsidP="001C6A89">
      <w:pPr>
        <w:numPr>
          <w:ilvl w:val="0"/>
          <w:numId w:val="13"/>
        </w:num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498</w:t>
      </w:r>
      <w:r w:rsidRPr="00CF2780">
        <w:rPr>
          <w:rFonts w:ascii="Arial" w:eastAsia="Times New Roman" w:hAnsi="Arial" w:cs="Arial"/>
          <w:sz w:val="28"/>
          <w:szCs w:val="28"/>
          <w:lang w:val="es-ES" w:eastAsia="es-ES"/>
        </w:rPr>
        <w:t xml:space="preserve"> personas de la comunidad de Santa Cruz Tanaco que no levantaron la mano para manifestarse a favor del sistema de usos y costumbres; sin embargo, hicieron una manifestación general en voz con un “NO”.</w:t>
      </w:r>
      <w:r w:rsidRPr="00CF2780">
        <w:rPr>
          <w:rFonts w:ascii="Arial" w:eastAsia="Times New Roman" w:hAnsi="Arial" w:cs="Arial"/>
          <w:sz w:val="28"/>
          <w:szCs w:val="28"/>
          <w:vertAlign w:val="superscript"/>
          <w:lang w:val="es-ES" w:eastAsia="es-ES"/>
        </w:rPr>
        <w:footnoteReference w:id="24"/>
      </w:r>
      <w:r w:rsidRPr="00CF2780">
        <w:rPr>
          <w:rFonts w:ascii="Arial" w:eastAsia="Times New Roman" w:hAnsi="Arial" w:cs="Arial"/>
          <w:sz w:val="28"/>
          <w:szCs w:val="28"/>
          <w:lang w:val="es-ES" w:eastAsia="es-ES"/>
        </w:rPr>
        <w:t xml:space="preserve"> </w:t>
      </w:r>
    </w:p>
    <w:p w14:paraId="52BA9828"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5B6C1B75"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lastRenderedPageBreak/>
        <w:t>G</w:t>
      </w:r>
      <w:r w:rsidRPr="00CF2780">
        <w:rPr>
          <w:rFonts w:ascii="Arial" w:eastAsia="Times New Roman" w:hAnsi="Arial" w:cs="Arial"/>
          <w:sz w:val="28"/>
          <w:szCs w:val="28"/>
          <w:lang w:val="es-ES" w:eastAsia="es-ES"/>
        </w:rPr>
        <w:t xml:space="preserve">. </w:t>
      </w:r>
      <w:r w:rsidRPr="00CF2780">
        <w:rPr>
          <w:rFonts w:ascii="Arial" w:eastAsia="Times New Roman" w:hAnsi="Arial" w:cs="Arial"/>
          <w:b/>
          <w:sz w:val="28"/>
          <w:szCs w:val="28"/>
          <w:lang w:val="es-ES" w:eastAsia="es-ES"/>
        </w:rPr>
        <w:t>Entrega de resultados al Congreso del Estado de Michoacán</w:t>
      </w:r>
      <w:r w:rsidRPr="00CF2780">
        <w:rPr>
          <w:rFonts w:ascii="Arial" w:eastAsia="Times New Roman" w:hAnsi="Arial" w:cs="Arial"/>
          <w:sz w:val="28"/>
          <w:szCs w:val="28"/>
          <w:lang w:val="es-ES" w:eastAsia="es-ES"/>
        </w:rPr>
        <w:t xml:space="preserve">. El veinte de diciembre de dos mil once, mediante oficio número P-IEM/3478/2011 de veinte de diciembre de dos mil once, el Instituto Electoral de Michoacán, por conducto de su Presidenta, hizo entrega de los resultados de la consulta mencionada al Honorable Congreso del Estado para los efectos de lo dispuesto en el considerando </w:t>
      </w:r>
      <w:r w:rsidRPr="00CF2780">
        <w:rPr>
          <w:rFonts w:ascii="Arial" w:eastAsia="Times New Roman" w:hAnsi="Arial" w:cs="Arial"/>
          <w:b/>
          <w:sz w:val="28"/>
          <w:szCs w:val="28"/>
          <w:lang w:val="es-ES" w:eastAsia="es-ES"/>
        </w:rPr>
        <w:t xml:space="preserve">noveno </w:t>
      </w:r>
      <w:r w:rsidRPr="00CF2780">
        <w:rPr>
          <w:rFonts w:ascii="Arial" w:eastAsia="Times New Roman" w:hAnsi="Arial" w:cs="Arial"/>
          <w:sz w:val="28"/>
          <w:szCs w:val="28"/>
          <w:lang w:val="es-ES" w:eastAsia="es-ES"/>
        </w:rPr>
        <w:t xml:space="preserve">de la sentencia emitida por esta Sala Superior del Tribunal Electoral del Poder Judicial de la Federación en el inciso b), punto 1).  </w:t>
      </w:r>
    </w:p>
    <w:p w14:paraId="5D664B0B"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3859C248"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H</w:t>
      </w:r>
      <w:r w:rsidRPr="00CF2780">
        <w:rPr>
          <w:rFonts w:ascii="Arial" w:eastAsia="Times New Roman" w:hAnsi="Arial" w:cs="Arial"/>
          <w:sz w:val="28"/>
          <w:szCs w:val="28"/>
          <w:lang w:val="es-ES" w:eastAsia="es-ES"/>
        </w:rPr>
        <w:t xml:space="preserve">. </w:t>
      </w:r>
      <w:r w:rsidRPr="00CF2780">
        <w:rPr>
          <w:rFonts w:ascii="Arial" w:eastAsia="Times New Roman" w:hAnsi="Arial" w:cs="Arial"/>
          <w:b/>
          <w:sz w:val="28"/>
          <w:szCs w:val="28"/>
          <w:lang w:val="es-ES" w:eastAsia="es-ES"/>
        </w:rPr>
        <w:t>Decreto Número 442 del Congreso de Michoacán de Ocampo</w:t>
      </w:r>
      <w:r w:rsidRPr="00CF2780">
        <w:rPr>
          <w:rFonts w:ascii="Arial" w:eastAsia="Times New Roman" w:hAnsi="Arial" w:cs="Arial"/>
          <w:sz w:val="28"/>
          <w:szCs w:val="28"/>
          <w:lang w:val="es-ES" w:eastAsia="es-ES"/>
        </w:rPr>
        <w:t xml:space="preserve">. En el Periódico Oficial del Gobierno Constitucional del Estado de Michoacán de Ocampo de treinta de diciembre de dos mil once, se publicó el Decreto Número 442 del Congreso de Michoacán de Ocampo, el cual dispone (énfasis agregado): </w:t>
      </w:r>
    </w:p>
    <w:p w14:paraId="667F2377"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368067DE" w14:textId="77777777" w:rsidR="009B02C2" w:rsidRPr="00CF2780" w:rsidRDefault="009B02C2" w:rsidP="009B02C2">
      <w:pPr>
        <w:spacing w:after="0" w:line="240" w:lineRule="auto"/>
        <w:ind w:left="567" w:right="567"/>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w:t>
      </w:r>
      <w:r w:rsidRPr="00CF2780">
        <w:rPr>
          <w:rFonts w:ascii="Arial" w:eastAsia="Times New Roman" w:hAnsi="Arial" w:cs="Arial"/>
          <w:b/>
          <w:sz w:val="24"/>
          <w:szCs w:val="24"/>
          <w:lang w:val="es-ES" w:eastAsia="es-ES"/>
        </w:rPr>
        <w:t>ARTÍCULO PRIMERO</w:t>
      </w:r>
      <w:r w:rsidRPr="00CF2780">
        <w:rPr>
          <w:rFonts w:ascii="Arial" w:eastAsia="Times New Roman" w:hAnsi="Arial" w:cs="Arial"/>
          <w:sz w:val="24"/>
          <w:szCs w:val="24"/>
          <w:lang w:val="es-ES" w:eastAsia="es-ES"/>
        </w:rPr>
        <w:t xml:space="preserve">. Se establece </w:t>
      </w:r>
      <w:r w:rsidRPr="00CF2780">
        <w:rPr>
          <w:rFonts w:ascii="Arial" w:eastAsia="Times New Roman" w:hAnsi="Arial" w:cs="Arial"/>
          <w:sz w:val="24"/>
          <w:szCs w:val="24"/>
          <w:u w:val="single"/>
          <w:lang w:val="es-ES" w:eastAsia="es-ES"/>
        </w:rPr>
        <w:t>como fecha para que las comunidades indígenas de San Francisco Cherán y Santa Cruz Tanaco, del Municipio de Cherán, Michoacán, celebren sus elecciones para elegir autoridades municipales, por el sistema de usos y costumbres, el día domingo 22 del mes de enero de 2012</w:t>
      </w:r>
      <w:r w:rsidRPr="00CF2780">
        <w:rPr>
          <w:rFonts w:ascii="Arial" w:eastAsia="Times New Roman" w:hAnsi="Arial" w:cs="Arial"/>
          <w:sz w:val="24"/>
          <w:szCs w:val="24"/>
          <w:lang w:val="es-ES" w:eastAsia="es-ES"/>
        </w:rPr>
        <w:t>.</w:t>
      </w:r>
    </w:p>
    <w:p w14:paraId="771D8F1B" w14:textId="77777777" w:rsidR="009B02C2" w:rsidRPr="00CF2780" w:rsidRDefault="009B02C2" w:rsidP="009B02C2">
      <w:pPr>
        <w:spacing w:after="0" w:line="240" w:lineRule="auto"/>
        <w:ind w:left="567" w:right="567"/>
        <w:jc w:val="both"/>
        <w:rPr>
          <w:rFonts w:ascii="Arial" w:eastAsia="Times New Roman" w:hAnsi="Arial" w:cs="Arial"/>
          <w:sz w:val="24"/>
          <w:szCs w:val="24"/>
          <w:lang w:val="es-ES" w:eastAsia="es-ES"/>
        </w:rPr>
      </w:pPr>
    </w:p>
    <w:p w14:paraId="4407E862" w14:textId="77777777" w:rsidR="009B02C2" w:rsidRPr="00CF2780" w:rsidRDefault="009B02C2" w:rsidP="009B02C2">
      <w:pPr>
        <w:spacing w:after="0" w:line="240" w:lineRule="auto"/>
        <w:ind w:left="567" w:right="567"/>
        <w:jc w:val="both"/>
        <w:rPr>
          <w:rFonts w:ascii="Arial" w:eastAsia="Times New Roman" w:hAnsi="Arial" w:cs="Arial"/>
          <w:sz w:val="24"/>
          <w:szCs w:val="24"/>
          <w:lang w:val="es-ES_tradnl" w:eastAsia="es-ES"/>
        </w:rPr>
      </w:pPr>
      <w:r w:rsidRPr="00CF2780">
        <w:rPr>
          <w:rFonts w:ascii="Arial" w:eastAsia="Times New Roman" w:hAnsi="Arial" w:cs="Arial"/>
          <w:b/>
          <w:sz w:val="24"/>
          <w:szCs w:val="24"/>
          <w:lang w:val="es-ES" w:eastAsia="es-ES"/>
        </w:rPr>
        <w:t>ARTÍCULO SEGUNDO</w:t>
      </w:r>
      <w:r w:rsidRPr="00CF2780">
        <w:rPr>
          <w:rFonts w:ascii="Arial" w:eastAsia="Times New Roman" w:hAnsi="Arial" w:cs="Arial"/>
          <w:sz w:val="24"/>
          <w:szCs w:val="24"/>
          <w:lang w:val="es-ES" w:eastAsia="es-ES"/>
        </w:rPr>
        <w:t xml:space="preserve">. Las autoridades electas por usos y costumbres en el Municipio de Cherán, </w:t>
      </w:r>
      <w:r w:rsidRPr="00CF2780">
        <w:rPr>
          <w:rFonts w:ascii="Arial" w:eastAsia="Times New Roman" w:hAnsi="Arial" w:cs="Arial"/>
          <w:sz w:val="24"/>
          <w:szCs w:val="24"/>
          <w:u w:val="single"/>
          <w:lang w:val="es-ES" w:eastAsia="es-ES"/>
        </w:rPr>
        <w:t>deberán tomar posesión de sus cargos el día domingo 5 del mes de febrero del año 2012</w:t>
      </w:r>
      <w:r w:rsidRPr="00CF2780">
        <w:rPr>
          <w:rFonts w:ascii="Arial" w:eastAsia="Times New Roman" w:hAnsi="Arial" w:cs="Arial"/>
          <w:sz w:val="24"/>
          <w:szCs w:val="24"/>
          <w:lang w:val="es-ES" w:eastAsia="es-ES"/>
        </w:rPr>
        <w:t xml:space="preserve">.” </w:t>
      </w:r>
    </w:p>
    <w:p w14:paraId="7E6ACEE4" w14:textId="77777777" w:rsidR="009B02C2" w:rsidRPr="00CF2780" w:rsidRDefault="009B02C2" w:rsidP="009B02C2">
      <w:pPr>
        <w:spacing w:after="0" w:line="360" w:lineRule="auto"/>
        <w:ind w:right="567"/>
        <w:jc w:val="both"/>
        <w:rPr>
          <w:rFonts w:ascii="Arial" w:eastAsia="Times New Roman" w:hAnsi="Arial" w:cs="Arial"/>
          <w:b/>
          <w:sz w:val="24"/>
          <w:szCs w:val="24"/>
          <w:lang w:val="es-ES_tradnl" w:eastAsia="es-ES"/>
        </w:rPr>
      </w:pPr>
    </w:p>
    <w:p w14:paraId="628FF21E"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I. Procedimiento de elección de las autoridades municipales del Municipio de Cherán, Michoacán</w:t>
      </w:r>
      <w:r w:rsidRPr="00CF2780">
        <w:rPr>
          <w:rFonts w:ascii="Arial" w:eastAsia="Times New Roman" w:hAnsi="Arial" w:cs="Arial"/>
          <w:sz w:val="28"/>
          <w:szCs w:val="28"/>
          <w:lang w:val="es-ES" w:eastAsia="es-ES"/>
        </w:rPr>
        <w:t xml:space="preserve">. El diecisiete de enero de dos mil doce, el Consejo General del Instituto Electoral de Michoacán aprobó el Acuerdo del Consejo General del Instituto Electoral de Michoacán, que presenta la Comisión Especial al Consejo General sobre el procedimiento de elección de las autoridades municipales del Municipio </w:t>
      </w:r>
      <w:r w:rsidRPr="00CF2780">
        <w:rPr>
          <w:rFonts w:ascii="Arial" w:eastAsia="Times New Roman" w:hAnsi="Arial" w:cs="Arial"/>
          <w:sz w:val="28"/>
          <w:szCs w:val="28"/>
          <w:lang w:val="es-ES" w:eastAsia="es-ES"/>
        </w:rPr>
        <w:lastRenderedPageBreak/>
        <w:t xml:space="preserve">de Cherán, Michoacán, en cumplimiento al Decreto Legislativo Número 442 del Honorable Congreso del Estado de Michoacán de Ocampo y a la resolución de la Sala Superior del Tribunal Electoral del Poder Judicial de la Federación dentro del juicio para la protección de los derechos político-electorales del ciudadano número SUP-JDC-9167/2011.   </w:t>
      </w:r>
    </w:p>
    <w:p w14:paraId="47485B50"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3DE3F3EA"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Así, conforme con lo expuesto, en la resolución de esta Sala Superior del Tribunal Electoral del Poder Judicial de la Federación, dictada dentro del juicio para la protección de los derechos político-electorales del ciudadano identificado con el número SUP-JDC-9167/2011, se ordenó, entre otros aspectos, que: a) El Instituto Electoral del Estado de Michoacán dispusiera las medidas necesarias, suficientes y que resultaran razonables para que, de acuerdo con una conciliación pertinente, se efectuaran las consultas requeridas directamente a los miembros de la comunidad indígena de Cherán; b) Se determinara si la mayoría de sus integrantes está de acuerdo en celebrar elecciones por el sistema de usos y costumbres, y c) De estimar que existen las condiciones necesarias para celebrar los comicios —como es el caso—, se sometiera al Congreso los resultados de la consulta, a efecto de que dicha autoridad emitiera el decreto correspondiente, en el cual se establece como fecha para que las comunidades indígenas de San Francisco Cherán y Santa Cruz Tanaco, del Municipio de Cherán, Michoacán, celebren sus elecciones para elegir autoridades municipales, por el sistema de usos y costumbres, el día domingo 22 del mes de enero de 2012 y que las autoridades electas por usos y costumbres en el Municipio de Cherán, deberán tomar posesión de sus cargos el día domingo 5 del mes de febrero del año 2012. </w:t>
      </w:r>
    </w:p>
    <w:p w14:paraId="6D112867" w14:textId="77777777" w:rsidR="009B02C2" w:rsidRPr="00CF2780" w:rsidRDefault="009B02C2" w:rsidP="009B02C2">
      <w:pPr>
        <w:spacing w:after="0" w:line="360" w:lineRule="auto"/>
        <w:jc w:val="both"/>
        <w:rPr>
          <w:rFonts w:ascii="Arial" w:eastAsia="Times New Roman" w:hAnsi="Arial" w:cs="Arial"/>
          <w:b/>
          <w:sz w:val="28"/>
          <w:szCs w:val="28"/>
          <w:lang w:val="es-ES" w:eastAsia="es-ES"/>
        </w:rPr>
      </w:pPr>
    </w:p>
    <w:p w14:paraId="4647F3CD" w14:textId="77777777" w:rsidR="009B02C2" w:rsidRPr="00CF2780" w:rsidRDefault="009B02C2" w:rsidP="009B02C2">
      <w:pPr>
        <w:spacing w:after="0" w:line="360" w:lineRule="auto"/>
        <w:jc w:val="both"/>
        <w:rPr>
          <w:rFonts w:ascii="Arial" w:eastAsia="Times New Roman" w:hAnsi="Arial" w:cs="Arial"/>
          <w:b/>
          <w:sz w:val="28"/>
          <w:szCs w:val="28"/>
          <w:lang w:val="es-ES" w:eastAsia="es-ES"/>
        </w:rPr>
      </w:pPr>
      <w:r w:rsidRPr="00CF2780">
        <w:rPr>
          <w:rFonts w:ascii="Arial" w:eastAsia="Times New Roman" w:hAnsi="Arial" w:cs="Arial"/>
          <w:b/>
          <w:sz w:val="28"/>
          <w:szCs w:val="28"/>
          <w:lang w:val="es-ES" w:eastAsia="es-ES"/>
        </w:rPr>
        <w:t xml:space="preserve">QUINTO. </w:t>
      </w:r>
      <w:r w:rsidRPr="00CF2780">
        <w:rPr>
          <w:rFonts w:ascii="Arial" w:eastAsia="Times New Roman" w:hAnsi="Arial" w:cs="Arial"/>
          <w:b/>
          <w:i/>
          <w:sz w:val="28"/>
          <w:szCs w:val="28"/>
          <w:lang w:val="es-ES" w:eastAsia="es-ES"/>
        </w:rPr>
        <w:t>Estudio de fondo.</w:t>
      </w:r>
      <w:r w:rsidRPr="00CF2780">
        <w:rPr>
          <w:rFonts w:ascii="Arial" w:eastAsia="Times New Roman" w:hAnsi="Arial" w:cs="Arial"/>
          <w:b/>
          <w:sz w:val="28"/>
          <w:szCs w:val="28"/>
          <w:lang w:val="es-ES" w:eastAsia="es-ES"/>
        </w:rPr>
        <w:t xml:space="preserve"> </w:t>
      </w:r>
    </w:p>
    <w:p w14:paraId="5160C707" w14:textId="77777777" w:rsidR="009B02C2" w:rsidRPr="00CF2780" w:rsidRDefault="009B02C2" w:rsidP="009B02C2">
      <w:pPr>
        <w:spacing w:after="0" w:line="360" w:lineRule="auto"/>
        <w:jc w:val="both"/>
        <w:rPr>
          <w:rFonts w:ascii="Arial" w:eastAsia="Times New Roman" w:hAnsi="Arial" w:cs="Arial"/>
          <w:i/>
          <w:sz w:val="28"/>
          <w:szCs w:val="28"/>
          <w:lang w:val="es-ES" w:eastAsia="es-ES"/>
        </w:rPr>
      </w:pPr>
    </w:p>
    <w:p w14:paraId="08C0434B" w14:textId="77777777" w:rsidR="009B02C2" w:rsidRPr="00CF2780" w:rsidRDefault="009B02C2" w:rsidP="009B02C2">
      <w:pPr>
        <w:spacing w:after="0" w:line="360" w:lineRule="auto"/>
        <w:jc w:val="both"/>
        <w:rPr>
          <w:rFonts w:ascii="Arial" w:eastAsia="Times New Roman" w:hAnsi="Arial" w:cs="Arial"/>
          <w:i/>
          <w:sz w:val="28"/>
          <w:szCs w:val="28"/>
          <w:lang w:val="es-ES" w:eastAsia="es-ES"/>
        </w:rPr>
      </w:pPr>
      <w:r w:rsidRPr="00CF2780">
        <w:rPr>
          <w:rFonts w:ascii="Arial" w:eastAsia="Times New Roman" w:hAnsi="Arial" w:cs="Arial"/>
          <w:i/>
          <w:sz w:val="28"/>
          <w:szCs w:val="28"/>
          <w:lang w:val="es-ES" w:eastAsia="es-ES"/>
        </w:rPr>
        <w:t xml:space="preserve">Motivos de impugnación </w:t>
      </w:r>
    </w:p>
    <w:p w14:paraId="52E24F5D" w14:textId="77777777" w:rsidR="009B02C2" w:rsidRPr="00CF2780" w:rsidRDefault="009B02C2" w:rsidP="009B02C2">
      <w:pPr>
        <w:spacing w:after="0" w:line="360" w:lineRule="auto"/>
        <w:jc w:val="both"/>
        <w:rPr>
          <w:rFonts w:ascii="Arial" w:eastAsia="Times New Roman" w:hAnsi="Arial" w:cs="Arial"/>
          <w:i/>
          <w:sz w:val="28"/>
          <w:szCs w:val="28"/>
          <w:lang w:val="es-ES" w:eastAsia="es-ES"/>
        </w:rPr>
      </w:pPr>
    </w:p>
    <w:p w14:paraId="4F0B88B0"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En su único agravio, los demandantes aducen, en síntesis, los siguientes argumentos: </w:t>
      </w:r>
    </w:p>
    <w:p w14:paraId="0887A2FB"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56841EE5"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Causan agravio a los impugnantes los hechos referidos en la respuesta a la solitud de información que proporcionó el Secretario General del Consejo General del Instituto Electoral de Michoacán, mediante el oficio número SG-67/2011 de diez de enero de dos mil doce. Esto es, el Informe que rinde la Comisión Especial para dar seguimiento a la resolución emitida por la Sala Superior del Tribunal Electoral del Poder Judicial de la Federación dentro del juicio para la protección de los derechos político-electorales del ciudadano número SUP-JDC-9167/2011, y, por ende, la forma en que se realizó la consulta, así como el resultado</w:t>
      </w:r>
    </w:p>
    <w:p w14:paraId="25A21B5F"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5700DFBB"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Lo anterior, según los actores, puesto que el Instituto Electoral de Michoacán no garantizó las condiciones para que dichos ciudadanos impugnantes participaran en la referida consulta, produciendo una exclusión y discriminación sustancial, lo que implica una violación a los artículos 1º, 14, 16, 17, 35, 39, 40 y 41 de la Constitución Federal. A su juicio, el resultado de la consulta ciudadana celebrada el día domingo dieciocho de diciembre de dos mil once no refleja la auténtica, genuina y libre expresión popular de los ciudadanos del Municipio de Cherán, </w:t>
      </w:r>
      <w:r w:rsidRPr="00CF2780">
        <w:rPr>
          <w:rFonts w:ascii="Arial" w:eastAsia="Times New Roman" w:hAnsi="Arial" w:cs="Arial"/>
          <w:sz w:val="28"/>
          <w:szCs w:val="28"/>
          <w:lang w:val="es-ES" w:eastAsia="es-ES"/>
        </w:rPr>
        <w:lastRenderedPageBreak/>
        <w:t xml:space="preserve">Michoacán, al haberlos excluido —sostienen— de participar en dicha consulta. De ahí que deviene una decisión con vicios que no tiene validez constitucional, puesto que el Instituto Electoral de Michoacán, con su forma de intervenir en la organización de dicha consulta, sólo generó la participación de un grupo que se impuso. </w:t>
      </w:r>
    </w:p>
    <w:p w14:paraId="5793E911"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60610CBD"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De igual forma, sostienen, no fueron convocados para ser partícipes en la forma de preparación de la consulta. </w:t>
      </w:r>
    </w:p>
    <w:p w14:paraId="06328728"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5B77AA80"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Agregan que el Consejo General del Instituto Electoral de Michoacán violó en perjuicio de los ciudadanos actores lo establecido en los artículos 101, 102, fracciones I, III y V, y 103 del Código Electoral del Estado de Michoacán, ya que la responsable realizó, de forma sumarísima e improvisada, una consulta ciudadana que no garantizó en momento alguno ni respetó ni cumplió con los siguientes principios: Endógeno, libre, pacífico, informado, democrático y autogestionado. De esta forma, se advierte que la consulta ciudadana se desarrolló de la forma siguiente: </w:t>
      </w:r>
    </w:p>
    <w:p w14:paraId="18D4C758"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2032"/>
        <w:gridCol w:w="2032"/>
        <w:gridCol w:w="2033"/>
      </w:tblGrid>
      <w:tr w:rsidR="009B02C2" w:rsidRPr="00CF2780" w14:paraId="4C144008" w14:textId="77777777" w:rsidTr="00B05F31">
        <w:tc>
          <w:tcPr>
            <w:tcW w:w="2032" w:type="dxa"/>
          </w:tcPr>
          <w:p w14:paraId="35F04274" w14:textId="77777777" w:rsidR="009B02C2" w:rsidRPr="00CF2780" w:rsidRDefault="009B02C2" w:rsidP="009B02C2">
            <w:pPr>
              <w:spacing w:after="0" w:line="240" w:lineRule="auto"/>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09 de diciembre de 2011.</w:t>
            </w:r>
          </w:p>
          <w:p w14:paraId="5D321A8E" w14:textId="77777777" w:rsidR="009B02C2" w:rsidRPr="00CF2780" w:rsidRDefault="009B02C2" w:rsidP="009B02C2">
            <w:pPr>
              <w:spacing w:after="0" w:line="240" w:lineRule="auto"/>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 xml:space="preserve">El Consejo General del Instituto Electoral de Michoacán, en forma inadecuada, aprueba el calendario de actividades para celebrar las </w:t>
            </w:r>
            <w:r w:rsidRPr="00CF2780">
              <w:rPr>
                <w:rFonts w:ascii="Arial" w:eastAsia="Times New Roman" w:hAnsi="Arial" w:cs="Arial"/>
                <w:sz w:val="24"/>
                <w:szCs w:val="24"/>
                <w:lang w:val="es-ES" w:eastAsia="es-ES"/>
              </w:rPr>
              <w:lastRenderedPageBreak/>
              <w:t xml:space="preserve">asambleas informativas y la consulta ciudadana, </w:t>
            </w:r>
          </w:p>
        </w:tc>
        <w:tc>
          <w:tcPr>
            <w:tcW w:w="2032" w:type="dxa"/>
          </w:tcPr>
          <w:p w14:paraId="66319F30" w14:textId="77777777" w:rsidR="009B02C2" w:rsidRPr="00CF2780" w:rsidRDefault="009B02C2" w:rsidP="009B02C2">
            <w:pPr>
              <w:spacing w:after="0" w:line="240" w:lineRule="auto"/>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lastRenderedPageBreak/>
              <w:t>11 de diciembre de 2011.</w:t>
            </w:r>
          </w:p>
          <w:p w14:paraId="18B4D9F8" w14:textId="77777777" w:rsidR="009B02C2" w:rsidRPr="00CF2780" w:rsidRDefault="009B02C2" w:rsidP="009B02C2">
            <w:pPr>
              <w:spacing w:after="0" w:line="240" w:lineRule="auto"/>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Se realiza la asamblea informativa en la comunidad de Santa Cruz Tenaco.</w:t>
            </w:r>
          </w:p>
        </w:tc>
        <w:tc>
          <w:tcPr>
            <w:tcW w:w="2032" w:type="dxa"/>
          </w:tcPr>
          <w:p w14:paraId="6D1AB74A" w14:textId="77777777" w:rsidR="009B02C2" w:rsidRPr="00CF2780" w:rsidRDefault="009B02C2" w:rsidP="009B02C2">
            <w:pPr>
              <w:spacing w:after="0" w:line="240" w:lineRule="auto"/>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15 de diciembre de 2011.</w:t>
            </w:r>
          </w:p>
          <w:p w14:paraId="34F67490" w14:textId="77777777" w:rsidR="009B02C2" w:rsidRPr="00CF2780" w:rsidRDefault="009B02C2" w:rsidP="009B02C2">
            <w:pPr>
              <w:spacing w:after="0" w:line="240" w:lineRule="auto"/>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 xml:space="preserve">Se celebran las asambleas informativas en los cuatro barrios de la comunidad de San Francisco Cherán. </w:t>
            </w:r>
          </w:p>
        </w:tc>
        <w:tc>
          <w:tcPr>
            <w:tcW w:w="2033" w:type="dxa"/>
          </w:tcPr>
          <w:p w14:paraId="6DE29AB1" w14:textId="77777777" w:rsidR="009B02C2" w:rsidRPr="00CF2780" w:rsidRDefault="009B02C2" w:rsidP="009B02C2">
            <w:pPr>
              <w:spacing w:after="0" w:line="240" w:lineRule="auto"/>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18 de diciembre de 2011.</w:t>
            </w:r>
          </w:p>
          <w:p w14:paraId="29556519" w14:textId="77777777" w:rsidR="009B02C2" w:rsidRPr="00CF2780" w:rsidRDefault="009B02C2" w:rsidP="009B02C2">
            <w:pPr>
              <w:spacing w:after="0" w:line="240" w:lineRule="auto"/>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 xml:space="preserve">La Comisión Especial del Consejo General del Instituto Electoral de Michoacán realizó de una forma improvisada  las consultas ciudadanas en </w:t>
            </w:r>
            <w:r w:rsidRPr="00CF2780">
              <w:rPr>
                <w:rFonts w:ascii="Arial" w:eastAsia="Times New Roman" w:hAnsi="Arial" w:cs="Arial"/>
                <w:sz w:val="24"/>
                <w:szCs w:val="24"/>
                <w:lang w:val="es-ES" w:eastAsia="es-ES"/>
              </w:rPr>
              <w:lastRenderedPageBreak/>
              <w:t xml:space="preserve">las comunidades de San Francisco Charán. </w:t>
            </w:r>
          </w:p>
        </w:tc>
      </w:tr>
    </w:tbl>
    <w:p w14:paraId="3FE9457A"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lastRenderedPageBreak/>
        <w:t xml:space="preserve">   </w:t>
      </w:r>
    </w:p>
    <w:p w14:paraId="731B399A"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El cuadro esquemático muestra que la responsable en ningún momento atendió y solicitó los problemas que varios ciudadanos del municipio le comunicaron de manera oportuna sobre situaciones de inseguridad y acciones de amenazas e intimidaciones de parte del grupo de personas que promueven la elección mediante el sistema de usos y costumbres. Como se prueba con los oficios presentados ante la responsable en fechas dos y nueve de diciembre de dos mil once, expresan los actores, nunca se les dio una respuesta, mucho menos, se les concedió las condiciones de seguridad y paz en el municipio con el propósito de celebrar la consulta y de ese modo asegurar las participación de todos los ciudadanos interesados en intervenir en la referida consulta. Además, del análisis efectuado a la minuta de reunión de algunos ciudadanos de la Comunidad de San Francisco Cherán con la autoridad impugnada, se advierte que la responsable no dio respuesta adecuada y, por consiguiente, no intervino con la finalidad de garantizar condiciones de seguridad y libertad para participar en la organización de la consulta ciudadana; de ahí que dicho resultado no cumple con el principio rector de la certeza y, por lo tanto, no refleja la libre, auténtica y genuina expresión de los ciudadanos del municipio de Cherán, razón por la cual se solicita a este órgano jurisdiccional revoque el resultado de la consulta ciudadana efectuada el dieciocho de diciembre de dos mil once y ordene a la autoridad responsable organizar nueva consulta ciudadana en donde garantice el respeto y cumplimiento a los citados </w:t>
      </w:r>
      <w:r w:rsidRPr="00CF2780">
        <w:rPr>
          <w:rFonts w:ascii="Arial" w:eastAsia="Times New Roman" w:hAnsi="Arial" w:cs="Arial"/>
          <w:sz w:val="28"/>
          <w:szCs w:val="28"/>
          <w:lang w:val="es-ES" w:eastAsia="es-ES"/>
        </w:rPr>
        <w:lastRenderedPageBreak/>
        <w:t xml:space="preserve">principios endógeno, libre, pacífico, informado, democrático y autogestionado. </w:t>
      </w:r>
    </w:p>
    <w:p w14:paraId="767DB271"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4F338FA9"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En efecto, con los oficios que se anexan de las comunicaciones que ciudadanos del Municipio de Cherán realizaron al Instituto responsable el diecinueve de octubre de dos mil once, primero de noviembre de dos mil once, denuncias al Ministerio Público los días veintiuno de junio de dos mil once, trece y diecisiete de noviembre de mayo de dos mil once y diecisiete de agosto de dos mil once, en los que se denunciaron los actos delictivos cometidos por el grupo de personas que promueven la elección  a través del sistema de usos y costumbres que incluso encabezan la supuesta Comisión Organizadora de la Comunidad de San Francisco Cherán; al Gobernador Constitucional del Estado de Michoacán, en fecha veintiuno de octubre de dos mil once y primero de noviembre de dos mil once; a la Asociación Nacional para la Protección, Defensa y Divulgación de los Derechos Humanos en las áreas indígenas, en Uruapan, Michoacán, en fecha diez de octubre de dos mil once y al Consejo Estatal de Seguridad Pública del Estado de Michoacán, en fecha veinticinco de abril de dos mil once, un grupo de comuneros (los que piden elección por usos y costumbres) en forma indebida se apoderaron del armamento de la Dirección de Seguridad Pública Municipal; todo lo anterior prueba que en Municipio de Cherán no se viven condiciones de seguridad ni de libre participación política. </w:t>
      </w:r>
    </w:p>
    <w:p w14:paraId="081B34EB"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16C9CBC7"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No se presentaron condiciones y mecanismos óptimos para que dichos derechos políticos pudieran ejercerse de forma efectiva, respetando el principio de igualdad y no discriminación: La responsable, según los </w:t>
      </w:r>
      <w:r w:rsidRPr="00CF2780">
        <w:rPr>
          <w:rFonts w:ascii="Arial" w:eastAsia="Times New Roman" w:hAnsi="Arial" w:cs="Arial"/>
          <w:sz w:val="28"/>
          <w:szCs w:val="28"/>
          <w:lang w:val="es-ES" w:eastAsia="es-ES"/>
        </w:rPr>
        <w:lastRenderedPageBreak/>
        <w:t xml:space="preserve">actores, llegó a expresar que no tomaría en cuenta las opiniones de ciudadanos que militasen en los partidos políticos, aduciendo de forma errónea y equivocada, que la consulta era nada más para los ciudadanos. Por eso, los actores, se preguntan: ¿acaso la responsable acreditó su calidad de militantes de partidos políticos? y de ser así ¿esa circunstancia es suficiente para impedir su participación en una decisión popular (expresión de la voluntad popular del Municipio de Cherán) tan relevante que implica un cambio o no de ejercer la democracia representativa?  ¿a quienes no nos integró en la participación de la consulta ciudadana es válido que nos mantenga excluidos y discriminados en esa decisión política? </w:t>
      </w:r>
    </w:p>
    <w:p w14:paraId="569B51CE"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1F9E34BD"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En congruencia y armonización con lo expresado y conforme con lo establecido en el artículo 1º de la Constitución federal resultan aplicables las consideraciones adoptadas por la Corte Interamericana de Derechos Humanos, al resolver el caso </w:t>
      </w:r>
      <w:r w:rsidRPr="00CF2780">
        <w:rPr>
          <w:rFonts w:ascii="Arial" w:eastAsia="Times New Roman" w:hAnsi="Arial" w:cs="Arial"/>
          <w:i/>
          <w:sz w:val="28"/>
          <w:szCs w:val="28"/>
          <w:lang w:val="es-ES" w:eastAsia="es-ES"/>
        </w:rPr>
        <w:t>Yatama Vs. Nicaragua</w:t>
      </w:r>
      <w:r w:rsidRPr="00CF2780">
        <w:rPr>
          <w:rFonts w:ascii="Arial" w:eastAsia="Times New Roman" w:hAnsi="Arial" w:cs="Arial"/>
          <w:sz w:val="28"/>
          <w:szCs w:val="28"/>
          <w:lang w:val="es-ES" w:eastAsia="es-ES"/>
        </w:rPr>
        <w:t>, el veintitrés de junio de dos mil cinco.</w:t>
      </w:r>
    </w:p>
    <w:p w14:paraId="1359F587"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7D2CFEBA"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Por lo anterior, estiman, que la consulta ciudadana y su resultado no resultan válidos, por lo que solicitan a este órgano jurisdiccional la reparación a su derecho, ya que este derecho fundamental violado, en su perjuicio, puesto que esta es una decisión que tiene trascendencia para toda nuestra vida y la de sus generaciones futuras. </w:t>
      </w:r>
    </w:p>
    <w:p w14:paraId="423518BC"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0A02C52F" w14:textId="77777777" w:rsidR="009B02C2" w:rsidRPr="00CF2780" w:rsidRDefault="009B02C2" w:rsidP="009B02C2">
      <w:pPr>
        <w:spacing w:after="0" w:line="360" w:lineRule="auto"/>
        <w:jc w:val="both"/>
        <w:rPr>
          <w:rFonts w:ascii="Arial" w:eastAsia="Times New Roman" w:hAnsi="Arial" w:cs="Arial"/>
          <w:i/>
          <w:sz w:val="28"/>
          <w:szCs w:val="28"/>
          <w:lang w:val="es-ES" w:eastAsia="es-ES"/>
        </w:rPr>
      </w:pPr>
      <w:r w:rsidRPr="00CF2780">
        <w:rPr>
          <w:rFonts w:ascii="Arial" w:eastAsia="Times New Roman" w:hAnsi="Arial" w:cs="Arial"/>
          <w:i/>
          <w:sz w:val="28"/>
          <w:szCs w:val="28"/>
          <w:lang w:val="es-ES" w:eastAsia="es-ES"/>
        </w:rPr>
        <w:t>Litis</w:t>
      </w:r>
    </w:p>
    <w:p w14:paraId="27534A3B"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41538F14"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lastRenderedPageBreak/>
        <w:t xml:space="preserve">Del análisis de la respectiva demanda, se advierte que los motivos de impugnación de los ciudadanos actores se encuentran dirigidos a mostrar que en la consulta impugnada, es decir, la consulta en las comunidades de San Francisco Cherán y Santa Cruz Tanaco, pertenecientes al Municipio de Cherán, Michoacán, realizada el dieciocho de diciembre de dos mil once, se cometieron irregularidades invalidantes, particularmente, aducen, porque se violaron, en su perjuicio, sus derechos de participación política, al excluirlos de la misma, violando el principio de igualdad y no discriminación, así como el principio de certeza. </w:t>
      </w:r>
    </w:p>
    <w:p w14:paraId="3DA4BD58"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7400B2F4"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Aunado a lo anterior, sostienen que la consulta cuya invalidez se solicita no cumplió con los siguientes principios: endógeno, libre, pacífico, informado, democrático y autogestionado.</w:t>
      </w:r>
    </w:p>
    <w:p w14:paraId="59DE409C"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3E61982F"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Por lo tanto, estiman que la consulta no refleja la libre, auténtica y genuina expresión de los ciudadanos del municipio de Cherán, razón por la cual solicitan a este órgano jurisdiccional revoque el resultado de la consulta ciudadana efectuada el dieciocho de diciembre de dos mil once y ordene a la autoridad responsable organizar nueva consulta ciudadana en donde se garantice el respeto y cumplimiento a los citados principios. </w:t>
      </w:r>
    </w:p>
    <w:p w14:paraId="4118120D"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5379416E"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Por su parte, del análisis de los actos impugnados se advierte que el Consejo General del Instituto Electoral de Michoacán y la Comisión Especial estiman que en el desarrollo de la consulta se observaron los parámetros de constitucionalidad y convencionalidad aplicables. </w:t>
      </w:r>
    </w:p>
    <w:p w14:paraId="6DD00874"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60E12EC5"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En las condiciones relatadas, la litis en el presente asunto se constriñe a determinar si la consulta en las comunidades de San Francisco Cherán y Santa Cruz Tanaco, pertenecientes al Municipio de Cherán, Michoacán, se realizó o no apegada a derecho, particularmente, si los actores demuestran la violación a sus derechos de participación política y, por lo tanto, evidencian que el acto de autoridad es inconstitucional e ilegal, porque se vulneran los principios de igualdad y no discriminación, así como del principio de certeza.  </w:t>
      </w:r>
    </w:p>
    <w:p w14:paraId="39CC134F" w14:textId="77777777" w:rsidR="009B02C2" w:rsidRPr="00CF2780" w:rsidRDefault="009B02C2" w:rsidP="009B02C2">
      <w:pPr>
        <w:spacing w:after="0" w:line="360" w:lineRule="auto"/>
        <w:jc w:val="both"/>
        <w:rPr>
          <w:rFonts w:ascii="Arial" w:eastAsia="Times New Roman" w:hAnsi="Arial" w:cs="Arial"/>
          <w:b/>
          <w:sz w:val="28"/>
          <w:szCs w:val="28"/>
          <w:lang w:val="es-ES" w:eastAsia="es-ES"/>
        </w:rPr>
      </w:pPr>
    </w:p>
    <w:p w14:paraId="650D8C13"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Por razones de método, los agravios se contestarán en forma conjunta, en una sola consideración, dada su estrecha relación. </w:t>
      </w:r>
    </w:p>
    <w:p w14:paraId="53C38E97" w14:textId="77777777" w:rsidR="009B02C2" w:rsidRPr="00CF2780" w:rsidRDefault="009B02C2" w:rsidP="009B02C2">
      <w:pPr>
        <w:spacing w:after="0" w:line="360" w:lineRule="auto"/>
        <w:jc w:val="both"/>
        <w:rPr>
          <w:rFonts w:ascii="Arial" w:eastAsia="Times New Roman" w:hAnsi="Arial" w:cs="Arial"/>
          <w:b/>
          <w:sz w:val="28"/>
          <w:szCs w:val="28"/>
          <w:lang w:val="es-ES" w:eastAsia="es-ES"/>
        </w:rPr>
      </w:pPr>
    </w:p>
    <w:p w14:paraId="104220F5"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Semejante análisis conjunto es admisible, ya que lo fundamental es que los agravios formulados sean estudiados en su totalidad, independientemente del método que se adopte para su examen.</w:t>
      </w:r>
    </w:p>
    <w:p w14:paraId="53F71245" w14:textId="77777777" w:rsidR="009B02C2" w:rsidRPr="00CF2780" w:rsidRDefault="009B02C2" w:rsidP="009B02C2">
      <w:pPr>
        <w:spacing w:after="0" w:line="360" w:lineRule="auto"/>
        <w:ind w:firstLine="709"/>
        <w:jc w:val="both"/>
        <w:rPr>
          <w:rFonts w:ascii="Arial" w:eastAsia="Times New Roman" w:hAnsi="Arial" w:cs="Arial"/>
          <w:sz w:val="28"/>
          <w:szCs w:val="28"/>
          <w:lang w:val="es-ES" w:eastAsia="es-ES"/>
        </w:rPr>
      </w:pPr>
    </w:p>
    <w:p w14:paraId="4884D4E8"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Sirve de apoyo a lo anterior la jurisprudencia identificada con la clave 04/2000, consultable a fojas 119 y120  de la </w:t>
      </w:r>
      <w:r w:rsidRPr="00CF2780">
        <w:rPr>
          <w:rFonts w:ascii="Arial" w:eastAsia="Times New Roman" w:hAnsi="Arial" w:cs="Arial"/>
          <w:i/>
          <w:sz w:val="28"/>
          <w:szCs w:val="28"/>
          <w:lang w:val="es-ES" w:eastAsia="es-ES"/>
        </w:rPr>
        <w:t>Compilación 1997-2010: Jurisprudencia y tesis en materia electoral”</w:t>
      </w:r>
      <w:r w:rsidRPr="00CF2780">
        <w:rPr>
          <w:rFonts w:ascii="Arial" w:eastAsia="Times New Roman" w:hAnsi="Arial" w:cs="Arial"/>
          <w:sz w:val="28"/>
          <w:szCs w:val="28"/>
          <w:lang w:val="es-ES" w:eastAsia="es-ES"/>
        </w:rPr>
        <w:t>, tomo Jurisprudencia, volumen 1, publicada por el Tribunal Electoral del Poder Judicial de la Federación”, con el rubro y texto siguientes:</w:t>
      </w:r>
    </w:p>
    <w:p w14:paraId="2AE89B14" w14:textId="77777777" w:rsidR="009B02C2" w:rsidRPr="00CF2780" w:rsidRDefault="009B02C2" w:rsidP="009B02C2">
      <w:pPr>
        <w:spacing w:after="0" w:line="360" w:lineRule="auto"/>
        <w:ind w:firstLine="709"/>
        <w:jc w:val="both"/>
        <w:rPr>
          <w:rFonts w:ascii="Arial" w:eastAsia="Times New Roman" w:hAnsi="Arial" w:cs="Arial"/>
          <w:sz w:val="28"/>
          <w:szCs w:val="28"/>
          <w:lang w:val="es-ES" w:eastAsia="es-ES"/>
        </w:rPr>
      </w:pPr>
    </w:p>
    <w:p w14:paraId="38921D17" w14:textId="77777777" w:rsidR="009B02C2" w:rsidRPr="00CF2780" w:rsidRDefault="009B02C2" w:rsidP="009B02C2">
      <w:pPr>
        <w:spacing w:after="0" w:line="240" w:lineRule="auto"/>
        <w:ind w:left="708"/>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 xml:space="preserve"> “</w:t>
      </w:r>
      <w:r w:rsidRPr="00CF2780">
        <w:rPr>
          <w:rFonts w:ascii="Arial" w:eastAsia="Times New Roman" w:hAnsi="Arial" w:cs="Arial"/>
          <w:b/>
          <w:sz w:val="24"/>
          <w:szCs w:val="24"/>
          <w:lang w:val="es-ES" w:eastAsia="es-ES"/>
        </w:rPr>
        <w:t>AGRAVIOS, SU EXAMEN EN CONJUNTO O SEPARADO, NO CAUSA LESIÓN.</w:t>
      </w:r>
      <w:r w:rsidRPr="00CF2780">
        <w:rPr>
          <w:rFonts w:ascii="Arial" w:eastAsia="Times New Roman" w:hAnsi="Arial" w:cs="Arial"/>
          <w:sz w:val="24"/>
          <w:szCs w:val="24"/>
          <w:lang w:val="es-ES" w:eastAsia="es-ES"/>
        </w:rPr>
        <w:t xml:space="preserve"> El estudio que realiza la autoridad responsable de los agravios propuestos, ya sea que los examine en su conjunto, separándolos en distintos grupos, o bien uno por uno y en el propio orden de su exposición o en orden diverso, no causa afectación jurídica alguna que amerite la revocación del fallo impugnado, porque no es la forma como los agravios se </w:t>
      </w:r>
      <w:r w:rsidRPr="00CF2780">
        <w:rPr>
          <w:rFonts w:ascii="Arial" w:eastAsia="Times New Roman" w:hAnsi="Arial" w:cs="Arial"/>
          <w:sz w:val="24"/>
          <w:szCs w:val="24"/>
          <w:lang w:val="es-ES" w:eastAsia="es-ES"/>
        </w:rPr>
        <w:lastRenderedPageBreak/>
        <w:t>analizan lo que puede originar una lesión, sino que, lo trascendental, es que todos sean estudiados”.</w:t>
      </w:r>
    </w:p>
    <w:p w14:paraId="5872D87D"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48E82B25"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Esta Sala Superior del Tribunal Electoral del Poder Judicial de la Federación considera que los agravios hechos valer son </w:t>
      </w:r>
      <w:r w:rsidRPr="00CF2780">
        <w:rPr>
          <w:rFonts w:ascii="Arial" w:eastAsia="Times New Roman" w:hAnsi="Arial" w:cs="Arial"/>
          <w:b/>
          <w:sz w:val="28"/>
          <w:szCs w:val="28"/>
          <w:lang w:val="es-ES" w:eastAsia="es-ES"/>
        </w:rPr>
        <w:t>infundados</w:t>
      </w:r>
      <w:r w:rsidRPr="00CF2780">
        <w:rPr>
          <w:rFonts w:ascii="Arial" w:eastAsia="Times New Roman" w:hAnsi="Arial" w:cs="Arial"/>
          <w:sz w:val="28"/>
          <w:szCs w:val="28"/>
          <w:lang w:val="es-ES" w:eastAsia="es-ES"/>
        </w:rPr>
        <w:t xml:space="preserve">, como se muestra a continuación. </w:t>
      </w:r>
    </w:p>
    <w:p w14:paraId="0DCC0E53"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684E3E7F" w14:textId="77777777" w:rsidR="009B02C2" w:rsidRPr="00CF2780" w:rsidRDefault="009B02C2" w:rsidP="009B02C2">
      <w:pPr>
        <w:spacing w:after="0" w:line="360" w:lineRule="auto"/>
        <w:jc w:val="both"/>
        <w:rPr>
          <w:rFonts w:ascii="Arial" w:eastAsia="Times New Roman" w:hAnsi="Arial" w:cs="Arial"/>
          <w:i/>
          <w:sz w:val="28"/>
          <w:szCs w:val="28"/>
          <w:lang w:val="es-ES" w:eastAsia="es-ES"/>
        </w:rPr>
      </w:pPr>
      <w:r w:rsidRPr="00CF2780">
        <w:rPr>
          <w:rFonts w:ascii="Arial" w:eastAsia="Times New Roman" w:hAnsi="Arial" w:cs="Arial"/>
          <w:i/>
          <w:sz w:val="28"/>
          <w:szCs w:val="28"/>
          <w:lang w:val="es-ES" w:eastAsia="es-ES"/>
        </w:rPr>
        <w:t xml:space="preserve">Marco general </w:t>
      </w:r>
    </w:p>
    <w:p w14:paraId="1CC07EC2"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1FCB8C2E" w14:textId="77777777" w:rsidR="009B02C2" w:rsidRPr="00CF2780" w:rsidRDefault="009B02C2" w:rsidP="009B02C2">
      <w:pPr>
        <w:spacing w:before="240"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A partir de la interpretación sistemática y funcional de los artículos 2, apartado A, fracciones III y VII, y 99, párrafo sexto, de </w:t>
      </w:r>
      <w:smartTag w:uri="urn:schemas-microsoft-com:office:smarttags" w:element="PersonName">
        <w:smartTagPr>
          <w:attr w:name="ProductID" w:val="la Constituci￳n Pol￭tica"/>
        </w:smartTagPr>
        <w:r w:rsidRPr="00CF2780">
          <w:rPr>
            <w:rFonts w:ascii="Arial" w:eastAsia="Times New Roman" w:hAnsi="Arial" w:cs="Arial"/>
            <w:sz w:val="28"/>
            <w:szCs w:val="28"/>
            <w:lang w:val="es-ES" w:eastAsia="es-ES"/>
          </w:rPr>
          <w:t>la Constitución Política</w:t>
        </w:r>
      </w:smartTag>
      <w:r w:rsidRPr="00CF2780">
        <w:rPr>
          <w:rFonts w:ascii="Arial" w:eastAsia="Times New Roman" w:hAnsi="Arial" w:cs="Arial"/>
          <w:sz w:val="28"/>
          <w:szCs w:val="28"/>
          <w:lang w:val="es-ES" w:eastAsia="es-ES"/>
        </w:rPr>
        <w:t xml:space="preserve"> de los Estados Unidos Mexicanos, se puede concluir que las normas, procedimientos y prácticas tradicionales seguidas por las comunidades o pueblos indígenas para la elección de sus autoridades o representantes ante los ayuntamientos, son parte del sistema jurídico nacional y por ello son susceptibles de control jurisdiccional en cuanto a su constitucionalidad y legalidad, así como convencionalidad. Lo anterior, pues por virtud de su reconocimiento constitucional, todos los sistemas normativos de las diversas comunidades y pueblos indígenas del país, relativos a la elección de sus autoridades o representantes, deben considerarse integrados al sistema electoral mexicano, en cuanto se trata de normas que, igual que las emanadas del proceso legislativo, comparten las características de ser generales, abstractas e impersonales, además de que su función es la misma porque están destinadas a establecer las bases o el proceso conforme al cual se elegirán a quienes deban ocupar determinados cargos públicos. En este sentido, se deben equiparar a la leyes formalmente consideradas, </w:t>
      </w:r>
      <w:r w:rsidRPr="00CF2780">
        <w:rPr>
          <w:rFonts w:ascii="Arial" w:eastAsia="Times New Roman" w:hAnsi="Arial" w:cs="Arial"/>
          <w:sz w:val="28"/>
          <w:szCs w:val="28"/>
          <w:lang w:val="es-ES" w:eastAsia="es-ES"/>
        </w:rPr>
        <w:lastRenderedPageBreak/>
        <w:t>porque el derecho indígena, en principio, deriva de la normativa que establecen los pueblos y comunidades, a través de los procedimientos ancestrales y aceptados por sus integrantes. Por lo mismo, están sujetas a control de constitucionalidad, al integrarse al mismo sistema, puesto que la propia Constitución prevé que dichas normas deben aplicarse en un marco que respete el pacto federal y la soberanía de los Estados.</w:t>
      </w:r>
    </w:p>
    <w:p w14:paraId="5ECD80EC" w14:textId="77777777" w:rsidR="009B02C2" w:rsidRPr="00CF2780" w:rsidRDefault="009B02C2" w:rsidP="009B02C2">
      <w:pPr>
        <w:spacing w:before="240" w:after="0" w:line="360" w:lineRule="auto"/>
        <w:jc w:val="both"/>
        <w:rPr>
          <w:rFonts w:ascii="Arial" w:eastAsia="Times New Roman" w:hAnsi="Arial" w:cs="Arial"/>
          <w:sz w:val="28"/>
          <w:szCs w:val="24"/>
          <w:lang w:val="es-ES" w:eastAsia="es-ES"/>
        </w:rPr>
      </w:pPr>
    </w:p>
    <w:p w14:paraId="0CD7D121" w14:textId="77777777" w:rsidR="009B02C2" w:rsidRPr="00CF2780" w:rsidRDefault="009B02C2" w:rsidP="009B02C2">
      <w:pPr>
        <w:spacing w:before="240" w:after="0" w:line="360" w:lineRule="auto"/>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 xml:space="preserve">Como punto de partida debe considerarse que en el artículo 2°, apartado A, fracciones III y VII, de </w:t>
      </w:r>
      <w:smartTag w:uri="urn:schemas-microsoft-com:office:smarttags" w:element="PersonName">
        <w:smartTagPr>
          <w:attr w:name="ProductID" w:val="la Constituci￳n Pol￭tica"/>
        </w:smartTagPr>
        <w:r w:rsidRPr="00CF2780">
          <w:rPr>
            <w:rFonts w:ascii="Arial" w:eastAsia="Times New Roman" w:hAnsi="Arial" w:cs="Arial"/>
            <w:sz w:val="28"/>
            <w:szCs w:val="24"/>
            <w:lang w:val="es-ES" w:eastAsia="es-ES"/>
          </w:rPr>
          <w:t>la Constitución Política</w:t>
        </w:r>
      </w:smartTag>
      <w:r w:rsidRPr="00CF2780">
        <w:rPr>
          <w:rFonts w:ascii="Arial" w:eastAsia="Times New Roman" w:hAnsi="Arial" w:cs="Arial"/>
          <w:sz w:val="28"/>
          <w:szCs w:val="24"/>
          <w:lang w:val="es-ES" w:eastAsia="es-ES"/>
        </w:rPr>
        <w:t xml:space="preserve"> de los Estados Unidos Mexicanos, se reconoce que los pueblos y comunidades indígenas tienen derecho a la </w:t>
      </w:r>
      <w:r w:rsidRPr="00CF2780">
        <w:rPr>
          <w:rFonts w:ascii="Arial" w:eastAsia="Times New Roman" w:hAnsi="Arial" w:cs="Arial"/>
          <w:b/>
          <w:sz w:val="28"/>
          <w:szCs w:val="24"/>
          <w:lang w:val="es-ES" w:eastAsia="es-ES"/>
        </w:rPr>
        <w:t xml:space="preserve">libre </w:t>
      </w:r>
      <w:r w:rsidRPr="00CF2780">
        <w:rPr>
          <w:rFonts w:ascii="Arial" w:eastAsia="Times New Roman" w:hAnsi="Arial" w:cs="Arial"/>
          <w:sz w:val="28"/>
          <w:szCs w:val="24"/>
          <w:lang w:val="es-ES" w:eastAsia="es-ES"/>
        </w:rPr>
        <w:t>determinación y autonomía, entre otras cosas, para elegir a sus autoridades o representantes en el ejercicio de sus formas de gobierno interno, y también a sus representantes ante los ayuntamientos en los municipios con población indígena, de acuerdo con sus normas, procedimientos y prácticas tradicionales.</w:t>
      </w:r>
    </w:p>
    <w:p w14:paraId="4E7E87F9" w14:textId="77777777" w:rsidR="009B02C2" w:rsidRPr="00CF2780" w:rsidRDefault="009B02C2" w:rsidP="009B02C2">
      <w:pPr>
        <w:spacing w:before="240" w:after="0" w:line="360" w:lineRule="auto"/>
        <w:jc w:val="both"/>
        <w:rPr>
          <w:rFonts w:ascii="Arial" w:eastAsia="Times New Roman" w:hAnsi="Arial" w:cs="Arial"/>
          <w:sz w:val="28"/>
          <w:szCs w:val="24"/>
          <w:lang w:val="es-ES" w:eastAsia="es-ES"/>
        </w:rPr>
      </w:pPr>
    </w:p>
    <w:p w14:paraId="67334302" w14:textId="77777777" w:rsidR="009B02C2" w:rsidRPr="00CF2780" w:rsidRDefault="009B02C2" w:rsidP="009B02C2">
      <w:pPr>
        <w:spacing w:before="240" w:after="0" w:line="360" w:lineRule="auto"/>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 xml:space="preserve">Este reconocimiento tiene su correlato en la normativa internacional sobre el tema, como el Convenio 169 sobre Pueblos Indígenas y Tribales, de </w:t>
      </w:r>
      <w:smartTag w:uri="urn:schemas-microsoft-com:office:smarttags" w:element="PersonName">
        <w:smartTagPr>
          <w:attr w:name="ProductID" w:val="la Organizaci￳n Internacional"/>
        </w:smartTagPr>
        <w:r w:rsidRPr="00CF2780">
          <w:rPr>
            <w:rFonts w:ascii="Arial" w:eastAsia="Times New Roman" w:hAnsi="Arial" w:cs="Arial"/>
            <w:sz w:val="28"/>
            <w:szCs w:val="24"/>
            <w:lang w:val="es-ES" w:eastAsia="es-ES"/>
          </w:rPr>
          <w:t>la Organización Internacional</w:t>
        </w:r>
      </w:smartTag>
      <w:r w:rsidRPr="00CF2780">
        <w:rPr>
          <w:rFonts w:ascii="Arial" w:eastAsia="Times New Roman" w:hAnsi="Arial" w:cs="Arial"/>
          <w:sz w:val="28"/>
          <w:szCs w:val="24"/>
          <w:lang w:val="es-ES" w:eastAsia="es-ES"/>
        </w:rPr>
        <w:t xml:space="preserve"> del Trabajo de 1989, según el cual los gobiernos deben asumir la responsabilidad de desarrollar acciones para promover la plena efectividad de los derechos sociales, económicos y culturales de esos pueblos, respetando su identidad social y cultural, sus costumbres y tradiciones, y sus instituciones </w:t>
      </w:r>
      <w:r w:rsidRPr="00CF2780">
        <w:rPr>
          <w:rFonts w:ascii="Arial" w:eastAsia="Times New Roman" w:hAnsi="Arial" w:cs="Arial"/>
          <w:sz w:val="28"/>
          <w:szCs w:val="24"/>
          <w:lang w:val="es-ES" w:eastAsia="es-ES"/>
        </w:rPr>
        <w:lastRenderedPageBreak/>
        <w:t xml:space="preserve">(artículo 2), así como se expresa la necesidad de que dichos pueblos tengan el derecho a conservar sus costumbres e instituciones propias, y que al aplicar la legislación nacional a los pueblos interesados deben tomarse debidamente en consideración sus costumbres o su derecho consuetudinario (artículo 8, apartados 1 y 2). Asimismo, en </w:t>
      </w:r>
      <w:smartTag w:uri="urn:schemas-microsoft-com:office:smarttags" w:element="PersonName">
        <w:smartTagPr>
          <w:attr w:name="ProductID" w:val="la Declaraci￳n"/>
        </w:smartTagPr>
        <w:r w:rsidRPr="00CF2780">
          <w:rPr>
            <w:rFonts w:ascii="Arial" w:eastAsia="Times New Roman" w:hAnsi="Arial" w:cs="Arial"/>
            <w:sz w:val="28"/>
            <w:szCs w:val="24"/>
            <w:lang w:val="es-ES" w:eastAsia="es-ES"/>
          </w:rPr>
          <w:t>la Declaración</w:t>
        </w:r>
      </w:smartTag>
      <w:r w:rsidRPr="00CF2780">
        <w:rPr>
          <w:rFonts w:ascii="Arial" w:eastAsia="Times New Roman" w:hAnsi="Arial" w:cs="Arial"/>
          <w:sz w:val="28"/>
          <w:szCs w:val="24"/>
          <w:lang w:val="es-ES" w:eastAsia="es-ES"/>
        </w:rPr>
        <w:t xml:space="preserve"> de las Naciones Unidas sobre los Derechos de los Pueblos Indígenas, se reconoce el derecho de tales pueblos a la libre determinación, así como a la autonomía y al autogobierno (artículos 3 y 4).</w:t>
      </w:r>
    </w:p>
    <w:p w14:paraId="349E7E9E" w14:textId="77777777" w:rsidR="009B02C2" w:rsidRPr="00CF2780" w:rsidRDefault="009B02C2" w:rsidP="009B02C2">
      <w:pPr>
        <w:spacing w:before="240" w:after="0" w:line="360" w:lineRule="auto"/>
        <w:jc w:val="both"/>
        <w:rPr>
          <w:rFonts w:ascii="Arial" w:eastAsia="Times New Roman" w:hAnsi="Arial" w:cs="Arial"/>
          <w:sz w:val="28"/>
          <w:szCs w:val="24"/>
          <w:lang w:val="es-ES" w:eastAsia="es-ES"/>
        </w:rPr>
      </w:pPr>
    </w:p>
    <w:p w14:paraId="3F6C338A" w14:textId="77777777" w:rsidR="009B02C2" w:rsidRPr="00CF2780" w:rsidRDefault="009B02C2" w:rsidP="009B02C2">
      <w:pPr>
        <w:spacing w:before="240" w:after="0" w:line="360" w:lineRule="auto"/>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Esto implica que el núcleo básico del derecho indígena para la elección de las autoridades y los representantes en el ejercicio de las formas propias de gobierno interno está conformado por las normas que la propia comunidad o el pueblo indígena libremente y, en consecuencia, en forma autónoma determina.</w:t>
      </w:r>
    </w:p>
    <w:p w14:paraId="3501FB31" w14:textId="77777777" w:rsidR="009B02C2" w:rsidRPr="00CF2780" w:rsidRDefault="009B02C2" w:rsidP="009B02C2">
      <w:pPr>
        <w:spacing w:before="240" w:after="0" w:line="360" w:lineRule="auto"/>
        <w:jc w:val="both"/>
        <w:rPr>
          <w:rFonts w:ascii="Arial" w:eastAsia="Times New Roman" w:hAnsi="Arial" w:cs="Arial"/>
          <w:sz w:val="28"/>
          <w:szCs w:val="24"/>
          <w:lang w:val="es-ES" w:eastAsia="es-ES"/>
        </w:rPr>
      </w:pPr>
    </w:p>
    <w:p w14:paraId="280E5A46" w14:textId="77777777" w:rsidR="009B02C2" w:rsidRPr="00CF2780" w:rsidRDefault="009B02C2" w:rsidP="009B02C2">
      <w:pPr>
        <w:spacing w:before="240" w:after="0" w:line="360" w:lineRule="auto"/>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 xml:space="preserve">Los límites de dicho derecho de libre determinación y, en consecuencia, autonomía, en la materia de elección de autoridades y representantes indígenas son los que se establecen por la propia Constitución federal (artículos 2°, aparatado A, fracciones III y VIII) y los tratados internacionales (artículos 8°, párrafos 1 y 2, del Convenio 169 sobre Pueblos Indígenas y Tribales en Países Independientes y 46, párrafo 2, de </w:t>
      </w:r>
      <w:smartTag w:uri="urn:schemas-microsoft-com:office:smarttags" w:element="PersonName">
        <w:smartTagPr>
          <w:attr w:name="ProductID" w:val="la Declaraci￳n"/>
        </w:smartTagPr>
        <w:r w:rsidRPr="00CF2780">
          <w:rPr>
            <w:rFonts w:ascii="Arial" w:eastAsia="Times New Roman" w:hAnsi="Arial" w:cs="Arial"/>
            <w:sz w:val="28"/>
            <w:szCs w:val="24"/>
            <w:lang w:val="es-ES" w:eastAsia="es-ES"/>
          </w:rPr>
          <w:t>la Declaración</w:t>
        </w:r>
      </w:smartTag>
      <w:r w:rsidRPr="00CF2780">
        <w:rPr>
          <w:rFonts w:ascii="Arial" w:eastAsia="Times New Roman" w:hAnsi="Arial" w:cs="Arial"/>
          <w:sz w:val="28"/>
          <w:szCs w:val="24"/>
          <w:lang w:val="es-ES" w:eastAsia="es-ES"/>
        </w:rPr>
        <w:t xml:space="preserve"> de las Naciones Unidas sobre Derechos de los Pueblos Indígenas). No se pueden vulnerar los derechos humanos internacionalmente reconocidos, los derechos fundamentales, las </w:t>
      </w:r>
      <w:r w:rsidRPr="00CF2780">
        <w:rPr>
          <w:rFonts w:ascii="Arial" w:eastAsia="Times New Roman" w:hAnsi="Arial" w:cs="Arial"/>
          <w:sz w:val="28"/>
          <w:szCs w:val="24"/>
          <w:lang w:val="es-ES" w:eastAsia="es-ES"/>
        </w:rPr>
        <w:lastRenderedPageBreak/>
        <w:t>garantías individuales, ni el pacto federal ni la soberanía de los Estados, así como, en general, la preceptiva Constitucional.</w:t>
      </w:r>
    </w:p>
    <w:p w14:paraId="49A9F03E" w14:textId="77777777" w:rsidR="009B02C2" w:rsidRPr="00CF2780" w:rsidRDefault="009B02C2" w:rsidP="009B02C2">
      <w:pPr>
        <w:spacing w:before="240" w:after="0" w:line="360" w:lineRule="auto"/>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 xml:space="preserve">Además, debe tenerse claro que tratándose de los derechos humanos prima el principio interpretativo por el cual se postula que se debe potenciar su ejercicio, porque está prohibida toda interpretación o aplicación que lleve a emprender actividades o realizar actos encaminados a la destrucción de cualquiera de los derechos y libertades reconocidos en los tratados internacionales o a su limitación en mayor medida que la ahí prevista [artículos 5°, párrafo 1, del Pacto Internacional de Derechos Civiles y Políticos y 29, inciso a), de </w:t>
      </w:r>
      <w:smartTag w:uri="urn:schemas-microsoft-com:office:smarttags" w:element="PersonName">
        <w:smartTagPr>
          <w:attr w:name="ProductID" w:val="la Convenci￳n Americana"/>
        </w:smartTagPr>
        <w:r w:rsidRPr="00CF2780">
          <w:rPr>
            <w:rFonts w:ascii="Arial" w:eastAsia="Times New Roman" w:hAnsi="Arial" w:cs="Arial"/>
            <w:sz w:val="28"/>
            <w:szCs w:val="24"/>
            <w:lang w:val="es-ES" w:eastAsia="es-ES"/>
          </w:rPr>
          <w:t>la Convención Americana</w:t>
        </w:r>
      </w:smartTag>
      <w:r w:rsidRPr="00CF2780">
        <w:rPr>
          <w:rFonts w:ascii="Arial" w:eastAsia="Times New Roman" w:hAnsi="Arial" w:cs="Arial"/>
          <w:sz w:val="28"/>
          <w:szCs w:val="24"/>
          <w:lang w:val="es-ES" w:eastAsia="es-ES"/>
        </w:rPr>
        <w:t xml:space="preserve"> sobre Derechos Humanos]. En este sentido está la tesis de jurisprudencia cuyo rubro y textos son:</w:t>
      </w:r>
    </w:p>
    <w:p w14:paraId="177258F0" w14:textId="77777777" w:rsidR="009B02C2" w:rsidRPr="00CF2780" w:rsidRDefault="009B02C2" w:rsidP="009B02C2">
      <w:pPr>
        <w:spacing w:before="100" w:beforeAutospacing="1" w:after="100" w:afterAutospacing="1" w:line="240" w:lineRule="auto"/>
        <w:ind w:left="567" w:right="567"/>
        <w:jc w:val="both"/>
        <w:rPr>
          <w:rFonts w:ascii="Arial" w:eastAsia="Times New Roman" w:hAnsi="Arial" w:cs="Arial"/>
          <w:sz w:val="24"/>
          <w:szCs w:val="24"/>
          <w:lang w:eastAsia="es-MX"/>
        </w:rPr>
      </w:pPr>
      <w:r w:rsidRPr="00CF2780">
        <w:rPr>
          <w:rFonts w:ascii="Arial" w:eastAsia="Times New Roman" w:hAnsi="Arial" w:cs="Arial"/>
          <w:b/>
          <w:bCs/>
          <w:sz w:val="24"/>
          <w:szCs w:val="24"/>
          <w:lang w:eastAsia="es-MX"/>
        </w:rPr>
        <w:t xml:space="preserve">DERECHOS FUNDAMENTALES DE CARÁCTER POLÍTICO-ELECTORAL. SU INTERPRETACIÓN Y CORRELATIVA APLICACIÓN NO DEBE SER RESTRICTIVA. </w:t>
      </w:r>
      <w:r w:rsidRPr="00CF2780">
        <w:rPr>
          <w:rFonts w:ascii="Arial" w:eastAsia="Times New Roman" w:hAnsi="Arial" w:cs="Arial"/>
          <w:sz w:val="24"/>
          <w:szCs w:val="24"/>
          <w:lang w:eastAsia="es-MX"/>
        </w:rPr>
        <w:t xml:space="preserve">Interpretar en forma restrictiva los derechos subjetivos públicos fundamentales de asociación en materia política y de afiliación política electoral consagrados constitucionalmente, implicaría desconocer los valores tutelados por las normas constitucionales que los consagran, así cabe hacer una interpretación con un criterio extensivo, toda vez que no se trata de una excepción o de un privilegio, sino de derechos fundamentales consagrados constitucionalmente, los cuales deben ser ampliados, no restringidos ni mucho menos suprimidos. En efecto, los derechos fundamentales de carácter político-electoral consagrados constitucionalmente, como los derechos de votar, ser votado, de asociación y de afiliación, con todas las facultades inherentes a tales derechos, tienen como principal fundamento promover la democracia representativa, habida cuenta que, conforme con lo dispuesto en el artículo 40 de </w:t>
      </w:r>
      <w:smartTag w:uri="urn:schemas-microsoft-com:office:smarttags" w:element="PersonName">
        <w:smartTagPr>
          <w:attr w:name="ProductID" w:val="la Constituci￳n Pol￭tica"/>
        </w:smartTagPr>
        <w:r w:rsidRPr="00CF2780">
          <w:rPr>
            <w:rFonts w:ascii="Arial" w:eastAsia="Times New Roman" w:hAnsi="Arial" w:cs="Arial"/>
            <w:sz w:val="24"/>
            <w:szCs w:val="24"/>
            <w:lang w:eastAsia="es-MX"/>
          </w:rPr>
          <w:t>la Constitución Política</w:t>
        </w:r>
      </w:smartTag>
      <w:r w:rsidRPr="00CF2780">
        <w:rPr>
          <w:rFonts w:ascii="Arial" w:eastAsia="Times New Roman" w:hAnsi="Arial" w:cs="Arial"/>
          <w:sz w:val="24"/>
          <w:szCs w:val="24"/>
          <w:lang w:eastAsia="es-MX"/>
        </w:rPr>
        <w:t xml:space="preserve"> de los Estados Unidos Mexicanos, es voluntad del pueblo mexicano constituirse en una república representativa y democrática. Lo anterior, en virtud de que las reglas interpretativas que rigen la determinación del sentido y alcances jurídicos de una norma no permiten que se restrinja o haga nugatorio el ejercicio de un derecho fundamental, como lo son los de asociación política y de afiliación político-electoral; por el contrario, toda interpretación y la correlativa aplicación de una norma jurídica deben ampliar sus alcances jurídicos para potenciar su ejercicio, siempre que </w:t>
      </w:r>
      <w:r w:rsidRPr="00CF2780">
        <w:rPr>
          <w:rFonts w:ascii="Arial" w:eastAsia="Times New Roman" w:hAnsi="Arial" w:cs="Arial"/>
          <w:sz w:val="24"/>
          <w:szCs w:val="24"/>
          <w:lang w:eastAsia="es-MX"/>
        </w:rPr>
        <w:lastRenderedPageBreak/>
        <w:t>aquélla esté relacionada con un derecho fundamental. Lo anterior, desde luego, no significa en forma alguna sostener que los derechos fundamentales de carácter político sean derechos absolutos o ilimitados.</w:t>
      </w:r>
    </w:p>
    <w:p w14:paraId="18CA9D92" w14:textId="77777777" w:rsidR="009B02C2" w:rsidRPr="00CF2780" w:rsidRDefault="009B02C2" w:rsidP="009B02C2">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CF2780">
        <w:rPr>
          <w:rFonts w:ascii="Arial" w:eastAsia="Times New Roman" w:hAnsi="Arial" w:cs="Arial"/>
          <w:b/>
          <w:bCs/>
          <w:sz w:val="24"/>
          <w:szCs w:val="24"/>
          <w:lang w:eastAsia="es-MX"/>
        </w:rPr>
        <w:t>Tercera Época:</w:t>
      </w:r>
    </w:p>
    <w:p w14:paraId="300BAE3A" w14:textId="77777777" w:rsidR="009B02C2" w:rsidRPr="00CF2780" w:rsidRDefault="009B02C2" w:rsidP="009B02C2">
      <w:pPr>
        <w:spacing w:before="100" w:beforeAutospacing="1" w:after="100" w:afterAutospacing="1" w:line="240" w:lineRule="auto"/>
        <w:ind w:left="567" w:right="567"/>
        <w:jc w:val="both"/>
        <w:rPr>
          <w:rFonts w:ascii="Arial" w:eastAsia="Times New Roman" w:hAnsi="Arial" w:cs="Arial"/>
          <w:i/>
          <w:iCs/>
          <w:sz w:val="24"/>
          <w:szCs w:val="24"/>
          <w:lang w:eastAsia="es-MX"/>
        </w:rPr>
      </w:pPr>
      <w:r w:rsidRPr="00CF2780">
        <w:rPr>
          <w:rFonts w:ascii="Arial" w:eastAsia="Times New Roman" w:hAnsi="Arial" w:cs="Arial"/>
          <w:i/>
          <w:iCs/>
          <w:sz w:val="24"/>
          <w:szCs w:val="24"/>
          <w:lang w:eastAsia="es-MX"/>
        </w:rPr>
        <w:t xml:space="preserve">Recurso de apelación. SUP-RAP-020/2000. Democracia Social, Partido Político Nacional. </w:t>
      </w:r>
      <w:smartTag w:uri="urn:schemas-microsoft-com:office:smarttags" w:element="date">
        <w:smartTagPr>
          <w:attr w:name="ls" w:val="trans"/>
          <w:attr w:name="Month" w:val="6"/>
          <w:attr w:name="Day" w:val="6"/>
          <w:attr w:name="Year" w:val="2000"/>
        </w:smartTagPr>
        <w:r w:rsidRPr="00CF2780">
          <w:rPr>
            <w:rFonts w:ascii="Arial" w:eastAsia="Times New Roman" w:hAnsi="Arial" w:cs="Arial"/>
            <w:i/>
            <w:iCs/>
            <w:sz w:val="24"/>
            <w:szCs w:val="24"/>
            <w:lang w:eastAsia="es-MX"/>
          </w:rPr>
          <w:t>6 de junio de 2000</w:t>
        </w:r>
      </w:smartTag>
      <w:r w:rsidRPr="00CF2780">
        <w:rPr>
          <w:rFonts w:ascii="Arial" w:eastAsia="Times New Roman" w:hAnsi="Arial" w:cs="Arial"/>
          <w:i/>
          <w:iCs/>
          <w:sz w:val="24"/>
          <w:szCs w:val="24"/>
          <w:lang w:eastAsia="es-MX"/>
        </w:rPr>
        <w:t>. Unanimidad de votos.</w:t>
      </w:r>
    </w:p>
    <w:p w14:paraId="4B27A5C9" w14:textId="77777777" w:rsidR="009B02C2" w:rsidRPr="00CF2780" w:rsidRDefault="009B02C2" w:rsidP="009B02C2">
      <w:pPr>
        <w:spacing w:before="100" w:beforeAutospacing="1" w:after="100" w:afterAutospacing="1" w:line="240" w:lineRule="auto"/>
        <w:ind w:left="567" w:right="567"/>
        <w:jc w:val="both"/>
        <w:rPr>
          <w:rFonts w:ascii="Arial" w:eastAsia="Times New Roman" w:hAnsi="Arial" w:cs="Arial"/>
          <w:i/>
          <w:iCs/>
          <w:sz w:val="24"/>
          <w:szCs w:val="24"/>
          <w:lang w:eastAsia="es-MX"/>
        </w:rPr>
      </w:pPr>
      <w:r w:rsidRPr="00CF2780">
        <w:rPr>
          <w:rFonts w:ascii="Arial" w:eastAsia="Times New Roman" w:hAnsi="Arial" w:cs="Arial"/>
          <w:i/>
          <w:iCs/>
          <w:sz w:val="24"/>
          <w:szCs w:val="24"/>
          <w:lang w:eastAsia="es-MX"/>
        </w:rPr>
        <w:t xml:space="preserve">Juicio para la protección de los derechos político-electorales del ciudadano. SUP-JDC-117/2001. José Luis Amador Hurtado. </w:t>
      </w:r>
      <w:smartTag w:uri="urn:schemas-microsoft-com:office:smarttags" w:element="date">
        <w:smartTagPr>
          <w:attr w:name="ls" w:val="trans"/>
          <w:attr w:name="Month" w:val="1"/>
          <w:attr w:name="Day" w:val="30"/>
          <w:attr w:name="Year" w:val="2002"/>
        </w:smartTagPr>
        <w:r w:rsidRPr="00CF2780">
          <w:rPr>
            <w:rFonts w:ascii="Arial" w:eastAsia="Times New Roman" w:hAnsi="Arial" w:cs="Arial"/>
            <w:i/>
            <w:iCs/>
            <w:sz w:val="24"/>
            <w:szCs w:val="24"/>
            <w:lang w:eastAsia="es-MX"/>
          </w:rPr>
          <w:t>30 de enero de 2002</w:t>
        </w:r>
      </w:smartTag>
      <w:r w:rsidRPr="00CF2780">
        <w:rPr>
          <w:rFonts w:ascii="Arial" w:eastAsia="Times New Roman" w:hAnsi="Arial" w:cs="Arial"/>
          <w:i/>
          <w:iCs/>
          <w:sz w:val="24"/>
          <w:szCs w:val="24"/>
          <w:lang w:eastAsia="es-MX"/>
        </w:rPr>
        <w:t>. Mayoría de cinco votos. Los Magistrados Eloy Fuentes Cerda y Alfonsina Berta Navarro Hidalgo, votaron porque se confirmara la resolución impugnada, al considerar que la parte actora no comprobó el hecho fundatorio de sus pretensiones jurídicas, omitiendo en consecuencia, pronunciarse sobre la cuestión jurídica que aborda la presente tesis.</w:t>
      </w:r>
    </w:p>
    <w:p w14:paraId="4B0FEB22" w14:textId="77777777" w:rsidR="009B02C2" w:rsidRPr="00CF2780" w:rsidRDefault="009B02C2" w:rsidP="009B02C2">
      <w:pPr>
        <w:spacing w:before="100" w:beforeAutospacing="1" w:after="100" w:afterAutospacing="1" w:line="240" w:lineRule="auto"/>
        <w:ind w:left="567" w:right="567"/>
        <w:jc w:val="both"/>
        <w:rPr>
          <w:rFonts w:ascii="Arial" w:eastAsia="Times New Roman" w:hAnsi="Arial" w:cs="Arial"/>
          <w:i/>
          <w:iCs/>
          <w:sz w:val="24"/>
          <w:szCs w:val="24"/>
          <w:lang w:eastAsia="es-MX"/>
        </w:rPr>
      </w:pPr>
      <w:r w:rsidRPr="00CF2780">
        <w:rPr>
          <w:rFonts w:ascii="Arial" w:eastAsia="Times New Roman" w:hAnsi="Arial" w:cs="Arial"/>
          <w:i/>
          <w:iCs/>
          <w:sz w:val="24"/>
          <w:szCs w:val="24"/>
          <w:lang w:eastAsia="es-MX"/>
        </w:rPr>
        <w:t xml:space="preserve">Juicio para la protección de los derechos político-electorales del ciudadano. SUP-JDC-127/2001. Sandra Rosario Ortiz Loyola. </w:t>
      </w:r>
      <w:smartTag w:uri="urn:schemas-microsoft-com:office:smarttags" w:element="date">
        <w:smartTagPr>
          <w:attr w:name="ls" w:val="trans"/>
          <w:attr w:name="Month" w:val="1"/>
          <w:attr w:name="Day" w:val="30"/>
          <w:attr w:name="Year" w:val="2002"/>
        </w:smartTagPr>
        <w:r w:rsidRPr="00CF2780">
          <w:rPr>
            <w:rFonts w:ascii="Arial" w:eastAsia="Times New Roman" w:hAnsi="Arial" w:cs="Arial"/>
            <w:i/>
            <w:iCs/>
            <w:sz w:val="24"/>
            <w:szCs w:val="24"/>
            <w:lang w:eastAsia="es-MX"/>
          </w:rPr>
          <w:t>30 de enero de 2002</w:t>
        </w:r>
      </w:smartTag>
      <w:r w:rsidRPr="00CF2780">
        <w:rPr>
          <w:rFonts w:ascii="Arial" w:eastAsia="Times New Roman" w:hAnsi="Arial" w:cs="Arial"/>
          <w:i/>
          <w:iCs/>
          <w:sz w:val="24"/>
          <w:szCs w:val="24"/>
          <w:lang w:eastAsia="es-MX"/>
        </w:rPr>
        <w:t>. Mayoría de cinco votos. Los Magistrados Eloy Fuentes Cerda y Alfonsina Berta Navarro Hidalgo, votaron porque se confirmara la resolución impugnada, al considerar que la parte actora no comprobó el hecho fundatorio de sus pretensiones jurídicas, omitiendo en consecuencia, pronunciarse sobre la cuestión jurídica que aborda la presente tesis.</w:t>
      </w:r>
    </w:p>
    <w:p w14:paraId="3CBC4C65" w14:textId="77777777" w:rsidR="009B02C2" w:rsidRPr="00CF2780" w:rsidRDefault="009B02C2" w:rsidP="009B02C2">
      <w:pPr>
        <w:spacing w:before="100" w:beforeAutospacing="1" w:after="100" w:afterAutospacing="1" w:line="240" w:lineRule="auto"/>
        <w:ind w:left="567" w:right="567"/>
        <w:jc w:val="both"/>
        <w:rPr>
          <w:rFonts w:ascii="Arial" w:eastAsia="Times New Roman" w:hAnsi="Arial" w:cs="Arial"/>
          <w:sz w:val="24"/>
          <w:szCs w:val="24"/>
          <w:lang w:eastAsia="es-MX"/>
        </w:rPr>
      </w:pPr>
      <w:smartTag w:uri="urn:schemas-microsoft-com:office:smarttags" w:element="PersonName">
        <w:smartTagPr>
          <w:attr w:name="ProductID" w:val="la Sala Superior"/>
        </w:smartTagPr>
        <w:r w:rsidRPr="00CF2780">
          <w:rPr>
            <w:rFonts w:ascii="Arial" w:eastAsia="Times New Roman" w:hAnsi="Arial" w:cs="Arial"/>
            <w:b/>
            <w:bCs/>
            <w:sz w:val="24"/>
            <w:szCs w:val="24"/>
            <w:lang w:eastAsia="es-MX"/>
          </w:rPr>
          <w:t>La Sala Superior</w:t>
        </w:r>
      </w:smartTag>
      <w:r w:rsidRPr="00CF2780">
        <w:rPr>
          <w:rFonts w:ascii="Arial" w:eastAsia="Times New Roman" w:hAnsi="Arial" w:cs="Arial"/>
          <w:b/>
          <w:bCs/>
          <w:sz w:val="24"/>
          <w:szCs w:val="24"/>
          <w:lang w:eastAsia="es-MX"/>
        </w:rPr>
        <w:t xml:space="preserve"> en sesión celebrada el veinte de mayo de dos mil dos, aprobó por unanimidad de seis votos la jurisprudencia que antecede</w:t>
      </w:r>
      <w:r w:rsidRPr="00CF2780">
        <w:rPr>
          <w:rFonts w:ascii="Arial" w:eastAsia="Times New Roman" w:hAnsi="Arial" w:cs="Arial"/>
          <w:sz w:val="24"/>
          <w:szCs w:val="24"/>
          <w:lang w:eastAsia="es-MX"/>
        </w:rPr>
        <w:t xml:space="preserve"> </w:t>
      </w:r>
      <w:r w:rsidRPr="00CF2780">
        <w:rPr>
          <w:rFonts w:ascii="Arial" w:eastAsia="Times New Roman" w:hAnsi="Arial" w:cs="Arial"/>
          <w:b/>
          <w:bCs/>
          <w:sz w:val="24"/>
          <w:szCs w:val="24"/>
          <w:lang w:eastAsia="es-MX"/>
        </w:rPr>
        <w:t>y la declaró formalmente obligatoria</w:t>
      </w:r>
      <w:r w:rsidRPr="00CF2780">
        <w:rPr>
          <w:rFonts w:ascii="Arial" w:eastAsia="Times New Roman" w:hAnsi="Arial" w:cs="Arial"/>
          <w:sz w:val="24"/>
          <w:szCs w:val="24"/>
          <w:lang w:eastAsia="es-MX"/>
        </w:rPr>
        <w:t>.</w:t>
      </w:r>
    </w:p>
    <w:p w14:paraId="1ECB9EC0" w14:textId="77777777" w:rsidR="009B02C2" w:rsidRPr="00CF2780" w:rsidRDefault="009B02C2" w:rsidP="009B02C2">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CF2780">
        <w:rPr>
          <w:rFonts w:ascii="Arial" w:eastAsia="Times New Roman" w:hAnsi="Arial" w:cs="Arial"/>
          <w:b/>
          <w:bCs/>
          <w:sz w:val="24"/>
          <w:szCs w:val="24"/>
          <w:lang w:eastAsia="es-MX"/>
        </w:rPr>
        <w:t xml:space="preserve">Justicia Electoral. Revista del Tribunal Electoral del Poder Judicial de </w:t>
      </w:r>
      <w:smartTag w:uri="urn:schemas-microsoft-com:office:smarttags" w:element="PersonName">
        <w:smartTagPr>
          <w:attr w:name="ProductID" w:val="LA FEDERACIￓN"/>
        </w:smartTagPr>
        <w:r w:rsidRPr="00CF2780">
          <w:rPr>
            <w:rFonts w:ascii="Arial" w:eastAsia="Times New Roman" w:hAnsi="Arial" w:cs="Arial"/>
            <w:b/>
            <w:bCs/>
            <w:sz w:val="24"/>
            <w:szCs w:val="24"/>
            <w:lang w:eastAsia="es-MX"/>
          </w:rPr>
          <w:t>la Federación</w:t>
        </w:r>
      </w:smartTag>
      <w:r w:rsidRPr="00CF2780">
        <w:rPr>
          <w:rFonts w:ascii="Arial" w:eastAsia="Times New Roman" w:hAnsi="Arial" w:cs="Arial"/>
          <w:b/>
          <w:bCs/>
          <w:sz w:val="24"/>
          <w:szCs w:val="24"/>
          <w:lang w:eastAsia="es-MX"/>
        </w:rPr>
        <w:t>, Suplemento 6, Año 2003, páginas 27 y 28.</w:t>
      </w:r>
    </w:p>
    <w:p w14:paraId="04960059" w14:textId="77777777" w:rsidR="009B02C2" w:rsidRPr="00CF2780" w:rsidRDefault="009B02C2" w:rsidP="009B02C2">
      <w:pPr>
        <w:spacing w:before="240" w:after="0" w:line="360" w:lineRule="auto"/>
        <w:jc w:val="both"/>
        <w:rPr>
          <w:rFonts w:ascii="Arial" w:eastAsia="Times New Roman" w:hAnsi="Arial" w:cs="Arial"/>
          <w:sz w:val="28"/>
          <w:szCs w:val="24"/>
          <w:lang w:eastAsia="es-ES"/>
        </w:rPr>
      </w:pPr>
    </w:p>
    <w:p w14:paraId="09980C95" w14:textId="77777777" w:rsidR="009B02C2" w:rsidRPr="00CF2780" w:rsidRDefault="009B02C2" w:rsidP="009B02C2">
      <w:pPr>
        <w:spacing w:before="240" w:after="0" w:line="360" w:lineRule="auto"/>
        <w:jc w:val="both"/>
        <w:rPr>
          <w:rFonts w:ascii="Arial" w:eastAsia="Times New Roman" w:hAnsi="Arial" w:cs="Arial"/>
          <w:sz w:val="28"/>
          <w:szCs w:val="24"/>
          <w:lang w:val="es-ES" w:eastAsia="es-ES"/>
        </w:rPr>
      </w:pPr>
      <w:r w:rsidRPr="00CF2780">
        <w:rPr>
          <w:rFonts w:ascii="Arial" w:eastAsia="Times New Roman" w:hAnsi="Arial" w:cs="Arial"/>
          <w:sz w:val="28"/>
          <w:szCs w:val="24"/>
          <w:lang w:eastAsia="es-ES"/>
        </w:rPr>
        <w:t xml:space="preserve">En dicho sentido, se debe realizar una interpretación que potencie los alcances de los derechos indígenas. Sin embargo, </w:t>
      </w:r>
      <w:r w:rsidRPr="00CF2780">
        <w:rPr>
          <w:rFonts w:ascii="Arial" w:eastAsia="Times New Roman" w:hAnsi="Arial" w:cs="Arial"/>
          <w:sz w:val="28"/>
          <w:szCs w:val="24"/>
          <w:lang w:val="es-ES" w:eastAsia="es-ES"/>
        </w:rPr>
        <w:t xml:space="preserve">se han impuesto algunas limitaciones de verdadera excepción, referentes, sobre todo, en lo relativo al respeto a los derechos humanos, los derechos fundamentales, las garantías individuales y, de manera relevante, la dignidad e integridad de las mujeres, como se aprecia en los artículos </w:t>
      </w:r>
      <w:r w:rsidRPr="00CF2780">
        <w:rPr>
          <w:rFonts w:ascii="Arial" w:eastAsia="Times New Roman" w:hAnsi="Arial" w:cs="Arial"/>
          <w:sz w:val="28"/>
          <w:szCs w:val="24"/>
          <w:lang w:val="es-ES" w:eastAsia="es-ES"/>
        </w:rPr>
        <w:lastRenderedPageBreak/>
        <w:t xml:space="preserve">2°, apartado A, fracciones II y III, de </w:t>
      </w:r>
      <w:smartTag w:uri="urn:schemas-microsoft-com:office:smarttags" w:element="PersonName">
        <w:smartTagPr>
          <w:attr w:name="ProductID" w:val="la Constituci￳n"/>
        </w:smartTagPr>
        <w:r w:rsidRPr="00CF2780">
          <w:rPr>
            <w:rFonts w:ascii="Arial" w:eastAsia="Times New Roman" w:hAnsi="Arial" w:cs="Arial"/>
            <w:sz w:val="28"/>
            <w:szCs w:val="24"/>
            <w:lang w:val="es-ES" w:eastAsia="es-ES"/>
          </w:rPr>
          <w:t>la Constitución</w:t>
        </w:r>
      </w:smartTag>
      <w:r w:rsidRPr="00CF2780">
        <w:rPr>
          <w:rFonts w:ascii="Arial" w:eastAsia="Times New Roman" w:hAnsi="Arial" w:cs="Arial"/>
          <w:sz w:val="28"/>
          <w:szCs w:val="24"/>
          <w:lang w:val="es-ES" w:eastAsia="es-ES"/>
        </w:rPr>
        <w:t xml:space="preserve"> federal; 8, apartados 1 y 2, del Convenio 169 citado; 8, apartado 2, de </w:t>
      </w:r>
      <w:smartTag w:uri="urn:schemas-microsoft-com:office:smarttags" w:element="PersonName">
        <w:smartTagPr>
          <w:attr w:name="ProductID" w:val="la Declaraci￳n"/>
        </w:smartTagPr>
        <w:r w:rsidRPr="00CF2780">
          <w:rPr>
            <w:rFonts w:ascii="Arial" w:eastAsia="Times New Roman" w:hAnsi="Arial" w:cs="Arial"/>
            <w:sz w:val="28"/>
            <w:szCs w:val="24"/>
            <w:lang w:val="es-ES" w:eastAsia="es-ES"/>
          </w:rPr>
          <w:t>la Declaración</w:t>
        </w:r>
      </w:smartTag>
      <w:r w:rsidRPr="00CF2780">
        <w:rPr>
          <w:rFonts w:ascii="Arial" w:eastAsia="Times New Roman" w:hAnsi="Arial" w:cs="Arial"/>
          <w:sz w:val="28"/>
          <w:szCs w:val="24"/>
          <w:lang w:val="es-ES" w:eastAsia="es-ES"/>
        </w:rPr>
        <w:t xml:space="preserve"> sobre los Derechos de las Personas Pertenecientes a Minorías Nacionales o Étnicas, Religiosas o Lingüísticas, y el 46, apartado 2, de </w:t>
      </w:r>
      <w:smartTag w:uri="urn:schemas-microsoft-com:office:smarttags" w:element="PersonName">
        <w:smartTagPr>
          <w:attr w:name="ProductID" w:val="la Declaraci￳n"/>
        </w:smartTagPr>
        <w:r w:rsidRPr="00CF2780">
          <w:rPr>
            <w:rFonts w:ascii="Arial" w:eastAsia="Times New Roman" w:hAnsi="Arial" w:cs="Arial"/>
            <w:sz w:val="28"/>
            <w:szCs w:val="24"/>
            <w:lang w:val="es-ES" w:eastAsia="es-ES"/>
          </w:rPr>
          <w:t>la Declaración</w:t>
        </w:r>
      </w:smartTag>
      <w:r w:rsidRPr="00CF2780">
        <w:rPr>
          <w:rFonts w:ascii="Arial" w:eastAsia="Times New Roman" w:hAnsi="Arial" w:cs="Arial"/>
          <w:sz w:val="28"/>
          <w:szCs w:val="24"/>
          <w:lang w:val="es-ES" w:eastAsia="es-ES"/>
        </w:rPr>
        <w:t xml:space="preserve"> de las Naciones Unidas sobre los Derechos de los Pueblos Indígenas, según se anticipó.</w:t>
      </w:r>
    </w:p>
    <w:p w14:paraId="29277716" w14:textId="77777777" w:rsidR="009B02C2" w:rsidRPr="00CF2780" w:rsidRDefault="009B02C2" w:rsidP="009B02C2">
      <w:pPr>
        <w:spacing w:before="240" w:after="0" w:line="360" w:lineRule="auto"/>
        <w:jc w:val="both"/>
        <w:rPr>
          <w:rFonts w:ascii="Arial" w:eastAsia="Times New Roman" w:hAnsi="Arial" w:cs="Arial"/>
          <w:sz w:val="28"/>
          <w:szCs w:val="24"/>
          <w:lang w:val="es-ES" w:eastAsia="es-ES"/>
        </w:rPr>
      </w:pPr>
    </w:p>
    <w:p w14:paraId="6A10615A" w14:textId="77777777" w:rsidR="009B02C2" w:rsidRPr="00CF2780" w:rsidRDefault="009B02C2" w:rsidP="009B02C2">
      <w:pPr>
        <w:spacing w:before="240" w:after="0" w:line="360" w:lineRule="auto"/>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 xml:space="preserve">El último precepto es enfático acerca de que las limitaciones deben ser las </w:t>
      </w:r>
      <w:r w:rsidRPr="00CF2780">
        <w:rPr>
          <w:rFonts w:ascii="Arial" w:eastAsia="Times New Roman" w:hAnsi="Arial" w:cs="Arial"/>
          <w:b/>
          <w:sz w:val="28"/>
          <w:szCs w:val="24"/>
          <w:lang w:val="es-ES" w:eastAsia="es-ES"/>
        </w:rPr>
        <w:t>estrictamente necesarias</w:t>
      </w:r>
      <w:r w:rsidRPr="00CF2780">
        <w:rPr>
          <w:rFonts w:ascii="Arial" w:eastAsia="Times New Roman" w:hAnsi="Arial" w:cs="Arial"/>
          <w:sz w:val="28"/>
          <w:szCs w:val="24"/>
          <w:lang w:val="es-ES" w:eastAsia="es-ES"/>
        </w:rPr>
        <w:t xml:space="preserve"> (entiéndase, razonables) para garantizar el reconocimiento y respeto debidos a los derechos y las libertades de los demás y para satisfacer las justas y más apremiantes necesidades de una sociedad democrática, lo cual también se expresa en los artículos 29, inciso c), y 30 de </w:t>
      </w:r>
      <w:smartTag w:uri="urn:schemas-microsoft-com:office:smarttags" w:element="PersonName">
        <w:smartTagPr>
          <w:attr w:name="ProductID" w:val="la Convenci￳n Americana"/>
        </w:smartTagPr>
        <w:r w:rsidRPr="00CF2780">
          <w:rPr>
            <w:rFonts w:ascii="Arial" w:eastAsia="Times New Roman" w:hAnsi="Arial" w:cs="Arial"/>
            <w:sz w:val="28"/>
            <w:szCs w:val="24"/>
            <w:lang w:val="es-ES" w:eastAsia="es-ES"/>
          </w:rPr>
          <w:t>la Convención Americana</w:t>
        </w:r>
      </w:smartTag>
      <w:r w:rsidRPr="00CF2780">
        <w:rPr>
          <w:rFonts w:ascii="Arial" w:eastAsia="Times New Roman" w:hAnsi="Arial" w:cs="Arial"/>
          <w:sz w:val="28"/>
          <w:szCs w:val="24"/>
          <w:lang w:val="es-ES" w:eastAsia="es-ES"/>
        </w:rPr>
        <w:t xml:space="preserve"> sobre Derechos Humanos.</w:t>
      </w:r>
    </w:p>
    <w:p w14:paraId="1173BC26" w14:textId="77777777" w:rsidR="009B02C2" w:rsidRPr="00CF2780" w:rsidRDefault="009B02C2" w:rsidP="009B02C2">
      <w:pPr>
        <w:spacing w:before="240" w:after="0" w:line="360" w:lineRule="auto"/>
        <w:jc w:val="both"/>
        <w:rPr>
          <w:rFonts w:ascii="Arial" w:eastAsia="Times New Roman" w:hAnsi="Arial" w:cs="Arial"/>
          <w:sz w:val="28"/>
          <w:szCs w:val="24"/>
          <w:lang w:val="es-ES" w:eastAsia="es-ES"/>
        </w:rPr>
      </w:pPr>
    </w:p>
    <w:p w14:paraId="2005BA59" w14:textId="77777777" w:rsidR="009B02C2" w:rsidRPr="00CF2780" w:rsidRDefault="009B02C2" w:rsidP="009B02C2">
      <w:pPr>
        <w:spacing w:before="240" w:after="0" w:line="360" w:lineRule="auto"/>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 xml:space="preserve">En ese sentido, en </w:t>
      </w:r>
      <w:smartTag w:uri="urn:schemas-microsoft-com:office:smarttags" w:element="PersonName">
        <w:smartTagPr>
          <w:attr w:name="ProductID" w:val="la Constituci￳n"/>
        </w:smartTagPr>
        <w:r w:rsidRPr="00CF2780">
          <w:rPr>
            <w:rFonts w:ascii="Arial" w:eastAsia="Times New Roman" w:hAnsi="Arial" w:cs="Arial"/>
            <w:sz w:val="28"/>
            <w:szCs w:val="24"/>
            <w:lang w:val="es-ES" w:eastAsia="es-ES"/>
          </w:rPr>
          <w:t>la Constitución</w:t>
        </w:r>
      </w:smartTag>
      <w:r w:rsidRPr="00CF2780">
        <w:rPr>
          <w:rFonts w:ascii="Arial" w:eastAsia="Times New Roman" w:hAnsi="Arial" w:cs="Arial"/>
          <w:sz w:val="28"/>
          <w:szCs w:val="24"/>
          <w:lang w:val="es-ES" w:eastAsia="es-ES"/>
        </w:rPr>
        <w:t xml:space="preserve"> (artículo 2°, apartado A, fracción III), se determina que, en materia de elecciones, la normativa de los pueblos y comunidades indígenas debe garantizar la participación de las mujeres en condiciones de equidad frente a los varones, en un marco que respete el pacto federal y la soberanía de los Estados.</w:t>
      </w:r>
    </w:p>
    <w:p w14:paraId="16CAB92F" w14:textId="77777777" w:rsidR="009B02C2" w:rsidRPr="00CF2780" w:rsidRDefault="009B02C2" w:rsidP="009B02C2">
      <w:pPr>
        <w:spacing w:before="240" w:after="0" w:line="360" w:lineRule="auto"/>
        <w:jc w:val="both"/>
        <w:rPr>
          <w:rFonts w:ascii="Arial" w:eastAsia="Times New Roman" w:hAnsi="Arial" w:cs="Arial"/>
          <w:sz w:val="28"/>
          <w:szCs w:val="24"/>
          <w:lang w:val="es-ES" w:eastAsia="es-ES"/>
        </w:rPr>
      </w:pPr>
    </w:p>
    <w:p w14:paraId="7A2EF32C" w14:textId="77777777" w:rsidR="009B02C2" w:rsidRPr="00CF2780" w:rsidRDefault="009B02C2" w:rsidP="009B02C2">
      <w:pPr>
        <w:spacing w:before="240" w:after="0" w:line="360" w:lineRule="auto"/>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 xml:space="preserve">En el ámbito jurisdiccional, se ha considerado excluido del ámbito de reconocimiento de los derechos de los pueblos y comunidades indígenas, la vulneración al principio de universalidad del voto, por </w:t>
      </w:r>
      <w:r w:rsidRPr="00CF2780">
        <w:rPr>
          <w:rFonts w:ascii="Arial" w:eastAsia="Times New Roman" w:hAnsi="Arial" w:cs="Arial"/>
          <w:sz w:val="28"/>
          <w:szCs w:val="24"/>
          <w:lang w:val="es-ES" w:eastAsia="es-ES"/>
        </w:rPr>
        <w:lastRenderedPageBreak/>
        <w:t>estimar que éste es un derecho fundamental para el ejercicio democrático. Dicho criterio está recogido en la tesis relevante con el rubro USOS Y COSTUMBRES. ELECCIONES EFECTUADAS BAJO ESTE RÉGIMEN PUEDEN SER AFECTADAS SI VULNERAN EL PRINCIPIO DE UNIVERSALIDAD DEL SUFRAGIO.</w:t>
      </w:r>
      <w:r w:rsidRPr="00CF2780">
        <w:rPr>
          <w:rFonts w:ascii="Arial" w:eastAsia="Times New Roman" w:hAnsi="Arial" w:cs="Arial"/>
          <w:sz w:val="28"/>
          <w:szCs w:val="24"/>
          <w:vertAlign w:val="superscript"/>
          <w:lang w:val="es-ES" w:eastAsia="es-ES"/>
        </w:rPr>
        <w:footnoteReference w:id="25"/>
      </w:r>
    </w:p>
    <w:p w14:paraId="7633DA8A" w14:textId="77777777" w:rsidR="009B02C2" w:rsidRPr="00CF2780" w:rsidRDefault="009B02C2" w:rsidP="009B02C2">
      <w:pPr>
        <w:spacing w:before="240" w:after="0" w:line="360" w:lineRule="auto"/>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 xml:space="preserve">Esta Sala Superior ha determinado, en seguimiento de las normas constitucionales e internacionales, como el Pacto Internacional de Derechos Civiles y Políticos, así como </w:t>
      </w:r>
      <w:smartTag w:uri="urn:schemas-microsoft-com:office:smarttags" w:element="PersonName">
        <w:smartTagPr>
          <w:attr w:name="ProductID" w:val="la Convenci￳n Americana"/>
        </w:smartTagPr>
        <w:r w:rsidRPr="00CF2780">
          <w:rPr>
            <w:rFonts w:ascii="Arial" w:eastAsia="Times New Roman" w:hAnsi="Arial" w:cs="Arial"/>
            <w:sz w:val="28"/>
            <w:szCs w:val="24"/>
            <w:lang w:val="es-ES" w:eastAsia="es-ES"/>
          </w:rPr>
          <w:t>la Convención Americana</w:t>
        </w:r>
      </w:smartTag>
      <w:r w:rsidRPr="00CF2780">
        <w:rPr>
          <w:rFonts w:ascii="Arial" w:eastAsia="Times New Roman" w:hAnsi="Arial" w:cs="Arial"/>
          <w:sz w:val="28"/>
          <w:szCs w:val="24"/>
          <w:lang w:val="es-ES" w:eastAsia="es-ES"/>
        </w:rPr>
        <w:t xml:space="preserve"> sobre Derechos Humanos y su interpretación por </w:t>
      </w:r>
      <w:smartTag w:uri="urn:schemas-microsoft-com:office:smarttags" w:element="PersonName">
        <w:smartTagPr>
          <w:attr w:name="ProductID" w:val="la Corte Interamericana"/>
        </w:smartTagPr>
        <w:r w:rsidRPr="00CF2780">
          <w:rPr>
            <w:rFonts w:ascii="Arial" w:eastAsia="Times New Roman" w:hAnsi="Arial" w:cs="Arial"/>
            <w:sz w:val="28"/>
            <w:szCs w:val="24"/>
            <w:lang w:val="es-ES" w:eastAsia="es-ES"/>
          </w:rPr>
          <w:t>la Corte Interamericana</w:t>
        </w:r>
      </w:smartTag>
      <w:r w:rsidRPr="00CF2780">
        <w:rPr>
          <w:rFonts w:ascii="Arial" w:eastAsia="Times New Roman" w:hAnsi="Arial" w:cs="Arial"/>
          <w:sz w:val="28"/>
          <w:szCs w:val="24"/>
          <w:lang w:val="es-ES" w:eastAsia="es-ES"/>
        </w:rPr>
        <w:t xml:space="preserve"> de Derechos Humanos, que tales requisitos deben ser sólo los que racionalmente resulten adecuados y proporcionales, porque de lo contrario, es decir, si se imponen requisitos irracionales o excesivos, se haría nugatorio el ejercicio de dicho derecho. Dicho criterio fue expresado en las sentencias de los expedientes SUP-JDC-037/2001 y SUP-JDC-695/2007.</w:t>
      </w:r>
    </w:p>
    <w:p w14:paraId="3E53CE34" w14:textId="77777777" w:rsidR="009B02C2" w:rsidRPr="00CF2780" w:rsidRDefault="009B02C2" w:rsidP="009B02C2">
      <w:pPr>
        <w:spacing w:before="240" w:after="0" w:line="360" w:lineRule="auto"/>
        <w:jc w:val="both"/>
        <w:rPr>
          <w:rFonts w:ascii="Arial" w:eastAsia="Times New Roman" w:hAnsi="Arial" w:cs="Arial"/>
          <w:sz w:val="28"/>
          <w:szCs w:val="28"/>
          <w:lang w:val="es-ES" w:eastAsia="es-ES"/>
        </w:rPr>
      </w:pPr>
    </w:p>
    <w:p w14:paraId="301A744A" w14:textId="77777777" w:rsidR="009B02C2" w:rsidRPr="00CF2780" w:rsidRDefault="009B02C2" w:rsidP="009B02C2">
      <w:pPr>
        <w:spacing w:before="240"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En efecto, conforme al artículo 2° de la Constitución federal, se reconoce y garantiza el derecho de los pueblos y las comunidades indígenas a la libre determinación y, en consecuencia, a la autonomía para elegir de acuerdo con sus normas, procedimientos y prácticas tradicionales, a las autoridades o representantes para el ejercicio de sus formas propias de gobierno interno, en un marco que respete el pacto federal y la soberanía de los Estados, así como elegir en los municipios </w:t>
      </w:r>
      <w:r w:rsidRPr="00CF2780">
        <w:rPr>
          <w:rFonts w:ascii="Arial" w:eastAsia="Times New Roman" w:hAnsi="Arial" w:cs="Arial"/>
          <w:sz w:val="28"/>
          <w:szCs w:val="28"/>
          <w:lang w:val="es-ES" w:eastAsia="es-ES"/>
        </w:rPr>
        <w:lastRenderedPageBreak/>
        <w:t>con población indígena, representantes ante los ayuntamientos, en la inteligencia de que este derecho será reconocido y regulado en las constituciones y leyes de las entidades federativas, para fortalecer la participación y representación política conforme con sus tradiciones y normas internas.</w:t>
      </w:r>
    </w:p>
    <w:p w14:paraId="01EBF4BB" w14:textId="77777777" w:rsidR="009B02C2" w:rsidRPr="00CF2780" w:rsidRDefault="009B02C2" w:rsidP="009B02C2">
      <w:pPr>
        <w:spacing w:before="240"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De esa manera, hay un reconocimiento constitucional a las comunidades indígenas, para darse o mantener sus propias normas en la elección de sus autoridades o representantes ante los ayuntamientos.</w:t>
      </w:r>
    </w:p>
    <w:p w14:paraId="5418661A" w14:textId="77777777" w:rsidR="009B02C2" w:rsidRPr="00CF2780" w:rsidRDefault="009B02C2" w:rsidP="009B02C2">
      <w:pPr>
        <w:spacing w:before="240" w:after="0" w:line="360" w:lineRule="auto"/>
        <w:jc w:val="both"/>
        <w:rPr>
          <w:rFonts w:ascii="Arial" w:eastAsia="Times New Roman" w:hAnsi="Arial" w:cs="Arial"/>
          <w:sz w:val="28"/>
          <w:szCs w:val="28"/>
          <w:lang w:val="es-ES" w:eastAsia="es-ES"/>
        </w:rPr>
      </w:pPr>
    </w:p>
    <w:p w14:paraId="4711C7D1" w14:textId="77777777" w:rsidR="009B02C2" w:rsidRPr="00CF2780" w:rsidRDefault="009B02C2" w:rsidP="009B02C2">
      <w:pPr>
        <w:spacing w:before="240"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Dicho reconocimiento constitucional implica la aceptación e integración de los sistemas normativos de las comunidades y pueblos indígenas, en el propio sistema jurídico electoral mexicano, pues su función es establecer los requisitos, bases y procesos a seguir para lograr la elección de las autoridades de la comunidad o la de sus representantes en el Ayuntamiento respectivo.</w:t>
      </w:r>
    </w:p>
    <w:p w14:paraId="102B7BA3" w14:textId="77777777" w:rsidR="009B02C2" w:rsidRPr="00CF2780" w:rsidRDefault="009B02C2" w:rsidP="009B02C2">
      <w:pPr>
        <w:spacing w:before="240" w:after="0" w:line="360" w:lineRule="auto"/>
        <w:jc w:val="both"/>
        <w:rPr>
          <w:rFonts w:ascii="Arial" w:eastAsia="Times New Roman" w:hAnsi="Arial" w:cs="Arial"/>
          <w:sz w:val="28"/>
          <w:szCs w:val="28"/>
          <w:lang w:val="es-ES" w:eastAsia="es-ES"/>
        </w:rPr>
      </w:pPr>
    </w:p>
    <w:p w14:paraId="6F32E677" w14:textId="77777777" w:rsidR="009B02C2" w:rsidRPr="00CF2780" w:rsidRDefault="009B02C2" w:rsidP="009B02C2">
      <w:pPr>
        <w:spacing w:before="240"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Esto tiene como fundamento la concepción normativa del Derecho, y parte de la base de que esas normas fueron dadas por la propia comunidad, para su aplicación general dentro de ella, con efectividad y obligatoriedad, porque su incumplimiento también acarrea ciertas consecuencias o reacciones, como igualmente sucede con las leyes electorales emitidas por el legislador.</w:t>
      </w:r>
    </w:p>
    <w:p w14:paraId="0EC063A9" w14:textId="77777777" w:rsidR="009B02C2" w:rsidRPr="00CF2780" w:rsidRDefault="009B02C2" w:rsidP="009B02C2">
      <w:pPr>
        <w:spacing w:before="240"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Asimismo, dada su integración al sistema jurídico electoral mexicano, dichos sistemas normativos indígenas están sujetos al respeto del pacto </w:t>
      </w:r>
      <w:r w:rsidRPr="00CF2780">
        <w:rPr>
          <w:rFonts w:ascii="Arial" w:eastAsia="Times New Roman" w:hAnsi="Arial" w:cs="Arial"/>
          <w:sz w:val="28"/>
          <w:szCs w:val="28"/>
          <w:lang w:val="es-ES" w:eastAsia="es-ES"/>
        </w:rPr>
        <w:lastRenderedPageBreak/>
        <w:t xml:space="preserve">federal y la soberanía de los Estados, por disposición del artículo 2° constitucional, y por virtud del artículo 133 de la misma Constitución, a los tratados internacionales en materia de derechos humanos y en materia de los derechos de los pueblos indígenas contenidas, entre otros, en el Convenio 169 de </w:t>
      </w:r>
      <w:smartTag w:uri="urn:schemas-microsoft-com:office:smarttags" w:element="PersonName">
        <w:smartTagPr>
          <w:attr w:name="ProductID" w:val="la Organizaci￳n Internacional"/>
        </w:smartTagPr>
        <w:r w:rsidRPr="00CF2780">
          <w:rPr>
            <w:rFonts w:ascii="Arial" w:eastAsia="Times New Roman" w:hAnsi="Arial" w:cs="Arial"/>
            <w:sz w:val="28"/>
            <w:szCs w:val="28"/>
            <w:lang w:val="es-ES" w:eastAsia="es-ES"/>
          </w:rPr>
          <w:t>la Organización Internacional</w:t>
        </w:r>
      </w:smartTag>
      <w:r w:rsidRPr="00CF2780">
        <w:rPr>
          <w:rFonts w:ascii="Arial" w:eastAsia="Times New Roman" w:hAnsi="Arial" w:cs="Arial"/>
          <w:sz w:val="28"/>
          <w:szCs w:val="28"/>
          <w:lang w:val="es-ES" w:eastAsia="es-ES"/>
        </w:rPr>
        <w:t xml:space="preserve"> del Trabajo sobre Pueblos Indígenas y Tribales en Países Independientes, así como </w:t>
      </w:r>
      <w:smartTag w:uri="urn:schemas-microsoft-com:office:smarttags" w:element="PersonName">
        <w:smartTagPr>
          <w:attr w:name="ProductID" w:val="la Declaraci￳n"/>
        </w:smartTagPr>
        <w:r w:rsidRPr="00CF2780">
          <w:rPr>
            <w:rFonts w:ascii="Arial" w:eastAsia="Times New Roman" w:hAnsi="Arial" w:cs="Arial"/>
            <w:sz w:val="28"/>
            <w:szCs w:val="28"/>
            <w:lang w:val="es-ES" w:eastAsia="es-ES"/>
          </w:rPr>
          <w:t>la Declaración</w:t>
        </w:r>
      </w:smartTag>
      <w:r w:rsidRPr="00CF2780">
        <w:rPr>
          <w:rFonts w:ascii="Arial" w:eastAsia="Times New Roman" w:hAnsi="Arial" w:cs="Arial"/>
          <w:sz w:val="28"/>
          <w:szCs w:val="28"/>
          <w:lang w:val="es-ES" w:eastAsia="es-ES"/>
        </w:rPr>
        <w:t xml:space="preserve"> de Derechos de los Pueblos Indígenas de </w:t>
      </w:r>
      <w:smartTag w:uri="urn:schemas-microsoft-com:office:smarttags" w:element="PersonName">
        <w:smartTagPr>
          <w:attr w:name="ProductID" w:val="la ONU"/>
        </w:smartTagPr>
        <w:r w:rsidRPr="00CF2780">
          <w:rPr>
            <w:rFonts w:ascii="Arial" w:eastAsia="Times New Roman" w:hAnsi="Arial" w:cs="Arial"/>
            <w:sz w:val="28"/>
            <w:szCs w:val="28"/>
            <w:lang w:val="es-ES" w:eastAsia="es-ES"/>
          </w:rPr>
          <w:t>la ONU</w:t>
        </w:r>
      </w:smartTag>
      <w:r w:rsidRPr="00CF2780">
        <w:rPr>
          <w:rFonts w:ascii="Arial" w:eastAsia="Times New Roman" w:hAnsi="Arial" w:cs="Arial"/>
          <w:sz w:val="28"/>
          <w:szCs w:val="28"/>
          <w:lang w:val="es-ES" w:eastAsia="es-ES"/>
        </w:rPr>
        <w:t>, la cual resulta orientadora en la materia.</w:t>
      </w:r>
    </w:p>
    <w:p w14:paraId="05BC0AC3"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19F58F71"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7C8CA928" w14:textId="77777777" w:rsidR="009B02C2" w:rsidRPr="00CF2780" w:rsidRDefault="009B02C2" w:rsidP="009B02C2">
      <w:pPr>
        <w:spacing w:after="0" w:line="360" w:lineRule="auto"/>
        <w:jc w:val="both"/>
        <w:rPr>
          <w:rFonts w:ascii="Arial" w:eastAsia="Times New Roman" w:hAnsi="Arial" w:cs="Arial"/>
          <w:sz w:val="28"/>
          <w:szCs w:val="24"/>
          <w:lang w:val="es-ES" w:eastAsia="es-ES"/>
        </w:rPr>
      </w:pPr>
      <w:r w:rsidRPr="00CF2780">
        <w:rPr>
          <w:rFonts w:ascii="Arial" w:eastAsia="Times New Roman" w:hAnsi="Arial" w:cs="Arial"/>
          <w:sz w:val="28"/>
          <w:szCs w:val="28"/>
          <w:lang w:val="es-ES" w:eastAsia="es-ES"/>
        </w:rPr>
        <w:t>Como se estableció por esta Sala Superior al resolver el juicio para la protección de los derechos político-electorales del ciudadano identificado con el número SUP-JDC-9167/2011,</w:t>
      </w:r>
      <w:r w:rsidRPr="00CF2780">
        <w:rPr>
          <w:rFonts w:ascii="Arial" w:eastAsia="Times New Roman" w:hAnsi="Arial" w:cs="Arial"/>
          <w:sz w:val="28"/>
          <w:szCs w:val="28"/>
          <w:vertAlign w:val="superscript"/>
          <w:lang w:val="es-ES" w:eastAsia="es-ES"/>
        </w:rPr>
        <w:footnoteReference w:id="26"/>
      </w:r>
      <w:r w:rsidRPr="00CF2780">
        <w:rPr>
          <w:rFonts w:ascii="Arial" w:eastAsia="Times New Roman" w:hAnsi="Arial" w:cs="Arial"/>
          <w:sz w:val="28"/>
          <w:szCs w:val="28"/>
          <w:lang w:val="es-ES" w:eastAsia="es-ES"/>
        </w:rPr>
        <w:t xml:space="preserve"> </w:t>
      </w:r>
      <w:r w:rsidRPr="00CF2780">
        <w:rPr>
          <w:rFonts w:ascii="Arial" w:eastAsia="Times New Roman" w:hAnsi="Arial" w:cs="Arial"/>
          <w:sz w:val="28"/>
          <w:szCs w:val="24"/>
          <w:lang w:val="es-ES" w:eastAsia="es-ES"/>
        </w:rPr>
        <w:t>en los comicios que se lleven a cabo por usos, costumbres o derecho consuetudinario, si bien no resultan exactamente aplicables los principios rectores de rango constitucional que rigen a toda elección, para que se les reconozca validez a los procedimientos o prácticas que se sigan, éstos no deben ser incompatibles con los derechos humanos reconocidos en la Constitución Federal y en los tratados internacionales suscritos y ratificados por México, así como tampoco tener como consecuencia impedir a las personas que conformen los pueblos y comunidades indígenas ejercer los derechos reconocidos a todos los ciudadanos del país y asumir las obligaciones correspondientes.</w:t>
      </w:r>
    </w:p>
    <w:p w14:paraId="3B424BD5" w14:textId="77777777" w:rsidR="009B02C2" w:rsidRPr="00CF2780" w:rsidRDefault="009B02C2" w:rsidP="009B02C2">
      <w:pPr>
        <w:spacing w:after="0" w:line="360" w:lineRule="auto"/>
        <w:ind w:firstLine="709"/>
        <w:jc w:val="both"/>
        <w:rPr>
          <w:rFonts w:ascii="Arial" w:eastAsia="Times New Roman" w:hAnsi="Arial" w:cs="Arial"/>
          <w:sz w:val="28"/>
          <w:szCs w:val="24"/>
          <w:lang w:val="es-ES" w:eastAsia="es-ES"/>
        </w:rPr>
      </w:pPr>
    </w:p>
    <w:p w14:paraId="7963FE38" w14:textId="77777777" w:rsidR="009B02C2" w:rsidRPr="00CF2780" w:rsidRDefault="009B02C2" w:rsidP="009B02C2">
      <w:pPr>
        <w:spacing w:after="0" w:line="360" w:lineRule="auto"/>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lastRenderedPageBreak/>
        <w:t>Por consiguiente, el reconocimiento y aplicación del derecho al autogobierno que asiste a la comunidad indígena de Cherán en forma alguna pueden traducirse en que las autoridades o los ciudadanos se encuentren compelidos a obedecer aquellas situaciones en que la práctica de ciertos procedimientos o instituciones propias del derecho consuetudinario de los pueblos y comunidades indígenas pudieren conculcar algún o algunos derechos humanos reconocidos en la Constitución Federal y en los tratados internacionales suscritos y ratificados por México y, mucho menos, que los tribunales deban desarrollar una actividad mecánica o letrística de las disposiciones, conductas y situaciones que resultaren conducentes al momento de analizar los límites en que debe ejercerse el derecho a utilizar los usos o costumbres indígenas.</w:t>
      </w:r>
    </w:p>
    <w:p w14:paraId="0C1CB45D" w14:textId="77777777" w:rsidR="009B02C2" w:rsidRPr="00CF2780" w:rsidRDefault="009B02C2" w:rsidP="009B02C2">
      <w:pPr>
        <w:spacing w:after="0" w:line="360" w:lineRule="auto"/>
        <w:ind w:firstLine="709"/>
        <w:jc w:val="both"/>
        <w:rPr>
          <w:rFonts w:ascii="Arial" w:eastAsia="Times New Roman" w:hAnsi="Arial" w:cs="Arial"/>
          <w:sz w:val="28"/>
          <w:szCs w:val="24"/>
          <w:lang w:val="es-ES" w:eastAsia="es-ES"/>
        </w:rPr>
      </w:pPr>
    </w:p>
    <w:p w14:paraId="44401DBD" w14:textId="77777777" w:rsidR="009B02C2" w:rsidRPr="00CF2780" w:rsidRDefault="009B02C2" w:rsidP="009B02C2">
      <w:pPr>
        <w:spacing w:after="0" w:line="360" w:lineRule="auto"/>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Lo anterior, máxime que el orden jurídico debe interpretarse a la luz y conforme a los derechos humanos reconocidos en la Constitución Federal y en los tratados internacionales en los cuales el Estado Mexicanos sea parte, favoreciendo en todo tiempo a las personas con la protección más amplia (interpretación conforme en sentido amplio),</w:t>
      </w:r>
      <w:r w:rsidRPr="00CF2780">
        <w:rPr>
          <w:rFonts w:ascii="Arial" w:eastAsia="Times New Roman" w:hAnsi="Arial" w:cs="Arial"/>
          <w:sz w:val="28"/>
          <w:szCs w:val="24"/>
          <w:vertAlign w:val="superscript"/>
          <w:lang w:val="es-ES" w:eastAsia="es-ES"/>
        </w:rPr>
        <w:footnoteReference w:id="27"/>
      </w:r>
      <w:r w:rsidRPr="00CF2780">
        <w:rPr>
          <w:rFonts w:ascii="Arial" w:eastAsia="Times New Roman" w:hAnsi="Arial" w:cs="Arial"/>
          <w:sz w:val="28"/>
          <w:szCs w:val="24"/>
          <w:lang w:val="es-ES" w:eastAsia="es-ES"/>
        </w:rPr>
        <w:t xml:space="preserve"> de conformidad con lo dispuesto en el artículo 1o, párrafo segundo, de la Constitución federal.</w:t>
      </w:r>
      <w:r w:rsidRPr="00CF2780">
        <w:rPr>
          <w:rFonts w:ascii="Arial" w:eastAsia="Times New Roman" w:hAnsi="Arial" w:cs="Arial"/>
          <w:sz w:val="28"/>
          <w:szCs w:val="24"/>
          <w:vertAlign w:val="superscript"/>
          <w:lang w:val="es-ES" w:eastAsia="es-ES"/>
        </w:rPr>
        <w:footnoteReference w:id="28"/>
      </w:r>
      <w:r w:rsidRPr="00CF2780">
        <w:rPr>
          <w:rFonts w:ascii="Arial" w:eastAsia="Times New Roman" w:hAnsi="Arial" w:cs="Arial"/>
          <w:sz w:val="28"/>
          <w:szCs w:val="24"/>
          <w:lang w:val="es-ES" w:eastAsia="es-ES"/>
        </w:rPr>
        <w:t xml:space="preserve">  </w:t>
      </w:r>
    </w:p>
    <w:p w14:paraId="6AC1C036"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25F7CEAE" w14:textId="77777777" w:rsidR="009B02C2" w:rsidRPr="00CF2780" w:rsidRDefault="009B02C2" w:rsidP="009B02C2">
      <w:pPr>
        <w:spacing w:after="0" w:line="360" w:lineRule="auto"/>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La Constitución concede, entonces, dado su carácter normativo, protección de los derechos humanos considerados no en sentido teórico o ideal, sino como derechos auténticos y efectivos, y ello impone el deber de examinar sus presuntas vulneraciones mediante la utilización de criterios sustantivos que, atendiendo al contenido y finalidad del derecho que se supone transgredido, permita apreciar si esa vulneración se ha, o no, real y efectivamente producido, más allá de la mera apariencia nominalista, atendiendo especialmente, en la especie, a la idiosincrasia y circunstancias especiales de los pueblos y comunidades indígenas.</w:t>
      </w:r>
    </w:p>
    <w:p w14:paraId="2EC0B4BD" w14:textId="77777777" w:rsidR="009B02C2" w:rsidRPr="00CF2780" w:rsidRDefault="009B02C2" w:rsidP="009B02C2">
      <w:pPr>
        <w:spacing w:after="0" w:line="360" w:lineRule="auto"/>
        <w:ind w:firstLine="709"/>
        <w:jc w:val="both"/>
        <w:rPr>
          <w:rFonts w:ascii="Arial" w:eastAsia="Times New Roman" w:hAnsi="Arial" w:cs="Arial"/>
          <w:sz w:val="28"/>
          <w:szCs w:val="24"/>
          <w:lang w:val="es-ES" w:eastAsia="es-ES"/>
        </w:rPr>
      </w:pPr>
    </w:p>
    <w:p w14:paraId="31E29419" w14:textId="77777777" w:rsidR="009B02C2" w:rsidRPr="00CF2780" w:rsidRDefault="009B02C2" w:rsidP="009B02C2">
      <w:pPr>
        <w:spacing w:after="0" w:line="360" w:lineRule="auto"/>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Consecuentemente, los derechos fundamentales reconocidos por la Constitución Federal a las colectividades y personas indígenas sólo pueden ceder ante los límites que la propia Constitución expresamente imponga, o, como acontece con el artículo 8 del Convenio 169 de la Organización Internacional del Trabajo sobre pueblos indígenas y tribales en Países Independientes, 1989, ante los que de manera mediata o directa se infieran de la misma al resultar justificados por la necesidad de preservar otros derechos o bienes jurídicamente protegidos, siempre y cuando, se reitera, la infracción a tales derechos sea de corte sustancial, y no instrumental, para los bienes que con los mismos se pretende tutelar.</w:t>
      </w:r>
    </w:p>
    <w:p w14:paraId="5C5849F6" w14:textId="77777777" w:rsidR="009B02C2" w:rsidRPr="00CF2780" w:rsidRDefault="009B02C2" w:rsidP="009B02C2">
      <w:pPr>
        <w:spacing w:after="0" w:line="360" w:lineRule="auto"/>
        <w:ind w:firstLine="709"/>
        <w:jc w:val="both"/>
        <w:rPr>
          <w:rFonts w:ascii="Arial" w:eastAsia="Times New Roman" w:hAnsi="Arial" w:cs="Arial"/>
          <w:sz w:val="28"/>
          <w:szCs w:val="24"/>
          <w:lang w:val="es-ES" w:eastAsia="es-ES"/>
        </w:rPr>
      </w:pPr>
    </w:p>
    <w:p w14:paraId="421A5C20" w14:textId="77777777" w:rsidR="009B02C2" w:rsidRPr="00CF2780" w:rsidRDefault="009B02C2" w:rsidP="009B02C2">
      <w:pPr>
        <w:spacing w:after="0" w:line="360" w:lineRule="auto"/>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 xml:space="preserve">Así, por ejemplo, esta Sala Superior ha determinado que si bien las elecciones por usos y costumbres indígenas no contravienen el principio </w:t>
      </w:r>
      <w:r w:rsidRPr="00CF2780">
        <w:rPr>
          <w:rFonts w:ascii="Arial" w:eastAsia="Times New Roman" w:hAnsi="Arial" w:cs="Arial"/>
          <w:sz w:val="28"/>
          <w:szCs w:val="24"/>
          <w:lang w:val="es-ES" w:eastAsia="es-ES"/>
        </w:rPr>
        <w:lastRenderedPageBreak/>
        <w:t xml:space="preserve">constitucional de igualdad, también lo es que no serán válidas cuando entrañen actividades que violenten la universalidad del voto. </w:t>
      </w:r>
    </w:p>
    <w:p w14:paraId="084D17D6" w14:textId="77777777" w:rsidR="009B02C2" w:rsidRPr="00CF2780" w:rsidRDefault="009B02C2" w:rsidP="009B02C2">
      <w:pPr>
        <w:spacing w:after="0" w:line="360" w:lineRule="auto"/>
        <w:ind w:firstLine="709"/>
        <w:jc w:val="both"/>
        <w:rPr>
          <w:rFonts w:ascii="Arial" w:eastAsia="Times New Roman" w:hAnsi="Arial" w:cs="Arial"/>
          <w:sz w:val="28"/>
          <w:szCs w:val="24"/>
          <w:lang w:val="es-ES" w:eastAsia="es-ES"/>
        </w:rPr>
      </w:pPr>
    </w:p>
    <w:p w14:paraId="109828EA" w14:textId="77777777" w:rsidR="009B02C2" w:rsidRPr="00CF2780" w:rsidRDefault="009B02C2" w:rsidP="009B02C2">
      <w:pPr>
        <w:spacing w:after="0" w:line="360" w:lineRule="auto"/>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 xml:space="preserve">Lo anterior, porque de la interpretación de los artículos 30; 34; 35, fracción I; 36, fracción III; 115, primer párrafo, fracción I; 116, segundo párrafo, fracción I, párrafo segundo y fracción IV inciso a, y 122, párrafos cuarto y sexto, apartado C, base primera, fracción I, de la Constitución Federal, se infiere que el derecho de sufragio constituye la piedra angular del sistema democrático, en tanto que, con su ejercicio, se permite la necesaria conexión entre los ciudadanos y el poder público, legitimando a éste; de ahí que, si se considera que en una elección no se respetó el principio de universalidad del sufragio, ello conduce a establecer que se han infringido los preceptos que lo tutelan y que, además, se ha atentado contra la esencia misma del sistema democrático. </w:t>
      </w:r>
    </w:p>
    <w:p w14:paraId="38664704" w14:textId="77777777" w:rsidR="009B02C2" w:rsidRPr="00CF2780" w:rsidRDefault="009B02C2" w:rsidP="009B02C2">
      <w:pPr>
        <w:spacing w:after="0" w:line="360" w:lineRule="auto"/>
        <w:jc w:val="both"/>
        <w:rPr>
          <w:rFonts w:ascii="Arial" w:eastAsia="Times New Roman" w:hAnsi="Arial" w:cs="Arial"/>
          <w:sz w:val="28"/>
          <w:szCs w:val="24"/>
          <w:lang w:val="es-ES" w:eastAsia="es-ES"/>
        </w:rPr>
      </w:pPr>
    </w:p>
    <w:p w14:paraId="46BF2C29" w14:textId="77777777" w:rsidR="009B02C2" w:rsidRPr="00CF2780" w:rsidRDefault="009B02C2" w:rsidP="009B02C2">
      <w:pPr>
        <w:spacing w:after="0" w:line="360" w:lineRule="auto"/>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 xml:space="preserve">Por lo tanto, la característica de universalidad del sufragio implica que, salvo las excepciones expresamente permitidas por los ordenamientos nacional y estatal, toda persona física se encuentra en aptitud de ejercerlo en las elecciones populares que se celebren, para la renovación de los órganos públicos representativos del Estado mexicano, sean estos federales, estatales o municipales ordinarias, o bien, mediante reglas de derecho consuetudinario, sin que para tales efectos sean propiedades relevantes cualesquiera de las condiciones enumeradas expresamente en el mandato de no discriminación (origen étnico o nacional, el género, la edad, las discapacidades, la condición social, las condiciones de salud, la religión, las opiniones, las </w:t>
      </w:r>
      <w:r w:rsidRPr="00CF2780">
        <w:rPr>
          <w:rFonts w:ascii="Arial" w:eastAsia="Times New Roman" w:hAnsi="Arial" w:cs="Arial"/>
          <w:sz w:val="28"/>
          <w:szCs w:val="24"/>
          <w:lang w:val="es-ES" w:eastAsia="es-ES"/>
        </w:rPr>
        <w:lastRenderedPageBreak/>
        <w:t xml:space="preserve">preferencias sexuales, el estado civil) o cualquier otra que atente contra la dignidad humana y tenga por objeto anular o menoscabar los derechos y libertades de las personas, de conformidad con el establecido en el artículo 1º, párrafo quinto, constitucional. </w:t>
      </w:r>
    </w:p>
    <w:p w14:paraId="2F0DF437" w14:textId="77777777" w:rsidR="009B02C2" w:rsidRPr="00CF2780" w:rsidRDefault="009B02C2" w:rsidP="009B02C2">
      <w:pPr>
        <w:spacing w:after="0" w:line="360" w:lineRule="auto"/>
        <w:ind w:firstLine="709"/>
        <w:jc w:val="both"/>
        <w:rPr>
          <w:rFonts w:ascii="Arial" w:eastAsia="Times New Roman" w:hAnsi="Arial" w:cs="Arial"/>
          <w:sz w:val="28"/>
          <w:szCs w:val="24"/>
          <w:lang w:val="es-ES" w:eastAsia="es-ES"/>
        </w:rPr>
      </w:pPr>
    </w:p>
    <w:p w14:paraId="455EBB38" w14:textId="77777777" w:rsidR="009B02C2" w:rsidRPr="00CF2780" w:rsidRDefault="009B02C2" w:rsidP="009B02C2">
      <w:pPr>
        <w:spacing w:after="0" w:line="360" w:lineRule="auto"/>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 xml:space="preserve">Por ello, es posible afirmar que la universalidad del sufragio, se funda en el principio de una persona, un voto; con el cual se pretende el máximo ensanchamiento del cuerpo electoral en orden a asegurar la coincidencia del electorado activo con la capacidad de derecho público. </w:t>
      </w:r>
    </w:p>
    <w:p w14:paraId="5E4139FE" w14:textId="77777777" w:rsidR="009B02C2" w:rsidRPr="00CF2780" w:rsidRDefault="009B02C2" w:rsidP="009B02C2">
      <w:pPr>
        <w:spacing w:after="0" w:line="360" w:lineRule="auto"/>
        <w:ind w:firstLine="709"/>
        <w:jc w:val="both"/>
        <w:rPr>
          <w:rFonts w:ascii="Arial" w:eastAsia="Times New Roman" w:hAnsi="Arial" w:cs="Arial"/>
          <w:sz w:val="28"/>
          <w:szCs w:val="24"/>
          <w:lang w:val="es-ES" w:eastAsia="es-ES"/>
        </w:rPr>
      </w:pPr>
    </w:p>
    <w:p w14:paraId="075ABFA3" w14:textId="77777777" w:rsidR="009B02C2" w:rsidRPr="00CF2780" w:rsidRDefault="009B02C2" w:rsidP="009B02C2">
      <w:pPr>
        <w:spacing w:after="0" w:line="360" w:lineRule="auto"/>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Consecuentemente, si en una comunidad indígena no se permitiera votar a los ciudadanos que tienen derecho por determinadas prácticas tradicionales, entonces dicha restricción se traduciría en la negación o anulación de su derecho fundamental a sufragar, y ello significaría la transgresión al principio de igualdad, visto desde el punto de vista subjetivo que emana de dicha norma, el derecho a no ser discriminado injustamente; por lo tanto, esta situación violatoria de derechos fundamentales, queda excluida del ámbito de reconocimiento y tutela de los derechos de los pueblos y comunidades indígenas previstos por la Constitución federal, al resultar incompatible con los derechos fundamentales que han quedado precisados; por lo que, en consecuencia, esa práctica o tradición de una comunidad indígena no tendría el carácter de democrática.</w:t>
      </w:r>
    </w:p>
    <w:p w14:paraId="3F767514" w14:textId="77777777" w:rsidR="009B02C2" w:rsidRPr="00CF2780" w:rsidRDefault="009B02C2" w:rsidP="009B02C2">
      <w:pPr>
        <w:spacing w:after="0" w:line="360" w:lineRule="auto"/>
        <w:ind w:firstLine="709"/>
        <w:jc w:val="both"/>
        <w:rPr>
          <w:rFonts w:ascii="Arial" w:eastAsia="Times New Roman" w:hAnsi="Arial" w:cs="Arial"/>
          <w:sz w:val="28"/>
          <w:szCs w:val="24"/>
          <w:lang w:val="es-ES" w:eastAsia="es-ES"/>
        </w:rPr>
      </w:pPr>
    </w:p>
    <w:p w14:paraId="3E766831" w14:textId="77777777" w:rsidR="009B02C2" w:rsidRPr="00CF2780" w:rsidRDefault="009B02C2" w:rsidP="009B02C2">
      <w:pPr>
        <w:spacing w:after="0" w:line="360" w:lineRule="auto"/>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 xml:space="preserve">El criterio anterior se encuentra contenido en la tesis CLI/2002 consultable en </w:t>
      </w:r>
      <w:r w:rsidRPr="00CF2780">
        <w:rPr>
          <w:rFonts w:ascii="Arial" w:eastAsia="Times New Roman" w:hAnsi="Arial" w:cs="Arial"/>
          <w:sz w:val="28"/>
          <w:szCs w:val="28"/>
          <w:lang w:val="es-ES" w:eastAsia="es-ES"/>
        </w:rPr>
        <w:t xml:space="preserve">las páginas 1676 y 1677 de la </w:t>
      </w:r>
      <w:r w:rsidRPr="00CF2780">
        <w:rPr>
          <w:rFonts w:ascii="Arial" w:eastAsia="Times New Roman" w:hAnsi="Arial" w:cs="Arial"/>
          <w:i/>
          <w:sz w:val="28"/>
          <w:szCs w:val="28"/>
          <w:lang w:val="es-ES" w:eastAsia="es-ES"/>
        </w:rPr>
        <w:t>Compilación 1997-2010: Jurisprudencia y tesis en materia electoral</w:t>
      </w:r>
      <w:r w:rsidRPr="00CF2780">
        <w:rPr>
          <w:rFonts w:ascii="Arial" w:eastAsia="Times New Roman" w:hAnsi="Arial" w:cs="Arial"/>
          <w:sz w:val="28"/>
          <w:szCs w:val="28"/>
          <w:lang w:val="es-ES" w:eastAsia="es-ES"/>
        </w:rPr>
        <w:t xml:space="preserve">, tomo II Tesis, volumen 2, </w:t>
      </w:r>
      <w:r w:rsidRPr="00CF2780">
        <w:rPr>
          <w:rFonts w:ascii="Arial" w:eastAsia="Times New Roman" w:hAnsi="Arial" w:cs="Arial"/>
          <w:sz w:val="28"/>
          <w:szCs w:val="28"/>
          <w:lang w:val="es-ES" w:eastAsia="es-ES"/>
        </w:rPr>
        <w:lastRenderedPageBreak/>
        <w:t xml:space="preserve">publicada por el Tribunal </w:t>
      </w:r>
      <w:r w:rsidRPr="00CF2780">
        <w:rPr>
          <w:rFonts w:ascii="Arial" w:eastAsia="Times New Roman" w:hAnsi="Arial" w:cs="Arial"/>
          <w:sz w:val="28"/>
          <w:szCs w:val="24"/>
          <w:lang w:val="es-ES" w:eastAsia="es-ES"/>
        </w:rPr>
        <w:t>Electoral del Poder Judicial de la Federación, cuyo rubro es: “</w:t>
      </w:r>
      <w:hyperlink r:id="rId24" w:anchor="CLI/2002_" w:history="1">
        <w:r w:rsidRPr="00CF2780">
          <w:rPr>
            <w:rFonts w:ascii="Arial" w:eastAsia="Times New Roman" w:hAnsi="Arial" w:cs="Arial"/>
            <w:b/>
            <w:sz w:val="28"/>
            <w:szCs w:val="24"/>
            <w:lang w:val="es-ES" w:eastAsia="es-ES"/>
          </w:rPr>
          <w:t>USOS Y COSTUMBRES. ELECCIONES EFECTUADAS BAJO ESTE RÉGIMEN PUEDEN SER AFECTADAS SI VULNERAN EL PRINCIPIO DE UNIVERSALIDAD DEL SUFRAGIO</w:t>
        </w:r>
      </w:hyperlink>
      <w:r w:rsidRPr="00CF2780">
        <w:rPr>
          <w:rFonts w:ascii="Arial" w:eastAsia="Times New Roman" w:hAnsi="Arial" w:cs="Arial"/>
          <w:sz w:val="28"/>
          <w:szCs w:val="24"/>
          <w:lang w:val="es-ES" w:eastAsia="es-ES"/>
        </w:rPr>
        <w:t>”.</w:t>
      </w:r>
    </w:p>
    <w:p w14:paraId="5F87F72A"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7E21FE84" w14:textId="77777777" w:rsidR="009B02C2" w:rsidRPr="00CF2780" w:rsidRDefault="009B02C2" w:rsidP="009B02C2">
      <w:pPr>
        <w:spacing w:after="0" w:line="360" w:lineRule="auto"/>
        <w:jc w:val="both"/>
        <w:rPr>
          <w:rFonts w:ascii="Arial" w:eastAsia="Times New Roman" w:hAnsi="Arial" w:cs="Arial"/>
          <w:bCs/>
          <w:color w:val="000000"/>
          <w:spacing w:val="3"/>
          <w:sz w:val="28"/>
          <w:szCs w:val="28"/>
          <w:lang w:val="es-ES_tradnl" w:eastAsia="es-ES"/>
        </w:rPr>
      </w:pPr>
      <w:r w:rsidRPr="00CF2780">
        <w:rPr>
          <w:rFonts w:ascii="Arial" w:eastAsia="Times New Roman" w:hAnsi="Arial" w:cs="Arial"/>
          <w:sz w:val="28"/>
          <w:szCs w:val="28"/>
          <w:lang w:val="es-ES" w:eastAsia="es-ES"/>
        </w:rPr>
        <w:t>Asimismo, como se indicó, en el precedente invocado (es decir, el juicio para la protección de los derechos político-electorales del ciudadano identificado con el número SUP-JDC-9167/2011)</w:t>
      </w:r>
      <w:r w:rsidRPr="00CF2780">
        <w:rPr>
          <w:rFonts w:ascii="Arial" w:eastAsia="Times New Roman" w:hAnsi="Arial" w:cs="Arial"/>
          <w:sz w:val="24"/>
          <w:szCs w:val="28"/>
          <w:lang w:val="es-ES" w:eastAsia="es-ES"/>
        </w:rPr>
        <w:t xml:space="preserve"> </w:t>
      </w:r>
      <w:r w:rsidRPr="00CF2780">
        <w:rPr>
          <w:rFonts w:ascii="Arial" w:eastAsia="Times New Roman" w:hAnsi="Arial" w:cs="Arial"/>
          <w:sz w:val="28"/>
          <w:szCs w:val="28"/>
          <w:lang w:val="es-ES" w:eastAsia="es-ES"/>
        </w:rPr>
        <w:t>se estableció que e</w:t>
      </w:r>
      <w:r w:rsidRPr="00CF2780">
        <w:rPr>
          <w:rFonts w:ascii="Arial" w:eastAsia="Times New Roman" w:hAnsi="Arial" w:cs="Arial"/>
          <w:bCs/>
          <w:color w:val="000000"/>
          <w:spacing w:val="3"/>
          <w:sz w:val="28"/>
          <w:szCs w:val="28"/>
          <w:lang w:val="es-ES_tradnl" w:eastAsia="es-ES"/>
        </w:rPr>
        <w:t xml:space="preserve">n la realización de las consultas y la adopción de las medidas correspondientes se deberán atender los principios establecidos tanto en el Convenio Nº 169 de la Organización Internacional del Trabajo sobre Pueblos Indígenas y Tribales en Países Independientes como en la Declaración sobre los Derechos de los Pueblos Indígenas y conforme con los cuales, las consultas a los pueblos indígenas en las cuestiones que les afectan deben realizarse en observancia de los principios siguientes: 1) </w:t>
      </w:r>
      <w:r w:rsidRPr="00CF2780">
        <w:rPr>
          <w:rFonts w:ascii="Arial" w:eastAsia="Times New Roman" w:hAnsi="Arial" w:cs="Arial"/>
          <w:sz w:val="28"/>
          <w:szCs w:val="28"/>
          <w:lang w:val="es-ES" w:eastAsia="es-ES"/>
        </w:rPr>
        <w:t>Endógeno; 2) Libre; 3) Pacífico; 4) Informado; 5) Democrático; 6) Equitativo; 7) Socialmente responsable y 8) Autogestionado.</w:t>
      </w:r>
    </w:p>
    <w:p w14:paraId="792DFC3F" w14:textId="77777777" w:rsidR="009B02C2" w:rsidRPr="00CF2780" w:rsidRDefault="009B02C2" w:rsidP="009B02C2">
      <w:pPr>
        <w:spacing w:after="0" w:line="360" w:lineRule="auto"/>
        <w:jc w:val="both"/>
        <w:rPr>
          <w:rFonts w:ascii="Arial" w:eastAsia="Times New Roman" w:hAnsi="Arial" w:cs="Arial"/>
          <w:sz w:val="28"/>
          <w:szCs w:val="28"/>
          <w:lang w:val="es-ES_tradnl" w:eastAsia="es-ES"/>
        </w:rPr>
      </w:pPr>
    </w:p>
    <w:p w14:paraId="7432E51C"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Es preciso señalar que en el </w:t>
      </w:r>
      <w:r w:rsidRPr="00CF2780">
        <w:rPr>
          <w:rFonts w:ascii="Arial" w:eastAsia="Times New Roman" w:hAnsi="Arial" w:cs="Arial"/>
          <w:sz w:val="28"/>
          <w:szCs w:val="24"/>
          <w:lang w:val="es-ES" w:eastAsia="es-ES"/>
        </w:rPr>
        <w:t xml:space="preserve">Informe de resultados de la Consulta realizada en cumplimiento a lo dispuesto en el considerando noveno inciso b), punto 1, de la resolución de dos de noviembre de dos mil once, dictada dentro del juicio  para la protección de los derechos político electorales del ciudadano, número SUP-JDC-9167/2011, se estableció que, conforme al artículo 6 del Convenio 169, </w:t>
      </w:r>
      <w:r w:rsidRPr="00CF2780">
        <w:rPr>
          <w:rFonts w:ascii="Arial" w:eastAsia="Times New Roman" w:hAnsi="Arial" w:cs="Arial"/>
          <w:sz w:val="28"/>
          <w:szCs w:val="28"/>
          <w:lang w:val="es-ES" w:eastAsia="es-ES"/>
        </w:rPr>
        <w:t xml:space="preserve">los parámetros a los que respondió la consulta que fue hecha a los habitantes mayores de 18 </w:t>
      </w:r>
      <w:r w:rsidRPr="00CF2780">
        <w:rPr>
          <w:rFonts w:ascii="Arial" w:eastAsia="Times New Roman" w:hAnsi="Arial" w:cs="Arial"/>
          <w:sz w:val="28"/>
          <w:szCs w:val="28"/>
          <w:lang w:val="es-ES" w:eastAsia="es-ES"/>
        </w:rPr>
        <w:lastRenderedPageBreak/>
        <w:t>años que conforman el Municipio de Cherán, Michoacán, fueron los siguientes:</w:t>
      </w:r>
    </w:p>
    <w:p w14:paraId="5F8C567C" w14:textId="77777777" w:rsidR="009B02C2" w:rsidRPr="00CF2780" w:rsidRDefault="009B02C2" w:rsidP="009B02C2">
      <w:pPr>
        <w:shd w:val="clear" w:color="auto" w:fill="FFFFFF"/>
        <w:spacing w:after="0" w:line="240" w:lineRule="auto"/>
        <w:ind w:left="567" w:right="567"/>
        <w:rPr>
          <w:rFonts w:ascii="Arial" w:eastAsia="Times New Roman" w:hAnsi="Arial" w:cs="Arial"/>
          <w:sz w:val="24"/>
          <w:szCs w:val="24"/>
          <w:lang w:val="es-ES" w:eastAsia="es-ES"/>
        </w:rPr>
      </w:pPr>
    </w:p>
    <w:p w14:paraId="25DEC1DE" w14:textId="77777777" w:rsidR="009B02C2" w:rsidRPr="00CF2780" w:rsidRDefault="009B02C2" w:rsidP="009B02C2">
      <w:pPr>
        <w:shd w:val="clear" w:color="auto" w:fill="FFFFFF"/>
        <w:spacing w:after="0" w:line="240" w:lineRule="auto"/>
        <w:ind w:left="567" w:right="567"/>
        <w:jc w:val="both"/>
        <w:rPr>
          <w:rFonts w:ascii="Arial" w:eastAsia="Times New Roman" w:hAnsi="Arial" w:cs="Arial"/>
          <w:sz w:val="24"/>
          <w:szCs w:val="24"/>
          <w:lang w:val="es-ES" w:eastAsia="es-ES"/>
        </w:rPr>
      </w:pPr>
      <w:r w:rsidRPr="00CF2780">
        <w:rPr>
          <w:rFonts w:ascii="Arial" w:eastAsia="Times New Roman" w:hAnsi="Arial" w:cs="Arial"/>
          <w:b/>
          <w:sz w:val="24"/>
          <w:szCs w:val="24"/>
          <w:lang w:val="es-ES" w:eastAsia="es-ES"/>
        </w:rPr>
        <w:t>“1. La consulta debía realizarse con carácter previo,</w:t>
      </w:r>
      <w:r w:rsidRPr="00CF2780">
        <w:rPr>
          <w:rFonts w:ascii="Arial" w:eastAsia="Times New Roman" w:hAnsi="Arial" w:cs="Arial"/>
          <w:sz w:val="24"/>
          <w:szCs w:val="24"/>
          <w:lang w:val="es-ES" w:eastAsia="es-ES"/>
        </w:rPr>
        <w:t xml:space="preserve"> esto es debía ser con anterioridad a la adopción de la medida a ser consultada; lo que implicaba que los habitantes de las comunidades de San Francisco Cherán y Santa Cruz Tanaco, se vieran involucrados lo antes posible en el proceso; es decir, debían ser consultados previamente en todas las fases del proceso y la consulta no debía ser restringida a propuestas iniciales, siempre que tuvieran relación con los puntos que fueron enmarcados por la Sala Superior del Tribunal Electoral del Poder Judicial de la Federación.</w:t>
      </w:r>
    </w:p>
    <w:p w14:paraId="6DC02DEC" w14:textId="77777777" w:rsidR="009B02C2" w:rsidRPr="00CF2780" w:rsidRDefault="009B02C2" w:rsidP="009B02C2">
      <w:pPr>
        <w:shd w:val="clear" w:color="auto" w:fill="FFFFFF"/>
        <w:spacing w:after="0" w:line="240" w:lineRule="auto"/>
        <w:ind w:left="567" w:right="567"/>
        <w:jc w:val="both"/>
        <w:rPr>
          <w:rFonts w:ascii="Arial" w:eastAsia="Times New Roman" w:hAnsi="Arial" w:cs="Arial"/>
          <w:sz w:val="24"/>
          <w:szCs w:val="24"/>
          <w:lang w:val="es-ES" w:eastAsia="es-ES"/>
        </w:rPr>
      </w:pPr>
    </w:p>
    <w:p w14:paraId="00AEB37F" w14:textId="77777777" w:rsidR="009B02C2" w:rsidRPr="00CF2780" w:rsidRDefault="009B02C2" w:rsidP="009B02C2">
      <w:pPr>
        <w:shd w:val="clear" w:color="auto" w:fill="FFFFFF"/>
        <w:spacing w:after="0" w:line="240" w:lineRule="auto"/>
        <w:ind w:left="567" w:right="567"/>
        <w:jc w:val="both"/>
        <w:rPr>
          <w:rFonts w:ascii="Arial" w:eastAsia="Times New Roman" w:hAnsi="Arial" w:cs="Arial"/>
          <w:sz w:val="24"/>
          <w:szCs w:val="24"/>
          <w:lang w:val="es-ES" w:eastAsia="es-ES"/>
        </w:rPr>
      </w:pPr>
      <w:r w:rsidRPr="00CF2780">
        <w:rPr>
          <w:rFonts w:ascii="Arial" w:eastAsia="Times New Roman" w:hAnsi="Arial" w:cs="Arial"/>
          <w:b/>
          <w:sz w:val="24"/>
          <w:szCs w:val="24"/>
          <w:lang w:val="es-ES" w:eastAsia="es-ES"/>
        </w:rPr>
        <w:t>2</w:t>
      </w:r>
      <w:r w:rsidRPr="00CF2780">
        <w:rPr>
          <w:rFonts w:ascii="Arial" w:eastAsia="Times New Roman" w:hAnsi="Arial" w:cs="Arial"/>
          <w:sz w:val="24"/>
          <w:szCs w:val="24"/>
          <w:lang w:val="es-ES" w:eastAsia="es-ES"/>
        </w:rPr>
        <w:t xml:space="preserve">. </w:t>
      </w:r>
      <w:r w:rsidRPr="00CF2780">
        <w:rPr>
          <w:rFonts w:ascii="Arial" w:eastAsia="Times New Roman" w:hAnsi="Arial" w:cs="Arial"/>
          <w:b/>
          <w:sz w:val="24"/>
          <w:szCs w:val="24"/>
          <w:lang w:val="es-ES" w:eastAsia="es-ES"/>
        </w:rPr>
        <w:t>La consulta no se agotaba con la mera información</w:t>
      </w:r>
      <w:r w:rsidRPr="00CF2780">
        <w:rPr>
          <w:rFonts w:ascii="Arial" w:eastAsia="Times New Roman" w:hAnsi="Arial" w:cs="Arial"/>
          <w:sz w:val="24"/>
          <w:szCs w:val="24"/>
          <w:lang w:val="es-ES" w:eastAsia="es-ES"/>
        </w:rPr>
        <w:t>, ya que una reunión de mera información no puede considerar, de conformidad con lo dispuesto en el Convenio 169, un diálogo genuino entre las partes signadas de comunicación y entendimiento, mutuo respeto y buena fe y con el deseo de llegar a un acuerdo común.</w:t>
      </w:r>
    </w:p>
    <w:p w14:paraId="4928ACE2" w14:textId="77777777" w:rsidR="009B02C2" w:rsidRPr="00CF2780" w:rsidRDefault="009B02C2" w:rsidP="009B02C2">
      <w:pPr>
        <w:shd w:val="clear" w:color="auto" w:fill="FFFFFF"/>
        <w:spacing w:after="0" w:line="240" w:lineRule="auto"/>
        <w:ind w:left="567" w:right="567"/>
        <w:jc w:val="both"/>
        <w:rPr>
          <w:rFonts w:ascii="Arial" w:eastAsia="Times New Roman" w:hAnsi="Arial" w:cs="Arial"/>
          <w:sz w:val="24"/>
          <w:szCs w:val="24"/>
          <w:lang w:val="es-ES" w:eastAsia="es-ES"/>
        </w:rPr>
      </w:pPr>
    </w:p>
    <w:p w14:paraId="387D3837" w14:textId="77777777" w:rsidR="009B02C2" w:rsidRPr="00CF2780" w:rsidRDefault="009B02C2" w:rsidP="009B02C2">
      <w:pPr>
        <w:shd w:val="clear" w:color="auto" w:fill="FFFFFF"/>
        <w:spacing w:after="0" w:line="240" w:lineRule="auto"/>
        <w:ind w:left="567" w:right="567"/>
        <w:jc w:val="both"/>
        <w:rPr>
          <w:rFonts w:ascii="Arial" w:eastAsia="Times New Roman" w:hAnsi="Arial" w:cs="Arial"/>
          <w:sz w:val="24"/>
          <w:szCs w:val="24"/>
          <w:lang w:val="es-ES" w:eastAsia="es-ES"/>
        </w:rPr>
      </w:pPr>
      <w:r w:rsidRPr="00CF2780">
        <w:rPr>
          <w:rFonts w:ascii="Arial" w:eastAsia="Times New Roman" w:hAnsi="Arial" w:cs="Arial"/>
          <w:b/>
          <w:sz w:val="24"/>
          <w:szCs w:val="24"/>
          <w:lang w:val="es-ES" w:eastAsia="es-ES"/>
        </w:rPr>
        <w:t>3. La consulta debía ser libre,</w:t>
      </w:r>
      <w:r w:rsidRPr="00CF2780">
        <w:rPr>
          <w:rFonts w:ascii="Arial" w:eastAsia="Times New Roman" w:hAnsi="Arial" w:cs="Arial"/>
          <w:sz w:val="24"/>
          <w:szCs w:val="24"/>
          <w:lang w:val="es-ES" w:eastAsia="es-ES"/>
        </w:rPr>
        <w:t xml:space="preserve"> es decir se debía realizar libre de injerencias externas, según se desprende tanto del Convenio 169 como de la Declaración de la ONU sobre los Derechos de los Pueblos Indígenas; en donde establece como necesidad, que la consulta se realice libre de coerción, intimidación y de manipulación. </w:t>
      </w:r>
    </w:p>
    <w:p w14:paraId="36E25A51" w14:textId="77777777" w:rsidR="009B02C2" w:rsidRPr="00CF2780" w:rsidRDefault="009B02C2" w:rsidP="009B02C2">
      <w:pPr>
        <w:shd w:val="clear" w:color="auto" w:fill="FFFFFF"/>
        <w:spacing w:after="0" w:line="240" w:lineRule="auto"/>
        <w:ind w:left="567" w:right="567"/>
        <w:jc w:val="both"/>
        <w:rPr>
          <w:rFonts w:ascii="Arial" w:eastAsia="Times New Roman" w:hAnsi="Arial" w:cs="Arial"/>
          <w:sz w:val="24"/>
          <w:szCs w:val="24"/>
          <w:lang w:val="es-ES" w:eastAsia="es-ES"/>
        </w:rPr>
      </w:pPr>
    </w:p>
    <w:p w14:paraId="24AFA214" w14:textId="77777777" w:rsidR="009B02C2" w:rsidRPr="00CF2780" w:rsidRDefault="009B02C2" w:rsidP="009B02C2">
      <w:pPr>
        <w:shd w:val="clear" w:color="auto" w:fill="FFFFFF"/>
        <w:spacing w:after="0" w:line="240" w:lineRule="auto"/>
        <w:ind w:left="567" w:right="567"/>
        <w:jc w:val="both"/>
        <w:rPr>
          <w:rFonts w:ascii="Arial" w:eastAsia="Times New Roman" w:hAnsi="Arial" w:cs="Arial"/>
          <w:sz w:val="24"/>
          <w:szCs w:val="24"/>
          <w:lang w:val="es-ES" w:eastAsia="es-ES"/>
        </w:rPr>
      </w:pPr>
      <w:r w:rsidRPr="00CF2780">
        <w:rPr>
          <w:rFonts w:ascii="Arial" w:eastAsia="Times New Roman" w:hAnsi="Arial" w:cs="Arial"/>
          <w:b/>
          <w:sz w:val="24"/>
          <w:szCs w:val="24"/>
          <w:lang w:val="es-ES" w:eastAsia="es-ES"/>
        </w:rPr>
        <w:t>4. La consulta debía ser de buena fe, dentro de un proceso que genere confianza entre las partes,</w:t>
      </w:r>
      <w:r w:rsidRPr="00CF2780">
        <w:rPr>
          <w:rFonts w:ascii="Arial" w:eastAsia="Times New Roman" w:hAnsi="Arial" w:cs="Arial"/>
          <w:sz w:val="24"/>
          <w:szCs w:val="24"/>
          <w:lang w:val="es-ES" w:eastAsia="es-ES"/>
        </w:rPr>
        <w:t xml:space="preserve"> lo que responde a la exigencia de cumplir con el objetivo último de esa obligación, al ser concebida la consulta como un verdadero instrumento de participación que debía responder al objetivo último de establecer un dialogo entre las partes, basado en principios de confianza y respeto mutuos, y con miras a alcanzar un consenso entre las mismas; dentro de ese contexto la buena fe obligaba a sostener respeto, lealtad y honradez, tanto en el ejercicio de un derecho como en el cumplimiento de un deber.</w:t>
      </w:r>
    </w:p>
    <w:p w14:paraId="00E9AC24" w14:textId="77777777" w:rsidR="009B02C2" w:rsidRPr="00CF2780" w:rsidRDefault="009B02C2" w:rsidP="009B02C2">
      <w:pPr>
        <w:shd w:val="clear" w:color="auto" w:fill="FFFFFF"/>
        <w:spacing w:after="0" w:line="240" w:lineRule="auto"/>
        <w:ind w:left="567" w:right="567"/>
        <w:jc w:val="both"/>
        <w:rPr>
          <w:rFonts w:ascii="Arial" w:eastAsia="Times New Roman" w:hAnsi="Arial" w:cs="Arial"/>
          <w:sz w:val="24"/>
          <w:szCs w:val="24"/>
          <w:lang w:val="es-ES" w:eastAsia="es-ES"/>
        </w:rPr>
      </w:pPr>
    </w:p>
    <w:p w14:paraId="1F7D9083" w14:textId="77777777" w:rsidR="009B02C2" w:rsidRPr="00CF2780" w:rsidRDefault="009B02C2" w:rsidP="009B02C2">
      <w:pPr>
        <w:shd w:val="clear" w:color="auto" w:fill="FFFFFF"/>
        <w:spacing w:after="0" w:line="240" w:lineRule="auto"/>
        <w:ind w:left="567" w:right="567"/>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De lo que se desprende que, tanto las autoridades del Instituto Electoral de Michoacán como los miembros de las comisiones designadas por las comunidades de San Francisco Cherán, Santa Cruz Tanaco, debían realizar todo los esfuerzos para generar un clima de confianza y respeto mutuos en el que la consulta se llevara a cabo de buena fe y, eso requería que existiera un cierto nivel de aceptación mutua por las partes acerca del mismo procedimiento de consulta, con independencia de cuáles pudieran ser las posiciones sustantivas dentro del procedimiento.</w:t>
      </w:r>
    </w:p>
    <w:p w14:paraId="2F1DA43E" w14:textId="77777777" w:rsidR="009B02C2" w:rsidRPr="00CF2780" w:rsidRDefault="009B02C2" w:rsidP="009B02C2">
      <w:pPr>
        <w:shd w:val="clear" w:color="auto" w:fill="FFFFFF"/>
        <w:spacing w:after="0" w:line="240" w:lineRule="auto"/>
        <w:ind w:left="567" w:right="567"/>
        <w:jc w:val="both"/>
        <w:rPr>
          <w:rFonts w:ascii="Arial" w:eastAsia="Times New Roman" w:hAnsi="Arial" w:cs="Arial"/>
          <w:sz w:val="24"/>
          <w:szCs w:val="24"/>
          <w:lang w:val="es-ES" w:eastAsia="es-ES"/>
        </w:rPr>
      </w:pPr>
    </w:p>
    <w:p w14:paraId="1F32BBC6" w14:textId="77777777" w:rsidR="009B02C2" w:rsidRPr="00CF2780" w:rsidRDefault="009B02C2" w:rsidP="009B02C2">
      <w:pPr>
        <w:shd w:val="clear" w:color="auto" w:fill="FFFFFF"/>
        <w:spacing w:after="0" w:line="240" w:lineRule="auto"/>
        <w:ind w:left="567" w:right="567"/>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lastRenderedPageBreak/>
        <w:t>Así, desde el objetivo de la consulta, ésta debía tomarse como una oportunidad para abrir el dialogo en torno a los puntos que fueron sido [</w:t>
      </w:r>
      <w:r w:rsidRPr="00CF2780">
        <w:rPr>
          <w:rFonts w:ascii="Arial" w:eastAsia="Times New Roman" w:hAnsi="Arial" w:cs="Arial"/>
          <w:i/>
          <w:sz w:val="24"/>
          <w:szCs w:val="24"/>
          <w:lang w:val="es-ES" w:eastAsia="es-ES"/>
        </w:rPr>
        <w:t>sic</w:t>
      </w:r>
      <w:r w:rsidRPr="00CF2780">
        <w:rPr>
          <w:rFonts w:ascii="Arial" w:eastAsia="Times New Roman" w:hAnsi="Arial" w:cs="Arial"/>
          <w:sz w:val="24"/>
          <w:szCs w:val="24"/>
          <w:lang w:val="es-ES" w:eastAsia="es-ES"/>
        </w:rPr>
        <w:t>] ordenados por la Sala Superior, a la luz de los derechos internacionalmente reconocidos, para acercar posturas divergentes y para propiciar una mayor participación e inclusión de los pueblos indígenas.</w:t>
      </w:r>
    </w:p>
    <w:p w14:paraId="785A6392" w14:textId="77777777" w:rsidR="009B02C2" w:rsidRPr="00CF2780" w:rsidRDefault="009B02C2" w:rsidP="009B02C2">
      <w:pPr>
        <w:shd w:val="clear" w:color="auto" w:fill="FFFFFF"/>
        <w:spacing w:after="0" w:line="240" w:lineRule="auto"/>
        <w:ind w:left="567" w:right="567"/>
        <w:jc w:val="both"/>
        <w:rPr>
          <w:rFonts w:ascii="Arial" w:eastAsia="Times New Roman" w:hAnsi="Arial" w:cs="Arial"/>
          <w:sz w:val="24"/>
          <w:szCs w:val="24"/>
          <w:lang w:val="es-ES" w:eastAsia="es-ES"/>
        </w:rPr>
      </w:pPr>
    </w:p>
    <w:p w14:paraId="3EAAC8EB" w14:textId="77777777" w:rsidR="009B02C2" w:rsidRPr="00CF2780" w:rsidRDefault="009B02C2" w:rsidP="009B02C2">
      <w:pPr>
        <w:shd w:val="clear" w:color="auto" w:fill="FFFFFF"/>
        <w:spacing w:after="0" w:line="240" w:lineRule="auto"/>
        <w:ind w:left="567" w:right="567"/>
        <w:jc w:val="both"/>
        <w:rPr>
          <w:rFonts w:ascii="Arial" w:eastAsia="Times New Roman" w:hAnsi="Arial" w:cs="Arial"/>
          <w:sz w:val="24"/>
          <w:szCs w:val="24"/>
          <w:lang w:val="es-ES" w:eastAsia="es-ES"/>
        </w:rPr>
      </w:pPr>
      <w:r w:rsidRPr="00CF2780">
        <w:rPr>
          <w:rFonts w:ascii="Arial" w:eastAsia="Times New Roman" w:hAnsi="Arial" w:cs="Arial"/>
          <w:b/>
          <w:sz w:val="24"/>
          <w:szCs w:val="24"/>
          <w:lang w:val="es-ES" w:eastAsia="es-ES"/>
        </w:rPr>
        <w:t>5. La consulta debía ser adecuada y a través las instituciones representativas indígenas</w:t>
      </w:r>
      <w:r w:rsidRPr="00CF2780">
        <w:rPr>
          <w:rFonts w:ascii="Arial" w:eastAsia="Times New Roman" w:hAnsi="Arial" w:cs="Arial"/>
          <w:sz w:val="24"/>
          <w:szCs w:val="24"/>
          <w:lang w:val="es-ES" w:eastAsia="es-ES"/>
        </w:rPr>
        <w:t>, ello en cumplimiento al Convenio 169 y a la Declaración; que imponen la obligación al estado de consultar con los pueblos indígenas según sus costumbres y tradiciones, tomando en cuenta los métodos tradicionales del pueblo para la toma de decisiones; lo que depende en gran medida del ámbito o alcance de la medida especifica que es objeto de la consulta y de la finalidad de la misma; por lo que, en cuanto al propio proceso de consulta, se tomó en cuenta la opinión de los integrantes de las comisiones que fueron designadas en las comunidades de San Francisco Cherán y Santa Cruz Tanaco, sobre el procedimiento a utilizarse; de tal manera que éste fuese apropiado para todas las partes.</w:t>
      </w:r>
    </w:p>
    <w:p w14:paraId="38EABEC1" w14:textId="77777777" w:rsidR="009B02C2" w:rsidRPr="00CF2780" w:rsidRDefault="009B02C2" w:rsidP="009B02C2">
      <w:pPr>
        <w:shd w:val="clear" w:color="auto" w:fill="FFFFFF"/>
        <w:spacing w:after="0" w:line="240" w:lineRule="auto"/>
        <w:ind w:left="567" w:right="567"/>
        <w:jc w:val="both"/>
        <w:rPr>
          <w:rFonts w:ascii="Arial" w:eastAsia="Times New Roman" w:hAnsi="Arial" w:cs="Arial"/>
          <w:sz w:val="24"/>
          <w:szCs w:val="24"/>
          <w:lang w:val="es-ES" w:eastAsia="es-ES"/>
        </w:rPr>
      </w:pPr>
    </w:p>
    <w:p w14:paraId="20A4D4B9" w14:textId="77777777" w:rsidR="009B02C2" w:rsidRPr="00CF2780" w:rsidRDefault="009B02C2" w:rsidP="009B02C2">
      <w:pPr>
        <w:shd w:val="clear" w:color="auto" w:fill="FFFFFF"/>
        <w:spacing w:after="0" w:line="240" w:lineRule="auto"/>
        <w:ind w:left="567" w:right="567"/>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Así, el criterio de representatividad debe entenderse de forma flexible, dada la diversidad de usos y costumbres que imperan tanto en la comunidad de San Francisco Cherán como en la de Santa Cruz Tanaco; en razón de que los instrumentos internacionales no imponen un modelo de institución representativa; ante eso debían incluirse distintas formas de organización indígena y, conforme a los principios de proporcionalidad y no discriminación deben responder a una pluralidad de perspectivas de identificación, geográficas y de género.</w:t>
      </w:r>
    </w:p>
    <w:p w14:paraId="6E81722E" w14:textId="77777777" w:rsidR="009B02C2" w:rsidRPr="00CF2780" w:rsidRDefault="009B02C2" w:rsidP="009B02C2">
      <w:pPr>
        <w:shd w:val="clear" w:color="auto" w:fill="FFFFFF"/>
        <w:spacing w:after="0" w:line="240" w:lineRule="auto"/>
        <w:ind w:left="567" w:right="567"/>
        <w:jc w:val="both"/>
        <w:rPr>
          <w:rFonts w:ascii="Arial" w:eastAsia="Times New Roman" w:hAnsi="Arial" w:cs="Arial"/>
          <w:sz w:val="24"/>
          <w:szCs w:val="24"/>
          <w:lang w:val="es-ES" w:eastAsia="es-ES"/>
        </w:rPr>
      </w:pPr>
    </w:p>
    <w:p w14:paraId="770638A8" w14:textId="77777777" w:rsidR="009B02C2" w:rsidRPr="00CF2780" w:rsidRDefault="009B02C2" w:rsidP="009B02C2">
      <w:pPr>
        <w:shd w:val="clear" w:color="auto" w:fill="FFFFFF"/>
        <w:spacing w:after="0" w:line="240" w:lineRule="auto"/>
        <w:ind w:left="567" w:right="567"/>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Razón por la cual se consenso que los habitantes del Municipio de Cherán que serían consultados debían ser los mayores de 18 años y, que su participación sería de la forma tradicional en que se acostumbra en las asambleas; es decir, la mesa conformada por sus autoridades tradicionales, quienes dirigirían la asamblea, con la presencia de dos representantes del Instituto Electoral de Michoacán; un grupo de personas responsable del registro y otro más de llevar a cabo el escrutinio; los cuales se conformaron por habitantes de ambas comunidades y personal designado por la Comisión Especial del Instituto.</w:t>
      </w:r>
    </w:p>
    <w:p w14:paraId="44B87F3D" w14:textId="77777777" w:rsidR="009B02C2" w:rsidRPr="00CF2780" w:rsidRDefault="009B02C2" w:rsidP="009B02C2">
      <w:pPr>
        <w:shd w:val="clear" w:color="auto" w:fill="FFFFFF"/>
        <w:spacing w:after="0" w:line="240" w:lineRule="auto"/>
        <w:ind w:left="567" w:right="567"/>
        <w:jc w:val="both"/>
        <w:rPr>
          <w:rFonts w:ascii="Arial" w:eastAsia="Times New Roman" w:hAnsi="Arial" w:cs="Arial"/>
          <w:sz w:val="24"/>
          <w:szCs w:val="24"/>
          <w:lang w:val="es-ES" w:eastAsia="es-ES"/>
        </w:rPr>
      </w:pPr>
    </w:p>
    <w:p w14:paraId="74F62AE3" w14:textId="77777777" w:rsidR="009B02C2" w:rsidRPr="00CF2780" w:rsidRDefault="009B02C2" w:rsidP="009B02C2">
      <w:pPr>
        <w:shd w:val="clear" w:color="auto" w:fill="FFFFFF"/>
        <w:spacing w:after="0" w:line="240" w:lineRule="auto"/>
        <w:ind w:left="567" w:right="567"/>
        <w:jc w:val="both"/>
        <w:rPr>
          <w:rFonts w:ascii="Arial" w:eastAsia="Times New Roman" w:hAnsi="Arial" w:cs="Arial"/>
          <w:sz w:val="24"/>
          <w:szCs w:val="24"/>
          <w:lang w:val="es-ES" w:eastAsia="es-ES"/>
        </w:rPr>
      </w:pPr>
      <w:r w:rsidRPr="00CF2780">
        <w:rPr>
          <w:rFonts w:ascii="Arial" w:eastAsia="Times New Roman" w:hAnsi="Arial" w:cs="Arial"/>
          <w:b/>
          <w:sz w:val="24"/>
          <w:szCs w:val="24"/>
          <w:lang w:val="es-ES" w:eastAsia="es-ES"/>
        </w:rPr>
        <w:t>6. La consulta debía ser sistemática y transparente</w:t>
      </w:r>
      <w:r w:rsidRPr="00CF2780">
        <w:rPr>
          <w:rFonts w:ascii="Arial" w:eastAsia="Times New Roman" w:hAnsi="Arial" w:cs="Arial"/>
          <w:sz w:val="24"/>
          <w:szCs w:val="24"/>
          <w:lang w:val="es-ES" w:eastAsia="es-ES"/>
        </w:rPr>
        <w:t xml:space="preserve">, ya que debía responder a procedimientos más o menos formalizados, sistemáticos, replicables y transparentes; a fin de dotar de seguridad jurídica a todo acto del estado, así como a los objetivos de adecuación y representatividad de las consultas a los pueblos indígenas, evitando arbitrariedades y conflictos innecesarios; ante eso, dichos procedimientos deberían ser en sí mismos un proceso consensuado, con la participación activa de los pueblos indígenas; lo que se traduce en la </w:t>
      </w:r>
      <w:r w:rsidRPr="00CF2780">
        <w:rPr>
          <w:rFonts w:ascii="Arial" w:eastAsia="Times New Roman" w:hAnsi="Arial" w:cs="Arial"/>
          <w:sz w:val="24"/>
          <w:szCs w:val="24"/>
          <w:lang w:val="es-ES" w:eastAsia="es-ES"/>
        </w:rPr>
        <w:lastRenderedPageBreak/>
        <w:t>conveniencia de determinar con mayor precisión los criterios utilizados para determinar la representatividad, forma de participación y metodología utilizada; ello de conformidad el artículo 2.1, del Convenio 169.</w:t>
      </w:r>
    </w:p>
    <w:p w14:paraId="22D83D9A" w14:textId="77777777" w:rsidR="009B02C2" w:rsidRPr="00CF2780" w:rsidRDefault="009B02C2" w:rsidP="009B02C2">
      <w:pPr>
        <w:shd w:val="clear" w:color="auto" w:fill="FFFFFF"/>
        <w:spacing w:after="0" w:line="240" w:lineRule="auto"/>
        <w:ind w:left="567" w:right="567"/>
        <w:jc w:val="both"/>
        <w:rPr>
          <w:rFonts w:ascii="Arial" w:eastAsia="Times New Roman" w:hAnsi="Arial" w:cs="Arial"/>
          <w:sz w:val="24"/>
          <w:szCs w:val="24"/>
          <w:lang w:val="es-ES" w:eastAsia="es-ES"/>
        </w:rPr>
      </w:pPr>
    </w:p>
    <w:p w14:paraId="5CC00F97" w14:textId="77777777" w:rsidR="009B02C2" w:rsidRPr="00CF2780" w:rsidRDefault="009B02C2" w:rsidP="009B02C2">
      <w:pPr>
        <w:shd w:val="clear" w:color="auto" w:fill="FFFFFF"/>
        <w:spacing w:after="0" w:line="240" w:lineRule="auto"/>
        <w:ind w:left="567" w:right="567"/>
        <w:jc w:val="both"/>
        <w:rPr>
          <w:rFonts w:ascii="Arial" w:eastAsia="Times New Roman" w:hAnsi="Arial" w:cs="Arial"/>
          <w:i/>
          <w:sz w:val="24"/>
          <w:szCs w:val="24"/>
          <w:lang w:val="es-ES" w:eastAsia="es-ES"/>
        </w:rPr>
      </w:pPr>
      <w:r w:rsidRPr="00CF2780">
        <w:rPr>
          <w:rFonts w:ascii="Arial" w:eastAsia="Times New Roman" w:hAnsi="Arial" w:cs="Arial"/>
          <w:b/>
          <w:sz w:val="24"/>
          <w:szCs w:val="24"/>
          <w:lang w:val="es-ES" w:eastAsia="es-ES"/>
        </w:rPr>
        <w:t xml:space="preserve">7. El alcance de la consulta, </w:t>
      </w:r>
      <w:r w:rsidRPr="00CF2780">
        <w:rPr>
          <w:rFonts w:ascii="Arial" w:eastAsia="Times New Roman" w:hAnsi="Arial" w:cs="Arial"/>
          <w:sz w:val="24"/>
          <w:szCs w:val="24"/>
          <w:lang w:val="es-ES" w:eastAsia="es-ES"/>
        </w:rPr>
        <w:t xml:space="preserve">en el caso en particular se refiere a que ésta tiene como finalidad que se llegue a un acuerdo o lograr el consentimiento para que en el Municipio de Cherán se decida el sistema de elecciones de las autoridades municipales; esto es, como se explica en la sentencia pronunciada por la Sala Superior del Tribunal Electoral del Poder Judicial de la Federación, se debía decidir </w:t>
      </w:r>
      <w:r w:rsidRPr="00CF2780">
        <w:rPr>
          <w:rFonts w:ascii="Arial" w:eastAsia="Times New Roman" w:hAnsi="Arial" w:cs="Arial"/>
          <w:i/>
          <w:sz w:val="24"/>
          <w:szCs w:val="24"/>
          <w:lang w:val="es-ES" w:eastAsia="es-ES"/>
        </w:rPr>
        <w:t>si la mayoría de los integrantes de la comunidad indígena de Cherán están de acuerdo en celebrar elecciones por el sistema de usos y costumbres.</w:t>
      </w:r>
      <w:r w:rsidRPr="00CF2780">
        <w:rPr>
          <w:rFonts w:ascii="Arial" w:eastAsia="Times New Roman" w:hAnsi="Arial" w:cs="Arial"/>
          <w:sz w:val="24"/>
          <w:szCs w:val="24"/>
          <w:lang w:val="es-ES" w:eastAsia="es-ES"/>
        </w:rPr>
        <w:t>”</w:t>
      </w:r>
    </w:p>
    <w:p w14:paraId="4F22FB1B"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0C082031"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¿Cómo se llevó a cabo el procedimiento de la consulta impugnada?</w:t>
      </w:r>
    </w:p>
    <w:p w14:paraId="2EC7A210"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3BA1045F"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Al efecto, en el cuadro siguiente se resume, en lo que interesa, la información obrante en autos: </w:t>
      </w:r>
    </w:p>
    <w:p w14:paraId="2B319212"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3437"/>
        <w:gridCol w:w="2354"/>
      </w:tblGrid>
      <w:tr w:rsidR="009B02C2" w:rsidRPr="00CF2780" w14:paraId="65671F2E" w14:textId="77777777" w:rsidTr="00B05F31">
        <w:tc>
          <w:tcPr>
            <w:tcW w:w="2414" w:type="dxa"/>
          </w:tcPr>
          <w:p w14:paraId="27BD830C" w14:textId="77777777" w:rsidR="009B02C2" w:rsidRPr="00CF2780" w:rsidRDefault="009B02C2" w:rsidP="009B02C2">
            <w:pPr>
              <w:spacing w:after="0" w:line="240" w:lineRule="auto"/>
              <w:jc w:val="center"/>
              <w:rPr>
                <w:rFonts w:ascii="Arial" w:eastAsia="Times New Roman" w:hAnsi="Arial" w:cs="Arial"/>
                <w:i/>
                <w:sz w:val="28"/>
                <w:szCs w:val="28"/>
                <w:lang w:val="es-ES" w:eastAsia="es-ES"/>
              </w:rPr>
            </w:pPr>
            <w:r w:rsidRPr="00CF2780">
              <w:rPr>
                <w:rFonts w:ascii="Arial" w:eastAsia="Times New Roman" w:hAnsi="Arial" w:cs="Arial"/>
                <w:i/>
                <w:sz w:val="28"/>
                <w:szCs w:val="28"/>
                <w:lang w:val="es-ES" w:eastAsia="es-ES"/>
              </w:rPr>
              <w:t xml:space="preserve">Etapa </w:t>
            </w:r>
          </w:p>
        </w:tc>
        <w:tc>
          <w:tcPr>
            <w:tcW w:w="3437" w:type="dxa"/>
          </w:tcPr>
          <w:p w14:paraId="2C593A47" w14:textId="77777777" w:rsidR="009B02C2" w:rsidRPr="00CF2780" w:rsidRDefault="009B02C2" w:rsidP="009B02C2">
            <w:pPr>
              <w:spacing w:after="0" w:line="240" w:lineRule="auto"/>
              <w:jc w:val="center"/>
              <w:rPr>
                <w:rFonts w:ascii="Arial" w:eastAsia="Times New Roman" w:hAnsi="Arial" w:cs="Arial"/>
                <w:i/>
                <w:sz w:val="28"/>
                <w:szCs w:val="28"/>
                <w:lang w:val="es-ES" w:eastAsia="es-ES"/>
              </w:rPr>
            </w:pPr>
            <w:r w:rsidRPr="00CF2780">
              <w:rPr>
                <w:rFonts w:ascii="Arial" w:eastAsia="Times New Roman" w:hAnsi="Arial" w:cs="Arial"/>
                <w:i/>
                <w:sz w:val="28"/>
                <w:szCs w:val="28"/>
                <w:lang w:val="es-ES" w:eastAsia="es-ES"/>
              </w:rPr>
              <w:t>Hechos</w:t>
            </w:r>
          </w:p>
        </w:tc>
        <w:tc>
          <w:tcPr>
            <w:tcW w:w="2354" w:type="dxa"/>
          </w:tcPr>
          <w:p w14:paraId="761D843D" w14:textId="77777777" w:rsidR="009B02C2" w:rsidRPr="00CF2780" w:rsidRDefault="009B02C2" w:rsidP="009B02C2">
            <w:pPr>
              <w:spacing w:after="0" w:line="360" w:lineRule="auto"/>
              <w:jc w:val="center"/>
              <w:rPr>
                <w:rFonts w:ascii="Arial" w:eastAsia="Times New Roman" w:hAnsi="Arial" w:cs="Arial"/>
                <w:i/>
                <w:sz w:val="28"/>
                <w:szCs w:val="28"/>
                <w:lang w:val="es-ES" w:eastAsia="es-ES"/>
              </w:rPr>
            </w:pPr>
            <w:r w:rsidRPr="00CF2780">
              <w:rPr>
                <w:rFonts w:ascii="Arial" w:eastAsia="Times New Roman" w:hAnsi="Arial" w:cs="Arial"/>
                <w:i/>
                <w:sz w:val="28"/>
                <w:szCs w:val="28"/>
                <w:lang w:val="es-ES" w:eastAsia="es-ES"/>
              </w:rPr>
              <w:t>Observación</w:t>
            </w:r>
          </w:p>
        </w:tc>
      </w:tr>
      <w:tr w:rsidR="009B02C2" w:rsidRPr="00CF2780" w14:paraId="69834653" w14:textId="77777777" w:rsidTr="00B05F31">
        <w:tc>
          <w:tcPr>
            <w:tcW w:w="2414" w:type="dxa"/>
          </w:tcPr>
          <w:p w14:paraId="40240DD7" w14:textId="77777777" w:rsidR="009B02C2" w:rsidRPr="00CF2780" w:rsidRDefault="009B02C2" w:rsidP="009B02C2">
            <w:pPr>
              <w:spacing w:after="0" w:line="240" w:lineRule="auto"/>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1</w:t>
            </w:r>
            <w:r w:rsidRPr="00CF2780">
              <w:rPr>
                <w:rFonts w:ascii="Arial" w:eastAsia="Times New Roman" w:hAnsi="Arial" w:cs="Arial"/>
                <w:sz w:val="28"/>
                <w:szCs w:val="28"/>
                <w:lang w:val="es-ES" w:eastAsia="es-ES"/>
              </w:rPr>
              <w:t>. Preparación: Encuentros con los ciudadanos</w:t>
            </w:r>
          </w:p>
        </w:tc>
        <w:tc>
          <w:tcPr>
            <w:tcW w:w="3437" w:type="dxa"/>
          </w:tcPr>
          <w:p w14:paraId="4233BAAF" w14:textId="77777777" w:rsidR="009B02C2" w:rsidRPr="00CF2780" w:rsidRDefault="009B02C2" w:rsidP="009B02C2">
            <w:pPr>
              <w:spacing w:after="0" w:line="24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Integrantes de la Comisión Especial  sostuvieron encuentros y reuniones con los comuneros que demandaron elecciones bajo sistemas de usos y costumbres de la cabecera municipal de Cherán y que diera origen al juicio para la protección de los derechos político-electorales del ciudadano SUP-JDC-9167/2011, haciendo notar que dicha comunidad formuló diversas propuestas para el procedimiento de </w:t>
            </w:r>
            <w:r w:rsidRPr="00CF2780">
              <w:rPr>
                <w:rFonts w:ascii="Arial" w:eastAsia="Times New Roman" w:hAnsi="Arial" w:cs="Arial"/>
                <w:sz w:val="28"/>
                <w:szCs w:val="28"/>
                <w:lang w:val="es-ES" w:eastAsia="es-ES"/>
              </w:rPr>
              <w:lastRenderedPageBreak/>
              <w:t>consulta; así como con los comuneros que se manifestaron contrarios a los promoventes del juicio. De igual forma se mantuvieron reuniones con los comuneros de la tenencia de Santa Cruz Tanaco, con quienes se llegó a ciertos acuerdos sobre la forma de efectuar la asamblea informativa, así como la forma y mecánica de realizar la asamblea.</w:t>
            </w:r>
          </w:p>
          <w:p w14:paraId="558DB3A6" w14:textId="77777777" w:rsidR="009B02C2" w:rsidRPr="00CF2780" w:rsidRDefault="009B02C2" w:rsidP="009B02C2">
            <w:pPr>
              <w:spacing w:after="0" w:line="240" w:lineRule="auto"/>
              <w:jc w:val="both"/>
              <w:rPr>
                <w:rFonts w:ascii="Arial" w:eastAsia="Times New Roman" w:hAnsi="Arial" w:cs="Arial"/>
                <w:sz w:val="28"/>
                <w:szCs w:val="28"/>
                <w:lang w:val="es-ES" w:eastAsia="es-ES"/>
              </w:rPr>
            </w:pPr>
          </w:p>
        </w:tc>
        <w:tc>
          <w:tcPr>
            <w:tcW w:w="2354" w:type="dxa"/>
          </w:tcPr>
          <w:p w14:paraId="3831CC9C"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tc>
      </w:tr>
      <w:tr w:rsidR="009B02C2" w:rsidRPr="00CF2780" w14:paraId="2FCA19E1" w14:textId="77777777" w:rsidTr="00B05F31">
        <w:tc>
          <w:tcPr>
            <w:tcW w:w="2414" w:type="dxa"/>
          </w:tcPr>
          <w:p w14:paraId="6C2DCD32" w14:textId="77777777" w:rsidR="009B02C2" w:rsidRPr="00CF2780" w:rsidRDefault="009B02C2" w:rsidP="009B02C2">
            <w:pPr>
              <w:spacing w:after="0" w:line="240" w:lineRule="auto"/>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lastRenderedPageBreak/>
              <w:t>2</w:t>
            </w:r>
            <w:r w:rsidRPr="00CF2780">
              <w:rPr>
                <w:rFonts w:ascii="Arial" w:eastAsia="Times New Roman" w:hAnsi="Arial" w:cs="Arial"/>
                <w:sz w:val="28"/>
                <w:szCs w:val="28"/>
                <w:lang w:val="es-ES" w:eastAsia="es-ES"/>
              </w:rPr>
              <w:t xml:space="preserve">. Integración de las Comisiones </w:t>
            </w:r>
          </w:p>
        </w:tc>
        <w:tc>
          <w:tcPr>
            <w:tcW w:w="3437" w:type="dxa"/>
          </w:tcPr>
          <w:p w14:paraId="3425D859" w14:textId="77777777" w:rsidR="009B02C2" w:rsidRPr="00CF2780" w:rsidRDefault="009B02C2" w:rsidP="009B02C2">
            <w:pPr>
              <w:spacing w:after="0" w:line="24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Se integraron las comisiones encargadas de dar seguimiento al proceso de consulta tanto en la comunidad de de San Francisco Cherán como en la comunidad de San Francisco Tanaco. </w:t>
            </w:r>
          </w:p>
        </w:tc>
        <w:tc>
          <w:tcPr>
            <w:tcW w:w="2354" w:type="dxa"/>
          </w:tcPr>
          <w:p w14:paraId="2AE99870" w14:textId="77777777" w:rsidR="009B02C2" w:rsidRPr="00CF2780" w:rsidRDefault="009B02C2" w:rsidP="009B02C2">
            <w:pPr>
              <w:spacing w:after="0" w:line="240" w:lineRule="auto"/>
              <w:jc w:val="both"/>
              <w:rPr>
                <w:rFonts w:ascii="Arial" w:eastAsia="Times New Roman" w:hAnsi="Arial" w:cs="Arial"/>
                <w:b/>
                <w:sz w:val="28"/>
                <w:szCs w:val="28"/>
                <w:lang w:val="es-ES" w:eastAsia="es-ES"/>
              </w:rPr>
            </w:pPr>
            <w:r w:rsidRPr="00CF2780">
              <w:rPr>
                <w:rFonts w:ascii="Arial" w:eastAsia="Times New Roman" w:hAnsi="Arial" w:cs="Arial"/>
                <w:b/>
                <w:sz w:val="28"/>
                <w:szCs w:val="28"/>
                <w:lang w:val="es-ES" w:eastAsia="es-ES"/>
              </w:rPr>
              <w:t xml:space="preserve">Cabe destacar que las referidas comisiones se integraron por las propias comunidades. </w:t>
            </w:r>
          </w:p>
          <w:p w14:paraId="5E89CCD0" w14:textId="77777777" w:rsidR="009B02C2" w:rsidRPr="00CF2780" w:rsidRDefault="009B02C2" w:rsidP="009B02C2">
            <w:pPr>
              <w:spacing w:after="0" w:line="240" w:lineRule="auto"/>
              <w:jc w:val="both"/>
              <w:rPr>
                <w:rFonts w:ascii="Arial" w:eastAsia="Times New Roman" w:hAnsi="Arial" w:cs="Arial"/>
                <w:b/>
                <w:sz w:val="28"/>
                <w:szCs w:val="28"/>
                <w:lang w:val="es-ES" w:eastAsia="es-ES"/>
              </w:rPr>
            </w:pPr>
          </w:p>
          <w:p w14:paraId="67833661" w14:textId="77777777" w:rsidR="009B02C2" w:rsidRPr="00CF2780" w:rsidRDefault="009B02C2" w:rsidP="009B02C2">
            <w:pPr>
              <w:spacing w:after="0" w:line="240" w:lineRule="auto"/>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(Folder 2 de autos.)</w:t>
            </w:r>
            <w:r w:rsidRPr="00CF2780">
              <w:rPr>
                <w:rFonts w:ascii="Arial" w:eastAsia="Times New Roman" w:hAnsi="Arial" w:cs="Arial"/>
                <w:sz w:val="28"/>
                <w:szCs w:val="28"/>
                <w:lang w:val="es-ES" w:eastAsia="es-ES"/>
              </w:rPr>
              <w:t xml:space="preserve"> </w:t>
            </w:r>
          </w:p>
        </w:tc>
      </w:tr>
      <w:tr w:rsidR="009B02C2" w:rsidRPr="00CF2780" w14:paraId="671C0597" w14:textId="77777777" w:rsidTr="00B05F31">
        <w:tc>
          <w:tcPr>
            <w:tcW w:w="2414" w:type="dxa"/>
          </w:tcPr>
          <w:p w14:paraId="774FA321" w14:textId="77777777" w:rsidR="009B02C2" w:rsidRPr="00CF2780" w:rsidRDefault="009B02C2" w:rsidP="009B02C2">
            <w:pPr>
              <w:spacing w:after="0" w:line="240" w:lineRule="auto"/>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3</w:t>
            </w:r>
            <w:r w:rsidRPr="00CF2780">
              <w:rPr>
                <w:rFonts w:ascii="Arial" w:eastAsia="Times New Roman" w:hAnsi="Arial" w:cs="Arial"/>
                <w:sz w:val="28"/>
                <w:szCs w:val="28"/>
                <w:lang w:val="es-ES" w:eastAsia="es-ES"/>
              </w:rPr>
              <w:t>. Aprobación de los calendarios para las pláticas informativas y las consultas</w:t>
            </w:r>
          </w:p>
        </w:tc>
        <w:tc>
          <w:tcPr>
            <w:tcW w:w="3437" w:type="dxa"/>
          </w:tcPr>
          <w:p w14:paraId="45321363" w14:textId="77777777" w:rsidR="009B02C2" w:rsidRPr="00CF2780" w:rsidRDefault="009B02C2" w:rsidP="009B02C2">
            <w:pPr>
              <w:spacing w:after="0" w:line="24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El nueve de diciembre de dos mil once, mediante acuerdo del Consejo General, número CG-154/2011, se aprobó el calendario en el que se llevarían a cabo las asambleas informativas y las consultas, así como la publicación de las convocatorias tanto para las pláticas informativas como para las consultas que deberían publicitarse </w:t>
            </w:r>
            <w:r w:rsidRPr="00CF2780">
              <w:rPr>
                <w:rFonts w:ascii="Arial" w:eastAsia="Times New Roman" w:hAnsi="Arial" w:cs="Arial"/>
                <w:sz w:val="28"/>
                <w:szCs w:val="28"/>
                <w:lang w:val="es-ES" w:eastAsia="es-ES"/>
              </w:rPr>
              <w:lastRenderedPageBreak/>
              <w:t xml:space="preserve">en las comunidades de San Francisco Cherán y Santa Cruz Tanaco, pertenecientes al Municipio de Cherán, Michoacán. </w:t>
            </w:r>
          </w:p>
          <w:p w14:paraId="2D1E941C" w14:textId="77777777" w:rsidR="009B02C2" w:rsidRPr="00CF2780" w:rsidRDefault="009B02C2" w:rsidP="009B02C2">
            <w:pPr>
              <w:spacing w:after="0" w:line="240" w:lineRule="auto"/>
              <w:jc w:val="both"/>
              <w:rPr>
                <w:rFonts w:ascii="Arial" w:eastAsia="Times New Roman" w:hAnsi="Arial" w:cs="Arial"/>
                <w:sz w:val="28"/>
                <w:szCs w:val="28"/>
                <w:lang w:val="es-ES" w:eastAsia="es-ES"/>
              </w:rPr>
            </w:pPr>
          </w:p>
        </w:tc>
        <w:tc>
          <w:tcPr>
            <w:tcW w:w="2354" w:type="dxa"/>
          </w:tcPr>
          <w:p w14:paraId="0924B32B" w14:textId="77777777" w:rsidR="009B02C2" w:rsidRPr="00CF2780" w:rsidRDefault="009B02C2" w:rsidP="009B02C2">
            <w:pPr>
              <w:spacing w:after="0" w:line="240" w:lineRule="auto"/>
              <w:jc w:val="both"/>
              <w:rPr>
                <w:rFonts w:ascii="Arial" w:eastAsia="Times New Roman" w:hAnsi="Arial" w:cs="Arial"/>
                <w:b/>
                <w:sz w:val="28"/>
                <w:szCs w:val="28"/>
                <w:lang w:val="es-ES" w:eastAsia="es-ES"/>
              </w:rPr>
            </w:pPr>
            <w:r w:rsidRPr="00CF2780">
              <w:rPr>
                <w:rFonts w:ascii="Arial" w:eastAsia="Times New Roman" w:hAnsi="Arial" w:cs="Arial"/>
                <w:b/>
                <w:sz w:val="28"/>
                <w:szCs w:val="28"/>
                <w:lang w:val="es-ES" w:eastAsia="es-ES"/>
              </w:rPr>
              <w:lastRenderedPageBreak/>
              <w:t xml:space="preserve">Copia certificada del referido acuerdo se entregó a las comisiones encargadas de dar seguimiento al proceso de consulta tanto en la comunidad de de San </w:t>
            </w:r>
            <w:r w:rsidRPr="00CF2780">
              <w:rPr>
                <w:rFonts w:ascii="Arial" w:eastAsia="Times New Roman" w:hAnsi="Arial" w:cs="Arial"/>
                <w:b/>
                <w:sz w:val="28"/>
                <w:szCs w:val="28"/>
                <w:lang w:val="es-ES" w:eastAsia="es-ES"/>
              </w:rPr>
              <w:lastRenderedPageBreak/>
              <w:t>Francisco Cherán como en la comunidad de San Francisco Tanaco.</w:t>
            </w:r>
          </w:p>
          <w:p w14:paraId="5FFA268D" w14:textId="77777777" w:rsidR="009B02C2" w:rsidRPr="00CF2780" w:rsidRDefault="009B02C2" w:rsidP="009B02C2">
            <w:pPr>
              <w:spacing w:after="0" w:line="240" w:lineRule="auto"/>
              <w:jc w:val="both"/>
              <w:rPr>
                <w:rFonts w:ascii="Arial" w:eastAsia="Times New Roman" w:hAnsi="Arial" w:cs="Arial"/>
                <w:b/>
                <w:sz w:val="28"/>
                <w:szCs w:val="28"/>
                <w:lang w:val="es-ES" w:eastAsia="es-ES"/>
              </w:rPr>
            </w:pPr>
          </w:p>
          <w:p w14:paraId="1AA5D654" w14:textId="77777777" w:rsidR="009B02C2" w:rsidRPr="00CF2780" w:rsidRDefault="009B02C2" w:rsidP="009B02C2">
            <w:pPr>
              <w:spacing w:after="0" w:line="240" w:lineRule="auto"/>
              <w:jc w:val="both"/>
              <w:rPr>
                <w:rFonts w:ascii="Arial" w:eastAsia="Times New Roman" w:hAnsi="Arial" w:cs="Arial"/>
                <w:b/>
                <w:sz w:val="28"/>
                <w:szCs w:val="28"/>
                <w:lang w:val="es-ES" w:eastAsia="es-ES"/>
              </w:rPr>
            </w:pPr>
            <w:r w:rsidRPr="00CF2780">
              <w:rPr>
                <w:rFonts w:ascii="Arial" w:eastAsia="Times New Roman" w:hAnsi="Arial" w:cs="Arial"/>
                <w:b/>
                <w:sz w:val="28"/>
                <w:szCs w:val="28"/>
                <w:lang w:val="es-ES" w:eastAsia="es-ES"/>
              </w:rPr>
              <w:t xml:space="preserve">(Folder 2 de autos.) </w:t>
            </w:r>
          </w:p>
        </w:tc>
      </w:tr>
      <w:tr w:rsidR="009B02C2" w:rsidRPr="00CF2780" w14:paraId="4CBD5192" w14:textId="77777777" w:rsidTr="00B05F31">
        <w:tc>
          <w:tcPr>
            <w:tcW w:w="2414" w:type="dxa"/>
          </w:tcPr>
          <w:p w14:paraId="390F7116" w14:textId="77777777" w:rsidR="009B02C2" w:rsidRPr="00CF2780" w:rsidRDefault="009B02C2" w:rsidP="009B02C2">
            <w:pPr>
              <w:spacing w:after="0" w:line="240" w:lineRule="auto"/>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lastRenderedPageBreak/>
              <w:t>4</w:t>
            </w:r>
            <w:r w:rsidRPr="00CF2780">
              <w:rPr>
                <w:rFonts w:ascii="Arial" w:eastAsia="Times New Roman" w:hAnsi="Arial" w:cs="Arial"/>
                <w:sz w:val="28"/>
                <w:szCs w:val="28"/>
                <w:lang w:val="es-ES" w:eastAsia="es-ES"/>
              </w:rPr>
              <w:t>. Divulgación de las convocatorias respectivas</w:t>
            </w:r>
          </w:p>
        </w:tc>
        <w:tc>
          <w:tcPr>
            <w:tcW w:w="3437" w:type="dxa"/>
          </w:tcPr>
          <w:p w14:paraId="20721CCE" w14:textId="77777777" w:rsidR="009B02C2" w:rsidRPr="00CF2780" w:rsidRDefault="009B02C2" w:rsidP="009B02C2">
            <w:pPr>
              <w:shd w:val="clear" w:color="auto" w:fill="FFFFFF"/>
              <w:spacing w:after="0" w:line="24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Las convocatorias fueron publicitadas conforme se ordenó en dicho acuerdo en los lugares públicos de la Cabecera Municipal de Cherán y en la Tenencia de Santa Cruz Tanaco, además se le dio amplia difusión a través de los siguientes medios:</w:t>
            </w:r>
          </w:p>
          <w:p w14:paraId="54C7CD12" w14:textId="77777777" w:rsidR="009B02C2" w:rsidRPr="00CF2780" w:rsidRDefault="009B02C2" w:rsidP="009B02C2">
            <w:pPr>
              <w:shd w:val="clear" w:color="auto" w:fill="FFFFFF"/>
              <w:spacing w:after="0" w:line="240" w:lineRule="auto"/>
              <w:jc w:val="both"/>
              <w:rPr>
                <w:rFonts w:ascii="Arial" w:eastAsia="Times New Roman" w:hAnsi="Arial" w:cs="Arial"/>
                <w:sz w:val="28"/>
                <w:szCs w:val="28"/>
                <w:lang w:val="es-ES" w:eastAsia="es-ES"/>
              </w:rPr>
            </w:pPr>
          </w:p>
          <w:p w14:paraId="10131B43" w14:textId="77777777" w:rsidR="009B02C2" w:rsidRPr="00CF2780" w:rsidRDefault="009B02C2" w:rsidP="009B02C2">
            <w:pPr>
              <w:shd w:val="clear" w:color="auto" w:fill="FFFFFF"/>
              <w:spacing w:after="0" w:line="24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En las páginas del Instituto Electoral de Michoacán, </w:t>
            </w:r>
            <w:hyperlink r:id="rId25" w:history="1">
              <w:r w:rsidRPr="00CF2780">
                <w:rPr>
                  <w:rFonts w:ascii="Arial" w:eastAsia="Times New Roman" w:hAnsi="Arial" w:cs="Arial"/>
                  <w:color w:val="762123"/>
                  <w:sz w:val="28"/>
                  <w:szCs w:val="28"/>
                  <w:lang w:val="es-ES" w:eastAsia="es-ES"/>
                </w:rPr>
                <w:t>http://www.iem.org.mx/</w:t>
              </w:r>
            </w:hyperlink>
            <w:r w:rsidRPr="00CF2780">
              <w:rPr>
                <w:rFonts w:ascii="Arial" w:eastAsia="Times New Roman" w:hAnsi="Arial" w:cs="Arial"/>
                <w:sz w:val="28"/>
                <w:szCs w:val="28"/>
                <w:lang w:val="es-ES" w:eastAsia="es-ES"/>
              </w:rPr>
              <w:t xml:space="preserve"> y en la página de Cherán, </w:t>
            </w:r>
            <w:hyperlink r:id="rId26" w:history="1">
              <w:r w:rsidRPr="00CF2780">
                <w:rPr>
                  <w:rFonts w:ascii="Arial" w:eastAsia="Times New Roman" w:hAnsi="Arial" w:cs="Arial"/>
                  <w:color w:val="762123"/>
                  <w:sz w:val="28"/>
                  <w:szCs w:val="28"/>
                  <w:lang w:val="es-ES" w:eastAsia="es-ES"/>
                </w:rPr>
                <w:t>http://www.micheran.com</w:t>
              </w:r>
            </w:hyperlink>
            <w:r w:rsidRPr="00CF2780">
              <w:rPr>
                <w:rFonts w:ascii="Arial" w:eastAsia="Times New Roman" w:hAnsi="Arial" w:cs="Arial"/>
                <w:sz w:val="28"/>
                <w:szCs w:val="28"/>
                <w:lang w:val="es-ES" w:eastAsia="es-ES"/>
              </w:rPr>
              <w:t xml:space="preserve">, del día 10 al 18 de diciembre de 2011. </w:t>
            </w:r>
          </w:p>
          <w:p w14:paraId="48098626" w14:textId="77777777" w:rsidR="009B02C2" w:rsidRPr="00CF2780" w:rsidRDefault="009B02C2" w:rsidP="009B02C2">
            <w:pPr>
              <w:shd w:val="clear" w:color="auto" w:fill="FFFFFF"/>
              <w:spacing w:after="0" w:line="240" w:lineRule="auto"/>
              <w:jc w:val="both"/>
              <w:rPr>
                <w:rFonts w:ascii="Arial" w:eastAsia="Times New Roman" w:hAnsi="Arial" w:cs="Arial"/>
                <w:sz w:val="28"/>
                <w:szCs w:val="28"/>
                <w:lang w:val="es-ES" w:eastAsia="es-ES"/>
              </w:rPr>
            </w:pPr>
          </w:p>
          <w:p w14:paraId="306C2B1C" w14:textId="77777777" w:rsidR="009B02C2" w:rsidRPr="00CF2780" w:rsidRDefault="009B02C2" w:rsidP="009B02C2">
            <w:pPr>
              <w:shd w:val="clear" w:color="auto" w:fill="FFFFFF"/>
              <w:spacing w:after="0" w:line="24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Se difundieron los avisos por radio XEPUR, La Voz de los Purépechas del CDI, del 10 al 18 de diciembre de 2011; la que tiene cobertura en todo el Municipio.</w:t>
            </w:r>
          </w:p>
          <w:p w14:paraId="40BE99B4" w14:textId="77777777" w:rsidR="009B02C2" w:rsidRPr="00CF2780" w:rsidRDefault="009B02C2" w:rsidP="009B02C2">
            <w:pPr>
              <w:shd w:val="clear" w:color="auto" w:fill="FFFFFF"/>
              <w:spacing w:after="0" w:line="240" w:lineRule="auto"/>
              <w:jc w:val="both"/>
              <w:rPr>
                <w:rFonts w:ascii="Arial" w:eastAsia="Times New Roman" w:hAnsi="Arial" w:cs="Arial"/>
                <w:sz w:val="28"/>
                <w:szCs w:val="28"/>
                <w:lang w:val="es-ES" w:eastAsia="es-ES"/>
              </w:rPr>
            </w:pPr>
          </w:p>
          <w:p w14:paraId="6B1B61A2" w14:textId="77777777" w:rsidR="009B02C2" w:rsidRPr="00CF2780" w:rsidRDefault="009B02C2" w:rsidP="009B02C2">
            <w:pPr>
              <w:shd w:val="clear" w:color="auto" w:fill="FFFFFF"/>
              <w:spacing w:after="0" w:line="24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A petición de la Comisión de la Comunidad indígena de San Francisco Cherán, </w:t>
            </w:r>
            <w:r w:rsidRPr="00CF2780">
              <w:rPr>
                <w:rFonts w:ascii="Arial" w:eastAsia="Times New Roman" w:hAnsi="Arial" w:cs="Arial"/>
                <w:sz w:val="28"/>
                <w:szCs w:val="28"/>
                <w:lang w:val="es-ES" w:eastAsia="es-ES"/>
              </w:rPr>
              <w:lastRenderedPageBreak/>
              <w:t xml:space="preserve">se difundieron los avisos en Radio Fogata Cherán 90.10 AM, del 10 al 18 de diciembre de 2011. </w:t>
            </w:r>
          </w:p>
          <w:p w14:paraId="147D7C7D" w14:textId="77777777" w:rsidR="009B02C2" w:rsidRPr="00CF2780" w:rsidRDefault="009B02C2" w:rsidP="009B02C2">
            <w:pPr>
              <w:shd w:val="clear" w:color="auto" w:fill="FFFFFF"/>
              <w:spacing w:after="0" w:line="240" w:lineRule="auto"/>
              <w:jc w:val="both"/>
              <w:rPr>
                <w:rFonts w:ascii="Arial" w:eastAsia="Times New Roman" w:hAnsi="Arial" w:cs="Arial"/>
                <w:sz w:val="28"/>
                <w:szCs w:val="28"/>
                <w:lang w:val="es-ES" w:eastAsia="es-ES"/>
              </w:rPr>
            </w:pPr>
          </w:p>
          <w:p w14:paraId="2D1D8BF9" w14:textId="77777777" w:rsidR="009B02C2" w:rsidRPr="00CF2780" w:rsidRDefault="009B02C2" w:rsidP="009B02C2">
            <w:pPr>
              <w:shd w:val="clear" w:color="auto" w:fill="FFFFFF"/>
              <w:spacing w:after="0" w:line="24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El perifoneo se realizó en las comunidades de San Francisco Cherán y Santa Cruz Tanaco del 10 al 18 de diciembre de 2011, además de que se colocaron convocatorias en los lugares públicos en las comunidades de San Francisco Cherán y Santa Cruz Tanaco. </w:t>
            </w:r>
          </w:p>
        </w:tc>
        <w:tc>
          <w:tcPr>
            <w:tcW w:w="2354" w:type="dxa"/>
          </w:tcPr>
          <w:p w14:paraId="618F8AA6" w14:textId="77777777" w:rsidR="009B02C2" w:rsidRPr="00CF2780" w:rsidRDefault="009B02C2" w:rsidP="009B02C2">
            <w:pPr>
              <w:spacing w:after="0" w:line="240" w:lineRule="auto"/>
              <w:jc w:val="both"/>
              <w:rPr>
                <w:rFonts w:ascii="Arial" w:eastAsia="Times New Roman" w:hAnsi="Arial" w:cs="Arial"/>
                <w:b/>
                <w:sz w:val="28"/>
                <w:szCs w:val="28"/>
                <w:lang w:val="es-ES" w:eastAsia="es-ES"/>
              </w:rPr>
            </w:pPr>
          </w:p>
          <w:p w14:paraId="5AC6EF2D" w14:textId="77777777" w:rsidR="009B02C2" w:rsidRPr="00CF2780" w:rsidRDefault="009B02C2" w:rsidP="009B02C2">
            <w:pPr>
              <w:spacing w:after="0" w:line="240" w:lineRule="auto"/>
              <w:jc w:val="both"/>
              <w:rPr>
                <w:rFonts w:ascii="Arial" w:eastAsia="Times New Roman" w:hAnsi="Arial" w:cs="Arial"/>
                <w:b/>
                <w:sz w:val="28"/>
                <w:szCs w:val="28"/>
                <w:lang w:val="es-ES" w:eastAsia="es-ES"/>
              </w:rPr>
            </w:pPr>
            <w:r w:rsidRPr="00CF2780">
              <w:rPr>
                <w:rFonts w:ascii="Arial" w:eastAsia="Times New Roman" w:hAnsi="Arial" w:cs="Arial"/>
                <w:b/>
                <w:sz w:val="28"/>
                <w:szCs w:val="28"/>
                <w:lang w:val="es-ES" w:eastAsia="es-ES"/>
              </w:rPr>
              <w:t>Las convocatorias fueron ampliamente difundidas, incluso por la radio y el perifoneo.</w:t>
            </w:r>
          </w:p>
          <w:p w14:paraId="1CD26844" w14:textId="77777777" w:rsidR="009B02C2" w:rsidRPr="00CF2780" w:rsidRDefault="009B02C2" w:rsidP="009B02C2">
            <w:pPr>
              <w:spacing w:after="0" w:line="240" w:lineRule="auto"/>
              <w:jc w:val="both"/>
              <w:rPr>
                <w:rFonts w:ascii="Arial" w:eastAsia="Times New Roman" w:hAnsi="Arial" w:cs="Arial"/>
                <w:b/>
                <w:sz w:val="28"/>
                <w:szCs w:val="28"/>
                <w:lang w:val="es-ES" w:eastAsia="es-ES"/>
              </w:rPr>
            </w:pPr>
          </w:p>
          <w:p w14:paraId="4EF6C727" w14:textId="77777777" w:rsidR="009B02C2" w:rsidRPr="00CF2780" w:rsidRDefault="009B02C2" w:rsidP="009B02C2">
            <w:pPr>
              <w:spacing w:after="0" w:line="240" w:lineRule="auto"/>
              <w:jc w:val="both"/>
              <w:rPr>
                <w:rFonts w:ascii="Arial" w:eastAsia="Times New Roman" w:hAnsi="Arial" w:cs="Arial"/>
                <w:b/>
                <w:sz w:val="28"/>
                <w:szCs w:val="28"/>
                <w:lang w:val="es-ES" w:eastAsia="es-ES"/>
              </w:rPr>
            </w:pPr>
            <w:r w:rsidRPr="00CF2780">
              <w:rPr>
                <w:rFonts w:ascii="Arial" w:eastAsia="Times New Roman" w:hAnsi="Arial" w:cs="Arial"/>
                <w:b/>
                <w:sz w:val="28"/>
                <w:szCs w:val="28"/>
                <w:lang w:val="es-ES" w:eastAsia="es-ES"/>
              </w:rPr>
              <w:t>Es preciso señalar que en las convocatorias a las consultas se precisaron los términos de las preguntas que se formularían a los ciudadanos.</w:t>
            </w:r>
          </w:p>
          <w:p w14:paraId="6C4303D3" w14:textId="77777777" w:rsidR="009B02C2" w:rsidRPr="00CF2780" w:rsidRDefault="009B02C2" w:rsidP="009B02C2">
            <w:pPr>
              <w:spacing w:after="0" w:line="240" w:lineRule="auto"/>
              <w:jc w:val="both"/>
              <w:rPr>
                <w:rFonts w:ascii="Arial" w:eastAsia="Times New Roman" w:hAnsi="Arial" w:cs="Arial"/>
                <w:b/>
                <w:sz w:val="28"/>
                <w:szCs w:val="28"/>
                <w:lang w:val="es-ES" w:eastAsia="es-ES"/>
              </w:rPr>
            </w:pPr>
          </w:p>
          <w:p w14:paraId="61F69BA1" w14:textId="77777777" w:rsidR="009B02C2" w:rsidRPr="00CF2780" w:rsidRDefault="009B02C2" w:rsidP="009B02C2">
            <w:pPr>
              <w:spacing w:after="0" w:line="240" w:lineRule="auto"/>
              <w:jc w:val="both"/>
              <w:rPr>
                <w:rFonts w:ascii="Arial" w:eastAsia="Times New Roman" w:hAnsi="Arial" w:cs="Arial"/>
                <w:b/>
                <w:sz w:val="28"/>
                <w:szCs w:val="28"/>
                <w:lang w:val="es-ES" w:eastAsia="es-ES"/>
              </w:rPr>
            </w:pPr>
            <w:r w:rsidRPr="00CF2780">
              <w:rPr>
                <w:rFonts w:ascii="Arial" w:eastAsia="Times New Roman" w:hAnsi="Arial" w:cs="Arial"/>
                <w:b/>
                <w:sz w:val="28"/>
                <w:szCs w:val="28"/>
                <w:lang w:val="es-ES" w:eastAsia="es-ES"/>
              </w:rPr>
              <w:t xml:space="preserve">(Folder 5 de autos) </w:t>
            </w:r>
          </w:p>
        </w:tc>
      </w:tr>
      <w:tr w:rsidR="009B02C2" w:rsidRPr="00CF2780" w14:paraId="751084A4" w14:textId="77777777" w:rsidTr="00B05F31">
        <w:tc>
          <w:tcPr>
            <w:tcW w:w="2414" w:type="dxa"/>
          </w:tcPr>
          <w:p w14:paraId="15EF1EF7" w14:textId="77777777" w:rsidR="009B02C2" w:rsidRPr="00CF2780" w:rsidRDefault="009B02C2" w:rsidP="009B02C2">
            <w:pPr>
              <w:spacing w:after="0" w:line="240" w:lineRule="auto"/>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lastRenderedPageBreak/>
              <w:t>5</w:t>
            </w:r>
            <w:r w:rsidRPr="00CF2780">
              <w:rPr>
                <w:rFonts w:ascii="Arial" w:eastAsia="Times New Roman" w:hAnsi="Arial" w:cs="Arial"/>
                <w:sz w:val="28"/>
                <w:szCs w:val="28"/>
                <w:lang w:val="es-ES" w:eastAsia="es-ES"/>
              </w:rPr>
              <w:t>. Desarrollo de la consulta: Primera fase: Asambleas informativas.</w:t>
            </w:r>
          </w:p>
        </w:tc>
        <w:tc>
          <w:tcPr>
            <w:tcW w:w="3437" w:type="dxa"/>
          </w:tcPr>
          <w:p w14:paraId="1183A3CE" w14:textId="77777777" w:rsidR="009B02C2" w:rsidRPr="00CF2780" w:rsidRDefault="009B02C2" w:rsidP="009B02C2">
            <w:pPr>
              <w:shd w:val="clear" w:color="auto" w:fill="FFFFFF"/>
              <w:spacing w:after="0" w:line="240" w:lineRule="auto"/>
              <w:jc w:val="both"/>
              <w:rPr>
                <w:rFonts w:ascii="Arial" w:eastAsia="Times New Roman" w:hAnsi="Arial" w:cs="Arial"/>
                <w:b/>
                <w:sz w:val="28"/>
                <w:szCs w:val="28"/>
                <w:lang w:val="es-ES" w:eastAsia="es-ES"/>
              </w:rPr>
            </w:pPr>
            <w:r w:rsidRPr="00CF2780">
              <w:rPr>
                <w:rFonts w:ascii="Arial" w:eastAsia="Times New Roman" w:hAnsi="Arial" w:cs="Arial"/>
                <w:b/>
                <w:sz w:val="28"/>
                <w:szCs w:val="28"/>
                <w:lang w:val="es-ES" w:eastAsia="es-ES"/>
              </w:rPr>
              <w:t xml:space="preserve">Desarrollo de las pláticas informativas </w:t>
            </w:r>
          </w:p>
          <w:p w14:paraId="022FC08D" w14:textId="77777777" w:rsidR="009B02C2" w:rsidRPr="00CF2780" w:rsidRDefault="009B02C2" w:rsidP="009B02C2">
            <w:pPr>
              <w:shd w:val="clear" w:color="auto" w:fill="FFFFFF"/>
              <w:spacing w:after="0" w:line="240" w:lineRule="auto"/>
              <w:jc w:val="both"/>
              <w:rPr>
                <w:rFonts w:ascii="Arial" w:eastAsia="Times New Roman" w:hAnsi="Arial" w:cs="Arial"/>
                <w:sz w:val="28"/>
                <w:szCs w:val="28"/>
                <w:lang w:val="es-ES" w:eastAsia="es-ES"/>
              </w:rPr>
            </w:pPr>
          </w:p>
          <w:p w14:paraId="7CFA82DD" w14:textId="77777777" w:rsidR="009B02C2" w:rsidRPr="00CF2780" w:rsidRDefault="009B02C2" w:rsidP="009B02C2">
            <w:pPr>
              <w:shd w:val="clear" w:color="auto" w:fill="FFFFFF"/>
              <w:spacing w:after="0" w:line="240" w:lineRule="auto"/>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I.</w:t>
            </w:r>
            <w:r w:rsidRPr="00CF2780">
              <w:rPr>
                <w:rFonts w:ascii="Arial" w:eastAsia="Times New Roman" w:hAnsi="Arial" w:cs="Arial"/>
                <w:sz w:val="28"/>
                <w:szCs w:val="28"/>
                <w:lang w:val="es-ES" w:eastAsia="es-ES"/>
              </w:rPr>
              <w:t xml:space="preserve"> El día once de diciembre de dos mil once, a las diez horas, en las instalaciones de la Escuela Primaria Emilio Bravo, ubicada en domicilio conocido de Santa Cruz Tanaco, perteneciente al municipio de Cherán, Michoacán, se llevó a cabo la asamblea informativa a los habitantes mayores de dieciocho años de esa comunidad, mediante una plática impartida por el maestro Néstor Dimas Huacuz; participando el ciudadano Nery F. Bravo Duarte, en cuanto miembro de la comisión </w:t>
            </w:r>
            <w:r w:rsidRPr="00CF2780">
              <w:rPr>
                <w:rFonts w:ascii="Arial" w:eastAsia="Times New Roman" w:hAnsi="Arial" w:cs="Arial"/>
                <w:sz w:val="28"/>
                <w:szCs w:val="28"/>
                <w:lang w:val="es-ES" w:eastAsia="es-ES"/>
              </w:rPr>
              <w:lastRenderedPageBreak/>
              <w:t>designada por la comunidad para dar seguimiento al proceso de consulta, así como los consejeros Rodolfo Farías Rodríguez y Luis Sigfrido Gómez Campos; así corno los licenciados José Antonio Rodríguez Corona y Ana María Vargas Vélez, vocales de Organización Electoral y Capacitación y Educación Cívica.</w:t>
            </w:r>
          </w:p>
          <w:p w14:paraId="317B477B" w14:textId="77777777" w:rsidR="009B02C2" w:rsidRPr="00CF2780" w:rsidRDefault="009B02C2" w:rsidP="009B02C2">
            <w:pPr>
              <w:shd w:val="clear" w:color="auto" w:fill="FFFFFF"/>
              <w:spacing w:after="0" w:line="240" w:lineRule="auto"/>
              <w:jc w:val="both"/>
              <w:rPr>
                <w:rFonts w:ascii="Arial" w:eastAsia="Times New Roman" w:hAnsi="Arial" w:cs="Arial"/>
                <w:sz w:val="28"/>
                <w:szCs w:val="28"/>
                <w:lang w:val="es-ES" w:eastAsia="es-ES"/>
              </w:rPr>
            </w:pPr>
          </w:p>
          <w:p w14:paraId="61721984" w14:textId="77777777" w:rsidR="009B02C2" w:rsidRPr="00CF2780" w:rsidRDefault="009B02C2" w:rsidP="009B02C2">
            <w:pPr>
              <w:shd w:val="clear" w:color="auto" w:fill="FFFFFF"/>
              <w:spacing w:after="0" w:line="24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Ese día se tuvo la asistencia de 419 personas; haciendo notar que la plática informativa se desarrolló tanto en español como en purépecha, levantándose de ello el acta correspondiente; la asamblea concluyó a las catorce horas con treinta minutos, sin incidente alguno.</w:t>
            </w:r>
          </w:p>
          <w:p w14:paraId="7149C301" w14:textId="77777777" w:rsidR="009B02C2" w:rsidRPr="00CF2780" w:rsidRDefault="009B02C2" w:rsidP="009B02C2">
            <w:pPr>
              <w:shd w:val="clear" w:color="auto" w:fill="FFFFFF"/>
              <w:spacing w:after="0" w:line="240" w:lineRule="auto"/>
              <w:jc w:val="both"/>
              <w:rPr>
                <w:rFonts w:ascii="Arial" w:eastAsia="Times New Roman" w:hAnsi="Arial" w:cs="Arial"/>
                <w:sz w:val="28"/>
                <w:szCs w:val="28"/>
                <w:lang w:val="es-ES" w:eastAsia="es-ES"/>
              </w:rPr>
            </w:pPr>
          </w:p>
          <w:p w14:paraId="35CAE657" w14:textId="77777777" w:rsidR="009B02C2" w:rsidRPr="00CF2780" w:rsidRDefault="009B02C2" w:rsidP="009B02C2">
            <w:pPr>
              <w:shd w:val="clear" w:color="auto" w:fill="FFFFFF"/>
              <w:spacing w:after="0" w:line="24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Al finalizar la asamblea, los pobladores del lugar hicieron la entrega de un escrito en donde exponen la problemática que se vive en la comunidad, en torno a sus necesidades económicas y su deseo de ser autónomos con relación a la comunidad de San Francisco Cherán; </w:t>
            </w:r>
            <w:r w:rsidRPr="00CF2780">
              <w:rPr>
                <w:rFonts w:ascii="Arial" w:eastAsia="Times New Roman" w:hAnsi="Arial" w:cs="Arial"/>
                <w:sz w:val="28"/>
                <w:szCs w:val="28"/>
                <w:lang w:val="es-ES" w:eastAsia="es-ES"/>
              </w:rPr>
              <w:lastRenderedPageBreak/>
              <w:t>mismo que se incorpora en el expediente.</w:t>
            </w:r>
          </w:p>
          <w:p w14:paraId="43F35D83" w14:textId="77777777" w:rsidR="009B02C2" w:rsidRPr="00CF2780" w:rsidRDefault="009B02C2" w:rsidP="009B02C2">
            <w:pPr>
              <w:shd w:val="clear" w:color="auto" w:fill="FFFFFF"/>
              <w:spacing w:after="0" w:line="240" w:lineRule="auto"/>
              <w:jc w:val="both"/>
              <w:rPr>
                <w:rFonts w:ascii="Arial" w:eastAsia="Times New Roman" w:hAnsi="Arial" w:cs="Arial"/>
                <w:sz w:val="28"/>
                <w:szCs w:val="28"/>
                <w:lang w:val="es-ES" w:eastAsia="es-ES"/>
              </w:rPr>
            </w:pPr>
          </w:p>
          <w:p w14:paraId="6A57567C" w14:textId="77777777" w:rsidR="009B02C2" w:rsidRPr="00CF2780" w:rsidRDefault="009B02C2" w:rsidP="009B02C2">
            <w:pPr>
              <w:shd w:val="clear" w:color="auto" w:fill="FFFFFF"/>
              <w:spacing w:after="0" w:line="240" w:lineRule="auto"/>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 xml:space="preserve">II. </w:t>
            </w:r>
            <w:r w:rsidRPr="00CF2780">
              <w:rPr>
                <w:rFonts w:ascii="Arial" w:eastAsia="Times New Roman" w:hAnsi="Arial" w:cs="Arial"/>
                <w:sz w:val="28"/>
                <w:szCs w:val="28"/>
                <w:lang w:val="es-ES" w:eastAsia="es-ES"/>
              </w:rPr>
              <w:t>El día quince de diciembre de dos mil once, se celebraron las asambleas informativas en los cuatro Barrios que conforman la comunidad de San Francisco Cherán; de las mismas se llevó un control de asistencia, y se desarrollaron de la siguiente manera:</w:t>
            </w:r>
          </w:p>
          <w:p w14:paraId="339DC277" w14:textId="77777777" w:rsidR="009B02C2" w:rsidRPr="00CF2780" w:rsidRDefault="009B02C2" w:rsidP="009B02C2">
            <w:pPr>
              <w:shd w:val="clear" w:color="auto" w:fill="FFFFFF"/>
              <w:spacing w:after="0" w:line="240" w:lineRule="auto"/>
              <w:jc w:val="both"/>
              <w:rPr>
                <w:rFonts w:ascii="Arial" w:eastAsia="Times New Roman" w:hAnsi="Arial" w:cs="Arial"/>
                <w:sz w:val="28"/>
                <w:szCs w:val="28"/>
                <w:lang w:val="es-ES" w:eastAsia="es-ES"/>
              </w:rPr>
            </w:pPr>
          </w:p>
          <w:p w14:paraId="463A2CE4" w14:textId="77777777" w:rsidR="009B02C2" w:rsidRPr="00CF2780" w:rsidRDefault="009B02C2" w:rsidP="001C6A89">
            <w:pPr>
              <w:numPr>
                <w:ilvl w:val="0"/>
                <w:numId w:val="18"/>
              </w:numPr>
              <w:shd w:val="clear" w:color="auto" w:fill="FFFFFF"/>
              <w:spacing w:after="0" w:line="240" w:lineRule="auto"/>
              <w:ind w:left="0"/>
              <w:contextualSpacing/>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JARHUKUTINI</w:t>
            </w:r>
            <w:r w:rsidRPr="00CF2780">
              <w:rPr>
                <w:rFonts w:ascii="Arial" w:eastAsia="Times New Roman" w:hAnsi="Arial" w:cs="Arial"/>
                <w:sz w:val="28"/>
                <w:szCs w:val="28"/>
                <w:lang w:val="es-ES" w:eastAsia="es-ES"/>
              </w:rPr>
              <w:t xml:space="preserve"> Barrio 1°: Escuela Casimiro Leco López. La plática estuvo a cargo de la Doctora Ma. del Carmen Ventura Patiño. Con una asistencia de 414 personas; la cual inició a las dieciséis horas y concluyó a las diecinueve horas. </w:t>
            </w:r>
          </w:p>
          <w:p w14:paraId="40D9029E" w14:textId="77777777" w:rsidR="009B02C2" w:rsidRPr="00CF2780" w:rsidRDefault="009B02C2" w:rsidP="009B02C2">
            <w:pPr>
              <w:shd w:val="clear" w:color="auto" w:fill="FFFFFF"/>
              <w:spacing w:after="0" w:line="240" w:lineRule="auto"/>
              <w:jc w:val="both"/>
              <w:rPr>
                <w:rFonts w:ascii="Arial" w:eastAsia="Times New Roman" w:hAnsi="Arial" w:cs="Arial"/>
                <w:sz w:val="28"/>
                <w:szCs w:val="28"/>
                <w:lang w:val="es-ES" w:eastAsia="es-ES"/>
              </w:rPr>
            </w:pPr>
          </w:p>
          <w:p w14:paraId="60462E6E" w14:textId="77777777" w:rsidR="009B02C2" w:rsidRPr="00CF2780" w:rsidRDefault="009B02C2" w:rsidP="001C6A89">
            <w:pPr>
              <w:numPr>
                <w:ilvl w:val="0"/>
                <w:numId w:val="17"/>
              </w:numPr>
              <w:shd w:val="clear" w:color="auto" w:fill="FFFFFF"/>
              <w:spacing w:after="0" w:line="240" w:lineRule="auto"/>
              <w:ind w:left="0"/>
              <w:contextualSpacing/>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KETSIKUA</w:t>
            </w:r>
            <w:r w:rsidRPr="00CF2780">
              <w:rPr>
                <w:rFonts w:ascii="Arial" w:eastAsia="Times New Roman" w:hAnsi="Arial" w:cs="Arial"/>
                <w:sz w:val="28"/>
                <w:szCs w:val="28"/>
                <w:lang w:val="es-ES" w:eastAsia="es-ES"/>
              </w:rPr>
              <w:t xml:space="preserve"> Barrio 2°: Escuela Secundaria Lázaro Cárdenas. La plática estuvo a cargo de la Maestra Parastoo Anita MesriH./D. Con asistencia de 560 personas; la que dio inicio a las dieciséis horas y concluyó a las veinte horas con quince minutos; en este caso en particular la asamblea se desarrolló tanto en </w:t>
            </w:r>
            <w:r w:rsidRPr="00CF2780">
              <w:rPr>
                <w:rFonts w:ascii="Arial" w:eastAsia="Times New Roman" w:hAnsi="Arial" w:cs="Arial"/>
                <w:sz w:val="28"/>
                <w:szCs w:val="28"/>
                <w:lang w:val="es-ES" w:eastAsia="es-ES"/>
              </w:rPr>
              <w:lastRenderedPageBreak/>
              <w:t>español como en purépecha.</w:t>
            </w:r>
          </w:p>
          <w:p w14:paraId="7F70134A" w14:textId="77777777" w:rsidR="009B02C2" w:rsidRPr="00CF2780" w:rsidRDefault="009B02C2" w:rsidP="009B02C2">
            <w:pPr>
              <w:shd w:val="clear" w:color="auto" w:fill="FFFFFF"/>
              <w:spacing w:after="0" w:line="240" w:lineRule="auto"/>
              <w:jc w:val="both"/>
              <w:rPr>
                <w:rFonts w:ascii="Arial" w:eastAsia="Times New Roman" w:hAnsi="Arial" w:cs="Arial"/>
                <w:sz w:val="28"/>
                <w:szCs w:val="28"/>
                <w:lang w:val="es-ES" w:eastAsia="es-ES"/>
              </w:rPr>
            </w:pPr>
          </w:p>
          <w:p w14:paraId="09A0FC37" w14:textId="77777777" w:rsidR="009B02C2" w:rsidRPr="00CF2780" w:rsidRDefault="009B02C2" w:rsidP="001C6A89">
            <w:pPr>
              <w:numPr>
                <w:ilvl w:val="0"/>
                <w:numId w:val="17"/>
              </w:numPr>
              <w:shd w:val="clear" w:color="auto" w:fill="FFFFFF"/>
              <w:spacing w:after="0" w:line="240" w:lineRule="auto"/>
              <w:ind w:left="0"/>
              <w:contextualSpacing/>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KARAKUA</w:t>
            </w:r>
            <w:r w:rsidRPr="00CF2780">
              <w:rPr>
                <w:rFonts w:ascii="Arial" w:eastAsia="Times New Roman" w:hAnsi="Arial" w:cs="Arial"/>
                <w:sz w:val="28"/>
                <w:szCs w:val="28"/>
                <w:lang w:val="es-ES" w:eastAsia="es-ES"/>
              </w:rPr>
              <w:t xml:space="preserve"> Barrio 3°: Escuela José María Morelos. La plática estuvo a cargo del Maestro Ulises Julio Fierro Alonso. Con una asistencia de 530 personas; la cual inició a las dieciséis horas y concluyó a las diecisiete horas con diez minutos. </w:t>
            </w:r>
          </w:p>
          <w:p w14:paraId="7FF8870B" w14:textId="77777777" w:rsidR="009B02C2" w:rsidRPr="00CF2780" w:rsidRDefault="009B02C2" w:rsidP="009B02C2">
            <w:pPr>
              <w:spacing w:after="0" w:line="240" w:lineRule="auto"/>
              <w:jc w:val="both"/>
              <w:rPr>
                <w:rFonts w:ascii="Arial" w:eastAsia="Times New Roman" w:hAnsi="Arial" w:cs="Arial"/>
                <w:sz w:val="28"/>
                <w:szCs w:val="28"/>
                <w:lang w:val="es-ES" w:eastAsia="es-ES"/>
              </w:rPr>
            </w:pPr>
          </w:p>
          <w:p w14:paraId="7C61B29E" w14:textId="77777777" w:rsidR="009B02C2" w:rsidRPr="00CF2780" w:rsidRDefault="009B02C2" w:rsidP="001C6A89">
            <w:pPr>
              <w:numPr>
                <w:ilvl w:val="0"/>
                <w:numId w:val="17"/>
              </w:numPr>
              <w:shd w:val="clear" w:color="auto" w:fill="FFFFFF"/>
              <w:spacing w:after="0" w:line="240" w:lineRule="auto"/>
              <w:ind w:left="0"/>
              <w:contextualSpacing/>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 xml:space="preserve">P´ARHIKUTINI </w:t>
            </w:r>
            <w:r w:rsidRPr="00CF2780">
              <w:rPr>
                <w:rFonts w:ascii="Arial" w:eastAsia="Times New Roman" w:hAnsi="Arial" w:cs="Arial"/>
                <w:sz w:val="28"/>
                <w:szCs w:val="28"/>
                <w:lang w:val="es-ES" w:eastAsia="es-ES"/>
              </w:rPr>
              <w:t>Barrio 4°: Escuela Federico Hernández Tapia. La plática estuvo a cargo del doctor Amaruc Lucas Hernández; con una asistencia de 828 personas; la cual dio inicio a las diecisiete horas con quince minutos y concluyó a las dieciocho horas con cuarenta y cinco minutos.</w:t>
            </w:r>
          </w:p>
          <w:p w14:paraId="4B0E60E4" w14:textId="77777777" w:rsidR="009B02C2" w:rsidRPr="00CF2780" w:rsidRDefault="009B02C2" w:rsidP="009B02C2">
            <w:pPr>
              <w:spacing w:after="0" w:line="240" w:lineRule="auto"/>
              <w:jc w:val="both"/>
              <w:rPr>
                <w:rFonts w:ascii="Arial" w:eastAsia="Times New Roman" w:hAnsi="Arial" w:cs="Arial"/>
                <w:sz w:val="28"/>
                <w:szCs w:val="28"/>
                <w:lang w:val="es-ES" w:eastAsia="es-ES"/>
              </w:rPr>
            </w:pPr>
          </w:p>
          <w:p w14:paraId="01A7F0A9" w14:textId="77777777" w:rsidR="009B02C2" w:rsidRPr="00CF2780" w:rsidRDefault="009B02C2" w:rsidP="009B02C2">
            <w:pPr>
              <w:spacing w:after="0" w:line="240" w:lineRule="auto"/>
              <w:jc w:val="both"/>
              <w:rPr>
                <w:rFonts w:ascii="Arial" w:eastAsia="Times New Roman" w:hAnsi="Arial" w:cs="Arial"/>
                <w:sz w:val="28"/>
                <w:szCs w:val="28"/>
                <w:lang w:val="es-ES" w:eastAsia="es-ES"/>
              </w:rPr>
            </w:pPr>
          </w:p>
        </w:tc>
        <w:tc>
          <w:tcPr>
            <w:tcW w:w="2354" w:type="dxa"/>
          </w:tcPr>
          <w:p w14:paraId="22C8311A" w14:textId="77777777" w:rsidR="009B02C2" w:rsidRPr="00CF2780" w:rsidRDefault="009B02C2" w:rsidP="009B02C2">
            <w:pPr>
              <w:spacing w:after="0" w:line="360" w:lineRule="auto"/>
              <w:jc w:val="both"/>
              <w:rPr>
                <w:rFonts w:ascii="Arial" w:eastAsia="Times New Roman" w:hAnsi="Arial" w:cs="Arial"/>
                <w:b/>
                <w:sz w:val="28"/>
                <w:szCs w:val="28"/>
                <w:lang w:val="es-ES" w:eastAsia="es-ES"/>
              </w:rPr>
            </w:pPr>
          </w:p>
        </w:tc>
      </w:tr>
      <w:tr w:rsidR="009B02C2" w:rsidRPr="00CF2780" w14:paraId="58618899" w14:textId="77777777" w:rsidTr="00B05F31">
        <w:tc>
          <w:tcPr>
            <w:tcW w:w="2414" w:type="dxa"/>
          </w:tcPr>
          <w:p w14:paraId="15BD76E3" w14:textId="77777777" w:rsidR="009B02C2" w:rsidRPr="00CF2780" w:rsidRDefault="009B02C2" w:rsidP="009B02C2">
            <w:pPr>
              <w:spacing w:after="0" w:line="240" w:lineRule="auto"/>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lastRenderedPageBreak/>
              <w:t>6</w:t>
            </w:r>
            <w:r w:rsidRPr="00CF2780">
              <w:rPr>
                <w:rFonts w:ascii="Arial" w:eastAsia="Times New Roman" w:hAnsi="Arial" w:cs="Arial"/>
                <w:sz w:val="28"/>
                <w:szCs w:val="28"/>
                <w:lang w:val="es-ES" w:eastAsia="es-ES"/>
              </w:rPr>
              <w:t xml:space="preserve">. Desarrollo de la consulta: Segunda fase: Asambleas de consulta. </w:t>
            </w:r>
          </w:p>
        </w:tc>
        <w:tc>
          <w:tcPr>
            <w:tcW w:w="3437" w:type="dxa"/>
          </w:tcPr>
          <w:p w14:paraId="2086A288" w14:textId="77777777" w:rsidR="009B02C2" w:rsidRPr="00CF2780" w:rsidRDefault="009B02C2" w:rsidP="009B02C2">
            <w:pPr>
              <w:shd w:val="clear" w:color="auto" w:fill="FFFFFF"/>
              <w:spacing w:after="0" w:line="240" w:lineRule="auto"/>
              <w:jc w:val="both"/>
              <w:rPr>
                <w:rFonts w:ascii="Arial" w:eastAsia="Times New Roman" w:hAnsi="Arial" w:cs="Arial"/>
                <w:b/>
                <w:sz w:val="28"/>
                <w:szCs w:val="28"/>
                <w:lang w:val="es-ES" w:eastAsia="es-ES"/>
              </w:rPr>
            </w:pPr>
            <w:r w:rsidRPr="00CF2780">
              <w:rPr>
                <w:rFonts w:ascii="Arial" w:eastAsia="Times New Roman" w:hAnsi="Arial" w:cs="Arial"/>
                <w:b/>
                <w:sz w:val="28"/>
                <w:szCs w:val="28"/>
                <w:lang w:val="es-ES" w:eastAsia="es-ES"/>
              </w:rPr>
              <w:t>Desarrollo de las asambleas de consulta</w:t>
            </w:r>
          </w:p>
          <w:p w14:paraId="6815FA7E" w14:textId="77777777" w:rsidR="009B02C2" w:rsidRPr="00CF2780" w:rsidRDefault="009B02C2" w:rsidP="009B02C2">
            <w:pPr>
              <w:shd w:val="clear" w:color="auto" w:fill="FFFFFF"/>
              <w:spacing w:after="0" w:line="240" w:lineRule="auto"/>
              <w:jc w:val="both"/>
              <w:rPr>
                <w:rFonts w:ascii="Arial" w:eastAsia="Times New Roman" w:hAnsi="Arial" w:cs="Arial"/>
                <w:b/>
                <w:sz w:val="28"/>
                <w:szCs w:val="28"/>
                <w:lang w:val="es-ES" w:eastAsia="es-ES"/>
              </w:rPr>
            </w:pPr>
          </w:p>
          <w:p w14:paraId="2E37B1BB" w14:textId="77777777" w:rsidR="009B02C2" w:rsidRPr="00CF2780" w:rsidRDefault="009B02C2" w:rsidP="009B02C2">
            <w:pPr>
              <w:shd w:val="clear" w:color="auto" w:fill="FFFFFF"/>
              <w:spacing w:after="0" w:line="24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El dieciocho de diciembre de dos mil once, se llevó a cabo la consulta en las comunidades de San Francisco Cherán y Santa Cruz Tanaco, pertenecientes al municipio de Cherán, </w:t>
            </w:r>
            <w:r w:rsidRPr="00CF2780">
              <w:rPr>
                <w:rFonts w:ascii="Arial" w:eastAsia="Times New Roman" w:hAnsi="Arial" w:cs="Arial"/>
                <w:sz w:val="28"/>
                <w:szCs w:val="28"/>
                <w:lang w:val="es-ES" w:eastAsia="es-ES"/>
              </w:rPr>
              <w:lastRenderedPageBreak/>
              <w:t xml:space="preserve">Michoacán; de la siguiente manera: </w:t>
            </w:r>
          </w:p>
          <w:p w14:paraId="29AA1360" w14:textId="77777777" w:rsidR="009B02C2" w:rsidRPr="00CF2780" w:rsidRDefault="009B02C2" w:rsidP="009B02C2">
            <w:pPr>
              <w:shd w:val="clear" w:color="auto" w:fill="FFFFFF"/>
              <w:spacing w:after="0" w:line="240" w:lineRule="auto"/>
              <w:jc w:val="both"/>
              <w:rPr>
                <w:rFonts w:ascii="Arial" w:eastAsia="Times New Roman" w:hAnsi="Arial" w:cs="Arial"/>
                <w:sz w:val="28"/>
                <w:szCs w:val="28"/>
                <w:lang w:val="es-ES" w:eastAsia="es-ES"/>
              </w:rPr>
            </w:pPr>
          </w:p>
          <w:p w14:paraId="7CB60571" w14:textId="77777777" w:rsidR="009B02C2" w:rsidRPr="00CF2780" w:rsidRDefault="009B02C2" w:rsidP="009B02C2">
            <w:pPr>
              <w:shd w:val="clear" w:color="auto" w:fill="FFFFFF"/>
              <w:spacing w:after="0" w:line="24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En el barrio 1°, </w:t>
            </w:r>
            <w:r w:rsidRPr="00CF2780">
              <w:rPr>
                <w:rFonts w:ascii="Arial" w:eastAsia="Times New Roman" w:hAnsi="Arial" w:cs="Arial"/>
                <w:b/>
                <w:sz w:val="28"/>
                <w:szCs w:val="28"/>
                <w:lang w:val="es-ES" w:eastAsia="es-ES"/>
              </w:rPr>
              <w:t xml:space="preserve">JARHUKUTINI, </w:t>
            </w:r>
            <w:r w:rsidRPr="00CF2780">
              <w:rPr>
                <w:rFonts w:ascii="Arial" w:eastAsia="Times New Roman" w:hAnsi="Arial" w:cs="Arial"/>
                <w:sz w:val="28"/>
                <w:szCs w:val="28"/>
                <w:lang w:val="es-ES" w:eastAsia="es-ES"/>
              </w:rPr>
              <w:t xml:space="preserve">la asamblea de consulta tuvo lugar en la Escuela Casimiro Leco López, ubicada en la calle Morelos Poniente, número 176, de San Francisco Cherán; dentro de la cual se registraron un total de 783 asistentes. </w:t>
            </w:r>
          </w:p>
          <w:p w14:paraId="6DFBA966" w14:textId="77777777" w:rsidR="009B02C2" w:rsidRPr="00CF2780" w:rsidRDefault="009B02C2" w:rsidP="009B02C2">
            <w:pPr>
              <w:shd w:val="clear" w:color="auto" w:fill="FFFFFF"/>
              <w:spacing w:after="0" w:line="240" w:lineRule="auto"/>
              <w:jc w:val="both"/>
              <w:rPr>
                <w:rFonts w:ascii="Arial" w:eastAsia="Times New Roman" w:hAnsi="Arial" w:cs="Arial"/>
                <w:sz w:val="28"/>
                <w:szCs w:val="28"/>
                <w:lang w:val="es-ES" w:eastAsia="es-ES"/>
              </w:rPr>
            </w:pPr>
          </w:p>
          <w:p w14:paraId="6A9E96E1" w14:textId="77777777" w:rsidR="009B02C2" w:rsidRPr="00CF2780" w:rsidRDefault="009B02C2" w:rsidP="009B02C2">
            <w:pPr>
              <w:shd w:val="clear" w:color="auto" w:fill="FFFFFF"/>
              <w:spacing w:after="0" w:line="24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Después de que se les formularon las preguntas que ordenó la convocatoria; 731 personas votaron a favor de la elección de sus autoridades locales por el sistema de usos y costumbres y, 4 personas votaron en contra.</w:t>
            </w:r>
          </w:p>
          <w:p w14:paraId="610F1412" w14:textId="77777777" w:rsidR="009B02C2" w:rsidRPr="00CF2780" w:rsidRDefault="009B02C2" w:rsidP="009B02C2">
            <w:pPr>
              <w:shd w:val="clear" w:color="auto" w:fill="FFFFFF"/>
              <w:spacing w:after="0" w:line="240" w:lineRule="auto"/>
              <w:jc w:val="both"/>
              <w:rPr>
                <w:rFonts w:ascii="Arial" w:eastAsia="Times New Roman" w:hAnsi="Arial" w:cs="Arial"/>
                <w:sz w:val="28"/>
                <w:szCs w:val="28"/>
                <w:lang w:val="es-ES" w:eastAsia="es-ES"/>
              </w:rPr>
            </w:pPr>
          </w:p>
          <w:p w14:paraId="1A81EAAE" w14:textId="77777777" w:rsidR="009B02C2" w:rsidRPr="00CF2780" w:rsidRDefault="009B02C2" w:rsidP="009B02C2">
            <w:pPr>
              <w:shd w:val="clear" w:color="auto" w:fill="FFFFFF"/>
              <w:spacing w:after="0" w:line="24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En el barrio 2°, </w:t>
            </w:r>
            <w:r w:rsidRPr="00CF2780">
              <w:rPr>
                <w:rFonts w:ascii="Arial" w:eastAsia="Times New Roman" w:hAnsi="Arial" w:cs="Arial"/>
                <w:b/>
                <w:sz w:val="28"/>
                <w:szCs w:val="28"/>
                <w:lang w:val="es-ES" w:eastAsia="es-ES"/>
              </w:rPr>
              <w:t xml:space="preserve">KETSIKUA, </w:t>
            </w:r>
            <w:r w:rsidRPr="00CF2780">
              <w:rPr>
                <w:rFonts w:ascii="Arial" w:eastAsia="Times New Roman" w:hAnsi="Arial" w:cs="Arial"/>
                <w:sz w:val="28"/>
                <w:szCs w:val="28"/>
                <w:lang w:val="es-ES" w:eastAsia="es-ES"/>
              </w:rPr>
              <w:t xml:space="preserve"> la asamblea de consulta tuvo lugar en la Escuela Secundaria Lázaro Cárdenas, con domicilio en Aquiles Serdán, sin número, de San Francisco Cherán; dentro de la cual se registraron 1353 asistentes.</w:t>
            </w:r>
          </w:p>
          <w:p w14:paraId="0514DD85" w14:textId="77777777" w:rsidR="009B02C2" w:rsidRPr="00CF2780" w:rsidRDefault="009B02C2" w:rsidP="009B02C2">
            <w:pPr>
              <w:shd w:val="clear" w:color="auto" w:fill="FFFFFF"/>
              <w:spacing w:after="0" w:line="240" w:lineRule="auto"/>
              <w:jc w:val="both"/>
              <w:rPr>
                <w:rFonts w:ascii="Arial" w:eastAsia="Times New Roman" w:hAnsi="Arial" w:cs="Arial"/>
                <w:sz w:val="28"/>
                <w:szCs w:val="28"/>
                <w:lang w:val="es-ES" w:eastAsia="es-ES"/>
              </w:rPr>
            </w:pPr>
          </w:p>
          <w:p w14:paraId="0C82F5A9" w14:textId="77777777" w:rsidR="009B02C2" w:rsidRPr="00CF2780" w:rsidRDefault="009B02C2" w:rsidP="009B02C2">
            <w:pPr>
              <w:shd w:val="clear" w:color="auto" w:fill="FFFFFF"/>
              <w:spacing w:after="0" w:line="24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Después de que se les formularon las preguntas </w:t>
            </w:r>
            <w:r w:rsidRPr="00CF2780">
              <w:rPr>
                <w:rFonts w:ascii="Arial" w:eastAsia="Times New Roman" w:hAnsi="Arial" w:cs="Arial"/>
                <w:sz w:val="28"/>
                <w:szCs w:val="28"/>
                <w:lang w:val="es-ES" w:eastAsia="es-ES"/>
              </w:rPr>
              <w:lastRenderedPageBreak/>
              <w:t>que ordenó la convocatoria; 1,240 personas votaron a favor de la elección de sus autoridades locales por el sistema de usos y costumbres y, 3 personas votaron en contra.</w:t>
            </w:r>
          </w:p>
          <w:p w14:paraId="17170CAB" w14:textId="77777777" w:rsidR="009B02C2" w:rsidRPr="00CF2780" w:rsidRDefault="009B02C2" w:rsidP="009B02C2">
            <w:pPr>
              <w:shd w:val="clear" w:color="auto" w:fill="FFFFFF"/>
              <w:spacing w:after="0" w:line="240" w:lineRule="auto"/>
              <w:jc w:val="both"/>
              <w:rPr>
                <w:rFonts w:ascii="Arial" w:eastAsia="Times New Roman" w:hAnsi="Arial" w:cs="Arial"/>
                <w:sz w:val="28"/>
                <w:szCs w:val="28"/>
                <w:lang w:val="es-ES" w:eastAsia="es-ES"/>
              </w:rPr>
            </w:pPr>
          </w:p>
          <w:p w14:paraId="6A4DBF68" w14:textId="77777777" w:rsidR="009B02C2" w:rsidRPr="00CF2780" w:rsidRDefault="009B02C2" w:rsidP="009B02C2">
            <w:pPr>
              <w:shd w:val="clear" w:color="auto" w:fill="FFFFFF"/>
              <w:spacing w:after="0" w:line="24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En el barrio 3° </w:t>
            </w:r>
            <w:r w:rsidRPr="00CF2780">
              <w:rPr>
                <w:rFonts w:ascii="Arial" w:eastAsia="Times New Roman" w:hAnsi="Arial" w:cs="Arial"/>
                <w:b/>
                <w:sz w:val="28"/>
                <w:szCs w:val="28"/>
                <w:lang w:val="es-ES" w:eastAsia="es-ES"/>
              </w:rPr>
              <w:t>KARAKUA</w:t>
            </w:r>
            <w:r w:rsidRPr="00CF2780">
              <w:rPr>
                <w:rFonts w:ascii="Arial" w:eastAsia="Times New Roman" w:hAnsi="Arial" w:cs="Arial"/>
                <w:sz w:val="28"/>
                <w:szCs w:val="28"/>
                <w:lang w:val="es-ES" w:eastAsia="es-ES"/>
              </w:rPr>
              <w:t>, la asamblea de consulta tuvo lugar en la Escuela José María Morelos, con domicilio en la calle Guerrero esquina 18 de Marzo sin número, de aquella comunidad; dentro de la cual se registraron 1,443 asistentes.</w:t>
            </w:r>
          </w:p>
          <w:p w14:paraId="43B4D6F7" w14:textId="77777777" w:rsidR="009B02C2" w:rsidRPr="00CF2780" w:rsidRDefault="009B02C2" w:rsidP="009B02C2">
            <w:pPr>
              <w:shd w:val="clear" w:color="auto" w:fill="FFFFFF"/>
              <w:spacing w:after="0" w:line="240" w:lineRule="auto"/>
              <w:jc w:val="both"/>
              <w:rPr>
                <w:rFonts w:ascii="Arial" w:eastAsia="Times New Roman" w:hAnsi="Arial" w:cs="Arial"/>
                <w:sz w:val="28"/>
                <w:szCs w:val="28"/>
                <w:lang w:val="es-ES" w:eastAsia="es-ES"/>
              </w:rPr>
            </w:pPr>
          </w:p>
          <w:p w14:paraId="0BA7A7F0" w14:textId="77777777" w:rsidR="009B02C2" w:rsidRPr="00CF2780" w:rsidRDefault="009B02C2" w:rsidP="009B02C2">
            <w:pPr>
              <w:shd w:val="clear" w:color="auto" w:fill="FFFFFF"/>
              <w:spacing w:after="0" w:line="24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Después de que se les formularon las preguntas que ordenó la convocatoria; 1,432 personas votaron a favor de la elección de sus autoridades municipales por el sistema de usos y costumbres y, 0 personas votaron en contra.</w:t>
            </w:r>
          </w:p>
          <w:p w14:paraId="39E24C5F" w14:textId="77777777" w:rsidR="009B02C2" w:rsidRPr="00CF2780" w:rsidRDefault="009B02C2" w:rsidP="009B02C2">
            <w:pPr>
              <w:shd w:val="clear" w:color="auto" w:fill="FFFFFF"/>
              <w:spacing w:after="0" w:line="240" w:lineRule="auto"/>
              <w:jc w:val="both"/>
              <w:rPr>
                <w:rFonts w:ascii="Arial" w:eastAsia="Times New Roman" w:hAnsi="Arial" w:cs="Arial"/>
                <w:sz w:val="28"/>
                <w:szCs w:val="28"/>
                <w:lang w:val="es-ES" w:eastAsia="es-ES"/>
              </w:rPr>
            </w:pPr>
          </w:p>
          <w:p w14:paraId="3998BC77" w14:textId="77777777" w:rsidR="009B02C2" w:rsidRPr="00CF2780" w:rsidRDefault="009B02C2" w:rsidP="009B02C2">
            <w:pPr>
              <w:shd w:val="clear" w:color="auto" w:fill="FFFFFF"/>
              <w:spacing w:after="0" w:line="24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En el barrio 4°, </w:t>
            </w:r>
            <w:r w:rsidRPr="00CF2780">
              <w:rPr>
                <w:rFonts w:ascii="Arial" w:eastAsia="Times New Roman" w:hAnsi="Arial" w:cs="Arial"/>
                <w:b/>
                <w:sz w:val="28"/>
                <w:szCs w:val="28"/>
                <w:lang w:val="es-ES" w:eastAsia="es-ES"/>
              </w:rPr>
              <w:t>P'ARHIKUTINI,</w:t>
            </w:r>
            <w:r w:rsidRPr="00CF2780">
              <w:rPr>
                <w:rFonts w:ascii="Arial" w:eastAsia="Times New Roman" w:hAnsi="Arial" w:cs="Arial"/>
                <w:sz w:val="28"/>
                <w:szCs w:val="28"/>
                <w:lang w:val="es-ES" w:eastAsia="es-ES"/>
              </w:rPr>
              <w:t xml:space="preserve"> la asamblea se desarrolló en la Escuela Federico Hernández Tapia, ubicada en la calle Francisco I. Madero sin número, de aquella </w:t>
            </w:r>
            <w:r w:rsidRPr="00CF2780">
              <w:rPr>
                <w:rFonts w:ascii="Arial" w:eastAsia="Times New Roman" w:hAnsi="Arial" w:cs="Arial"/>
                <w:sz w:val="28"/>
                <w:szCs w:val="28"/>
                <w:lang w:val="es-ES" w:eastAsia="es-ES"/>
              </w:rPr>
              <w:lastRenderedPageBreak/>
              <w:t>comunidad; a la cual asistieron 1,444 asistentes.</w:t>
            </w:r>
          </w:p>
          <w:p w14:paraId="338306E9" w14:textId="77777777" w:rsidR="009B02C2" w:rsidRPr="00CF2780" w:rsidRDefault="009B02C2" w:rsidP="009B02C2">
            <w:pPr>
              <w:shd w:val="clear" w:color="auto" w:fill="FFFFFF"/>
              <w:spacing w:after="0" w:line="240" w:lineRule="auto"/>
              <w:jc w:val="both"/>
              <w:rPr>
                <w:rFonts w:ascii="Arial" w:eastAsia="Times New Roman" w:hAnsi="Arial" w:cs="Arial"/>
                <w:sz w:val="28"/>
                <w:szCs w:val="28"/>
                <w:lang w:val="es-ES" w:eastAsia="es-ES"/>
              </w:rPr>
            </w:pPr>
          </w:p>
          <w:p w14:paraId="44ACDEC7" w14:textId="77777777" w:rsidR="009B02C2" w:rsidRPr="00CF2780" w:rsidRDefault="009B02C2" w:rsidP="009B02C2">
            <w:pPr>
              <w:shd w:val="clear" w:color="auto" w:fill="FFFFFF"/>
              <w:spacing w:after="0" w:line="24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Después de que se les formularon las preguntas que ordenó la convocatoria; 1,443 personas votaron a favor de la elección de sus autoridades municipales por el sistema de usos y costumbres y, 1 persona votó en contra.</w:t>
            </w:r>
          </w:p>
          <w:p w14:paraId="36EB52BB" w14:textId="77777777" w:rsidR="009B02C2" w:rsidRPr="00CF2780" w:rsidRDefault="009B02C2" w:rsidP="009B02C2">
            <w:pPr>
              <w:shd w:val="clear" w:color="auto" w:fill="FFFFFF"/>
              <w:spacing w:after="0" w:line="240" w:lineRule="auto"/>
              <w:jc w:val="both"/>
              <w:rPr>
                <w:rFonts w:ascii="Arial" w:eastAsia="Times New Roman" w:hAnsi="Arial" w:cs="Arial"/>
                <w:sz w:val="28"/>
                <w:szCs w:val="28"/>
                <w:lang w:val="es-ES" w:eastAsia="es-ES"/>
              </w:rPr>
            </w:pPr>
          </w:p>
          <w:p w14:paraId="7CD1B2FC" w14:textId="77777777" w:rsidR="009B02C2" w:rsidRPr="00CF2780" w:rsidRDefault="009B02C2" w:rsidP="009B02C2">
            <w:pPr>
              <w:shd w:val="clear" w:color="auto" w:fill="FFFFFF"/>
              <w:spacing w:after="0" w:line="24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Es de hacerse notar que en algunos lugares, las personas abandonaron el lugar antes del inicio de la asamblea y, en algunos casos, a su regreso ésta había iniciado, por lo cual, no estuvieron en condiciones de participar.</w:t>
            </w:r>
          </w:p>
          <w:p w14:paraId="13CC72B3" w14:textId="77777777" w:rsidR="009B02C2" w:rsidRPr="00CF2780" w:rsidRDefault="009B02C2" w:rsidP="009B02C2">
            <w:pPr>
              <w:shd w:val="clear" w:color="auto" w:fill="FFFFFF"/>
              <w:spacing w:after="0" w:line="240" w:lineRule="auto"/>
              <w:jc w:val="both"/>
              <w:rPr>
                <w:rFonts w:ascii="Arial" w:eastAsia="Times New Roman" w:hAnsi="Arial" w:cs="Arial"/>
                <w:sz w:val="28"/>
                <w:szCs w:val="28"/>
                <w:lang w:val="es-ES" w:eastAsia="es-ES"/>
              </w:rPr>
            </w:pPr>
          </w:p>
          <w:p w14:paraId="2558E7F7" w14:textId="77777777" w:rsidR="009B02C2" w:rsidRPr="00CF2780" w:rsidRDefault="009B02C2" w:rsidP="009B02C2">
            <w:pPr>
              <w:shd w:val="clear" w:color="auto" w:fill="FFFFFF"/>
              <w:spacing w:after="0" w:line="24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En Santa Cruz Tanaco la consulta se desarrolló en la Escuela Primaria Emilio Bravo, con domicilio conocido en aquella comunidad; a ésta asistieron 498 personas.</w:t>
            </w:r>
          </w:p>
          <w:p w14:paraId="5EC7A547" w14:textId="77777777" w:rsidR="009B02C2" w:rsidRPr="00CF2780" w:rsidRDefault="009B02C2" w:rsidP="009B02C2">
            <w:pPr>
              <w:shd w:val="clear" w:color="auto" w:fill="FFFFFF"/>
              <w:spacing w:after="0" w:line="240" w:lineRule="auto"/>
              <w:jc w:val="both"/>
              <w:rPr>
                <w:rFonts w:ascii="Arial" w:eastAsia="Times New Roman" w:hAnsi="Arial" w:cs="Arial"/>
                <w:sz w:val="28"/>
                <w:szCs w:val="28"/>
                <w:lang w:val="es-ES" w:eastAsia="es-ES"/>
              </w:rPr>
            </w:pPr>
          </w:p>
          <w:p w14:paraId="2C1C77A0" w14:textId="77777777" w:rsidR="009B02C2" w:rsidRPr="00CF2780" w:rsidRDefault="009B02C2" w:rsidP="009B02C2">
            <w:pPr>
              <w:shd w:val="clear" w:color="auto" w:fill="FFFFFF"/>
              <w:spacing w:after="0" w:line="24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Después de que se les formularon las preguntas que ordenó la convocatoria, las 498 personas expresaron con un No a las dos preguntas; y a petición de </w:t>
            </w:r>
            <w:r w:rsidRPr="00CF2780">
              <w:rPr>
                <w:rFonts w:ascii="Arial" w:eastAsia="Times New Roman" w:hAnsi="Arial" w:cs="Arial"/>
                <w:sz w:val="28"/>
                <w:szCs w:val="28"/>
                <w:lang w:val="es-ES" w:eastAsia="es-ES"/>
              </w:rPr>
              <w:lastRenderedPageBreak/>
              <w:t xml:space="preserve">la asamblea se formuló una tercera pregunta, en los siguientes términos: ¿Quién está de acuerdo en que el presupuesto llegue directamente a la comunidad de Santa Cruz Tanaco?; en ese momento se escuchó un sí unánime y procedieron todos a levantar la mano. </w:t>
            </w:r>
          </w:p>
          <w:p w14:paraId="5B25FF01" w14:textId="77777777" w:rsidR="009B02C2" w:rsidRPr="00CF2780" w:rsidRDefault="009B02C2" w:rsidP="009B02C2">
            <w:pPr>
              <w:shd w:val="clear" w:color="auto" w:fill="FFFFFF"/>
              <w:spacing w:after="0" w:line="240" w:lineRule="auto"/>
              <w:jc w:val="both"/>
              <w:rPr>
                <w:rFonts w:ascii="Arial" w:eastAsia="Times New Roman" w:hAnsi="Arial" w:cs="Arial"/>
                <w:sz w:val="28"/>
                <w:szCs w:val="28"/>
                <w:lang w:val="es-ES" w:eastAsia="es-ES"/>
              </w:rPr>
            </w:pPr>
          </w:p>
          <w:p w14:paraId="5BB4A6F3" w14:textId="77777777" w:rsidR="009B02C2" w:rsidRPr="00CF2780" w:rsidRDefault="009B02C2" w:rsidP="009B02C2">
            <w:pPr>
              <w:shd w:val="clear" w:color="auto" w:fill="FFFFFF"/>
              <w:spacing w:after="0" w:line="24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Durante la asamblea se entregó a los integrantes de la mesa un escrito y sus anexos, en donde se reiteró la problemática que enfrentan en la comunidad de Santa Cruz Tanaco, su deseo de recibir un porcentaje del presupuesto de manera directa para satisfacer sus necesidades; mismo que se incorporó al acta de asamblea junto con los registros de asistencia.</w:t>
            </w:r>
          </w:p>
          <w:p w14:paraId="3C758D19" w14:textId="77777777" w:rsidR="009B02C2" w:rsidRPr="00CF2780" w:rsidRDefault="009B02C2" w:rsidP="009B02C2">
            <w:pPr>
              <w:shd w:val="clear" w:color="auto" w:fill="FFFFFF"/>
              <w:spacing w:after="0" w:line="240" w:lineRule="auto"/>
              <w:jc w:val="both"/>
              <w:rPr>
                <w:rFonts w:ascii="Arial" w:eastAsia="Times New Roman" w:hAnsi="Arial" w:cs="Arial"/>
                <w:sz w:val="28"/>
                <w:szCs w:val="28"/>
                <w:lang w:val="es-ES" w:eastAsia="es-ES"/>
              </w:rPr>
            </w:pPr>
          </w:p>
          <w:p w14:paraId="04B2C33D" w14:textId="77777777" w:rsidR="009B02C2" w:rsidRPr="00CF2780" w:rsidRDefault="009B02C2" w:rsidP="009B02C2">
            <w:pPr>
              <w:shd w:val="clear" w:color="auto" w:fill="FFFFFF"/>
              <w:spacing w:after="0" w:line="240" w:lineRule="auto"/>
              <w:jc w:val="both"/>
              <w:rPr>
                <w:rFonts w:ascii="Arial" w:eastAsia="Times New Roman" w:hAnsi="Arial" w:cs="Arial"/>
                <w:b/>
                <w:sz w:val="28"/>
                <w:szCs w:val="28"/>
                <w:lang w:val="es-ES" w:eastAsia="es-ES"/>
              </w:rPr>
            </w:pPr>
            <w:r w:rsidRPr="00CF2780">
              <w:rPr>
                <w:rFonts w:ascii="Arial" w:eastAsia="Times New Roman" w:hAnsi="Arial" w:cs="Arial"/>
                <w:b/>
                <w:sz w:val="28"/>
                <w:szCs w:val="28"/>
                <w:lang w:val="es-ES" w:eastAsia="es-ES"/>
              </w:rPr>
              <w:t>(Folder 4 de autos)</w:t>
            </w:r>
          </w:p>
        </w:tc>
        <w:tc>
          <w:tcPr>
            <w:tcW w:w="2354" w:type="dxa"/>
          </w:tcPr>
          <w:p w14:paraId="58F8B5C1"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tc>
      </w:tr>
    </w:tbl>
    <w:p w14:paraId="30C24D78" w14:textId="77777777" w:rsidR="009B02C2" w:rsidRPr="00CF2780" w:rsidRDefault="009B02C2" w:rsidP="009B02C2">
      <w:pPr>
        <w:spacing w:after="0" w:line="240" w:lineRule="auto"/>
        <w:rPr>
          <w:rFonts w:ascii="Arial" w:eastAsia="Times New Roman" w:hAnsi="Arial" w:cs="Arial"/>
          <w:sz w:val="24"/>
          <w:szCs w:val="24"/>
          <w:lang w:val="es-ES" w:eastAsia="es-ES"/>
        </w:rPr>
      </w:pPr>
    </w:p>
    <w:p w14:paraId="2922C00C" w14:textId="77777777" w:rsidR="009B02C2" w:rsidRPr="00CF2780" w:rsidRDefault="009B02C2" w:rsidP="009B02C2">
      <w:pPr>
        <w:spacing w:after="0" w:line="240" w:lineRule="auto"/>
        <w:rPr>
          <w:rFonts w:ascii="Arial" w:eastAsia="Times New Roman" w:hAnsi="Arial" w:cs="Arial"/>
          <w:sz w:val="24"/>
          <w:szCs w:val="24"/>
          <w:lang w:val="es-ES" w:eastAsia="es-ES"/>
        </w:rPr>
      </w:pPr>
    </w:p>
    <w:p w14:paraId="352E62D4" w14:textId="77777777" w:rsidR="009B02C2" w:rsidRPr="00CF2780" w:rsidRDefault="009B02C2" w:rsidP="009B02C2">
      <w:pPr>
        <w:spacing w:after="0" w:line="240" w:lineRule="auto"/>
        <w:rPr>
          <w:rFonts w:ascii="Arial" w:eastAsia="Times New Roman" w:hAnsi="Arial" w:cs="Arial"/>
          <w:sz w:val="24"/>
          <w:szCs w:val="24"/>
          <w:lang w:val="es-ES" w:eastAsia="es-ES"/>
        </w:rPr>
      </w:pPr>
    </w:p>
    <w:p w14:paraId="4F922A05" w14:textId="77777777" w:rsidR="009B02C2" w:rsidRPr="00CF2780" w:rsidRDefault="009B02C2" w:rsidP="009B02C2">
      <w:pPr>
        <w:spacing w:after="0" w:line="360" w:lineRule="auto"/>
        <w:jc w:val="both"/>
        <w:rPr>
          <w:rFonts w:ascii="Arial" w:eastAsia="Times New Roman" w:hAnsi="Arial" w:cs="Arial"/>
          <w:i/>
          <w:sz w:val="28"/>
          <w:szCs w:val="28"/>
          <w:lang w:val="es-ES" w:eastAsia="es-ES"/>
        </w:rPr>
      </w:pPr>
      <w:r w:rsidRPr="00CF2780">
        <w:rPr>
          <w:rFonts w:ascii="Arial" w:eastAsia="Times New Roman" w:hAnsi="Arial" w:cs="Arial"/>
          <w:i/>
          <w:sz w:val="28"/>
          <w:szCs w:val="28"/>
          <w:lang w:val="es-ES" w:eastAsia="es-ES"/>
        </w:rPr>
        <w:t>Evaluación general del procedimiento de consulta</w:t>
      </w:r>
    </w:p>
    <w:p w14:paraId="3562D4D7"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2B8BF979"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Para esta Sala Superior es preciso advertir que el establecimiento de una carga probatoria para los integrantes de una comunidad indígena, a efecto de que acrediten los extremos fácticos de sus afirmaciones (la realización de un procedimiento de consulta en condiciones de </w:t>
      </w:r>
      <w:r w:rsidRPr="00CF2780">
        <w:rPr>
          <w:rFonts w:ascii="Arial" w:eastAsia="Times New Roman" w:hAnsi="Arial" w:cs="Arial"/>
          <w:sz w:val="28"/>
          <w:szCs w:val="28"/>
          <w:lang w:val="es-ES" w:eastAsia="es-ES"/>
        </w:rPr>
        <w:lastRenderedPageBreak/>
        <w:t xml:space="preserve">discriminación y exclusión indebida) está justificada porque pretenden la invalidación de una consulta realizada a integrantes de una comunidad indígena, respecto de la cual existe una presunción de validez que debe ser desvirtuada, y dado que tal procedimiento democrático implica el ejercicio de derechos fundamentales por sus pares (indígenas purépechas). De esta forma existe un plano de igualdad procesal, máxime que esa exigencia no es desproporcionada, a pesar de que se trate de una carga procesal que obliga a integrantes de una comunidad indígena a actuar en beneficio de su propio interés procesal (artículo 2º, apartado A, fracción VIII, de la Constitución federal). </w:t>
      </w:r>
    </w:p>
    <w:p w14:paraId="33EE67BB"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5C0E436E"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En cuanto a la violación al principio de certeza electoral, si éste se entiende como dotar de facultades expresas a las autoridades locales de modo que todos los participantes en el proceso electoral conozcan previamente con claridad y seguridad las reglas a que su propia actuación y la de las autoridades electorales están sujetas,</w:t>
      </w:r>
      <w:r w:rsidRPr="00CF2780">
        <w:rPr>
          <w:rFonts w:ascii="Arial" w:eastAsia="Times New Roman" w:hAnsi="Arial" w:cs="Arial"/>
          <w:sz w:val="28"/>
          <w:szCs w:val="28"/>
          <w:vertAlign w:val="superscript"/>
          <w:lang w:val="es-ES" w:eastAsia="es-ES"/>
        </w:rPr>
        <w:footnoteReference w:id="29"/>
      </w:r>
      <w:r w:rsidRPr="00CF2780">
        <w:rPr>
          <w:rFonts w:ascii="Arial" w:eastAsia="Times New Roman" w:hAnsi="Arial" w:cs="Arial"/>
          <w:sz w:val="28"/>
          <w:szCs w:val="28"/>
          <w:lang w:val="es-ES" w:eastAsia="es-ES"/>
        </w:rPr>
        <w:t xml:space="preserve"> esta Sala Superior no advierte en qué forma pudo actualizarse una violación al mismo, dado que, desde que esta Sala Superior resolvió el juicio para la protección de los derechos político-electorales del ciudadano SUP-JDC-9167/2011, se establecieron los parámetros aplicables para la realización del procedimiento de consulta. </w:t>
      </w:r>
    </w:p>
    <w:p w14:paraId="2A3DAC47" w14:textId="77777777" w:rsidR="009B02C2" w:rsidRPr="00CF2780" w:rsidRDefault="009B02C2" w:rsidP="009B02C2">
      <w:pPr>
        <w:spacing w:before="100" w:beforeAutospacing="1" w:after="100" w:afterAutospacing="1"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lastRenderedPageBreak/>
        <w:t>En relación con las diversas denuncias que aportan, se trata de denuncias de hechos presentadas por un particular, sin que respecto de la misma, la autoridad penal haya emitido pronunciamiento alguno sobre la existencia o no de delito imputado.</w:t>
      </w:r>
    </w:p>
    <w:p w14:paraId="1B06E70D" w14:textId="77777777" w:rsidR="009B02C2" w:rsidRPr="00CF2780" w:rsidRDefault="009B02C2" w:rsidP="009B02C2">
      <w:pPr>
        <w:spacing w:before="100" w:beforeAutospacing="1" w:after="100" w:afterAutospacing="1" w:line="360" w:lineRule="auto"/>
        <w:jc w:val="both"/>
        <w:rPr>
          <w:rFonts w:ascii="Arial" w:eastAsia="Times New Roman" w:hAnsi="Arial" w:cs="Arial"/>
          <w:color w:val="335C99"/>
          <w:sz w:val="28"/>
          <w:szCs w:val="28"/>
          <w:lang w:val="es-ES" w:eastAsia="es-ES"/>
        </w:rPr>
      </w:pPr>
      <w:r w:rsidRPr="00CF2780">
        <w:rPr>
          <w:rFonts w:ascii="Arial" w:eastAsia="Times New Roman" w:hAnsi="Arial" w:cs="Arial"/>
          <w:sz w:val="28"/>
          <w:szCs w:val="28"/>
          <w:lang w:val="es-ES" w:eastAsia="es-ES"/>
        </w:rPr>
        <w:t>Por lo anterior, la prueba ofrecida de forma alguna acredita la irregularidad planteada por los promoventes, además de que dicha probanza ni siquiera se le puede dar un valor indiciario, toda vez que lo único que se prueba con la misma, es que un particular presentó una denuncia penal, lo que hasta ese momento solamente constituye el dicho de una persona que en términos de lo que establece la legislación electoral procesal, no cuenta con las características contenidas en la ley para ser valorado como un testimonio.</w:t>
      </w:r>
    </w:p>
    <w:p w14:paraId="72DAAD98" w14:textId="77777777" w:rsidR="009B02C2" w:rsidRPr="00CF2780" w:rsidRDefault="009B02C2" w:rsidP="009B02C2">
      <w:pPr>
        <w:spacing w:before="100" w:beforeAutospacing="1" w:after="100" w:afterAutospacing="1"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En lo concerniente a los resultados de la consulta, los impugnantes formulan una impugnación genérica, en cuanto que, por ejemplo, no cuestionan los resultados numéricos alcanzados o las preguntas planteadas, o bien, el procedimiento mismo, sino que la hacen depender de las supuestas violaciones cometidas en el procedimiento de consulta, razón por la cual, dado que no acreditan las irregularidades alegadas, su agravio carece de sustento.</w:t>
      </w:r>
    </w:p>
    <w:p w14:paraId="4A42922F"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En el caso específico se puede estimar, de cara a los agravios hechos valer, que el procedimiento de consulta se siguió regularmente, conforme con los parámetros aplicables, en particular los principios de universalidad y el equitativo, razón por la cual no se sustenta la afirmación de los promoventes en el sentido de que fueron excluidos del </w:t>
      </w:r>
      <w:r w:rsidRPr="00CF2780">
        <w:rPr>
          <w:rFonts w:ascii="Arial" w:eastAsia="Times New Roman" w:hAnsi="Arial" w:cs="Arial"/>
          <w:sz w:val="28"/>
          <w:szCs w:val="28"/>
          <w:lang w:val="es-ES" w:eastAsia="es-ES"/>
        </w:rPr>
        <w:lastRenderedPageBreak/>
        <w:t>procedimiento de la consulta, violando el principio de igualdad y no discriminación.</w:t>
      </w:r>
    </w:p>
    <w:p w14:paraId="76EEF98D"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48E88651"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En los motivos de impugnación los demandantes plantean, esencialmente, que fueron discriminados, en un primer momento, durante la preparación de la consulta, puesto que sostienen que no se hizo la difusión suficiente de la fecha y lugares en los que se desahogaría la consulta y, luego, durante el desahogo de la consulta en la que se les impidió participar.  </w:t>
      </w:r>
    </w:p>
    <w:p w14:paraId="1B75A114"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0AB132F8"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Como se indicó, los agravios resultan infundados, toda vez que </w:t>
      </w:r>
    </w:p>
    <w:p w14:paraId="4AFCF822"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de las constancias existentes en autos esta Sala Superior advierte que el procedimiento de consulta (que abarcó dos fases: el desarrollo de la fase informativa y el desarrollo de las asambleas de consulta) se efectuó con regularidad, con la participación  plural de los habitantes de las comunidades de San Franciso Cherán y Santa Cruz Tanaco, pertenecientes al Municipio de Cherán, Michoacán, en un ambiente de libertad y en ausencia de hechos violentos o actos que pudieran llevar a la conclusión opuesta, como se expondrá a continuación.</w:t>
      </w:r>
    </w:p>
    <w:p w14:paraId="65C8185A"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485B1308" w14:textId="77777777" w:rsidR="009B02C2" w:rsidRPr="00CF2780" w:rsidRDefault="009B02C2" w:rsidP="009B02C2">
      <w:pPr>
        <w:spacing w:after="0" w:line="360" w:lineRule="auto"/>
        <w:jc w:val="both"/>
        <w:rPr>
          <w:rFonts w:ascii="Arial" w:eastAsia="Times New Roman" w:hAnsi="Arial" w:cs="Arial"/>
          <w:b/>
          <w:sz w:val="28"/>
          <w:szCs w:val="28"/>
          <w:lang w:val="es-ES" w:eastAsia="es-ES"/>
        </w:rPr>
      </w:pPr>
      <w:r w:rsidRPr="00CF2780">
        <w:rPr>
          <w:rFonts w:ascii="Arial" w:eastAsia="Times New Roman" w:hAnsi="Arial" w:cs="Arial"/>
          <w:b/>
          <w:sz w:val="28"/>
          <w:szCs w:val="28"/>
          <w:lang w:val="es-ES" w:eastAsia="es-ES"/>
        </w:rPr>
        <w:t xml:space="preserve">Comunidad de San Francisco Cherán </w:t>
      </w:r>
    </w:p>
    <w:p w14:paraId="68F5E7AE" w14:textId="77777777" w:rsidR="009B02C2" w:rsidRPr="00CF2780" w:rsidRDefault="009B02C2" w:rsidP="009B02C2">
      <w:pPr>
        <w:spacing w:after="0" w:line="360" w:lineRule="auto"/>
        <w:jc w:val="both"/>
        <w:rPr>
          <w:rFonts w:ascii="Arial" w:eastAsia="Times New Roman" w:hAnsi="Arial" w:cs="Arial"/>
          <w:b/>
          <w:sz w:val="28"/>
          <w:szCs w:val="28"/>
          <w:lang w:val="es-ES" w:eastAsia="es-ES"/>
        </w:rPr>
      </w:pPr>
    </w:p>
    <w:p w14:paraId="3CC5ECE1"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La comunidad indígena de Cherán está conformada por cuatro barrios. Como podrá advertirse del mapa que abajo se inserta,</w:t>
      </w:r>
      <w:r w:rsidRPr="00CF2780">
        <w:rPr>
          <w:rFonts w:ascii="Arial" w:eastAsia="Times New Roman" w:hAnsi="Arial" w:cs="Arial"/>
          <w:sz w:val="28"/>
          <w:szCs w:val="28"/>
          <w:vertAlign w:val="superscript"/>
          <w:lang w:val="es-ES" w:eastAsia="es-ES"/>
        </w:rPr>
        <w:footnoteReference w:id="30"/>
      </w:r>
      <w:r w:rsidRPr="00CF2780">
        <w:rPr>
          <w:rFonts w:ascii="Arial" w:eastAsia="Times New Roman" w:hAnsi="Arial" w:cs="Arial"/>
          <w:sz w:val="28"/>
          <w:szCs w:val="28"/>
          <w:lang w:val="es-ES" w:eastAsia="es-ES"/>
        </w:rPr>
        <w:t xml:space="preserve"> los cuatro barrios son colindantes entre sí.  </w:t>
      </w:r>
    </w:p>
    <w:p w14:paraId="101D5872"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50D6C5AF" w14:textId="1CDDD698"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noProof/>
          <w:sz w:val="28"/>
          <w:szCs w:val="28"/>
          <w:lang w:eastAsia="es-MX"/>
        </w:rPr>
        <w:drawing>
          <wp:inline distT="0" distB="0" distL="0" distR="0" wp14:anchorId="0CFE3FBD" wp14:editId="08B1823B">
            <wp:extent cx="5074920" cy="4061460"/>
            <wp:effectExtent l="0" t="0" r="0" b="0"/>
            <wp:docPr id="1" name="Imagen 1" descr="C:\Users\javier.ortizf\AppData\Local\Microsoft\Windows\Temporary Internet Files\Content.Outlook\D09JYNEB\chera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javier.ortizf\AppData\Local\Microsoft\Windows\Temporary Internet Files\Content.Outlook\D09JYNEB\cheran.bmp"/>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74920" cy="4061460"/>
                    </a:xfrm>
                    <a:prstGeom prst="rect">
                      <a:avLst/>
                    </a:prstGeom>
                    <a:noFill/>
                    <a:ln>
                      <a:noFill/>
                    </a:ln>
                  </pic:spPr>
                </pic:pic>
              </a:graphicData>
            </a:graphic>
          </wp:inline>
        </w:drawing>
      </w:r>
    </w:p>
    <w:p w14:paraId="5A6AB439"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4A90CCE4" w14:textId="77777777" w:rsidR="009B02C2" w:rsidRPr="00CF2780" w:rsidRDefault="009B02C2" w:rsidP="009B02C2">
      <w:pPr>
        <w:spacing w:after="0" w:line="360" w:lineRule="auto"/>
        <w:jc w:val="both"/>
        <w:rPr>
          <w:rFonts w:ascii="Arial" w:eastAsia="Times New Roman" w:hAnsi="Arial" w:cs="Arial"/>
          <w:b/>
          <w:bCs/>
          <w:sz w:val="28"/>
          <w:szCs w:val="28"/>
          <w:lang w:val="es-ES" w:eastAsia="es-ES"/>
        </w:rPr>
      </w:pPr>
      <w:r w:rsidRPr="00CF2780">
        <w:rPr>
          <w:rFonts w:ascii="Arial" w:eastAsia="Times New Roman" w:hAnsi="Arial" w:cs="Arial"/>
          <w:b/>
          <w:bCs/>
          <w:sz w:val="28"/>
          <w:szCs w:val="28"/>
          <w:lang w:val="es-ES" w:eastAsia="es-ES"/>
        </w:rPr>
        <w:t>Jarhukutini</w:t>
      </w:r>
      <w:r w:rsidRPr="00CF2780">
        <w:rPr>
          <w:rFonts w:ascii="Arial" w:eastAsia="Times New Roman" w:hAnsi="Arial" w:cs="Arial"/>
          <w:sz w:val="28"/>
          <w:szCs w:val="28"/>
          <w:lang w:val="es-ES" w:eastAsia="es-ES"/>
        </w:rPr>
        <w:t xml:space="preserve"> </w:t>
      </w:r>
      <w:r w:rsidRPr="00CF2780">
        <w:rPr>
          <w:rFonts w:ascii="Arial" w:eastAsia="Times New Roman" w:hAnsi="Arial" w:cs="Arial"/>
          <w:b/>
          <w:bCs/>
          <w:sz w:val="28"/>
          <w:szCs w:val="28"/>
          <w:lang w:val="es-ES" w:eastAsia="es-ES"/>
        </w:rPr>
        <w:t>Barrio 1</w:t>
      </w:r>
    </w:p>
    <w:p w14:paraId="30112D08"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1DF95C75"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La asamblea de consulta se celebró el dieciocho de diciembre de dos mil once en la Escuela Casimiro Leco López, con domicilio en Morelos Poniente número 176 en dicho Municipio. </w:t>
      </w:r>
    </w:p>
    <w:p w14:paraId="025CB219"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39292866"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Conforme al acta de asamblea, a la cual se anexan las listas de registro (la copia certificada de la misma obra en el folder 4 de autos), previamente a la consulta, a las 9:00 horas de ese día dio inicio el registro de los asistentes, mismo que concluyó a las 12:39 horas, </w:t>
      </w:r>
      <w:r w:rsidRPr="00CF2780">
        <w:rPr>
          <w:rFonts w:ascii="Arial" w:eastAsia="Times New Roman" w:hAnsi="Arial" w:cs="Arial"/>
          <w:sz w:val="28"/>
          <w:szCs w:val="28"/>
          <w:lang w:val="es-ES" w:eastAsia="es-ES"/>
        </w:rPr>
        <w:lastRenderedPageBreak/>
        <w:t>habiéndose registrado un total de 783 (setecientas ochenta y tres) personas.</w:t>
      </w:r>
    </w:p>
    <w:p w14:paraId="7AFF9730"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3A57FDE1"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Después de que se les formularon las preguntas señaladas en la convocatoria respectiva, </w:t>
      </w:r>
      <w:r w:rsidRPr="00CF2780">
        <w:rPr>
          <w:rFonts w:ascii="Arial" w:eastAsia="Times New Roman" w:hAnsi="Arial" w:cs="Arial"/>
          <w:b/>
          <w:bCs/>
          <w:sz w:val="28"/>
          <w:szCs w:val="28"/>
          <w:lang w:val="es-ES" w:eastAsia="es-ES"/>
        </w:rPr>
        <w:t xml:space="preserve">731 </w:t>
      </w:r>
      <w:r w:rsidRPr="00CF2780">
        <w:rPr>
          <w:rFonts w:ascii="Arial" w:eastAsia="Times New Roman" w:hAnsi="Arial" w:cs="Arial"/>
          <w:sz w:val="28"/>
          <w:szCs w:val="28"/>
          <w:lang w:val="es-ES" w:eastAsia="es-ES"/>
        </w:rPr>
        <w:t xml:space="preserve">personas votaron a favor de la elección de sus autoridades municipales por el sistema de usos y costumbres y </w:t>
      </w:r>
      <w:r w:rsidRPr="00CF2780">
        <w:rPr>
          <w:rFonts w:ascii="Arial" w:eastAsia="Times New Roman" w:hAnsi="Arial" w:cs="Arial"/>
          <w:b/>
          <w:bCs/>
          <w:sz w:val="28"/>
          <w:szCs w:val="28"/>
          <w:lang w:val="es-ES" w:eastAsia="es-ES"/>
        </w:rPr>
        <w:t>4</w:t>
      </w:r>
      <w:r w:rsidRPr="00CF2780">
        <w:rPr>
          <w:rFonts w:ascii="Arial" w:eastAsia="Times New Roman" w:hAnsi="Arial" w:cs="Arial"/>
          <w:sz w:val="28"/>
          <w:szCs w:val="28"/>
          <w:lang w:val="es-ES" w:eastAsia="es-ES"/>
        </w:rPr>
        <w:t xml:space="preserve"> personas votaron en contra. </w:t>
      </w:r>
    </w:p>
    <w:p w14:paraId="5CB37AE0"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6C7DD0EB" w14:textId="77777777" w:rsidR="009B02C2" w:rsidRPr="00CF2780" w:rsidRDefault="009B02C2" w:rsidP="009B02C2">
      <w:pPr>
        <w:spacing w:after="0" w:line="360" w:lineRule="auto"/>
        <w:jc w:val="both"/>
        <w:rPr>
          <w:rFonts w:ascii="Arial" w:eastAsia="Times New Roman" w:hAnsi="Arial" w:cs="Arial"/>
          <w:b/>
          <w:bCs/>
          <w:sz w:val="28"/>
          <w:szCs w:val="28"/>
          <w:lang w:val="es-ES" w:eastAsia="es-ES"/>
        </w:rPr>
      </w:pPr>
      <w:r w:rsidRPr="00CF2780">
        <w:rPr>
          <w:rFonts w:ascii="Arial" w:eastAsia="Times New Roman" w:hAnsi="Arial" w:cs="Arial"/>
          <w:b/>
          <w:bCs/>
          <w:sz w:val="28"/>
          <w:szCs w:val="28"/>
          <w:lang w:val="es-ES" w:eastAsia="es-ES"/>
        </w:rPr>
        <w:t>Ketsikua</w:t>
      </w:r>
      <w:r w:rsidRPr="00CF2780">
        <w:rPr>
          <w:rFonts w:ascii="Arial" w:eastAsia="Times New Roman" w:hAnsi="Arial" w:cs="Arial"/>
          <w:sz w:val="28"/>
          <w:szCs w:val="28"/>
          <w:lang w:val="es-ES" w:eastAsia="es-ES"/>
        </w:rPr>
        <w:t xml:space="preserve"> </w:t>
      </w:r>
      <w:r w:rsidRPr="00CF2780">
        <w:rPr>
          <w:rFonts w:ascii="Arial" w:eastAsia="Times New Roman" w:hAnsi="Arial" w:cs="Arial"/>
          <w:b/>
          <w:bCs/>
          <w:sz w:val="28"/>
          <w:szCs w:val="28"/>
          <w:lang w:val="es-ES" w:eastAsia="es-ES"/>
        </w:rPr>
        <w:t>Barrio 2</w:t>
      </w:r>
    </w:p>
    <w:p w14:paraId="31C4B6A4"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629F8160"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La asamblea de consulta se realizó el dieciocho de diciembre de dos mil once en la Escuela Lázaro Cárdenas, con domicilio en la calle Aquiles Serdán, sin número, en dicho municipio.  </w:t>
      </w:r>
    </w:p>
    <w:p w14:paraId="1C332AE0"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72009589"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Conforme al acta de asamblea, a la cual se anexan las listas de registro (la copia certificada de la misma obra en el folder 4 de autos), previamente a la consulta, a las 9:00 horas del mismo día dio inicio el registro de los asistentes a la asamblea, mismo que concluyó a las 12:00 horas, habiéndose registrado un total de 1353 (mil trescientas cincuenta y tres) personas.</w:t>
      </w:r>
    </w:p>
    <w:p w14:paraId="1B759186"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085C72C3"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Después de que se les formularon las preguntas señaladas en la convocatoria respectiva, </w:t>
      </w:r>
      <w:r w:rsidRPr="00CF2780">
        <w:rPr>
          <w:rFonts w:ascii="Arial" w:eastAsia="Times New Roman" w:hAnsi="Arial" w:cs="Arial"/>
          <w:b/>
          <w:bCs/>
          <w:sz w:val="28"/>
          <w:szCs w:val="28"/>
          <w:lang w:val="es-ES" w:eastAsia="es-ES"/>
        </w:rPr>
        <w:t>1240</w:t>
      </w:r>
      <w:r w:rsidRPr="00CF2780">
        <w:rPr>
          <w:rFonts w:ascii="Arial" w:eastAsia="Times New Roman" w:hAnsi="Arial" w:cs="Arial"/>
          <w:sz w:val="28"/>
          <w:szCs w:val="28"/>
          <w:lang w:val="es-ES" w:eastAsia="es-ES"/>
        </w:rPr>
        <w:t xml:space="preserve"> personas votaron a favor de la elección de sus autoridades municipales por el sistema de usos y costumbres y </w:t>
      </w:r>
      <w:r w:rsidRPr="00CF2780">
        <w:rPr>
          <w:rFonts w:ascii="Arial" w:eastAsia="Times New Roman" w:hAnsi="Arial" w:cs="Arial"/>
          <w:b/>
          <w:bCs/>
          <w:sz w:val="28"/>
          <w:szCs w:val="28"/>
          <w:lang w:val="es-ES" w:eastAsia="es-ES"/>
        </w:rPr>
        <w:t>3</w:t>
      </w:r>
      <w:r w:rsidRPr="00CF2780">
        <w:rPr>
          <w:rFonts w:ascii="Arial" w:eastAsia="Times New Roman" w:hAnsi="Arial" w:cs="Arial"/>
          <w:sz w:val="28"/>
          <w:szCs w:val="28"/>
          <w:lang w:val="es-ES" w:eastAsia="es-ES"/>
        </w:rPr>
        <w:t xml:space="preserve"> personas votaron en contra. </w:t>
      </w:r>
    </w:p>
    <w:p w14:paraId="5DAB5557" w14:textId="77777777" w:rsidR="009B02C2" w:rsidRPr="00CF2780" w:rsidRDefault="009B02C2" w:rsidP="009B02C2">
      <w:pPr>
        <w:spacing w:after="0" w:line="360" w:lineRule="auto"/>
        <w:jc w:val="both"/>
        <w:rPr>
          <w:rFonts w:ascii="Arial" w:eastAsia="Times New Roman" w:hAnsi="Arial" w:cs="Arial"/>
          <w:b/>
          <w:sz w:val="28"/>
          <w:szCs w:val="28"/>
          <w:lang w:val="es-ES" w:eastAsia="es-ES"/>
        </w:rPr>
      </w:pPr>
    </w:p>
    <w:p w14:paraId="10F5D4C8"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KARAKUA</w:t>
      </w:r>
      <w:r w:rsidRPr="00CF2780">
        <w:rPr>
          <w:rFonts w:ascii="Arial" w:eastAsia="Times New Roman" w:hAnsi="Arial" w:cs="Arial"/>
          <w:sz w:val="28"/>
          <w:szCs w:val="28"/>
          <w:lang w:val="es-ES" w:eastAsia="es-ES"/>
        </w:rPr>
        <w:t xml:space="preserve"> Barrio 3</w:t>
      </w:r>
    </w:p>
    <w:p w14:paraId="41F0BEE5"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4BD8208C"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La asamblea de consulta se celebró el dieciocho de diciembre de dos mil once en la Escuela José María Morelos, con domicilio en Guerrero esquina 18 de marzo sin número en dicho Municipio. </w:t>
      </w:r>
    </w:p>
    <w:p w14:paraId="3D656E08"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773AF435"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Conforme al acta de asamblea, a la cual se anexan las listas de registro (la copia certificada de la misma obra en el folder 4 de autos), previamente a la consulta, a las 9:00 horas de ese día dio inicio el registro de los asistentes, mismo que concluyó a las 12:23 horas, habiéndose registrado un total de 1443 (un mil cuatrocientos cuarenta y tres) personas.</w:t>
      </w:r>
    </w:p>
    <w:p w14:paraId="2BB78426"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3A55790D"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Después de que se les formularon las preguntas señaladas en la convocatoria respectiva, </w:t>
      </w:r>
      <w:r w:rsidRPr="00CF2780">
        <w:rPr>
          <w:rFonts w:ascii="Arial" w:eastAsia="Times New Roman" w:hAnsi="Arial" w:cs="Arial"/>
          <w:b/>
          <w:sz w:val="28"/>
          <w:szCs w:val="28"/>
          <w:lang w:val="es-ES" w:eastAsia="es-ES"/>
        </w:rPr>
        <w:t>1432</w:t>
      </w:r>
      <w:r w:rsidRPr="00CF2780">
        <w:rPr>
          <w:rFonts w:ascii="Arial" w:eastAsia="Times New Roman" w:hAnsi="Arial" w:cs="Arial"/>
          <w:sz w:val="28"/>
          <w:szCs w:val="28"/>
          <w:lang w:val="es-ES" w:eastAsia="es-ES"/>
        </w:rPr>
        <w:t xml:space="preserve"> personas votaron a favor de la elección de sus autoridades municipales por el sistema de usos y costumbres y </w:t>
      </w:r>
      <w:r w:rsidRPr="00CF2780">
        <w:rPr>
          <w:rFonts w:ascii="Arial" w:eastAsia="Times New Roman" w:hAnsi="Arial" w:cs="Arial"/>
          <w:b/>
          <w:sz w:val="28"/>
          <w:szCs w:val="28"/>
          <w:lang w:val="es-ES" w:eastAsia="es-ES"/>
        </w:rPr>
        <w:t>0</w:t>
      </w:r>
      <w:r w:rsidRPr="00CF2780">
        <w:rPr>
          <w:rFonts w:ascii="Arial" w:eastAsia="Times New Roman" w:hAnsi="Arial" w:cs="Arial"/>
          <w:sz w:val="28"/>
          <w:szCs w:val="28"/>
          <w:lang w:val="es-ES" w:eastAsia="es-ES"/>
        </w:rPr>
        <w:t xml:space="preserve"> votaron en contra. </w:t>
      </w:r>
    </w:p>
    <w:p w14:paraId="7C11B9FE"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4F19300C"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P´ARHIKUTINI</w:t>
      </w:r>
      <w:r w:rsidRPr="00CF2780">
        <w:rPr>
          <w:rFonts w:ascii="Arial" w:eastAsia="Times New Roman" w:hAnsi="Arial" w:cs="Arial"/>
          <w:sz w:val="28"/>
          <w:szCs w:val="28"/>
          <w:lang w:val="es-ES" w:eastAsia="es-ES"/>
        </w:rPr>
        <w:t xml:space="preserve"> Barrio 4</w:t>
      </w:r>
    </w:p>
    <w:p w14:paraId="1455100F"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1E55BECE"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 La asamblea de consulta se realizó el dieciocho de diciembre de dos mil once en la Escuela Federico Hernández tapia, con domicilio en la calle Francisco I Madero sin número en dicho municipio.  </w:t>
      </w:r>
    </w:p>
    <w:p w14:paraId="5A85B6E2"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56C5D1F8"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Conforme al acta de asamblea, a la cual se anexan las listas de registro (la copia certificada de la misma obra en el folder 4 de autos), previamente a la consulta, a las 9:00 horas del mismo día dio inicio el registro de los asistentes a la asamblea, mismo que concluyó a las </w:t>
      </w:r>
      <w:r w:rsidRPr="00CF2780">
        <w:rPr>
          <w:rFonts w:ascii="Arial" w:eastAsia="Times New Roman" w:hAnsi="Arial" w:cs="Arial"/>
          <w:sz w:val="28"/>
          <w:szCs w:val="28"/>
          <w:lang w:val="es-ES" w:eastAsia="es-ES"/>
        </w:rPr>
        <w:lastRenderedPageBreak/>
        <w:t>13:00 horas, habiéndose registrado un total de 1444 (mil cuatrocientos cuarenta y cuatro) personas.</w:t>
      </w:r>
    </w:p>
    <w:p w14:paraId="7E14F713"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055787E5"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Después de que se les formularon las preguntas señaladas en la convocatoria respectiva, </w:t>
      </w:r>
      <w:r w:rsidRPr="00CF2780">
        <w:rPr>
          <w:rFonts w:ascii="Arial" w:eastAsia="Times New Roman" w:hAnsi="Arial" w:cs="Arial"/>
          <w:b/>
          <w:sz w:val="28"/>
          <w:szCs w:val="28"/>
          <w:lang w:val="es-ES" w:eastAsia="es-ES"/>
        </w:rPr>
        <w:t>1443</w:t>
      </w:r>
      <w:r w:rsidRPr="00CF2780">
        <w:rPr>
          <w:rFonts w:ascii="Arial" w:eastAsia="Times New Roman" w:hAnsi="Arial" w:cs="Arial"/>
          <w:sz w:val="28"/>
          <w:szCs w:val="28"/>
          <w:lang w:val="es-ES" w:eastAsia="es-ES"/>
        </w:rPr>
        <w:t xml:space="preserve"> personas votaron a favor de la elección de sus autoridades municipales por el sistema de usos y costumbres y </w:t>
      </w:r>
      <w:r w:rsidRPr="00CF2780">
        <w:rPr>
          <w:rFonts w:ascii="Arial" w:eastAsia="Times New Roman" w:hAnsi="Arial" w:cs="Arial"/>
          <w:b/>
          <w:sz w:val="28"/>
          <w:szCs w:val="28"/>
          <w:lang w:val="es-ES" w:eastAsia="es-ES"/>
        </w:rPr>
        <w:t>1</w:t>
      </w:r>
      <w:r w:rsidRPr="00CF2780">
        <w:rPr>
          <w:rFonts w:ascii="Arial" w:eastAsia="Times New Roman" w:hAnsi="Arial" w:cs="Arial"/>
          <w:sz w:val="28"/>
          <w:szCs w:val="28"/>
          <w:lang w:val="es-ES" w:eastAsia="es-ES"/>
        </w:rPr>
        <w:t xml:space="preserve"> persona votó en contra. </w:t>
      </w:r>
    </w:p>
    <w:p w14:paraId="0A051690"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003F58E6" w14:textId="77777777" w:rsidR="009B02C2" w:rsidRPr="00CF2780" w:rsidRDefault="009B02C2" w:rsidP="009B02C2">
      <w:pPr>
        <w:spacing w:after="0" w:line="360" w:lineRule="auto"/>
        <w:jc w:val="both"/>
        <w:rPr>
          <w:rFonts w:ascii="Arial" w:eastAsia="Times New Roman" w:hAnsi="Arial" w:cs="Arial"/>
          <w:b/>
          <w:bCs/>
          <w:sz w:val="28"/>
          <w:szCs w:val="28"/>
          <w:lang w:val="es-ES" w:eastAsia="es-ES"/>
        </w:rPr>
      </w:pPr>
      <w:r w:rsidRPr="00CF2780">
        <w:rPr>
          <w:rFonts w:ascii="Arial" w:eastAsia="Times New Roman" w:hAnsi="Arial" w:cs="Arial"/>
          <w:b/>
          <w:bCs/>
          <w:sz w:val="28"/>
          <w:szCs w:val="28"/>
          <w:lang w:val="es-ES" w:eastAsia="es-ES"/>
        </w:rPr>
        <w:t>Santa Cruz Tanaco, Cabecera Municipal</w:t>
      </w:r>
    </w:p>
    <w:p w14:paraId="19422714" w14:textId="77777777" w:rsidR="009B02C2" w:rsidRPr="00CF2780" w:rsidRDefault="009B02C2" w:rsidP="009B02C2">
      <w:pPr>
        <w:spacing w:after="0" w:line="360" w:lineRule="auto"/>
        <w:jc w:val="both"/>
        <w:rPr>
          <w:rFonts w:ascii="Arial" w:eastAsia="Times New Roman" w:hAnsi="Arial" w:cs="Arial"/>
          <w:b/>
          <w:bCs/>
          <w:sz w:val="28"/>
          <w:szCs w:val="28"/>
          <w:lang w:val="es-ES" w:eastAsia="es-ES"/>
        </w:rPr>
      </w:pPr>
    </w:p>
    <w:p w14:paraId="19E1F499"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La asamblea de consulta se celebró el dieciocho de diciembre de dos mil once en la Escuela Emilio Bravo, con domicilio conocido en dicha comunidad. </w:t>
      </w:r>
    </w:p>
    <w:p w14:paraId="0C715A9F"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73AE44E8"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Conforme al acta de asamblea, a la cual se anexan las listas de registro (la copia certificada de la misma obra en el folder 4 de autos), previamente a la consulta, se asentó el registro de los asistentes, el cual arrojó un total de 498 (cuatrocientos noventa y ocho) personas.</w:t>
      </w:r>
    </w:p>
    <w:p w14:paraId="7F965EB0"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46BB7342"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Después de que se les formularon las preguntas señaladas en la convocatoria respectiva, </w:t>
      </w:r>
      <w:r w:rsidRPr="00CF2780">
        <w:rPr>
          <w:rFonts w:ascii="Arial" w:eastAsia="Times New Roman" w:hAnsi="Arial" w:cs="Arial"/>
          <w:b/>
          <w:bCs/>
          <w:sz w:val="28"/>
          <w:szCs w:val="28"/>
          <w:lang w:val="es-ES" w:eastAsia="es-ES"/>
        </w:rPr>
        <w:t>todas las personas votaron unánimemente en contra</w:t>
      </w:r>
      <w:r w:rsidRPr="00CF2780">
        <w:rPr>
          <w:rFonts w:ascii="Arial" w:eastAsia="Times New Roman" w:hAnsi="Arial" w:cs="Arial"/>
          <w:sz w:val="28"/>
          <w:szCs w:val="28"/>
          <w:lang w:val="es-ES" w:eastAsia="es-ES"/>
        </w:rPr>
        <w:t xml:space="preserve"> de la elección de sus autoridades municipales por el sistema de usos y costumbres. </w:t>
      </w:r>
    </w:p>
    <w:p w14:paraId="2041856B" w14:textId="77777777" w:rsidR="009B02C2" w:rsidRPr="00CF2780" w:rsidRDefault="009B02C2" w:rsidP="009B02C2">
      <w:pPr>
        <w:spacing w:after="0" w:line="360" w:lineRule="auto"/>
        <w:jc w:val="both"/>
        <w:rPr>
          <w:rFonts w:ascii="Arial" w:eastAsia="Times New Roman" w:hAnsi="Arial" w:cs="Arial"/>
          <w:b/>
          <w:bCs/>
          <w:sz w:val="28"/>
          <w:szCs w:val="28"/>
          <w:lang w:val="es-ES" w:eastAsia="es-ES"/>
        </w:rPr>
      </w:pPr>
    </w:p>
    <w:p w14:paraId="0CA81691"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27767119"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Conforme a lo expuesto, en la consulta participaron un total de </w:t>
      </w:r>
      <w:r w:rsidRPr="00CF2780">
        <w:rPr>
          <w:rFonts w:ascii="Arial" w:eastAsia="Times New Roman" w:hAnsi="Arial" w:cs="Arial"/>
          <w:b/>
          <w:sz w:val="28"/>
          <w:szCs w:val="28"/>
          <w:lang w:val="es-ES" w:eastAsia="es-ES"/>
        </w:rPr>
        <w:t>5,352</w:t>
      </w:r>
      <w:r w:rsidRPr="00CF2780">
        <w:rPr>
          <w:rFonts w:ascii="Arial" w:eastAsia="Times New Roman" w:hAnsi="Arial" w:cs="Arial"/>
          <w:sz w:val="28"/>
          <w:szCs w:val="28"/>
          <w:lang w:val="es-ES" w:eastAsia="es-ES"/>
        </w:rPr>
        <w:t xml:space="preserve"> habitantes del Municipio de Cherán, Michoacán, lo que constituye una </w:t>
      </w:r>
      <w:r w:rsidRPr="00CF2780">
        <w:rPr>
          <w:rFonts w:ascii="Arial" w:eastAsia="Times New Roman" w:hAnsi="Arial" w:cs="Arial"/>
          <w:sz w:val="28"/>
          <w:szCs w:val="28"/>
          <w:lang w:val="es-ES" w:eastAsia="es-ES"/>
        </w:rPr>
        <w:lastRenderedPageBreak/>
        <w:t>participación, en términos relativos, de 39.33 %, en relación con la lista nominal de electores del Registro Federal de Electores del Instituto Federal Electoral, en ese Municipio, que es de 13,608 ciudadanos</w:t>
      </w:r>
      <w:r w:rsidRPr="00CF2780">
        <w:rPr>
          <w:rFonts w:ascii="Arial" w:eastAsia="Times New Roman" w:hAnsi="Arial" w:cs="Arial"/>
          <w:sz w:val="28"/>
          <w:szCs w:val="28"/>
          <w:vertAlign w:val="superscript"/>
          <w:lang w:val="es-ES" w:eastAsia="es-ES"/>
        </w:rPr>
        <w:footnoteReference w:id="31"/>
      </w:r>
      <w:r w:rsidRPr="00CF2780">
        <w:rPr>
          <w:rFonts w:ascii="Arial" w:eastAsia="Times New Roman" w:hAnsi="Arial" w:cs="Arial"/>
          <w:sz w:val="28"/>
          <w:szCs w:val="28"/>
          <w:lang w:val="es-ES" w:eastAsia="es-ES"/>
        </w:rPr>
        <w:t xml:space="preserve"> y si bien esa participación podría considerarse como menor en una perspectiva histórica, es el caso que resulta significativa, dado que el procedimiento de consulta constituye un ejercicio inédito. </w:t>
      </w:r>
    </w:p>
    <w:p w14:paraId="05DD9D4F"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21E88F48"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Es preciso destacar que la consulta se realizó directamente con los ciudadanos, con la intervención de la máxima autoridad electoral administrativa, conforme a sus atribuciones legales, tal como lo estableció esta Sala Superior en la sentencia recaída en el juicio para la protección de los derechos político-electorales del ciudadano SUP-JDC-9167/2011. </w:t>
      </w:r>
    </w:p>
    <w:p w14:paraId="71CD7DBE"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735DD1E3"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El procedimiento de consulta se desarrolló en dos fases: en la primera se celebraron asambleas informativas, lo que significa que se cumplió con el principio relativo al carácter informado de la consulta; ésta estuvo precedida, además, por una divulgación amplia en el Municipio de las convocatorias respectivas en las que, como se apuntó, se señaló la mecánica por seguir y los términos de las preguntas de la consulta. </w:t>
      </w:r>
    </w:p>
    <w:p w14:paraId="7149F902"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3DE2B232"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3CDAF45E"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Para el desarrollo de la consulta se estableció que no se requeriría identificación, ya sería suficiente que las personas se registren en el listado y sea identificado por la persona designada por la comunidad. </w:t>
      </w:r>
    </w:p>
    <w:p w14:paraId="36DD8993"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6BF3948E"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En las actas respectivas no se consigna incidente alguno sobre irregularidades cometidas durante el procedimiento de consulta; en el entendido de que en la consulta en el barrio 2º, KETSIKUA, en la comunidad de San Francisco Cherán, se asienta que </w:t>
      </w:r>
      <w:r w:rsidRPr="00CF2780">
        <w:rPr>
          <w:rFonts w:ascii="Arial" w:eastAsia="Times New Roman" w:hAnsi="Arial" w:cs="Arial"/>
          <w:b/>
          <w:i/>
          <w:sz w:val="28"/>
          <w:szCs w:val="28"/>
          <w:lang w:val="es-ES" w:eastAsia="es-ES"/>
        </w:rPr>
        <w:t>“antes de iniciar la asamblea algunos comuneros y comuneras informaron que regresaban [sic], pero cuando lo hicieron ya la puerta se encontraba cerrada porque había dado inicio la asamblea, por lo que se quedaron afuera permaneciendo ahí; por eso no coincide la cifra del número de asistentes (1353) con el número que participaron (1243)”</w:t>
      </w:r>
      <w:r w:rsidRPr="00CF2780">
        <w:rPr>
          <w:rFonts w:ascii="Arial" w:eastAsia="Times New Roman" w:hAnsi="Arial" w:cs="Arial"/>
          <w:sz w:val="28"/>
          <w:szCs w:val="28"/>
          <w:lang w:val="es-ES" w:eastAsia="es-ES"/>
        </w:rPr>
        <w:t>.  Sin embargo, no obra constancia alguna que acredite que las personas que no participaron en la consulta, por la razón señalada, sean los ahora actores.</w:t>
      </w:r>
    </w:p>
    <w:p w14:paraId="7A9708B7"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0F363B83"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Otros elementos probatorios de los que se obtiene que los actores tenían conocimiento que se estaba llevando a cabo el procedimiento para la realización de la consulta, consisten en el propio escrito de demanda y otros dos documentos que obran en autos.</w:t>
      </w:r>
    </w:p>
    <w:p w14:paraId="2E95BAC7"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412B21E2"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En efecto, en los hechos sexto y séptimo de la demanda, los actores hicieron las siguientes afirmaciones:</w:t>
      </w:r>
    </w:p>
    <w:p w14:paraId="2EBFC0C8"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0D537ECB" w14:textId="77777777" w:rsidR="009B02C2" w:rsidRPr="00CF2780" w:rsidRDefault="009B02C2" w:rsidP="009B02C2">
      <w:pPr>
        <w:spacing w:after="0" w:line="240" w:lineRule="auto"/>
        <w:ind w:left="709" w:right="709"/>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w:t>
      </w:r>
      <w:r w:rsidRPr="00CF2780">
        <w:rPr>
          <w:rFonts w:ascii="Arial" w:eastAsia="Times New Roman" w:hAnsi="Arial" w:cs="Arial"/>
          <w:b/>
          <w:sz w:val="24"/>
          <w:szCs w:val="24"/>
          <w:lang w:val="es-ES" w:eastAsia="es-ES"/>
        </w:rPr>
        <w:t>SEXTO.</w:t>
      </w:r>
      <w:r w:rsidRPr="00CF2780">
        <w:rPr>
          <w:rFonts w:ascii="Arial" w:eastAsia="Times New Roman" w:hAnsi="Arial" w:cs="Arial"/>
          <w:sz w:val="24"/>
          <w:szCs w:val="24"/>
          <w:lang w:val="es-ES" w:eastAsia="es-ES"/>
        </w:rPr>
        <w:t xml:space="preserve"> En fecha dos de diciembre del dos mil once, varios ciudadanos del municipio de Cherán, Michoacán, presentamos un oficio a la Presidenta del Instituto Electoral de Michoacán, Lic. María de los Ángeles Llanderal Zaragoza, para solicitarle </w:t>
      </w:r>
      <w:r w:rsidRPr="00CF2780">
        <w:rPr>
          <w:rFonts w:ascii="Arial" w:eastAsia="Times New Roman" w:hAnsi="Arial" w:cs="Arial"/>
          <w:b/>
          <w:sz w:val="24"/>
          <w:szCs w:val="24"/>
          <w:lang w:val="es-ES" w:eastAsia="es-ES"/>
        </w:rPr>
        <w:t>aplazara</w:t>
      </w:r>
      <w:r w:rsidRPr="00CF2780">
        <w:rPr>
          <w:rFonts w:ascii="Arial" w:eastAsia="Times New Roman" w:hAnsi="Arial" w:cs="Arial"/>
          <w:sz w:val="24"/>
          <w:szCs w:val="24"/>
          <w:lang w:val="es-ES" w:eastAsia="es-ES"/>
        </w:rPr>
        <w:t xml:space="preserve"> </w:t>
      </w:r>
      <w:r w:rsidRPr="00CF2780">
        <w:rPr>
          <w:rFonts w:ascii="Arial" w:eastAsia="Times New Roman" w:hAnsi="Arial" w:cs="Arial"/>
          <w:b/>
          <w:sz w:val="24"/>
          <w:szCs w:val="24"/>
          <w:lang w:val="es-ES" w:eastAsia="es-ES"/>
        </w:rPr>
        <w:t>la consulta ciudadana solicitada</w:t>
      </w:r>
      <w:r w:rsidRPr="00CF2780">
        <w:rPr>
          <w:rFonts w:ascii="Arial" w:eastAsia="Times New Roman" w:hAnsi="Arial" w:cs="Arial"/>
          <w:sz w:val="24"/>
          <w:szCs w:val="24"/>
          <w:lang w:val="es-ES" w:eastAsia="es-ES"/>
        </w:rPr>
        <w:t xml:space="preserve"> por no estar dada las condiciones necesarias para que se llevara a cabo dicha consulta, ya que no prevalecen las condiciones de libertad y seguridad para participar en la consulta referida (…). </w:t>
      </w:r>
    </w:p>
    <w:p w14:paraId="5733E5D2" w14:textId="77777777" w:rsidR="009B02C2" w:rsidRPr="00CF2780" w:rsidRDefault="009B02C2" w:rsidP="009B02C2">
      <w:pPr>
        <w:spacing w:after="0" w:line="240" w:lineRule="auto"/>
        <w:ind w:left="709" w:right="709"/>
        <w:jc w:val="both"/>
        <w:rPr>
          <w:rFonts w:ascii="Arial" w:eastAsia="Times New Roman" w:hAnsi="Arial" w:cs="Arial"/>
          <w:sz w:val="24"/>
          <w:szCs w:val="24"/>
          <w:lang w:val="es-ES" w:eastAsia="es-ES"/>
        </w:rPr>
      </w:pPr>
    </w:p>
    <w:p w14:paraId="7D048C57" w14:textId="77777777" w:rsidR="009B02C2" w:rsidRPr="00CF2780" w:rsidRDefault="009B02C2" w:rsidP="009B02C2">
      <w:pPr>
        <w:spacing w:after="0" w:line="240" w:lineRule="auto"/>
        <w:ind w:left="709" w:right="709"/>
        <w:jc w:val="both"/>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Asimismo, el día dos de diciembre de dos mil once fuimos atendidos por los Consejeros Electorales del Instituto Electoral de Michoacán, a quienes les expresamos la situación de la imposibilidad de llevar a cabo la consulta ciudadana por las situaciones citadas en los párrafos anteriores, además porque es evidente que existe un clima de inseguridad en el interior de la población; además, les externamos que no fuimos convocados para ser partícipes en la forma de preparación de consulta ciudadana mandatada por la Sala Superior del Tribunal Electoral del Poder Judicial de la Federación (…).</w:t>
      </w:r>
    </w:p>
    <w:p w14:paraId="3288EAC1" w14:textId="77777777" w:rsidR="009B02C2" w:rsidRPr="00CF2780" w:rsidRDefault="009B02C2" w:rsidP="009B02C2">
      <w:pPr>
        <w:spacing w:after="0" w:line="240" w:lineRule="auto"/>
        <w:ind w:left="709" w:right="709"/>
        <w:jc w:val="both"/>
        <w:rPr>
          <w:rFonts w:ascii="Arial" w:eastAsia="Times New Roman" w:hAnsi="Arial" w:cs="Arial"/>
          <w:sz w:val="24"/>
          <w:szCs w:val="24"/>
          <w:lang w:val="es-ES" w:eastAsia="es-ES"/>
        </w:rPr>
      </w:pPr>
    </w:p>
    <w:p w14:paraId="49A2BF69" w14:textId="77777777" w:rsidR="009B02C2" w:rsidRPr="00CF2780" w:rsidRDefault="009B02C2" w:rsidP="009B02C2">
      <w:pPr>
        <w:spacing w:after="0" w:line="240" w:lineRule="auto"/>
        <w:ind w:left="709" w:right="709"/>
        <w:jc w:val="both"/>
        <w:rPr>
          <w:rFonts w:ascii="Arial" w:eastAsia="Times New Roman" w:hAnsi="Arial" w:cs="Arial"/>
          <w:sz w:val="24"/>
          <w:szCs w:val="24"/>
          <w:lang w:val="es-ES" w:eastAsia="es-ES"/>
        </w:rPr>
      </w:pPr>
      <w:r w:rsidRPr="00CF2780">
        <w:rPr>
          <w:rFonts w:ascii="Arial" w:eastAsia="Times New Roman" w:hAnsi="Arial" w:cs="Arial"/>
          <w:b/>
          <w:sz w:val="24"/>
          <w:szCs w:val="24"/>
          <w:lang w:val="es-ES" w:eastAsia="es-ES"/>
        </w:rPr>
        <w:t>SÉPTIMO.</w:t>
      </w:r>
      <w:r w:rsidRPr="00CF2780">
        <w:rPr>
          <w:rFonts w:ascii="Arial" w:eastAsia="Times New Roman" w:hAnsi="Arial" w:cs="Arial"/>
          <w:sz w:val="24"/>
          <w:szCs w:val="24"/>
          <w:lang w:val="es-ES" w:eastAsia="es-ES"/>
        </w:rPr>
        <w:t xml:space="preserve"> Asimismo, el nueve de diciembre de dos mil once, ciudadanos del municipio de Cherán, que asumen cargos de dirigencia partidista en el mismo municipio, presentaron ante el Instituto Electoral de Michoacán oficio en el que le comunican a esa autoridad administrativa, que no existen condiciones para que se desarrolle la consulta a las comunidades del municipio en base a los principios establecidos en la sentencia de la Sala Superior (…)“.</w:t>
      </w:r>
    </w:p>
    <w:p w14:paraId="0395FC0F" w14:textId="77777777" w:rsidR="009B02C2" w:rsidRPr="00CF2780" w:rsidRDefault="009B02C2" w:rsidP="009B02C2">
      <w:pPr>
        <w:spacing w:after="0" w:line="240" w:lineRule="auto"/>
        <w:jc w:val="both"/>
        <w:rPr>
          <w:rFonts w:ascii="Arial" w:eastAsia="Times New Roman" w:hAnsi="Arial" w:cs="Arial"/>
          <w:sz w:val="28"/>
          <w:szCs w:val="28"/>
          <w:lang w:val="es-ES" w:eastAsia="es-ES"/>
        </w:rPr>
      </w:pPr>
    </w:p>
    <w:p w14:paraId="2BF387EB"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Como se ha dicho, las manifestaciones que anteceden fueron formuladas por los actores en el escrito de demanda, por lo cual, la valoración de dicho escrito de conformidad con el artículo 16, párrafos 1 y 3 de la Ley General del Sistema de Medios de Impugnación en Materia Electoral da lugar a considerar que los enjuiciantes tenían conocimiento de que se estaba llevando a cabo un procedimiento tendente a la realización de la consulta.</w:t>
      </w:r>
    </w:p>
    <w:p w14:paraId="38B20C40"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218CD0D6"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Además de las manifestaciones contenidas en el escrito de demanda, en autos también obran los escritos a los que se hace referencia en ellas.</w:t>
      </w:r>
    </w:p>
    <w:p w14:paraId="32347690"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21B53D78"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Esto es, un escrito presentado el dos de diciembre de dos mil once, ante la Presidencia del Instituto Electoral de Michoacán, en el cual se advierte que, en efecto, los solicitantes pidieron y exigieron que se aplazara la consulta ciudadana.</w:t>
      </w:r>
    </w:p>
    <w:p w14:paraId="4103DF30"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4C960FED"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De igual forma, también obra el escrito presentado el nueve de diciembre de dos mil once, ante el Instituto Electoral de Michoacán en el que ciudadanos del municipio de Cherán que dicen ser representados por los Comités Municipales de diversos partidos políticos, en el que solicitan que la consulta se realice una vez que existan condiciones de seguridad y orden en el municipio de Cherán.</w:t>
      </w:r>
    </w:p>
    <w:p w14:paraId="33EDC89F"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44364737"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Los documentos privados que anteceden, valorados de acuerdo con el precepto invocado en párrafos precedentes, y adminiculados con el escrito de demanda, conducen a sostener que los actores tenían conocimiento de que se estaba llevando a cabo un procedimiento de preparación para la realización de una consulta.</w:t>
      </w:r>
    </w:p>
    <w:p w14:paraId="7156DF72"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2CC709C8"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Tanto es así que, incluso, solicitaron su aplazamiento porque en su concepto no estaban dadas las condiciones y garantías para que se llevara a cabo.</w:t>
      </w:r>
    </w:p>
    <w:p w14:paraId="6ACF10C0"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24C28073"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Empero lo fáctica y jurídicamente relevante para el tema que se está tratando en este apartado, es que las personas de las comunidades que integran el municipio de Cherán tenían conocimiento de que se estaba llevando a cabo el procedimiento para la realización de la consulta, puesto que así lo aceptan los enjuiciantes al formular las manifestaciones de las circunstancias que, en su concepto, hacían inconveniente que ésta se llevara a cabo; esto es, al margen de la calificación sobre la veracidad de las manifestaciones realizadas en tales escritos, lo cierto es que a final de cuentas existe constancia </w:t>
      </w:r>
      <w:r w:rsidRPr="00CF2780">
        <w:rPr>
          <w:rFonts w:ascii="Arial" w:eastAsia="Times New Roman" w:hAnsi="Arial" w:cs="Arial"/>
          <w:sz w:val="28"/>
          <w:szCs w:val="28"/>
          <w:lang w:val="es-ES" w:eastAsia="es-ES"/>
        </w:rPr>
        <w:lastRenderedPageBreak/>
        <w:t xml:space="preserve">fehaciente de que los actores tenían conocimiento de la dinámica de los actos preparatorios para la realización de la consulta. </w:t>
      </w:r>
    </w:p>
    <w:p w14:paraId="54C6886E"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5F6CB6D4"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Además, en otro de sus motivos de disenso, los impugnantes sostienen que la autoridad responsable realizó una consulta improvisada, en la que en ningún momento atendió y solucionó los problemas de inseguridad, amenazas e intimidaciones a cargo del grupo de personas que promueven la elección a través del sistema de usos y costumbres, los cuales fueron comunicados al Instituto Electoral de Michoacán por escritos de dos y nueve de diciembre de dos mil once, respectivamente, y mismos que, según afirman los justiciables, no fueron respondidos por dicha autoridad administrativa electoral.</w:t>
      </w:r>
    </w:p>
    <w:p w14:paraId="68AEDF2B" w14:textId="77777777" w:rsidR="009B02C2" w:rsidRPr="00CF2780" w:rsidRDefault="009B02C2" w:rsidP="009B02C2">
      <w:pPr>
        <w:spacing w:before="240"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El agravio es </w:t>
      </w:r>
      <w:r w:rsidRPr="00CF2780">
        <w:rPr>
          <w:rFonts w:ascii="Arial" w:eastAsia="Times New Roman" w:hAnsi="Arial" w:cs="Arial"/>
          <w:b/>
          <w:sz w:val="28"/>
          <w:szCs w:val="28"/>
          <w:lang w:val="es-ES" w:eastAsia="es-ES"/>
        </w:rPr>
        <w:t>inoperante</w:t>
      </w:r>
      <w:r w:rsidRPr="00CF2780">
        <w:rPr>
          <w:rFonts w:ascii="Arial" w:eastAsia="Times New Roman" w:hAnsi="Arial" w:cs="Arial"/>
          <w:sz w:val="28"/>
          <w:szCs w:val="28"/>
          <w:lang w:val="es-ES" w:eastAsia="es-ES"/>
        </w:rPr>
        <w:t xml:space="preserve">. </w:t>
      </w:r>
    </w:p>
    <w:p w14:paraId="17B47401" w14:textId="77777777" w:rsidR="009B02C2" w:rsidRPr="00CF2780" w:rsidRDefault="009B02C2" w:rsidP="009B02C2">
      <w:pPr>
        <w:spacing w:before="240"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El análisis de las constancias que obran en autos permite apreciar que, en las fojas 78 a 85 del expediente en que se actúa, se encuentran los escritos recibidos en las oficinas de la autoridad administrativa electoral responsable el dos y nueve de diciembre del año pasado, respectivamente, según se advierte del sello de recepción correspondiente, signados por los representantes de los Comités Municipales de diversos partidos políticos.</w:t>
      </w:r>
    </w:p>
    <w:p w14:paraId="00D2F5C0" w14:textId="77777777" w:rsidR="009B02C2" w:rsidRPr="00CF2780" w:rsidRDefault="009B02C2" w:rsidP="009B02C2">
      <w:pPr>
        <w:spacing w:before="240"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En ambos escritos, los promoventes manifestaron al Instituto Electoral de Michoacán que no existían las condiciones necesarias de seguridad, tranquilidad, orden y paz pública en la población de Cherán, Michoacán, para llevar a cabo la consulta ciudadana ordenada por </w:t>
      </w:r>
      <w:smartTag w:uri="urn:schemas-microsoft-com:office:smarttags" w:element="PersonName">
        <w:smartTagPr>
          <w:attr w:name="ProductID" w:val="la Sala Superior"/>
        </w:smartTagPr>
        <w:r w:rsidRPr="00CF2780">
          <w:rPr>
            <w:rFonts w:ascii="Arial" w:eastAsia="Times New Roman" w:hAnsi="Arial" w:cs="Arial"/>
            <w:sz w:val="28"/>
            <w:szCs w:val="28"/>
            <w:lang w:val="es-ES" w:eastAsia="es-ES"/>
          </w:rPr>
          <w:t>la Sala Superior</w:t>
        </w:r>
      </w:smartTag>
      <w:r w:rsidRPr="00CF2780">
        <w:rPr>
          <w:rFonts w:ascii="Arial" w:eastAsia="Times New Roman" w:hAnsi="Arial" w:cs="Arial"/>
          <w:sz w:val="28"/>
          <w:szCs w:val="28"/>
          <w:lang w:val="es-ES" w:eastAsia="es-ES"/>
        </w:rPr>
        <w:t xml:space="preserve"> en la ejecutoria dictada en el presente juicio, sustancialmente debido a </w:t>
      </w:r>
      <w:r w:rsidRPr="00CF2780">
        <w:rPr>
          <w:rFonts w:ascii="Arial" w:eastAsia="Times New Roman" w:hAnsi="Arial" w:cs="Arial"/>
          <w:sz w:val="28"/>
          <w:szCs w:val="28"/>
          <w:lang w:val="es-ES" w:eastAsia="es-ES"/>
        </w:rPr>
        <w:lastRenderedPageBreak/>
        <w:t>que, según su dicho, existía un grupo de jóvenes armados cuyos métodos radicales, violentos e ilegales influiría de manera determinante en la libre voluntad de los ciudadanos del citado municipio.</w:t>
      </w:r>
    </w:p>
    <w:p w14:paraId="382A80BF" w14:textId="77777777" w:rsidR="009B02C2" w:rsidRPr="00CF2780" w:rsidRDefault="009B02C2" w:rsidP="009B02C2">
      <w:pPr>
        <w:spacing w:before="240" w:after="0" w:line="360" w:lineRule="auto"/>
        <w:jc w:val="both"/>
        <w:rPr>
          <w:rFonts w:ascii="Arial" w:eastAsia="Times New Roman" w:hAnsi="Arial" w:cs="Arial"/>
          <w:sz w:val="28"/>
          <w:szCs w:val="28"/>
          <w:lang w:val="es-ES" w:eastAsia="es-ES"/>
        </w:rPr>
      </w:pPr>
    </w:p>
    <w:p w14:paraId="5199E97E" w14:textId="77777777" w:rsidR="009B02C2" w:rsidRPr="00CF2780" w:rsidRDefault="009B02C2" w:rsidP="009B02C2">
      <w:pPr>
        <w:spacing w:before="240"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Por ende, solicitaron a la autoridad responsable que determinara el aplazamiento en la celebración de la consulta apuntada, hasta en tanto existieran condiciones idóneas para que dicho evento se pudiese llevar a cabo.</w:t>
      </w:r>
    </w:p>
    <w:p w14:paraId="189F5E5E" w14:textId="77777777" w:rsidR="009B02C2" w:rsidRPr="00CF2780" w:rsidRDefault="009B02C2" w:rsidP="009B02C2">
      <w:pPr>
        <w:spacing w:before="240" w:after="0" w:line="360" w:lineRule="auto"/>
        <w:jc w:val="both"/>
        <w:rPr>
          <w:rFonts w:ascii="Arial" w:eastAsia="Times New Roman" w:hAnsi="Arial" w:cs="Arial"/>
          <w:sz w:val="28"/>
          <w:szCs w:val="28"/>
          <w:lang w:val="es-ES" w:eastAsia="es-ES"/>
        </w:rPr>
      </w:pPr>
    </w:p>
    <w:p w14:paraId="34F3FC96" w14:textId="77777777" w:rsidR="009B02C2" w:rsidRPr="00CF2780" w:rsidRDefault="009B02C2" w:rsidP="009B02C2">
      <w:pPr>
        <w:spacing w:before="240"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Al respecto, si bien es cierto que no obra en autos constancia de que la autoridad administrativa electoral hubiese atendido los planteamientos hechos valer a través de los dos escritos que constituyen materia de análisis, también lo es que ello no resulta suficiente para acoger su pretensión.</w:t>
      </w:r>
    </w:p>
    <w:p w14:paraId="0F2DE86D" w14:textId="77777777" w:rsidR="009B02C2" w:rsidRPr="00CF2780" w:rsidRDefault="009B02C2" w:rsidP="009B02C2">
      <w:pPr>
        <w:spacing w:before="240" w:after="0" w:line="360" w:lineRule="auto"/>
        <w:jc w:val="both"/>
        <w:rPr>
          <w:rFonts w:ascii="Arial" w:eastAsia="Times New Roman" w:hAnsi="Arial" w:cs="Arial"/>
          <w:sz w:val="28"/>
          <w:szCs w:val="28"/>
          <w:lang w:val="es-ES" w:eastAsia="es-ES"/>
        </w:rPr>
      </w:pPr>
    </w:p>
    <w:p w14:paraId="6F3A6095" w14:textId="77777777" w:rsidR="009B02C2" w:rsidRPr="00CF2780" w:rsidRDefault="009B02C2" w:rsidP="009B02C2">
      <w:pPr>
        <w:spacing w:before="240"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Lo anterior es así, pues, con independencia de que la autoridad responsable haya o no atendido a lo planteado en los escritos precisados, lo cierto es que en las constancias que obran agregadas a los autos del presente asunto no se aprecia elemento probatorio alguno que demuestre o corrobore, ni siquiera de manera indiciaria, lo aducido en los escritos en cuestión, ni la supuesta necesidad de diferir la celebración de la consulta ciudadana.</w:t>
      </w:r>
    </w:p>
    <w:p w14:paraId="2D981CCE" w14:textId="77777777" w:rsidR="009B02C2" w:rsidRPr="00CF2780" w:rsidRDefault="009B02C2" w:rsidP="009B02C2">
      <w:pPr>
        <w:spacing w:before="240" w:after="0" w:line="360" w:lineRule="auto"/>
        <w:jc w:val="both"/>
        <w:rPr>
          <w:rFonts w:ascii="Arial" w:eastAsia="Times New Roman" w:hAnsi="Arial" w:cs="Arial"/>
          <w:sz w:val="28"/>
          <w:szCs w:val="28"/>
          <w:lang w:val="es-ES" w:eastAsia="es-ES"/>
        </w:rPr>
      </w:pPr>
    </w:p>
    <w:p w14:paraId="3F95DB3C" w14:textId="77777777" w:rsidR="009B02C2" w:rsidRPr="00CF2780" w:rsidRDefault="009B02C2" w:rsidP="009B02C2">
      <w:pPr>
        <w:spacing w:before="240"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lastRenderedPageBreak/>
        <w:t xml:space="preserve">Esto es, los actores no acreditan en la presenta instancia que, tal como sostuvieron en su momento ante el Instituto Electoral de Michoacán, no existían las condiciones necesarias para llevar a cabo la consulta ciudadana ordenada por </w:t>
      </w:r>
      <w:smartTag w:uri="urn:schemas-microsoft-com:office:smarttags" w:element="PersonName">
        <w:smartTagPr>
          <w:attr w:name="ProductID" w:val="la Sala Superior"/>
        </w:smartTagPr>
        <w:r w:rsidRPr="00CF2780">
          <w:rPr>
            <w:rFonts w:ascii="Arial" w:eastAsia="Times New Roman" w:hAnsi="Arial" w:cs="Arial"/>
            <w:sz w:val="28"/>
            <w:szCs w:val="28"/>
            <w:lang w:val="es-ES" w:eastAsia="es-ES"/>
          </w:rPr>
          <w:t>la Sala Superior</w:t>
        </w:r>
      </w:smartTag>
      <w:r w:rsidRPr="00CF2780">
        <w:rPr>
          <w:rFonts w:ascii="Arial" w:eastAsia="Times New Roman" w:hAnsi="Arial" w:cs="Arial"/>
          <w:sz w:val="28"/>
          <w:szCs w:val="28"/>
          <w:lang w:val="es-ES" w:eastAsia="es-ES"/>
        </w:rPr>
        <w:t>, pues no exhiben elementos convictitos que permitan a este órgano jurisdiccional federal identificar la existencia del grupo de jóvenes armados al que hizo alusión en los escritos referidos, ni menos aún aducen o demuestran cómo es que dicho grupo represor puso en peligro la seguridad, tranquilidad, orden y paz pública en la población de Cherán, Michoacán, antes o durante la fecha en que se llevó a cabo la citada consulta.</w:t>
      </w:r>
    </w:p>
    <w:p w14:paraId="730862D0" w14:textId="77777777" w:rsidR="009B02C2" w:rsidRPr="00CF2780" w:rsidRDefault="009B02C2" w:rsidP="009B02C2">
      <w:pPr>
        <w:spacing w:before="240" w:after="0" w:line="360" w:lineRule="auto"/>
        <w:jc w:val="both"/>
        <w:rPr>
          <w:rFonts w:ascii="Arial" w:eastAsia="Times New Roman" w:hAnsi="Arial" w:cs="Arial"/>
          <w:sz w:val="28"/>
          <w:szCs w:val="28"/>
          <w:lang w:val="es-ES" w:eastAsia="es-ES"/>
        </w:rPr>
      </w:pPr>
    </w:p>
    <w:p w14:paraId="23C3B37C" w14:textId="77777777" w:rsidR="009B02C2" w:rsidRPr="00CF2780" w:rsidRDefault="009B02C2" w:rsidP="009B02C2">
      <w:pPr>
        <w:spacing w:before="240"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En consecuencia, esta Sala Superior concluye que no existe elemento alguno en el expediente que pueda servir como base para tener por ciertas las afirmaciones hechas valer por los signatarios de los escritos aludidos, por lo que no es posible concluir como pretenden los accionantes que la consulta ciudadana debió diferirse, de ahí que los planteamientos relacionados con la falta de respuesta a los escritos de dos y nueve de diciembre de dos mil once por parte de la autoridad responsable devengan inoperantes.</w:t>
      </w:r>
    </w:p>
    <w:p w14:paraId="25C96182" w14:textId="77777777" w:rsidR="009B02C2" w:rsidRPr="00CF2780" w:rsidRDefault="009B02C2" w:rsidP="009B02C2">
      <w:pPr>
        <w:spacing w:before="100" w:beforeAutospacing="1" w:after="100" w:afterAutospacing="1"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A partir de los medios probatorios que obran en autos se puede concluir lo siguiente:</w:t>
      </w:r>
    </w:p>
    <w:p w14:paraId="39AE7A50" w14:textId="77777777" w:rsidR="009B02C2" w:rsidRPr="00CF2780" w:rsidRDefault="009B02C2" w:rsidP="001C6A89">
      <w:pPr>
        <w:numPr>
          <w:ilvl w:val="0"/>
          <w:numId w:val="20"/>
        </w:numPr>
        <w:spacing w:before="100" w:beforeAutospacing="1" w:after="100" w:afterAutospacing="1"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El proceso de preparación de la consulta abarcó a todas y cada una de las comunidades que están comprendidas en el municipio de Cherán, Estado de Michoacán, como se desprende de las actas de las pláticas informativas que se realizaron en Jarhukutini, </w:t>
      </w:r>
      <w:r w:rsidRPr="00CF2780">
        <w:rPr>
          <w:rFonts w:ascii="Arial" w:eastAsia="Times New Roman" w:hAnsi="Arial" w:cs="Arial"/>
          <w:sz w:val="28"/>
          <w:szCs w:val="28"/>
          <w:lang w:val="es-ES" w:eastAsia="es-ES"/>
        </w:rPr>
        <w:lastRenderedPageBreak/>
        <w:t>Barrio 1°; Ketsikua, Barrio 2°; Karahua, Barrio 3°, y P’Arhikutini, Barrio 4°, así como Santa Cruz Tanako (según se advierte en el legajo de autos que se identifica como folder 3):</w:t>
      </w:r>
    </w:p>
    <w:p w14:paraId="759730D7" w14:textId="77777777" w:rsidR="009B02C2" w:rsidRPr="00CF2780" w:rsidRDefault="009B02C2" w:rsidP="001C6A89">
      <w:pPr>
        <w:numPr>
          <w:ilvl w:val="0"/>
          <w:numId w:val="20"/>
        </w:numPr>
        <w:spacing w:before="100" w:beforeAutospacing="1" w:after="100" w:afterAutospacing="1"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La consulta se extendió a todas y cada una de las comunidades que integran el municipio de Cherán, Estado de Michoacán. En efecto, así se advierte en el legajo de autos que identifica como folder 4 y que corresponden a la consulta dirigida a todos los habitantes del municipio de Cherán, en los barrios 1° a 4°, respectivamente, Jarhukutini, Ketsikua, Karahua y P’Arhikutini, así como la comunidad de Santa Cruz Tanako;</w:t>
      </w:r>
    </w:p>
    <w:p w14:paraId="4439A9E2" w14:textId="77777777" w:rsidR="009B02C2" w:rsidRPr="00CF2780" w:rsidRDefault="009B02C2" w:rsidP="001C6A89">
      <w:pPr>
        <w:numPr>
          <w:ilvl w:val="0"/>
          <w:numId w:val="20"/>
        </w:numPr>
        <w:spacing w:before="100" w:beforeAutospacing="1" w:after="100" w:afterAutospacing="1"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En razón de que hubo votos a favor y votos en contra, de forma diferenciada, en las consultas se puede advertir que la votación fue realizada de manera libre (lo cual podría ponerse en duda, si existieran votaciones totales unánimes en solo sentido, ya sea afirmativo o negativo, porque va contra las reglas de la experiencia sobre lo que ocurre ordinariamente en los procesos democráticos), en las asambleas de consulta las votaciones fueron 731 por el sí y 4 por el no; 1,240, por el sí y 3 por el no; 1432 por el sí y cero por el no, 1,443, por el sí y 1 por el no, respectivamente, por lo que respecta a cada uno de los barrios y sólo en la comunidad de Santa Cruz Tanaco, 498 personas expresaron un no a las dos preguntas, y un sí a la relativa a si estaban de acuerdo a que el presupuesto le llegara directamente a la comunidad de Santa Cruz Tanaco;</w:t>
      </w:r>
    </w:p>
    <w:p w14:paraId="73370DA7" w14:textId="77777777" w:rsidR="009B02C2" w:rsidRPr="00CF2780" w:rsidRDefault="009B02C2" w:rsidP="001C6A89">
      <w:pPr>
        <w:numPr>
          <w:ilvl w:val="0"/>
          <w:numId w:val="20"/>
        </w:numPr>
        <w:spacing w:before="100" w:beforeAutospacing="1" w:after="100" w:afterAutospacing="1"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No existen datos en las actas que permitan desprender que las pláticas informativas o la consulta se hubieren realizado en condiciones que no aseguraran una amplia y libre participación; </w:t>
      </w:r>
      <w:r w:rsidRPr="00CF2780">
        <w:rPr>
          <w:rFonts w:ascii="Arial" w:eastAsia="Times New Roman" w:hAnsi="Arial" w:cs="Arial"/>
          <w:sz w:val="28"/>
          <w:szCs w:val="28"/>
          <w:lang w:val="es-ES" w:eastAsia="es-ES"/>
        </w:rPr>
        <w:lastRenderedPageBreak/>
        <w:t>por ejemplo, que ocurrieran hechos reales de violencia o de exclusión, o bien, situaciones que, en forma, seria pusieran en riesgo o inhibieran la participación de los integrantes de la comunidad, y</w:t>
      </w:r>
    </w:p>
    <w:p w14:paraId="2213B59B" w14:textId="77777777" w:rsidR="009B02C2" w:rsidRPr="00CF2780" w:rsidRDefault="009B02C2" w:rsidP="001C6A89">
      <w:pPr>
        <w:numPr>
          <w:ilvl w:val="0"/>
          <w:numId w:val="20"/>
        </w:numPr>
        <w:spacing w:before="100" w:beforeAutospacing="1" w:after="100" w:afterAutospacing="1"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No está controvertido o desmentido que la responsable hubiere dado publicidad a las pláticas informativas y a la consulta, a pesar de que a los promoventes, a través del oficio número SG-67/2011 del Secretario General del Instituto Electoral de Michoacán, tuvieron conocimiento del Informe que rindió la Comisión Especial para dar seguimiento a la resolución emitida por la Sala Superior del Tribunal Electoral del Poder Judicial de la Federación dentro del juicio para la protección de los derechos político electorales del ciudadano número SUP-JDC-9167/2011, en el cual se refiere que el Consejo General de dicho Instituto aprobó un calendario de las asambleas informativas y la consulta, así como la publicación de las convocatorias, en lugares públicos de la cabecera municipal de Cherán y en la tenencia de Santa Cruz Tanaco, y que en dicho informe se refiere que se hizo la publicación en la página del Instituto Electoral de Michoacán, en la dirección electrónica </w:t>
      </w:r>
      <w:hyperlink r:id="rId28" w:history="1">
        <w:r w:rsidRPr="00CF2780">
          <w:rPr>
            <w:rFonts w:ascii="Arial" w:eastAsia="Times New Roman" w:hAnsi="Arial" w:cs="Arial"/>
            <w:sz w:val="28"/>
            <w:szCs w:val="28"/>
            <w:lang w:val="es-ES" w:eastAsia="es-ES"/>
          </w:rPr>
          <w:t>http://www.iem.org.mx/</w:t>
        </w:r>
      </w:hyperlink>
      <w:r w:rsidRPr="00CF2780">
        <w:rPr>
          <w:rFonts w:ascii="Arial" w:eastAsia="Times New Roman" w:hAnsi="Arial" w:cs="Arial"/>
          <w:sz w:val="28"/>
          <w:szCs w:val="28"/>
          <w:lang w:val="es-ES" w:eastAsia="es-ES"/>
        </w:rPr>
        <w:t xml:space="preserve"> y en la página de Cherán </w:t>
      </w:r>
      <w:hyperlink r:id="rId29" w:history="1">
        <w:r w:rsidRPr="00CF2780">
          <w:rPr>
            <w:rFonts w:ascii="Arial" w:eastAsia="Times New Roman" w:hAnsi="Arial" w:cs="Arial"/>
            <w:sz w:val="28"/>
            <w:szCs w:val="28"/>
            <w:lang w:val="es-ES" w:eastAsia="es-ES"/>
          </w:rPr>
          <w:t>http://www.micheran.com</w:t>
        </w:r>
      </w:hyperlink>
      <w:r w:rsidRPr="00CF2780">
        <w:rPr>
          <w:rFonts w:ascii="Arial" w:eastAsia="Times New Roman" w:hAnsi="Arial" w:cs="Arial"/>
          <w:sz w:val="28"/>
          <w:szCs w:val="28"/>
          <w:lang w:val="es-ES" w:eastAsia="es-ES"/>
        </w:rPr>
        <w:t xml:space="preserve"> del diez al dieciocho de diciembre de dos mil once; que se difundieron los avisos por radio XEPUR, La Voz del Purépechas del CDI, del diez al dieciocho de diciembre de dos mil once, la cual tiene cobertura en todo el municipio, y que ahí se indican la numeralia de las consultas. A pesar de lo anterior, no se controvierte o formula un rechazo o un mentís sobre dichas afirmaciones de la responsable.</w:t>
      </w:r>
    </w:p>
    <w:p w14:paraId="692AD18D" w14:textId="77777777" w:rsidR="009B02C2" w:rsidRPr="00CF2780" w:rsidRDefault="009B02C2" w:rsidP="009B02C2">
      <w:pPr>
        <w:spacing w:before="100" w:beforeAutospacing="1" w:after="100" w:afterAutospacing="1"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lastRenderedPageBreak/>
        <w:t>Además, en autos constan copias certificadas de seis distintas notas de remisión y de dos recibos por concepto de “audios”; “renta de equipo de sonido”; “perifoneo”; “perifoneo en bocinas de la comunidad”; “perifoneo en vehículo”, y “servicio de ‘LA CONDERA’, (BOCINAS PARA ANUNCIAR)”, que comprenden los días quince a dieciocho de diciembre, inclusive, en tres de ellos los días trece y catorce de diciembre, lo cuales fueron remitidos por el Secretario General del Instituto Electoral de Michoacán, los cuales evidencian que se contrató y pagó para la realización del perifoneo para la difusión de las asambleas informativas y la consulta. Asimismo, aparecen copias certificadas por dicho Secretario General que corresponden a treinta y siete fotografías que evidencian la difusión de la convocatoria en los cuatro barrios y la comunidad de Santa Cruz Tanaco, municipio de Cherán, Estado de Michoacón. Todo ello no es desvirtuado por alguna probanza no controvertido.</w:t>
      </w:r>
    </w:p>
    <w:p w14:paraId="2AB5EAB0" w14:textId="77777777" w:rsidR="009B02C2" w:rsidRPr="00CF2780" w:rsidRDefault="009B02C2" w:rsidP="009B02C2">
      <w:pPr>
        <w:spacing w:before="100" w:beforeAutospacing="1" w:after="100" w:afterAutospacing="1"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Enseguida se reproduce un cuadro que contiene la votación histórica en el municipio de Cherán, Estado de Michoacán:</w:t>
      </w:r>
    </w:p>
    <w:p w14:paraId="1FF91AF6" w14:textId="77777777" w:rsidR="009B02C2" w:rsidRPr="00CF2780" w:rsidRDefault="009B02C2" w:rsidP="009B02C2">
      <w:pPr>
        <w:spacing w:before="240" w:after="0" w:line="360" w:lineRule="auto"/>
        <w:jc w:val="both"/>
        <w:rPr>
          <w:rFonts w:ascii="Arial" w:eastAsia="Times New Roman" w:hAnsi="Arial" w:cs="Arial"/>
          <w:sz w:val="28"/>
          <w:szCs w:val="24"/>
          <w:lang w:val="es-ES" w:eastAsia="es-ES"/>
        </w:rPr>
      </w:pPr>
    </w:p>
    <w:p w14:paraId="328C0B9C" w14:textId="77777777" w:rsidR="009B02C2" w:rsidRPr="00CF2780" w:rsidRDefault="009B02C2" w:rsidP="009B02C2">
      <w:pPr>
        <w:spacing w:before="240" w:after="0" w:line="360" w:lineRule="auto"/>
        <w:jc w:val="both"/>
        <w:rPr>
          <w:rFonts w:ascii="Arial" w:eastAsia="Times New Roman" w:hAnsi="Arial" w:cs="Arial"/>
          <w:sz w:val="28"/>
          <w:szCs w:val="24"/>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2200"/>
        <w:gridCol w:w="2205"/>
        <w:gridCol w:w="2216"/>
      </w:tblGrid>
      <w:tr w:rsidR="009B02C2" w:rsidRPr="00CF2780" w14:paraId="2132A5AD" w14:textId="77777777" w:rsidTr="00B05F31">
        <w:tc>
          <w:tcPr>
            <w:tcW w:w="8978" w:type="dxa"/>
            <w:gridSpan w:val="4"/>
            <w:shd w:val="clear" w:color="auto" w:fill="BFBFBF"/>
          </w:tcPr>
          <w:p w14:paraId="41A63B02" w14:textId="77777777" w:rsidR="009B02C2" w:rsidRPr="00CF2780" w:rsidRDefault="009B02C2" w:rsidP="009B02C2">
            <w:pPr>
              <w:spacing w:after="0" w:line="240" w:lineRule="auto"/>
              <w:jc w:val="center"/>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Votación histórica del Ayuntamiento de Cherán, Michoacán</w:t>
            </w:r>
            <w:r w:rsidRPr="00CF2780">
              <w:rPr>
                <w:rFonts w:ascii="Arial" w:eastAsia="Times New Roman" w:hAnsi="Arial" w:cs="Arial"/>
                <w:sz w:val="28"/>
                <w:szCs w:val="28"/>
                <w:vertAlign w:val="superscript"/>
                <w:lang w:val="es-ES" w:eastAsia="es-ES"/>
              </w:rPr>
              <w:footnoteReference w:id="32"/>
            </w:r>
          </w:p>
        </w:tc>
      </w:tr>
      <w:tr w:rsidR="009B02C2" w:rsidRPr="00CF2780" w14:paraId="06771922" w14:textId="77777777" w:rsidTr="00B05F31">
        <w:tc>
          <w:tcPr>
            <w:tcW w:w="2244" w:type="dxa"/>
          </w:tcPr>
          <w:p w14:paraId="2F0AB18B" w14:textId="77777777" w:rsidR="009B02C2" w:rsidRPr="00CF2780" w:rsidRDefault="009B02C2" w:rsidP="009B02C2">
            <w:pPr>
              <w:spacing w:after="0" w:line="240" w:lineRule="auto"/>
              <w:jc w:val="center"/>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Proceso electoral</w:t>
            </w:r>
          </w:p>
        </w:tc>
        <w:tc>
          <w:tcPr>
            <w:tcW w:w="2244" w:type="dxa"/>
          </w:tcPr>
          <w:p w14:paraId="4849F737" w14:textId="77777777" w:rsidR="009B02C2" w:rsidRPr="00CF2780" w:rsidRDefault="009B02C2" w:rsidP="009B02C2">
            <w:pPr>
              <w:spacing w:after="0" w:line="240" w:lineRule="auto"/>
              <w:jc w:val="center"/>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Votos totales</w:t>
            </w:r>
          </w:p>
        </w:tc>
        <w:tc>
          <w:tcPr>
            <w:tcW w:w="2245" w:type="dxa"/>
          </w:tcPr>
          <w:p w14:paraId="589DCB07" w14:textId="77777777" w:rsidR="009B02C2" w:rsidRPr="00CF2780" w:rsidRDefault="009B02C2" w:rsidP="009B02C2">
            <w:pPr>
              <w:spacing w:after="0" w:line="240" w:lineRule="auto"/>
              <w:jc w:val="center"/>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Lista nominal</w:t>
            </w:r>
          </w:p>
        </w:tc>
        <w:tc>
          <w:tcPr>
            <w:tcW w:w="2245" w:type="dxa"/>
          </w:tcPr>
          <w:p w14:paraId="3882A169" w14:textId="77777777" w:rsidR="009B02C2" w:rsidRPr="00CF2780" w:rsidRDefault="009B02C2" w:rsidP="009B02C2">
            <w:pPr>
              <w:spacing w:after="0" w:line="240" w:lineRule="auto"/>
              <w:jc w:val="center"/>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Porcentaje</w:t>
            </w:r>
          </w:p>
        </w:tc>
      </w:tr>
      <w:tr w:rsidR="009B02C2" w:rsidRPr="00CF2780" w14:paraId="5F9306A1" w14:textId="77777777" w:rsidTr="00B05F31">
        <w:tc>
          <w:tcPr>
            <w:tcW w:w="2244" w:type="dxa"/>
          </w:tcPr>
          <w:p w14:paraId="220BD49E" w14:textId="77777777" w:rsidR="009B02C2" w:rsidRPr="00CF2780" w:rsidRDefault="009B02C2" w:rsidP="009B02C2">
            <w:pPr>
              <w:spacing w:after="0" w:line="240" w:lineRule="auto"/>
              <w:jc w:val="center"/>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1998</w:t>
            </w:r>
          </w:p>
        </w:tc>
        <w:tc>
          <w:tcPr>
            <w:tcW w:w="2244" w:type="dxa"/>
          </w:tcPr>
          <w:p w14:paraId="3AE86BC5" w14:textId="77777777" w:rsidR="009B02C2" w:rsidRPr="00CF2780" w:rsidRDefault="009B02C2" w:rsidP="009B02C2">
            <w:pPr>
              <w:spacing w:after="0" w:line="240" w:lineRule="auto"/>
              <w:jc w:val="center"/>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3622</w:t>
            </w:r>
          </w:p>
        </w:tc>
        <w:tc>
          <w:tcPr>
            <w:tcW w:w="2245" w:type="dxa"/>
          </w:tcPr>
          <w:p w14:paraId="017B2B27" w14:textId="77777777" w:rsidR="009B02C2" w:rsidRPr="00CF2780" w:rsidRDefault="009B02C2" w:rsidP="009B02C2">
            <w:pPr>
              <w:spacing w:after="0" w:line="240" w:lineRule="auto"/>
              <w:jc w:val="center"/>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8281</w:t>
            </w:r>
          </w:p>
        </w:tc>
        <w:tc>
          <w:tcPr>
            <w:tcW w:w="2245" w:type="dxa"/>
          </w:tcPr>
          <w:p w14:paraId="6D332EB0" w14:textId="77777777" w:rsidR="009B02C2" w:rsidRPr="00CF2780" w:rsidRDefault="009B02C2" w:rsidP="009B02C2">
            <w:pPr>
              <w:spacing w:after="0" w:line="240" w:lineRule="auto"/>
              <w:jc w:val="center"/>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43.73%</w:t>
            </w:r>
          </w:p>
        </w:tc>
      </w:tr>
      <w:tr w:rsidR="009B02C2" w:rsidRPr="00CF2780" w14:paraId="7F535985" w14:textId="77777777" w:rsidTr="00B05F31">
        <w:tc>
          <w:tcPr>
            <w:tcW w:w="2244" w:type="dxa"/>
          </w:tcPr>
          <w:p w14:paraId="26723B10" w14:textId="77777777" w:rsidR="009B02C2" w:rsidRPr="00CF2780" w:rsidRDefault="009B02C2" w:rsidP="009B02C2">
            <w:pPr>
              <w:spacing w:after="0" w:line="240" w:lineRule="auto"/>
              <w:jc w:val="center"/>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2001</w:t>
            </w:r>
          </w:p>
        </w:tc>
        <w:tc>
          <w:tcPr>
            <w:tcW w:w="2244" w:type="dxa"/>
          </w:tcPr>
          <w:p w14:paraId="07508FDC" w14:textId="77777777" w:rsidR="009B02C2" w:rsidRPr="00CF2780" w:rsidRDefault="009B02C2" w:rsidP="009B02C2">
            <w:pPr>
              <w:spacing w:after="0" w:line="240" w:lineRule="auto"/>
              <w:jc w:val="center"/>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4754</w:t>
            </w:r>
          </w:p>
        </w:tc>
        <w:tc>
          <w:tcPr>
            <w:tcW w:w="2245" w:type="dxa"/>
          </w:tcPr>
          <w:p w14:paraId="38ABA37E" w14:textId="77777777" w:rsidR="009B02C2" w:rsidRPr="00CF2780" w:rsidRDefault="009B02C2" w:rsidP="009B02C2">
            <w:pPr>
              <w:spacing w:after="0" w:line="240" w:lineRule="auto"/>
              <w:jc w:val="center"/>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9440</w:t>
            </w:r>
          </w:p>
        </w:tc>
        <w:tc>
          <w:tcPr>
            <w:tcW w:w="2245" w:type="dxa"/>
          </w:tcPr>
          <w:p w14:paraId="2BABF7EF" w14:textId="77777777" w:rsidR="009B02C2" w:rsidRPr="00CF2780" w:rsidRDefault="009B02C2" w:rsidP="009B02C2">
            <w:pPr>
              <w:spacing w:after="0" w:line="240" w:lineRule="auto"/>
              <w:jc w:val="center"/>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50.36%</w:t>
            </w:r>
          </w:p>
        </w:tc>
      </w:tr>
      <w:tr w:rsidR="009B02C2" w:rsidRPr="00CF2780" w14:paraId="6F0F948B" w14:textId="77777777" w:rsidTr="00B05F31">
        <w:tc>
          <w:tcPr>
            <w:tcW w:w="2244" w:type="dxa"/>
          </w:tcPr>
          <w:p w14:paraId="3B9E5162" w14:textId="77777777" w:rsidR="009B02C2" w:rsidRPr="00CF2780" w:rsidRDefault="009B02C2" w:rsidP="009B02C2">
            <w:pPr>
              <w:spacing w:after="0" w:line="240" w:lineRule="auto"/>
              <w:jc w:val="center"/>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lastRenderedPageBreak/>
              <w:t>2004</w:t>
            </w:r>
          </w:p>
        </w:tc>
        <w:tc>
          <w:tcPr>
            <w:tcW w:w="2244" w:type="dxa"/>
          </w:tcPr>
          <w:p w14:paraId="43A4DF10" w14:textId="77777777" w:rsidR="009B02C2" w:rsidRPr="00CF2780" w:rsidRDefault="009B02C2" w:rsidP="009B02C2">
            <w:pPr>
              <w:spacing w:after="0" w:line="240" w:lineRule="auto"/>
              <w:jc w:val="center"/>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5069</w:t>
            </w:r>
          </w:p>
        </w:tc>
        <w:tc>
          <w:tcPr>
            <w:tcW w:w="2245" w:type="dxa"/>
          </w:tcPr>
          <w:p w14:paraId="270E4713" w14:textId="77777777" w:rsidR="009B02C2" w:rsidRPr="00CF2780" w:rsidRDefault="009B02C2" w:rsidP="009B02C2">
            <w:pPr>
              <w:spacing w:after="0" w:line="240" w:lineRule="auto"/>
              <w:jc w:val="center"/>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10900</w:t>
            </w:r>
          </w:p>
        </w:tc>
        <w:tc>
          <w:tcPr>
            <w:tcW w:w="2245" w:type="dxa"/>
          </w:tcPr>
          <w:p w14:paraId="69C96AB5" w14:textId="77777777" w:rsidR="009B02C2" w:rsidRPr="00CF2780" w:rsidRDefault="009B02C2" w:rsidP="009B02C2">
            <w:pPr>
              <w:spacing w:after="0" w:line="240" w:lineRule="auto"/>
              <w:jc w:val="center"/>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46.50%</w:t>
            </w:r>
          </w:p>
        </w:tc>
      </w:tr>
      <w:tr w:rsidR="009B02C2" w:rsidRPr="00CF2780" w14:paraId="571658C5" w14:textId="77777777" w:rsidTr="00B05F31">
        <w:tc>
          <w:tcPr>
            <w:tcW w:w="2244" w:type="dxa"/>
          </w:tcPr>
          <w:p w14:paraId="43C27CD3" w14:textId="77777777" w:rsidR="009B02C2" w:rsidRPr="00CF2780" w:rsidRDefault="009B02C2" w:rsidP="009B02C2">
            <w:pPr>
              <w:spacing w:after="0" w:line="240" w:lineRule="auto"/>
              <w:jc w:val="center"/>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2007</w:t>
            </w:r>
          </w:p>
        </w:tc>
        <w:tc>
          <w:tcPr>
            <w:tcW w:w="2244" w:type="dxa"/>
          </w:tcPr>
          <w:p w14:paraId="173B8CE3" w14:textId="77777777" w:rsidR="009B02C2" w:rsidRPr="00CF2780" w:rsidRDefault="009B02C2" w:rsidP="009B02C2">
            <w:pPr>
              <w:spacing w:after="0" w:line="240" w:lineRule="auto"/>
              <w:jc w:val="center"/>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6784</w:t>
            </w:r>
          </w:p>
        </w:tc>
        <w:tc>
          <w:tcPr>
            <w:tcW w:w="2245" w:type="dxa"/>
          </w:tcPr>
          <w:p w14:paraId="629898F6" w14:textId="77777777" w:rsidR="009B02C2" w:rsidRPr="00CF2780" w:rsidRDefault="009B02C2" w:rsidP="009B02C2">
            <w:pPr>
              <w:spacing w:after="0" w:line="240" w:lineRule="auto"/>
              <w:jc w:val="center"/>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12303</w:t>
            </w:r>
          </w:p>
        </w:tc>
        <w:tc>
          <w:tcPr>
            <w:tcW w:w="2245" w:type="dxa"/>
          </w:tcPr>
          <w:p w14:paraId="1330ED90" w14:textId="77777777" w:rsidR="009B02C2" w:rsidRPr="00CF2780" w:rsidRDefault="009B02C2" w:rsidP="009B02C2">
            <w:pPr>
              <w:spacing w:after="0" w:line="240" w:lineRule="auto"/>
              <w:jc w:val="center"/>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55.14%</w:t>
            </w:r>
          </w:p>
        </w:tc>
      </w:tr>
      <w:tr w:rsidR="009B02C2" w:rsidRPr="00CF2780" w14:paraId="3CB5F106" w14:textId="77777777" w:rsidTr="00B05F31">
        <w:tc>
          <w:tcPr>
            <w:tcW w:w="2244" w:type="dxa"/>
          </w:tcPr>
          <w:p w14:paraId="0F5864E5" w14:textId="77777777" w:rsidR="009B02C2" w:rsidRPr="00CF2780" w:rsidRDefault="009B02C2" w:rsidP="009B02C2">
            <w:pPr>
              <w:spacing w:after="0" w:line="240" w:lineRule="auto"/>
              <w:jc w:val="center"/>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2011</w:t>
            </w:r>
          </w:p>
        </w:tc>
        <w:tc>
          <w:tcPr>
            <w:tcW w:w="2244" w:type="dxa"/>
          </w:tcPr>
          <w:p w14:paraId="4D236B2D" w14:textId="77777777" w:rsidR="009B02C2" w:rsidRPr="00CF2780" w:rsidRDefault="009B02C2" w:rsidP="009B02C2">
            <w:pPr>
              <w:spacing w:after="0" w:line="240" w:lineRule="auto"/>
              <w:jc w:val="center"/>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5352</w:t>
            </w:r>
          </w:p>
        </w:tc>
        <w:tc>
          <w:tcPr>
            <w:tcW w:w="2245" w:type="dxa"/>
          </w:tcPr>
          <w:p w14:paraId="62D369D9" w14:textId="77777777" w:rsidR="009B02C2" w:rsidRPr="00CF2780" w:rsidRDefault="009B02C2" w:rsidP="009B02C2">
            <w:pPr>
              <w:spacing w:after="0" w:line="240" w:lineRule="auto"/>
              <w:jc w:val="center"/>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13608</w:t>
            </w:r>
          </w:p>
        </w:tc>
        <w:tc>
          <w:tcPr>
            <w:tcW w:w="2245" w:type="dxa"/>
          </w:tcPr>
          <w:p w14:paraId="63909521" w14:textId="77777777" w:rsidR="009B02C2" w:rsidRPr="00CF2780" w:rsidRDefault="009B02C2" w:rsidP="009B02C2">
            <w:pPr>
              <w:spacing w:after="0" w:line="240" w:lineRule="auto"/>
              <w:jc w:val="center"/>
              <w:rPr>
                <w:rFonts w:ascii="Arial" w:eastAsia="Times New Roman" w:hAnsi="Arial" w:cs="Arial"/>
                <w:sz w:val="24"/>
                <w:szCs w:val="24"/>
                <w:lang w:val="es-ES" w:eastAsia="es-ES"/>
              </w:rPr>
            </w:pPr>
            <w:r w:rsidRPr="00CF2780">
              <w:rPr>
                <w:rFonts w:ascii="Arial" w:eastAsia="Times New Roman" w:hAnsi="Arial" w:cs="Arial"/>
                <w:sz w:val="24"/>
                <w:szCs w:val="24"/>
                <w:lang w:val="es-ES" w:eastAsia="es-ES"/>
              </w:rPr>
              <w:t>39.32%</w:t>
            </w:r>
          </w:p>
        </w:tc>
      </w:tr>
    </w:tbl>
    <w:p w14:paraId="2AEC4B72" w14:textId="77777777" w:rsidR="009B02C2" w:rsidRPr="00CF2780" w:rsidRDefault="009B02C2" w:rsidP="009B02C2">
      <w:pPr>
        <w:spacing w:after="0" w:line="240" w:lineRule="auto"/>
        <w:rPr>
          <w:rFonts w:ascii="Arial" w:eastAsia="Times New Roman" w:hAnsi="Arial" w:cs="Arial"/>
          <w:sz w:val="24"/>
          <w:szCs w:val="24"/>
          <w:lang w:val="es-ES" w:eastAsia="es-ES"/>
        </w:rPr>
      </w:pPr>
    </w:p>
    <w:p w14:paraId="46172D34" w14:textId="77777777" w:rsidR="009B02C2" w:rsidRPr="00CF2780" w:rsidRDefault="009B02C2" w:rsidP="009B02C2">
      <w:pPr>
        <w:spacing w:before="240" w:after="0" w:line="360" w:lineRule="auto"/>
        <w:jc w:val="both"/>
        <w:rPr>
          <w:rFonts w:ascii="Arial" w:eastAsia="Times New Roman" w:hAnsi="Arial" w:cs="Arial"/>
          <w:sz w:val="28"/>
          <w:szCs w:val="24"/>
          <w:lang w:val="es-ES" w:eastAsia="es-ES"/>
        </w:rPr>
      </w:pPr>
    </w:p>
    <w:p w14:paraId="022E071A" w14:textId="77777777" w:rsidR="009B02C2" w:rsidRPr="00CF2780" w:rsidRDefault="009B02C2" w:rsidP="009B02C2">
      <w:pPr>
        <w:spacing w:before="240" w:after="0" w:line="360" w:lineRule="auto"/>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A partir de los datos que se presentan en las votaciones que se han realizado en el municipio de Cherán, Estado de Michoacán, para la elección del ayuntamiento municipal (desde mil novecientos noventa y ocho, a dos mil siete), esta Sala Superior advierte que el nivel de participación en la consulta no es extraordinariamente diferente al que se ha presentado en otros procesos democráticos. Aunque la consulta no tiene un porcentaje de participación igual o superior a los que corresponden a las elecciones municipales de Cherán, todavía se puede considerar que es representativo, legítimo, sobre todo si se considera que se trata de una consulta para decidir si se opta por el sistema de usos o costumbres o no. En esta medida se concluye que el resultado de la consulta es válido y legítimo  o representativo.</w:t>
      </w:r>
    </w:p>
    <w:p w14:paraId="3AD31071" w14:textId="77777777" w:rsidR="009B02C2" w:rsidRPr="00CF2780" w:rsidRDefault="009B02C2" w:rsidP="009B02C2">
      <w:pPr>
        <w:spacing w:before="240" w:after="0" w:line="360" w:lineRule="auto"/>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Por tanto, no puede estimarse que la consulta y sus resultados haya sido impuesta a dicha comunidad indígena de Cherán, sino que derivó de procedimiento regular y un acuerdo mayoritario expresado por los ciudadanos del municipio, es decir, son las reglas convenidas con la comunidad, de acuerdo con lo dispuesto en los artículos 2°, aparatado A, fracción III, de la Constitución federal; 3°, 4° y 5° de la Declaración de las Naciones Unidas sobre Derechos de los Pueblos Indígenas, así como 5° y 8°, párrafo 2, del Convenio 169 sobre Pueblos Indígenas y Tribales en países Independientes.</w:t>
      </w:r>
    </w:p>
    <w:p w14:paraId="4E2A8808" w14:textId="77777777" w:rsidR="009B02C2" w:rsidRPr="00CF2780" w:rsidRDefault="009B02C2" w:rsidP="009B02C2">
      <w:pPr>
        <w:spacing w:before="240" w:after="0" w:line="360" w:lineRule="auto"/>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lastRenderedPageBreak/>
        <w:t xml:space="preserve">Esta Sala Superior advierte que los indígenas y sus pueblos no deben sufrir una asimilación forzada o la destrucción de su cultura, ni deberá emplearse ninguna forma de fuerza o de coerción que viole los derechos humanos y las libertades fundamentales de los pueblos interesados. En consecuencia, se han establecido mecanismos eficaces para la prevención y el resarcimiento de todo acto que tenga por objeto o consecuencia privar a los pueblos o personas indígenas de su integridad como pueblos distintos o de sus valores culturales o su identidad étnica, así como para la salvaguarda de la persona, instituciones, bienes, trabajo, cultura y medio ambiente, sin que dichas medidas sean contrarias a los deseos expresados libremente por los pueblos interesados [artículos 8°, párrafos 1 y 2, inciso a), de </w:t>
      </w:r>
      <w:smartTag w:uri="urn:schemas-microsoft-com:office:smarttags" w:element="PersonName">
        <w:smartTagPr>
          <w:attr w:name="ProductID" w:val="la Declaraci￳n"/>
        </w:smartTagPr>
        <w:r w:rsidRPr="00CF2780">
          <w:rPr>
            <w:rFonts w:ascii="Arial" w:eastAsia="Times New Roman" w:hAnsi="Arial" w:cs="Arial"/>
            <w:sz w:val="28"/>
            <w:szCs w:val="24"/>
            <w:lang w:val="es-ES" w:eastAsia="es-ES"/>
          </w:rPr>
          <w:t>la Declaración</w:t>
        </w:r>
      </w:smartTag>
      <w:r w:rsidRPr="00CF2780">
        <w:rPr>
          <w:rFonts w:ascii="Arial" w:eastAsia="Times New Roman" w:hAnsi="Arial" w:cs="Arial"/>
          <w:sz w:val="28"/>
          <w:szCs w:val="24"/>
          <w:lang w:val="es-ES" w:eastAsia="es-ES"/>
        </w:rPr>
        <w:t xml:space="preserve"> de las Naciones Unidas sobre Derechos de los Pueblos Indígenas, así como 3°, párrafo 2, y 4°, párrafos 1 y 2, del Convenio 169 sobre Pueblos Indígenas y tribales en Países Independientes].</w:t>
      </w:r>
    </w:p>
    <w:p w14:paraId="50B1889A" w14:textId="77777777" w:rsidR="009B02C2" w:rsidRPr="00CF2780" w:rsidRDefault="009B02C2" w:rsidP="009B02C2">
      <w:pPr>
        <w:spacing w:before="240" w:after="0" w:line="360" w:lineRule="auto"/>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 xml:space="preserve">La consulta de mérito y sus resultados son válidos, ya que no se desvirtúa dicha presunción en autos, por lo que se considera que no es incompatible con los derechos humanos, los derechos fundamentales, las garantías individuales ni con la integridad y la dignidad de las mujeres (artículos 2°, apartado A, fracciones III y VIII, de </w:t>
      </w:r>
      <w:smartTag w:uri="urn:schemas-microsoft-com:office:smarttags" w:element="PersonName">
        <w:smartTagPr>
          <w:attr w:name="ProductID" w:val="la Constituci￳n"/>
        </w:smartTagPr>
        <w:r w:rsidRPr="00CF2780">
          <w:rPr>
            <w:rFonts w:ascii="Arial" w:eastAsia="Times New Roman" w:hAnsi="Arial" w:cs="Arial"/>
            <w:sz w:val="28"/>
            <w:szCs w:val="24"/>
            <w:lang w:val="es-ES" w:eastAsia="es-ES"/>
          </w:rPr>
          <w:t>la Constitución</w:t>
        </w:r>
      </w:smartTag>
      <w:r w:rsidRPr="00CF2780">
        <w:rPr>
          <w:rFonts w:ascii="Arial" w:eastAsia="Times New Roman" w:hAnsi="Arial" w:cs="Arial"/>
          <w:sz w:val="28"/>
          <w:szCs w:val="24"/>
          <w:lang w:val="es-ES" w:eastAsia="es-ES"/>
        </w:rPr>
        <w:t xml:space="preserve"> federal; 8°, párrafo 1, y 12 del Convenio 169).</w:t>
      </w:r>
    </w:p>
    <w:p w14:paraId="45D252CA" w14:textId="77777777" w:rsidR="009B02C2" w:rsidRPr="00CF2780" w:rsidRDefault="009B02C2" w:rsidP="009B02C2">
      <w:pPr>
        <w:spacing w:before="240" w:after="0" w:line="360" w:lineRule="auto"/>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 xml:space="preserve">En el derecho indígena, se reconoce que la identificación de las normas jurídicas respectivas y su validez debe realizarse a partir del uso o costumbre, en el cual se tenga como referente fundamental la cosmovisión indígena y su derecho de autodeterminación, entendido como un marco jurídico y político, que permita a la comunidad indígena </w:t>
      </w:r>
      <w:r w:rsidRPr="00CF2780">
        <w:rPr>
          <w:rFonts w:ascii="Arial" w:eastAsia="Times New Roman" w:hAnsi="Arial" w:cs="Arial"/>
          <w:sz w:val="28"/>
          <w:szCs w:val="24"/>
          <w:lang w:val="es-ES" w:eastAsia="es-ES"/>
        </w:rPr>
        <w:lastRenderedPageBreak/>
        <w:t>de que se trate tener un control permanente sobre su propio destino,</w:t>
      </w:r>
      <w:r w:rsidRPr="00CF2780">
        <w:rPr>
          <w:rFonts w:ascii="Arial" w:eastAsia="Times New Roman" w:hAnsi="Arial" w:cs="Arial"/>
          <w:sz w:val="28"/>
          <w:szCs w:val="24"/>
          <w:vertAlign w:val="superscript"/>
          <w:lang w:val="es-ES" w:eastAsia="es-ES"/>
        </w:rPr>
        <w:footnoteReference w:id="33"/>
      </w:r>
      <w:r w:rsidRPr="00CF2780">
        <w:rPr>
          <w:rFonts w:ascii="Arial" w:eastAsia="Times New Roman" w:hAnsi="Arial" w:cs="Arial"/>
          <w:sz w:val="28"/>
          <w:szCs w:val="24"/>
          <w:lang w:val="es-ES" w:eastAsia="es-ES"/>
        </w:rPr>
        <w:t xml:space="preserve"> sin que impere una asimilación forzada o la destrucción de su cultura propias de un Estado-nación asimilacionista y homogeneizador.</w:t>
      </w:r>
      <w:r w:rsidRPr="00CF2780">
        <w:rPr>
          <w:rFonts w:ascii="Arial" w:eastAsia="Times New Roman" w:hAnsi="Arial" w:cs="Arial"/>
          <w:sz w:val="28"/>
          <w:szCs w:val="24"/>
          <w:vertAlign w:val="superscript"/>
          <w:lang w:val="es-ES" w:eastAsia="es-ES"/>
        </w:rPr>
        <w:footnoteReference w:id="34"/>
      </w:r>
      <w:r w:rsidRPr="00CF2780">
        <w:rPr>
          <w:rFonts w:ascii="Arial" w:eastAsia="Times New Roman" w:hAnsi="Arial" w:cs="Arial"/>
          <w:sz w:val="28"/>
          <w:szCs w:val="24"/>
          <w:lang w:val="es-ES" w:eastAsia="es-ES"/>
        </w:rPr>
        <w:t xml:space="preserve"> Es, en palabras de Boaventura de Sousa Santos, la coexistencia, dentro de un territorio geopolítico, de un ordenamiento jurídico estatal moderno, occidentalizado, oficial, con una pluralidad de ordenamientos jurídicos locales, tradicionales, de raigambre comunitario, lo cual lleva al reconocimiento de una pluralidad jurídica.</w:t>
      </w:r>
      <w:r w:rsidRPr="00CF2780">
        <w:rPr>
          <w:rFonts w:ascii="Arial" w:eastAsia="Times New Roman" w:hAnsi="Arial" w:cs="Arial"/>
          <w:sz w:val="28"/>
          <w:szCs w:val="24"/>
          <w:vertAlign w:val="superscript"/>
          <w:lang w:val="es-ES" w:eastAsia="es-ES"/>
        </w:rPr>
        <w:footnoteReference w:id="35"/>
      </w:r>
    </w:p>
    <w:p w14:paraId="30BED6DE" w14:textId="77777777" w:rsidR="009B02C2" w:rsidRPr="00CF2780" w:rsidRDefault="009B02C2" w:rsidP="009B02C2">
      <w:pPr>
        <w:spacing w:before="240" w:after="0" w:line="360" w:lineRule="auto"/>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t xml:space="preserve">Sin embargo, se debe asegurar que dichas determinaciones no vulneren los principios generales previstos en </w:t>
      </w:r>
      <w:smartTag w:uri="urn:schemas-microsoft-com:office:smarttags" w:element="PersonName">
        <w:smartTagPr>
          <w:attr w:name="ProductID" w:val="la Constituci￳n"/>
        </w:smartTagPr>
        <w:r w:rsidRPr="00CF2780">
          <w:rPr>
            <w:rFonts w:ascii="Arial" w:eastAsia="Times New Roman" w:hAnsi="Arial" w:cs="Arial"/>
            <w:sz w:val="28"/>
            <w:szCs w:val="24"/>
            <w:lang w:val="es-ES" w:eastAsia="es-ES"/>
          </w:rPr>
          <w:t>la Constitución</w:t>
        </w:r>
      </w:smartTag>
      <w:r w:rsidRPr="00CF2780">
        <w:rPr>
          <w:rFonts w:ascii="Arial" w:eastAsia="Times New Roman" w:hAnsi="Arial" w:cs="Arial"/>
          <w:sz w:val="28"/>
          <w:szCs w:val="24"/>
          <w:lang w:val="es-ES" w:eastAsia="es-ES"/>
        </w:rPr>
        <w:t xml:space="preserve"> federal, las garantías individuales, los derechos humanos y, de manera relevante, la dignidad e integridad de las mujeres, lo cual, se insiste, no está acreditado en autos. La costumbre indígena, luego, el derecho indígena, no sólo se conforma a través de la reiteración y la convicción de que dicha conducta es la debida sino que su contenido se puede determinar con una única determinación, incluso, diversa, siempre que se adopte por el órgano comunitario correspondiente y bajo el procedimiento respectivo. Es decir, para identificar la vigencia y validez de una norma jurídica indígena se debe atender, en principio, a la legitimidad del órgano comunitario y la regularidad del procedimiento respectivo.</w:t>
      </w:r>
    </w:p>
    <w:p w14:paraId="2445C111" w14:textId="77777777" w:rsidR="009B02C2" w:rsidRPr="00CF2780" w:rsidRDefault="009B02C2" w:rsidP="009B02C2">
      <w:pPr>
        <w:spacing w:before="240" w:after="0" w:line="360" w:lineRule="auto"/>
        <w:jc w:val="both"/>
        <w:rPr>
          <w:rFonts w:ascii="Arial" w:eastAsia="Times New Roman" w:hAnsi="Arial" w:cs="Arial"/>
          <w:sz w:val="28"/>
          <w:szCs w:val="24"/>
          <w:lang w:val="es-ES" w:eastAsia="es-ES"/>
        </w:rPr>
      </w:pPr>
      <w:r w:rsidRPr="00CF2780">
        <w:rPr>
          <w:rFonts w:ascii="Arial" w:eastAsia="Times New Roman" w:hAnsi="Arial" w:cs="Arial"/>
          <w:sz w:val="28"/>
          <w:szCs w:val="24"/>
          <w:lang w:val="es-ES" w:eastAsia="es-ES"/>
        </w:rPr>
        <w:lastRenderedPageBreak/>
        <w:t xml:space="preserve">Es claro que el principal órgano de producción normativa en una población o comunidad indígena es la asamblea, dado su carácter representativo y su legitimidad, por lo cual, incluso las decisiones previas que adopten autoridades comunitarias distintas y menos representativas, deben ceder. Se debe privilegiar el consenso de la mayoría. Lo anterior,  en términos de lo dispuesto en los artículos 2°, apartado A, fracciones I, II y III, de </w:t>
      </w:r>
      <w:smartTag w:uri="urn:schemas-microsoft-com:office:smarttags" w:element="PersonName">
        <w:smartTagPr>
          <w:attr w:name="ProductID" w:val="la Constituci￳n"/>
        </w:smartTagPr>
        <w:r w:rsidRPr="00CF2780">
          <w:rPr>
            <w:rFonts w:ascii="Arial" w:eastAsia="Times New Roman" w:hAnsi="Arial" w:cs="Arial"/>
            <w:sz w:val="28"/>
            <w:szCs w:val="24"/>
            <w:lang w:val="es-ES" w:eastAsia="es-ES"/>
          </w:rPr>
          <w:t>la Constitución</w:t>
        </w:r>
      </w:smartTag>
      <w:r w:rsidRPr="00CF2780">
        <w:rPr>
          <w:rFonts w:ascii="Arial" w:eastAsia="Times New Roman" w:hAnsi="Arial" w:cs="Arial"/>
          <w:sz w:val="28"/>
          <w:szCs w:val="24"/>
          <w:lang w:val="es-ES" w:eastAsia="es-ES"/>
        </w:rPr>
        <w:t xml:space="preserve"> federal; 3°, párrafo 1; 4°, 5°; 6°, párrafo 1, incisos b) y c), y 8°, párrafo 2, del Convenio 169, así como 3° 5° y 18 de </w:t>
      </w:r>
      <w:smartTag w:uri="urn:schemas-microsoft-com:office:smarttags" w:element="PersonName">
        <w:smartTagPr>
          <w:attr w:name="ProductID" w:val="la Declaraci￳n"/>
        </w:smartTagPr>
        <w:r w:rsidRPr="00CF2780">
          <w:rPr>
            <w:rFonts w:ascii="Arial" w:eastAsia="Times New Roman" w:hAnsi="Arial" w:cs="Arial"/>
            <w:sz w:val="28"/>
            <w:szCs w:val="24"/>
            <w:lang w:val="es-ES" w:eastAsia="es-ES"/>
          </w:rPr>
          <w:t>la Declaración</w:t>
        </w:r>
      </w:smartTag>
      <w:r w:rsidRPr="00CF2780">
        <w:rPr>
          <w:rFonts w:ascii="Arial" w:eastAsia="Times New Roman" w:hAnsi="Arial" w:cs="Arial"/>
          <w:sz w:val="28"/>
          <w:szCs w:val="24"/>
          <w:lang w:val="es-ES" w:eastAsia="es-ES"/>
        </w:rPr>
        <w:t xml:space="preserve"> de las Naciones Unidas sobre Derechos de los Pueblos Indígenas.</w:t>
      </w:r>
    </w:p>
    <w:p w14:paraId="230C686B"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2E0E9009" w14:textId="77777777" w:rsidR="009B02C2" w:rsidRPr="00CF2780" w:rsidRDefault="009B02C2" w:rsidP="009B02C2">
      <w:pPr>
        <w:spacing w:before="100" w:beforeAutospacing="1" w:after="100" w:afterAutospacing="1"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Consecuentemente, ante lo infundado e inoperante de los agravios hechos valer, lo procedente es confirmar el Informe que rinde la Comisión Especial para dar seguimiento a la resolución emitida por la Sala Superior del Tribunal Electoral del Poder Judicial de la Federación dentro del juicio para la protección de los derechos político-electorales del ciudadano, número SUP-JDC-9167/2011, y, en la materia de la impugnación, los resultados de la consulta. </w:t>
      </w:r>
    </w:p>
    <w:p w14:paraId="7FB887D3"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653FB2B2"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Por lo expuesto y fundado se </w:t>
      </w:r>
    </w:p>
    <w:p w14:paraId="57B7390B" w14:textId="77777777" w:rsidR="009B02C2" w:rsidRPr="00CF2780" w:rsidRDefault="009B02C2" w:rsidP="009B02C2">
      <w:pPr>
        <w:spacing w:after="0" w:line="360" w:lineRule="auto"/>
        <w:jc w:val="both"/>
        <w:rPr>
          <w:rFonts w:ascii="Arial" w:eastAsia="Times New Roman" w:hAnsi="Arial" w:cs="Arial"/>
          <w:b/>
          <w:sz w:val="28"/>
          <w:szCs w:val="28"/>
          <w:lang w:val="es-ES" w:eastAsia="es-ES"/>
        </w:rPr>
      </w:pPr>
    </w:p>
    <w:p w14:paraId="2B1447CB" w14:textId="77777777" w:rsidR="009B02C2" w:rsidRPr="00CF2780" w:rsidRDefault="009B02C2" w:rsidP="009B02C2">
      <w:pPr>
        <w:spacing w:after="0" w:line="360" w:lineRule="auto"/>
        <w:jc w:val="center"/>
        <w:rPr>
          <w:rFonts w:ascii="Arial" w:eastAsia="Times New Roman" w:hAnsi="Arial" w:cs="Arial"/>
          <w:b/>
          <w:sz w:val="28"/>
          <w:szCs w:val="28"/>
          <w:lang w:val="es-ES" w:eastAsia="es-ES"/>
        </w:rPr>
      </w:pPr>
      <w:r w:rsidRPr="00CF2780">
        <w:rPr>
          <w:rFonts w:ascii="Arial" w:eastAsia="Times New Roman" w:hAnsi="Arial" w:cs="Arial"/>
          <w:b/>
          <w:sz w:val="28"/>
          <w:szCs w:val="28"/>
          <w:lang w:val="es-ES" w:eastAsia="es-ES"/>
        </w:rPr>
        <w:t xml:space="preserve">R E S U E L V E </w:t>
      </w:r>
    </w:p>
    <w:p w14:paraId="441306B2" w14:textId="77777777" w:rsidR="009B02C2" w:rsidRPr="00CF2780" w:rsidRDefault="009B02C2" w:rsidP="009B02C2">
      <w:pPr>
        <w:spacing w:after="0" w:line="360" w:lineRule="auto"/>
        <w:jc w:val="center"/>
        <w:rPr>
          <w:rFonts w:ascii="Arial" w:eastAsia="Times New Roman" w:hAnsi="Arial" w:cs="Arial"/>
          <w:b/>
          <w:sz w:val="28"/>
          <w:szCs w:val="28"/>
          <w:lang w:val="es-ES" w:eastAsia="es-ES"/>
        </w:rPr>
      </w:pPr>
    </w:p>
    <w:p w14:paraId="28F4AD3D"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PRIMERO.</w:t>
      </w:r>
      <w:r w:rsidRPr="00CF2780">
        <w:rPr>
          <w:rFonts w:ascii="Arial" w:eastAsia="Times New Roman" w:hAnsi="Arial" w:cs="Arial"/>
          <w:sz w:val="28"/>
          <w:szCs w:val="28"/>
          <w:lang w:val="es-ES" w:eastAsia="es-ES"/>
        </w:rPr>
        <w:t xml:space="preserve"> Se </w:t>
      </w:r>
      <w:r w:rsidRPr="00CF2780">
        <w:rPr>
          <w:rFonts w:ascii="Arial" w:eastAsia="Times New Roman" w:hAnsi="Arial" w:cs="Arial"/>
          <w:b/>
          <w:sz w:val="28"/>
          <w:szCs w:val="28"/>
          <w:lang w:val="es-ES" w:eastAsia="es-ES"/>
        </w:rPr>
        <w:t>confirma</w:t>
      </w:r>
      <w:r w:rsidRPr="00CF2780">
        <w:rPr>
          <w:rFonts w:ascii="Arial" w:eastAsia="Times New Roman" w:hAnsi="Arial" w:cs="Arial"/>
          <w:sz w:val="28"/>
          <w:szCs w:val="28"/>
          <w:lang w:val="es-ES" w:eastAsia="es-ES"/>
        </w:rPr>
        <w:t xml:space="preserve"> el Informe que rinde la Comisión Especial para dar seguimiento a la resolución emitida por la Sala Superior del Tribunal Electoral del Poder Judicial de la Federación dentro del juicio para la </w:t>
      </w:r>
      <w:r w:rsidRPr="00CF2780">
        <w:rPr>
          <w:rFonts w:ascii="Arial" w:eastAsia="Times New Roman" w:hAnsi="Arial" w:cs="Arial"/>
          <w:sz w:val="28"/>
          <w:szCs w:val="28"/>
          <w:lang w:val="es-ES" w:eastAsia="es-ES"/>
        </w:rPr>
        <w:lastRenderedPageBreak/>
        <w:t>protección de los derechos político-electorales del ciudadano, número SUP-JDC-9167/2011</w:t>
      </w:r>
    </w:p>
    <w:p w14:paraId="4DA6B714" w14:textId="77777777" w:rsidR="009B02C2" w:rsidRPr="00CF2780" w:rsidRDefault="009B02C2" w:rsidP="009B02C2">
      <w:pPr>
        <w:spacing w:after="0" w:line="360" w:lineRule="auto"/>
        <w:rPr>
          <w:rFonts w:ascii="Arial" w:eastAsia="Times New Roman" w:hAnsi="Arial" w:cs="Arial"/>
          <w:sz w:val="28"/>
          <w:szCs w:val="28"/>
          <w:lang w:val="es-ES" w:eastAsia="es-ES"/>
        </w:rPr>
      </w:pPr>
    </w:p>
    <w:p w14:paraId="0FCA63C5"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 xml:space="preserve">SEGUNDO. </w:t>
      </w:r>
      <w:r w:rsidRPr="00CF2780">
        <w:rPr>
          <w:rFonts w:ascii="Arial" w:eastAsia="Times New Roman" w:hAnsi="Arial" w:cs="Arial"/>
          <w:sz w:val="28"/>
          <w:szCs w:val="28"/>
          <w:lang w:val="es-ES" w:eastAsia="es-ES"/>
        </w:rPr>
        <w:t xml:space="preserve">En la </w:t>
      </w:r>
      <w:r w:rsidRPr="00CF2780">
        <w:rPr>
          <w:rFonts w:ascii="Arial" w:eastAsia="Times New Roman" w:hAnsi="Arial" w:cs="Arial"/>
          <w:b/>
          <w:sz w:val="28"/>
          <w:szCs w:val="28"/>
          <w:lang w:val="es-ES" w:eastAsia="es-ES"/>
        </w:rPr>
        <w:t>materia de la impugnación</w:t>
      </w:r>
      <w:r w:rsidRPr="00CF2780">
        <w:rPr>
          <w:rFonts w:ascii="Arial" w:eastAsia="Times New Roman" w:hAnsi="Arial" w:cs="Arial"/>
          <w:sz w:val="28"/>
          <w:szCs w:val="28"/>
          <w:lang w:val="es-ES" w:eastAsia="es-ES"/>
        </w:rPr>
        <w:t xml:space="preserve">, se </w:t>
      </w:r>
      <w:r w:rsidRPr="00CF2780">
        <w:rPr>
          <w:rFonts w:ascii="Arial" w:eastAsia="Times New Roman" w:hAnsi="Arial" w:cs="Arial"/>
          <w:b/>
          <w:sz w:val="28"/>
          <w:szCs w:val="28"/>
          <w:lang w:val="es-ES" w:eastAsia="es-ES"/>
        </w:rPr>
        <w:t xml:space="preserve">confirman </w:t>
      </w:r>
      <w:r w:rsidRPr="00CF2780">
        <w:rPr>
          <w:rFonts w:ascii="Arial" w:eastAsia="Times New Roman" w:hAnsi="Arial" w:cs="Arial"/>
          <w:sz w:val="28"/>
          <w:szCs w:val="28"/>
          <w:lang w:val="es-ES" w:eastAsia="es-ES"/>
        </w:rPr>
        <w:t xml:space="preserve">los resultados de la consulta consignados en el Informe de resultados de la Consulta en cumplimiento a lo dispuesto en el considerando noveno inciso b), punto 1, de la resolución de fecha 2 de noviembre de 2011, dictada dentro del Juicio para la Protección de los Derechos Político Electorales del Ciudadano, número SUP-JDC-91672011. </w:t>
      </w:r>
    </w:p>
    <w:p w14:paraId="62622673"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p w14:paraId="6A69F838"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NOTIFÍQUESE</w:t>
      </w:r>
      <w:r w:rsidRPr="00CF2780">
        <w:rPr>
          <w:rFonts w:ascii="Arial" w:eastAsia="Times New Roman" w:hAnsi="Arial" w:cs="Arial"/>
          <w:sz w:val="28"/>
          <w:szCs w:val="28"/>
          <w:lang w:val="es-ES" w:eastAsia="es-ES"/>
        </w:rPr>
        <w:t xml:space="preserve">, </w:t>
      </w:r>
      <w:r w:rsidRPr="00CF2780">
        <w:rPr>
          <w:rFonts w:ascii="Arial" w:eastAsia="Times New Roman" w:hAnsi="Arial" w:cs="Arial"/>
          <w:b/>
          <w:sz w:val="28"/>
          <w:szCs w:val="28"/>
          <w:lang w:val="es-ES" w:eastAsia="es-ES"/>
        </w:rPr>
        <w:t>por estrados,</w:t>
      </w:r>
      <w:r w:rsidRPr="00CF2780">
        <w:rPr>
          <w:rFonts w:ascii="Arial" w:eastAsia="Times New Roman" w:hAnsi="Arial" w:cs="Arial"/>
          <w:sz w:val="28"/>
          <w:szCs w:val="28"/>
          <w:lang w:val="es-ES" w:eastAsia="es-ES"/>
        </w:rPr>
        <w:t xml:space="preserve"> a los promoventes, por así haberlo solicitado en su escrito de demanda; por </w:t>
      </w:r>
      <w:r w:rsidRPr="00CF2780">
        <w:rPr>
          <w:rFonts w:ascii="Arial" w:eastAsia="Times New Roman" w:hAnsi="Arial" w:cs="Arial"/>
          <w:b/>
          <w:sz w:val="28"/>
          <w:szCs w:val="28"/>
          <w:lang w:val="es-ES" w:eastAsia="es-ES"/>
        </w:rPr>
        <w:t>oficio,</w:t>
      </w:r>
      <w:r w:rsidRPr="00CF2780">
        <w:rPr>
          <w:rFonts w:ascii="Arial" w:eastAsia="Times New Roman" w:hAnsi="Arial" w:cs="Arial"/>
          <w:sz w:val="28"/>
          <w:szCs w:val="28"/>
          <w:lang w:val="es-ES" w:eastAsia="es-ES"/>
        </w:rPr>
        <w:t xml:space="preserve"> al Consejo General del Instituto Electoral de Michoacán, y </w:t>
      </w:r>
      <w:r w:rsidRPr="00CF2780">
        <w:rPr>
          <w:rFonts w:ascii="Arial" w:eastAsia="Times New Roman" w:hAnsi="Arial" w:cs="Arial"/>
          <w:b/>
          <w:sz w:val="28"/>
          <w:szCs w:val="28"/>
          <w:lang w:val="es-ES" w:eastAsia="es-ES"/>
        </w:rPr>
        <w:t>por estrados,</w:t>
      </w:r>
      <w:r w:rsidRPr="00CF2780">
        <w:rPr>
          <w:rFonts w:ascii="Arial" w:eastAsia="Times New Roman" w:hAnsi="Arial" w:cs="Arial"/>
          <w:sz w:val="28"/>
          <w:szCs w:val="28"/>
          <w:lang w:val="es-ES" w:eastAsia="es-ES"/>
        </w:rPr>
        <w:t xml:space="preserve"> a los demás interesados. Lo anterior, con apoyo en los artículos 26, párrafo 3, 27 y 29, apartado 5, de </w:t>
      </w:r>
      <w:smartTag w:uri="urn:schemas-microsoft-com:office:smarttags" w:element="PersonName">
        <w:smartTagPr>
          <w:attr w:name="ProductID" w:val="la Ley General"/>
        </w:smartTagPr>
        <w:r w:rsidRPr="00CF2780">
          <w:rPr>
            <w:rFonts w:ascii="Arial" w:eastAsia="Times New Roman" w:hAnsi="Arial" w:cs="Arial"/>
            <w:sz w:val="28"/>
            <w:szCs w:val="28"/>
            <w:lang w:val="es-ES" w:eastAsia="es-ES"/>
          </w:rPr>
          <w:t>la Ley General</w:t>
        </w:r>
      </w:smartTag>
      <w:r w:rsidRPr="00CF2780">
        <w:rPr>
          <w:rFonts w:ascii="Arial" w:eastAsia="Times New Roman" w:hAnsi="Arial" w:cs="Arial"/>
          <w:sz w:val="28"/>
          <w:szCs w:val="28"/>
          <w:lang w:val="es-ES" w:eastAsia="es-ES"/>
        </w:rPr>
        <w:t xml:space="preserve"> del Sistema de Medios de Impugnación. Asimismo, hágase del conocimiento público en la página oficial de Internet de este Tribunal Electoral. </w:t>
      </w:r>
    </w:p>
    <w:p w14:paraId="7E647281" w14:textId="77777777" w:rsidR="009B02C2" w:rsidRPr="00CF2780" w:rsidRDefault="009B02C2" w:rsidP="009B02C2">
      <w:pPr>
        <w:spacing w:after="0" w:line="360" w:lineRule="auto"/>
        <w:jc w:val="both"/>
        <w:rPr>
          <w:rFonts w:ascii="Arial" w:eastAsia="Times New Roman" w:hAnsi="Arial" w:cs="Arial"/>
          <w:sz w:val="28"/>
          <w:szCs w:val="28"/>
          <w:lang w:eastAsia="es-ES"/>
        </w:rPr>
      </w:pPr>
    </w:p>
    <w:p w14:paraId="6E89A9DC"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En su oportunidad, devuélvanse las constancias pertinentes y, acto seguido, archívese el expediente como asunto total y definitivamente concluido.</w:t>
      </w:r>
    </w:p>
    <w:p w14:paraId="32464573" w14:textId="77777777" w:rsidR="009B02C2" w:rsidRPr="00CF2780" w:rsidRDefault="009B02C2" w:rsidP="009B02C2">
      <w:pPr>
        <w:spacing w:after="0" w:line="360" w:lineRule="auto"/>
        <w:rPr>
          <w:rFonts w:ascii="Arial" w:eastAsia="Times New Roman" w:hAnsi="Arial" w:cs="Arial"/>
          <w:sz w:val="28"/>
          <w:szCs w:val="28"/>
          <w:lang w:val="es-ES" w:eastAsia="es-ES"/>
        </w:rPr>
      </w:pPr>
    </w:p>
    <w:p w14:paraId="4CE30F3D"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As</w:t>
      </w:r>
      <w:r w:rsidRPr="00CF2780">
        <w:rPr>
          <w:rFonts w:ascii="Arial" w:eastAsia="Times New Roman" w:hAnsi="Arial" w:cs="Arial"/>
          <w:color w:val="000000"/>
          <w:sz w:val="28"/>
          <w:szCs w:val="28"/>
          <w:lang w:val="es-ES" w:eastAsia="es-ES"/>
        </w:rPr>
        <w:t xml:space="preserve">í por unanimidad </w:t>
      </w:r>
      <w:r w:rsidRPr="00CF2780">
        <w:rPr>
          <w:rFonts w:ascii="Arial" w:eastAsia="Times New Roman" w:hAnsi="Arial" w:cs="Arial"/>
          <w:sz w:val="28"/>
          <w:szCs w:val="28"/>
          <w:lang w:val="es-ES" w:eastAsia="es-ES"/>
        </w:rPr>
        <w:t>lo resolvieron los Magistrados Electorales que integran la Sala Superior del Tribunal Electoral del Poder Judicial de la Federación, en ausencia de los Magistrados Manuel González Oropeza y Salvador Olimpo Nava Gomar</w:t>
      </w:r>
      <w:r w:rsidRPr="00CF2780">
        <w:rPr>
          <w:rFonts w:ascii="Arial" w:eastAsia="Times New Roman" w:hAnsi="Arial" w:cs="Arial"/>
          <w:bCs/>
          <w:sz w:val="28"/>
          <w:szCs w:val="28"/>
          <w:lang w:val="es-ES" w:eastAsia="es-ES"/>
        </w:rPr>
        <w:t xml:space="preserve">. En razón de la ausencia de éste último, hace suyo el proyecto el Magistrado Presidente Alejandro Luna Ramos. </w:t>
      </w:r>
      <w:r w:rsidRPr="00CF2780">
        <w:rPr>
          <w:rFonts w:ascii="Arial" w:eastAsia="Times New Roman" w:hAnsi="Arial" w:cs="Arial"/>
          <w:bCs/>
          <w:sz w:val="28"/>
          <w:szCs w:val="28"/>
          <w:lang w:val="es-ES" w:eastAsia="es-ES"/>
        </w:rPr>
        <w:lastRenderedPageBreak/>
        <w:t>Con el voto razonado del Magistrado Flavio Galván Rivera. Lo anterior</w:t>
      </w:r>
      <w:r w:rsidRPr="00CF2780">
        <w:rPr>
          <w:rFonts w:ascii="Arial" w:eastAsia="Times New Roman" w:hAnsi="Arial" w:cs="Arial"/>
          <w:sz w:val="28"/>
          <w:szCs w:val="28"/>
          <w:lang w:val="es-ES" w:eastAsia="es-ES"/>
        </w:rPr>
        <w:t xml:space="preserve"> ante el Secretario General de Acuerdos que autoriza y da fe.</w:t>
      </w:r>
    </w:p>
    <w:p w14:paraId="3DCC756C"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p>
    <w:tbl>
      <w:tblPr>
        <w:tblW w:w="8055" w:type="dxa"/>
        <w:jc w:val="center"/>
        <w:tblCellSpacing w:w="0" w:type="dxa"/>
        <w:tblCellMar>
          <w:top w:w="60" w:type="dxa"/>
          <w:left w:w="60" w:type="dxa"/>
          <w:bottom w:w="60" w:type="dxa"/>
          <w:right w:w="60" w:type="dxa"/>
        </w:tblCellMar>
        <w:tblLook w:val="04A0" w:firstRow="1" w:lastRow="0" w:firstColumn="1" w:lastColumn="0" w:noHBand="0" w:noVBand="1"/>
      </w:tblPr>
      <w:tblGrid>
        <w:gridCol w:w="8055"/>
      </w:tblGrid>
      <w:tr w:rsidR="009B02C2" w:rsidRPr="00CF2780" w14:paraId="331D5B49" w14:textId="77777777" w:rsidTr="00B05F31">
        <w:trPr>
          <w:tblCellSpacing w:w="0" w:type="dxa"/>
          <w:jc w:val="center"/>
        </w:trPr>
        <w:tc>
          <w:tcPr>
            <w:tcW w:w="0" w:type="auto"/>
          </w:tcPr>
          <w:tbl>
            <w:tblPr>
              <w:tblW w:w="7935" w:type="dxa"/>
              <w:jc w:val="center"/>
              <w:tblCellSpacing w:w="0" w:type="dxa"/>
              <w:tblCellMar>
                <w:top w:w="60" w:type="dxa"/>
                <w:left w:w="60" w:type="dxa"/>
                <w:bottom w:w="60" w:type="dxa"/>
                <w:right w:w="60" w:type="dxa"/>
              </w:tblCellMar>
              <w:tblLook w:val="0000" w:firstRow="0" w:lastRow="0" w:firstColumn="0" w:lastColumn="0" w:noHBand="0" w:noVBand="0"/>
            </w:tblPr>
            <w:tblGrid>
              <w:gridCol w:w="3967"/>
              <w:gridCol w:w="3968"/>
            </w:tblGrid>
            <w:tr w:rsidR="009B02C2" w:rsidRPr="00CF2780" w14:paraId="63625A6E" w14:textId="77777777" w:rsidTr="00B05F31">
              <w:trPr>
                <w:tblCellSpacing w:w="0" w:type="dxa"/>
                <w:jc w:val="center"/>
              </w:trPr>
              <w:tc>
                <w:tcPr>
                  <w:tcW w:w="0" w:type="auto"/>
                  <w:gridSpan w:val="2"/>
                </w:tcPr>
                <w:p w14:paraId="67C1770A" w14:textId="77777777" w:rsidR="009B02C2" w:rsidRPr="00CF2780" w:rsidRDefault="009B02C2" w:rsidP="009B02C2">
                  <w:pPr>
                    <w:spacing w:after="0" w:line="240" w:lineRule="auto"/>
                    <w:jc w:val="center"/>
                    <w:rPr>
                      <w:rFonts w:ascii="Arial" w:eastAsia="Times New Roman" w:hAnsi="Arial" w:cs="Arial"/>
                      <w:b/>
                      <w:bCs/>
                      <w:sz w:val="27"/>
                      <w:szCs w:val="27"/>
                      <w:lang w:val="pt-BR" w:eastAsia="es-ES"/>
                    </w:rPr>
                  </w:pPr>
                  <w:r w:rsidRPr="00CF2780">
                    <w:rPr>
                      <w:rFonts w:ascii="Arial" w:eastAsia="Times New Roman" w:hAnsi="Arial" w:cs="Arial"/>
                      <w:b/>
                      <w:bCs/>
                      <w:sz w:val="27"/>
                      <w:szCs w:val="27"/>
                      <w:lang w:val="pt-BR" w:eastAsia="es-ES"/>
                    </w:rPr>
                    <w:t xml:space="preserve">MAGISTRADO PRESIDENTE </w:t>
                  </w:r>
                </w:p>
                <w:p w14:paraId="0400AD6D" w14:textId="77777777" w:rsidR="009B02C2" w:rsidRPr="00CF2780" w:rsidRDefault="009B02C2" w:rsidP="009B02C2">
                  <w:pPr>
                    <w:spacing w:after="0" w:line="240" w:lineRule="auto"/>
                    <w:jc w:val="center"/>
                    <w:rPr>
                      <w:rFonts w:ascii="Arial" w:eastAsia="Times New Roman" w:hAnsi="Arial" w:cs="Arial"/>
                      <w:b/>
                      <w:bCs/>
                      <w:sz w:val="27"/>
                      <w:szCs w:val="27"/>
                      <w:lang w:val="pt-BR" w:eastAsia="es-ES"/>
                    </w:rPr>
                  </w:pPr>
                </w:p>
                <w:p w14:paraId="2909EC91" w14:textId="77777777" w:rsidR="009B02C2" w:rsidRPr="00CF2780" w:rsidRDefault="009B02C2" w:rsidP="009B02C2">
                  <w:pPr>
                    <w:spacing w:after="0" w:line="240" w:lineRule="auto"/>
                    <w:jc w:val="center"/>
                    <w:rPr>
                      <w:rFonts w:ascii="Arial" w:eastAsia="Times New Roman" w:hAnsi="Arial" w:cs="Arial"/>
                      <w:b/>
                      <w:bCs/>
                      <w:sz w:val="27"/>
                      <w:szCs w:val="27"/>
                      <w:lang w:val="pt-BR" w:eastAsia="es-ES"/>
                    </w:rPr>
                  </w:pPr>
                </w:p>
                <w:p w14:paraId="7CC53277" w14:textId="77777777" w:rsidR="009B02C2" w:rsidRPr="00CF2780" w:rsidRDefault="009B02C2" w:rsidP="009B02C2">
                  <w:pPr>
                    <w:spacing w:after="0" w:line="240" w:lineRule="auto"/>
                    <w:jc w:val="center"/>
                    <w:rPr>
                      <w:rFonts w:ascii="Arial" w:eastAsia="Times New Roman" w:hAnsi="Arial" w:cs="Arial"/>
                      <w:b/>
                      <w:bCs/>
                      <w:sz w:val="27"/>
                      <w:szCs w:val="27"/>
                      <w:lang w:val="pt-BR" w:eastAsia="es-ES"/>
                    </w:rPr>
                  </w:pPr>
                </w:p>
                <w:p w14:paraId="342DFD7C" w14:textId="77777777" w:rsidR="009B02C2" w:rsidRPr="00CF2780" w:rsidRDefault="009B02C2" w:rsidP="009B02C2">
                  <w:pPr>
                    <w:spacing w:after="0" w:line="240" w:lineRule="auto"/>
                    <w:jc w:val="center"/>
                    <w:rPr>
                      <w:rFonts w:ascii="Arial" w:eastAsia="Times New Roman" w:hAnsi="Arial" w:cs="Arial"/>
                      <w:sz w:val="27"/>
                      <w:szCs w:val="27"/>
                      <w:lang w:val="es-ES" w:eastAsia="es-ES"/>
                    </w:rPr>
                  </w:pPr>
                  <w:r w:rsidRPr="00CF2780">
                    <w:rPr>
                      <w:rFonts w:ascii="Arial" w:eastAsia="Times New Roman" w:hAnsi="Arial" w:cs="Arial"/>
                      <w:b/>
                      <w:bCs/>
                      <w:sz w:val="27"/>
                      <w:szCs w:val="27"/>
                      <w:lang w:val="pt-BR" w:eastAsia="es-ES"/>
                    </w:rPr>
                    <w:t>ALEJANDRO LUNA RAMOS</w:t>
                  </w:r>
                </w:p>
              </w:tc>
            </w:tr>
            <w:tr w:rsidR="009B02C2" w:rsidRPr="00CF2780" w14:paraId="1AFDBB6D" w14:textId="77777777" w:rsidTr="00B05F31">
              <w:trPr>
                <w:tblCellSpacing w:w="0" w:type="dxa"/>
                <w:jc w:val="center"/>
              </w:trPr>
              <w:tc>
                <w:tcPr>
                  <w:tcW w:w="0" w:type="auto"/>
                </w:tcPr>
                <w:p w14:paraId="4F342CBD" w14:textId="77777777" w:rsidR="009B02C2" w:rsidRPr="00CF2780" w:rsidRDefault="009B02C2" w:rsidP="009B02C2">
                  <w:pPr>
                    <w:spacing w:after="0" w:line="240" w:lineRule="auto"/>
                    <w:jc w:val="center"/>
                    <w:rPr>
                      <w:rFonts w:ascii="Arial" w:eastAsia="Times New Roman" w:hAnsi="Arial" w:cs="Arial"/>
                      <w:b/>
                      <w:bCs/>
                      <w:sz w:val="27"/>
                      <w:szCs w:val="27"/>
                      <w:lang w:val="es-ES" w:eastAsia="es-ES"/>
                    </w:rPr>
                  </w:pPr>
                </w:p>
                <w:p w14:paraId="1FA53564" w14:textId="77777777" w:rsidR="009B02C2" w:rsidRPr="00CF2780" w:rsidRDefault="009B02C2" w:rsidP="009B02C2">
                  <w:pPr>
                    <w:spacing w:after="0" w:line="240" w:lineRule="auto"/>
                    <w:jc w:val="center"/>
                    <w:rPr>
                      <w:rFonts w:ascii="Arial" w:eastAsia="Times New Roman" w:hAnsi="Arial" w:cs="Arial"/>
                      <w:b/>
                      <w:bCs/>
                      <w:sz w:val="27"/>
                      <w:szCs w:val="27"/>
                      <w:lang w:val="es-ES" w:eastAsia="es-ES"/>
                    </w:rPr>
                  </w:pPr>
                </w:p>
                <w:p w14:paraId="1FFDF1EE" w14:textId="77777777" w:rsidR="009B02C2" w:rsidRPr="00CF2780" w:rsidRDefault="009B02C2" w:rsidP="009B02C2">
                  <w:pPr>
                    <w:spacing w:after="0" w:line="240" w:lineRule="auto"/>
                    <w:jc w:val="center"/>
                    <w:rPr>
                      <w:rFonts w:ascii="Arial" w:eastAsia="Times New Roman" w:hAnsi="Arial" w:cs="Arial"/>
                      <w:b/>
                      <w:bCs/>
                      <w:sz w:val="27"/>
                      <w:szCs w:val="27"/>
                      <w:lang w:val="es-ES" w:eastAsia="es-ES"/>
                    </w:rPr>
                  </w:pPr>
                </w:p>
                <w:p w14:paraId="6C36FE91" w14:textId="77777777" w:rsidR="009B02C2" w:rsidRPr="00CF2780" w:rsidRDefault="009B02C2" w:rsidP="009B02C2">
                  <w:pPr>
                    <w:spacing w:after="0" w:line="240" w:lineRule="auto"/>
                    <w:jc w:val="center"/>
                    <w:rPr>
                      <w:rFonts w:ascii="Arial" w:eastAsia="Times New Roman" w:hAnsi="Arial" w:cs="Arial"/>
                      <w:b/>
                      <w:bCs/>
                      <w:sz w:val="27"/>
                      <w:szCs w:val="27"/>
                      <w:lang w:val="es-ES" w:eastAsia="es-ES"/>
                    </w:rPr>
                  </w:pPr>
                  <w:r w:rsidRPr="00CF2780">
                    <w:rPr>
                      <w:rFonts w:ascii="Arial" w:eastAsia="Times New Roman" w:hAnsi="Arial" w:cs="Arial"/>
                      <w:b/>
                      <w:bCs/>
                      <w:sz w:val="27"/>
                      <w:szCs w:val="27"/>
                      <w:lang w:val="es-ES" w:eastAsia="es-ES"/>
                    </w:rPr>
                    <w:t>MAGISTRADA</w:t>
                  </w:r>
                </w:p>
                <w:p w14:paraId="14D0E8FB" w14:textId="77777777" w:rsidR="009B02C2" w:rsidRPr="00CF2780" w:rsidRDefault="009B02C2" w:rsidP="009B02C2">
                  <w:pPr>
                    <w:spacing w:after="0" w:line="240" w:lineRule="auto"/>
                    <w:jc w:val="center"/>
                    <w:rPr>
                      <w:rFonts w:ascii="Arial" w:eastAsia="Times New Roman" w:hAnsi="Arial" w:cs="Arial"/>
                      <w:b/>
                      <w:bCs/>
                      <w:sz w:val="27"/>
                      <w:szCs w:val="27"/>
                      <w:lang w:val="es-ES" w:eastAsia="es-ES"/>
                    </w:rPr>
                  </w:pPr>
                </w:p>
                <w:p w14:paraId="2D8692AB" w14:textId="77777777" w:rsidR="009B02C2" w:rsidRPr="00CF2780" w:rsidRDefault="009B02C2" w:rsidP="009B02C2">
                  <w:pPr>
                    <w:spacing w:after="0" w:line="240" w:lineRule="auto"/>
                    <w:jc w:val="center"/>
                    <w:rPr>
                      <w:rFonts w:ascii="Arial" w:eastAsia="Times New Roman" w:hAnsi="Arial" w:cs="Arial"/>
                      <w:b/>
                      <w:bCs/>
                      <w:sz w:val="27"/>
                      <w:szCs w:val="27"/>
                      <w:lang w:val="es-ES" w:eastAsia="es-ES"/>
                    </w:rPr>
                  </w:pPr>
                </w:p>
                <w:p w14:paraId="1EB5676A" w14:textId="77777777" w:rsidR="009B02C2" w:rsidRPr="00CF2780" w:rsidRDefault="009B02C2" w:rsidP="009B02C2">
                  <w:pPr>
                    <w:spacing w:after="0" w:line="240" w:lineRule="auto"/>
                    <w:jc w:val="center"/>
                    <w:rPr>
                      <w:rFonts w:ascii="Arial" w:eastAsia="Times New Roman" w:hAnsi="Arial" w:cs="Arial"/>
                      <w:b/>
                      <w:bCs/>
                      <w:sz w:val="27"/>
                      <w:szCs w:val="27"/>
                      <w:lang w:val="es-ES" w:eastAsia="es-ES"/>
                    </w:rPr>
                  </w:pPr>
                </w:p>
                <w:p w14:paraId="304D1750" w14:textId="77777777" w:rsidR="009B02C2" w:rsidRPr="00CF2780" w:rsidRDefault="009B02C2" w:rsidP="009B02C2">
                  <w:pPr>
                    <w:spacing w:after="0" w:line="240" w:lineRule="auto"/>
                    <w:jc w:val="center"/>
                    <w:rPr>
                      <w:rFonts w:ascii="Arial" w:eastAsia="Times New Roman" w:hAnsi="Arial" w:cs="Arial"/>
                      <w:b/>
                      <w:bCs/>
                      <w:sz w:val="27"/>
                      <w:szCs w:val="27"/>
                      <w:lang w:val="es-ES" w:eastAsia="es-ES"/>
                    </w:rPr>
                  </w:pPr>
                  <w:r w:rsidRPr="00CF2780">
                    <w:rPr>
                      <w:rFonts w:ascii="Arial" w:eastAsia="Times New Roman" w:hAnsi="Arial" w:cs="Arial"/>
                      <w:b/>
                      <w:bCs/>
                      <w:sz w:val="27"/>
                      <w:szCs w:val="27"/>
                      <w:lang w:val="es-ES" w:eastAsia="es-ES"/>
                    </w:rPr>
                    <w:t xml:space="preserve">MARÍA DEL </w:t>
                  </w:r>
                  <w:smartTag w:uri="urn:schemas-microsoft-com:office:smarttags" w:element="PersonName">
                    <w:smartTagPr>
                      <w:attr w:name="ProductID" w:val="CARMEN ALANIS"/>
                    </w:smartTagPr>
                    <w:r w:rsidRPr="00CF2780">
                      <w:rPr>
                        <w:rFonts w:ascii="Arial" w:eastAsia="Times New Roman" w:hAnsi="Arial" w:cs="Arial"/>
                        <w:b/>
                        <w:bCs/>
                        <w:sz w:val="27"/>
                        <w:szCs w:val="27"/>
                        <w:lang w:val="es-ES" w:eastAsia="es-ES"/>
                      </w:rPr>
                      <w:t>CARMEN ALANIS</w:t>
                    </w:r>
                  </w:smartTag>
                  <w:r w:rsidRPr="00CF2780">
                    <w:rPr>
                      <w:rFonts w:ascii="Arial" w:eastAsia="Times New Roman" w:hAnsi="Arial" w:cs="Arial"/>
                      <w:b/>
                      <w:bCs/>
                      <w:sz w:val="27"/>
                      <w:szCs w:val="27"/>
                      <w:lang w:val="es-ES" w:eastAsia="es-ES"/>
                    </w:rPr>
                    <w:t xml:space="preserve"> FIGUEROA</w:t>
                  </w:r>
                </w:p>
                <w:p w14:paraId="18842EAF" w14:textId="77777777" w:rsidR="009B02C2" w:rsidRPr="00CF2780" w:rsidRDefault="009B02C2" w:rsidP="009B02C2">
                  <w:pPr>
                    <w:spacing w:after="0" w:line="240" w:lineRule="auto"/>
                    <w:jc w:val="center"/>
                    <w:rPr>
                      <w:rFonts w:ascii="Arial" w:eastAsia="Times New Roman" w:hAnsi="Arial" w:cs="Arial"/>
                      <w:b/>
                      <w:bCs/>
                      <w:sz w:val="27"/>
                      <w:szCs w:val="27"/>
                      <w:lang w:val="es-ES" w:eastAsia="es-ES"/>
                    </w:rPr>
                  </w:pPr>
                </w:p>
              </w:tc>
              <w:tc>
                <w:tcPr>
                  <w:tcW w:w="0" w:type="auto"/>
                </w:tcPr>
                <w:p w14:paraId="21FFA227" w14:textId="77777777" w:rsidR="009B02C2" w:rsidRPr="00CF2780" w:rsidRDefault="009B02C2" w:rsidP="009B02C2">
                  <w:pPr>
                    <w:spacing w:after="0" w:line="240" w:lineRule="auto"/>
                    <w:jc w:val="center"/>
                    <w:rPr>
                      <w:rFonts w:ascii="Arial" w:eastAsia="Times New Roman" w:hAnsi="Arial" w:cs="Arial"/>
                      <w:b/>
                      <w:bCs/>
                      <w:sz w:val="27"/>
                      <w:szCs w:val="27"/>
                      <w:lang w:val="es-ES" w:eastAsia="es-ES"/>
                    </w:rPr>
                  </w:pPr>
                </w:p>
                <w:p w14:paraId="66FC7CF2" w14:textId="77777777" w:rsidR="009B02C2" w:rsidRPr="00CF2780" w:rsidRDefault="009B02C2" w:rsidP="009B02C2">
                  <w:pPr>
                    <w:spacing w:after="0" w:line="240" w:lineRule="auto"/>
                    <w:jc w:val="center"/>
                    <w:rPr>
                      <w:rFonts w:ascii="Arial" w:eastAsia="Times New Roman" w:hAnsi="Arial" w:cs="Arial"/>
                      <w:b/>
                      <w:bCs/>
                      <w:sz w:val="27"/>
                      <w:szCs w:val="27"/>
                      <w:lang w:val="es-ES" w:eastAsia="es-ES"/>
                    </w:rPr>
                  </w:pPr>
                </w:p>
                <w:p w14:paraId="7F523464" w14:textId="77777777" w:rsidR="009B02C2" w:rsidRPr="00CF2780" w:rsidRDefault="009B02C2" w:rsidP="009B02C2">
                  <w:pPr>
                    <w:spacing w:after="0" w:line="240" w:lineRule="auto"/>
                    <w:jc w:val="center"/>
                    <w:rPr>
                      <w:rFonts w:ascii="Arial" w:eastAsia="Times New Roman" w:hAnsi="Arial" w:cs="Arial"/>
                      <w:b/>
                      <w:bCs/>
                      <w:sz w:val="27"/>
                      <w:szCs w:val="27"/>
                      <w:lang w:val="es-ES" w:eastAsia="es-ES"/>
                    </w:rPr>
                  </w:pPr>
                </w:p>
                <w:p w14:paraId="0FB0D06D" w14:textId="77777777" w:rsidR="009B02C2" w:rsidRPr="00CF2780" w:rsidRDefault="009B02C2" w:rsidP="009B02C2">
                  <w:pPr>
                    <w:spacing w:after="0" w:line="240" w:lineRule="auto"/>
                    <w:jc w:val="center"/>
                    <w:rPr>
                      <w:rFonts w:ascii="Arial" w:eastAsia="Times New Roman" w:hAnsi="Arial" w:cs="Arial"/>
                      <w:b/>
                      <w:bCs/>
                      <w:sz w:val="27"/>
                      <w:szCs w:val="27"/>
                      <w:lang w:val="es-ES" w:eastAsia="es-ES"/>
                    </w:rPr>
                  </w:pPr>
                  <w:r w:rsidRPr="00CF2780">
                    <w:rPr>
                      <w:rFonts w:ascii="Arial" w:eastAsia="Times New Roman" w:hAnsi="Arial" w:cs="Arial"/>
                      <w:b/>
                      <w:bCs/>
                      <w:sz w:val="27"/>
                      <w:szCs w:val="27"/>
                      <w:lang w:val="es-ES" w:eastAsia="es-ES"/>
                    </w:rPr>
                    <w:t>MAGISTRADO</w:t>
                  </w:r>
                </w:p>
                <w:p w14:paraId="0D388EE3" w14:textId="77777777" w:rsidR="009B02C2" w:rsidRPr="00CF2780" w:rsidRDefault="009B02C2" w:rsidP="009B02C2">
                  <w:pPr>
                    <w:spacing w:after="0" w:line="240" w:lineRule="auto"/>
                    <w:jc w:val="center"/>
                    <w:rPr>
                      <w:rFonts w:ascii="Arial" w:eastAsia="Times New Roman" w:hAnsi="Arial" w:cs="Arial"/>
                      <w:b/>
                      <w:bCs/>
                      <w:sz w:val="27"/>
                      <w:szCs w:val="27"/>
                      <w:lang w:val="es-ES" w:eastAsia="es-ES"/>
                    </w:rPr>
                  </w:pPr>
                </w:p>
                <w:p w14:paraId="4DCE5129" w14:textId="77777777" w:rsidR="009B02C2" w:rsidRPr="00CF2780" w:rsidRDefault="009B02C2" w:rsidP="009B02C2">
                  <w:pPr>
                    <w:spacing w:after="0" w:line="240" w:lineRule="auto"/>
                    <w:jc w:val="center"/>
                    <w:rPr>
                      <w:rFonts w:ascii="Arial" w:eastAsia="Times New Roman" w:hAnsi="Arial" w:cs="Arial"/>
                      <w:b/>
                      <w:bCs/>
                      <w:sz w:val="27"/>
                      <w:szCs w:val="27"/>
                      <w:lang w:val="es-ES" w:eastAsia="es-ES"/>
                    </w:rPr>
                  </w:pPr>
                </w:p>
                <w:p w14:paraId="7F0C82A8" w14:textId="77777777" w:rsidR="009B02C2" w:rsidRPr="00CF2780" w:rsidRDefault="009B02C2" w:rsidP="009B02C2">
                  <w:pPr>
                    <w:spacing w:after="0" w:line="240" w:lineRule="auto"/>
                    <w:jc w:val="center"/>
                    <w:rPr>
                      <w:rFonts w:ascii="Arial" w:eastAsia="Times New Roman" w:hAnsi="Arial" w:cs="Arial"/>
                      <w:b/>
                      <w:bCs/>
                      <w:sz w:val="27"/>
                      <w:szCs w:val="27"/>
                      <w:lang w:val="es-ES" w:eastAsia="es-ES"/>
                    </w:rPr>
                  </w:pPr>
                </w:p>
                <w:p w14:paraId="1DFD7566" w14:textId="77777777" w:rsidR="009B02C2" w:rsidRPr="00CF2780" w:rsidRDefault="009B02C2" w:rsidP="009B02C2">
                  <w:pPr>
                    <w:spacing w:after="0" w:line="240" w:lineRule="auto"/>
                    <w:jc w:val="center"/>
                    <w:rPr>
                      <w:rFonts w:ascii="Arial" w:eastAsia="Times New Roman" w:hAnsi="Arial" w:cs="Arial"/>
                      <w:b/>
                      <w:bCs/>
                      <w:sz w:val="27"/>
                      <w:szCs w:val="27"/>
                      <w:lang w:val="es-ES" w:eastAsia="es-ES"/>
                    </w:rPr>
                  </w:pPr>
                  <w:r w:rsidRPr="00CF2780">
                    <w:rPr>
                      <w:rFonts w:ascii="Arial" w:eastAsia="Times New Roman" w:hAnsi="Arial" w:cs="Arial"/>
                      <w:b/>
                      <w:bCs/>
                      <w:sz w:val="27"/>
                      <w:szCs w:val="27"/>
                      <w:lang w:val="es-ES" w:eastAsia="es-ES"/>
                    </w:rPr>
                    <w:t xml:space="preserve">CONSTANCIO CARRASCO </w:t>
                  </w:r>
                </w:p>
                <w:p w14:paraId="1F8D8207" w14:textId="77777777" w:rsidR="009B02C2" w:rsidRPr="00CF2780" w:rsidRDefault="009B02C2" w:rsidP="009B02C2">
                  <w:pPr>
                    <w:spacing w:after="0" w:line="240" w:lineRule="auto"/>
                    <w:jc w:val="center"/>
                    <w:rPr>
                      <w:rFonts w:ascii="Arial" w:eastAsia="Times New Roman" w:hAnsi="Arial" w:cs="Arial"/>
                      <w:b/>
                      <w:bCs/>
                      <w:sz w:val="27"/>
                      <w:szCs w:val="27"/>
                      <w:lang w:val="es-ES" w:eastAsia="es-ES"/>
                    </w:rPr>
                  </w:pPr>
                  <w:r w:rsidRPr="00CF2780">
                    <w:rPr>
                      <w:rFonts w:ascii="Arial" w:eastAsia="Times New Roman" w:hAnsi="Arial" w:cs="Arial"/>
                      <w:b/>
                      <w:bCs/>
                      <w:sz w:val="27"/>
                      <w:szCs w:val="27"/>
                      <w:lang w:val="es-ES" w:eastAsia="es-ES"/>
                    </w:rPr>
                    <w:t>DAZA</w:t>
                  </w:r>
                </w:p>
                <w:p w14:paraId="12C21452" w14:textId="77777777" w:rsidR="009B02C2" w:rsidRPr="00CF2780" w:rsidRDefault="009B02C2" w:rsidP="009B02C2">
                  <w:pPr>
                    <w:spacing w:after="0" w:line="240" w:lineRule="auto"/>
                    <w:jc w:val="center"/>
                    <w:rPr>
                      <w:rFonts w:ascii="Arial" w:eastAsia="Times New Roman" w:hAnsi="Arial" w:cs="Arial"/>
                      <w:b/>
                      <w:bCs/>
                      <w:sz w:val="27"/>
                      <w:szCs w:val="27"/>
                      <w:lang w:val="es-ES" w:eastAsia="es-ES"/>
                    </w:rPr>
                  </w:pPr>
                </w:p>
                <w:p w14:paraId="3A925618" w14:textId="77777777" w:rsidR="009B02C2" w:rsidRPr="00CF2780" w:rsidRDefault="009B02C2" w:rsidP="009B02C2">
                  <w:pPr>
                    <w:spacing w:after="0" w:line="240" w:lineRule="auto"/>
                    <w:jc w:val="center"/>
                    <w:rPr>
                      <w:rFonts w:ascii="Arial" w:eastAsia="Times New Roman" w:hAnsi="Arial" w:cs="Arial"/>
                      <w:b/>
                      <w:bCs/>
                      <w:sz w:val="27"/>
                      <w:szCs w:val="27"/>
                      <w:lang w:val="es-ES" w:eastAsia="es-ES"/>
                    </w:rPr>
                  </w:pPr>
                </w:p>
              </w:tc>
            </w:tr>
            <w:tr w:rsidR="009B02C2" w:rsidRPr="00CF2780" w14:paraId="4368E2A2" w14:textId="77777777" w:rsidTr="00B05F31">
              <w:trPr>
                <w:tblCellSpacing w:w="0" w:type="dxa"/>
                <w:jc w:val="center"/>
              </w:trPr>
              <w:tc>
                <w:tcPr>
                  <w:tcW w:w="2500" w:type="pct"/>
                </w:tcPr>
                <w:p w14:paraId="130BFCDF" w14:textId="77777777" w:rsidR="009B02C2" w:rsidRPr="00CF2780" w:rsidRDefault="009B02C2" w:rsidP="009B02C2">
                  <w:pPr>
                    <w:spacing w:after="0" w:line="240" w:lineRule="auto"/>
                    <w:jc w:val="center"/>
                    <w:rPr>
                      <w:rFonts w:ascii="Arial" w:eastAsia="Times New Roman" w:hAnsi="Arial" w:cs="Arial"/>
                      <w:b/>
                      <w:bCs/>
                      <w:sz w:val="27"/>
                      <w:szCs w:val="27"/>
                      <w:lang w:val="es-ES" w:eastAsia="es-ES"/>
                    </w:rPr>
                  </w:pPr>
                  <w:r w:rsidRPr="00CF2780">
                    <w:rPr>
                      <w:rFonts w:ascii="Arial" w:eastAsia="Times New Roman" w:hAnsi="Arial" w:cs="Arial"/>
                      <w:b/>
                      <w:bCs/>
                      <w:sz w:val="27"/>
                      <w:szCs w:val="27"/>
                      <w:lang w:val="es-ES" w:eastAsia="es-ES"/>
                    </w:rPr>
                    <w:t>MAGISTRADO</w:t>
                  </w:r>
                </w:p>
                <w:p w14:paraId="4DF0BA4C" w14:textId="77777777" w:rsidR="009B02C2" w:rsidRPr="00CF2780" w:rsidRDefault="009B02C2" w:rsidP="009B02C2">
                  <w:pPr>
                    <w:spacing w:after="0" w:line="240" w:lineRule="auto"/>
                    <w:jc w:val="center"/>
                    <w:rPr>
                      <w:rFonts w:ascii="Arial" w:eastAsia="Times New Roman" w:hAnsi="Arial" w:cs="Arial"/>
                      <w:b/>
                      <w:bCs/>
                      <w:sz w:val="27"/>
                      <w:szCs w:val="27"/>
                      <w:lang w:val="es-ES" w:eastAsia="es-ES"/>
                    </w:rPr>
                  </w:pPr>
                </w:p>
                <w:p w14:paraId="2727D3CC" w14:textId="77777777" w:rsidR="009B02C2" w:rsidRPr="00CF2780" w:rsidRDefault="009B02C2" w:rsidP="009B02C2">
                  <w:pPr>
                    <w:spacing w:after="0" w:line="240" w:lineRule="auto"/>
                    <w:jc w:val="center"/>
                    <w:rPr>
                      <w:rFonts w:ascii="Arial" w:eastAsia="Times New Roman" w:hAnsi="Arial" w:cs="Arial"/>
                      <w:b/>
                      <w:bCs/>
                      <w:sz w:val="27"/>
                      <w:szCs w:val="27"/>
                      <w:lang w:val="es-ES" w:eastAsia="es-ES"/>
                    </w:rPr>
                  </w:pPr>
                </w:p>
                <w:p w14:paraId="3DF4F8F3" w14:textId="77777777" w:rsidR="009B02C2" w:rsidRPr="00CF2780" w:rsidRDefault="009B02C2" w:rsidP="009B02C2">
                  <w:pPr>
                    <w:spacing w:after="0" w:line="240" w:lineRule="auto"/>
                    <w:jc w:val="center"/>
                    <w:rPr>
                      <w:rFonts w:ascii="Arial" w:eastAsia="Times New Roman" w:hAnsi="Arial" w:cs="Arial"/>
                      <w:b/>
                      <w:bCs/>
                      <w:sz w:val="27"/>
                      <w:szCs w:val="27"/>
                      <w:lang w:val="es-ES" w:eastAsia="es-ES"/>
                    </w:rPr>
                  </w:pPr>
                  <w:smartTag w:uri="urn:schemas-microsoft-com:office:smarttags" w:element="PersonName">
                    <w:smartTagPr>
                      <w:attr w:name="ProductID" w:val="FLAVIO GALV￁N"/>
                    </w:smartTagPr>
                    <w:r w:rsidRPr="00CF2780">
                      <w:rPr>
                        <w:rFonts w:ascii="Arial" w:eastAsia="Times New Roman" w:hAnsi="Arial" w:cs="Arial"/>
                        <w:b/>
                        <w:bCs/>
                        <w:sz w:val="27"/>
                        <w:szCs w:val="27"/>
                        <w:lang w:val="es-ES" w:eastAsia="es-ES"/>
                      </w:rPr>
                      <w:t>FLAVIO GALVÁN</w:t>
                    </w:r>
                  </w:smartTag>
                  <w:r w:rsidRPr="00CF2780">
                    <w:rPr>
                      <w:rFonts w:ascii="Arial" w:eastAsia="Times New Roman" w:hAnsi="Arial" w:cs="Arial"/>
                      <w:b/>
                      <w:bCs/>
                      <w:sz w:val="27"/>
                      <w:szCs w:val="27"/>
                      <w:lang w:val="es-ES" w:eastAsia="es-ES"/>
                    </w:rPr>
                    <w:t xml:space="preserve"> RIVERA</w:t>
                  </w:r>
                </w:p>
                <w:p w14:paraId="79FF52D2" w14:textId="77777777" w:rsidR="009B02C2" w:rsidRPr="00CF2780" w:rsidRDefault="009B02C2" w:rsidP="009B02C2">
                  <w:pPr>
                    <w:spacing w:after="0" w:line="240" w:lineRule="auto"/>
                    <w:jc w:val="center"/>
                    <w:rPr>
                      <w:rFonts w:ascii="Arial" w:eastAsia="Times New Roman" w:hAnsi="Arial" w:cs="Arial"/>
                      <w:b/>
                      <w:bCs/>
                      <w:sz w:val="27"/>
                      <w:szCs w:val="27"/>
                      <w:lang w:val="es-ES" w:eastAsia="es-ES"/>
                    </w:rPr>
                  </w:pPr>
                </w:p>
              </w:tc>
              <w:tc>
                <w:tcPr>
                  <w:tcW w:w="2500" w:type="pct"/>
                </w:tcPr>
                <w:p w14:paraId="53194C9B" w14:textId="77777777" w:rsidR="009B02C2" w:rsidRPr="00CF2780" w:rsidRDefault="009B02C2" w:rsidP="009B02C2">
                  <w:pPr>
                    <w:spacing w:after="0" w:line="240" w:lineRule="auto"/>
                    <w:jc w:val="center"/>
                    <w:rPr>
                      <w:rFonts w:ascii="Arial" w:eastAsia="Times New Roman" w:hAnsi="Arial" w:cs="Arial"/>
                      <w:b/>
                      <w:bCs/>
                      <w:sz w:val="27"/>
                      <w:szCs w:val="27"/>
                      <w:lang w:val="es-ES" w:eastAsia="es-ES"/>
                    </w:rPr>
                  </w:pPr>
                  <w:r w:rsidRPr="00CF2780">
                    <w:rPr>
                      <w:rFonts w:ascii="Arial" w:eastAsia="Times New Roman" w:hAnsi="Arial" w:cs="Arial"/>
                      <w:b/>
                      <w:bCs/>
                      <w:sz w:val="27"/>
                      <w:szCs w:val="27"/>
                      <w:lang w:val="es-ES" w:eastAsia="es-ES"/>
                    </w:rPr>
                    <w:t>MAGISTRADO</w:t>
                  </w:r>
                </w:p>
                <w:p w14:paraId="0C9CBC24" w14:textId="77777777" w:rsidR="009B02C2" w:rsidRPr="00CF2780" w:rsidRDefault="009B02C2" w:rsidP="009B02C2">
                  <w:pPr>
                    <w:spacing w:after="0" w:line="240" w:lineRule="auto"/>
                    <w:jc w:val="center"/>
                    <w:rPr>
                      <w:rFonts w:ascii="Arial" w:eastAsia="Times New Roman" w:hAnsi="Arial" w:cs="Arial"/>
                      <w:b/>
                      <w:bCs/>
                      <w:sz w:val="27"/>
                      <w:szCs w:val="27"/>
                      <w:lang w:val="es-ES" w:eastAsia="es-ES"/>
                    </w:rPr>
                  </w:pPr>
                </w:p>
                <w:p w14:paraId="73EA5EC8" w14:textId="77777777" w:rsidR="009B02C2" w:rsidRPr="00CF2780" w:rsidRDefault="009B02C2" w:rsidP="009B02C2">
                  <w:pPr>
                    <w:spacing w:after="0" w:line="240" w:lineRule="auto"/>
                    <w:jc w:val="center"/>
                    <w:rPr>
                      <w:rFonts w:ascii="Arial" w:eastAsia="Times New Roman" w:hAnsi="Arial" w:cs="Arial"/>
                      <w:b/>
                      <w:bCs/>
                      <w:sz w:val="27"/>
                      <w:szCs w:val="27"/>
                      <w:lang w:val="es-ES" w:eastAsia="es-ES"/>
                    </w:rPr>
                  </w:pPr>
                </w:p>
                <w:p w14:paraId="01431738" w14:textId="77777777" w:rsidR="009B02C2" w:rsidRPr="00CF2780" w:rsidRDefault="009B02C2" w:rsidP="009B02C2">
                  <w:pPr>
                    <w:spacing w:after="0" w:line="240" w:lineRule="auto"/>
                    <w:jc w:val="center"/>
                    <w:rPr>
                      <w:rFonts w:ascii="Arial" w:eastAsia="Times New Roman" w:hAnsi="Arial" w:cs="Arial"/>
                      <w:b/>
                      <w:bCs/>
                      <w:sz w:val="27"/>
                      <w:szCs w:val="27"/>
                      <w:lang w:val="es-ES" w:eastAsia="es-ES"/>
                    </w:rPr>
                  </w:pPr>
                  <w:r w:rsidRPr="00CF2780">
                    <w:rPr>
                      <w:rFonts w:ascii="Arial" w:eastAsia="Times New Roman" w:hAnsi="Arial" w:cs="Arial"/>
                      <w:b/>
                      <w:bCs/>
                      <w:sz w:val="27"/>
                      <w:szCs w:val="27"/>
                      <w:lang w:val="es-ES" w:eastAsia="es-ES"/>
                    </w:rPr>
                    <w:t>PEDRO ESTEBAN PENAGOS LÓPEZ</w:t>
                  </w:r>
                </w:p>
                <w:p w14:paraId="05DE7CDD" w14:textId="77777777" w:rsidR="009B02C2" w:rsidRPr="00CF2780" w:rsidRDefault="009B02C2" w:rsidP="009B02C2">
                  <w:pPr>
                    <w:spacing w:after="0" w:line="240" w:lineRule="auto"/>
                    <w:jc w:val="center"/>
                    <w:rPr>
                      <w:rFonts w:ascii="Arial" w:eastAsia="Times New Roman" w:hAnsi="Arial" w:cs="Arial"/>
                      <w:sz w:val="27"/>
                      <w:szCs w:val="27"/>
                      <w:lang w:val="pt-BR" w:eastAsia="es-ES"/>
                    </w:rPr>
                  </w:pPr>
                </w:p>
              </w:tc>
            </w:tr>
            <w:tr w:rsidR="009B02C2" w:rsidRPr="00CF2780" w14:paraId="6EE84325" w14:textId="77777777" w:rsidTr="00B05F31">
              <w:trPr>
                <w:cantSplit/>
                <w:tblCellSpacing w:w="0" w:type="dxa"/>
                <w:jc w:val="center"/>
              </w:trPr>
              <w:tc>
                <w:tcPr>
                  <w:tcW w:w="2500" w:type="pct"/>
                </w:tcPr>
                <w:p w14:paraId="29CB369B" w14:textId="77777777" w:rsidR="009B02C2" w:rsidRPr="00CF2780" w:rsidRDefault="009B02C2" w:rsidP="009B02C2">
                  <w:pPr>
                    <w:spacing w:after="0" w:line="240" w:lineRule="auto"/>
                    <w:jc w:val="center"/>
                    <w:rPr>
                      <w:rFonts w:ascii="Arial" w:eastAsia="Times New Roman" w:hAnsi="Arial" w:cs="Arial"/>
                      <w:b/>
                      <w:bCs/>
                      <w:sz w:val="27"/>
                      <w:szCs w:val="27"/>
                      <w:lang w:val="pt-BR" w:eastAsia="es-ES"/>
                    </w:rPr>
                  </w:pPr>
                </w:p>
              </w:tc>
              <w:tc>
                <w:tcPr>
                  <w:tcW w:w="2500" w:type="pct"/>
                </w:tcPr>
                <w:p w14:paraId="73FA930D" w14:textId="77777777" w:rsidR="009B02C2" w:rsidRPr="00CF2780" w:rsidRDefault="009B02C2" w:rsidP="009B02C2">
                  <w:pPr>
                    <w:spacing w:after="0" w:line="240" w:lineRule="auto"/>
                    <w:jc w:val="center"/>
                    <w:rPr>
                      <w:rFonts w:ascii="Arial" w:eastAsia="Times New Roman" w:hAnsi="Arial" w:cs="Arial"/>
                      <w:sz w:val="27"/>
                      <w:szCs w:val="27"/>
                      <w:lang w:val="pt-BR" w:eastAsia="es-ES"/>
                    </w:rPr>
                  </w:pPr>
                  <w:r w:rsidRPr="00CF2780">
                    <w:rPr>
                      <w:rFonts w:ascii="Arial" w:eastAsia="Times New Roman" w:hAnsi="Arial" w:cs="Arial"/>
                      <w:sz w:val="27"/>
                      <w:szCs w:val="27"/>
                      <w:lang w:val="pt-BR" w:eastAsia="es-ES"/>
                    </w:rPr>
                    <w:t xml:space="preserve"> </w:t>
                  </w:r>
                </w:p>
              </w:tc>
            </w:tr>
            <w:tr w:rsidR="009B02C2" w:rsidRPr="00CF2780" w14:paraId="0914F56F" w14:textId="77777777" w:rsidTr="00B05F31">
              <w:trPr>
                <w:tblCellSpacing w:w="0" w:type="dxa"/>
                <w:jc w:val="center"/>
              </w:trPr>
              <w:tc>
                <w:tcPr>
                  <w:tcW w:w="0" w:type="auto"/>
                  <w:gridSpan w:val="2"/>
                </w:tcPr>
                <w:p w14:paraId="5F64D228" w14:textId="77777777" w:rsidR="009B02C2" w:rsidRPr="00CF2780" w:rsidRDefault="009B02C2" w:rsidP="009B02C2">
                  <w:pPr>
                    <w:spacing w:after="0" w:line="240" w:lineRule="auto"/>
                    <w:jc w:val="center"/>
                    <w:rPr>
                      <w:rFonts w:ascii="Arial" w:eastAsia="Times New Roman" w:hAnsi="Arial" w:cs="Arial"/>
                      <w:b/>
                      <w:bCs/>
                      <w:sz w:val="27"/>
                      <w:szCs w:val="27"/>
                      <w:lang w:val="es-ES" w:eastAsia="es-ES"/>
                    </w:rPr>
                  </w:pPr>
                  <w:r w:rsidRPr="00CF2780">
                    <w:rPr>
                      <w:rFonts w:ascii="Arial" w:eastAsia="Times New Roman" w:hAnsi="Arial" w:cs="Arial"/>
                      <w:b/>
                      <w:bCs/>
                      <w:sz w:val="27"/>
                      <w:szCs w:val="27"/>
                      <w:lang w:val="es-ES" w:eastAsia="es-ES"/>
                    </w:rPr>
                    <w:t>SECRETARIO GENERAL DE ACUERDOS</w:t>
                  </w:r>
                </w:p>
                <w:p w14:paraId="39DF4224" w14:textId="77777777" w:rsidR="009B02C2" w:rsidRPr="00CF2780" w:rsidRDefault="009B02C2" w:rsidP="009B02C2">
                  <w:pPr>
                    <w:spacing w:after="0" w:line="240" w:lineRule="auto"/>
                    <w:jc w:val="center"/>
                    <w:rPr>
                      <w:rFonts w:ascii="Arial" w:eastAsia="Times New Roman" w:hAnsi="Arial" w:cs="Arial"/>
                      <w:b/>
                      <w:bCs/>
                      <w:sz w:val="27"/>
                      <w:szCs w:val="27"/>
                      <w:lang w:val="es-ES" w:eastAsia="es-ES"/>
                    </w:rPr>
                  </w:pPr>
                </w:p>
                <w:p w14:paraId="44F93159" w14:textId="77777777" w:rsidR="009B02C2" w:rsidRPr="00CF2780" w:rsidRDefault="009B02C2" w:rsidP="009B02C2">
                  <w:pPr>
                    <w:spacing w:after="0" w:line="240" w:lineRule="auto"/>
                    <w:jc w:val="center"/>
                    <w:rPr>
                      <w:rFonts w:ascii="Arial" w:eastAsia="Times New Roman" w:hAnsi="Arial" w:cs="Arial"/>
                      <w:b/>
                      <w:bCs/>
                      <w:sz w:val="27"/>
                      <w:szCs w:val="27"/>
                      <w:lang w:val="es-ES" w:eastAsia="es-ES"/>
                    </w:rPr>
                  </w:pPr>
                </w:p>
                <w:p w14:paraId="26E70E1B" w14:textId="77777777" w:rsidR="009B02C2" w:rsidRPr="00CF2780" w:rsidRDefault="009B02C2" w:rsidP="009B02C2">
                  <w:pPr>
                    <w:spacing w:after="0" w:line="240" w:lineRule="auto"/>
                    <w:jc w:val="center"/>
                    <w:rPr>
                      <w:rFonts w:ascii="Arial" w:eastAsia="Times New Roman" w:hAnsi="Arial" w:cs="Arial"/>
                      <w:sz w:val="27"/>
                      <w:szCs w:val="27"/>
                      <w:lang w:val="es-ES" w:eastAsia="es-ES"/>
                    </w:rPr>
                  </w:pPr>
                  <w:r w:rsidRPr="00CF2780">
                    <w:rPr>
                      <w:rFonts w:ascii="Arial" w:eastAsia="Times New Roman" w:hAnsi="Arial" w:cs="Arial"/>
                      <w:b/>
                      <w:bCs/>
                      <w:sz w:val="27"/>
                      <w:szCs w:val="27"/>
                      <w:lang w:val="es-ES" w:eastAsia="es-ES"/>
                    </w:rPr>
                    <w:t>MARCO ANTONIO ZAVALA ARREDONDO</w:t>
                  </w:r>
                </w:p>
              </w:tc>
            </w:tr>
          </w:tbl>
          <w:p w14:paraId="04184BB7" w14:textId="77777777" w:rsidR="009B02C2" w:rsidRPr="00CF2780" w:rsidRDefault="009B02C2" w:rsidP="009B02C2">
            <w:pPr>
              <w:spacing w:after="0" w:line="240" w:lineRule="auto"/>
              <w:jc w:val="center"/>
              <w:rPr>
                <w:rFonts w:ascii="Arial" w:eastAsia="Times New Roman" w:hAnsi="Arial" w:cs="Arial"/>
                <w:sz w:val="26"/>
                <w:szCs w:val="26"/>
                <w:lang w:val="es-ES" w:eastAsia="es-ES"/>
              </w:rPr>
            </w:pPr>
          </w:p>
        </w:tc>
      </w:tr>
    </w:tbl>
    <w:p w14:paraId="0843D504" w14:textId="77777777" w:rsidR="009B02C2" w:rsidRPr="00CF2780" w:rsidRDefault="009B02C2" w:rsidP="009B02C2">
      <w:pPr>
        <w:spacing w:before="100" w:beforeAutospacing="1" w:after="100" w:afterAutospacing="1" w:line="360" w:lineRule="auto"/>
        <w:ind w:firstLine="708"/>
        <w:jc w:val="both"/>
        <w:rPr>
          <w:rFonts w:ascii="Arial" w:eastAsia="Times New Roman" w:hAnsi="Arial" w:cs="Arial"/>
          <w:b/>
          <w:bCs/>
          <w:sz w:val="28"/>
          <w:szCs w:val="28"/>
          <w:lang w:val="es-ES" w:eastAsia="es-ES"/>
        </w:rPr>
      </w:pPr>
      <w:r w:rsidRPr="00CF2780">
        <w:rPr>
          <w:rFonts w:ascii="Arial" w:eastAsia="Times New Roman" w:hAnsi="Arial" w:cs="Arial"/>
          <w:b/>
          <w:bCs/>
          <w:sz w:val="28"/>
          <w:szCs w:val="28"/>
          <w:lang w:val="es-ES" w:eastAsia="es-ES"/>
        </w:rPr>
        <w:t xml:space="preserve">VOTO RAZONADO QUE EMITE EL MAGISTRADO FLAVIO GALVÁN RIVERA, AL DICTAR SENTENCIA, LA SALA SUPERIOR DEL TRIBUNAL ELECTORAL DEL PODER JUDICIAL DE LA FEDERACIÓN, EN EL JUICIO PARA LA PROTECCIÓN DE LOS </w:t>
      </w:r>
      <w:r w:rsidRPr="00CF2780">
        <w:rPr>
          <w:rFonts w:ascii="Arial" w:eastAsia="Times New Roman" w:hAnsi="Arial" w:cs="Arial"/>
          <w:b/>
          <w:bCs/>
          <w:sz w:val="28"/>
          <w:szCs w:val="28"/>
          <w:lang w:val="es-ES" w:eastAsia="es-ES"/>
        </w:rPr>
        <w:lastRenderedPageBreak/>
        <w:t>DERECHOS POLÍTICO-ELECTORALES DEL CIUDADANO IDENTIFICADO CON LA CLAVE SUP-JDC-61/2012.</w:t>
      </w:r>
    </w:p>
    <w:p w14:paraId="2D4FB799" w14:textId="77777777" w:rsidR="009B02C2" w:rsidRPr="00CF2780" w:rsidRDefault="009B02C2" w:rsidP="009B02C2">
      <w:pPr>
        <w:spacing w:before="100" w:beforeAutospacing="1" w:after="100" w:afterAutospacing="1" w:line="360" w:lineRule="auto"/>
        <w:ind w:firstLine="70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Si bien coincido con las consideraciones y el sentido de la ejecutoria dictada en el juicio para la protección de los derechos político-electorales del ciudadano identificado con la clave SUP-JDC-61/2012, promovido por quinientos cuarenta y seis ciudadanos integrantes de la comunidad indígena de Cherán, del Estado de Michoacán, en contra del Consejo General del Instituto Electoral de esa entidad federativa, a fin de impugnar la aprobación del informe que rindió la Comisión Especial para dar seguimiento a la sentencia dictada por esta Sala Superior en el diverso juicio para la protección de los derechos político-electorales del ciudadano identificado con la clave SUP-JDC-9167/2011, así como los resultados de la consulta correspondiente que se celebró el dieciocho de diciembre de dos mil once.</w:t>
      </w:r>
    </w:p>
    <w:p w14:paraId="66432473" w14:textId="77777777" w:rsidR="009B02C2" w:rsidRPr="00CF2780" w:rsidRDefault="009B02C2" w:rsidP="009B02C2">
      <w:pPr>
        <w:spacing w:before="100" w:beforeAutospacing="1" w:after="100" w:afterAutospacing="1"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Al respecto, cabe precisar que, al no coincidir con lo resuelto por la mayoría de los Magistrados integrantes de esta Sala Superior, en la sentencia dictada en el juicio identificado con la clave SUP-JDC-9167/2011, emití voto particular al considerar que la </w:t>
      </w:r>
      <w:r w:rsidRPr="00CF2780">
        <w:rPr>
          <w:rFonts w:ascii="Arial" w:eastAsia="Times New Roman" w:hAnsi="Arial" w:cs="Arial"/>
          <w:i/>
          <w:sz w:val="28"/>
          <w:szCs w:val="28"/>
          <w:lang w:val="es-ES" w:eastAsia="es-ES"/>
        </w:rPr>
        <w:t xml:space="preserve">litis, </w:t>
      </w:r>
      <w:r w:rsidRPr="00CF2780">
        <w:rPr>
          <w:rFonts w:ascii="Arial" w:eastAsia="Times New Roman" w:hAnsi="Arial" w:cs="Arial"/>
          <w:sz w:val="28"/>
          <w:szCs w:val="28"/>
          <w:lang w:val="es-ES" w:eastAsia="es-ES"/>
        </w:rPr>
        <w:t>en el citado juicio, no se constreñía a determinar si la comunidad indígena de Cherán tenía o no derecho a elegir a sus autoridades o representantes conforme a sus usos y costumbres, a pesar de la inexistencia de un procedimiento en la normativa local para garantizar el ejercicio de ese derecho.</w:t>
      </w:r>
    </w:p>
    <w:p w14:paraId="38DA2EA3" w14:textId="77777777" w:rsidR="009B02C2" w:rsidRPr="00CF2780" w:rsidRDefault="009B02C2" w:rsidP="009B02C2">
      <w:pPr>
        <w:spacing w:before="100" w:beforeAutospacing="1" w:after="100" w:afterAutospacing="1"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Por tanto, en mi concepto, la </w:t>
      </w:r>
      <w:r w:rsidRPr="00CF2780">
        <w:rPr>
          <w:rFonts w:ascii="Arial" w:eastAsia="Times New Roman" w:hAnsi="Arial" w:cs="Arial"/>
          <w:i/>
          <w:sz w:val="28"/>
          <w:szCs w:val="28"/>
          <w:lang w:val="es-ES" w:eastAsia="es-ES"/>
        </w:rPr>
        <w:t>litis</w:t>
      </w:r>
      <w:r w:rsidRPr="00CF2780">
        <w:rPr>
          <w:rFonts w:ascii="Arial" w:eastAsia="Times New Roman" w:hAnsi="Arial" w:cs="Arial"/>
          <w:sz w:val="28"/>
          <w:szCs w:val="28"/>
          <w:lang w:val="es-ES" w:eastAsia="es-ES"/>
        </w:rPr>
        <w:t xml:space="preserve"> se limitaba a determinar si el Instituto Electoral del Estado de Michoacán era competente o no, para </w:t>
      </w:r>
      <w:r w:rsidRPr="00CF2780">
        <w:rPr>
          <w:rFonts w:ascii="Arial" w:eastAsia="Times New Roman" w:hAnsi="Arial" w:cs="Arial"/>
          <w:sz w:val="28"/>
          <w:szCs w:val="28"/>
          <w:lang w:val="es-ES" w:eastAsia="es-ES"/>
        </w:rPr>
        <w:lastRenderedPageBreak/>
        <w:t>resolver la petición formulada por los integrantes de la comunidad de Cherán, en el sentido de que esa autoridad administrativa electoral local declarara que esa comunidad podía elegir a sus autoridades conforme al sistema de sus usos y costumbres.</w:t>
      </w:r>
    </w:p>
    <w:p w14:paraId="253BFB68" w14:textId="77777777" w:rsidR="009B02C2" w:rsidRPr="00CF2780" w:rsidRDefault="009B02C2" w:rsidP="009B02C2">
      <w:pPr>
        <w:spacing w:before="100" w:beforeAutospacing="1" w:after="100" w:afterAutospacing="1"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Por lo que en mi opinión, los efectos de la sentencia se debían limitar a remitir la aludida petición al Congreso de esa entidad federativa, a fin de que ese órgano legislativo, en ejercicio de su potestad soberana resolviera lo que en Derecho correspondiera.</w:t>
      </w:r>
    </w:p>
    <w:p w14:paraId="0928969B" w14:textId="77777777" w:rsidR="009B02C2" w:rsidRPr="00CF2780" w:rsidRDefault="009B02C2" w:rsidP="009B02C2">
      <w:pPr>
        <w:spacing w:before="100" w:beforeAutospacing="1" w:after="100" w:afterAutospacing="1"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Sin embargo, en la aludida sentencia, por decisión mayoritaria de los integrantes de esta Sala Superior, se ordenó al Consejo General del Instituto Electoral de Michoacán llevara a cabo una consulta a los miembros de la comunidad indígena de Cherán, para determinar si la mayoría de los integrantes de esa comunidad estaban de acuerdo en elegir a sus autoridades por el sistema de usos y costumbres.</w:t>
      </w:r>
    </w:p>
    <w:p w14:paraId="75267945" w14:textId="77777777" w:rsidR="009B02C2" w:rsidRPr="00CF2780" w:rsidRDefault="009B02C2" w:rsidP="009B02C2">
      <w:pPr>
        <w:spacing w:before="100" w:beforeAutospacing="1" w:after="100" w:afterAutospacing="1"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No obstante la disidencia, conforme a lo previsto en el artículo 99, párrafo cuarto, de la Constitución Política de los Estados Unidos Mexicanos, no me es desconocido que las sentencias que emita este Tribunal Electoral del Poder Judicial de la Federación, por conducto de sus Salas, son obligatorias aún para los Magistrados integrantes de esta Sala Superior, por tanto, atento al deber constitucional y legal que tengo conferido, como Magistrado de esta Sala Superior del Tribunal Electoral del Poder Judicial de la Federación, debo emitir voto en este juicio, no obstante de la disidencia anteriormente precisada.</w:t>
      </w:r>
    </w:p>
    <w:p w14:paraId="60073869" w14:textId="77777777" w:rsidR="009B02C2" w:rsidRPr="00CF2780" w:rsidRDefault="009B02C2" w:rsidP="009B02C2">
      <w:p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lastRenderedPageBreak/>
        <w:t>Hecha la acotación anterior, respecto del juicio que se resuelve, considero pertinente destacar los siguientes hechos:</w:t>
      </w:r>
    </w:p>
    <w:p w14:paraId="100C072A" w14:textId="77777777" w:rsidR="009B02C2" w:rsidRPr="00CF2780" w:rsidRDefault="009B02C2" w:rsidP="009B02C2">
      <w:pPr>
        <w:spacing w:before="100" w:beforeAutospacing="1" w:after="100" w:afterAutospacing="1"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Conforme a lo resuelto por este órgano jurisdiccional especializado al dictar sentencia en el juicio para la protección de los derechos político-electorales del ciudadano SUP-JDC-9167/2011, el Consejo General del Instituto Electoral de Michoacán integró una Comisión Especial para dar seguimiento a la citada ejecutoria.</w:t>
      </w:r>
    </w:p>
    <w:p w14:paraId="387B82C4" w14:textId="77777777" w:rsidR="009B02C2" w:rsidRPr="00CF2780" w:rsidRDefault="009B02C2" w:rsidP="009B02C2">
      <w:pPr>
        <w:spacing w:before="100" w:beforeAutospacing="1" w:after="100" w:afterAutospacing="1"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El nueve de diciembre de dos mil once, el Consejo General del Instituto Electoral de Michoacán aprobó el calendario y las convocatorias a fin de llevar a cabo “las pláticas previas y la consulta en las comunidades de San Francisco Cherán y Santa Cruz Santa Cruz Tanaco, Municipio de Cherán, Michoacán”.</w:t>
      </w:r>
    </w:p>
    <w:p w14:paraId="75546EFE" w14:textId="77777777" w:rsidR="009B02C2" w:rsidRPr="00CF2780" w:rsidRDefault="009B02C2" w:rsidP="009B02C2">
      <w:pPr>
        <w:spacing w:before="100" w:beforeAutospacing="1" w:after="100" w:afterAutospacing="1"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El diez de diciembre de dos mil once, se publicaron las aludidas convocatorias en lugares públicos de la cabecera municipal de Cherán y en la Tenencia de Santa Cruz Tanaco, a la cual se le dio amplia difusión en la página de internet del citado Instituto electoral local, así como en las estaciones de radio “XEPUR, la voz de los purépechas de CDI” y en “Radio Fogata Cherán 90.10 AM”, aunado a lo anterior se hizo “perifoneo” en las aludidas comunidades.</w:t>
      </w:r>
    </w:p>
    <w:p w14:paraId="433305A7" w14:textId="77777777" w:rsidR="009B02C2" w:rsidRPr="00CF2780" w:rsidRDefault="009B02C2" w:rsidP="009B02C2">
      <w:pPr>
        <w:spacing w:before="100" w:beforeAutospacing="1" w:after="100" w:afterAutospacing="1"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El once y quince de diciembre de dos mil once, en Santa Cruz Tanaco y San Francisco Cherán, respectivamente,  se llevaron a cabo pláticas informativas en los lugares precisados en las convocatorias.</w:t>
      </w:r>
    </w:p>
    <w:p w14:paraId="176CA96B" w14:textId="77777777" w:rsidR="009B02C2" w:rsidRPr="00CF2780" w:rsidRDefault="009B02C2" w:rsidP="009B02C2">
      <w:pPr>
        <w:spacing w:before="100" w:beforeAutospacing="1" w:after="100" w:afterAutospacing="1"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El dieciocho de diciembre de dos mil once, se llevó a cabo la consulta a los habitantes de las comunidades de Santa Cruz Tanaco y </w:t>
      </w:r>
      <w:r w:rsidRPr="00CF2780">
        <w:rPr>
          <w:rFonts w:ascii="Arial" w:eastAsia="Times New Roman" w:hAnsi="Arial" w:cs="Arial"/>
          <w:sz w:val="28"/>
          <w:szCs w:val="28"/>
          <w:lang w:val="es-ES" w:eastAsia="es-ES"/>
        </w:rPr>
        <w:lastRenderedPageBreak/>
        <w:t>San Francisco Cherán, a fin de que determinaran el sistema electoral para elegir a sus autoridades municipales, en la que se obtuvieron los siguientes resultados: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8"/>
        <w:gridCol w:w="1950"/>
        <w:gridCol w:w="2182"/>
        <w:gridCol w:w="2565"/>
      </w:tblGrid>
      <w:tr w:rsidR="009B02C2" w:rsidRPr="00CF2780" w14:paraId="7C8F8875" w14:textId="77777777" w:rsidTr="00B05F31">
        <w:tc>
          <w:tcPr>
            <w:tcW w:w="2058" w:type="dxa"/>
            <w:shd w:val="clear" w:color="auto" w:fill="C2D69B"/>
          </w:tcPr>
          <w:p w14:paraId="3EAC27DE" w14:textId="77777777" w:rsidR="009B02C2" w:rsidRPr="00CF2780" w:rsidRDefault="009B02C2" w:rsidP="009B02C2">
            <w:pPr>
              <w:spacing w:before="100" w:beforeAutospacing="1" w:after="100" w:afterAutospacing="1" w:line="360" w:lineRule="auto"/>
              <w:jc w:val="both"/>
              <w:rPr>
                <w:rFonts w:ascii="Arial" w:eastAsia="Times New Roman" w:hAnsi="Arial" w:cs="Arial"/>
                <w:b/>
                <w:sz w:val="18"/>
                <w:szCs w:val="18"/>
                <w:lang w:val="es-ES" w:eastAsia="es-ES"/>
              </w:rPr>
            </w:pPr>
            <w:r w:rsidRPr="00CF2780">
              <w:rPr>
                <w:rFonts w:ascii="Arial" w:eastAsia="Times New Roman" w:hAnsi="Arial" w:cs="Arial"/>
                <w:b/>
                <w:sz w:val="18"/>
                <w:szCs w:val="18"/>
                <w:lang w:val="es-ES" w:eastAsia="es-ES"/>
              </w:rPr>
              <w:t>BARRIO</w:t>
            </w:r>
          </w:p>
        </w:tc>
        <w:tc>
          <w:tcPr>
            <w:tcW w:w="1950" w:type="dxa"/>
            <w:shd w:val="clear" w:color="auto" w:fill="C2D69B"/>
          </w:tcPr>
          <w:p w14:paraId="6D8239C0" w14:textId="77777777" w:rsidR="009B02C2" w:rsidRPr="00CF2780" w:rsidRDefault="009B02C2" w:rsidP="009B02C2">
            <w:pPr>
              <w:spacing w:before="100" w:beforeAutospacing="1" w:after="100" w:afterAutospacing="1" w:line="360" w:lineRule="auto"/>
              <w:jc w:val="both"/>
              <w:rPr>
                <w:rFonts w:ascii="Arial" w:eastAsia="Times New Roman" w:hAnsi="Arial" w:cs="Arial"/>
                <w:b/>
                <w:sz w:val="18"/>
                <w:szCs w:val="18"/>
                <w:lang w:val="es-ES" w:eastAsia="es-ES"/>
              </w:rPr>
            </w:pPr>
            <w:r w:rsidRPr="00CF2780">
              <w:rPr>
                <w:rFonts w:ascii="Arial" w:eastAsia="Times New Roman" w:hAnsi="Arial" w:cs="Arial"/>
                <w:b/>
                <w:sz w:val="18"/>
                <w:szCs w:val="18"/>
                <w:lang w:val="es-ES" w:eastAsia="es-ES"/>
              </w:rPr>
              <w:t>ASISTENTES</w:t>
            </w:r>
          </w:p>
        </w:tc>
        <w:tc>
          <w:tcPr>
            <w:tcW w:w="2182" w:type="dxa"/>
            <w:shd w:val="clear" w:color="auto" w:fill="C2D69B"/>
          </w:tcPr>
          <w:p w14:paraId="37EE6D3E" w14:textId="77777777" w:rsidR="009B02C2" w:rsidRPr="00CF2780" w:rsidRDefault="009B02C2" w:rsidP="009B02C2">
            <w:pPr>
              <w:spacing w:before="100" w:beforeAutospacing="1" w:after="100" w:afterAutospacing="1" w:line="360" w:lineRule="auto"/>
              <w:jc w:val="both"/>
              <w:rPr>
                <w:rFonts w:ascii="Arial" w:eastAsia="Times New Roman" w:hAnsi="Arial" w:cs="Arial"/>
                <w:b/>
                <w:sz w:val="18"/>
                <w:szCs w:val="18"/>
                <w:lang w:val="es-ES" w:eastAsia="es-ES"/>
              </w:rPr>
            </w:pPr>
            <w:r w:rsidRPr="00CF2780">
              <w:rPr>
                <w:rFonts w:ascii="Arial" w:eastAsia="Times New Roman" w:hAnsi="Arial" w:cs="Arial"/>
                <w:b/>
                <w:sz w:val="18"/>
                <w:szCs w:val="18"/>
                <w:lang w:val="es-ES" w:eastAsia="es-ES"/>
              </w:rPr>
              <w:t>A FAVOR DE USOS Y COSTUMBRES</w:t>
            </w:r>
          </w:p>
        </w:tc>
        <w:tc>
          <w:tcPr>
            <w:tcW w:w="2565" w:type="dxa"/>
            <w:shd w:val="clear" w:color="auto" w:fill="C2D69B"/>
          </w:tcPr>
          <w:p w14:paraId="50E1ABFA" w14:textId="77777777" w:rsidR="009B02C2" w:rsidRPr="00CF2780" w:rsidRDefault="009B02C2" w:rsidP="009B02C2">
            <w:pPr>
              <w:spacing w:before="100" w:beforeAutospacing="1" w:after="100" w:afterAutospacing="1" w:line="360" w:lineRule="auto"/>
              <w:jc w:val="both"/>
              <w:rPr>
                <w:rFonts w:ascii="Arial" w:eastAsia="Times New Roman" w:hAnsi="Arial" w:cs="Arial"/>
                <w:b/>
                <w:sz w:val="18"/>
                <w:szCs w:val="18"/>
                <w:lang w:val="es-ES" w:eastAsia="es-ES"/>
              </w:rPr>
            </w:pPr>
            <w:r w:rsidRPr="00CF2780">
              <w:rPr>
                <w:rFonts w:ascii="Arial" w:eastAsia="Times New Roman" w:hAnsi="Arial" w:cs="Arial"/>
                <w:b/>
                <w:sz w:val="18"/>
                <w:szCs w:val="18"/>
                <w:lang w:val="es-ES" w:eastAsia="es-ES"/>
              </w:rPr>
              <w:t>EN CONTRA DE USOS Y COSTUMBRES</w:t>
            </w:r>
          </w:p>
        </w:tc>
      </w:tr>
      <w:tr w:rsidR="009B02C2" w:rsidRPr="00CF2780" w14:paraId="718942B2" w14:textId="77777777" w:rsidTr="00B05F31">
        <w:tc>
          <w:tcPr>
            <w:tcW w:w="2058" w:type="dxa"/>
          </w:tcPr>
          <w:p w14:paraId="2972ED43" w14:textId="77777777" w:rsidR="009B02C2" w:rsidRPr="00CF2780" w:rsidRDefault="009B02C2" w:rsidP="009B02C2">
            <w:pPr>
              <w:spacing w:before="100" w:beforeAutospacing="1" w:after="100" w:afterAutospacing="1" w:line="360" w:lineRule="auto"/>
              <w:jc w:val="both"/>
              <w:rPr>
                <w:rFonts w:ascii="Arial" w:eastAsia="Times New Roman" w:hAnsi="Arial" w:cs="Arial"/>
                <w:sz w:val="18"/>
                <w:szCs w:val="18"/>
                <w:lang w:val="es-ES" w:eastAsia="es-ES"/>
              </w:rPr>
            </w:pPr>
            <w:r w:rsidRPr="00CF2780">
              <w:rPr>
                <w:rFonts w:ascii="Arial" w:eastAsia="Times New Roman" w:hAnsi="Arial" w:cs="Arial"/>
                <w:sz w:val="18"/>
                <w:szCs w:val="18"/>
                <w:lang w:val="es-ES" w:eastAsia="es-ES"/>
              </w:rPr>
              <w:t>1° JARHUKUTINI</w:t>
            </w:r>
          </w:p>
        </w:tc>
        <w:tc>
          <w:tcPr>
            <w:tcW w:w="1950" w:type="dxa"/>
          </w:tcPr>
          <w:p w14:paraId="3904E773" w14:textId="77777777" w:rsidR="009B02C2" w:rsidRPr="00CF2780" w:rsidRDefault="009B02C2" w:rsidP="009B02C2">
            <w:pPr>
              <w:spacing w:before="100" w:beforeAutospacing="1" w:after="100" w:afterAutospacing="1" w:line="360" w:lineRule="auto"/>
              <w:jc w:val="both"/>
              <w:rPr>
                <w:rFonts w:ascii="Arial" w:eastAsia="Times New Roman" w:hAnsi="Arial" w:cs="Arial"/>
                <w:sz w:val="18"/>
                <w:szCs w:val="18"/>
                <w:lang w:val="es-ES" w:eastAsia="es-ES"/>
              </w:rPr>
            </w:pPr>
            <w:r w:rsidRPr="00CF2780">
              <w:rPr>
                <w:rFonts w:ascii="Arial" w:eastAsia="Times New Roman" w:hAnsi="Arial" w:cs="Arial"/>
                <w:sz w:val="18"/>
                <w:szCs w:val="18"/>
                <w:lang w:val="es-ES" w:eastAsia="es-ES"/>
              </w:rPr>
              <w:t>783</w:t>
            </w:r>
          </w:p>
        </w:tc>
        <w:tc>
          <w:tcPr>
            <w:tcW w:w="2182" w:type="dxa"/>
          </w:tcPr>
          <w:p w14:paraId="0C3004E4" w14:textId="77777777" w:rsidR="009B02C2" w:rsidRPr="00CF2780" w:rsidRDefault="009B02C2" w:rsidP="009B02C2">
            <w:pPr>
              <w:spacing w:before="100" w:beforeAutospacing="1" w:after="100" w:afterAutospacing="1" w:line="360" w:lineRule="auto"/>
              <w:jc w:val="both"/>
              <w:rPr>
                <w:rFonts w:ascii="Arial" w:eastAsia="Times New Roman" w:hAnsi="Arial" w:cs="Arial"/>
                <w:sz w:val="18"/>
                <w:szCs w:val="18"/>
                <w:lang w:val="es-ES" w:eastAsia="es-ES"/>
              </w:rPr>
            </w:pPr>
            <w:r w:rsidRPr="00CF2780">
              <w:rPr>
                <w:rFonts w:ascii="Arial" w:eastAsia="Times New Roman" w:hAnsi="Arial" w:cs="Arial"/>
                <w:sz w:val="18"/>
                <w:szCs w:val="18"/>
                <w:lang w:val="es-ES" w:eastAsia="es-ES"/>
              </w:rPr>
              <w:t>731</w:t>
            </w:r>
          </w:p>
        </w:tc>
        <w:tc>
          <w:tcPr>
            <w:tcW w:w="2565" w:type="dxa"/>
          </w:tcPr>
          <w:p w14:paraId="293857B3" w14:textId="77777777" w:rsidR="009B02C2" w:rsidRPr="00CF2780" w:rsidRDefault="009B02C2" w:rsidP="009B02C2">
            <w:pPr>
              <w:spacing w:before="100" w:beforeAutospacing="1" w:after="100" w:afterAutospacing="1" w:line="360" w:lineRule="auto"/>
              <w:jc w:val="both"/>
              <w:rPr>
                <w:rFonts w:ascii="Arial" w:eastAsia="Times New Roman" w:hAnsi="Arial" w:cs="Arial"/>
                <w:sz w:val="18"/>
                <w:szCs w:val="18"/>
                <w:lang w:val="es-ES" w:eastAsia="es-ES"/>
              </w:rPr>
            </w:pPr>
            <w:r w:rsidRPr="00CF2780">
              <w:rPr>
                <w:rFonts w:ascii="Arial" w:eastAsia="Times New Roman" w:hAnsi="Arial" w:cs="Arial"/>
                <w:sz w:val="18"/>
                <w:szCs w:val="18"/>
                <w:lang w:val="es-ES" w:eastAsia="es-ES"/>
              </w:rPr>
              <w:t>4</w:t>
            </w:r>
          </w:p>
        </w:tc>
      </w:tr>
      <w:tr w:rsidR="009B02C2" w:rsidRPr="00CF2780" w14:paraId="00DACD31" w14:textId="77777777" w:rsidTr="00B05F31">
        <w:tc>
          <w:tcPr>
            <w:tcW w:w="2058" w:type="dxa"/>
          </w:tcPr>
          <w:p w14:paraId="39D08A3F" w14:textId="77777777" w:rsidR="009B02C2" w:rsidRPr="00CF2780" w:rsidRDefault="009B02C2" w:rsidP="009B02C2">
            <w:pPr>
              <w:spacing w:before="100" w:beforeAutospacing="1" w:after="100" w:afterAutospacing="1" w:line="360" w:lineRule="auto"/>
              <w:jc w:val="both"/>
              <w:rPr>
                <w:rFonts w:ascii="Arial" w:eastAsia="Times New Roman" w:hAnsi="Arial" w:cs="Arial"/>
                <w:sz w:val="18"/>
                <w:szCs w:val="18"/>
                <w:lang w:val="es-ES" w:eastAsia="es-ES"/>
              </w:rPr>
            </w:pPr>
            <w:r w:rsidRPr="00CF2780">
              <w:rPr>
                <w:rFonts w:ascii="Arial" w:eastAsia="Times New Roman" w:hAnsi="Arial" w:cs="Arial"/>
                <w:sz w:val="18"/>
                <w:szCs w:val="18"/>
                <w:lang w:val="es-ES" w:eastAsia="es-ES"/>
              </w:rPr>
              <w:t>2° KETSIKUA</w:t>
            </w:r>
          </w:p>
        </w:tc>
        <w:tc>
          <w:tcPr>
            <w:tcW w:w="1950" w:type="dxa"/>
          </w:tcPr>
          <w:p w14:paraId="105455CD" w14:textId="77777777" w:rsidR="009B02C2" w:rsidRPr="00CF2780" w:rsidRDefault="009B02C2" w:rsidP="009B02C2">
            <w:pPr>
              <w:spacing w:before="100" w:beforeAutospacing="1" w:after="100" w:afterAutospacing="1" w:line="360" w:lineRule="auto"/>
              <w:jc w:val="both"/>
              <w:rPr>
                <w:rFonts w:ascii="Arial" w:eastAsia="Times New Roman" w:hAnsi="Arial" w:cs="Arial"/>
                <w:sz w:val="18"/>
                <w:szCs w:val="18"/>
                <w:lang w:val="es-ES" w:eastAsia="es-ES"/>
              </w:rPr>
            </w:pPr>
            <w:r w:rsidRPr="00CF2780">
              <w:rPr>
                <w:rFonts w:ascii="Arial" w:eastAsia="Times New Roman" w:hAnsi="Arial" w:cs="Arial"/>
                <w:sz w:val="18"/>
                <w:szCs w:val="18"/>
                <w:lang w:val="es-ES" w:eastAsia="es-ES"/>
              </w:rPr>
              <w:t>1353</w:t>
            </w:r>
          </w:p>
        </w:tc>
        <w:tc>
          <w:tcPr>
            <w:tcW w:w="2182" w:type="dxa"/>
          </w:tcPr>
          <w:p w14:paraId="0E6C54D2" w14:textId="77777777" w:rsidR="009B02C2" w:rsidRPr="00CF2780" w:rsidRDefault="009B02C2" w:rsidP="009B02C2">
            <w:pPr>
              <w:spacing w:before="100" w:beforeAutospacing="1" w:after="100" w:afterAutospacing="1" w:line="360" w:lineRule="auto"/>
              <w:jc w:val="both"/>
              <w:rPr>
                <w:rFonts w:ascii="Arial" w:eastAsia="Times New Roman" w:hAnsi="Arial" w:cs="Arial"/>
                <w:sz w:val="18"/>
                <w:szCs w:val="18"/>
                <w:lang w:val="es-ES" w:eastAsia="es-ES"/>
              </w:rPr>
            </w:pPr>
            <w:r w:rsidRPr="00CF2780">
              <w:rPr>
                <w:rFonts w:ascii="Arial" w:eastAsia="Times New Roman" w:hAnsi="Arial" w:cs="Arial"/>
                <w:sz w:val="18"/>
                <w:szCs w:val="18"/>
                <w:lang w:val="es-ES" w:eastAsia="es-ES"/>
              </w:rPr>
              <w:t>1240</w:t>
            </w:r>
          </w:p>
        </w:tc>
        <w:tc>
          <w:tcPr>
            <w:tcW w:w="2565" w:type="dxa"/>
          </w:tcPr>
          <w:p w14:paraId="6CFEAA5E" w14:textId="77777777" w:rsidR="009B02C2" w:rsidRPr="00CF2780" w:rsidRDefault="009B02C2" w:rsidP="009B02C2">
            <w:pPr>
              <w:spacing w:before="100" w:beforeAutospacing="1" w:after="100" w:afterAutospacing="1" w:line="360" w:lineRule="auto"/>
              <w:jc w:val="both"/>
              <w:rPr>
                <w:rFonts w:ascii="Arial" w:eastAsia="Times New Roman" w:hAnsi="Arial" w:cs="Arial"/>
                <w:sz w:val="18"/>
                <w:szCs w:val="18"/>
                <w:lang w:val="es-ES" w:eastAsia="es-ES"/>
              </w:rPr>
            </w:pPr>
            <w:r w:rsidRPr="00CF2780">
              <w:rPr>
                <w:rFonts w:ascii="Arial" w:eastAsia="Times New Roman" w:hAnsi="Arial" w:cs="Arial"/>
                <w:sz w:val="18"/>
                <w:szCs w:val="18"/>
                <w:lang w:val="es-ES" w:eastAsia="es-ES"/>
              </w:rPr>
              <w:t>3</w:t>
            </w:r>
          </w:p>
        </w:tc>
      </w:tr>
      <w:tr w:rsidR="009B02C2" w:rsidRPr="00CF2780" w14:paraId="17D65F47" w14:textId="77777777" w:rsidTr="00B05F31">
        <w:tc>
          <w:tcPr>
            <w:tcW w:w="2058" w:type="dxa"/>
          </w:tcPr>
          <w:p w14:paraId="64FE79C9" w14:textId="77777777" w:rsidR="009B02C2" w:rsidRPr="00CF2780" w:rsidRDefault="009B02C2" w:rsidP="009B02C2">
            <w:pPr>
              <w:spacing w:before="100" w:beforeAutospacing="1" w:after="100" w:afterAutospacing="1" w:line="360" w:lineRule="auto"/>
              <w:jc w:val="both"/>
              <w:rPr>
                <w:rFonts w:ascii="Arial" w:eastAsia="Times New Roman" w:hAnsi="Arial" w:cs="Arial"/>
                <w:sz w:val="18"/>
                <w:szCs w:val="18"/>
                <w:lang w:val="es-ES" w:eastAsia="es-ES"/>
              </w:rPr>
            </w:pPr>
            <w:r w:rsidRPr="00CF2780">
              <w:rPr>
                <w:rFonts w:ascii="Arial" w:eastAsia="Times New Roman" w:hAnsi="Arial" w:cs="Arial"/>
                <w:sz w:val="18"/>
                <w:szCs w:val="18"/>
                <w:lang w:val="es-ES" w:eastAsia="es-ES"/>
              </w:rPr>
              <w:t>3° KARAKUA</w:t>
            </w:r>
          </w:p>
        </w:tc>
        <w:tc>
          <w:tcPr>
            <w:tcW w:w="1950" w:type="dxa"/>
          </w:tcPr>
          <w:p w14:paraId="1192FB93" w14:textId="77777777" w:rsidR="009B02C2" w:rsidRPr="00CF2780" w:rsidRDefault="009B02C2" w:rsidP="009B02C2">
            <w:pPr>
              <w:spacing w:before="100" w:beforeAutospacing="1" w:after="100" w:afterAutospacing="1" w:line="360" w:lineRule="auto"/>
              <w:jc w:val="both"/>
              <w:rPr>
                <w:rFonts w:ascii="Arial" w:eastAsia="Times New Roman" w:hAnsi="Arial" w:cs="Arial"/>
                <w:sz w:val="18"/>
                <w:szCs w:val="18"/>
                <w:lang w:val="es-ES" w:eastAsia="es-ES"/>
              </w:rPr>
            </w:pPr>
            <w:r w:rsidRPr="00CF2780">
              <w:rPr>
                <w:rFonts w:ascii="Arial" w:eastAsia="Times New Roman" w:hAnsi="Arial" w:cs="Arial"/>
                <w:sz w:val="18"/>
                <w:szCs w:val="18"/>
                <w:lang w:val="es-ES" w:eastAsia="es-ES"/>
              </w:rPr>
              <w:t>1443</w:t>
            </w:r>
          </w:p>
        </w:tc>
        <w:tc>
          <w:tcPr>
            <w:tcW w:w="2182" w:type="dxa"/>
          </w:tcPr>
          <w:p w14:paraId="4EC9F664" w14:textId="77777777" w:rsidR="009B02C2" w:rsidRPr="00CF2780" w:rsidRDefault="009B02C2" w:rsidP="009B02C2">
            <w:pPr>
              <w:spacing w:before="100" w:beforeAutospacing="1" w:after="100" w:afterAutospacing="1" w:line="360" w:lineRule="auto"/>
              <w:jc w:val="both"/>
              <w:rPr>
                <w:rFonts w:ascii="Arial" w:eastAsia="Times New Roman" w:hAnsi="Arial" w:cs="Arial"/>
                <w:sz w:val="18"/>
                <w:szCs w:val="18"/>
                <w:lang w:val="es-ES" w:eastAsia="es-ES"/>
              </w:rPr>
            </w:pPr>
            <w:r w:rsidRPr="00CF2780">
              <w:rPr>
                <w:rFonts w:ascii="Arial" w:eastAsia="Times New Roman" w:hAnsi="Arial" w:cs="Arial"/>
                <w:sz w:val="18"/>
                <w:szCs w:val="18"/>
                <w:lang w:val="es-ES" w:eastAsia="es-ES"/>
              </w:rPr>
              <w:t>1432</w:t>
            </w:r>
          </w:p>
        </w:tc>
        <w:tc>
          <w:tcPr>
            <w:tcW w:w="2565" w:type="dxa"/>
          </w:tcPr>
          <w:p w14:paraId="34FE38D0" w14:textId="77777777" w:rsidR="009B02C2" w:rsidRPr="00CF2780" w:rsidRDefault="009B02C2" w:rsidP="009B02C2">
            <w:pPr>
              <w:spacing w:before="100" w:beforeAutospacing="1" w:after="100" w:afterAutospacing="1" w:line="360" w:lineRule="auto"/>
              <w:jc w:val="both"/>
              <w:rPr>
                <w:rFonts w:ascii="Arial" w:eastAsia="Times New Roman" w:hAnsi="Arial" w:cs="Arial"/>
                <w:sz w:val="18"/>
                <w:szCs w:val="18"/>
                <w:lang w:val="es-ES" w:eastAsia="es-ES"/>
              </w:rPr>
            </w:pPr>
            <w:r w:rsidRPr="00CF2780">
              <w:rPr>
                <w:rFonts w:ascii="Arial" w:eastAsia="Times New Roman" w:hAnsi="Arial" w:cs="Arial"/>
                <w:sz w:val="18"/>
                <w:szCs w:val="18"/>
                <w:lang w:val="es-ES" w:eastAsia="es-ES"/>
              </w:rPr>
              <w:t>0</w:t>
            </w:r>
          </w:p>
        </w:tc>
      </w:tr>
      <w:tr w:rsidR="009B02C2" w:rsidRPr="00CF2780" w14:paraId="10669A06" w14:textId="77777777" w:rsidTr="00B05F31">
        <w:tc>
          <w:tcPr>
            <w:tcW w:w="2058" w:type="dxa"/>
          </w:tcPr>
          <w:p w14:paraId="1611E6DC" w14:textId="77777777" w:rsidR="009B02C2" w:rsidRPr="00CF2780" w:rsidRDefault="009B02C2" w:rsidP="009B02C2">
            <w:pPr>
              <w:spacing w:before="100" w:beforeAutospacing="1" w:after="100" w:afterAutospacing="1" w:line="360" w:lineRule="auto"/>
              <w:jc w:val="both"/>
              <w:rPr>
                <w:rFonts w:ascii="Arial" w:eastAsia="Times New Roman" w:hAnsi="Arial" w:cs="Arial"/>
                <w:sz w:val="18"/>
                <w:szCs w:val="18"/>
                <w:lang w:val="es-ES" w:eastAsia="es-ES"/>
              </w:rPr>
            </w:pPr>
            <w:r w:rsidRPr="00CF2780">
              <w:rPr>
                <w:rFonts w:ascii="Arial" w:eastAsia="Times New Roman" w:hAnsi="Arial" w:cs="Arial"/>
                <w:sz w:val="18"/>
                <w:szCs w:val="18"/>
                <w:lang w:val="es-ES" w:eastAsia="es-ES"/>
              </w:rPr>
              <w:t>4° P’ARHIKUTINI</w:t>
            </w:r>
          </w:p>
        </w:tc>
        <w:tc>
          <w:tcPr>
            <w:tcW w:w="1950" w:type="dxa"/>
          </w:tcPr>
          <w:p w14:paraId="47D24503" w14:textId="77777777" w:rsidR="009B02C2" w:rsidRPr="00CF2780" w:rsidRDefault="009B02C2" w:rsidP="009B02C2">
            <w:pPr>
              <w:spacing w:before="100" w:beforeAutospacing="1" w:after="100" w:afterAutospacing="1" w:line="360" w:lineRule="auto"/>
              <w:jc w:val="both"/>
              <w:rPr>
                <w:rFonts w:ascii="Arial" w:eastAsia="Times New Roman" w:hAnsi="Arial" w:cs="Arial"/>
                <w:sz w:val="18"/>
                <w:szCs w:val="18"/>
                <w:lang w:val="es-ES" w:eastAsia="es-ES"/>
              </w:rPr>
            </w:pPr>
            <w:r w:rsidRPr="00CF2780">
              <w:rPr>
                <w:rFonts w:ascii="Arial" w:eastAsia="Times New Roman" w:hAnsi="Arial" w:cs="Arial"/>
                <w:sz w:val="18"/>
                <w:szCs w:val="18"/>
                <w:lang w:val="es-ES" w:eastAsia="es-ES"/>
              </w:rPr>
              <w:t>1444</w:t>
            </w:r>
          </w:p>
        </w:tc>
        <w:tc>
          <w:tcPr>
            <w:tcW w:w="2182" w:type="dxa"/>
          </w:tcPr>
          <w:p w14:paraId="68AE5BAE" w14:textId="77777777" w:rsidR="009B02C2" w:rsidRPr="00CF2780" w:rsidRDefault="009B02C2" w:rsidP="009B02C2">
            <w:pPr>
              <w:spacing w:before="100" w:beforeAutospacing="1" w:after="100" w:afterAutospacing="1" w:line="360" w:lineRule="auto"/>
              <w:jc w:val="both"/>
              <w:rPr>
                <w:rFonts w:ascii="Arial" w:eastAsia="Times New Roman" w:hAnsi="Arial" w:cs="Arial"/>
                <w:sz w:val="18"/>
                <w:szCs w:val="18"/>
                <w:lang w:val="es-ES" w:eastAsia="es-ES"/>
              </w:rPr>
            </w:pPr>
            <w:r w:rsidRPr="00CF2780">
              <w:rPr>
                <w:rFonts w:ascii="Arial" w:eastAsia="Times New Roman" w:hAnsi="Arial" w:cs="Arial"/>
                <w:sz w:val="18"/>
                <w:szCs w:val="18"/>
                <w:lang w:val="es-ES" w:eastAsia="es-ES"/>
              </w:rPr>
              <w:t>1443</w:t>
            </w:r>
          </w:p>
        </w:tc>
        <w:tc>
          <w:tcPr>
            <w:tcW w:w="2565" w:type="dxa"/>
          </w:tcPr>
          <w:p w14:paraId="04000904" w14:textId="77777777" w:rsidR="009B02C2" w:rsidRPr="00CF2780" w:rsidRDefault="009B02C2" w:rsidP="009B02C2">
            <w:pPr>
              <w:spacing w:before="100" w:beforeAutospacing="1" w:after="100" w:afterAutospacing="1" w:line="360" w:lineRule="auto"/>
              <w:jc w:val="both"/>
              <w:rPr>
                <w:rFonts w:ascii="Arial" w:eastAsia="Times New Roman" w:hAnsi="Arial" w:cs="Arial"/>
                <w:sz w:val="18"/>
                <w:szCs w:val="18"/>
                <w:lang w:val="es-ES" w:eastAsia="es-ES"/>
              </w:rPr>
            </w:pPr>
            <w:r w:rsidRPr="00CF2780">
              <w:rPr>
                <w:rFonts w:ascii="Arial" w:eastAsia="Times New Roman" w:hAnsi="Arial" w:cs="Arial"/>
                <w:sz w:val="18"/>
                <w:szCs w:val="18"/>
                <w:lang w:val="es-ES" w:eastAsia="es-ES"/>
              </w:rPr>
              <w:t>1</w:t>
            </w:r>
          </w:p>
        </w:tc>
      </w:tr>
      <w:tr w:rsidR="009B02C2" w:rsidRPr="00CF2780" w14:paraId="0864103D" w14:textId="77777777" w:rsidTr="00B05F31">
        <w:tc>
          <w:tcPr>
            <w:tcW w:w="2058" w:type="dxa"/>
          </w:tcPr>
          <w:p w14:paraId="4B2F9B2A" w14:textId="77777777" w:rsidR="009B02C2" w:rsidRPr="00CF2780" w:rsidRDefault="009B02C2" w:rsidP="009B02C2">
            <w:pPr>
              <w:spacing w:before="100" w:beforeAutospacing="1" w:after="100" w:afterAutospacing="1" w:line="360" w:lineRule="auto"/>
              <w:jc w:val="both"/>
              <w:rPr>
                <w:rFonts w:ascii="Arial" w:eastAsia="Times New Roman" w:hAnsi="Arial" w:cs="Arial"/>
                <w:sz w:val="18"/>
                <w:szCs w:val="18"/>
                <w:lang w:val="es-ES" w:eastAsia="es-ES"/>
              </w:rPr>
            </w:pPr>
            <w:r w:rsidRPr="00CF2780">
              <w:rPr>
                <w:rFonts w:ascii="Arial" w:eastAsia="Times New Roman" w:hAnsi="Arial" w:cs="Arial"/>
                <w:sz w:val="18"/>
                <w:szCs w:val="18"/>
                <w:lang w:val="es-ES" w:eastAsia="es-ES"/>
              </w:rPr>
              <w:t>SANTA CRUZ TANACO</w:t>
            </w:r>
          </w:p>
        </w:tc>
        <w:tc>
          <w:tcPr>
            <w:tcW w:w="1950" w:type="dxa"/>
          </w:tcPr>
          <w:p w14:paraId="7C6082EE" w14:textId="77777777" w:rsidR="009B02C2" w:rsidRPr="00CF2780" w:rsidRDefault="009B02C2" w:rsidP="009B02C2">
            <w:pPr>
              <w:spacing w:before="100" w:beforeAutospacing="1" w:after="100" w:afterAutospacing="1" w:line="360" w:lineRule="auto"/>
              <w:jc w:val="both"/>
              <w:rPr>
                <w:rFonts w:ascii="Arial" w:eastAsia="Times New Roman" w:hAnsi="Arial" w:cs="Arial"/>
                <w:sz w:val="18"/>
                <w:szCs w:val="18"/>
                <w:lang w:val="es-ES" w:eastAsia="es-ES"/>
              </w:rPr>
            </w:pPr>
            <w:r w:rsidRPr="00CF2780">
              <w:rPr>
                <w:rFonts w:ascii="Arial" w:eastAsia="Times New Roman" w:hAnsi="Arial" w:cs="Arial"/>
                <w:sz w:val="18"/>
                <w:szCs w:val="18"/>
                <w:lang w:val="es-ES" w:eastAsia="es-ES"/>
              </w:rPr>
              <w:t>498</w:t>
            </w:r>
          </w:p>
        </w:tc>
        <w:tc>
          <w:tcPr>
            <w:tcW w:w="2182" w:type="dxa"/>
          </w:tcPr>
          <w:p w14:paraId="1D8BDB26" w14:textId="77777777" w:rsidR="009B02C2" w:rsidRPr="00CF2780" w:rsidRDefault="009B02C2" w:rsidP="009B02C2">
            <w:pPr>
              <w:spacing w:before="100" w:beforeAutospacing="1" w:after="100" w:afterAutospacing="1" w:line="360" w:lineRule="auto"/>
              <w:jc w:val="both"/>
              <w:rPr>
                <w:rFonts w:ascii="Arial" w:eastAsia="Times New Roman" w:hAnsi="Arial" w:cs="Arial"/>
                <w:sz w:val="18"/>
                <w:szCs w:val="18"/>
                <w:lang w:val="es-ES" w:eastAsia="es-ES"/>
              </w:rPr>
            </w:pPr>
            <w:r w:rsidRPr="00CF2780">
              <w:rPr>
                <w:rFonts w:ascii="Arial" w:eastAsia="Times New Roman" w:hAnsi="Arial" w:cs="Arial"/>
                <w:sz w:val="18"/>
                <w:szCs w:val="18"/>
                <w:lang w:val="es-ES" w:eastAsia="es-ES"/>
              </w:rPr>
              <w:t>0</w:t>
            </w:r>
          </w:p>
        </w:tc>
        <w:tc>
          <w:tcPr>
            <w:tcW w:w="2565" w:type="dxa"/>
          </w:tcPr>
          <w:p w14:paraId="19630FDB" w14:textId="77777777" w:rsidR="009B02C2" w:rsidRPr="00CF2780" w:rsidRDefault="009B02C2" w:rsidP="009B02C2">
            <w:pPr>
              <w:spacing w:before="100" w:beforeAutospacing="1" w:after="100" w:afterAutospacing="1" w:line="360" w:lineRule="auto"/>
              <w:jc w:val="both"/>
              <w:rPr>
                <w:rFonts w:ascii="Arial" w:eastAsia="Times New Roman" w:hAnsi="Arial" w:cs="Arial"/>
                <w:sz w:val="18"/>
                <w:szCs w:val="18"/>
                <w:lang w:val="es-ES" w:eastAsia="es-ES"/>
              </w:rPr>
            </w:pPr>
            <w:r w:rsidRPr="00CF2780">
              <w:rPr>
                <w:rFonts w:ascii="Arial" w:eastAsia="Times New Roman" w:hAnsi="Arial" w:cs="Arial"/>
                <w:sz w:val="18"/>
                <w:szCs w:val="18"/>
                <w:lang w:val="es-ES" w:eastAsia="es-ES"/>
              </w:rPr>
              <w:t>0</w:t>
            </w:r>
          </w:p>
        </w:tc>
      </w:tr>
    </w:tbl>
    <w:p w14:paraId="01CFB92C" w14:textId="77777777" w:rsidR="009B02C2" w:rsidRPr="00CF2780" w:rsidRDefault="009B02C2" w:rsidP="009B02C2">
      <w:pPr>
        <w:spacing w:before="100" w:beforeAutospacing="1" w:after="100" w:afterAutospacing="1"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En sesión del Consejo General del Instituto Electoral de Michoacán de diecinueve de diciembre de dos mil once, la Comisión Especial para el seguimiento a la resolución emitida por la Sala Superior en el mencionado juicio ciudadano SUP-JDC-9167/2011, informó de los resultados de la consulta y se hizo la suma de la votación recibida. </w:t>
      </w:r>
    </w:p>
    <w:p w14:paraId="18FF8BA1" w14:textId="77777777" w:rsidR="009B02C2" w:rsidRPr="00CF2780" w:rsidRDefault="009B02C2" w:rsidP="009B02C2">
      <w:pPr>
        <w:spacing w:before="100" w:beforeAutospacing="1" w:after="100" w:afterAutospacing="1"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El cuatro y cinco de enero de dos mil doce, en el Periódico Oficial del Gobierno Constitucional del Estado de Michoacán de Ocampo, fueron publicados el informe y los resultados relativos a la consulta antes precisada. </w:t>
      </w:r>
    </w:p>
    <w:p w14:paraId="1E9C4D46" w14:textId="77777777" w:rsidR="009B02C2" w:rsidRPr="00CF2780" w:rsidRDefault="009B02C2" w:rsidP="009B02C2">
      <w:pPr>
        <w:spacing w:before="100" w:beforeAutospacing="1" w:after="100" w:afterAutospacing="1"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A fin de controvertir los actos precisados en el párrafo anterior, diversos ciudadanos del Municipio de Cherán, Michoacán presentaron demanda de juicio para la protección de los derechos político-electorales del ciudadano, ante el aludido Consejo General.</w:t>
      </w:r>
    </w:p>
    <w:p w14:paraId="6D4D403B" w14:textId="77777777" w:rsidR="009B02C2" w:rsidRPr="00CF2780" w:rsidRDefault="009B02C2" w:rsidP="009B02C2">
      <w:pPr>
        <w:spacing w:before="100" w:beforeAutospacing="1" w:after="100" w:afterAutospacing="1"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De la lectura de la demanda de juicio ciudadano, se advierte que los actores aducen sustancialmente que es ilegal el procedimiento de consulta para determinar el régimen electoral para la elección de sus </w:t>
      </w:r>
      <w:r w:rsidRPr="00CF2780">
        <w:rPr>
          <w:rFonts w:ascii="Arial" w:eastAsia="Times New Roman" w:hAnsi="Arial" w:cs="Arial"/>
          <w:sz w:val="28"/>
          <w:szCs w:val="28"/>
          <w:lang w:val="es-ES" w:eastAsia="es-ES"/>
        </w:rPr>
        <w:lastRenderedPageBreak/>
        <w:t>autoridades municipales, porque consideran que estuvo improvisado, se les excluyó de su organización, aunado a que la responsable manifestó que no podían participar los ciudadanos que tuvieran afinidad con algún partido político.</w:t>
      </w:r>
    </w:p>
    <w:p w14:paraId="47A6146A" w14:textId="77777777" w:rsidR="009B02C2" w:rsidRPr="00CF2780" w:rsidRDefault="009B02C2" w:rsidP="009B02C2">
      <w:pPr>
        <w:spacing w:before="100" w:beforeAutospacing="1" w:after="100" w:afterAutospacing="1"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Al respecto considero que, en el análisis cualitativo de las irregularidades expresadas, no asiste razón a los actores, dado que de las constancias de autos está acreditada, de forma indiciaria, la difusión amplia de la convocatoria, por diversos medios, en las comunidades del aludido Municipio, sin que de los actores hayan aportado o de las constancias de autos se pueda advertir algún elemento de prueba que compruebe lo contrario.</w:t>
      </w:r>
    </w:p>
    <w:p w14:paraId="4969FF73" w14:textId="77777777" w:rsidR="009B02C2" w:rsidRPr="00CF2780" w:rsidRDefault="009B02C2" w:rsidP="009B02C2">
      <w:pPr>
        <w:spacing w:before="100" w:beforeAutospacing="1" w:after="100" w:afterAutospacing="1"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Con relación al fondo del asunto, coincido sustancialmente con el proyecto presentado por la Ponencia del Magistrado Salvador Olimpo Nava Gomar, en el sentido de que no está desvirtuada la legalidad del acto impugnado, tomando en cuenta tanto las pruebas aportadas por los actores, como la revisión de la totalidad de las constancias que integran el expediente que se resuelve.</w:t>
      </w:r>
    </w:p>
    <w:p w14:paraId="0279A98F" w14:textId="77777777" w:rsidR="009B02C2" w:rsidRPr="00CF2780" w:rsidRDefault="009B02C2" w:rsidP="009B02C2">
      <w:pPr>
        <w:spacing w:before="100" w:beforeAutospacing="1" w:after="100" w:afterAutospacing="1"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Así, en el Periódico Oficial del Gobierno Constitucional del Estado de Michoacán de Ocampo, de cuatro de enero de dos mil doce, se publicó el informe de resultados de la aludida consulta, cuyos resultados son, en esencia, los siguientes:</w:t>
      </w:r>
    </w:p>
    <w:p w14:paraId="106A9111" w14:textId="77777777" w:rsidR="009B02C2" w:rsidRPr="00CF2780" w:rsidRDefault="009B02C2" w:rsidP="001C6A89">
      <w:pPr>
        <w:numPr>
          <w:ilvl w:val="0"/>
          <w:numId w:val="13"/>
        </w:num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Cuatro mil ochocientos cuarenta y seis</w:t>
      </w:r>
      <w:r w:rsidRPr="00CF2780">
        <w:rPr>
          <w:rFonts w:ascii="Arial" w:eastAsia="Times New Roman" w:hAnsi="Arial" w:cs="Arial"/>
          <w:sz w:val="28"/>
          <w:szCs w:val="28"/>
          <w:lang w:val="es-ES" w:eastAsia="es-ES"/>
        </w:rPr>
        <w:t xml:space="preserve"> personas votaron a favor del sistema de usos y costumbres para elegir autoridades del Municipio de Cherán;</w:t>
      </w:r>
    </w:p>
    <w:p w14:paraId="634C02E8" w14:textId="77777777" w:rsidR="009B02C2" w:rsidRPr="00CF2780" w:rsidRDefault="009B02C2" w:rsidP="001C6A89">
      <w:pPr>
        <w:numPr>
          <w:ilvl w:val="0"/>
          <w:numId w:val="13"/>
        </w:num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lastRenderedPageBreak/>
        <w:t>Ocho</w:t>
      </w:r>
      <w:r w:rsidRPr="00CF2780">
        <w:rPr>
          <w:rFonts w:ascii="Arial" w:eastAsia="Times New Roman" w:hAnsi="Arial" w:cs="Arial"/>
          <w:sz w:val="28"/>
          <w:szCs w:val="28"/>
          <w:lang w:val="es-ES" w:eastAsia="es-ES"/>
        </w:rPr>
        <w:t xml:space="preserve"> personas votaron en contra del sistema de usos y costumbres para elegir autoridades del Municipio de Cherán, y </w:t>
      </w:r>
    </w:p>
    <w:p w14:paraId="761864EE" w14:textId="77777777" w:rsidR="009B02C2" w:rsidRPr="00CF2780" w:rsidRDefault="009B02C2" w:rsidP="001C6A89">
      <w:pPr>
        <w:numPr>
          <w:ilvl w:val="0"/>
          <w:numId w:val="13"/>
        </w:numPr>
        <w:spacing w:after="0" w:line="360" w:lineRule="auto"/>
        <w:jc w:val="both"/>
        <w:rPr>
          <w:rFonts w:ascii="Arial" w:eastAsia="Times New Roman" w:hAnsi="Arial" w:cs="Arial"/>
          <w:sz w:val="28"/>
          <w:szCs w:val="28"/>
          <w:lang w:val="es-ES" w:eastAsia="es-ES"/>
        </w:rPr>
      </w:pPr>
      <w:r w:rsidRPr="00CF2780">
        <w:rPr>
          <w:rFonts w:ascii="Arial" w:eastAsia="Times New Roman" w:hAnsi="Arial" w:cs="Arial"/>
          <w:b/>
          <w:sz w:val="28"/>
          <w:szCs w:val="28"/>
          <w:lang w:val="es-ES" w:eastAsia="es-ES"/>
        </w:rPr>
        <w:t>Cuatrocientos noventa y ocho</w:t>
      </w:r>
      <w:r w:rsidRPr="00CF2780">
        <w:rPr>
          <w:rFonts w:ascii="Arial" w:eastAsia="Times New Roman" w:hAnsi="Arial" w:cs="Arial"/>
          <w:sz w:val="28"/>
          <w:szCs w:val="28"/>
          <w:lang w:val="es-ES" w:eastAsia="es-ES"/>
        </w:rPr>
        <w:t xml:space="preserve"> personas de la comunidad de Santa Cruz Tanaco no levantaron la mano para hacer manifestación respecto del sistema electoral que habría de regir en ese Municipio; sin embargo, hicieron una manifestación general en voz con un “NO”.</w:t>
      </w:r>
    </w:p>
    <w:p w14:paraId="20E4F8D2" w14:textId="77777777" w:rsidR="009B02C2" w:rsidRPr="00CF2780" w:rsidRDefault="009B02C2" w:rsidP="009B02C2">
      <w:pPr>
        <w:spacing w:after="0" w:line="360" w:lineRule="auto"/>
        <w:ind w:left="1068"/>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 </w:t>
      </w:r>
    </w:p>
    <w:p w14:paraId="0B2A5B98" w14:textId="77777777" w:rsidR="009B02C2" w:rsidRPr="00CF2780" w:rsidRDefault="009B02C2" w:rsidP="009B02C2">
      <w:pPr>
        <w:spacing w:before="100" w:beforeAutospacing="1" w:after="100" w:afterAutospacing="1"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Atento a tales resultados, se tiene que participaron cinco mil trescientos cincuenta y dos ciudadanos en la consulta, los cuales representan el treinta y ocho punto cincuenta y cuatro por ciento (38.54%) de los trece mil ochocientos ochenta y cuatro ciudadanos registrados en el padrón electoral pertenecientes al municipio de Cherán, Michoacán.</w:t>
      </w:r>
    </w:p>
    <w:p w14:paraId="73089EBF" w14:textId="77777777" w:rsidR="009B02C2" w:rsidRPr="00CF2780" w:rsidRDefault="009B02C2" w:rsidP="009B02C2">
      <w:pPr>
        <w:spacing w:before="100" w:beforeAutospacing="1" w:after="100" w:afterAutospacing="1"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Por su parte, de acuerdo con los datos de los procedimientos electorales federales, que se precisan a continuación, en el Municipio de Cherán, Michoacán se obtuvo tiene las siguientes estadísticas consultadas en la página oficial de internet del Instituto Federal Electoral: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984"/>
        <w:gridCol w:w="3260"/>
      </w:tblGrid>
      <w:tr w:rsidR="009B02C2" w:rsidRPr="00CF2780" w14:paraId="36494EFC" w14:textId="77777777" w:rsidTr="00B05F31">
        <w:trPr>
          <w:trHeight w:val="364"/>
          <w:jc w:val="center"/>
        </w:trPr>
        <w:tc>
          <w:tcPr>
            <w:tcW w:w="7654" w:type="dxa"/>
            <w:gridSpan w:val="3"/>
            <w:shd w:val="pct5" w:color="auto" w:fill="auto"/>
          </w:tcPr>
          <w:p w14:paraId="2CBEFEFF" w14:textId="77777777" w:rsidR="009B02C2" w:rsidRPr="00CF2780" w:rsidRDefault="009B02C2" w:rsidP="009B02C2">
            <w:pPr>
              <w:spacing w:after="0" w:line="240" w:lineRule="auto"/>
              <w:jc w:val="both"/>
              <w:rPr>
                <w:rFonts w:ascii="Arial" w:eastAsia="Times New Roman" w:hAnsi="Arial" w:cs="Arial"/>
                <w:b/>
                <w:sz w:val="18"/>
                <w:szCs w:val="18"/>
                <w:lang w:val="es-ES" w:eastAsia="es-ES"/>
              </w:rPr>
            </w:pPr>
            <w:r w:rsidRPr="00CF2780">
              <w:rPr>
                <w:rFonts w:ascii="Arial" w:eastAsia="Times New Roman" w:hAnsi="Arial" w:cs="Arial"/>
                <w:b/>
                <w:sz w:val="18"/>
                <w:szCs w:val="18"/>
                <w:lang w:val="es-ES" w:eastAsia="es-ES"/>
              </w:rPr>
              <w:t>Participación ciudadana en los procedimientos electorales federales en el Municipio de Cherán, Michoacán.</w:t>
            </w:r>
          </w:p>
        </w:tc>
      </w:tr>
      <w:tr w:rsidR="009B02C2" w:rsidRPr="00CF2780" w14:paraId="596ADD66" w14:textId="77777777" w:rsidTr="00B05F31">
        <w:trPr>
          <w:trHeight w:val="364"/>
          <w:jc w:val="center"/>
        </w:trPr>
        <w:tc>
          <w:tcPr>
            <w:tcW w:w="2410" w:type="dxa"/>
            <w:vAlign w:val="center"/>
          </w:tcPr>
          <w:p w14:paraId="3567E4ED" w14:textId="77777777" w:rsidR="009B02C2" w:rsidRPr="00CF2780" w:rsidRDefault="009B02C2" w:rsidP="009B02C2">
            <w:pPr>
              <w:spacing w:after="0" w:line="240" w:lineRule="auto"/>
              <w:jc w:val="both"/>
              <w:rPr>
                <w:rFonts w:ascii="Arial" w:eastAsia="Times New Roman" w:hAnsi="Arial" w:cs="Arial"/>
                <w:b/>
                <w:sz w:val="18"/>
                <w:szCs w:val="18"/>
                <w:lang w:val="es-ES" w:eastAsia="es-ES"/>
              </w:rPr>
            </w:pPr>
            <w:r w:rsidRPr="00CF2780">
              <w:rPr>
                <w:rFonts w:ascii="Arial" w:eastAsia="Times New Roman" w:hAnsi="Arial" w:cs="Arial"/>
                <w:b/>
                <w:sz w:val="18"/>
                <w:szCs w:val="18"/>
                <w:lang w:val="es-ES" w:eastAsia="es-ES"/>
              </w:rPr>
              <w:t>Año de la elección</w:t>
            </w:r>
          </w:p>
        </w:tc>
        <w:tc>
          <w:tcPr>
            <w:tcW w:w="1984" w:type="dxa"/>
            <w:vAlign w:val="center"/>
          </w:tcPr>
          <w:p w14:paraId="6DC62798" w14:textId="77777777" w:rsidR="009B02C2" w:rsidRPr="00CF2780" w:rsidRDefault="009B02C2" w:rsidP="009B02C2">
            <w:pPr>
              <w:spacing w:after="0" w:line="240" w:lineRule="auto"/>
              <w:jc w:val="both"/>
              <w:rPr>
                <w:rFonts w:ascii="Arial" w:eastAsia="Times New Roman" w:hAnsi="Arial" w:cs="Arial"/>
                <w:b/>
                <w:sz w:val="18"/>
                <w:szCs w:val="18"/>
                <w:lang w:val="es-ES" w:eastAsia="es-ES"/>
              </w:rPr>
            </w:pPr>
            <w:r w:rsidRPr="00CF2780">
              <w:rPr>
                <w:rFonts w:ascii="Arial" w:eastAsia="Times New Roman" w:hAnsi="Arial" w:cs="Arial"/>
                <w:b/>
                <w:sz w:val="18"/>
                <w:szCs w:val="18"/>
                <w:lang w:val="es-ES" w:eastAsia="es-ES"/>
              </w:rPr>
              <w:t>Porcentaje</w:t>
            </w:r>
          </w:p>
        </w:tc>
        <w:tc>
          <w:tcPr>
            <w:tcW w:w="3260" w:type="dxa"/>
            <w:vAlign w:val="center"/>
          </w:tcPr>
          <w:p w14:paraId="65E9E7B4" w14:textId="77777777" w:rsidR="009B02C2" w:rsidRPr="00CF2780" w:rsidRDefault="009B02C2" w:rsidP="009B02C2">
            <w:pPr>
              <w:spacing w:after="0" w:line="240" w:lineRule="auto"/>
              <w:jc w:val="both"/>
              <w:rPr>
                <w:rFonts w:ascii="Arial" w:eastAsia="Times New Roman" w:hAnsi="Arial" w:cs="Arial"/>
                <w:b/>
                <w:sz w:val="18"/>
                <w:szCs w:val="18"/>
                <w:lang w:val="es-ES" w:eastAsia="es-ES"/>
              </w:rPr>
            </w:pPr>
            <w:r w:rsidRPr="00CF2780">
              <w:rPr>
                <w:rFonts w:ascii="Arial" w:eastAsia="Times New Roman" w:hAnsi="Arial" w:cs="Arial"/>
                <w:b/>
                <w:sz w:val="18"/>
                <w:szCs w:val="18"/>
                <w:lang w:val="es-ES" w:eastAsia="es-ES"/>
              </w:rPr>
              <w:t>Ciudadanos inscritos en el Listado Nominal</w:t>
            </w:r>
          </w:p>
        </w:tc>
      </w:tr>
      <w:tr w:rsidR="009B02C2" w:rsidRPr="00CF2780" w14:paraId="4544333D" w14:textId="77777777" w:rsidTr="00B05F31">
        <w:trPr>
          <w:trHeight w:val="353"/>
          <w:jc w:val="center"/>
        </w:trPr>
        <w:tc>
          <w:tcPr>
            <w:tcW w:w="2410" w:type="dxa"/>
            <w:vAlign w:val="center"/>
          </w:tcPr>
          <w:p w14:paraId="73BC794E" w14:textId="77777777" w:rsidR="009B02C2" w:rsidRPr="00CF2780" w:rsidRDefault="009B02C2" w:rsidP="009B02C2">
            <w:pPr>
              <w:spacing w:after="0" w:line="240" w:lineRule="auto"/>
              <w:jc w:val="both"/>
              <w:rPr>
                <w:rFonts w:ascii="Arial" w:eastAsia="Times New Roman" w:hAnsi="Arial" w:cs="Arial"/>
                <w:sz w:val="18"/>
                <w:szCs w:val="18"/>
                <w:lang w:val="es-ES" w:eastAsia="es-ES"/>
              </w:rPr>
            </w:pPr>
            <w:r w:rsidRPr="00CF2780">
              <w:rPr>
                <w:rFonts w:ascii="Arial" w:eastAsia="Times New Roman" w:hAnsi="Arial" w:cs="Arial"/>
                <w:sz w:val="18"/>
                <w:szCs w:val="18"/>
                <w:lang w:val="es-ES" w:eastAsia="es-ES"/>
              </w:rPr>
              <w:t>2009</w:t>
            </w:r>
          </w:p>
        </w:tc>
        <w:tc>
          <w:tcPr>
            <w:tcW w:w="1984" w:type="dxa"/>
            <w:vAlign w:val="center"/>
          </w:tcPr>
          <w:p w14:paraId="20868AB7" w14:textId="77777777" w:rsidR="009B02C2" w:rsidRPr="00CF2780" w:rsidRDefault="009B02C2" w:rsidP="009B02C2">
            <w:pPr>
              <w:spacing w:after="0" w:line="240" w:lineRule="auto"/>
              <w:jc w:val="both"/>
              <w:rPr>
                <w:rFonts w:ascii="Arial" w:eastAsia="Times New Roman" w:hAnsi="Arial" w:cs="Arial"/>
                <w:sz w:val="18"/>
                <w:szCs w:val="18"/>
                <w:lang w:val="es-ES" w:eastAsia="es-ES"/>
              </w:rPr>
            </w:pPr>
            <w:r w:rsidRPr="00CF2780">
              <w:rPr>
                <w:rFonts w:ascii="Arial" w:eastAsia="Times New Roman" w:hAnsi="Arial" w:cs="Arial"/>
                <w:sz w:val="18"/>
                <w:szCs w:val="18"/>
                <w:lang w:val="es-ES" w:eastAsia="es-ES"/>
              </w:rPr>
              <w:t>27.93</w:t>
            </w:r>
          </w:p>
        </w:tc>
        <w:tc>
          <w:tcPr>
            <w:tcW w:w="3260" w:type="dxa"/>
            <w:vAlign w:val="center"/>
          </w:tcPr>
          <w:p w14:paraId="64845F2D" w14:textId="77777777" w:rsidR="009B02C2" w:rsidRPr="00CF2780" w:rsidRDefault="009B02C2" w:rsidP="009B02C2">
            <w:pPr>
              <w:spacing w:after="0" w:line="240" w:lineRule="auto"/>
              <w:jc w:val="both"/>
              <w:rPr>
                <w:rFonts w:ascii="Arial" w:eastAsia="Times New Roman" w:hAnsi="Arial" w:cs="Arial"/>
                <w:sz w:val="18"/>
                <w:szCs w:val="18"/>
                <w:lang w:val="es-ES" w:eastAsia="es-ES"/>
              </w:rPr>
            </w:pPr>
            <w:r w:rsidRPr="00CF2780">
              <w:rPr>
                <w:rFonts w:ascii="Arial" w:eastAsia="Times New Roman" w:hAnsi="Arial" w:cs="Arial"/>
                <w:sz w:val="18"/>
                <w:szCs w:val="18"/>
                <w:lang w:val="es-ES" w:eastAsia="es-ES"/>
              </w:rPr>
              <w:t>12,845</w:t>
            </w:r>
          </w:p>
        </w:tc>
      </w:tr>
      <w:tr w:rsidR="009B02C2" w:rsidRPr="00CF2780" w14:paraId="618CDE68" w14:textId="77777777" w:rsidTr="00B05F31">
        <w:trPr>
          <w:trHeight w:val="364"/>
          <w:jc w:val="center"/>
        </w:trPr>
        <w:tc>
          <w:tcPr>
            <w:tcW w:w="2410" w:type="dxa"/>
            <w:vAlign w:val="center"/>
          </w:tcPr>
          <w:p w14:paraId="646E8898" w14:textId="77777777" w:rsidR="009B02C2" w:rsidRPr="00CF2780" w:rsidRDefault="009B02C2" w:rsidP="009B02C2">
            <w:pPr>
              <w:spacing w:after="0" w:line="240" w:lineRule="auto"/>
              <w:jc w:val="both"/>
              <w:rPr>
                <w:rFonts w:ascii="Arial" w:eastAsia="Times New Roman" w:hAnsi="Arial" w:cs="Arial"/>
                <w:sz w:val="18"/>
                <w:szCs w:val="18"/>
                <w:lang w:val="es-ES" w:eastAsia="es-ES"/>
              </w:rPr>
            </w:pPr>
            <w:r w:rsidRPr="00CF2780">
              <w:rPr>
                <w:rFonts w:ascii="Arial" w:eastAsia="Times New Roman" w:hAnsi="Arial" w:cs="Arial"/>
                <w:sz w:val="18"/>
                <w:szCs w:val="18"/>
                <w:lang w:val="es-ES" w:eastAsia="es-ES"/>
              </w:rPr>
              <w:t>2006</w:t>
            </w:r>
          </w:p>
        </w:tc>
        <w:tc>
          <w:tcPr>
            <w:tcW w:w="1984" w:type="dxa"/>
            <w:vAlign w:val="center"/>
          </w:tcPr>
          <w:p w14:paraId="7F7B1C76" w14:textId="77777777" w:rsidR="009B02C2" w:rsidRPr="00CF2780" w:rsidRDefault="009B02C2" w:rsidP="009B02C2">
            <w:pPr>
              <w:spacing w:after="0" w:line="240" w:lineRule="auto"/>
              <w:jc w:val="both"/>
              <w:rPr>
                <w:rFonts w:ascii="Arial" w:eastAsia="Times New Roman" w:hAnsi="Arial" w:cs="Arial"/>
                <w:sz w:val="18"/>
                <w:szCs w:val="18"/>
                <w:lang w:val="es-ES" w:eastAsia="es-ES"/>
              </w:rPr>
            </w:pPr>
            <w:r w:rsidRPr="00CF2780">
              <w:rPr>
                <w:rFonts w:ascii="Arial" w:eastAsia="Times New Roman" w:hAnsi="Arial" w:cs="Arial"/>
                <w:sz w:val="18"/>
                <w:szCs w:val="18"/>
                <w:lang w:val="es-ES" w:eastAsia="es-ES"/>
              </w:rPr>
              <w:t>43.58</w:t>
            </w:r>
          </w:p>
        </w:tc>
        <w:tc>
          <w:tcPr>
            <w:tcW w:w="3260" w:type="dxa"/>
            <w:vAlign w:val="center"/>
          </w:tcPr>
          <w:p w14:paraId="30FFD4A0" w14:textId="77777777" w:rsidR="009B02C2" w:rsidRPr="00CF2780" w:rsidRDefault="009B02C2" w:rsidP="009B02C2">
            <w:pPr>
              <w:spacing w:after="0" w:line="240" w:lineRule="auto"/>
              <w:jc w:val="both"/>
              <w:rPr>
                <w:rFonts w:ascii="Arial" w:eastAsia="Times New Roman" w:hAnsi="Arial" w:cs="Arial"/>
                <w:sz w:val="18"/>
                <w:szCs w:val="18"/>
                <w:lang w:val="es-ES" w:eastAsia="es-ES"/>
              </w:rPr>
            </w:pPr>
            <w:r w:rsidRPr="00CF2780">
              <w:rPr>
                <w:rFonts w:ascii="Arial" w:eastAsia="Times New Roman" w:hAnsi="Arial" w:cs="Arial"/>
                <w:sz w:val="18"/>
                <w:szCs w:val="18"/>
                <w:lang w:val="es-ES" w:eastAsia="es-ES"/>
              </w:rPr>
              <w:t>11,543</w:t>
            </w:r>
          </w:p>
        </w:tc>
      </w:tr>
      <w:tr w:rsidR="009B02C2" w:rsidRPr="00CF2780" w14:paraId="4BA039F4" w14:textId="77777777" w:rsidTr="00B05F31">
        <w:trPr>
          <w:trHeight w:val="364"/>
          <w:jc w:val="center"/>
        </w:trPr>
        <w:tc>
          <w:tcPr>
            <w:tcW w:w="2410" w:type="dxa"/>
            <w:vAlign w:val="center"/>
          </w:tcPr>
          <w:p w14:paraId="743D2547" w14:textId="77777777" w:rsidR="009B02C2" w:rsidRPr="00CF2780" w:rsidRDefault="009B02C2" w:rsidP="009B02C2">
            <w:pPr>
              <w:spacing w:after="0" w:line="240" w:lineRule="auto"/>
              <w:jc w:val="both"/>
              <w:rPr>
                <w:rFonts w:ascii="Arial" w:eastAsia="Times New Roman" w:hAnsi="Arial" w:cs="Arial"/>
                <w:sz w:val="18"/>
                <w:szCs w:val="18"/>
                <w:lang w:val="es-ES" w:eastAsia="es-ES"/>
              </w:rPr>
            </w:pPr>
            <w:r w:rsidRPr="00CF2780">
              <w:rPr>
                <w:rFonts w:ascii="Arial" w:eastAsia="Times New Roman" w:hAnsi="Arial" w:cs="Arial"/>
                <w:sz w:val="18"/>
                <w:szCs w:val="18"/>
                <w:lang w:val="es-ES" w:eastAsia="es-ES"/>
              </w:rPr>
              <w:t>2003</w:t>
            </w:r>
          </w:p>
        </w:tc>
        <w:tc>
          <w:tcPr>
            <w:tcW w:w="1984" w:type="dxa"/>
            <w:vAlign w:val="center"/>
          </w:tcPr>
          <w:p w14:paraId="68CC0B67" w14:textId="77777777" w:rsidR="009B02C2" w:rsidRPr="00CF2780" w:rsidRDefault="009B02C2" w:rsidP="009B02C2">
            <w:pPr>
              <w:spacing w:after="0" w:line="240" w:lineRule="auto"/>
              <w:jc w:val="both"/>
              <w:rPr>
                <w:rFonts w:ascii="Arial" w:eastAsia="Times New Roman" w:hAnsi="Arial" w:cs="Arial"/>
                <w:sz w:val="18"/>
                <w:szCs w:val="18"/>
                <w:lang w:val="es-ES" w:eastAsia="es-ES"/>
              </w:rPr>
            </w:pPr>
            <w:r w:rsidRPr="00CF2780">
              <w:rPr>
                <w:rFonts w:ascii="Arial" w:eastAsia="Times New Roman" w:hAnsi="Arial" w:cs="Arial"/>
                <w:sz w:val="18"/>
                <w:szCs w:val="18"/>
                <w:lang w:val="es-ES" w:eastAsia="es-ES"/>
              </w:rPr>
              <w:t>25.44</w:t>
            </w:r>
          </w:p>
        </w:tc>
        <w:tc>
          <w:tcPr>
            <w:tcW w:w="3260" w:type="dxa"/>
            <w:vAlign w:val="center"/>
          </w:tcPr>
          <w:p w14:paraId="76DE5CEF" w14:textId="77777777" w:rsidR="009B02C2" w:rsidRPr="00CF2780" w:rsidRDefault="009B02C2" w:rsidP="009B02C2">
            <w:pPr>
              <w:spacing w:after="0" w:line="240" w:lineRule="auto"/>
              <w:jc w:val="both"/>
              <w:rPr>
                <w:rFonts w:ascii="Arial" w:eastAsia="Times New Roman" w:hAnsi="Arial" w:cs="Arial"/>
                <w:sz w:val="18"/>
                <w:szCs w:val="18"/>
                <w:lang w:val="es-ES" w:eastAsia="es-ES"/>
              </w:rPr>
            </w:pPr>
            <w:r w:rsidRPr="00CF2780">
              <w:rPr>
                <w:rFonts w:ascii="Arial" w:eastAsia="Times New Roman" w:hAnsi="Arial" w:cs="Arial"/>
                <w:sz w:val="18"/>
                <w:szCs w:val="18"/>
                <w:lang w:val="es-ES" w:eastAsia="es-ES"/>
              </w:rPr>
              <w:t>10,318</w:t>
            </w:r>
          </w:p>
        </w:tc>
      </w:tr>
      <w:tr w:rsidR="009B02C2" w:rsidRPr="00CF2780" w14:paraId="19EA14B1" w14:textId="77777777" w:rsidTr="00B05F31">
        <w:trPr>
          <w:trHeight w:val="364"/>
          <w:jc w:val="center"/>
        </w:trPr>
        <w:tc>
          <w:tcPr>
            <w:tcW w:w="2410" w:type="dxa"/>
            <w:vAlign w:val="center"/>
          </w:tcPr>
          <w:p w14:paraId="5CDC2CAA" w14:textId="77777777" w:rsidR="009B02C2" w:rsidRPr="00CF2780" w:rsidRDefault="009B02C2" w:rsidP="009B02C2">
            <w:pPr>
              <w:spacing w:after="0" w:line="240" w:lineRule="auto"/>
              <w:jc w:val="both"/>
              <w:rPr>
                <w:rFonts w:ascii="Arial" w:eastAsia="Times New Roman" w:hAnsi="Arial" w:cs="Arial"/>
                <w:sz w:val="18"/>
                <w:szCs w:val="18"/>
                <w:lang w:val="es-ES" w:eastAsia="es-ES"/>
              </w:rPr>
            </w:pPr>
            <w:r w:rsidRPr="00CF2780">
              <w:rPr>
                <w:rFonts w:ascii="Arial" w:eastAsia="Times New Roman" w:hAnsi="Arial" w:cs="Arial"/>
                <w:sz w:val="18"/>
                <w:szCs w:val="18"/>
                <w:lang w:val="es-ES" w:eastAsia="es-ES"/>
              </w:rPr>
              <w:t>2000</w:t>
            </w:r>
          </w:p>
        </w:tc>
        <w:tc>
          <w:tcPr>
            <w:tcW w:w="1984" w:type="dxa"/>
            <w:vAlign w:val="center"/>
          </w:tcPr>
          <w:p w14:paraId="05AA6C99" w14:textId="77777777" w:rsidR="009B02C2" w:rsidRPr="00CF2780" w:rsidRDefault="009B02C2" w:rsidP="009B02C2">
            <w:pPr>
              <w:spacing w:after="0" w:line="240" w:lineRule="auto"/>
              <w:jc w:val="both"/>
              <w:rPr>
                <w:rFonts w:ascii="Arial" w:eastAsia="Times New Roman" w:hAnsi="Arial" w:cs="Arial"/>
                <w:sz w:val="18"/>
                <w:szCs w:val="18"/>
                <w:lang w:val="es-ES" w:eastAsia="es-ES"/>
              </w:rPr>
            </w:pPr>
            <w:r w:rsidRPr="00CF2780">
              <w:rPr>
                <w:rFonts w:ascii="Arial" w:eastAsia="Times New Roman" w:hAnsi="Arial" w:cs="Arial"/>
                <w:sz w:val="18"/>
                <w:szCs w:val="18"/>
                <w:lang w:val="es-ES" w:eastAsia="es-ES"/>
              </w:rPr>
              <w:t>54.42</w:t>
            </w:r>
          </w:p>
        </w:tc>
        <w:tc>
          <w:tcPr>
            <w:tcW w:w="3260" w:type="dxa"/>
            <w:vAlign w:val="center"/>
          </w:tcPr>
          <w:p w14:paraId="7614E034" w14:textId="77777777" w:rsidR="009B02C2" w:rsidRPr="00CF2780" w:rsidRDefault="009B02C2" w:rsidP="009B02C2">
            <w:pPr>
              <w:spacing w:after="0" w:line="240" w:lineRule="auto"/>
              <w:jc w:val="both"/>
              <w:rPr>
                <w:rFonts w:ascii="Arial" w:eastAsia="Times New Roman" w:hAnsi="Arial" w:cs="Arial"/>
                <w:sz w:val="18"/>
                <w:szCs w:val="18"/>
                <w:lang w:val="es-ES" w:eastAsia="es-ES"/>
              </w:rPr>
            </w:pPr>
            <w:r w:rsidRPr="00CF2780">
              <w:rPr>
                <w:rFonts w:ascii="Arial" w:eastAsia="Times New Roman" w:hAnsi="Arial" w:cs="Arial"/>
                <w:sz w:val="18"/>
                <w:szCs w:val="18"/>
                <w:lang w:val="es-ES" w:eastAsia="es-ES"/>
              </w:rPr>
              <w:t>9,054</w:t>
            </w:r>
          </w:p>
        </w:tc>
      </w:tr>
    </w:tbl>
    <w:p w14:paraId="4428900F" w14:textId="77777777" w:rsidR="009B02C2" w:rsidRPr="00CF2780" w:rsidRDefault="009B02C2" w:rsidP="009B02C2">
      <w:pPr>
        <w:spacing w:before="100" w:beforeAutospacing="1" w:after="100" w:afterAutospacing="1"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lastRenderedPageBreak/>
        <w:t>A partir de lo anterior, es posible obtener como media de participación electoral el treinta y siete punto ochenta y cuatro por ciento (37.84 %), la cual es inferior a la media de participación en la consulta que asciende al treinta y ocho punto cincuenta y cuatro por ciento (38.54%).</w:t>
      </w:r>
    </w:p>
    <w:p w14:paraId="632B6D68" w14:textId="77777777" w:rsidR="009B02C2" w:rsidRPr="00CF2780" w:rsidRDefault="009B02C2" w:rsidP="009B02C2">
      <w:pPr>
        <w:spacing w:before="100" w:beforeAutospacing="1" w:after="100" w:afterAutospacing="1"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Ahora bien, en un ejercicio cuantitativo, considero que, aún en el supuesto no admitido de que les asistiera razón a los actores, no cambiaría el resultado de la citada consulta en la que se tomó la decisión de celebrar elecciones por usos y costumbres, lo anterior es así por las siguientes razones.</w:t>
      </w:r>
    </w:p>
    <w:p w14:paraId="14112672" w14:textId="77777777" w:rsidR="009B02C2" w:rsidRPr="00CF2780" w:rsidRDefault="009B02C2" w:rsidP="009B02C2">
      <w:pPr>
        <w:spacing w:before="100" w:beforeAutospacing="1" w:after="100" w:afterAutospacing="1"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Los ciudadanos que se mencionan en la demanda como actores son quinientos cuarenta y seis, a los que se debe restar siete que no plasmaron signo gráfico, del cual se pudiera advertir su voluntad para impugnar, lo que da un resultado de quinientos treinta y nueve impugnantes, si a éstos se suman ocho ciudadanos que votaron en contra de que el sistema para elegir autoridades municipales se rigiera por usos y costumbres y cuatrocientos noventa y ocho ciudadanos cuya manifestación a favor o en contra de elecciones por usos y costumbres no fue clara, resulta que podríamos presumir que mil cuarenta y cinco ciudadanos no votaron a favor de la propuesta mayoritaria.</w:t>
      </w:r>
    </w:p>
    <w:p w14:paraId="70FC99F6" w14:textId="77777777" w:rsidR="009B02C2" w:rsidRPr="00CF2780" w:rsidRDefault="009B02C2" w:rsidP="009B02C2">
      <w:pPr>
        <w:spacing w:before="100" w:beforeAutospacing="1" w:after="100" w:afterAutospacing="1"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Entonces, si cuatro mil ochocientos cuarenta y seis personas votaron a favor del sistema de usos y costumbres para elegir autoridades del Municipio de Cherán, se restan mil cuarenta y cinco votos en contra, seguiría prevaleciendo una votación mayoritaria de tres </w:t>
      </w:r>
      <w:r w:rsidRPr="00CF2780">
        <w:rPr>
          <w:rFonts w:ascii="Arial" w:eastAsia="Times New Roman" w:hAnsi="Arial" w:cs="Arial"/>
          <w:sz w:val="28"/>
          <w:szCs w:val="28"/>
          <w:lang w:val="es-ES" w:eastAsia="es-ES"/>
        </w:rPr>
        <w:lastRenderedPageBreak/>
        <w:t>mil ochocientos uno votos que apoyan los comicios por el régimen citado.</w:t>
      </w:r>
    </w:p>
    <w:p w14:paraId="25AB5533" w14:textId="77777777" w:rsidR="009B02C2" w:rsidRPr="00CF2780" w:rsidRDefault="009B02C2" w:rsidP="009B02C2">
      <w:pPr>
        <w:spacing w:before="100" w:beforeAutospacing="1" w:after="100" w:afterAutospacing="1"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Por lo anteriormente expuesto, es que arribo a la convicción de que se trató de un procedimiento democrático debidamente difundido por el alto margen de participación evidenciado, y la subsistencia del resultado a favor de comicios celebrados por usos y costumbres, aun en el escenario más favorable para los actores.</w:t>
      </w:r>
    </w:p>
    <w:p w14:paraId="38F04F7B" w14:textId="77777777" w:rsidR="009B02C2" w:rsidRPr="00CF2780" w:rsidRDefault="009B02C2" w:rsidP="009B02C2">
      <w:pPr>
        <w:spacing w:before="100" w:beforeAutospacing="1" w:after="100" w:afterAutospacing="1" w:line="360" w:lineRule="auto"/>
        <w:ind w:firstLine="709"/>
        <w:jc w:val="both"/>
        <w:rPr>
          <w:rFonts w:ascii="Arial" w:eastAsia="Times New Roman" w:hAnsi="Arial" w:cs="Arial"/>
          <w:sz w:val="28"/>
          <w:szCs w:val="28"/>
          <w:lang w:val="es-ES" w:eastAsia="es-ES"/>
        </w:rPr>
      </w:pPr>
      <w:r w:rsidRPr="00CF2780">
        <w:rPr>
          <w:rFonts w:ascii="Arial" w:eastAsia="Times New Roman" w:hAnsi="Arial" w:cs="Arial"/>
          <w:sz w:val="28"/>
          <w:szCs w:val="28"/>
          <w:lang w:val="es-ES" w:eastAsia="es-ES"/>
        </w:rPr>
        <w:t xml:space="preserve">Por lo expuesto y fundado, emito el presente </w:t>
      </w:r>
      <w:r w:rsidRPr="00CF2780">
        <w:rPr>
          <w:rFonts w:ascii="Arial" w:eastAsia="Times New Roman" w:hAnsi="Arial" w:cs="Arial"/>
          <w:b/>
          <w:sz w:val="28"/>
          <w:szCs w:val="28"/>
          <w:lang w:val="es-ES" w:eastAsia="es-ES"/>
        </w:rPr>
        <w:t>VOTO RAZONADO</w:t>
      </w:r>
      <w:r w:rsidRPr="00CF2780">
        <w:rPr>
          <w:rFonts w:ascii="Arial" w:eastAsia="Times New Roman" w:hAnsi="Arial" w:cs="Arial"/>
          <w:sz w:val="28"/>
          <w:szCs w:val="28"/>
          <w:lang w:val="es-ES" w:eastAsia="es-ES"/>
        </w:rPr>
        <w:t>.</w:t>
      </w:r>
    </w:p>
    <w:p w14:paraId="7626063C" w14:textId="77777777" w:rsidR="009B02C2" w:rsidRPr="00CF2780" w:rsidRDefault="009B02C2" w:rsidP="009B02C2">
      <w:pPr>
        <w:spacing w:before="100" w:beforeAutospacing="1" w:after="100" w:afterAutospacing="1" w:line="360" w:lineRule="auto"/>
        <w:jc w:val="center"/>
        <w:rPr>
          <w:rFonts w:ascii="Arial" w:eastAsia="Times New Roman" w:hAnsi="Arial" w:cs="Arial"/>
          <w:b/>
          <w:sz w:val="28"/>
          <w:szCs w:val="28"/>
          <w:lang w:val="es-ES" w:eastAsia="es-ES"/>
        </w:rPr>
      </w:pPr>
      <w:r w:rsidRPr="00CF2780">
        <w:rPr>
          <w:rFonts w:ascii="Arial" w:eastAsia="Times New Roman" w:hAnsi="Arial" w:cs="Arial"/>
          <w:b/>
          <w:sz w:val="28"/>
          <w:szCs w:val="28"/>
          <w:lang w:val="es-ES" w:eastAsia="es-ES"/>
        </w:rPr>
        <w:t>MAGISTRADO</w:t>
      </w:r>
    </w:p>
    <w:p w14:paraId="2BCA22DC" w14:textId="77777777" w:rsidR="009B02C2" w:rsidRPr="00CF2780" w:rsidRDefault="009B02C2" w:rsidP="009B02C2">
      <w:pPr>
        <w:spacing w:before="100" w:beforeAutospacing="1" w:after="100" w:afterAutospacing="1" w:line="360" w:lineRule="auto"/>
        <w:jc w:val="center"/>
        <w:rPr>
          <w:rFonts w:ascii="Arial" w:eastAsia="Times New Roman" w:hAnsi="Arial" w:cs="Arial"/>
          <w:b/>
          <w:sz w:val="28"/>
          <w:szCs w:val="28"/>
          <w:lang w:val="es-ES" w:eastAsia="es-ES"/>
        </w:rPr>
      </w:pPr>
    </w:p>
    <w:p w14:paraId="04A81D87" w14:textId="77777777" w:rsidR="009B02C2" w:rsidRPr="00CF2780" w:rsidRDefault="009B02C2" w:rsidP="009B02C2">
      <w:pPr>
        <w:spacing w:before="100" w:beforeAutospacing="1" w:after="100" w:afterAutospacing="1" w:line="360" w:lineRule="auto"/>
        <w:jc w:val="center"/>
        <w:rPr>
          <w:rFonts w:ascii="Arial" w:eastAsia="Times New Roman" w:hAnsi="Arial" w:cs="Arial"/>
          <w:b/>
          <w:sz w:val="28"/>
          <w:szCs w:val="28"/>
          <w:lang w:val="es-ES" w:eastAsia="es-ES"/>
        </w:rPr>
      </w:pPr>
      <w:r w:rsidRPr="00CF2780">
        <w:rPr>
          <w:rFonts w:ascii="Arial" w:eastAsia="Times New Roman" w:hAnsi="Arial" w:cs="Arial"/>
          <w:b/>
          <w:sz w:val="28"/>
          <w:szCs w:val="28"/>
          <w:lang w:val="es-ES" w:eastAsia="es-ES"/>
        </w:rPr>
        <w:t>FLAVIO GALVÁN RIVERA</w:t>
      </w:r>
    </w:p>
    <w:p w14:paraId="40818215" w14:textId="77777777" w:rsidR="009B02C2" w:rsidRPr="00CF2780" w:rsidRDefault="009B02C2" w:rsidP="009B02C2">
      <w:pPr>
        <w:spacing w:after="0" w:line="360" w:lineRule="auto"/>
        <w:jc w:val="both"/>
        <w:rPr>
          <w:rFonts w:ascii="Arial" w:eastAsia="Times New Roman" w:hAnsi="Arial" w:cs="Arial"/>
          <w:sz w:val="26"/>
          <w:szCs w:val="26"/>
          <w:lang w:val="es-ES" w:eastAsia="es-ES"/>
        </w:rPr>
      </w:pPr>
    </w:p>
    <w:p w14:paraId="3A358E21" w14:textId="77777777" w:rsidR="009B02C2" w:rsidRPr="00CF2780" w:rsidRDefault="009B02C2" w:rsidP="009B02C2">
      <w:pPr>
        <w:ind w:firstLine="708"/>
        <w:rPr>
          <w:rFonts w:ascii="Arial" w:hAnsi="Arial" w:cs="Arial"/>
          <w:lang w:eastAsia="es-MX"/>
        </w:rPr>
      </w:pPr>
    </w:p>
    <w:sectPr w:rsidR="009B02C2" w:rsidRPr="00CF278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91C474" w14:textId="77777777" w:rsidR="001C6A89" w:rsidRDefault="001C6A89" w:rsidP="00AD59FF">
      <w:pPr>
        <w:spacing w:after="0" w:line="240" w:lineRule="auto"/>
      </w:pPr>
      <w:r>
        <w:separator/>
      </w:r>
    </w:p>
  </w:endnote>
  <w:endnote w:type="continuationSeparator" w:id="0">
    <w:p w14:paraId="0110D69C" w14:textId="77777777" w:rsidR="001C6A89" w:rsidRDefault="001C6A89" w:rsidP="00AD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Helvetica 45 Light">
    <w:altName w:val="Helvetica 45 Light"/>
    <w:panose1 w:val="00000000000000000000"/>
    <w:charset w:val="00"/>
    <w:family w:val="swiss"/>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BookAntiqua-Italic">
    <w:panose1 w:val="00000000000000000000"/>
    <w:charset w:val="00"/>
    <w:family w:val="roman"/>
    <w:notTrueType/>
    <w:pitch w:val="default"/>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D25E12" w14:textId="77777777" w:rsidR="001C6A89" w:rsidRDefault="001C6A89" w:rsidP="00AD59FF">
      <w:pPr>
        <w:spacing w:after="0" w:line="240" w:lineRule="auto"/>
      </w:pPr>
      <w:r>
        <w:separator/>
      </w:r>
    </w:p>
  </w:footnote>
  <w:footnote w:type="continuationSeparator" w:id="0">
    <w:p w14:paraId="03CF6EBA" w14:textId="77777777" w:rsidR="001C6A89" w:rsidRDefault="001C6A89" w:rsidP="00AD59FF">
      <w:pPr>
        <w:spacing w:after="0" w:line="240" w:lineRule="auto"/>
      </w:pPr>
      <w:r>
        <w:continuationSeparator/>
      </w:r>
    </w:p>
  </w:footnote>
  <w:footnote w:id="1">
    <w:p w14:paraId="10BE21F1" w14:textId="77777777" w:rsidR="00AD59FF" w:rsidRPr="000B3F2B" w:rsidRDefault="00AD59FF" w:rsidP="00AD59FF">
      <w:pPr>
        <w:pStyle w:val="Textonotapie"/>
        <w:jc w:val="both"/>
        <w:rPr>
          <w:rFonts w:ascii="Univers" w:hAnsi="Univers"/>
        </w:rPr>
      </w:pPr>
      <w:r w:rsidRPr="000B3F2B">
        <w:rPr>
          <w:rStyle w:val="Refdenotaalpie"/>
          <w:rFonts w:ascii="Univers" w:hAnsi="Univers"/>
        </w:rPr>
        <w:footnoteRef/>
      </w:r>
      <w:r w:rsidRPr="000B3F2B">
        <w:rPr>
          <w:rFonts w:ascii="Univers" w:hAnsi="Univers"/>
        </w:rPr>
        <w:t xml:space="preserve"> Jurisprudencia 1/2005</w:t>
      </w:r>
      <w:r>
        <w:rPr>
          <w:rFonts w:ascii="Univers" w:hAnsi="Univers"/>
        </w:rPr>
        <w:t xml:space="preserve"> emitida por esta </w:t>
      </w:r>
      <w:r w:rsidRPr="000B3F2B">
        <w:rPr>
          <w:rFonts w:ascii="Univers" w:hAnsi="Univers"/>
        </w:rPr>
        <w:t xml:space="preserve">Sala Superior cuyo rubro es: </w:t>
      </w:r>
      <w:bookmarkStart w:id="2" w:name="TEXTO_01/2005"/>
      <w:r w:rsidRPr="000B3F2B">
        <w:rPr>
          <w:rFonts w:ascii="Univers" w:hAnsi="Univers"/>
        </w:rPr>
        <w:t>“</w:t>
      </w:r>
      <w:hyperlink r:id="rId1" w:anchor="01/2005" w:history="1">
        <w:r w:rsidRPr="000B3F2B">
          <w:rPr>
            <w:rFonts w:ascii="Univers" w:hAnsi="Univers"/>
          </w:rPr>
          <w:t>APELACIÓN. CASO EN QUE LA PUEDEN INTERPONER LOS CIUDADANOS (LEGISLACIÓN DE MICHOACÁN)”.</w:t>
        </w:r>
      </w:hyperlink>
      <w:bookmarkEnd w:id="2"/>
      <w:r w:rsidRPr="000B3F2B">
        <w:rPr>
          <w:rFonts w:ascii="Univers" w:hAnsi="Univers"/>
        </w:rPr>
        <w:t xml:space="preserve"> </w:t>
      </w:r>
    </w:p>
  </w:footnote>
  <w:footnote w:id="2">
    <w:p w14:paraId="6928E673" w14:textId="77777777" w:rsidR="00AD59FF" w:rsidRPr="000B3F2B" w:rsidRDefault="00AD59FF" w:rsidP="00AD59FF">
      <w:pPr>
        <w:pStyle w:val="Textonotapie"/>
        <w:jc w:val="both"/>
        <w:rPr>
          <w:rFonts w:ascii="Univers" w:hAnsi="Univers"/>
        </w:rPr>
      </w:pPr>
      <w:r w:rsidRPr="000B3F2B">
        <w:rPr>
          <w:rStyle w:val="Refdenotaalpie"/>
          <w:rFonts w:ascii="Univers" w:hAnsi="Univers"/>
        </w:rPr>
        <w:footnoteRef/>
      </w:r>
      <w:r w:rsidRPr="000B3F2B">
        <w:rPr>
          <w:rFonts w:ascii="Univers" w:hAnsi="Univers"/>
        </w:rPr>
        <w:t xml:space="preserve"> El primer número se refiere a la foja de la demanda y el segundo a la foja de la lista, en la que se encuentra el ciudadano, según el foliado del expediente ubicado en la esquina superior derecha.</w:t>
      </w:r>
    </w:p>
  </w:footnote>
  <w:footnote w:id="3">
    <w:p w14:paraId="611DCA0E" w14:textId="77777777" w:rsidR="00AD59FF" w:rsidRPr="000B3F2B" w:rsidRDefault="00AD59FF" w:rsidP="00AD59FF">
      <w:pPr>
        <w:pStyle w:val="Textonotapie"/>
        <w:jc w:val="both"/>
        <w:rPr>
          <w:rFonts w:ascii="Univers" w:hAnsi="Univers"/>
        </w:rPr>
      </w:pPr>
      <w:r w:rsidRPr="000B3F2B">
        <w:rPr>
          <w:rStyle w:val="Refdenotaalpie"/>
          <w:rFonts w:ascii="Univers" w:hAnsi="Univers"/>
        </w:rPr>
        <w:footnoteRef/>
      </w:r>
      <w:r w:rsidRPr="000B3F2B">
        <w:rPr>
          <w:rFonts w:ascii="Univers" w:hAnsi="Univers"/>
        </w:rPr>
        <w:t xml:space="preserve"> El primer número se refiere a la línea de la foja de la demanda y el segundo a la línea de la foja de la lista, en la que se encuentra el ciudadano, según el foliado del expediente ubicado en la esquina superior derecha.</w:t>
      </w:r>
    </w:p>
    <w:p w14:paraId="4EDD53BA" w14:textId="77777777" w:rsidR="00AD59FF" w:rsidRPr="000B3F2B" w:rsidRDefault="00AD59FF" w:rsidP="00AD59FF">
      <w:pPr>
        <w:pStyle w:val="Textonotapie"/>
        <w:jc w:val="both"/>
        <w:rPr>
          <w:rFonts w:ascii="Univers" w:hAnsi="Univers"/>
        </w:rPr>
      </w:pPr>
    </w:p>
  </w:footnote>
  <w:footnote w:id="4">
    <w:p w14:paraId="1BE1DBD7" w14:textId="77777777" w:rsidR="00AD59FF" w:rsidRPr="000B3F2B" w:rsidRDefault="00AD59FF" w:rsidP="00AD59FF">
      <w:pPr>
        <w:pStyle w:val="Textonotapie"/>
        <w:jc w:val="both"/>
        <w:rPr>
          <w:rFonts w:ascii="Univers" w:hAnsi="Univers"/>
        </w:rPr>
      </w:pPr>
      <w:r w:rsidRPr="000B3F2B">
        <w:rPr>
          <w:rStyle w:val="Refdenotaalpie"/>
          <w:rFonts w:ascii="Univers" w:hAnsi="Univers"/>
        </w:rPr>
        <w:footnoteRef/>
      </w:r>
      <w:r w:rsidRPr="000B3F2B">
        <w:rPr>
          <w:rFonts w:ascii="Univers" w:hAnsi="Univers"/>
        </w:rPr>
        <w:t xml:space="preserve"> El primer número se refiere a la foja de la demanda y el segundo a la foja de la lista, en la que se encuentra el ciudadano, según el foliado del expediente ubicado en la esquina superior derecha.</w:t>
      </w:r>
      <w:r>
        <w:rPr>
          <w:rFonts w:ascii="Univers" w:hAnsi="Univers"/>
        </w:rPr>
        <w:t xml:space="preserve"> En este caso, en el primer número se asienta cero, porque no se localizó al ciudadano en la demanda.</w:t>
      </w:r>
    </w:p>
  </w:footnote>
  <w:footnote w:id="5">
    <w:p w14:paraId="42BB95B5" w14:textId="77777777" w:rsidR="00AD59FF" w:rsidRPr="000B3F2B" w:rsidRDefault="00AD59FF" w:rsidP="00AD59FF">
      <w:pPr>
        <w:pStyle w:val="Textonotapie"/>
        <w:jc w:val="both"/>
        <w:rPr>
          <w:rFonts w:ascii="Univers" w:hAnsi="Univers"/>
        </w:rPr>
      </w:pPr>
      <w:r w:rsidRPr="000B3F2B">
        <w:rPr>
          <w:rStyle w:val="Refdenotaalpie"/>
          <w:rFonts w:ascii="Univers" w:hAnsi="Univers"/>
        </w:rPr>
        <w:footnoteRef/>
      </w:r>
      <w:r w:rsidRPr="000B3F2B">
        <w:rPr>
          <w:rFonts w:ascii="Univers" w:hAnsi="Univers"/>
        </w:rPr>
        <w:t xml:space="preserve"> El primer número se refiere a la línea de la foja de la demanda y el segundo a la línea de la foja de la lista, en la que se encuentra el ciudadano, según el foliado del expediente ubicado en la esquina superior derecha.</w:t>
      </w:r>
      <w:r w:rsidRPr="00997ACA">
        <w:rPr>
          <w:rFonts w:ascii="Univers" w:hAnsi="Univers"/>
        </w:rPr>
        <w:t xml:space="preserve"> </w:t>
      </w:r>
      <w:r>
        <w:rPr>
          <w:rFonts w:ascii="Univers" w:hAnsi="Univers"/>
        </w:rPr>
        <w:t>En este caso, en el primer número se asienta cero, porque no se localizó al ciudadano en la demanda.</w:t>
      </w:r>
    </w:p>
    <w:p w14:paraId="316B08FC" w14:textId="77777777" w:rsidR="00AD59FF" w:rsidRPr="000B3F2B" w:rsidRDefault="00AD59FF" w:rsidP="00AD59FF">
      <w:pPr>
        <w:pStyle w:val="Textonotapie"/>
        <w:jc w:val="both"/>
        <w:rPr>
          <w:rFonts w:ascii="Univers" w:hAnsi="Univers"/>
        </w:rPr>
      </w:pPr>
    </w:p>
    <w:p w14:paraId="72448948" w14:textId="77777777" w:rsidR="00AD59FF" w:rsidRPr="000B3F2B" w:rsidRDefault="00AD59FF" w:rsidP="00AD59FF">
      <w:pPr>
        <w:pStyle w:val="Textonotapie"/>
        <w:jc w:val="both"/>
        <w:rPr>
          <w:rFonts w:ascii="Univers" w:hAnsi="Univers"/>
        </w:rPr>
      </w:pPr>
    </w:p>
  </w:footnote>
  <w:footnote w:id="6">
    <w:p w14:paraId="4A5371E9" w14:textId="77777777" w:rsidR="00AD59FF" w:rsidRPr="000B3F2B" w:rsidRDefault="00AD59FF" w:rsidP="00AD59FF">
      <w:pPr>
        <w:ind w:right="335"/>
        <w:jc w:val="both"/>
        <w:rPr>
          <w:rFonts w:ascii="Univers" w:hAnsi="Univers"/>
          <w:sz w:val="20"/>
          <w:szCs w:val="20"/>
        </w:rPr>
      </w:pPr>
      <w:r w:rsidRPr="000B3F2B">
        <w:rPr>
          <w:rStyle w:val="Refdenotaalpie"/>
          <w:rFonts w:ascii="Univers" w:hAnsi="Univers"/>
          <w:sz w:val="20"/>
          <w:szCs w:val="20"/>
        </w:rPr>
        <w:footnoteRef/>
      </w:r>
      <w:r w:rsidRPr="000B3F2B">
        <w:rPr>
          <w:rFonts w:ascii="Univers" w:hAnsi="Univers"/>
          <w:sz w:val="20"/>
          <w:szCs w:val="20"/>
        </w:rPr>
        <w:t xml:space="preserve"> Según se explica en las Directrices sobre los Asuntos de los Pueblos indígenas, de febrero de 2003, de la ONU.</w:t>
      </w:r>
    </w:p>
  </w:footnote>
  <w:footnote w:id="7">
    <w:p w14:paraId="7E45E111" w14:textId="77777777" w:rsidR="00AD59FF" w:rsidRPr="000B3F2B" w:rsidRDefault="00AD59FF" w:rsidP="00AD59FF">
      <w:pPr>
        <w:ind w:right="335"/>
        <w:jc w:val="both"/>
        <w:rPr>
          <w:rFonts w:ascii="Univers" w:hAnsi="Univers"/>
          <w:sz w:val="20"/>
          <w:szCs w:val="20"/>
        </w:rPr>
      </w:pPr>
      <w:r w:rsidRPr="000B3F2B">
        <w:rPr>
          <w:rStyle w:val="Refdenotaalpie"/>
          <w:rFonts w:ascii="Univers" w:hAnsi="Univers"/>
          <w:sz w:val="20"/>
          <w:szCs w:val="20"/>
        </w:rPr>
        <w:footnoteRef/>
      </w:r>
      <w:r w:rsidRPr="000B3F2B">
        <w:rPr>
          <w:rFonts w:ascii="Univers" w:hAnsi="Univers"/>
          <w:sz w:val="20"/>
          <w:szCs w:val="20"/>
        </w:rPr>
        <w:t xml:space="preserve"> Localizado con el registro número 165288, en fa Semanario Judicial de la Federación y su Gaceta XXXI, febrero de 2010, página 114, con el número 1aXVI/2OI0, Novena Época. Amparo directo 3/2009. Alejandro Paredes Reyes y otros. 21 de octubre de 2009. Cinco votos. Ponente: Olga Sánchez Cordero de García Villegas. Secretaria: Ana Carolina Cienfuegos Posada.</w:t>
      </w:r>
    </w:p>
  </w:footnote>
  <w:footnote w:id="8">
    <w:p w14:paraId="59D838D1" w14:textId="77777777" w:rsidR="00AD59FF" w:rsidRPr="000B3F2B" w:rsidRDefault="00AD59FF" w:rsidP="00AD59FF">
      <w:pPr>
        <w:ind w:right="335"/>
        <w:jc w:val="both"/>
        <w:rPr>
          <w:rFonts w:ascii="Univers" w:hAnsi="Univers"/>
          <w:sz w:val="20"/>
          <w:szCs w:val="20"/>
        </w:rPr>
      </w:pPr>
      <w:r w:rsidRPr="000B3F2B">
        <w:rPr>
          <w:rStyle w:val="Refdenotaalpie"/>
          <w:rFonts w:ascii="Univers" w:hAnsi="Univers"/>
          <w:sz w:val="20"/>
          <w:szCs w:val="20"/>
        </w:rPr>
        <w:footnoteRef/>
      </w:r>
      <w:r w:rsidRPr="000B3F2B">
        <w:rPr>
          <w:rFonts w:ascii="Univers" w:hAnsi="Univers"/>
          <w:sz w:val="20"/>
          <w:szCs w:val="20"/>
        </w:rPr>
        <w:t xml:space="preserve"> Se destaca que de la búsqueda que se hizo en los diversos criterios de la Sala Superior del Poder Judicial de la Federación, se apreció que en la mayoría de los casos se resolvieron asuntos del estado de Oaxaca, en donde las elecciones tradicionales se encuentran reguladas desde la constitución local.</w:t>
      </w:r>
    </w:p>
  </w:footnote>
  <w:footnote w:id="9">
    <w:p w14:paraId="57089CA4" w14:textId="77777777" w:rsidR="00AD59FF" w:rsidRPr="000B3F2B" w:rsidRDefault="00AD59FF" w:rsidP="00AD59FF">
      <w:pPr>
        <w:ind w:right="335"/>
        <w:jc w:val="both"/>
        <w:rPr>
          <w:rFonts w:ascii="Univers" w:hAnsi="Univers"/>
          <w:sz w:val="20"/>
          <w:szCs w:val="20"/>
        </w:rPr>
      </w:pPr>
      <w:r w:rsidRPr="000B3F2B">
        <w:rPr>
          <w:rStyle w:val="Refdenotaalpie"/>
          <w:rFonts w:ascii="Univers" w:hAnsi="Univers"/>
          <w:sz w:val="20"/>
          <w:szCs w:val="20"/>
        </w:rPr>
        <w:footnoteRef/>
      </w:r>
      <w:r w:rsidRPr="000B3F2B">
        <w:rPr>
          <w:rFonts w:ascii="Univers" w:hAnsi="Univers"/>
          <w:sz w:val="20"/>
          <w:szCs w:val="20"/>
        </w:rPr>
        <w:t xml:space="preserve"> Con número de registr</w:t>
      </w:r>
      <w:r>
        <w:rPr>
          <w:rFonts w:ascii="Univers" w:hAnsi="Univers"/>
          <w:sz w:val="20"/>
          <w:szCs w:val="20"/>
        </w:rPr>
        <w:t>o</w:t>
      </w:r>
      <w:r w:rsidRPr="000B3F2B">
        <w:rPr>
          <w:rFonts w:ascii="Univers" w:hAnsi="Univers"/>
          <w:sz w:val="20"/>
          <w:szCs w:val="20"/>
        </w:rPr>
        <w:t xml:space="preserve"> 176707, localizada en el Semanario Judicial de la Federación y su Gaceta XXII, noviembre de 2005, página 111, número P./J. 144/2005, Constitucional, Novena Época.</w:t>
      </w:r>
    </w:p>
  </w:footnote>
  <w:footnote w:id="10">
    <w:p w14:paraId="006E1CF1" w14:textId="77777777" w:rsidR="00AD59FF" w:rsidRPr="000B3F2B" w:rsidRDefault="00AD59FF" w:rsidP="00AD59FF">
      <w:pPr>
        <w:pStyle w:val="Textonotapie"/>
        <w:jc w:val="both"/>
        <w:rPr>
          <w:rFonts w:ascii="Univers" w:hAnsi="Univers"/>
        </w:rPr>
      </w:pPr>
      <w:r w:rsidRPr="000B3F2B">
        <w:rPr>
          <w:rStyle w:val="Refdenotaalpie"/>
          <w:rFonts w:ascii="Univers" w:hAnsi="Univers"/>
        </w:rPr>
        <w:footnoteRef/>
      </w:r>
      <w:r w:rsidRPr="000B3F2B">
        <w:rPr>
          <w:rFonts w:ascii="Univers" w:hAnsi="Univers"/>
        </w:rPr>
        <w:t xml:space="preserve"> Para abundar sobre estas cuestiones y tener un panorama más completo puede consultarse: </w:t>
      </w:r>
      <w:r>
        <w:rPr>
          <w:rFonts w:ascii="Univers" w:hAnsi="Univers"/>
        </w:rPr>
        <w:t>(</w:t>
      </w:r>
      <w:r w:rsidRPr="000B3F2B">
        <w:rPr>
          <w:rFonts w:ascii="Univers" w:hAnsi="Univers"/>
        </w:rPr>
        <w:t>Castile, 1974) y (Larson, 1992).</w:t>
      </w:r>
    </w:p>
  </w:footnote>
  <w:footnote w:id="11">
    <w:p w14:paraId="1B590978" w14:textId="77777777" w:rsidR="00AD59FF" w:rsidRPr="000B3F2B" w:rsidRDefault="00AD59FF" w:rsidP="00AD59FF">
      <w:pPr>
        <w:ind w:right="335"/>
        <w:jc w:val="both"/>
        <w:rPr>
          <w:rFonts w:ascii="Univers" w:hAnsi="Univers"/>
          <w:sz w:val="20"/>
          <w:szCs w:val="20"/>
        </w:rPr>
      </w:pPr>
      <w:r w:rsidRPr="000B3F2B">
        <w:rPr>
          <w:rStyle w:val="Refdenotaalpie"/>
          <w:rFonts w:ascii="Univers" w:hAnsi="Univers"/>
          <w:sz w:val="20"/>
          <w:szCs w:val="20"/>
        </w:rPr>
        <w:footnoteRef/>
      </w:r>
      <w:r w:rsidRPr="000B3F2B">
        <w:rPr>
          <w:rFonts w:ascii="Univers" w:hAnsi="Univers"/>
          <w:sz w:val="20"/>
          <w:szCs w:val="20"/>
        </w:rPr>
        <w:t xml:space="preserve"> Sobre las implicaciones negativas del término "usos y costumbres" dentro del derecho véase: (Yrigoyen, 1999: 17 y 18).</w:t>
      </w:r>
    </w:p>
  </w:footnote>
  <w:footnote w:id="12">
    <w:p w14:paraId="41CCF1C0" w14:textId="77777777" w:rsidR="00AD59FF" w:rsidRPr="000B3F2B" w:rsidRDefault="00AD59FF" w:rsidP="00AD59FF">
      <w:pPr>
        <w:ind w:right="335"/>
        <w:jc w:val="both"/>
        <w:rPr>
          <w:rFonts w:ascii="Univers" w:hAnsi="Univers"/>
          <w:sz w:val="20"/>
          <w:szCs w:val="20"/>
        </w:rPr>
      </w:pPr>
      <w:r w:rsidRPr="000B3F2B">
        <w:rPr>
          <w:rStyle w:val="Refdenotaalpie"/>
          <w:rFonts w:ascii="Univers" w:hAnsi="Univers"/>
          <w:sz w:val="20"/>
          <w:szCs w:val="20"/>
        </w:rPr>
        <w:footnoteRef/>
      </w:r>
      <w:r w:rsidRPr="000B3F2B">
        <w:rPr>
          <w:rFonts w:ascii="Univers" w:hAnsi="Univers"/>
          <w:sz w:val="20"/>
          <w:szCs w:val="20"/>
        </w:rPr>
        <w:t xml:space="preserve"> Para una discusión más amplia de la naturaleza de las prácticas jurídicas y políticas de las comunidades indígenas véase: (Sierra, 1997).</w:t>
      </w:r>
    </w:p>
  </w:footnote>
  <w:footnote w:id="13">
    <w:p w14:paraId="6E6317B8" w14:textId="77777777" w:rsidR="00AD59FF" w:rsidRPr="000B3F2B" w:rsidRDefault="00AD59FF" w:rsidP="00AD59FF">
      <w:pPr>
        <w:ind w:right="335"/>
        <w:jc w:val="both"/>
        <w:rPr>
          <w:rFonts w:ascii="Univers" w:hAnsi="Univers"/>
          <w:sz w:val="20"/>
          <w:szCs w:val="20"/>
        </w:rPr>
      </w:pPr>
      <w:r w:rsidRPr="000B3F2B">
        <w:rPr>
          <w:rStyle w:val="Refdenotaalpie"/>
          <w:rFonts w:ascii="Univers" w:hAnsi="Univers"/>
          <w:sz w:val="20"/>
          <w:szCs w:val="20"/>
        </w:rPr>
        <w:footnoteRef/>
      </w:r>
      <w:r w:rsidRPr="000B3F2B">
        <w:rPr>
          <w:rFonts w:ascii="Univers" w:hAnsi="Univers"/>
          <w:sz w:val="20"/>
          <w:szCs w:val="20"/>
        </w:rPr>
        <w:t xml:space="preserve"> Actualmente hay un acuerdo de asamblea para que el presidente municipal concluya su periodo, aunque en realidad el gobierno municipal está prácticamente abandonado. Ni siquiera funciona en la sede habitual del gobierno municipal.</w:t>
      </w:r>
    </w:p>
  </w:footnote>
  <w:footnote w:id="14">
    <w:p w14:paraId="6A91E294" w14:textId="77777777" w:rsidR="00AD59FF" w:rsidRPr="00A32680" w:rsidRDefault="00AD59FF" w:rsidP="00AD59FF">
      <w:pPr>
        <w:pStyle w:val="Textonotapie"/>
        <w:rPr>
          <w:rFonts w:ascii="Univers" w:hAnsi="Univers"/>
        </w:rPr>
      </w:pPr>
      <w:r w:rsidRPr="00A32680">
        <w:rPr>
          <w:rStyle w:val="Refdenotaalpie"/>
          <w:rFonts w:ascii="Univers" w:hAnsi="Univers"/>
        </w:rPr>
        <w:footnoteRef/>
      </w:r>
      <w:r w:rsidRPr="00A32680">
        <w:rPr>
          <w:rFonts w:ascii="Univers" w:hAnsi="Univers"/>
        </w:rPr>
        <w:t xml:space="preserve"> Aprobada por la Asamblea General en su 107ª sesión plenaria el 13 de septiembre de 2007.</w:t>
      </w:r>
    </w:p>
  </w:footnote>
  <w:footnote w:id="15">
    <w:p w14:paraId="79AE47F7" w14:textId="77777777" w:rsidR="00AD59FF" w:rsidRPr="00A32680" w:rsidRDefault="00AD59FF" w:rsidP="00AD59FF">
      <w:pPr>
        <w:pStyle w:val="Textonotapie"/>
        <w:jc w:val="both"/>
        <w:rPr>
          <w:rFonts w:ascii="Univers" w:hAnsi="Univers"/>
        </w:rPr>
      </w:pPr>
      <w:r w:rsidRPr="00A32680">
        <w:rPr>
          <w:rStyle w:val="Refdenotaalpie"/>
          <w:rFonts w:ascii="Univers" w:hAnsi="Univers"/>
        </w:rPr>
        <w:footnoteRef/>
      </w:r>
      <w:r w:rsidRPr="00A32680">
        <w:rPr>
          <w:rFonts w:ascii="Univers" w:hAnsi="Univers"/>
        </w:rPr>
        <w:t xml:space="preserve"> México votó a favor de su adopción.</w:t>
      </w:r>
    </w:p>
    <w:p w14:paraId="2E0BC6C4" w14:textId="77777777" w:rsidR="00AD59FF" w:rsidRPr="00A32680" w:rsidRDefault="00CF2780" w:rsidP="00AD59FF">
      <w:pPr>
        <w:pStyle w:val="Textonotapie"/>
        <w:jc w:val="both"/>
        <w:rPr>
          <w:rFonts w:ascii="Univers" w:hAnsi="Univers"/>
        </w:rPr>
      </w:pPr>
      <w:hyperlink r:id="rId2" w:anchor="focus" w:history="1">
        <w:r w:rsidR="00AD59FF" w:rsidRPr="00A32680">
          <w:rPr>
            <w:rStyle w:val="Hipervnculo"/>
            <w:rFonts w:ascii="Univers" w:hAnsi="Univers"/>
            <w:i/>
          </w:rPr>
          <w:t>http://unbisnet.un.org:8080/ipac20/ipac.jsp?profile=voting&amp;index=.VM&amp;term=ares61295#focus</w:t>
        </w:r>
      </w:hyperlink>
    </w:p>
  </w:footnote>
  <w:footnote w:id="16">
    <w:p w14:paraId="14D526BF" w14:textId="77777777" w:rsidR="00AD59FF" w:rsidRPr="00A32680" w:rsidRDefault="00AD59FF" w:rsidP="00AD59FF">
      <w:pPr>
        <w:autoSpaceDE w:val="0"/>
        <w:autoSpaceDN w:val="0"/>
        <w:adjustRightInd w:val="0"/>
        <w:jc w:val="both"/>
        <w:rPr>
          <w:rFonts w:ascii="Univers" w:hAnsi="Univers" w:cs="BookAntiqua-Italic"/>
          <w:i/>
          <w:iCs/>
          <w:sz w:val="20"/>
          <w:szCs w:val="20"/>
          <w:lang w:val="es-ES_tradnl"/>
        </w:rPr>
      </w:pPr>
      <w:r w:rsidRPr="00A32680">
        <w:rPr>
          <w:rStyle w:val="Refdenotaalpie"/>
          <w:rFonts w:ascii="Univers" w:hAnsi="Univers"/>
          <w:sz w:val="20"/>
          <w:szCs w:val="20"/>
        </w:rPr>
        <w:footnoteRef/>
      </w:r>
      <w:r w:rsidRPr="00A32680">
        <w:rPr>
          <w:rFonts w:ascii="Univers" w:hAnsi="Univers"/>
          <w:sz w:val="20"/>
          <w:szCs w:val="20"/>
        </w:rPr>
        <w:t xml:space="preserve"> </w:t>
      </w:r>
      <w:r w:rsidRPr="00A32680">
        <w:rPr>
          <w:rFonts w:ascii="Univers" w:hAnsi="Univers" w:cs="BookAntiqua"/>
          <w:sz w:val="20"/>
          <w:szCs w:val="20"/>
          <w:lang w:val="es-ES_tradnl"/>
        </w:rPr>
        <w:t xml:space="preserve">GARCÍA RAMÍREZ, Sergio, “Los indígenas ante el derecho nacional”, </w:t>
      </w:r>
      <w:r w:rsidRPr="00A32680">
        <w:rPr>
          <w:rFonts w:ascii="Univers" w:hAnsi="Univers" w:cs="BookAntiqua-Italic"/>
          <w:i/>
          <w:iCs/>
          <w:sz w:val="20"/>
          <w:szCs w:val="20"/>
          <w:lang w:val="es-ES_tradnl"/>
        </w:rPr>
        <w:t>Boletín Mexicano de derecho Comparado</w:t>
      </w:r>
      <w:r w:rsidRPr="00A32680">
        <w:rPr>
          <w:rFonts w:ascii="Univers" w:hAnsi="Univers" w:cs="BookAntiqua"/>
          <w:sz w:val="20"/>
          <w:szCs w:val="20"/>
          <w:lang w:val="es-ES_tradnl"/>
        </w:rPr>
        <w:t>, Nueva Serie, UNAM, año 29, núm. 87, México, septiembre-diciembre de 1996, p. 892.</w:t>
      </w:r>
    </w:p>
    <w:p w14:paraId="503C232F" w14:textId="77777777" w:rsidR="00AD59FF" w:rsidRPr="00A32680" w:rsidRDefault="00AD59FF" w:rsidP="00AD59FF">
      <w:pPr>
        <w:pStyle w:val="Textonotapie"/>
        <w:rPr>
          <w:rFonts w:ascii="Univers" w:hAnsi="Univers"/>
        </w:rPr>
      </w:pPr>
    </w:p>
  </w:footnote>
  <w:footnote w:id="17">
    <w:p w14:paraId="2E1EABF3" w14:textId="77777777" w:rsidR="00AD59FF" w:rsidRPr="00A32680" w:rsidRDefault="00AD59FF" w:rsidP="00AD59FF">
      <w:pPr>
        <w:pStyle w:val="Textonotapie"/>
        <w:rPr>
          <w:rFonts w:ascii="Univers" w:hAnsi="Univers"/>
        </w:rPr>
      </w:pPr>
      <w:r w:rsidRPr="00A32680">
        <w:rPr>
          <w:rStyle w:val="Refdenotaalpie"/>
          <w:rFonts w:ascii="Univers" w:hAnsi="Univers"/>
        </w:rPr>
        <w:footnoteRef/>
      </w:r>
      <w:r w:rsidRPr="00A32680">
        <w:rPr>
          <w:rFonts w:ascii="Univers" w:hAnsi="Univers"/>
        </w:rPr>
        <w:t xml:space="preserve"> </w:t>
      </w:r>
      <w:r w:rsidRPr="00A32680">
        <w:rPr>
          <w:rFonts w:ascii="Univers" w:hAnsi="Univers" w:cs="Arial"/>
        </w:rPr>
        <w:t xml:space="preserve">Arizpe Narro, Enrique. </w:t>
      </w:r>
      <w:r w:rsidRPr="00A32680">
        <w:rPr>
          <w:rFonts w:ascii="Univers" w:hAnsi="Univers" w:cs="Arial"/>
          <w:i/>
        </w:rPr>
        <w:t>La primera sentencia de amparo.</w:t>
      </w:r>
      <w:r w:rsidRPr="00A32680">
        <w:rPr>
          <w:rFonts w:ascii="Univers" w:hAnsi="Univers" w:cs="Arial"/>
        </w:rPr>
        <w:t xml:space="preserve"> Suprema Corte de Justicia de </w:t>
      </w:r>
      <w:smartTag w:uri="urn:schemas-microsoft-com:office:smarttags" w:element="PersonName">
        <w:smartTagPr>
          <w:attr w:name="ProductID" w:val="ze ƎԌ菱ョ톔ミ廊ョነᳬベ議᳗In  ŷԌ菱ョ톔ミ廊ョነᳬベ豨᳗\A ŸԈ豄᳗贈᳗譸᳗8EF1ťԈ퇀ミ"/>
        </w:smartTagPr>
        <w:r w:rsidRPr="00A32680">
          <w:rPr>
            <w:rFonts w:ascii="Univers" w:hAnsi="Univers" w:cs="Arial"/>
          </w:rPr>
          <w:t>la Nación</w:t>
        </w:r>
      </w:smartTag>
      <w:r w:rsidRPr="00A32680">
        <w:rPr>
          <w:rFonts w:ascii="Univers" w:hAnsi="Univers" w:cs="Arial"/>
        </w:rPr>
        <w:t>, México, 2006.</w:t>
      </w:r>
    </w:p>
  </w:footnote>
  <w:footnote w:id="18">
    <w:p w14:paraId="69B75600" w14:textId="77777777" w:rsidR="00AD59FF" w:rsidRPr="00A32680" w:rsidRDefault="00AD59FF" w:rsidP="00AD59FF">
      <w:pPr>
        <w:pStyle w:val="Textonotapie"/>
        <w:jc w:val="both"/>
        <w:rPr>
          <w:rFonts w:ascii="Univers" w:hAnsi="Univers" w:cs="Arial"/>
        </w:rPr>
      </w:pPr>
      <w:r w:rsidRPr="00A32680">
        <w:rPr>
          <w:rStyle w:val="Refdenotaalpie"/>
          <w:rFonts w:ascii="Univers" w:hAnsi="Univers" w:cs="Arial"/>
        </w:rPr>
        <w:footnoteRef/>
      </w:r>
      <w:r w:rsidRPr="00A32680">
        <w:rPr>
          <w:rFonts w:ascii="Univers" w:hAnsi="Univers" w:cs="Arial"/>
        </w:rPr>
        <w:t xml:space="preserve"> Debe recordarse que el artículo 5º del Acta de Reformas de 1847 incorporada a </w:t>
      </w:r>
      <w:smartTag w:uri="urn:schemas-microsoft-com:office:smarttags" w:element="PersonName">
        <w:smartTagPr>
          <w:attr w:name="ProductID" w:val="la Corte"/>
        </w:smartTagPr>
        <w:r w:rsidRPr="00A32680">
          <w:rPr>
            <w:rFonts w:ascii="Univers" w:hAnsi="Univers" w:cs="Arial"/>
          </w:rPr>
          <w:t>la Constitución</w:t>
        </w:r>
      </w:smartTag>
      <w:r w:rsidRPr="00A32680">
        <w:rPr>
          <w:rFonts w:ascii="Univers" w:hAnsi="Univers" w:cs="Arial"/>
        </w:rPr>
        <w:t xml:space="preserve"> de sometía a una ley constitucional la reglamentación del juicio de amparo, la cual no se expidió sino hasta 1861.</w:t>
      </w:r>
    </w:p>
  </w:footnote>
  <w:footnote w:id="19">
    <w:p w14:paraId="396B3E34" w14:textId="77777777" w:rsidR="00AD59FF" w:rsidRPr="00A32680" w:rsidRDefault="00AD59FF" w:rsidP="00AD59FF">
      <w:pPr>
        <w:pStyle w:val="Textonotapie"/>
        <w:jc w:val="both"/>
        <w:rPr>
          <w:rFonts w:ascii="Univers" w:hAnsi="Univers" w:cs="Arial"/>
        </w:rPr>
      </w:pPr>
      <w:r w:rsidRPr="00A32680">
        <w:rPr>
          <w:rStyle w:val="Refdenotaalpie"/>
          <w:rFonts w:ascii="Univers" w:hAnsi="Univers" w:cs="Arial"/>
        </w:rPr>
        <w:footnoteRef/>
      </w:r>
      <w:r w:rsidRPr="00A32680">
        <w:rPr>
          <w:rFonts w:ascii="Univers" w:hAnsi="Univers" w:cs="Arial"/>
        </w:rPr>
        <w:t xml:space="preserve"> Citada por Aldasoro Velasco, Héctor F. La primera sentencia de amparo dictada a nivel federal el 13 de agosto de 1849 en el Estado de San Luis Potosí</w:t>
      </w:r>
      <w:r w:rsidRPr="00A32680">
        <w:rPr>
          <w:rFonts w:ascii="Univers" w:hAnsi="Univers" w:cs="Arial"/>
          <w:i/>
        </w:rPr>
        <w:t xml:space="preserve"> </w:t>
      </w:r>
      <w:r w:rsidRPr="00A32680">
        <w:rPr>
          <w:rFonts w:ascii="Univers" w:hAnsi="Univers" w:cs="Arial"/>
        </w:rPr>
        <w:t xml:space="preserve">en </w:t>
      </w:r>
      <w:r w:rsidRPr="00A32680">
        <w:rPr>
          <w:rFonts w:ascii="Univers" w:hAnsi="Univers" w:cs="Arial"/>
          <w:i/>
        </w:rPr>
        <w:t xml:space="preserve">La actualidad de </w:t>
      </w:r>
      <w:smartTag w:uri="urn:schemas-microsoft-com:office:smarttags" w:element="PersonName">
        <w:smartTagPr>
          <w:attr w:name="ProductID" w:val="la Defensa"/>
        </w:smartTagPr>
        <w:r w:rsidRPr="00A32680">
          <w:rPr>
            <w:rFonts w:ascii="Univers" w:hAnsi="Univers" w:cs="Arial"/>
            <w:i/>
          </w:rPr>
          <w:t>la Defensa</w:t>
        </w:r>
      </w:smartTag>
      <w:r w:rsidRPr="00A32680">
        <w:rPr>
          <w:rFonts w:ascii="Univers" w:hAnsi="Univers" w:cs="Arial"/>
          <w:i/>
        </w:rPr>
        <w:t xml:space="preserve"> de </w:t>
      </w:r>
      <w:smartTag w:uri="urn:schemas-microsoft-com:office:smarttags" w:element="PersonName">
        <w:smartTagPr>
          <w:attr w:name="ProductID" w:val="ミ廊ョቐᳬベ̾ନ̳ ƛĈ̾̾辈̿ƜĈ퇀ミቐº̾̾ ơČ菱ョ톔ミ廊ョቐᳬベ̾ ƮĈ̾̾̾ႠƳĈ.ƶĈ퇀ミቐ»̾̾ ƻČ菱ョ톔ミ廊ョቐᳬベ̾Ɛ ǀĈ̾ﶰ̾̾ĀāāǅĈ&#10;ǈĈtambiénra de ǍĈ퇀ミቐ³̾̾ ǖČ菱ョ톔ミ廊ョቐᳬベ̾es ǟĈ̾̾ܠ̷que ǠĈexpresalaratoǥĈ퇀ミቐ»̷݄̾ ǮČ菱ョ톔ミ廊ョቐᳬベ̾￼￼ ǷĈ̾̾̾￼￼￼￼ǸĈ퇀ミቐ¿࿜̳̾ ǽČ菱ョ톔ミ廊ョቐᳬベ̾en ĊĈ̾̾̾ corďĈ퇀ミቐÃ 奈̾̾ ĐČ菱ョ톔ミ廊ョቐᳬベ̾de ęĈ̾令̾̾casoĢĈgarantías￼￼￼￼ħĈ퇀ミቐÍ琉̾菱̾ ĨČ菱ョ톔ミ廊ョቐᳬベ裂̾￼￼ ıĈ良̾̾̾￼￼￼￼ĺĈindividuales￼ĿĈ퇀ミቐÚ賓̾礼̾ ŀČ菱ョ톔ミ廊ョቐᳬベ̾Fe ŉĈ&#10;debenŌĈ-ginasad&#10;őĈZamudioŚĈFixřĈHéctoristu=ŢČ廀̿s⋠Ӕ곐Ӕ㹠Ӗ㷨ӖỀӠꝠӔ놠ӔӚӚ澸ӟ潀ӟ滰ӟ溠ӟ洘ӟꕐӔ晠ӟ暰ӟ枀ӟ汸ӟ毐ӟ欨ӟ갠Ӕ楈ӟ栠ӟ釸̳鈠̳葸Ӕ퍐Ӕ챘Ӕ⾀ӛ궐ӔㇸӖᤘӠ퀘Ӕ툠Ӕ㵘Ӗ㬘ӕ춨Ӕ칀Ӕ줘Ӕ쨨Ӕ쫀Ӕ扨ӓ诐Ӕ豨Ӕ贀Ӕ領Ӕ颰Ӕ胈Ӕ腠Ӕ픨Ӕ헨ӔኘӔፘӔᏰӔ蘘Ӕ蛈Ӕ蝸Ӕ蠨Ӕ裘Ӕ髰Ӕ鮰Ӕ鱠Ӕ鴠Ӕ鷠Ӕ麐Ӕ齐ӔꄨӔꇘӔꊘӔꍘӔӚӚӚӚӚӚӚӚӚӚӚӚӚӚӚӚӚӚӚӚӚӚӚӚӚӚӚӚӚӚӚӚӚӚ蘿Ӛ類Ӛ婢ӚנּӚﯰӚﲠӚﵐӚ︐ӚﻐӚﾀӚ䏀Ӑ=ƟĈ-1-113㰀㄀ƠĈ퇀ミቐ頻̾ﵠ̾ƥČɈ̷꬈̿ヘ̿湀 2̾ ƩČ菱ョ톔ミ廊ョቐᳬベﶨ̾ ƶĈﶄ̾﹈̾̾&#10;ƻĈ퇀ミቐﳴ̾ﷸ̾ ƼČ菱ョ톔ミ廊ョቐᳬベ﹀̾ ǅĈ︜̾ﻠ̾ﶰ̾ǎĈ퇀ミቐ瘝̾ﺐ̾ ǓČ菱ョ톔ミ廊ョቐᳬベﻘ̾ ǘĈﺴ̾ｸ̾﹈̾ǝĈ퇀ミቐ̾Ｈ̾ ǦČ菱ョ톔ミ廊ョቐᳬベｰ̾ ǯĈｌ̾̿ﻠ̾ǰĈ퇀ミቐ4̿￀̾ ǵČ菱ョ톔ミ廊ョቐᳬベ̿ ĂĈ￤̾Ð̿ｸ̾ćĈHéctorĈĈ퇀ミቐô̿̿ čČ菱ョ톔ミ廊ョቐᳬベÈ̿ ĚĈ¤̿憨̿̿ğĈ.efĢĈ㴄̿ǀ̿㱰̿a CoħĈelstiĪĈ퇀ミቐľǤ̿Ű̿ įČ菱ョ톔ミ廊ョቐᳬベƸ̿al ĴĈƔ̿ʀ̿Đ̿￼￼￼￼ĹĈsegundo￼￼￼￼￼￼łĈ퇀ミቐņʤ̿Ȱ̿ ŇČ菱ョ톔ミ廊ョቐᳬベɸ̿lo ŌĈɔ̰̿̿ǀ̿￼￼￼￼őĈ&#10;pilarŔĈ퇀ミቐŌ͔̿ˠ̿ řČ菱ョ톔ミ廊ョቐᳬベ̨̿￼￼ ŦĈ̄̿Ϡ̿ʀ̿￼￼￼￼ūĈenso￼ŮĈ퇀ミቐŏЄ̿ΐ̿ ųČ菱ョ톔ミ廊ョቐᳬベϘ̿￼￼ ŸĈδ̿Ґ̰̿̿￼￼￼￼ŽĈel￼￼￼ƀĈ퇀ミቐŒҴ̿р̿ ƅČ菱ョ톔ミ廊ョቐᳬベ҈̿ci ƒĈѤ̿Հ̿Ϡ̿ CámƗĈcualeƚĈ퇀ミቐŗդ̿Ӱ̿ ƟČ菱ョ톔ミ廊ョቐᳬベԸ̿￼￼ ƤĈԔ̿װ̿Ґ̿￼￼￼￼ƩĈse￼￼￼ƬĈ퇀ミቐŚ䶜̿֠̿ ƱČ菱ョ톔ミ廊ョቐᳬベר̿ef ƾĐׄ̿丨̿Հ̿able. &#10;SǀĈ ჰӈለӈአӈጸӈᏐӈᑨӈᔀӈᖘӈᙈӈᜈӈីӈᡸӈᤨӈ᧨ӈ᪘ӈ᭘ӈᰈӈᲸӈᵨӈḨӈỘӈᾈӈ‸ӈ⃸ӈ↨ӈ≀ӈ⌀ӈ⎰ӈ⑰ӈ┰ӈ◠ӈ⚐ӈ❀ӈ⠀ӈ⣀ӈ⥰ӈ⨰ӈ⫠ӈ⮠ӈⱐӈⴀӈⶰӈ⹰ӈ⼠ӈ⿠ӈゐӈㅀӈ㈀ӈ㋀ӈ㍰ӈ㐰ӈ㓠ӈ㖐ӈ㙀ӈ㜀ӈ㟀ӈ㡰ӈ㤰ӈ㧰ӈ㪰ӈ㭰ӈ㰠ӈ㳠ӈ㶠ӈ㹐ӈ㼀ӈ㿀ӈ䁰ӈ䄠ӈ䇐ӈ䊀ӈ䍀ӈ䏰ӈ䒰ӈ䕠ӈ䘐ӈ䛐ӈ䞐ӈ䡀ӈ䣰ӈ䦰ӈ䩠ӈ䬐ӈ䯀ӈ䱰ӈ䴰ӈ䷠ӈ亐ӈ佀ӈ俰ӈ傰ӈ兠ӈ删ӈ勐ӈ厐ӈ呐ӈ唀ӈ喰ӈ噠ӈ圠ӈ埐ӈ墀ӈ夰ӈ姠ӈ媠ӈ子ӈ尀ӈ峀ӈ嶀ӈ帰ӈ廠ӈ徠ӈ恐ӈ愀ӈ懀ӈ技ӈ挰ӈ揰ӈ撰ӈ数ӈ昰ӈ曠ӈ枠ӈ桠ӈ椐ӈ槀ӈ檀ӈ欰ӈ毠ӈ沠ӈ浠ӈ渐ӈ滐ӈ澀ӈ灀ӈ烰ӈ熠ӈ牐ӈ猀ӈ珀ӈ璀ӈ瞀ӈ砰ӈ磠ӈ禠ӈ粰ӈ絰ӈ肈ӈ腈ӈ臸ӈ芸ӈ藰ӈ蚠ӈ觐ӈ誀ӈ譀ӈ诰ӈ負ӈ赠ӈ踐ӈSėĈ퇀ミቐ'奜̿௘̿ĘĈ௼̿䎠̿鉨̳ĝĈcomoXĠČ䨐̿ Colegio Electoral de la Cámara de Senadores se integrará, tanto con los presuntos senadores que hubieren obtenido la declaración de la legislatura de cada Estado y de la Comisión Permanente del Congreso de la Unión, en caso del Distrito Federal, como con los senadores de la anterior legislatura que continuarán en el ejercicio de su encargo.&#10;세̀ XŸČ菱ョ톔ミ廊ョቐᳬベࣘ̿ ƁĐ(]ƅĈ(ՌР䗈̳Ĭఊ࿘̳ոՌ̀,ఊ̀&#10;؏ոఊứڥ؏̾ఊ࿨̳ۜڥ̀7ఊྈ̳۲ۜ縨̀ఊ蘘̀܈۲̾ఊ貰̀ߍ܈䱸̷Åఊ鍠̀ࡎߍ꠰̴ఊ̾ॷࡎ̾ĩఊ̾৓ॷ稀̳\ఊ̾ఓ৓̾ɀఊ̾ผఓ̾ȉఊ뾸༌ผ﬈̾ðఊ̾ᆏ༌Ĉ̿ʃఊ̾ᇩᆏ饨̳Zఊ冘̳ቆᇩ옘̴]ఊ세̀ኹቆਸ̴sఊ̾]ǦĈ̾ጸ̿䎠̿ǫĈConstituciónǬĈ퇀ミቐ9ऄ̿የ̿iǱĈ㬠ӑG{00020905-0000-0000-C000-000000000046}#8.3#0#C:\Archivos de programa\Microsoft Office\OFFICE11\MSWORD.OLB#Microsoft Word 11.0 Object Library̠臸̴*\G{000204EF-0000-0000-C000-000000000046}#4.0#9#C:\ARCHIV~1\ARCHIV~1\MICROS~1\VBA\VBA6\VBE6.DLL#Visual Basic For ApplicationselĠŀ靸Ӗ*\G{00020430-0000-0000-C000-000000000046}#2.0#0#C:\WINDOWS\system32\stdole2.tlb#OLE Automationdɠﺸ iŞČ菱ョ톔ミ廊ョቐᳬベጰ̿ ŧĐጌ̿⡈̿༰̿gũĈ(ՌР䗈̳Ĭఊ࿘̳ոՌ̀,ఊ̀&#10;؏ոఊứڥ؏̾ఊ࿨̳ۜڥ̀7ఊྈ̳۲ۜ縨̀ఊ蘘̀܈۲̾ఊ貰̀ߍ܈䱸̷Åఊ鍠̀ࡎߍ꠰̴ఊ̾ॷࡎ̾ĩఊ̾৓ॷ稀̳\ఊ̾ఓ৓̾ɀఊ̾ผఓ̾ȉఊ뾸༌ผ﬈̾ðఊ̾ᆏ༌Ĉ̿ʃఊ̾ᇩᆏ饨̳Zఊ冘̳ቆᇩ옘̴]ఊ세̀ኹቆਸ̴sఊ̾Ꮹኹ∈̴İఊ༨̿ᖇᏩྠ̿ƞఊየ̿ gǐČ菱ョ톔ミ廊ョቐᳬベ槈̿ g ǙĈdestacan la pǢĈ퇀ミቐǝឤ̿ᜰ̿ ǧČ菱ョ톔ミ廊ョቐᳬベ᝸̿￼￼ ǬĈ᝔̿ᠰ̿槐̿￼￼￼￼ǱĈlos￼￼ǴĈ퇀ミቐǡᡔ̿០̿ ǹČ菱ョ톔ミ廊ョቐᳬベᠨ̿￼￼ ĆĈ᠄̿ᣰ̿ក̿￼desċĈderechoslanciČĈ퇀ミቐǪᤔ̿ᢠ̿ đČ菱ョ톔ミ廊ョቐᳬベᣨ̿￼￼ ĞĈᣄ̿ᦰ̿ᠰ̿￼￼￼￼ģĈhumanos￼￼￼￼￼￼ĤĈ퇀ミቐǲ᧔̿ᥠ̿ ĩČ菱ョ톔ミ廊ョቐᳬベᦨ̿mi ĶĈᦄ᩠̿̿ᣰ̿mos ĻĈyrán ľĈ퇀ミቐɱ᪄̿ᨐ̿ ŃČ菱ョ톔ミ廊ョቐᳬベᩘ̿￼￼ ňĈᨴ̿ᬐ̿ᦰ̿￼￼￼￼ōĈlosncŐĈ퇀ミቐɵ᬴ᫀ̿̿ ŕČ菱ョ톔ミ廊ョቐᳬベᬈ̿lí ŢĈ᫤̿ᯐ᩠̿̿iudaŧĈcuales establŨĈ퇀ミቐɼ᯴̿ᮀ̿ ŭČ菱ョ톔ミ廊ョቐᳬベᯈ̿￼￼ źĈᮤ̿ᲀ̿ᬐ̿￼￼￼￼ſĈel￼￼￼ƂĈ퇀ミቐɿᲤ̿ᰰ̿ ƇČ菱ョ톔ミ廊ョቐᳬベᱸ̿ti ƌĈ᱔̿ᴰ̿ᯐ̿s deƑĈjuezsƔĈ퇀ミቐʄᵔ̿᳠̿ ƙČ菱ョ톔ミ廊ョቐᳬベᴨ̿st ƦĈᴄ̿ᷠ̿ᲀ̿yes ƫĈ&#10;debenƮĈ퇀ミቐʊḄ̿ᶐ̿ ƳČ菱ョ톔ミ廊ョቐᳬベᷘ̿ci ƸĈᶴ̿Ạ̿ᴰ̿la LƽĈoptimizarseesǆĈ퇀ミቐʕỄ̿Ṑ̿ ǋČ菱ョ톔ミ廊ョቐᳬベẘ̿di ǐĈṴ̿ὐ̿ᷠ̿ColeǕĈ,ctorǘĈ퇀ミቐʗὴ̿ἀ̿ ǝČ菱ョ톔ミ廊ョቐᳬベὈ̿la ǪĈἤ̿‐̿Ạ̿ lasǯĈampliarodas eǰĈ퇀ミቐʟ‴̿῀̿ ǵČ菱ョ톔ミ廊ョቐᳬベ ̿ i ĂĈῤ̿⁸̿ὐ̿ĲČćĈsus䍰̿ĊĈ퇀ミቐʣ䵤ӊ䴘ӊďĐ䴼ӊ一ӊ‐̿lđĈ(ՌР䗈̳Ĭఊ࿘̳ոՌ̀,ఊ̀&#10;؏ոఊứڥ؏̾ఊ࿨̳ۜڥ̀7ఊྈ̳۲ۜ縨̀ఊ蘘̀܈۲̾ఊ貰̀ߍ܈䱸̷Åఊ鍠̀ࡎߍ꠰̴ఊ̾ॷࡎ̾ĩఊ̾৓ॷ稀̳\ఊ̾ఓ৓̾ɀఊ̾ผఓ̾ȉఊ뾸༌ผ﬈̾ðఊ̾ᆏ༌Ĉ̿ʃఊ̾ᇩᆏ饨̳Zఊ冘̳ቆᇩ옘̴]ఊ세̀ኹቆਸ̴sఊ̾Ꮹኹ∈̴İఊ༨̿ᖇᏩྠ̿ƞఊየ̿ᨸᖇᚸ̿ұఊ ̿lŽĈabout:blankƁĈ퇀ミቐ&gt;銴̳⑈̿&#10;ƊĔ菱ョ톔ミ廊ョቐᳬベ⡀̿q&#10;ƐĈ(ՌР䗈̳Ĭఊ࿘̳ոՌ̀,ఊ̀&#10;؏ոఊứڥ؏̾ఊ࿨̳ۜڥ̀7ఊྈ̳۲ۜ縨̀ఊ蘘̀܈۲̾ఊ貰̀ߍ܈䱸̷Åఊ鍠̀ࡎߍ꠰̴ఊ̾ॷࡎ̾ĩఊ̾৓ॷ稀̳\ఊ̾ఓ৓̾ɀఊ̾ผఓ̾ȉఊ뾸༌ผ﬈̾ðఊ̾ᆏ༌Ĉ̿ʃఊ̾ᇩᆏ饨̳Zఊ冘̳ቆᇩ옘̴]ఊ세̀ኹቆਸ̴sఊ̾Ꮹኹ∈̴İఊ༨̿ᖇᏩྠ̿ƞఊየ̿ᨸᖇᚸ̿ұఊ ̿ ᩴᨸ̿&lt;ఊ␠̿qāĈabout:blankąĈ⑬̿⢘̿ጸ̿ĎĈ퇀ミቐB Ⳕ̿Ⲉ̿ēĈⲬ̿㆘̿⡈̿vĔĈ(ՌР䗈̳Ĭఊ࿘̳ոՌ̀,ఊ̀&#10;؏ոఊứڥ؏̾ఊ࿨̳ۜڥ̀7ఊྈ̳۲ۜ縨̀ఊ蘘̀܈۲̾ఊ貰̀ߍ܈䱸̷Åఊ鍠̀ࡎߍ꠰̴ఊ̾ॷࡎ̾ĩఊ̾৓ॷ稀̳\ఊ̾ఓ৓̾ɀఊ̾ผఓ̾ȉఊ뾸༌ผ﬈̾ðఊ̾ᆏ༌Ĉ̿ʃఊ̾ᇩᆏ饨̳Zఊ冘̳ቆᇩ옘̴]ఊ세̀ኹቆਸ̴sఊ̾Ꮹኹ∈̴İఊ༨̿ᖇᏩྠ̿ƞఊየ̿ᨸᖇᚸ̿ұఊ ̿ ᩴᨸ̿&lt;ఊ␠̿!᭮ᩴ㬐̀úఊ⡀̿vƎĊ۸La Ley̿ ƒČ菱ョ톔ミ廊ョቐᳬベ⢐̿ ƛĐverdadera{ƝĈ(ՌР䗈̳Ĭఊ࿘̳ոՌ̀,ఊ̀&#10;؏ոఊứڥ؏̾ఊ࿨̳ۜڥ̀7ఊྈ̳۲ۜ縨̀ఊ蘘̀܈۲̾ఊ貰̀ߍ܈䱸̷Åఊ鍠̀ࡎߍ꠰̴ఊ̾ॷࡎ̾ĩఊ̾৓ॷ稀̳\ఊ̾ఓ৓̾ɀఊ̾ผఓ̾ȉఊ뾸༌ผ﬈̾ðఊ̾ᆏ༌Ĉ̿ʃఊ̾ᇩᆏ饨̳Zఊ冘̳ቆᇩ옘̴]ఊ세̀ኹቆਸ̴sఊ̾Ꮹኹ∈̴İఊ༨̿ᖇᏩྠ̿ƞఊየ̿ᨸᖇᚸ̿ұఊ ̿ ᩴᨸ̿&lt;ఊ␠̿!᭮ᩴ㬐̀úఊ⡀̿&quot;ᱮ᭮ఠ̀ĀఊⲈ̿{ĘČ❠Ӊ옠̴̾﵀̾2̿ĜĈ퇀ミቐL̾ㄠ̿&#10;ġĔ菱ョ톔ミ廊ョቐᳬベ㆐̿&#10;įĐ&#10;serán㈈̿ĳĈㅄ̿㇨̿⢘̿ĴĈ퇀ミቐR̾㈨̿ĹĈ㉌̿㌐̿㆘̿łĐ&#10;serán㊠̿ ņČ菱ョ톔ミ廊ョቐᳬベ㇠̿ ŏĐ퇀ミቐV̀㋀̿őĐdeʣ&amp;㌸̿ ŕČ菱ョ톔ミ廊ョቐᳬベ㌈̿ ŢĐ㋤̿㏸̿㇨̿ŤĐ.ᨤʣ'㏐̿ŨĈ퇀ミቐ[ 㐜̿㎀̿&#10;ŭĔ菱ョ톔ミ廊ョቐᳬベ㏰̿&#10;ŻĐelʣ(㑨̿ſĈ㎤̿䧈̿㌐̿ƀĈaplicarseƅĈ퇀ミቐe끴̾䥸̿ƎĐ&#10;salas㴨̿ƒČhttp://www.monografias.com/trabajos36/naturaleza/naturaleza.shtmlఊƠČ䀈Ӗ세̀ƦĐ.ᨤʣ+䍐̿ƪČ⽐Ӗ㔘̿ƨĈdeヸ̿ƯĐcuyaㅰ̿TƳĎ辀ӈ$ɮMEWord12vUpAV_}tr&amp;!!!!!MKKSkWordConverter12Files&gt;t9~h,6A8T@hW!'pE}.E%Documento habilitado para macros de Word 2007\docmvUpAVU(8A$!!!!!MKKSkWordConverter12Files&gt;t9~h,6A8T@hW!'pE}.E%Word 2007 Macro-enabled Document\docmvUpAV_}tr&amp;!!!!!MKKSkWordConverter12Files&gt;t9~h,6A8T@hW!'pE}.E%Word 2007 Macro-enabled Document\docm䕘̷ TćČ菱ョ톔ミ廊ョቐᳬベ㡸̿ ČĈ㡔̿㤘̿̾đĈ퇀ミቐē㤼̿㣈̿ ĚČ菱ョ톔ミ廊ョቐᳬベ㤐̿ e ģĈ㣬̿㧈̿㢀̿or, ĤĈ&#10;textoīĈ퇀ミቐę파Ӊ㥸̿ ĬČ菱ョ톔ミ廊ョቐᳬベ㧀̿ia ĵĈ㦜̿㩠̿㤘̿deraľĈ퇀ミቐħ㪄̿㨐̿ ŃČ菱ョ톔ミ廊ョቐᳬベ㩘̿ti ňĈ㨴̿㬐̿㧈̿poneōĈ, hagŐĈ퇀ミቐĩ㬴̿㫀̿ ŕČ菱ョ톔ミ廊ョቐᳬベ㬈̿pu ŢĈ㫤̿㯀̿㩠̿ resŧĈlo laŪĈ퇀ミቐĬ㯤̿㭰̿ ůČ菱ョ톔ミ廊ョቐᳬベ㮸̿ i ŴĈ㮔̿㱰̿㬐̿ey eŹĈque lżĈ퇀ミቐİ&#10;㲔̿㰠̿ ƁČ菱ョ톔ミ廊ョቐᳬベ㱨̿e  ƎĈ㱄̿Đ̿㯀̿de iƓĈconstituyeČƔĈ퇀ミቐĻĴ̿㳠̿ ƙČ菱ョ톔ミ廊ョቐᳬベĈ̿ ƦČθ̷옠̴̾&#10;ƪĈ/trabajos12/desorgan/desorgan.shtml &#10;ưČ菱ョ톔ミ廊ョቐᳬベ䪠ӎde ƹĈ퇀ミቐ䥼ӎ㸈̿ ǂČ菱ョ톔ミ廊ョቐᳬベ㹐̿íc ǋĈ㸬̿㻰̿䪨ӎde RǌĈ퇀ミቐ 䦼ӎ㺠̿ ǑČ菱ョ톔ミ廊ョቐᳬベ㻨̿s  ǞĈ㻄̿㾈̿㹘̿en rǣĈ퇀ミቐ䦔ӎ㼸̿ ǤČ菱ョ톔ミ廊ョቐᳬベ㾀̿o  ǭĈ㽜̿䀠̿㻰̿lo qǶĈ퇀ミቐӍ㿐̿ ǻČ菱ョ톔ミ廊ョቐᳬベ䀘̿mo ĀĈ㿴̿䂸̿㾈̿ conąĈ퇀ミቐ䃜̿䁨̿ ĎČ菱ョ톔ミ廊ョቐᳬベ䂰̿a  ėĈ䂌̿䅨̿䀠̿ios,ĘĈdes qğĈ퇀ミቐ&#10;䆌̿䄘̿ ĠČ菱ョ톔ミ廊ョቐᳬベ䅠̿le ĩĈ䄼̿䈨̿䂸̿juezĲĈconsideraronsķĈ퇀ミቐ'䉌̿䇘̿ ĸČ菱ョ톔ミ廊ョቐᳬベ䈠̿￼￼ ŁĈ䇼̿䋘̿䅨̿es eŊĈaebenŉĈ퇀ミቐ)儼ӎ䊈̿ ŒČ菱ョ톔ミ廊ョቐᳬベ䋐̿to śĐ䊬̿凈ӎ䈨̿ídico. &#10;ŝĔ菱ョ톔ミ廊ョቐᳬベ֠͂&#10;ūĐdeʣ,䏘̿ůĈ퇀ミቐ)䏄̿嬰̿ŰĈ孔̿༰̿࣠̿ŵĈlaŸĐaᨤʣ-䟘̿zżĈŰîHƐÿȃ∁Albertus MTAlbertus MT ItalicItalicOccidentalmedio de impugnación 癤ࠀlo＞‟î½1&amp;HíƐɘɘ ∙ ÿ✀eࠀআˤ污ࠀǤŰïVƐȃ∁Albertus MTAlbertus MTRegularOccidentalupuestos, requisitos 癤ࠀro＞‟ï¾1'VĘƐɘɘ ∙ ✀ @ࠀএͱ污ࠀzǺČ⻐Ӗ㕈̿ǸĈ퇀ミቐ䯜ӊ䌀̿ǽĈ̾䢠̿̾&#10;ĆĈ퇀ミቐꛬ̾䡐̿ ċČ菱ョ톔ミ廊ョቐᳬベ䢘̿ō ĐĈ䡴̿䤸̿䠈̿ĕĈ퇀ミቐ̾䣨̿ ĞČ菱ョ톔ミ廊ョቐᳬベ䤰̿ ħĈ䤌̿Ѱ̷䢠̿ĨĐPura䧰̿ ĬČ菱ョ톔ミ廊ョቐᳬベ䧀̿ ĵĐ䦜̿叐̿㏸̿ĿĐELJ0䵈̿XŃĊ官̿Vid. Tesis S3ELJ 36/2002. “JUICIO PARA LA PROTECCIÓN DE LOS DERECHOS POLÍTICO-ELECTORALES DEL CIUDADANO. PROCEDE CUANDO SE ADUZCAN VIOLACIONES A DIVERSOS DERECHOS FUNDAMENTALES VINCULADOS CON LOS DERECHOS DE VOTAR, SER VOTADO, DE ASOCIACIÓN Y DE AFILIACIÓN”. Revista Justicia Electoral 2003, suplemento 6, páginas 40-41, Sala Superior, México. &#10;XƛĈ퇀ミቐh孼̿䳸̿&#10;ƜĔ菱ョ톔ミ廊ョቐᳬベ又̿&#10;ƪĐ.ᨤʣ1䵸̿ƮČ⹐Ӗ䟈̿ƬĐbajo厨̿ưĈ&#10;apoyaƷĈ퇀ミቐŠ乌̿䷘̿ ƸČ菱ョ톔ミ廊ョቐᳬベ丠̿cu ǁĈ䷼̿付̿װ̿nstiǊĈele aǉĈ퇀ミቐţ仼̿予̿ ǒČ菱ョ톔ミ廊ョቐᳬベ仐̿z  ǛĈ京̿侘̿丨̿s deǜĈmodelosenadorǡĈ퇀ミቐŪ侼̿佈̿ ǪČ菱ョ톔ミ廊ョቐᳬベ侐̿es ǳĈ佬̿偈̿付̿e laǴĈenes ǻĈ퇀ミቐŭ偬̿俸̿ ǼČ菱ョ톔ミ廊ョቐᳬベ偀̿s  ąĈ倜̿儈̿侘̿idatĎĈcuestión obteēĈ퇀ミቐŶ儬̿傸̿ ĔČ菱ョ톔ミ廊ョቐᳬベ儀̿s  ĝĈ僜̿凈̿偈̿ía dĦĈconsistenteloīĈ퇀ミቐƂ凬̿典̿ ĬČ菱ョ톔ミ廊ョቐᳬベ净̿ l ĵĈ农̿剸̿儈̿ harľĈenaraĽĈ퇀ミቐƅ&#10;劜̿刨̿ ņČ菱ョ톔ミ廊ョቐᳬベ剰̿pr ŏĈ剌̿匸̿凈̿sentŐĈconsiderarl dŕĈ퇀ミቐƐ卜̿勨̿ ŞČ菱ョ톔ミ廊ョቐᳬベ匰̿y  ŧĈ匌̿托̿剸̿ŨĈqueůĈ퇀ミቐƔ扼̿戈̿ŰČ䝈Ӗ崠ӔŶĐdeʣ3呀̿źĈ䴜̿吠̿䧈̿ſĈ퇀ミቐmత̿呠̿ƀĈ咄̿嚀̿叐̿ƅĐ29ʣ4哘̿ ƉČ菱ョ톔ミ廊ョቐᳬベ吘̿ ƖĐ퇀ミቐn&#10;囌̿嘰̿ƘĐ/ᨤʣ5嚨̿'ƜČ픸睌睌Ȅ26倝ࣄஸ蒸厮墈⾉哸̿᥀睋䱸̷䱸̷볠ӑt͌Ӕ̴Ӕ䷈̷⦈Ӑ退ꚶ즦鯁䎥殰裥隼0ᶫ嗲踬䇘풬⍧剷⡮ࣄټֱÌﵸׁ턘ӓD十䍙ió䱸̷睏it.,  95&#10; 'ǇČ菱ョ톔ミ廊ョቐᳬベ噸̿ ǌĐ噔̿圠̿吠̿ǖĐ0386址̿ǚĈreferenciaǟĈ퇀ミቐy덬̀̾ǠĈ̾̾嚀̿ǥĐ“ᨤʣ7埘̿ǩČⷐӖ䵨̿&#10;ǯČ/trabajos/epistemologia2/epistemologia2.shtml&#10;ǸĐ/ᨤʣ8塰̿ǼČⵐӖ坠̿&#10;ĂČ/trabajos/epistemologia2/epistemologia2.shtmlk&#10;ďĐ27ʣ9夈̿ēČⳐӖ埸̿&#10;đČ/trabajos/epistemologia2/epistemologia2.shtml&#10;ĢĐ16ʣ:夸̿ĦČⱐӖ墐̿ĤĐ15ʣ;愐̿ĨĈa䳐̿8įĈᔠӅj⋠Ӕ곐Ӕ㹠Ӗ㷨ӖỀӠꝠӔ놠ӔӚӚ澸ӟ潀ӟ滰ӟ溠ӟ洘ӟꕐӔ晠ӟ暰ӟ枀ӟ汸ӟ毐ӟ欨ӟ갠Ӕ楈ӟ栠ӟ釸̳鈠̳葸Ӕ퍐Ӕ챘Ӕ⾀ӛ궐ӔㇸӖᤘӠ퀘Ӕ툠Ӕ㵘Ӗ㬘ӕ춨Ӕ칀Ӕ줘Ӕ쨨Ӕ쫀Ӕ扨ӓ诐Ӕ豨Ӕ贀Ӕ領Ӕ颰Ӕ胈Ӕ腠Ӕ픨Ӕ헨ӔኘӔፘӔᏰӔ蘘Ӕ蛈Ӕ蝸Ӕ蠨Ӕ裘Ӕ髰Ӕ鮰Ӕ鱠Ӕ鴠Ӕ鷠Ӕ麐Ӕ齐ӔꄨӔꇘӔꊘӔꍘӔӚӚӚӚӚӚӚӚӚӚӚӚӚӚӚӚӚӚӚӚӚӚӚӚӚӚӚӚӚӚӚӚӚӚ蘿Ӛ 8ŧČ菱ョ톔ミ廊ョቐᳬベ䎘̿ ŬĐcasoXŰČ밨̿Tesis 12/2009. “ACCESO AL CARGO DE DIPUTADO. COMPETE A LA SALA SUPERIOR CONOCER DE LAS IMPUGNACIONES RELACIONADAS CON ÉL”. La Sala Superior en sesión pública celebrada el ocho de julio de dos mil nueve, aprobó por unanimidad de votos la jurisprudencia. Vid. También la ejecutoria dictada en el asunto identificado con la clave SUP-JRC-10/2010.&#10;세̀&#10;XǈČ/trabajos/epistemologia2/epistemologia2.shtml=&#10;ǕĈῘӅTesis S3ELJ 15/2001. “JUICIO PARA LA PROTECCIÓN DE LOS DERECHOS POLÍTICO-ELECTORALES DEL CIUDADANO. ES IMPROCEDENTE CONTRA ACTOS DE PARTIDOS POLÍTICOS”. Compilación Oficial de Jurisprudencia y Tesis Relevantes 1997-2002, páginas 118-119.&#10;&#10;=ĖČက攣L&#10;ģĐ03ʣ&lt;ꤠ̿ħĈ퇀ミቐ懌̿慘̿ ĨČ菱ョ톔ミ廊ョቐᳬベ憠̿䥸̿ ıĈ慼̿爨̿Ð̿䳐̿ĺĈ“奰̿ÛĹĈ퇀ミቐ牌̿燘̿ łČ菱ョ톔ミ廊ョቐᳬベ扐̿pr ŋĈ戬̿挈̿匸̿ableŌĈlade œĈ퇀ミቐƗ挬̿抸̿ ŔČ菱ョ톔ミ廊ョቐᳬベ挀̿ c ŝĈ拜̿揈̿托̿do eŦĈConstitución ūĈ퇀ミቐƤ揬̿捸̿ ŬČ菱ョ톔ミ廊ョቐᳬベ揀̿7, ŵĈ掜̿撈̿挈̿rso žĈcontiened queƃĈ퇀ミቐƭ撬̿搸̿ ƄČ菱ョ톔ミ廊ョቐᳬベ撀̿gi ƍĈ摜̿攸̿揈̿ EleƖĈuna cƕĈ퇀ミቐƱ敜̿擨̿ ƞČ菱ョ톔ミ廊ョቐᳬベ攰̿de ƧĈ攌̿旨̿撈̿ón pƨĈ&#10;serieƯĈ퇀ミቐƷ昌̿斘̿ ưČ菱ョ톔ミ廊ョቐᳬベ无̿l  ƹĈ於̿暘̿攸̿. SiǂĈde, dǁĈ퇀ミቐƺ&#10;暼̿晈̿ ǊČ菱ョ톔ミ廊ョቐᳬベ暐̿nt ǓĈ晬̿杘̿旨̿intaǔĈprincipioslevǙĈ퇀ミቐǄ杼̿月̿ ǢČ菱ョ톔ミ廊ョቐᳬベ材̿os ǫĈ本̿栈̿暘̿la aǬĈ, eleǳĈ퇀ミቐǆ栬̿枸̿ ǴČ菱ョ톔ミ廊ョቐᳬベ栀̿ a ǽĈ柜̿梸̿杘̿a laĆĈ&#10;entreąĈ퇀ミቐǌ棜̿桨̿ ĎČ菱ョ톔ミ廊ョቐᳬベ械̿lo ėĈ梌̿楨̿栈̿o seĘĈlospuğĈ퇀ミቐǐ榌̿椘̿ ĠČ菱ョ톔ミ廊ョቐᳬベ楠̿an ĩĈ椼̿槐̿梸̿enidĲĈqueteıĈ퇀ミቐǔᛤ̿ᚘ̿ĺĈᚼ̿ក̿楨̿&#10;猨䠣䥅ĿĈ퇀ミቐ÷檌̿樘̿ ŀČ菱ョ톔ミ廊ョቐᳬベ橠̿؏ ŉĈ樼̿欨̿꾰̿ڥŒĈNacional̳ۜŗĈ퇀ミቐĀ歌̿櫘̿ ŘČ菱ョ톔ミ廊ョቐᳬベ欠̿貰̀ šĈ櫼̿毨̿橨̿鍠̀ŪĈAutónoma̾ůĈ퇀ミቐĉ氌̿殘̿ ŰČ菱ョ톔ミ廊ョቐᳬベ毠̿ఊ ŹĈ殼̿沘̿欨̿ఊƂĈdeƁĈ퇀ミቐČ沼̿汈̿ ƊČ菱ョ톔ミ廊ョቐᳬベ沐̿ቆ ƓĈ汬̿浘̿毨̿ኹƔĈMéxico̾ᏩƙĈ퇀ミቐĒ浼̿洈̿ ƢČ菱ョ톔ミ廊ョቐᳬベ浐̿ ̿ ƫĈ洬̿済̿沘̿␠̿ƬĈ,㬐̀úƳĈ퇀ミቐĔ測̿涸̿ ƴČ菱ョ톔ミ廊ョቐᳬベ渀̿ ƽĈ淜̿激̿浘̿ἑǆĈMéxico⃣ₔǋČEGISTRY\USER\S-1-5-21-344993071-340863895-1717261708-1284_Classes\Excel.Sheet.8\CLSIDD㤀ӊ㦰ӊ㩰ӊ㬠ӊ㯠ӊ㲐ӊ㵀ӊ㷰ӊ㺠ӊ㽐ӊ䀈ӊ䂸ӊ䅨ӊ䈘ӊ䋈ӊǪĈ퇀ミቐĚ濤̿潰̿ ǯČ菱ョ톔ミ廊ョቐᳬベ澸̿ ǴĈ澔̿灰̿済̿ⲷǹĈ,䥸̿ǼĈ퇀ミቐĜ炔̿瀠̿ āČ菱ョ톔ミ廊ョቐᳬベ灨̿ࠊ ĎĈ灄̿焠̿激̿ఊēĈ1994ĖĈ퇀ミቐĠ煄̿烐̿ ěČ菱ョ톔ミ廊ョቐᳬベ焘̿㝴 ĠĈ烴̿뀀̿灰̿9㠤ĥĈ,ఊĨĈ퇀ミቐĢ뀤̿熀̿ ĭČ菱ョ톔ミ廊ョቐᳬベ꿸̿ð ĺČ⯐Ӗ夨̿ ĸČ菱ョ톔ミ廊ョቐᳬベ爠̿昚脠 ŁĈ燼̿狨̿憨̿䈒䈈萈䈐ŊĈIgnacio㼍✏㼑丏丢촢ŏĈ퇀ミቐ!猌̿犘̿ ŐČ菱ョ톔ミ廊ョቐᳬベ狠̿昝 řĈ犼̿玘̿爨̿萐萐萐䈐ŢĈLuis༠šĈ퇀ミቐ&amp;玼̿獈̿ ŪČ菱ョ톔ミ廊ョቐᳬベ玐̿氛 ųĈ獬̿瑘̿狨̿ሑ餌漕餋ŴĈVallarta圔餍餕餕餕ŹĈ퇀ミቐ.瑼̿琈̿ ƂČ菱ョ톔ミ廊ョቐᳬベ瑐̿缀܀ ƋĈ琬̿甈̿玘̿윁줂񐤂ƌĈ.∠ＡÿἀƓĈ퇀ミቐ0甬̿璸̿ ƔČ菱ョ톔ミ廊ョቐᳬベ甀̿ৡ࣡ ƝĈ瓜̿疸̿瑘̿漈漋挖ƦĈLaƥĈ퇀ミቐ3&#10;痜̿畨̿ ƮČ菱ョ톔ミ廊ョቐᳬベ疰̿윤␘ ƷĈ疌̿癸̿甈̿漢딋ƸĈincompetenciaƽĈ퇀ミቐA皜̿瘨̿ ǆČ菱ョ톔ミ廊ョቐᳬベ癰̿漋漋 ǏĈ癌̿眨̿疸̿ఖ㰚ఖ㰚ǐĈde윙ǗĈ퇀ミቐD睌̿盘̿ ǘČ菱ョ톔ミ廊ョቐᳬベ眠̿윒␘ ǡĈ盼̿矨̿癸̿ǪĈorigen挑砧ሬሌǯĈ퇀ミቐK砌̿瞘̿ ǰČ菱ョ톔ミ廊ョቐᳬベ矠̿ᨠḠ ǹĈ瞼̿碘̿眨̿㘁㤁䄁䰁ĂĈyጂᠠāĈ퇀ミቐM碼̿硈̿ ĊČ菱ョ톔ミ廊ョቐᳬベ碐̿⨊⨊ ēĈ硬̿祈̿矨̿氢丒脢餗ĔĈlos椝ěĈ퇀ミቐQ祬̿磸̿ ĜČ菱ョ톔ミ廊ョቐᳬベ祀̿吔✔ ĥĈ礜̿逐̿碘̿⨔吊圔名ĮĈderechos吔吔ĳĈ퇀ミቐZ 逴̿禸̿ ĴČ菱ョ톔ミ廊ョቐᳬベ逈̿ ĽĐ”餔吕餔吕餔ŁĈ,y1ńĈ..&#10;ŋĈTC:\DOCUME~1\FERNAN~1.RAM\CONFIG~1\Temp\VBE&#10;ŔĈ퇀ミቐ ̾̾řĈ̾笸̿̾ŢĈ퇀ミቐ&#10;̾̾ŧĈ̾篐̿竨̿ŨĈ퇀ミቐ稤̿简̿ ŭČ菱ョ톔ミ廊ョቐᳬベ篈̿ źĈ箤̿籨̿笸̿ſĈ퇀ミቐ粌̿簘̿ ƀČ菱ョ톔ミ廊ョቐᳬベ籠̿ ƉĈ簼̿紨̿篐̿ƒĈJavierƗĈ퇀ミቐ稼̿糘̿ ƘČ菱ョ톔ミ廊ョቐᳬベ素̿ ơĈ糼̿緀̿籨̿ƪĈ퇀ミቐ緤̿絰̿ ƯČ菱ョ톔ミ廊ョቐᳬベ綸̿ ƴĈ綔̿繰̿紨̿ƹĈJoséƼĈ퇀ミቐ$纔̿縠̿ ǁČ菱ョ톔ミ廊ョቐᳬベ繨̿ ǎĈ繄̿缠̿緀̿ǓĈ&#10;MaríaǖĈ퇀ミቐ*罄̿绐̿ ǛČ菱ョ톔ミ廊ョቐᳬベ缘̿ ǠĈ维̿翠̿繰̿ǥĈIglesiasǮĈ퇀ミቐ3耄̿羐̿ ǳČ菱ョ톔ミ廊ョቐᳬベ翘̿ ǸĈ羴̿肐̿缠̿ǽĈyĀĈ퇀ミቐ5肴̿聀̿ ąČ菱ョ톔ミ廊ョቐᳬベ肈̿ ĒĈ聤̿腀̿翠̿ėĈlaĚĈ퇀ミቐ8腤̿胰̿ ğČ菱ョ톔ミ廊ョቐᳬベ脸̿ ĤĈ脔̿舀̿肐̿ĩĈjusticiaĲĈ퇀ミቐA 舤̿膰̿ ķČ菱ョ톔ミ廊ョቐᳬベ臸̿ ļĈ臔̿苀̿腀̿ŁĈelectoralŊĈ퇀ミቐJ苤̿艰̿ ŏČ菱ョ톔ミ廊ョቐᳬベ芸̿ ŔĈ芔̿荰̿舀̿řĈ.ŜĈ퇀ミቐL 莔̿茠̿ šČ菱ョ톔ミ廊ョቐᳬベ荨̿ ŮĈ荄̿萰̿苀̿ųĈInstitutoŴĈ퇀ミቐV葔̿菠̿ ŹČ菱ョ톔ミ廊ョቐᳬベ萨̿ ƆĈ萄̿蓠̿荰̿ƋĈdeƎĈ퇀ミቐYꟼ̴蒐̿ ƓČ菱ョ톔ミ廊ョቐᳬベ蓘̿ ƘĈ蒴̿蕸̿萰̿ƝĈ퇀ミቐi 薜̿蔨̿ ƦČ菱ョ톔ミ廊ョቐᳬベ蕰̿ ƯĈ蕌̿蘸̿蓠̿ưĈJurídicasƵĈ퇀ミቐr虜̿藨̿ ƾČ菱ョ톔ミ廊ョቐᳬベ蘰̿ ǇĈ蘌̿蛨̿蕸̿ǈĈ,ǏĈ퇀ミቐt蜌̿蚘̿ ǐČ菱ョ톔ミ廊ョቐᳬベ蛠̿ ǙĈ蚼̿螨̿蘸̿ǢĈUniversidadǧĈ퇀ミቐ蟌̿蝘̿ ǨČ菱ョ톔ミ廊ョቐᳬベ螠̿ ǱĈ蝼̿表̿蛨̿ǺĈNacionalǿĈ퇀ミቐ袌̿蠘̿ ĀČ菱ョ톔ミ廊ョቐᳬベ衠̿ ĉĈ蠼̿褨̿螨̿ĒĈAutónomaėĈ퇀ミቐ襌̿裘̿ ĘČ菱ョ톔ミ廊ョቐᳬベ褠̿ ġĈ裼̿觘̿表̿ĪĈdeĩĈ퇀ミቐ觼̿覈̿ ĲČ菱ョ톔ミ廊ョቐᳬベ觐̿ ĻĈ覬̿誘̿褨̿ļĈMéxicoŁĈ퇀ミቐ誼̿詈̿ ŊČ菱ョ톔ミ廊ョቐᳬベ誐̿ œĈ詬̿譈̿觘̿ŔĈ,śĈ퇀ミቐ譬̿諸̿ ŜČ菱ョ톔ミ廊ョቐᳬベ譀̿ ťĈ謜̿谈̿誘̿ŮĈMéxicoųĈ퇀ミቐ£谬̿许̿ ŴČ菱ョ톔ミ廊ョቐᳬベ谀̿ ŽĈ诜̿貸̿譈̿ƆĈ,ƅĈ퇀ミቐ¥賜̿豨̿ ƎČ菱ョ톔ミ廊ョቐᳬベ貰̿ ƗĈ貌̿赨̿谈̿ƘĈ1994ƟĈ퇀ミቐ©趌̿贘̿ ƠČ菱ョ톔ミ廊ョቐᳬベ赠̿ ƩĈ贼̿踘̿貸̿ƲĈ,ƱĈ퇀ミቐ«踼̿跈̿ ƺČ菱ョ톔ミ廊ョቐᳬベ踐̿ ǃĈ跬̿軘̿赨̿ǄĈpaginasǉĈ퇀ミቐ³軼̿躈̿ ǒČ菱ョ톔ミ廊ョቐᳬベ軐̿ ǛĈ躬̿辈̿踘̿ǜĈ111ǣĈ퇀ミቐ¶辬̿輸̿ ǤČ菱ョ톔ミ廊ョቐᳬベ辀̿ ǭĈ轜̿̾軘̿ǶĈ-ǵĈ퇀ミቐ·迬̿̾ǾĐ113ĂĈ秜̿郐̿祈̿ćĈpolíticosĈĈ퇀ミቐc稄̿邀̿ čČ菱ョ톔ミ廊ョቐᳬベ郈̿ ĚĈ邤̿酨̿逐̿ğĈ퇀ミቐe醌̿鄘̿ ĠČ菱ョ톔ミ廊ョቐᳬベ酠̿ ĩĈ鄼̿鈘̿郐̿ĲĈenıĈ퇀ミቐh 鈼̿釈̿ ĺČ菱ョ톔ミ廊ョቐᳬベ鈐̿ ŃĈ釬̿鋘̿酨̿ńĈCuadernosŉĈ퇀ミቐr鋼̿銈̿ ŒČ菱ョ톔ミ廊ョቐᳬベ鋐̿ śĈ銬̿鎈̿鈘̿ŜĈdelţĈ퇀ミቐv 鎬̿錸̿ ŤČ菱ョ톔ミ廊ョቐᳬベ鎀̿ ŭĈ鍜̿鑈̿鋘̿ŶĈInstitutoŻĈ퇀ミቐ鑬̿鏸̿ żČ菱ョ톔ミ廊ョቐᳬベ鑀̿ ƅĈ鐜̿镸̿鎈̿ƎĈdeƍČ/trabajos14/medios-comunicacion/medios-comunicacion.shtmlⷠӊƝĈ퇀ミቐ̾锨̿ ƦČ菱ョ톔ミ廊ョቐᳬベ镰̿ ƯĈ镌̿阐̿鑈̿ưĈ퇀ミቐ 阴̿闀̿ ƵČ菱ョ톔ミ廊ョቐᳬベ阈̿ ǂĈ闤̿雐̿镸̿ǇĈJurídicasǈĈ퇀ミቐ雴̿隀̿ ǍČ菱ョ톔ミ廊ョቐᳬベ雈̿ ǚĈ隤̿鞀̿阐̿ǟĈ.ǢĈ퇀ミቐ鞤̿霰̿ ǧČ菱ョ톔ミ廊ョቐᳬベ靸̿ ǬĈ靔̿飀̿雐̿ǱĈAǴČh"/>
        </w:smartTagPr>
        <w:r w:rsidRPr="00A32680">
          <w:rPr>
            <w:rFonts w:ascii="Univers" w:hAnsi="Univers" w:cs="Arial"/>
            <w:i/>
          </w:rPr>
          <w:t>la Constitución. Memoria</w:t>
        </w:r>
      </w:smartTag>
      <w:r w:rsidRPr="00A32680">
        <w:rPr>
          <w:rFonts w:ascii="Univers" w:hAnsi="Univers" w:cs="Arial"/>
          <w:i/>
        </w:rPr>
        <w:t xml:space="preserve"> del Coloquio Internacional en celebración del sesquicentenario del Acta de Reformas Constitucionales de 1847, origen federal del juicio de amparo mexicano. </w:t>
      </w:r>
      <w:r w:rsidRPr="00A32680">
        <w:rPr>
          <w:rFonts w:ascii="Univers" w:hAnsi="Univers" w:cs="Arial"/>
        </w:rPr>
        <w:t>Universidad Nacional Autónoma de México, México, 1997, página 11.</w:t>
      </w:r>
    </w:p>
  </w:footnote>
  <w:footnote w:id="20">
    <w:p w14:paraId="623E2290" w14:textId="77777777" w:rsidR="00AD59FF" w:rsidRPr="00A32680" w:rsidRDefault="00AD59FF" w:rsidP="00AD59FF">
      <w:pPr>
        <w:pStyle w:val="Textonotapie"/>
        <w:jc w:val="both"/>
        <w:rPr>
          <w:rFonts w:ascii="Univers" w:hAnsi="Univers" w:cs="Arial"/>
        </w:rPr>
      </w:pPr>
      <w:r w:rsidRPr="00A32680">
        <w:rPr>
          <w:rStyle w:val="Refdenotaalpie"/>
          <w:rFonts w:ascii="Univers" w:hAnsi="Univers" w:cs="Arial"/>
        </w:rPr>
        <w:footnoteRef/>
      </w:r>
      <w:r w:rsidRPr="00A32680">
        <w:rPr>
          <w:rFonts w:ascii="Univers" w:hAnsi="Univers" w:cs="Arial"/>
        </w:rPr>
        <w:t xml:space="preserve"> </w:t>
      </w:r>
      <w:r w:rsidRPr="00A32680">
        <w:rPr>
          <w:rFonts w:ascii="Univers" w:hAnsi="Univers" w:cs="Arial"/>
          <w:i/>
        </w:rPr>
        <w:t>Ibidem</w:t>
      </w:r>
      <w:r w:rsidRPr="00A32680">
        <w:rPr>
          <w:rFonts w:ascii="Univers" w:hAnsi="Univers" w:cs="Arial"/>
        </w:rPr>
        <w:t>, página 12</w:t>
      </w:r>
      <w:r w:rsidRPr="00A32680">
        <w:rPr>
          <w:rFonts w:ascii="Univers" w:hAnsi="Univers" w:cs="Arial"/>
          <w:i/>
        </w:rPr>
        <w:t>.</w:t>
      </w:r>
    </w:p>
  </w:footnote>
  <w:footnote w:id="21">
    <w:p w14:paraId="436848C1" w14:textId="77777777" w:rsidR="009B02C2" w:rsidRDefault="009B02C2" w:rsidP="009B02C2">
      <w:pPr>
        <w:jc w:val="both"/>
      </w:pPr>
      <w:r>
        <w:rPr>
          <w:rStyle w:val="Refdenotaalpie"/>
        </w:rPr>
        <w:footnoteRef/>
      </w:r>
      <w:r>
        <w:t xml:space="preserve"> </w:t>
      </w:r>
      <w:r>
        <w:rPr>
          <w:i/>
        </w:rPr>
        <w:t xml:space="preserve">Enciclopedia de los municipios de México, </w:t>
      </w:r>
      <w:r>
        <w:t xml:space="preserve">Instituto Nacional para el Federalismo y el Desarrollo Municipal, Secretaria de Gobernación, en </w:t>
      </w:r>
      <w:hyperlink r:id="rId3" w:history="1">
        <w:r>
          <w:rPr>
            <w:rStyle w:val="Hipervnculo"/>
          </w:rPr>
          <w:t>http://www.e-local.gob.mx/wb2/ELOCAL/EMM_michoacan</w:t>
        </w:r>
      </w:hyperlink>
    </w:p>
    <w:p w14:paraId="12BBE7E3" w14:textId="77777777" w:rsidR="009B02C2" w:rsidRPr="00580D64" w:rsidRDefault="009B02C2" w:rsidP="009B02C2">
      <w:pPr>
        <w:pStyle w:val="Textonotapie"/>
        <w:rPr>
          <w:lang w:val="es-ES"/>
        </w:rPr>
      </w:pPr>
    </w:p>
  </w:footnote>
  <w:footnote w:id="22">
    <w:p w14:paraId="4DBBA5CA" w14:textId="77777777" w:rsidR="009B02C2" w:rsidRDefault="009B02C2" w:rsidP="009B02C2">
      <w:r>
        <w:rPr>
          <w:rStyle w:val="Refdenotaalpie"/>
        </w:rPr>
        <w:footnoteRef/>
      </w:r>
      <w:r>
        <w:t xml:space="preserve"> Cfr., </w:t>
      </w:r>
      <w:hyperlink r:id="rId4" w:history="1">
        <w:r>
          <w:rPr>
            <w:rStyle w:val="Hipervnculo"/>
          </w:rPr>
          <w:t>http://www.inegi.org.mx/sistemas/mexicocifras/default.aspx?src=487&amp;e=16</w:t>
        </w:r>
      </w:hyperlink>
    </w:p>
    <w:p w14:paraId="32D4044F" w14:textId="77777777" w:rsidR="009B02C2" w:rsidRPr="00580D64" w:rsidRDefault="009B02C2" w:rsidP="009B02C2">
      <w:pPr>
        <w:pStyle w:val="Textonotapie"/>
        <w:rPr>
          <w:lang w:val="es-ES"/>
        </w:rPr>
      </w:pPr>
    </w:p>
  </w:footnote>
  <w:footnote w:id="23">
    <w:p w14:paraId="0AB620F2" w14:textId="77777777" w:rsidR="009B02C2" w:rsidRPr="00580D64" w:rsidRDefault="009B02C2" w:rsidP="009B02C2">
      <w:pPr>
        <w:pStyle w:val="Textonotapie"/>
        <w:rPr>
          <w:i/>
        </w:rPr>
      </w:pPr>
      <w:r>
        <w:rPr>
          <w:rStyle w:val="Refdenotaalpie"/>
        </w:rPr>
        <w:footnoteRef/>
      </w:r>
      <w:r>
        <w:t xml:space="preserve"> </w:t>
      </w:r>
      <w:r>
        <w:rPr>
          <w:i/>
        </w:rPr>
        <w:t>Ibidem.</w:t>
      </w:r>
    </w:p>
  </w:footnote>
  <w:footnote w:id="24">
    <w:p w14:paraId="081A9A04" w14:textId="77777777" w:rsidR="009B02C2" w:rsidRPr="00E242FD" w:rsidRDefault="009B02C2" w:rsidP="009B02C2">
      <w:pPr>
        <w:pStyle w:val="Textonotapie"/>
        <w:jc w:val="both"/>
        <w:rPr>
          <w:rFonts w:ascii="Arial" w:hAnsi="Arial" w:cs="Arial"/>
          <w:sz w:val="22"/>
          <w:szCs w:val="22"/>
        </w:rPr>
      </w:pPr>
      <w:r w:rsidRPr="00E242FD">
        <w:rPr>
          <w:rStyle w:val="Refdenotaalpie"/>
          <w:rFonts w:ascii="Arial" w:hAnsi="Arial" w:cs="Arial"/>
          <w:sz w:val="22"/>
          <w:szCs w:val="22"/>
        </w:rPr>
        <w:footnoteRef/>
      </w:r>
      <w:r w:rsidRPr="00E242FD">
        <w:rPr>
          <w:rFonts w:ascii="Arial" w:hAnsi="Arial" w:cs="Arial"/>
          <w:sz w:val="22"/>
          <w:szCs w:val="22"/>
        </w:rPr>
        <w:t xml:space="preserve"> Cabe señalar que </w:t>
      </w:r>
      <w:r>
        <w:rPr>
          <w:rFonts w:ascii="Arial" w:hAnsi="Arial" w:cs="Arial"/>
          <w:sz w:val="22"/>
          <w:szCs w:val="22"/>
        </w:rPr>
        <w:t xml:space="preserve">—según el propio Informe de resultados de la Consulta— </w:t>
      </w:r>
      <w:r w:rsidRPr="00E242FD">
        <w:rPr>
          <w:rFonts w:ascii="Arial" w:hAnsi="Arial" w:cs="Arial"/>
          <w:sz w:val="22"/>
          <w:szCs w:val="22"/>
        </w:rPr>
        <w:t>a la pregunta que se hizo sobre: Que levante la mano quie</w:t>
      </w:r>
      <w:r>
        <w:rPr>
          <w:rFonts w:ascii="Arial" w:hAnsi="Arial" w:cs="Arial"/>
          <w:sz w:val="22"/>
          <w:szCs w:val="22"/>
        </w:rPr>
        <w:t>n</w:t>
      </w:r>
      <w:r w:rsidRPr="00E242FD">
        <w:rPr>
          <w:rFonts w:ascii="Arial" w:hAnsi="Arial" w:cs="Arial"/>
          <w:sz w:val="22"/>
          <w:szCs w:val="22"/>
        </w:rPr>
        <w:t xml:space="preserve"> está de acuerdo con el sistema de partidos políticos, para elegir a las autoridades del municipio de Cherán, No levantó la mano ninguna de las 498 personas presentes, haciéndose manifiesto con voz un NO. </w:t>
      </w:r>
    </w:p>
  </w:footnote>
  <w:footnote w:id="25">
    <w:p w14:paraId="7F934478" w14:textId="77777777" w:rsidR="009B02C2" w:rsidRPr="002A65B3" w:rsidRDefault="009B02C2" w:rsidP="009B02C2">
      <w:pPr>
        <w:pStyle w:val="Textonotapie"/>
        <w:jc w:val="both"/>
        <w:rPr>
          <w:sz w:val="24"/>
          <w:szCs w:val="24"/>
        </w:rPr>
      </w:pPr>
      <w:r w:rsidRPr="002A65B3">
        <w:rPr>
          <w:rStyle w:val="Refdenotaalpie"/>
          <w:sz w:val="24"/>
          <w:szCs w:val="24"/>
        </w:rPr>
        <w:footnoteRef/>
      </w:r>
      <w:r w:rsidRPr="002A65B3">
        <w:rPr>
          <w:sz w:val="24"/>
          <w:szCs w:val="24"/>
        </w:rPr>
        <w:t xml:space="preserve"> </w:t>
      </w:r>
      <w:r w:rsidRPr="002A65B3">
        <w:rPr>
          <w:i/>
          <w:sz w:val="24"/>
          <w:szCs w:val="24"/>
        </w:rPr>
        <w:t xml:space="preserve">Vid, </w:t>
      </w:r>
      <w:r w:rsidRPr="002A65B3">
        <w:rPr>
          <w:rFonts w:ascii="Arial" w:hAnsi="Arial" w:cs="Arial"/>
          <w:i/>
          <w:sz w:val="24"/>
          <w:szCs w:val="24"/>
        </w:rPr>
        <w:t>Compilación Oficial de Jurisprudencia y Tesis Relevantes 1997-2005</w:t>
      </w:r>
      <w:r w:rsidRPr="002A65B3">
        <w:rPr>
          <w:rFonts w:ascii="Arial" w:hAnsi="Arial" w:cs="Arial"/>
          <w:sz w:val="24"/>
          <w:szCs w:val="24"/>
        </w:rPr>
        <w:t xml:space="preserve">, México, Tribunal Electoral del Poder Judicial de </w:t>
      </w:r>
      <w:smartTag w:uri="urn:schemas-microsoft-com:office:smarttags" w:element="PersonName">
        <w:smartTagPr>
          <w:attr w:name="ProductID" w:val="LA FEDERACIￓN"/>
        </w:smartTagPr>
        <w:r w:rsidRPr="002A65B3">
          <w:rPr>
            <w:rFonts w:ascii="Arial" w:hAnsi="Arial" w:cs="Arial"/>
            <w:sz w:val="24"/>
            <w:szCs w:val="24"/>
          </w:rPr>
          <w:t>la Federaci</w:t>
        </w:r>
        <w:r>
          <w:rPr>
            <w:rFonts w:ascii="Arial" w:hAnsi="Arial" w:cs="Arial"/>
            <w:sz w:val="24"/>
            <w:szCs w:val="24"/>
          </w:rPr>
          <w:t>ón</w:t>
        </w:r>
      </w:smartTag>
      <w:r>
        <w:rPr>
          <w:rFonts w:ascii="Arial" w:hAnsi="Arial" w:cs="Arial"/>
          <w:sz w:val="24"/>
          <w:szCs w:val="24"/>
        </w:rPr>
        <w:t>, 2005, pp. 956-957.</w:t>
      </w:r>
    </w:p>
  </w:footnote>
  <w:footnote w:id="26">
    <w:p w14:paraId="4FB6B890" w14:textId="77777777" w:rsidR="009B02C2" w:rsidRPr="008905CD" w:rsidRDefault="009B02C2" w:rsidP="009B02C2">
      <w:pPr>
        <w:pStyle w:val="Textonotapie"/>
        <w:jc w:val="both"/>
        <w:rPr>
          <w:rFonts w:ascii="Arial" w:hAnsi="Arial" w:cs="Arial"/>
          <w:sz w:val="22"/>
          <w:szCs w:val="22"/>
        </w:rPr>
      </w:pPr>
      <w:r w:rsidRPr="008905CD">
        <w:rPr>
          <w:rStyle w:val="Refdenotaalpie"/>
          <w:rFonts w:ascii="Arial" w:hAnsi="Arial" w:cs="Arial"/>
          <w:sz w:val="22"/>
          <w:szCs w:val="22"/>
        </w:rPr>
        <w:footnoteRef/>
      </w:r>
      <w:r w:rsidRPr="008905CD">
        <w:rPr>
          <w:rFonts w:ascii="Arial" w:hAnsi="Arial" w:cs="Arial"/>
          <w:sz w:val="22"/>
          <w:szCs w:val="22"/>
        </w:rPr>
        <w:t xml:space="preserve"> En éste y en los párrafos siguientes se siguen, en lo sustancial, las consideraciones de esta Sala Superior al resolver el referido juicio para la protección de los derechos político-electorales del ciudadano identificado.</w:t>
      </w:r>
    </w:p>
  </w:footnote>
  <w:footnote w:id="27">
    <w:p w14:paraId="2FD347A7" w14:textId="77777777" w:rsidR="009B02C2" w:rsidRPr="00A06DD7" w:rsidRDefault="009B02C2" w:rsidP="009B02C2">
      <w:pPr>
        <w:pStyle w:val="Textonotapie"/>
        <w:jc w:val="both"/>
        <w:rPr>
          <w:rFonts w:ascii="Arial" w:hAnsi="Arial" w:cs="Arial"/>
          <w:sz w:val="22"/>
          <w:szCs w:val="22"/>
        </w:rPr>
      </w:pPr>
      <w:r w:rsidRPr="00A06DD7">
        <w:rPr>
          <w:rStyle w:val="Refdenotaalpie"/>
          <w:rFonts w:ascii="Arial" w:hAnsi="Arial" w:cs="Arial"/>
          <w:sz w:val="22"/>
          <w:szCs w:val="22"/>
        </w:rPr>
        <w:footnoteRef/>
      </w:r>
      <w:r w:rsidRPr="00A06DD7">
        <w:rPr>
          <w:rFonts w:ascii="Arial" w:hAnsi="Arial" w:cs="Arial"/>
          <w:sz w:val="22"/>
          <w:szCs w:val="22"/>
        </w:rPr>
        <w:t xml:space="preserve"> Sirve de criterio orientador la tesis LXIX/2011sustentada por el Pleno de la Suprema Corte de Justicia de la Nación, de rubro: “PASOS A SEGUIR EN EL CONTROL DE CONSTITUCIONALIDAD Y CONVENCIONALIDAD EX OFFICIO EN MATERIA DE DERECHOS HUMANOS”.  </w:t>
      </w:r>
    </w:p>
  </w:footnote>
  <w:footnote w:id="28">
    <w:p w14:paraId="57709541" w14:textId="77777777" w:rsidR="009B02C2" w:rsidRPr="0022151F" w:rsidRDefault="009B02C2" w:rsidP="009B02C2">
      <w:pPr>
        <w:pStyle w:val="Textonotapie"/>
        <w:jc w:val="both"/>
        <w:rPr>
          <w:rFonts w:ascii="Arial" w:hAnsi="Arial" w:cs="Arial"/>
          <w:sz w:val="22"/>
          <w:szCs w:val="22"/>
        </w:rPr>
      </w:pPr>
      <w:r w:rsidRPr="0022151F">
        <w:rPr>
          <w:rStyle w:val="Refdenotaalpie"/>
          <w:rFonts w:ascii="Arial" w:hAnsi="Arial" w:cs="Arial"/>
          <w:sz w:val="22"/>
          <w:szCs w:val="22"/>
        </w:rPr>
        <w:footnoteRef/>
      </w:r>
      <w:r w:rsidRPr="0022151F">
        <w:rPr>
          <w:rFonts w:ascii="Arial" w:hAnsi="Arial" w:cs="Arial"/>
          <w:sz w:val="22"/>
          <w:szCs w:val="22"/>
        </w:rPr>
        <w:t xml:space="preserve"> “Artículo 1º. […]</w:t>
      </w:r>
    </w:p>
    <w:p w14:paraId="151AB250" w14:textId="77777777" w:rsidR="009B02C2" w:rsidRPr="0022151F" w:rsidRDefault="009B02C2" w:rsidP="009B02C2">
      <w:pPr>
        <w:pStyle w:val="Textonotapie"/>
        <w:jc w:val="both"/>
        <w:rPr>
          <w:rFonts w:ascii="Arial" w:hAnsi="Arial" w:cs="Arial"/>
          <w:sz w:val="22"/>
          <w:szCs w:val="22"/>
        </w:rPr>
      </w:pPr>
      <w:r w:rsidRPr="0022151F">
        <w:rPr>
          <w:rFonts w:ascii="Arial" w:hAnsi="Arial" w:cs="Arial"/>
          <w:sz w:val="22"/>
          <w:szCs w:val="22"/>
        </w:rPr>
        <w:t>Las normas relativas a los derechos humanos se interpretarán de conformidad con esta Constitución y con los tratados internacionales de la materia favoreciendo en todo tiempo a las personas la protección más amplia.</w:t>
      </w:r>
    </w:p>
    <w:p w14:paraId="3C37566B" w14:textId="77777777" w:rsidR="009B02C2" w:rsidRPr="0022151F" w:rsidRDefault="009B02C2" w:rsidP="009B02C2">
      <w:pPr>
        <w:pStyle w:val="Textonotapie"/>
        <w:jc w:val="both"/>
        <w:rPr>
          <w:rFonts w:ascii="Arial" w:hAnsi="Arial" w:cs="Arial"/>
          <w:sz w:val="22"/>
          <w:szCs w:val="22"/>
        </w:rPr>
      </w:pPr>
      <w:r w:rsidRPr="0022151F">
        <w:rPr>
          <w:rFonts w:ascii="Arial" w:hAnsi="Arial" w:cs="Arial"/>
          <w:sz w:val="22"/>
          <w:szCs w:val="22"/>
        </w:rPr>
        <w:t>[…]”</w:t>
      </w:r>
    </w:p>
  </w:footnote>
  <w:footnote w:id="29">
    <w:p w14:paraId="31FB18EB" w14:textId="77777777" w:rsidR="009B02C2" w:rsidRPr="00815EFE" w:rsidRDefault="009B02C2" w:rsidP="009B02C2">
      <w:pPr>
        <w:pStyle w:val="Textonotapie"/>
        <w:jc w:val="both"/>
        <w:rPr>
          <w:rFonts w:ascii="Arial" w:hAnsi="Arial" w:cs="Arial"/>
          <w:sz w:val="22"/>
          <w:szCs w:val="22"/>
        </w:rPr>
      </w:pPr>
      <w:r w:rsidRPr="00815EFE">
        <w:rPr>
          <w:rStyle w:val="Refdenotaalpie"/>
          <w:rFonts w:ascii="Arial" w:hAnsi="Arial" w:cs="Arial"/>
          <w:sz w:val="22"/>
          <w:szCs w:val="22"/>
        </w:rPr>
        <w:footnoteRef/>
      </w:r>
      <w:r w:rsidRPr="00815EFE">
        <w:rPr>
          <w:rFonts w:ascii="Arial" w:hAnsi="Arial" w:cs="Arial"/>
          <w:sz w:val="22"/>
          <w:szCs w:val="22"/>
        </w:rPr>
        <w:t xml:space="preserve"> Sirve de criterio orientador la tesis plenaria de jurisprudencia </w:t>
      </w:r>
      <w:r>
        <w:rPr>
          <w:rFonts w:ascii="Arial" w:hAnsi="Arial" w:cs="Arial"/>
          <w:sz w:val="22"/>
          <w:szCs w:val="22"/>
        </w:rPr>
        <w:t xml:space="preserve">P./J. 155/2004 (con número de registro 176707) </w:t>
      </w:r>
      <w:r w:rsidRPr="00815EFE">
        <w:rPr>
          <w:rFonts w:ascii="Arial" w:hAnsi="Arial" w:cs="Arial"/>
          <w:sz w:val="22"/>
          <w:szCs w:val="22"/>
        </w:rPr>
        <w:t xml:space="preserve">sustentada por la Suprema Corte de Justicia de la Nación de rubro: </w:t>
      </w:r>
      <w:r>
        <w:rPr>
          <w:rFonts w:ascii="Arial" w:hAnsi="Arial" w:cs="Arial"/>
          <w:sz w:val="22"/>
          <w:szCs w:val="22"/>
        </w:rPr>
        <w:t xml:space="preserve">“FUNCIÓN ELECTORAL A CARGO DE LAS AUTORIDADES ELECTORALES. PRINCIPIOS RECTORES DE SU EJERCICIO”. </w:t>
      </w:r>
    </w:p>
  </w:footnote>
  <w:footnote w:id="30">
    <w:p w14:paraId="08F7C53E" w14:textId="77777777" w:rsidR="009B02C2" w:rsidRPr="00DB522E" w:rsidRDefault="009B02C2" w:rsidP="009B02C2">
      <w:pPr>
        <w:pStyle w:val="Textonotapie"/>
        <w:rPr>
          <w:rFonts w:ascii="Arial" w:hAnsi="Arial" w:cs="Arial"/>
          <w:sz w:val="22"/>
          <w:szCs w:val="22"/>
        </w:rPr>
      </w:pPr>
      <w:r w:rsidRPr="00DB522E">
        <w:rPr>
          <w:rStyle w:val="Refdenotaalpie"/>
          <w:rFonts w:ascii="Arial" w:hAnsi="Arial" w:cs="Arial"/>
          <w:sz w:val="22"/>
          <w:szCs w:val="22"/>
        </w:rPr>
        <w:footnoteRef/>
      </w:r>
      <w:r w:rsidRPr="00DB522E">
        <w:rPr>
          <w:rFonts w:ascii="Arial" w:hAnsi="Arial" w:cs="Arial"/>
          <w:sz w:val="22"/>
          <w:szCs w:val="22"/>
        </w:rPr>
        <w:t xml:space="preserve"> Tomado de http:/maps.google. com.mx</w:t>
      </w:r>
    </w:p>
  </w:footnote>
  <w:footnote w:id="31">
    <w:p w14:paraId="24569525" w14:textId="77777777" w:rsidR="009B02C2" w:rsidRPr="004F158F" w:rsidRDefault="009B02C2" w:rsidP="009B02C2">
      <w:pPr>
        <w:pStyle w:val="Textonotapie"/>
        <w:rPr>
          <w:rFonts w:ascii="Arial" w:hAnsi="Arial" w:cs="Arial"/>
          <w:sz w:val="22"/>
          <w:szCs w:val="22"/>
        </w:rPr>
      </w:pPr>
      <w:r w:rsidRPr="004F158F">
        <w:rPr>
          <w:rStyle w:val="Refdenotaalpie"/>
          <w:rFonts w:ascii="Arial" w:hAnsi="Arial" w:cs="Arial"/>
          <w:sz w:val="22"/>
          <w:szCs w:val="22"/>
        </w:rPr>
        <w:footnoteRef/>
      </w:r>
      <w:r w:rsidRPr="004F158F">
        <w:rPr>
          <w:rFonts w:ascii="Arial" w:hAnsi="Arial" w:cs="Arial"/>
          <w:sz w:val="22"/>
          <w:szCs w:val="22"/>
        </w:rPr>
        <w:t xml:space="preserve"> Según el dato señalado en la resolución recaída en el juicio para la protección de los derechos político-electorales del ciudadano SUP-JDC-9167/2011. </w:t>
      </w:r>
    </w:p>
  </w:footnote>
  <w:footnote w:id="32">
    <w:p w14:paraId="28A47A12" w14:textId="77777777" w:rsidR="009B02C2" w:rsidRPr="004429B5" w:rsidRDefault="009B02C2" w:rsidP="009B02C2">
      <w:pPr>
        <w:pStyle w:val="Textonotapie"/>
        <w:jc w:val="both"/>
      </w:pPr>
      <w:r w:rsidRPr="004429B5">
        <w:rPr>
          <w:rStyle w:val="Refdenotaalpie"/>
        </w:rPr>
        <w:footnoteRef/>
      </w:r>
      <w:r w:rsidRPr="004429B5">
        <w:t xml:space="preserve"> </w:t>
      </w:r>
      <w:r w:rsidRPr="004429B5">
        <w:rPr>
          <w:rFonts w:ascii="Arial" w:hAnsi="Arial" w:cs="Arial"/>
        </w:rPr>
        <w:t xml:space="preserve">De acuerdo con la información obtenida en la página de Internet del Instituto Electoral de Michoacán </w:t>
      </w:r>
      <w:hyperlink r:id="rId5" w:history="1">
        <w:r w:rsidRPr="004429B5">
          <w:rPr>
            <w:rStyle w:val="Hipervnculo"/>
          </w:rPr>
          <w:t>www.iem.org.mx</w:t>
        </w:r>
      </w:hyperlink>
      <w:r w:rsidRPr="004429B5">
        <w:rPr>
          <w:rFonts w:ascii="Arial" w:hAnsi="Arial" w:cs="Arial"/>
        </w:rPr>
        <w:t>. Además, en el entendido de que, por lo que respecta al año 2011, el dato corresponde a la Consulta para que en el municipio de Cherán se decida el sistema de elecciones de las autoridades municipales, según lo ordenado por esta Sala Superior en el expediente del juicio para la protección de los derechos político-electorales del ciudadano SUP-JDC-9167/2011.</w:t>
      </w:r>
    </w:p>
  </w:footnote>
  <w:footnote w:id="33">
    <w:p w14:paraId="48EBBEE8" w14:textId="77777777" w:rsidR="009B02C2" w:rsidRPr="00EC45C7" w:rsidRDefault="009B02C2" w:rsidP="009B02C2">
      <w:pPr>
        <w:pStyle w:val="Textonotapie"/>
        <w:jc w:val="both"/>
      </w:pPr>
      <w:r>
        <w:rPr>
          <w:rStyle w:val="Refdenotaalpie"/>
        </w:rPr>
        <w:footnoteRef/>
      </w:r>
      <w:r>
        <w:t xml:space="preserve"> Anaya, James S., </w:t>
      </w:r>
      <w:r>
        <w:rPr>
          <w:i/>
        </w:rPr>
        <w:t xml:space="preserve">Los pueblos indígenas en el derecho internacional, </w:t>
      </w:r>
      <w:r>
        <w:t xml:space="preserve">trs. Luis Rodríguez-Piñero Royo, </w:t>
      </w:r>
      <w:r>
        <w:rPr>
          <w:i/>
        </w:rPr>
        <w:t>et al</w:t>
      </w:r>
      <w:r>
        <w:t>, Madrid, Trotta, 2005, p. 169.</w:t>
      </w:r>
    </w:p>
  </w:footnote>
  <w:footnote w:id="34">
    <w:p w14:paraId="1707B73B" w14:textId="77777777" w:rsidR="009B02C2" w:rsidRPr="001E7F24" w:rsidRDefault="009B02C2" w:rsidP="009B02C2">
      <w:pPr>
        <w:pStyle w:val="Textonotapie"/>
        <w:jc w:val="both"/>
      </w:pPr>
      <w:r>
        <w:rPr>
          <w:rStyle w:val="Refdenotaalpie"/>
        </w:rPr>
        <w:footnoteRef/>
      </w:r>
      <w:r>
        <w:t xml:space="preserve"> Kimlicka, Will, </w:t>
      </w:r>
      <w:r>
        <w:rPr>
          <w:i/>
        </w:rPr>
        <w:t>Las odiseas multiculturales. Las nuevas políticas internacionales de la diversidad</w:t>
      </w:r>
      <w:r>
        <w:t>, tr. Francisco Beltrán, Barcelona, Paidós, 2009, p. 17.</w:t>
      </w:r>
    </w:p>
  </w:footnote>
  <w:footnote w:id="35">
    <w:p w14:paraId="1E0D09F5" w14:textId="77777777" w:rsidR="009B02C2" w:rsidRPr="001E7F24" w:rsidRDefault="009B02C2" w:rsidP="009B02C2">
      <w:pPr>
        <w:pStyle w:val="Textonotapie"/>
        <w:jc w:val="both"/>
        <w:rPr>
          <w:i/>
        </w:rPr>
      </w:pPr>
      <w:r>
        <w:rPr>
          <w:rStyle w:val="Refdenotaalpie"/>
        </w:rPr>
        <w:footnoteRef/>
      </w:r>
      <w:r>
        <w:t xml:space="preserve"> </w:t>
      </w:r>
      <w:r>
        <w:rPr>
          <w:i/>
        </w:rPr>
        <w:t>Sociología jurídica crítica. Para un nuevo sentido común en el derecho</w:t>
      </w:r>
      <w:r w:rsidRPr="001E7F24">
        <w:t>,</w:t>
      </w:r>
      <w:r>
        <w:t xml:space="preserve"> trs. Carlos Lema Añón, </w:t>
      </w:r>
      <w:r>
        <w:rPr>
          <w:i/>
        </w:rPr>
        <w:t>et al</w:t>
      </w:r>
      <w:r>
        <w:t xml:space="preserve">, </w:t>
      </w:r>
      <w:r w:rsidRPr="001E7F24">
        <w:t>Madrid, Trotta, 2009, pp. 385-386.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0208A"/>
    <w:multiLevelType w:val="hybridMultilevel"/>
    <w:tmpl w:val="B75CD5F2"/>
    <w:lvl w:ilvl="0" w:tplc="F4004F46">
      <w:start w:val="1"/>
      <w:numFmt w:val="lowerLetter"/>
      <w:lvlText w:val="%1)"/>
      <w:lvlJc w:val="left"/>
      <w:pPr>
        <w:ind w:left="1755" w:hanging="1035"/>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0BB71B79"/>
    <w:multiLevelType w:val="hybridMultilevel"/>
    <w:tmpl w:val="D57440A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CD46330"/>
    <w:multiLevelType w:val="hybridMultilevel"/>
    <w:tmpl w:val="BE4038C8"/>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nsid w:val="1E357F36"/>
    <w:multiLevelType w:val="hybridMultilevel"/>
    <w:tmpl w:val="B23E8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0BC0C77"/>
    <w:multiLevelType w:val="hybridMultilevel"/>
    <w:tmpl w:val="D3BA42E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nsid w:val="2262509E"/>
    <w:multiLevelType w:val="hybridMultilevel"/>
    <w:tmpl w:val="68FC090A"/>
    <w:lvl w:ilvl="0" w:tplc="25627AFA">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40251DC5"/>
    <w:multiLevelType w:val="hybridMultilevel"/>
    <w:tmpl w:val="D66CA0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159247E"/>
    <w:multiLevelType w:val="hybridMultilevel"/>
    <w:tmpl w:val="F69C4548"/>
    <w:lvl w:ilvl="0" w:tplc="0448ADFA">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41D973FD"/>
    <w:multiLevelType w:val="hybridMultilevel"/>
    <w:tmpl w:val="2FC063E2"/>
    <w:lvl w:ilvl="0" w:tplc="33D497AC">
      <w:start w:val="1"/>
      <w:numFmt w:val="lowerLetter"/>
      <w:lvlText w:val="%1)"/>
      <w:lvlJc w:val="left"/>
      <w:pPr>
        <w:ind w:left="1428" w:hanging="360"/>
      </w:pPr>
      <w:rPr>
        <w:rFonts w:ascii="Univers" w:hAnsi="Univers" w:hint="default"/>
        <w:b/>
        <w:i w:val="0"/>
        <w:sz w:val="28"/>
      </w:rPr>
    </w:lvl>
    <w:lvl w:ilvl="1" w:tplc="080A000F">
      <w:start w:val="1"/>
      <w:numFmt w:val="decimal"/>
      <w:lvlText w:val="%2."/>
      <w:lvlJc w:val="left"/>
      <w:pPr>
        <w:ind w:left="2148" w:hanging="360"/>
      </w:pPr>
      <w:rPr>
        <w:rFonts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9">
    <w:nsid w:val="43264B0E"/>
    <w:multiLevelType w:val="hybridMultilevel"/>
    <w:tmpl w:val="22BAA0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85112D5"/>
    <w:multiLevelType w:val="hybridMultilevel"/>
    <w:tmpl w:val="2EFA7598"/>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1">
    <w:nsid w:val="4FAD6C6D"/>
    <w:multiLevelType w:val="hybridMultilevel"/>
    <w:tmpl w:val="BE4038C8"/>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nsid w:val="52420795"/>
    <w:multiLevelType w:val="hybridMultilevel"/>
    <w:tmpl w:val="56E29DB4"/>
    <w:lvl w:ilvl="0" w:tplc="78CA8030">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nsid w:val="62651A76"/>
    <w:multiLevelType w:val="hybridMultilevel"/>
    <w:tmpl w:val="C8B0A1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A1C0F1B"/>
    <w:multiLevelType w:val="hybridMultilevel"/>
    <w:tmpl w:val="CDA6EE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ABB51F7"/>
    <w:multiLevelType w:val="hybridMultilevel"/>
    <w:tmpl w:val="5712DB0C"/>
    <w:lvl w:ilvl="0" w:tplc="080A0001">
      <w:start w:val="1"/>
      <w:numFmt w:val="bullet"/>
      <w:lvlText w:val=""/>
      <w:lvlJc w:val="left"/>
      <w:pPr>
        <w:ind w:left="708" w:hanging="360"/>
      </w:pPr>
      <w:rPr>
        <w:rFonts w:ascii="Symbol" w:hAnsi="Symbol" w:hint="default"/>
      </w:rPr>
    </w:lvl>
    <w:lvl w:ilvl="1" w:tplc="080A0003">
      <w:start w:val="1"/>
      <w:numFmt w:val="bullet"/>
      <w:lvlText w:val="o"/>
      <w:lvlJc w:val="left"/>
      <w:pPr>
        <w:ind w:left="1428" w:hanging="360"/>
      </w:pPr>
      <w:rPr>
        <w:rFonts w:ascii="Courier New" w:hAnsi="Courier New" w:cs="Courier New" w:hint="default"/>
      </w:rPr>
    </w:lvl>
    <w:lvl w:ilvl="2" w:tplc="080A0005" w:tentative="1">
      <w:start w:val="1"/>
      <w:numFmt w:val="bullet"/>
      <w:lvlText w:val=""/>
      <w:lvlJc w:val="left"/>
      <w:pPr>
        <w:ind w:left="2148" w:hanging="360"/>
      </w:pPr>
      <w:rPr>
        <w:rFonts w:ascii="Wingdings" w:hAnsi="Wingdings" w:hint="default"/>
      </w:rPr>
    </w:lvl>
    <w:lvl w:ilvl="3" w:tplc="080A0001" w:tentative="1">
      <w:start w:val="1"/>
      <w:numFmt w:val="bullet"/>
      <w:lvlText w:val=""/>
      <w:lvlJc w:val="left"/>
      <w:pPr>
        <w:ind w:left="2868" w:hanging="360"/>
      </w:pPr>
      <w:rPr>
        <w:rFonts w:ascii="Symbol" w:hAnsi="Symbol" w:hint="default"/>
      </w:rPr>
    </w:lvl>
    <w:lvl w:ilvl="4" w:tplc="080A0003" w:tentative="1">
      <w:start w:val="1"/>
      <w:numFmt w:val="bullet"/>
      <w:lvlText w:val="o"/>
      <w:lvlJc w:val="left"/>
      <w:pPr>
        <w:ind w:left="3588" w:hanging="360"/>
      </w:pPr>
      <w:rPr>
        <w:rFonts w:ascii="Courier New" w:hAnsi="Courier New" w:cs="Courier New" w:hint="default"/>
      </w:rPr>
    </w:lvl>
    <w:lvl w:ilvl="5" w:tplc="080A0005" w:tentative="1">
      <w:start w:val="1"/>
      <w:numFmt w:val="bullet"/>
      <w:lvlText w:val=""/>
      <w:lvlJc w:val="left"/>
      <w:pPr>
        <w:ind w:left="4308" w:hanging="360"/>
      </w:pPr>
      <w:rPr>
        <w:rFonts w:ascii="Wingdings" w:hAnsi="Wingdings" w:hint="default"/>
      </w:rPr>
    </w:lvl>
    <w:lvl w:ilvl="6" w:tplc="080A0001" w:tentative="1">
      <w:start w:val="1"/>
      <w:numFmt w:val="bullet"/>
      <w:lvlText w:val=""/>
      <w:lvlJc w:val="left"/>
      <w:pPr>
        <w:ind w:left="5028" w:hanging="360"/>
      </w:pPr>
      <w:rPr>
        <w:rFonts w:ascii="Symbol" w:hAnsi="Symbol" w:hint="default"/>
      </w:rPr>
    </w:lvl>
    <w:lvl w:ilvl="7" w:tplc="080A0003" w:tentative="1">
      <w:start w:val="1"/>
      <w:numFmt w:val="bullet"/>
      <w:lvlText w:val="o"/>
      <w:lvlJc w:val="left"/>
      <w:pPr>
        <w:ind w:left="5748" w:hanging="360"/>
      </w:pPr>
      <w:rPr>
        <w:rFonts w:ascii="Courier New" w:hAnsi="Courier New" w:cs="Courier New" w:hint="default"/>
      </w:rPr>
    </w:lvl>
    <w:lvl w:ilvl="8" w:tplc="080A0005" w:tentative="1">
      <w:start w:val="1"/>
      <w:numFmt w:val="bullet"/>
      <w:lvlText w:val=""/>
      <w:lvlJc w:val="left"/>
      <w:pPr>
        <w:ind w:left="6468" w:hanging="360"/>
      </w:pPr>
      <w:rPr>
        <w:rFonts w:ascii="Wingdings" w:hAnsi="Wingdings" w:hint="default"/>
      </w:rPr>
    </w:lvl>
  </w:abstractNum>
  <w:abstractNum w:abstractNumId="16">
    <w:nsid w:val="6AE34E7A"/>
    <w:multiLevelType w:val="hybridMultilevel"/>
    <w:tmpl w:val="908A984A"/>
    <w:lvl w:ilvl="0" w:tplc="080A0001">
      <w:start w:val="1"/>
      <w:numFmt w:val="bullet"/>
      <w:lvlText w:val=""/>
      <w:lvlJc w:val="left"/>
      <w:pPr>
        <w:ind w:left="1068" w:hanging="360"/>
      </w:pPr>
      <w:rPr>
        <w:rFonts w:ascii="Symbol" w:hAnsi="Symbol" w:hint="default"/>
      </w:rPr>
    </w:lvl>
    <w:lvl w:ilvl="1" w:tplc="080A000F">
      <w:start w:val="1"/>
      <w:numFmt w:val="decimal"/>
      <w:lvlText w:val="%2."/>
      <w:lvlJc w:val="left"/>
      <w:pPr>
        <w:ind w:left="1788" w:hanging="360"/>
      </w:pPr>
      <w:rPr>
        <w:rFonts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7">
    <w:nsid w:val="6B735937"/>
    <w:multiLevelType w:val="hybridMultilevel"/>
    <w:tmpl w:val="CC5A25E4"/>
    <w:lvl w:ilvl="0" w:tplc="B2B20E2A">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FCA691B"/>
    <w:multiLevelType w:val="hybridMultilevel"/>
    <w:tmpl w:val="CDEA42A6"/>
    <w:lvl w:ilvl="0" w:tplc="0952EC0A">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76364F2D"/>
    <w:multiLevelType w:val="hybridMultilevel"/>
    <w:tmpl w:val="BE4038C8"/>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4"/>
  </w:num>
  <w:num w:numId="2">
    <w:abstractNumId w:val="18"/>
  </w:num>
  <w:num w:numId="3">
    <w:abstractNumId w:val="7"/>
  </w:num>
  <w:num w:numId="4">
    <w:abstractNumId w:val="1"/>
  </w:num>
  <w:num w:numId="5">
    <w:abstractNumId w:val="5"/>
  </w:num>
  <w:num w:numId="6">
    <w:abstractNumId w:val="17"/>
  </w:num>
  <w:num w:numId="7">
    <w:abstractNumId w:val="4"/>
  </w:num>
  <w:num w:numId="8">
    <w:abstractNumId w:val="9"/>
  </w:num>
  <w:num w:numId="9">
    <w:abstractNumId w:val="15"/>
  </w:num>
  <w:num w:numId="10">
    <w:abstractNumId w:val="11"/>
  </w:num>
  <w:num w:numId="11">
    <w:abstractNumId w:val="19"/>
  </w:num>
  <w:num w:numId="12">
    <w:abstractNumId w:val="2"/>
  </w:num>
  <w:num w:numId="13">
    <w:abstractNumId w:val="16"/>
  </w:num>
  <w:num w:numId="14">
    <w:abstractNumId w:val="8"/>
  </w:num>
  <w:num w:numId="15">
    <w:abstractNumId w:val="10"/>
  </w:num>
  <w:num w:numId="16">
    <w:abstractNumId w:val="12"/>
  </w:num>
  <w:num w:numId="17">
    <w:abstractNumId w:val="6"/>
  </w:num>
  <w:num w:numId="18">
    <w:abstractNumId w:val="13"/>
  </w:num>
  <w:num w:numId="19">
    <w:abstractNumId w:val="0"/>
  </w:num>
  <w:num w:numId="20">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E9"/>
    <w:rsid w:val="00081697"/>
    <w:rsid w:val="000F60CE"/>
    <w:rsid w:val="001C6A89"/>
    <w:rsid w:val="00263E21"/>
    <w:rsid w:val="003837FD"/>
    <w:rsid w:val="0043686B"/>
    <w:rsid w:val="004D5F2B"/>
    <w:rsid w:val="00676010"/>
    <w:rsid w:val="00932BE9"/>
    <w:rsid w:val="009B02C2"/>
    <w:rsid w:val="00A50356"/>
    <w:rsid w:val="00A665EB"/>
    <w:rsid w:val="00AD58E8"/>
    <w:rsid w:val="00AD59FF"/>
    <w:rsid w:val="00C60483"/>
    <w:rsid w:val="00CC4652"/>
    <w:rsid w:val="00CF2780"/>
    <w:rsid w:val="00D46003"/>
    <w:rsid w:val="00D72CE5"/>
    <w:rsid w:val="00D8735D"/>
    <w:rsid w:val="00F50C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14:docId w14:val="01FF0988"/>
  <w15:chartTrackingRefBased/>
  <w15:docId w15:val="{27F4017C-3B3F-42CF-B6CD-4CA6BEEE2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A503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nhideWhenUsed/>
    <w:qFormat/>
    <w:rsid w:val="00A503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nhideWhenUsed/>
    <w:qFormat/>
    <w:rsid w:val="00A5035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5035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link w:val="Ttulo5Car"/>
    <w:uiPriority w:val="9"/>
    <w:qFormat/>
    <w:rsid w:val="00932BE9"/>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paragraph" w:styleId="Ttulo6">
    <w:name w:val="heading 6"/>
    <w:basedOn w:val="Normal"/>
    <w:link w:val="Ttulo6Car"/>
    <w:uiPriority w:val="9"/>
    <w:qFormat/>
    <w:rsid w:val="00932BE9"/>
    <w:pPr>
      <w:spacing w:before="100" w:beforeAutospacing="1" w:after="100" w:afterAutospacing="1" w:line="240" w:lineRule="auto"/>
      <w:outlineLvl w:val="5"/>
    </w:pPr>
    <w:rPr>
      <w:rFonts w:ascii="Times New Roman" w:eastAsia="Times New Roman" w:hAnsi="Times New Roman" w:cs="Times New Roman"/>
      <w:b/>
      <w:bCs/>
      <w:sz w:val="15"/>
      <w:szCs w:val="15"/>
      <w:lang w:eastAsia="es-MX"/>
    </w:rPr>
  </w:style>
  <w:style w:type="paragraph" w:styleId="Ttulo7">
    <w:name w:val="heading 7"/>
    <w:basedOn w:val="Normal"/>
    <w:next w:val="Normal"/>
    <w:link w:val="Ttulo7Car"/>
    <w:qFormat/>
    <w:rsid w:val="00676010"/>
    <w:pPr>
      <w:keepNext/>
      <w:tabs>
        <w:tab w:val="left" w:pos="-720"/>
      </w:tabs>
      <w:suppressAutoHyphens/>
      <w:spacing w:after="0" w:line="240" w:lineRule="auto"/>
      <w:ind w:right="-23"/>
      <w:jc w:val="center"/>
      <w:outlineLvl w:val="6"/>
    </w:pPr>
    <w:rPr>
      <w:rFonts w:ascii="Times New Roman" w:eastAsia="Times New Roman" w:hAnsi="Times New Roman" w:cs="Times New Roman"/>
      <w:b/>
      <w:bCs/>
      <w:sz w:val="28"/>
      <w:szCs w:val="24"/>
      <w:lang w:val="es-ES" w:eastAsia="es-ES"/>
    </w:rPr>
  </w:style>
  <w:style w:type="paragraph" w:styleId="Ttulo9">
    <w:name w:val="heading 9"/>
    <w:basedOn w:val="Normal"/>
    <w:next w:val="Normal"/>
    <w:link w:val="Ttulo9Car"/>
    <w:unhideWhenUsed/>
    <w:qFormat/>
    <w:rsid w:val="0067601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932BE9"/>
    <w:rPr>
      <w:rFonts w:ascii="Times New Roman" w:eastAsia="Times New Roman" w:hAnsi="Times New Roman" w:cs="Times New Roman"/>
      <w:b/>
      <w:bCs/>
      <w:sz w:val="20"/>
      <w:szCs w:val="20"/>
      <w:lang w:eastAsia="es-MX"/>
    </w:rPr>
  </w:style>
  <w:style w:type="character" w:customStyle="1" w:styleId="Ttulo6Car">
    <w:name w:val="Título 6 Car"/>
    <w:basedOn w:val="Fuentedeprrafopredeter"/>
    <w:link w:val="Ttulo6"/>
    <w:uiPriority w:val="9"/>
    <w:rsid w:val="00932BE9"/>
    <w:rPr>
      <w:rFonts w:ascii="Times New Roman" w:eastAsia="Times New Roman" w:hAnsi="Times New Roman" w:cs="Times New Roman"/>
      <w:b/>
      <w:bCs/>
      <w:sz w:val="15"/>
      <w:szCs w:val="15"/>
      <w:lang w:eastAsia="es-MX"/>
    </w:rPr>
  </w:style>
  <w:style w:type="character" w:styleId="Textoennegrita">
    <w:name w:val="Strong"/>
    <w:basedOn w:val="Fuentedeprrafopredeter"/>
    <w:uiPriority w:val="22"/>
    <w:qFormat/>
    <w:rsid w:val="00932BE9"/>
    <w:rPr>
      <w:b/>
      <w:bCs/>
    </w:rPr>
  </w:style>
  <w:style w:type="character" w:styleId="Hipervnculo">
    <w:name w:val="Hyperlink"/>
    <w:basedOn w:val="Fuentedeprrafopredeter"/>
    <w:uiPriority w:val="99"/>
    <w:unhideWhenUsed/>
    <w:rsid w:val="00932BE9"/>
    <w:rPr>
      <w:color w:val="0000FF"/>
      <w:u w:val="single"/>
    </w:rPr>
  </w:style>
  <w:style w:type="paragraph" w:styleId="NormalWeb">
    <w:name w:val="Normal (Web)"/>
    <w:aliases w:val="Normal (Web) Car1,Normal (Web) Car Car,Normal (Web) Car1 Car Car,Normal (Web) Car Car Car Car Car Car Car Car Car Car Car,Normal (Web) Car Car Car Car Car Car, Car Car Car, Car Car Car Car Car,Car,Car Car,Normal (Web) Car Car Car Car Car,C"/>
    <w:basedOn w:val="Normal"/>
    <w:link w:val="NormalWebCar"/>
    <w:uiPriority w:val="99"/>
    <w:unhideWhenUsed/>
    <w:qFormat/>
    <w:rsid w:val="00932BE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3Car">
    <w:name w:val="Título 3 Car"/>
    <w:basedOn w:val="Fuentedeprrafopredeter"/>
    <w:link w:val="Ttulo3"/>
    <w:uiPriority w:val="9"/>
    <w:semiHidden/>
    <w:rsid w:val="00A50356"/>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50356"/>
    <w:rPr>
      <w:rFonts w:asciiTheme="majorHAnsi" w:eastAsiaTheme="majorEastAsia" w:hAnsiTheme="majorHAnsi" w:cstheme="majorBidi"/>
      <w:i/>
      <w:iCs/>
      <w:color w:val="2F5496" w:themeColor="accent1" w:themeShade="BF"/>
    </w:rPr>
  </w:style>
  <w:style w:type="character" w:customStyle="1" w:styleId="Ttulo1Car">
    <w:name w:val="Título 1 Car"/>
    <w:basedOn w:val="Fuentedeprrafopredeter"/>
    <w:link w:val="Ttulo1"/>
    <w:uiPriority w:val="9"/>
    <w:rsid w:val="00A50356"/>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A50356"/>
    <w:rPr>
      <w:rFonts w:asciiTheme="majorHAnsi" w:eastAsiaTheme="majorEastAsia" w:hAnsiTheme="majorHAnsi" w:cstheme="majorBidi"/>
      <w:color w:val="2F5496" w:themeColor="accent1" w:themeShade="BF"/>
      <w:sz w:val="26"/>
      <w:szCs w:val="26"/>
    </w:rPr>
  </w:style>
  <w:style w:type="character" w:customStyle="1" w:styleId="Ttulo9Car">
    <w:name w:val="Título 9 Car"/>
    <w:basedOn w:val="Fuentedeprrafopredeter"/>
    <w:link w:val="Ttulo9"/>
    <w:uiPriority w:val="9"/>
    <w:semiHidden/>
    <w:rsid w:val="00676010"/>
    <w:rPr>
      <w:rFonts w:asciiTheme="majorHAnsi" w:eastAsiaTheme="majorEastAsia" w:hAnsiTheme="majorHAnsi" w:cstheme="majorBidi"/>
      <w:i/>
      <w:iCs/>
      <w:color w:val="272727" w:themeColor="text1" w:themeTint="D8"/>
      <w:sz w:val="21"/>
      <w:szCs w:val="21"/>
    </w:rPr>
  </w:style>
  <w:style w:type="character" w:customStyle="1" w:styleId="Ttulo7Car">
    <w:name w:val="Título 7 Car"/>
    <w:basedOn w:val="Fuentedeprrafopredeter"/>
    <w:link w:val="Ttulo7"/>
    <w:rsid w:val="00676010"/>
    <w:rPr>
      <w:rFonts w:ascii="Times New Roman" w:eastAsia="Times New Roman" w:hAnsi="Times New Roman" w:cs="Times New Roman"/>
      <w:b/>
      <w:bCs/>
      <w:sz w:val="28"/>
      <w:szCs w:val="24"/>
      <w:lang w:val="es-ES" w:eastAsia="es-ES"/>
    </w:rPr>
  </w:style>
  <w:style w:type="numbering" w:customStyle="1" w:styleId="Sinlista1">
    <w:name w:val="Sin lista1"/>
    <w:next w:val="Sinlista"/>
    <w:uiPriority w:val="99"/>
    <w:semiHidden/>
    <w:unhideWhenUsed/>
    <w:rsid w:val="00676010"/>
  </w:style>
  <w:style w:type="paragraph" w:styleId="Textoindependiente">
    <w:name w:val="Body Text"/>
    <w:basedOn w:val="Normal"/>
    <w:link w:val="TextoindependienteCar"/>
    <w:rsid w:val="00676010"/>
    <w:pPr>
      <w:spacing w:after="0" w:line="240" w:lineRule="auto"/>
      <w:jc w:val="both"/>
    </w:pPr>
    <w:rPr>
      <w:rFonts w:ascii="Arial" w:eastAsia="Times New Roman" w:hAnsi="Arial" w:cs="Times New Roman"/>
      <w:sz w:val="24"/>
      <w:szCs w:val="24"/>
      <w:lang w:eastAsia="es-ES"/>
    </w:rPr>
  </w:style>
  <w:style w:type="character" w:customStyle="1" w:styleId="TextoindependienteCar">
    <w:name w:val="Texto independiente Car"/>
    <w:basedOn w:val="Fuentedeprrafopredeter"/>
    <w:link w:val="Textoindependiente"/>
    <w:rsid w:val="00676010"/>
    <w:rPr>
      <w:rFonts w:ascii="Arial" w:eastAsia="Times New Roman" w:hAnsi="Arial" w:cs="Times New Roman"/>
      <w:sz w:val="24"/>
      <w:szCs w:val="24"/>
      <w:lang w:eastAsia="es-ES"/>
    </w:rPr>
  </w:style>
  <w:style w:type="paragraph" w:styleId="Piedepgina">
    <w:name w:val="footer"/>
    <w:basedOn w:val="Normal"/>
    <w:link w:val="PiedepginaCar"/>
    <w:uiPriority w:val="99"/>
    <w:rsid w:val="00676010"/>
    <w:pPr>
      <w:tabs>
        <w:tab w:val="center" w:pos="4320"/>
        <w:tab w:val="right" w:pos="8640"/>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76010"/>
    <w:rPr>
      <w:rFonts w:ascii="Times New Roman" w:eastAsia="Times New Roman" w:hAnsi="Times New Roman" w:cs="Times New Roman"/>
      <w:sz w:val="24"/>
      <w:szCs w:val="24"/>
      <w:lang w:eastAsia="es-ES"/>
    </w:rPr>
  </w:style>
  <w:style w:type="character" w:styleId="Nmerodepgina">
    <w:name w:val="page number"/>
    <w:basedOn w:val="Fuentedeprrafopredeter"/>
    <w:rsid w:val="00676010"/>
  </w:style>
  <w:style w:type="paragraph" w:styleId="Encabezado">
    <w:name w:val="header"/>
    <w:basedOn w:val="Normal"/>
    <w:link w:val="EncabezadoCar"/>
    <w:rsid w:val="00676010"/>
    <w:pPr>
      <w:tabs>
        <w:tab w:val="center" w:pos="4320"/>
        <w:tab w:val="right" w:pos="8640"/>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676010"/>
    <w:rPr>
      <w:rFonts w:ascii="Times New Roman" w:eastAsia="Times New Roman" w:hAnsi="Times New Roman" w:cs="Times New Roman"/>
      <w:sz w:val="24"/>
      <w:szCs w:val="24"/>
      <w:lang w:eastAsia="es-ES"/>
    </w:rPr>
  </w:style>
  <w:style w:type="paragraph" w:styleId="Textodebloque">
    <w:name w:val="Block Text"/>
    <w:basedOn w:val="Normal"/>
    <w:semiHidden/>
    <w:rsid w:val="00676010"/>
    <w:pPr>
      <w:spacing w:after="0" w:line="240" w:lineRule="auto"/>
      <w:ind w:left="540" w:right="720"/>
      <w:jc w:val="both"/>
    </w:pPr>
    <w:rPr>
      <w:rFonts w:ascii="Arial" w:eastAsia="Times New Roman" w:hAnsi="Arial" w:cs="Times New Roman"/>
      <w:sz w:val="24"/>
      <w:szCs w:val="24"/>
      <w:lang w:eastAsia="es-ES"/>
    </w:rPr>
  </w:style>
  <w:style w:type="paragraph" w:styleId="Puesto">
    <w:name w:val="Title"/>
    <w:basedOn w:val="Normal"/>
    <w:link w:val="PuestoCar"/>
    <w:qFormat/>
    <w:rsid w:val="00676010"/>
    <w:pPr>
      <w:autoSpaceDE w:val="0"/>
      <w:autoSpaceDN w:val="0"/>
      <w:adjustRightInd w:val="0"/>
      <w:spacing w:after="0" w:line="240" w:lineRule="auto"/>
      <w:jc w:val="center"/>
    </w:pPr>
    <w:rPr>
      <w:rFonts w:ascii="Arial" w:eastAsia="Times New Roman" w:hAnsi="Arial" w:cs="Times New Roman"/>
      <w:b/>
      <w:bCs/>
      <w:sz w:val="24"/>
      <w:szCs w:val="20"/>
      <w:lang w:val="es-ES" w:eastAsia="es-ES"/>
    </w:rPr>
  </w:style>
  <w:style w:type="character" w:customStyle="1" w:styleId="PuestoCar">
    <w:name w:val="Puesto Car"/>
    <w:basedOn w:val="Fuentedeprrafopredeter"/>
    <w:link w:val="Puesto"/>
    <w:rsid w:val="00676010"/>
    <w:rPr>
      <w:rFonts w:ascii="Arial" w:eastAsia="Times New Roman" w:hAnsi="Arial" w:cs="Times New Roman"/>
      <w:b/>
      <w:bCs/>
      <w:sz w:val="24"/>
      <w:szCs w:val="20"/>
      <w:lang w:val="es-ES" w:eastAsia="es-ES"/>
    </w:rPr>
  </w:style>
  <w:style w:type="paragraph" w:styleId="Sangradetextonormal">
    <w:name w:val="Body Text Indent"/>
    <w:basedOn w:val="Normal"/>
    <w:link w:val="SangradetextonormalCar"/>
    <w:semiHidden/>
    <w:rsid w:val="00676010"/>
    <w:pPr>
      <w:autoSpaceDE w:val="0"/>
      <w:autoSpaceDN w:val="0"/>
      <w:adjustRightInd w:val="0"/>
      <w:spacing w:after="0" w:line="240" w:lineRule="auto"/>
      <w:ind w:firstLine="708"/>
      <w:jc w:val="both"/>
    </w:pPr>
    <w:rPr>
      <w:rFonts w:ascii="Arial" w:eastAsia="Times New Roman" w:hAnsi="Arial" w:cs="Times New Roman"/>
      <w:sz w:val="24"/>
      <w:szCs w:val="20"/>
      <w:lang w:val="es-ES" w:eastAsia="es-ES"/>
    </w:rPr>
  </w:style>
  <w:style w:type="character" w:customStyle="1" w:styleId="SangradetextonormalCar">
    <w:name w:val="Sangría de texto normal Car"/>
    <w:basedOn w:val="Fuentedeprrafopredeter"/>
    <w:link w:val="Sangradetextonormal"/>
    <w:semiHidden/>
    <w:rsid w:val="00676010"/>
    <w:rPr>
      <w:rFonts w:ascii="Arial" w:eastAsia="Times New Roman" w:hAnsi="Arial" w:cs="Times New Roman"/>
      <w:sz w:val="24"/>
      <w:szCs w:val="20"/>
      <w:lang w:val="es-ES" w:eastAsia="es-ES"/>
    </w:rPr>
  </w:style>
  <w:style w:type="paragraph" w:styleId="Textoindependiente2">
    <w:name w:val="Body Text 2"/>
    <w:basedOn w:val="Normal"/>
    <w:link w:val="Textoindependiente2Car"/>
    <w:semiHidden/>
    <w:rsid w:val="00676010"/>
    <w:pPr>
      <w:spacing w:after="0" w:line="240" w:lineRule="auto"/>
      <w:jc w:val="both"/>
    </w:pPr>
    <w:rPr>
      <w:rFonts w:ascii="Arial" w:eastAsia="Times New Roman" w:hAnsi="Arial" w:cs="Times New Roman"/>
      <w:b/>
      <w:bCs/>
      <w:sz w:val="24"/>
      <w:szCs w:val="24"/>
      <w:lang w:eastAsia="es-ES"/>
    </w:rPr>
  </w:style>
  <w:style w:type="character" w:customStyle="1" w:styleId="Textoindependiente2Car">
    <w:name w:val="Texto independiente 2 Car"/>
    <w:basedOn w:val="Fuentedeprrafopredeter"/>
    <w:link w:val="Textoindependiente2"/>
    <w:semiHidden/>
    <w:rsid w:val="00676010"/>
    <w:rPr>
      <w:rFonts w:ascii="Arial" w:eastAsia="Times New Roman" w:hAnsi="Arial" w:cs="Times New Roman"/>
      <w:b/>
      <w:bCs/>
      <w:sz w:val="24"/>
      <w:szCs w:val="24"/>
      <w:lang w:eastAsia="es-ES"/>
    </w:rPr>
  </w:style>
  <w:style w:type="paragraph" w:styleId="Textoindependiente3">
    <w:name w:val="Body Text 3"/>
    <w:basedOn w:val="Normal"/>
    <w:link w:val="Textoindependiente3Car"/>
    <w:semiHidden/>
    <w:rsid w:val="00676010"/>
    <w:pPr>
      <w:spacing w:after="0" w:line="360" w:lineRule="auto"/>
      <w:jc w:val="both"/>
    </w:pPr>
    <w:rPr>
      <w:rFonts w:ascii="Arial" w:eastAsia="Times New Roman" w:hAnsi="Arial" w:cs="Times New Roman"/>
      <w:sz w:val="28"/>
      <w:szCs w:val="24"/>
      <w:lang w:eastAsia="es-ES"/>
    </w:rPr>
  </w:style>
  <w:style w:type="character" w:customStyle="1" w:styleId="Textoindependiente3Car">
    <w:name w:val="Texto independiente 3 Car"/>
    <w:basedOn w:val="Fuentedeprrafopredeter"/>
    <w:link w:val="Textoindependiente3"/>
    <w:semiHidden/>
    <w:rsid w:val="00676010"/>
    <w:rPr>
      <w:rFonts w:ascii="Arial" w:eastAsia="Times New Roman" w:hAnsi="Arial" w:cs="Times New Roman"/>
      <w:sz w:val="28"/>
      <w:szCs w:val="24"/>
      <w:lang w:eastAsia="es-ES"/>
    </w:rPr>
  </w:style>
  <w:style w:type="paragraph" w:customStyle="1" w:styleId="titulo">
    <w:name w:val="titulo"/>
    <w:rsid w:val="00676010"/>
    <w:pPr>
      <w:widowControl w:val="0"/>
      <w:tabs>
        <w:tab w:val="left" w:pos="0"/>
        <w:tab w:val="left" w:pos="424"/>
        <w:tab w:val="left" w:pos="720"/>
      </w:tabs>
      <w:suppressAutoHyphens/>
      <w:spacing w:after="0" w:line="240" w:lineRule="auto"/>
      <w:jc w:val="both"/>
    </w:pPr>
    <w:rPr>
      <w:rFonts w:ascii="Garamond" w:eastAsia="Times New Roman" w:hAnsi="Garamond" w:cs="Times New Roman"/>
      <w:snapToGrid w:val="0"/>
      <w:spacing w:val="-3"/>
      <w:sz w:val="28"/>
      <w:szCs w:val="20"/>
      <w:lang w:val="es-ES_tradnl" w:eastAsia="es-ES"/>
    </w:rPr>
  </w:style>
  <w:style w:type="paragraph" w:styleId="Sangra2detindependiente">
    <w:name w:val="Body Text Indent 2"/>
    <w:basedOn w:val="Normal"/>
    <w:link w:val="Sangra2detindependienteCar"/>
    <w:semiHidden/>
    <w:rsid w:val="00676010"/>
    <w:pPr>
      <w:tabs>
        <w:tab w:val="left" w:pos="540"/>
      </w:tabs>
      <w:spacing w:after="0" w:line="240" w:lineRule="auto"/>
      <w:ind w:left="1620" w:hanging="360"/>
      <w:jc w:val="both"/>
    </w:pPr>
    <w:rPr>
      <w:rFonts w:ascii="Arial" w:eastAsia="Times New Roman" w:hAnsi="Arial" w:cs="Times New Roman"/>
      <w:i/>
      <w:iCs/>
      <w:sz w:val="24"/>
      <w:szCs w:val="24"/>
      <w:lang w:eastAsia="es-ES"/>
    </w:rPr>
  </w:style>
  <w:style w:type="character" w:customStyle="1" w:styleId="Sangra2detindependienteCar">
    <w:name w:val="Sangría 2 de t. independiente Car"/>
    <w:basedOn w:val="Fuentedeprrafopredeter"/>
    <w:link w:val="Sangra2detindependiente"/>
    <w:semiHidden/>
    <w:rsid w:val="00676010"/>
    <w:rPr>
      <w:rFonts w:ascii="Arial" w:eastAsia="Times New Roman" w:hAnsi="Arial" w:cs="Times New Roman"/>
      <w:i/>
      <w:iCs/>
      <w:sz w:val="24"/>
      <w:szCs w:val="24"/>
      <w:lang w:eastAsia="es-ES"/>
    </w:rPr>
  </w:style>
  <w:style w:type="paragraph" w:styleId="Sangra3detindependiente">
    <w:name w:val="Body Text Indent 3"/>
    <w:basedOn w:val="Normal"/>
    <w:link w:val="Sangra3detindependienteCar"/>
    <w:semiHidden/>
    <w:rsid w:val="00676010"/>
    <w:pPr>
      <w:tabs>
        <w:tab w:val="left" w:pos="540"/>
      </w:tabs>
      <w:spacing w:after="0" w:line="240" w:lineRule="auto"/>
      <w:ind w:left="720"/>
      <w:jc w:val="both"/>
    </w:pPr>
    <w:rPr>
      <w:rFonts w:ascii="Arial" w:eastAsia="Times New Roman" w:hAnsi="Arial" w:cs="Times New Roman"/>
      <w:i/>
      <w:iCs/>
      <w:sz w:val="24"/>
      <w:szCs w:val="24"/>
      <w:lang w:eastAsia="es-ES"/>
    </w:rPr>
  </w:style>
  <w:style w:type="character" w:customStyle="1" w:styleId="Sangra3detindependienteCar">
    <w:name w:val="Sangría 3 de t. independiente Car"/>
    <w:basedOn w:val="Fuentedeprrafopredeter"/>
    <w:link w:val="Sangra3detindependiente"/>
    <w:semiHidden/>
    <w:rsid w:val="00676010"/>
    <w:rPr>
      <w:rFonts w:ascii="Arial" w:eastAsia="Times New Roman" w:hAnsi="Arial" w:cs="Times New Roman"/>
      <w:i/>
      <w:iCs/>
      <w:sz w:val="24"/>
      <w:szCs w:val="24"/>
      <w:lang w:eastAsia="es-ES"/>
    </w:rPr>
  </w:style>
  <w:style w:type="numbering" w:customStyle="1" w:styleId="Sinlista2">
    <w:name w:val="Sin lista2"/>
    <w:next w:val="Sinlista"/>
    <w:semiHidden/>
    <w:rsid w:val="00AD59FF"/>
  </w:style>
  <w:style w:type="character" w:customStyle="1" w:styleId="NormalWebCar">
    <w:name w:val="Normal (Web) Car"/>
    <w:aliases w:val="Normal (Web) Car1 Car,Normal (Web) Car Car Car,Normal (Web) Car1 Car Car Car,Normal (Web) Car Car Car Car Car Car Car Car Car Car Car Car,Normal (Web) Car Car Car Car Car Car Car, Car Car Car Car, Car Car Car Car Car Car,Car Car1,C Car"/>
    <w:basedOn w:val="Fuentedeprrafopredeter"/>
    <w:link w:val="NormalWeb"/>
    <w:uiPriority w:val="99"/>
    <w:rsid w:val="00AD59FF"/>
    <w:rPr>
      <w:rFonts w:ascii="Times New Roman" w:eastAsia="Times New Roman" w:hAnsi="Times New Roman" w:cs="Times New Roman"/>
      <w:sz w:val="24"/>
      <w:szCs w:val="24"/>
      <w:lang w:eastAsia="es-MX"/>
    </w:rPr>
  </w:style>
  <w:style w:type="paragraph" w:customStyle="1" w:styleId="Prrafodelista1">
    <w:name w:val="Párrafo de lista1"/>
    <w:basedOn w:val="Normal"/>
    <w:rsid w:val="00AD59FF"/>
    <w:pPr>
      <w:spacing w:after="200" w:line="276" w:lineRule="auto"/>
      <w:ind w:left="720"/>
      <w:contextualSpacing/>
    </w:pPr>
    <w:rPr>
      <w:rFonts w:ascii="Calibri" w:eastAsia="Times New Roman" w:hAnsi="Calibri" w:cs="Times New Roman"/>
      <w:lang w:val="es-ES"/>
    </w:rPr>
  </w:style>
  <w:style w:type="table" w:styleId="Tablaconcuadrcula">
    <w:name w:val="Table Grid"/>
    <w:basedOn w:val="Tablanormal"/>
    <w:uiPriority w:val="59"/>
    <w:rsid w:val="00AD59F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AD59FF"/>
    <w:pPr>
      <w:spacing w:after="200" w:line="276" w:lineRule="auto"/>
      <w:ind w:left="720"/>
      <w:contextualSpacing/>
    </w:pPr>
    <w:rPr>
      <w:rFonts w:ascii="Calibri" w:eastAsia="Calibri" w:hAnsi="Calibri" w:cs="Times New Roman"/>
    </w:rPr>
  </w:style>
  <w:style w:type="paragraph" w:customStyle="1" w:styleId="Firmas">
    <w:name w:val="Firmas"/>
    <w:basedOn w:val="Normal"/>
    <w:rsid w:val="00AD59FF"/>
    <w:pPr>
      <w:spacing w:after="0" w:line="240" w:lineRule="auto"/>
      <w:jc w:val="center"/>
    </w:pPr>
    <w:rPr>
      <w:rFonts w:ascii="Arial" w:eastAsia="Times New Roman" w:hAnsi="Arial" w:cs="Times New Roman"/>
      <w:b/>
      <w:bCs/>
      <w:sz w:val="24"/>
      <w:szCs w:val="24"/>
      <w:lang w:val="es-ES" w:eastAsia="es-ES"/>
    </w:rPr>
  </w:style>
  <w:style w:type="character" w:styleId="Refdenotaalpie">
    <w:name w:val="footnote reference"/>
    <w:aliases w:val="Texto de nota al pie,Footnotes refss,Appel note de bas de page,Footnote number,referencia nota al pie,BVI fnr,f,4_G,16 Point,Superscript 6 Point,Footnote Reference,Texto nota al pie"/>
    <w:basedOn w:val="Fuentedeprrafopredeter"/>
    <w:uiPriority w:val="99"/>
    <w:unhideWhenUsed/>
    <w:rsid w:val="00AD59FF"/>
    <w:rPr>
      <w:vertAlign w:val="superscript"/>
    </w:r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A Fu?notentext,Ca"/>
    <w:basedOn w:val="Normal"/>
    <w:link w:val="TextonotapieCar"/>
    <w:uiPriority w:val="99"/>
    <w:unhideWhenUsed/>
    <w:rsid w:val="00AD59FF"/>
    <w:pPr>
      <w:spacing w:after="0" w:line="240" w:lineRule="auto"/>
    </w:pPr>
    <w:rPr>
      <w:rFonts w:ascii="Calibri" w:eastAsia="Calibri" w:hAnsi="Calibri" w:cs="Times New Roman"/>
      <w:sz w:val="20"/>
      <w:szCs w:val="20"/>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ﬂnotentext Car,FA Fu?notentext Car"/>
    <w:basedOn w:val="Fuentedeprrafopredeter"/>
    <w:link w:val="Textonotapie"/>
    <w:uiPriority w:val="99"/>
    <w:rsid w:val="00AD59FF"/>
    <w:rPr>
      <w:rFonts w:ascii="Calibri" w:eastAsia="Calibri" w:hAnsi="Calibri" w:cs="Times New Roman"/>
      <w:sz w:val="20"/>
      <w:szCs w:val="20"/>
    </w:rPr>
  </w:style>
  <w:style w:type="character" w:customStyle="1" w:styleId="googqs-tidbit-0">
    <w:name w:val="goog_qs-tidbit-0"/>
    <w:basedOn w:val="Fuentedeprrafopredeter"/>
    <w:rsid w:val="00AD59FF"/>
  </w:style>
  <w:style w:type="paragraph" w:customStyle="1" w:styleId="Cuerpo">
    <w:name w:val="Cuerpo"/>
    <w:rsid w:val="00AD59FF"/>
    <w:pPr>
      <w:spacing w:after="0" w:line="240" w:lineRule="auto"/>
    </w:pPr>
    <w:rPr>
      <w:rFonts w:ascii="Helvetica" w:eastAsia="ヒラギノ角ゴ Pro W3" w:hAnsi="Helvetica" w:cs="Times New Roman"/>
      <w:color w:val="000000"/>
      <w:sz w:val="24"/>
      <w:szCs w:val="20"/>
      <w:lang w:val="es-ES_tradnl" w:eastAsia="es-MX"/>
    </w:rPr>
  </w:style>
  <w:style w:type="character" w:styleId="nfasis">
    <w:name w:val="Emphasis"/>
    <w:basedOn w:val="Fuentedeprrafopredeter"/>
    <w:uiPriority w:val="20"/>
    <w:qFormat/>
    <w:rsid w:val="00AD59FF"/>
    <w:rPr>
      <w:i/>
      <w:iCs/>
    </w:rPr>
  </w:style>
  <w:style w:type="character" w:customStyle="1" w:styleId="apple-converted-space">
    <w:name w:val="apple-converted-space"/>
    <w:basedOn w:val="Fuentedeprrafopredeter"/>
    <w:rsid w:val="00AD59FF"/>
  </w:style>
  <w:style w:type="paragraph" w:styleId="Textonotaalfinal">
    <w:name w:val="endnote text"/>
    <w:basedOn w:val="Normal"/>
    <w:link w:val="TextonotaalfinalCar"/>
    <w:rsid w:val="00AD59FF"/>
    <w:pPr>
      <w:spacing w:after="0" w:line="240" w:lineRule="auto"/>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rsid w:val="00AD59FF"/>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AD59FF"/>
    <w:rPr>
      <w:vertAlign w:val="superscript"/>
    </w:rPr>
  </w:style>
  <w:style w:type="character" w:customStyle="1" w:styleId="googqs-tidbit1">
    <w:name w:val="goog_qs-tidbit1"/>
    <w:basedOn w:val="Fuentedeprrafopredeter"/>
    <w:rsid w:val="00AD59FF"/>
    <w:rPr>
      <w:vanish w:val="0"/>
      <w:webHidden w:val="0"/>
      <w:specVanish w:val="0"/>
    </w:rPr>
  </w:style>
  <w:style w:type="paragraph" w:customStyle="1" w:styleId="Default">
    <w:name w:val="Default"/>
    <w:rsid w:val="00AD59FF"/>
    <w:pPr>
      <w:autoSpaceDE w:val="0"/>
      <w:autoSpaceDN w:val="0"/>
      <w:adjustRightInd w:val="0"/>
      <w:spacing w:after="0" w:line="240" w:lineRule="auto"/>
    </w:pPr>
    <w:rPr>
      <w:rFonts w:ascii="Times New Roman" w:eastAsia="Times New Roman" w:hAnsi="Times New Roman" w:cs="Times New Roman"/>
      <w:color w:val="000000"/>
      <w:sz w:val="24"/>
      <w:szCs w:val="24"/>
      <w:lang w:eastAsia="es-MX"/>
    </w:rPr>
  </w:style>
  <w:style w:type="character" w:customStyle="1" w:styleId="apple-style-span">
    <w:name w:val="apple-style-span"/>
    <w:basedOn w:val="Fuentedeprrafopredeter"/>
    <w:rsid w:val="00AD59FF"/>
  </w:style>
  <w:style w:type="paragraph" w:customStyle="1" w:styleId="Pa2">
    <w:name w:val="Pa2"/>
    <w:basedOn w:val="Default"/>
    <w:next w:val="Default"/>
    <w:uiPriority w:val="99"/>
    <w:rsid w:val="00AD59FF"/>
    <w:pPr>
      <w:spacing w:line="191" w:lineRule="atLeast"/>
    </w:pPr>
    <w:rPr>
      <w:rFonts w:ascii="Helvetica 45 Light" w:hAnsi="Helvetica 45 Light"/>
      <w:color w:val="auto"/>
    </w:rPr>
  </w:style>
  <w:style w:type="character" w:customStyle="1" w:styleId="A3">
    <w:name w:val="A3"/>
    <w:uiPriority w:val="99"/>
    <w:rsid w:val="00AD59FF"/>
    <w:rPr>
      <w:rFonts w:cs="Helvetica 45 Light"/>
      <w:i/>
      <w:iCs/>
      <w:color w:val="000000"/>
      <w:sz w:val="19"/>
      <w:szCs w:val="19"/>
    </w:rPr>
  </w:style>
  <w:style w:type="paragraph" w:customStyle="1" w:styleId="Style3">
    <w:name w:val="Style3"/>
    <w:basedOn w:val="Normal"/>
    <w:uiPriority w:val="99"/>
    <w:rsid w:val="00AD59FF"/>
    <w:pPr>
      <w:widowControl w:val="0"/>
      <w:autoSpaceDE w:val="0"/>
      <w:autoSpaceDN w:val="0"/>
      <w:adjustRightInd w:val="0"/>
      <w:spacing w:after="0" w:line="240" w:lineRule="auto"/>
    </w:pPr>
    <w:rPr>
      <w:rFonts w:ascii="Microsoft Sans Serif" w:eastAsia="Times New Roman" w:hAnsi="Microsoft Sans Serif" w:cs="Microsoft Sans Serif"/>
      <w:sz w:val="24"/>
      <w:szCs w:val="24"/>
      <w:lang w:val="es-ES" w:eastAsia="es-ES"/>
    </w:rPr>
  </w:style>
  <w:style w:type="character" w:customStyle="1" w:styleId="FontStyle16">
    <w:name w:val="Font Style16"/>
    <w:basedOn w:val="Fuentedeprrafopredeter"/>
    <w:uiPriority w:val="99"/>
    <w:rsid w:val="00AD59FF"/>
    <w:rPr>
      <w:rFonts w:ascii="Microsoft Sans Serif" w:hAnsi="Microsoft Sans Serif" w:cs="Microsoft Sans Serif"/>
      <w:sz w:val="20"/>
      <w:szCs w:val="20"/>
    </w:rPr>
  </w:style>
  <w:style w:type="paragraph" w:customStyle="1" w:styleId="Style2">
    <w:name w:val="Style2"/>
    <w:basedOn w:val="Normal"/>
    <w:uiPriority w:val="99"/>
    <w:rsid w:val="00AD59FF"/>
    <w:pPr>
      <w:widowControl w:val="0"/>
      <w:autoSpaceDE w:val="0"/>
      <w:autoSpaceDN w:val="0"/>
      <w:adjustRightInd w:val="0"/>
      <w:spacing w:after="0" w:line="240" w:lineRule="auto"/>
    </w:pPr>
    <w:rPr>
      <w:rFonts w:ascii="Microsoft Sans Serif" w:eastAsia="Times New Roman" w:hAnsi="Microsoft Sans Serif" w:cs="Microsoft Sans Serif"/>
      <w:sz w:val="24"/>
      <w:szCs w:val="24"/>
      <w:lang w:val="es-ES" w:eastAsia="es-ES"/>
    </w:rPr>
  </w:style>
  <w:style w:type="paragraph" w:customStyle="1" w:styleId="Style4">
    <w:name w:val="Style4"/>
    <w:basedOn w:val="Normal"/>
    <w:uiPriority w:val="99"/>
    <w:rsid w:val="00AD59FF"/>
    <w:pPr>
      <w:widowControl w:val="0"/>
      <w:autoSpaceDE w:val="0"/>
      <w:autoSpaceDN w:val="0"/>
      <w:adjustRightInd w:val="0"/>
      <w:spacing w:after="0" w:line="240" w:lineRule="auto"/>
    </w:pPr>
    <w:rPr>
      <w:rFonts w:ascii="Microsoft Sans Serif" w:eastAsia="Times New Roman" w:hAnsi="Microsoft Sans Serif" w:cs="Microsoft Sans Serif"/>
      <w:sz w:val="24"/>
      <w:szCs w:val="24"/>
      <w:lang w:val="es-ES" w:eastAsia="es-ES"/>
    </w:rPr>
  </w:style>
  <w:style w:type="character" w:customStyle="1" w:styleId="FontStyle13">
    <w:name w:val="Font Style13"/>
    <w:basedOn w:val="Fuentedeprrafopredeter"/>
    <w:uiPriority w:val="99"/>
    <w:rsid w:val="00AD59FF"/>
    <w:rPr>
      <w:rFonts w:ascii="Microsoft Sans Serif" w:hAnsi="Microsoft Sans Serif" w:cs="Microsoft Sans Serif"/>
      <w:b/>
      <w:bCs/>
      <w:i/>
      <w:iCs/>
      <w:spacing w:val="20"/>
      <w:sz w:val="24"/>
      <w:szCs w:val="24"/>
    </w:rPr>
  </w:style>
  <w:style w:type="paragraph" w:customStyle="1" w:styleId="Style6">
    <w:name w:val="Style6"/>
    <w:basedOn w:val="Normal"/>
    <w:uiPriority w:val="99"/>
    <w:rsid w:val="00AD59FF"/>
    <w:pPr>
      <w:widowControl w:val="0"/>
      <w:autoSpaceDE w:val="0"/>
      <w:autoSpaceDN w:val="0"/>
      <w:adjustRightInd w:val="0"/>
      <w:spacing w:after="0" w:line="240" w:lineRule="auto"/>
    </w:pPr>
    <w:rPr>
      <w:rFonts w:ascii="Microsoft Sans Serif" w:eastAsia="Times New Roman" w:hAnsi="Microsoft Sans Serif" w:cs="Microsoft Sans Serif"/>
      <w:sz w:val="24"/>
      <w:szCs w:val="24"/>
      <w:lang w:val="es-ES" w:eastAsia="es-ES"/>
    </w:rPr>
  </w:style>
  <w:style w:type="character" w:customStyle="1" w:styleId="FontStyle11">
    <w:name w:val="Font Style11"/>
    <w:basedOn w:val="Fuentedeprrafopredeter"/>
    <w:uiPriority w:val="99"/>
    <w:rsid w:val="00AD59FF"/>
    <w:rPr>
      <w:rFonts w:ascii="Microsoft Sans Serif" w:hAnsi="Microsoft Sans Serif" w:cs="Microsoft Sans Serif"/>
      <w:b/>
      <w:bCs/>
      <w:sz w:val="22"/>
      <w:szCs w:val="22"/>
    </w:rPr>
  </w:style>
  <w:style w:type="paragraph" w:customStyle="1" w:styleId="Style8">
    <w:name w:val="Style8"/>
    <w:basedOn w:val="Normal"/>
    <w:uiPriority w:val="99"/>
    <w:rsid w:val="00AD59FF"/>
    <w:pPr>
      <w:widowControl w:val="0"/>
      <w:autoSpaceDE w:val="0"/>
      <w:autoSpaceDN w:val="0"/>
      <w:adjustRightInd w:val="0"/>
      <w:spacing w:after="0" w:line="240" w:lineRule="auto"/>
    </w:pPr>
    <w:rPr>
      <w:rFonts w:ascii="Microsoft Sans Serif" w:eastAsia="Times New Roman" w:hAnsi="Microsoft Sans Serif" w:cs="Microsoft Sans Serif"/>
      <w:sz w:val="24"/>
      <w:szCs w:val="24"/>
      <w:lang w:val="es-ES" w:eastAsia="es-ES"/>
    </w:rPr>
  </w:style>
  <w:style w:type="character" w:customStyle="1" w:styleId="FontStyle15">
    <w:name w:val="Font Style15"/>
    <w:basedOn w:val="Fuentedeprrafopredeter"/>
    <w:uiPriority w:val="99"/>
    <w:rsid w:val="00AD59FF"/>
    <w:rPr>
      <w:rFonts w:ascii="Microsoft Sans Serif" w:hAnsi="Microsoft Sans Serif" w:cs="Microsoft Sans Serif"/>
      <w:spacing w:val="-10"/>
      <w:sz w:val="20"/>
      <w:szCs w:val="20"/>
    </w:rPr>
  </w:style>
  <w:style w:type="character" w:customStyle="1" w:styleId="A4">
    <w:name w:val="A4"/>
    <w:uiPriority w:val="99"/>
    <w:rsid w:val="00AD59FF"/>
    <w:rPr>
      <w:rFonts w:cs="Helvetica 45 Light"/>
      <w:color w:val="000000"/>
      <w:sz w:val="18"/>
      <w:szCs w:val="18"/>
    </w:rPr>
  </w:style>
  <w:style w:type="character" w:customStyle="1" w:styleId="FontStyle57">
    <w:name w:val="Font Style57"/>
    <w:basedOn w:val="Fuentedeprrafopredeter"/>
    <w:uiPriority w:val="99"/>
    <w:rsid w:val="00AD59FF"/>
    <w:rPr>
      <w:rFonts w:ascii="Calibri" w:hAnsi="Calibri" w:cs="Calibri"/>
      <w:sz w:val="22"/>
      <w:szCs w:val="22"/>
    </w:rPr>
  </w:style>
  <w:style w:type="character" w:customStyle="1" w:styleId="FontStyle12">
    <w:name w:val="Font Style12"/>
    <w:basedOn w:val="Fuentedeprrafopredeter"/>
    <w:uiPriority w:val="99"/>
    <w:rsid w:val="00AD59FF"/>
    <w:rPr>
      <w:rFonts w:ascii="Calibri" w:hAnsi="Calibri" w:cs="Calibri"/>
      <w:sz w:val="22"/>
      <w:szCs w:val="22"/>
    </w:rPr>
  </w:style>
  <w:style w:type="character" w:customStyle="1" w:styleId="FontStyle17">
    <w:name w:val="Font Style17"/>
    <w:basedOn w:val="Fuentedeprrafopredeter"/>
    <w:uiPriority w:val="99"/>
    <w:rsid w:val="00AD59FF"/>
    <w:rPr>
      <w:rFonts w:ascii="Calibri" w:hAnsi="Calibri" w:cs="Calibri"/>
      <w:sz w:val="18"/>
      <w:szCs w:val="18"/>
    </w:rPr>
  </w:style>
  <w:style w:type="character" w:customStyle="1" w:styleId="FontStyle18">
    <w:name w:val="Font Style18"/>
    <w:basedOn w:val="Fuentedeprrafopredeter"/>
    <w:uiPriority w:val="99"/>
    <w:rsid w:val="00AD59FF"/>
    <w:rPr>
      <w:rFonts w:ascii="Calibri" w:hAnsi="Calibri" w:cs="Calibri"/>
      <w:i/>
      <w:iCs/>
      <w:sz w:val="20"/>
      <w:szCs w:val="20"/>
    </w:rPr>
  </w:style>
  <w:style w:type="numbering" w:customStyle="1" w:styleId="Sinlista3">
    <w:name w:val="Sin lista3"/>
    <w:next w:val="Sinlista"/>
    <w:uiPriority w:val="99"/>
    <w:semiHidden/>
    <w:unhideWhenUsed/>
    <w:rsid w:val="009B02C2"/>
  </w:style>
  <w:style w:type="paragraph" w:customStyle="1" w:styleId="General">
    <w:name w:val="General"/>
    <w:basedOn w:val="Normal"/>
    <w:link w:val="GeneralCar"/>
    <w:uiPriority w:val="99"/>
    <w:rsid w:val="009B02C2"/>
    <w:pPr>
      <w:spacing w:after="0" w:line="360" w:lineRule="auto"/>
      <w:ind w:firstLine="709"/>
      <w:jc w:val="both"/>
    </w:pPr>
    <w:rPr>
      <w:rFonts w:ascii="Times New Roman" w:eastAsia="Times New Roman" w:hAnsi="Times New Roman" w:cs="Times New Roman"/>
      <w:sz w:val="28"/>
      <w:szCs w:val="24"/>
      <w:lang w:val="es-ES" w:eastAsia="es-ES"/>
    </w:rPr>
  </w:style>
  <w:style w:type="character" w:customStyle="1" w:styleId="GeneralCar">
    <w:name w:val="General Car"/>
    <w:basedOn w:val="Fuentedeprrafopredeter"/>
    <w:link w:val="General"/>
    <w:uiPriority w:val="99"/>
    <w:locked/>
    <w:rsid w:val="009B02C2"/>
    <w:rPr>
      <w:rFonts w:ascii="Times New Roman" w:eastAsia="Times New Roman" w:hAnsi="Times New Roman" w:cs="Times New Roman"/>
      <w:sz w:val="28"/>
      <w:szCs w:val="24"/>
      <w:lang w:val="es-ES" w:eastAsia="es-ES"/>
    </w:rPr>
  </w:style>
  <w:style w:type="character" w:styleId="Hipervnculovisitado">
    <w:name w:val="FollowedHyperlink"/>
    <w:basedOn w:val="Fuentedeprrafopredeter"/>
    <w:rsid w:val="009B02C2"/>
    <w:rPr>
      <w:color w:val="800080"/>
      <w:u w:val="single"/>
    </w:rPr>
  </w:style>
  <w:style w:type="character" w:customStyle="1" w:styleId="nw1">
    <w:name w:val="nw1"/>
    <w:basedOn w:val="Fuentedeprrafopredeter"/>
    <w:rsid w:val="009B02C2"/>
  </w:style>
  <w:style w:type="paragraph" w:customStyle="1" w:styleId="negritamayuscula">
    <w:name w:val="negrita mayuscula"/>
    <w:basedOn w:val="Normal"/>
    <w:rsid w:val="009B02C2"/>
    <w:pPr>
      <w:widowControl w:val="0"/>
      <w:tabs>
        <w:tab w:val="left" w:pos="1120"/>
      </w:tabs>
      <w:spacing w:after="0" w:line="360" w:lineRule="atLeast"/>
      <w:jc w:val="both"/>
    </w:pPr>
    <w:rPr>
      <w:rFonts w:ascii="Garamond" w:eastAsia="Times New Roman" w:hAnsi="Garamond" w:cs="Times New Roman"/>
      <w:sz w:val="24"/>
      <w:szCs w:val="20"/>
      <w:lang w:val="es-ES_tradnl" w:eastAsia="es-ES"/>
    </w:rPr>
  </w:style>
  <w:style w:type="character" w:customStyle="1" w:styleId="PrrafodelistaCar">
    <w:name w:val="Párrafo de lista Car"/>
    <w:basedOn w:val="Fuentedeprrafopredeter"/>
    <w:link w:val="Prrafodelista"/>
    <w:uiPriority w:val="34"/>
    <w:rsid w:val="009B02C2"/>
    <w:rPr>
      <w:rFonts w:ascii="Calibri" w:eastAsia="Calibri" w:hAnsi="Calibri" w:cs="Times New Roman"/>
    </w:rPr>
  </w:style>
  <w:style w:type="table" w:customStyle="1" w:styleId="Tablaconcuadrcula1">
    <w:name w:val="Tabla con cuadrícula1"/>
    <w:basedOn w:val="Tablanormal"/>
    <w:next w:val="Tablaconcuadrcula"/>
    <w:uiPriority w:val="59"/>
    <w:rsid w:val="009B02C2"/>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789007">
      <w:bodyDiv w:val="1"/>
      <w:marLeft w:val="0"/>
      <w:marRight w:val="0"/>
      <w:marTop w:val="0"/>
      <w:marBottom w:val="0"/>
      <w:divBdr>
        <w:top w:val="none" w:sz="0" w:space="0" w:color="auto"/>
        <w:left w:val="none" w:sz="0" w:space="0" w:color="auto"/>
        <w:bottom w:val="none" w:sz="0" w:space="0" w:color="auto"/>
        <w:right w:val="none" w:sz="0" w:space="0" w:color="auto"/>
      </w:divBdr>
      <w:divsChild>
        <w:div w:id="207567950">
          <w:marLeft w:val="0"/>
          <w:marRight w:val="0"/>
          <w:marTop w:val="0"/>
          <w:marBottom w:val="0"/>
          <w:divBdr>
            <w:top w:val="none" w:sz="0" w:space="0" w:color="auto"/>
            <w:left w:val="none" w:sz="0" w:space="0" w:color="auto"/>
            <w:bottom w:val="none" w:sz="0" w:space="0" w:color="auto"/>
            <w:right w:val="none" w:sz="0" w:space="0" w:color="auto"/>
          </w:divBdr>
        </w:div>
        <w:div w:id="375811041">
          <w:marLeft w:val="0"/>
          <w:marRight w:val="0"/>
          <w:marTop w:val="0"/>
          <w:marBottom w:val="0"/>
          <w:divBdr>
            <w:top w:val="none" w:sz="0" w:space="0" w:color="auto"/>
            <w:left w:val="none" w:sz="0" w:space="0" w:color="auto"/>
            <w:bottom w:val="none" w:sz="0" w:space="0" w:color="auto"/>
            <w:right w:val="none" w:sz="0" w:space="0" w:color="auto"/>
          </w:divBdr>
        </w:div>
        <w:div w:id="1060515911">
          <w:marLeft w:val="0"/>
          <w:marRight w:val="0"/>
          <w:marTop w:val="0"/>
          <w:marBottom w:val="0"/>
          <w:divBdr>
            <w:top w:val="none" w:sz="0" w:space="0" w:color="auto"/>
            <w:left w:val="none" w:sz="0" w:space="0" w:color="auto"/>
            <w:bottom w:val="none" w:sz="0" w:space="0" w:color="auto"/>
            <w:right w:val="none" w:sz="0" w:space="0" w:color="auto"/>
          </w:divBdr>
        </w:div>
        <w:div w:id="879897769">
          <w:marLeft w:val="0"/>
          <w:marRight w:val="0"/>
          <w:marTop w:val="0"/>
          <w:marBottom w:val="0"/>
          <w:divBdr>
            <w:top w:val="none" w:sz="0" w:space="0" w:color="auto"/>
            <w:left w:val="none" w:sz="0" w:space="0" w:color="auto"/>
            <w:bottom w:val="none" w:sz="0" w:space="0" w:color="auto"/>
            <w:right w:val="none" w:sz="0" w:space="0" w:color="auto"/>
          </w:divBdr>
        </w:div>
        <w:div w:id="1671255721">
          <w:marLeft w:val="0"/>
          <w:marRight w:val="0"/>
          <w:marTop w:val="0"/>
          <w:marBottom w:val="0"/>
          <w:divBdr>
            <w:top w:val="none" w:sz="0" w:space="0" w:color="auto"/>
            <w:left w:val="none" w:sz="0" w:space="0" w:color="auto"/>
            <w:bottom w:val="none" w:sz="0" w:space="0" w:color="auto"/>
            <w:right w:val="none" w:sz="0" w:space="0" w:color="auto"/>
          </w:divBdr>
        </w:div>
        <w:div w:id="574122750">
          <w:marLeft w:val="0"/>
          <w:marRight w:val="0"/>
          <w:marTop w:val="0"/>
          <w:marBottom w:val="0"/>
          <w:divBdr>
            <w:top w:val="none" w:sz="0" w:space="0" w:color="auto"/>
            <w:left w:val="none" w:sz="0" w:space="0" w:color="auto"/>
            <w:bottom w:val="none" w:sz="0" w:space="0" w:color="auto"/>
            <w:right w:val="none" w:sz="0" w:space="0" w:color="auto"/>
          </w:divBdr>
        </w:div>
      </w:divsChild>
    </w:div>
    <w:div w:id="178568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te.gob.mx/colecciones/sentencias/html/SUP/2011/JDC/SUP-JDC-09167-2011.htm" TargetMode="External"/><Relationship Id="rId13" Type="http://schemas.openxmlformats.org/officeDocument/2006/relationships/hyperlink" Target="http://10.10.15.15/siscon/gateway.dll/nJurisprudenciayTesis/nVigentesTercerayCuartaEpoca/compilaci%C3%B3n.htm?f=templates$fn=document-frame.htm$3.0$q=$uq=$x=$up=1$nc=4179" TargetMode="External"/><Relationship Id="rId18" Type="http://schemas.openxmlformats.org/officeDocument/2006/relationships/hyperlink" Target="http://10.10.15.15/siscon/gateway.dll/nJurisprudenciayTesis/nVigentesTercerayCuartaEpoca/compilaci%C3%B3n.htm?f=templates$fn=document-frame.htm$3.0$q=$uq=$x=$up=1$nc=9788" TargetMode="External"/><Relationship Id="rId26" Type="http://schemas.openxmlformats.org/officeDocument/2006/relationships/hyperlink" Target="http://www.micheran.com" TargetMode="External"/><Relationship Id="rId3" Type="http://schemas.openxmlformats.org/officeDocument/2006/relationships/settings" Target="settings.xml"/><Relationship Id="rId21" Type="http://schemas.openxmlformats.org/officeDocument/2006/relationships/hyperlink" Target="http://portal.te.gob.mx/colecciones/sentencias/html/SUP/2012/JDC/SUP-JDC-00061-2012.htm" TargetMode="External"/><Relationship Id="rId7" Type="http://schemas.openxmlformats.org/officeDocument/2006/relationships/hyperlink" Target="http://portal.te.gob.mx/colecciones/sentencias/html/SUP/2002/JDC/SUP-JDC-00013-2002.htm" TargetMode="External"/><Relationship Id="rId12" Type="http://schemas.openxmlformats.org/officeDocument/2006/relationships/hyperlink" Target="http://portal.te.gob.mx/colecciones/sentencias/html/SUP/2011/JDC/SUP-JDC-09167-2011.htm" TargetMode="External"/><Relationship Id="rId17" Type="http://schemas.openxmlformats.org/officeDocument/2006/relationships/hyperlink" Target="http://www.unhchr.ch/tbs/doc.nsf/099b725fe87555ec8025670c004fc803/1d19f8e78e2508de8025677f003c5c25?OpenDocument" TargetMode="External"/><Relationship Id="rId25" Type="http://schemas.openxmlformats.org/officeDocument/2006/relationships/hyperlink" Target="http://www.iem.org.mx/" TargetMode="External"/><Relationship Id="rId2" Type="http://schemas.openxmlformats.org/officeDocument/2006/relationships/styles" Target="styles.xml"/><Relationship Id="rId16" Type="http://schemas.openxmlformats.org/officeDocument/2006/relationships/hyperlink" Target="http://10.10.15.15/siscon/gateway.dll/nJurisprudenciayTesis/nVigentesTercerayCuartaEpoca/compilaci%C3%B3n.htm?f=templates$fn=document-frame.htm$3.0$q=%5Borderedprox,30%3Aagravios%20estudio%20conjunto%5D%20$uq=$x=server$up=1$nc=4840" TargetMode="External"/><Relationship Id="rId20" Type="http://schemas.openxmlformats.org/officeDocument/2006/relationships/hyperlink" Target="http://10.10.15.15/siscon/gateway.dll/nJurisprudenciayTesis/nVigentesTercerayCuartaEpoca/compilaci%C3%B3n.htm?f=templates$fn=document-frame.htm$3.0$q=$uq=$x=$up=1$nc=7930" TargetMode="External"/><Relationship Id="rId29" Type="http://schemas.openxmlformats.org/officeDocument/2006/relationships/hyperlink" Target="http://www.micheran.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rtal.te.gob.mx/colecciones/sentencias/html/SUP/2002/JDC/SUP-JDC-00013-2002.htm" TargetMode="External"/><Relationship Id="rId24" Type="http://schemas.openxmlformats.org/officeDocument/2006/relationships/hyperlink" Target="http://10.10.15.15/siscon/gateway.dll/nJurisprudenciayTesis/nVigentesTercerayCuartaEpoca/compilaci%C3%B3n.htm?f=templates$fn=document-frame.htm$3.0$q=$uq=$x=$up=1$nc=9788" TargetMode="External"/><Relationship Id="rId5" Type="http://schemas.openxmlformats.org/officeDocument/2006/relationships/footnotes" Target="footnotes.xml"/><Relationship Id="rId15" Type="http://schemas.openxmlformats.org/officeDocument/2006/relationships/hyperlink" Target="http://10.10.15.15/siscon/gateway.dll/nJurisprudenciayTesis/nVigentesTercerayCuartaEpoca/compilaci%C3%B3n.htm?f=templates$fn=document-frame.htm$3.0$q=$uq=$x=$up=1$nc=4065" TargetMode="External"/><Relationship Id="rId23" Type="http://schemas.openxmlformats.org/officeDocument/2006/relationships/hyperlink" Target="http://10.10.15.15/siscon/gateway.dll/nJurisprudenciayTesis/nVigentesTercerayCuartaEpoca/compilaci%C3%B3n.htm?f=templates$fn=document-frame.htm$3.0$q=$uq=$x=$up=1$nc=7930" TargetMode="External"/><Relationship Id="rId28" Type="http://schemas.openxmlformats.org/officeDocument/2006/relationships/hyperlink" Target="http://www.iem.org.mx/" TargetMode="External"/><Relationship Id="rId10" Type="http://schemas.openxmlformats.org/officeDocument/2006/relationships/hyperlink" Target="http://portal.te.gob.mx/colecciones/sentencias/html/SUP/2012/JDC/SUP-JDC-00061-2012.htm" TargetMode="External"/><Relationship Id="rId19" Type="http://schemas.openxmlformats.org/officeDocument/2006/relationships/hyperlink" Target="http://10.10.15.15/siscon/gateway.dll/nJurisprudenciayTesis/nVigentesTercerayCuartaEpoca/compilaci%C3%B3n.htm?f=templates$fn=document-frame.htm$3.0$q=$uq=$x=$up=1$nc=9788"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te.gob.mx/IUSEapp/tesisjur.aspx?idTesis=37/2014" TargetMode="External"/><Relationship Id="rId14" Type="http://schemas.openxmlformats.org/officeDocument/2006/relationships/hyperlink" Target="http://10.10.15.15/siscon/gateway.dll/nJurisprudenciayTesis/nVigentesTercerayCuartaEpoca/compilaci%C3%B3n.htm?f=templates$fn=document-frame.htm$3.0$q=$uq=$x=$up=1$nc=5622" TargetMode="External"/><Relationship Id="rId22" Type="http://schemas.openxmlformats.org/officeDocument/2006/relationships/hyperlink" Target="http://10.10.15.15/siscon/gateway.dll/nJurisprudenciayTesis/nVigentesTercerayCuartaEpoca/compilaci%C3%B3n.htm?f=templates$fn=document-frame.htm$3.0$q=$uq=$x=$up=1$nc=4179" TargetMode="External"/><Relationship Id="rId27" Type="http://schemas.openxmlformats.org/officeDocument/2006/relationships/image" Target="media/image1.png"/><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e-local.gob.mx/wb2/ELOCAL/EMM_michoacan" TargetMode="External"/><Relationship Id="rId2" Type="http://schemas.openxmlformats.org/officeDocument/2006/relationships/hyperlink" Target="http://unbisnet.un.org:8080/ipac20/ipac.jsp?profile=voting&amp;index=.VM&amp;term=ares61295" TargetMode="External"/><Relationship Id="rId1" Type="http://schemas.openxmlformats.org/officeDocument/2006/relationships/hyperlink" Target="http://10.10.15.15/siscon/gateway.dll/nJurisprudenciayTesis/nVigentesTercerayCuartaEpoca/compilaci%C3%B3n.htm?f=templates$fn=document-frame.htm$3.0$q=$uq=$x=$up=1$nc=5622" TargetMode="External"/><Relationship Id="rId5" Type="http://schemas.openxmlformats.org/officeDocument/2006/relationships/hyperlink" Target="http://www.iem.org.mx" TargetMode="External"/><Relationship Id="rId4" Type="http://schemas.openxmlformats.org/officeDocument/2006/relationships/hyperlink" Target="http://www.inegi.org.mx/sistemas/mexicocifras/default.aspx?src=487&amp;e=1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458</Pages>
  <Words>121352</Words>
  <Characters>667436</Characters>
  <Application>Microsoft Office Word</Application>
  <DocSecurity>0</DocSecurity>
  <Lines>5561</Lines>
  <Paragraphs>1574</Paragraphs>
  <ScaleCrop>false</ScaleCrop>
  <Company/>
  <LinksUpToDate>false</LinksUpToDate>
  <CharactersWithSpaces>787214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19</cp:revision>
  <dcterms:created xsi:type="dcterms:W3CDTF">2020-12-12T16:39:00Z</dcterms:created>
  <dcterms:modified xsi:type="dcterms:W3CDTF">2020-12-16T19:32:00Z</dcterms:modified>
</cp:coreProperties>
</file>