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E0DBC" w14:textId="77777777" w:rsidR="00BA2E8E" w:rsidRPr="00BA2E8E" w:rsidRDefault="00BA2E8E" w:rsidP="009227B2">
      <w:pPr>
        <w:pStyle w:val="Ttulo1"/>
        <w:rPr>
          <w:rFonts w:ascii="Arial" w:eastAsia="Times New Roman" w:hAnsi="Arial" w:cs="Arial"/>
          <w:color w:val="212529"/>
          <w:sz w:val="24"/>
          <w:szCs w:val="24"/>
          <w:lang w:eastAsia="es-MX"/>
        </w:rPr>
      </w:pPr>
      <w:r w:rsidRPr="00BA2E8E">
        <w:rPr>
          <w:rFonts w:ascii="Arial" w:eastAsia="Times New Roman" w:hAnsi="Arial" w:cs="Arial"/>
          <w:b/>
          <w:bCs/>
          <w:color w:val="212529"/>
          <w:sz w:val="24"/>
          <w:szCs w:val="24"/>
          <w:lang w:eastAsia="es-MX"/>
        </w:rPr>
        <w:t>TEMA: SUPLENCIA DE LA QUEJA</w:t>
      </w:r>
    </w:p>
    <w:p w14:paraId="4E6122AA" w14:textId="77777777" w:rsidR="005C617F" w:rsidRDefault="005C617F" w:rsidP="00BA2E8E">
      <w:pPr>
        <w:spacing w:after="0" w:line="240" w:lineRule="auto"/>
        <w:jc w:val="both"/>
        <w:rPr>
          <w:rFonts w:ascii="Arial" w:eastAsia="Times New Roman" w:hAnsi="Arial" w:cs="Arial"/>
          <w:b/>
          <w:bCs/>
          <w:color w:val="C00000"/>
          <w:sz w:val="24"/>
          <w:szCs w:val="24"/>
          <w:lang w:eastAsia="es-MX"/>
        </w:rPr>
      </w:pPr>
    </w:p>
    <w:p w14:paraId="4957A5D8" w14:textId="77777777" w:rsidR="005C617F" w:rsidRDefault="005C617F" w:rsidP="00BA2E8E">
      <w:pPr>
        <w:spacing w:after="0" w:line="240" w:lineRule="auto"/>
        <w:jc w:val="both"/>
        <w:rPr>
          <w:rFonts w:ascii="Arial" w:eastAsia="Times New Roman" w:hAnsi="Arial" w:cs="Arial"/>
          <w:b/>
          <w:bCs/>
          <w:color w:val="C00000"/>
          <w:sz w:val="24"/>
          <w:szCs w:val="24"/>
          <w:lang w:eastAsia="es-MX"/>
        </w:rPr>
      </w:pPr>
    </w:p>
    <w:p w14:paraId="1C3E3311" w14:textId="7F7BBEE7" w:rsidR="005C617F" w:rsidRPr="005C617F" w:rsidRDefault="005C617F" w:rsidP="009227B2">
      <w:pPr>
        <w:pStyle w:val="Ttulo2"/>
        <w:jc w:val="center"/>
        <w:rPr>
          <w:rFonts w:ascii="Arial" w:hAnsi="Arial" w:cs="Arial"/>
          <w:color w:val="C00000"/>
        </w:rPr>
      </w:pPr>
      <w:r w:rsidRPr="005C617F">
        <w:rPr>
          <w:rFonts w:ascii="Arial" w:eastAsia="Times New Roman" w:hAnsi="Arial" w:cs="Arial"/>
          <w:b/>
          <w:bCs/>
          <w:color w:val="C00000"/>
          <w:sz w:val="24"/>
          <w:szCs w:val="24"/>
          <w:lang w:eastAsia="es-MX"/>
        </w:rPr>
        <w:t>JURISPRUDENCIA 13/2008</w:t>
      </w:r>
    </w:p>
    <w:p w14:paraId="0B5F2D34" w14:textId="77777777" w:rsidR="005C617F" w:rsidRPr="00BA5E76" w:rsidRDefault="005C617F" w:rsidP="00BA2E8E">
      <w:pPr>
        <w:spacing w:after="0" w:line="240" w:lineRule="auto"/>
        <w:jc w:val="both"/>
        <w:rPr>
          <w:rFonts w:ascii="Arial" w:hAnsi="Arial" w:cs="Arial"/>
        </w:rPr>
      </w:pPr>
    </w:p>
    <w:p w14:paraId="32EADBFF" w14:textId="77777777" w:rsidR="00BA5E76" w:rsidRPr="00BA5E76" w:rsidRDefault="00BA5E76" w:rsidP="005C617F">
      <w:pPr>
        <w:shd w:val="clear" w:color="auto" w:fill="FFFFFF"/>
        <w:spacing w:after="0" w:line="240" w:lineRule="auto"/>
        <w:jc w:val="both"/>
        <w:rPr>
          <w:rFonts w:ascii="Arial" w:eastAsia="Times New Roman" w:hAnsi="Arial" w:cs="Arial"/>
          <w:b/>
          <w:bCs/>
          <w:sz w:val="24"/>
          <w:szCs w:val="24"/>
          <w:lang w:eastAsia="es-MX"/>
        </w:rPr>
      </w:pPr>
      <w:r w:rsidRPr="00BA5E76">
        <w:rPr>
          <w:rFonts w:ascii="Arial" w:eastAsia="Times New Roman" w:hAnsi="Arial" w:cs="Arial"/>
          <w:b/>
          <w:bCs/>
          <w:sz w:val="24"/>
          <w:szCs w:val="24"/>
          <w:lang w:eastAsia="es-MX"/>
        </w:rPr>
        <w:t>Joel Cruz Chávez y otros</w:t>
      </w:r>
    </w:p>
    <w:p w14:paraId="527D2FDF" w14:textId="0035089D" w:rsidR="00BA5E76" w:rsidRPr="00BA5E76" w:rsidRDefault="00BA5E76" w:rsidP="005C617F">
      <w:pPr>
        <w:shd w:val="clear" w:color="auto" w:fill="FFFFFF"/>
        <w:spacing w:after="0" w:line="240" w:lineRule="auto"/>
        <w:jc w:val="both"/>
        <w:rPr>
          <w:rFonts w:ascii="Arial" w:eastAsia="Times New Roman" w:hAnsi="Arial" w:cs="Arial"/>
          <w:b/>
          <w:bCs/>
          <w:sz w:val="24"/>
          <w:szCs w:val="24"/>
          <w:lang w:eastAsia="es-MX"/>
        </w:rPr>
      </w:pPr>
      <w:proofErr w:type="gramStart"/>
      <w:r w:rsidRPr="00BA5E76">
        <w:rPr>
          <w:rFonts w:ascii="Arial" w:eastAsia="Times New Roman" w:hAnsi="Arial" w:cs="Arial"/>
          <w:b/>
          <w:bCs/>
          <w:sz w:val="24"/>
          <w:szCs w:val="24"/>
          <w:lang w:eastAsia="es-MX"/>
        </w:rPr>
        <w:t>vs</w:t>
      </w:r>
      <w:proofErr w:type="gramEnd"/>
      <w:r w:rsidRPr="00BA5E76">
        <w:rPr>
          <w:rFonts w:ascii="Arial" w:eastAsia="Times New Roman" w:hAnsi="Arial" w:cs="Arial"/>
          <w:b/>
          <w:bCs/>
          <w:sz w:val="24"/>
          <w:szCs w:val="24"/>
          <w:lang w:eastAsia="es-MX"/>
        </w:rPr>
        <w:t>.</w:t>
      </w:r>
      <w:r w:rsidRPr="00BA5E76">
        <w:rPr>
          <w:rFonts w:ascii="Arial" w:eastAsia="Times New Roman" w:hAnsi="Arial" w:cs="Arial"/>
          <w:sz w:val="24"/>
          <w:szCs w:val="24"/>
          <w:lang w:eastAsia="es-MX"/>
        </w:rPr>
        <w:br/>
      </w:r>
      <w:r w:rsidRPr="00BA5E76">
        <w:rPr>
          <w:rFonts w:ascii="Arial" w:eastAsia="Times New Roman" w:hAnsi="Arial" w:cs="Arial"/>
          <w:b/>
          <w:bCs/>
          <w:sz w:val="24"/>
          <w:szCs w:val="24"/>
          <w:lang w:eastAsia="es-MX"/>
        </w:rPr>
        <w:t>Quincuagésima Novena Legislatu</w:t>
      </w:r>
      <w:bookmarkStart w:id="0" w:name="_GoBack"/>
      <w:bookmarkEnd w:id="0"/>
      <w:r w:rsidRPr="00BA5E76">
        <w:rPr>
          <w:rFonts w:ascii="Arial" w:eastAsia="Times New Roman" w:hAnsi="Arial" w:cs="Arial"/>
          <w:b/>
          <w:bCs/>
          <w:sz w:val="24"/>
          <w:szCs w:val="24"/>
          <w:lang w:eastAsia="es-MX"/>
        </w:rPr>
        <w:t>ra del Estado de Oaxaca y otras</w:t>
      </w:r>
    </w:p>
    <w:p w14:paraId="215D2A06" w14:textId="4B6BC36D" w:rsidR="00BA5E76" w:rsidRPr="00BA5E76" w:rsidRDefault="00BA5E76" w:rsidP="005C617F">
      <w:pPr>
        <w:shd w:val="clear" w:color="auto" w:fill="FFFFFF"/>
        <w:spacing w:after="0" w:line="240" w:lineRule="auto"/>
        <w:jc w:val="both"/>
        <w:rPr>
          <w:rFonts w:ascii="Arial" w:eastAsia="Times New Roman" w:hAnsi="Arial" w:cs="Arial"/>
          <w:b/>
          <w:bCs/>
          <w:sz w:val="24"/>
          <w:szCs w:val="24"/>
          <w:lang w:eastAsia="es-MX"/>
        </w:rPr>
      </w:pPr>
      <w:r w:rsidRPr="00BA5E76">
        <w:rPr>
          <w:rFonts w:ascii="Arial" w:eastAsia="Times New Roman" w:hAnsi="Arial" w:cs="Arial"/>
          <w:sz w:val="24"/>
          <w:szCs w:val="24"/>
          <w:lang w:eastAsia="es-MX"/>
        </w:rPr>
        <w:br/>
      </w:r>
      <w:r w:rsidRPr="00BA5E76">
        <w:rPr>
          <w:rFonts w:ascii="Arial" w:eastAsia="Times New Roman" w:hAnsi="Arial" w:cs="Arial"/>
          <w:b/>
          <w:bCs/>
          <w:sz w:val="24"/>
          <w:szCs w:val="24"/>
          <w:lang w:eastAsia="es-MX"/>
        </w:rPr>
        <w:t>Jurisprudencia 13/2008</w:t>
      </w:r>
    </w:p>
    <w:p w14:paraId="476CC5BE" w14:textId="77777777" w:rsidR="00BA5E76" w:rsidRDefault="00BA5E76" w:rsidP="005C617F">
      <w:pPr>
        <w:shd w:val="clear" w:color="auto" w:fill="FFFFFF"/>
        <w:spacing w:after="0" w:line="240" w:lineRule="auto"/>
        <w:jc w:val="both"/>
        <w:rPr>
          <w:rFonts w:ascii="Times New Roman" w:eastAsia="Times New Roman" w:hAnsi="Times New Roman" w:cs="Times New Roman"/>
          <w:b/>
          <w:bCs/>
          <w:sz w:val="24"/>
          <w:szCs w:val="24"/>
          <w:lang w:eastAsia="es-MX"/>
        </w:rPr>
      </w:pPr>
    </w:p>
    <w:p w14:paraId="391D6AD4" w14:textId="0E21F2D0" w:rsidR="005C617F" w:rsidRPr="005C617F" w:rsidRDefault="005C617F" w:rsidP="005C617F">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b/>
          <w:bCs/>
          <w:color w:val="000000"/>
          <w:sz w:val="24"/>
          <w:szCs w:val="24"/>
          <w:lang w:eastAsia="es-MX"/>
        </w:rPr>
        <w:t>COMUNIDADES INDÍGENAS. SUPLENCIA DE LA QUEJA EN LOS JUICIOS ELECTORALES PROMOVIDOS POR SUS INTEGRANTES.- </w:t>
      </w:r>
      <w:r w:rsidRPr="005C617F">
        <w:rPr>
          <w:rFonts w:ascii="Arial" w:eastAsia="Times New Roman" w:hAnsi="Arial" w:cs="Arial"/>
          <w:color w:val="000000"/>
          <w:sz w:val="24"/>
          <w:szCs w:val="24"/>
          <w:lang w:eastAsia="es-MX"/>
        </w:rPr>
        <w:t>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w:t>
      </w:r>
      <w:hyperlink r:id="rId5" w:history="1">
        <w:r w:rsidRPr="005C617F">
          <w:rPr>
            <w:rFonts w:ascii="Arial" w:eastAsia="Times New Roman" w:hAnsi="Arial" w:cs="Arial"/>
            <w:color w:val="006633"/>
            <w:sz w:val="24"/>
            <w:szCs w:val="24"/>
            <w:u w:val="single"/>
            <w:lang w:eastAsia="es-MX"/>
          </w:rPr>
          <w:t>2, 4, apartado 1 y 12 del Convenio 169 de la Organización Internacional del Trabajo sobre Pueblos Indígenas y Tribales en Países Independientes</w:t>
        </w:r>
      </w:hyperlink>
      <w:r w:rsidRPr="005C617F">
        <w:rPr>
          <w:rFonts w:ascii="Arial" w:eastAsia="Times New Roman" w:hAnsi="Arial" w:cs="Arial"/>
          <w:color w:val="000000"/>
          <w:sz w:val="24"/>
          <w:szCs w:val="24"/>
          <w:lang w:eastAsia="es-MX"/>
        </w:rPr>
        <w:t xml:space="preserve">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w:t>
      </w:r>
      <w:proofErr w:type="spellStart"/>
      <w:r w:rsidRPr="005C617F">
        <w:rPr>
          <w:rFonts w:ascii="Arial" w:eastAsia="Times New Roman" w:hAnsi="Arial" w:cs="Arial"/>
          <w:color w:val="000000"/>
          <w:sz w:val="24"/>
          <w:szCs w:val="24"/>
          <w:lang w:eastAsia="es-MX"/>
        </w:rPr>
        <w:t>antiformalista</w:t>
      </w:r>
      <w:proofErr w:type="spellEnd"/>
      <w:r w:rsidRPr="005C617F">
        <w:rPr>
          <w:rFonts w:ascii="Arial" w:eastAsia="Times New Roman" w:hAnsi="Arial" w:cs="Arial"/>
          <w:color w:val="000000"/>
          <w:sz w:val="24"/>
          <w:szCs w:val="24"/>
          <w:lang w:eastAsia="es-MX"/>
        </w:rPr>
        <w:t>, tendente a superar las desventajas procesales en que se encuentran, por sus circunstancias culturales, económicas o sociales.</w:t>
      </w:r>
    </w:p>
    <w:p w14:paraId="38980761" w14:textId="77777777" w:rsidR="005C617F" w:rsidRPr="005C617F" w:rsidRDefault="005C617F" w:rsidP="005C617F">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color w:val="000000"/>
          <w:sz w:val="24"/>
          <w:szCs w:val="24"/>
          <w:lang w:eastAsia="es-MX"/>
        </w:rPr>
        <w:br/>
      </w:r>
      <w:r w:rsidRPr="005C617F">
        <w:rPr>
          <w:rFonts w:ascii="Arial" w:eastAsia="Times New Roman" w:hAnsi="Arial" w:cs="Arial"/>
          <w:color w:val="000000"/>
          <w:sz w:val="24"/>
          <w:szCs w:val="24"/>
          <w:lang w:eastAsia="es-MX"/>
        </w:rPr>
        <w:br/>
      </w:r>
      <w:r w:rsidRPr="005C617F">
        <w:rPr>
          <w:rFonts w:ascii="Arial" w:eastAsia="Times New Roman" w:hAnsi="Arial" w:cs="Arial"/>
          <w:b/>
          <w:bCs/>
          <w:color w:val="000000"/>
          <w:sz w:val="24"/>
          <w:szCs w:val="24"/>
          <w:lang w:eastAsia="es-MX"/>
        </w:rPr>
        <w:t>Cuarta Época:</w:t>
      </w:r>
    </w:p>
    <w:p w14:paraId="16E2231F" w14:textId="77777777" w:rsidR="005C617F" w:rsidRDefault="005C617F" w:rsidP="005C617F">
      <w:pPr>
        <w:shd w:val="clear" w:color="auto" w:fill="FFFFFF"/>
        <w:spacing w:after="0" w:line="240" w:lineRule="auto"/>
        <w:jc w:val="both"/>
        <w:rPr>
          <w:rFonts w:ascii="Arial" w:eastAsia="Times New Roman" w:hAnsi="Arial" w:cs="Arial"/>
          <w:i/>
          <w:iCs/>
          <w:color w:val="000000"/>
          <w:sz w:val="24"/>
          <w:szCs w:val="24"/>
          <w:lang w:eastAsia="es-MX"/>
        </w:rPr>
      </w:pPr>
      <w:r w:rsidRPr="005C617F">
        <w:rPr>
          <w:rFonts w:ascii="Arial" w:eastAsia="Times New Roman" w:hAnsi="Arial" w:cs="Arial"/>
          <w:i/>
          <w:iCs/>
          <w:color w:val="000000"/>
          <w:sz w:val="24"/>
          <w:szCs w:val="24"/>
          <w:lang w:eastAsia="es-MX"/>
        </w:rPr>
        <w:br/>
      </w:r>
      <w:r w:rsidRPr="005C617F">
        <w:rPr>
          <w:rFonts w:ascii="Arial" w:eastAsia="Times New Roman" w:hAnsi="Arial" w:cs="Arial"/>
          <w:i/>
          <w:iCs/>
          <w:color w:val="000000"/>
          <w:sz w:val="24"/>
          <w:szCs w:val="24"/>
          <w:lang w:eastAsia="es-MX"/>
        </w:rPr>
        <w:br/>
        <w:t>Juicio para la protección de los derechos político-electorales del ciudadano. </w:t>
      </w:r>
      <w:hyperlink r:id="rId6" w:tgtFrame="_blank" w:history="1">
        <w:r w:rsidRPr="005C617F">
          <w:rPr>
            <w:rFonts w:ascii="Arial" w:eastAsia="Times New Roman" w:hAnsi="Arial" w:cs="Arial"/>
            <w:i/>
            <w:iCs/>
            <w:color w:val="006633"/>
            <w:sz w:val="24"/>
            <w:szCs w:val="24"/>
            <w:u w:val="single"/>
            <w:lang w:eastAsia="es-MX"/>
          </w:rPr>
          <w:t>SUP-JDC-11/2007</w:t>
        </w:r>
      </w:hyperlink>
      <w:proofErr w:type="gramStart"/>
      <w:r w:rsidRPr="005C617F">
        <w:rPr>
          <w:rFonts w:ascii="Arial" w:eastAsia="Times New Roman" w:hAnsi="Arial" w:cs="Arial"/>
          <w:i/>
          <w:iCs/>
          <w:color w:val="000000"/>
          <w:sz w:val="24"/>
          <w:szCs w:val="24"/>
          <w:lang w:eastAsia="es-MX"/>
        </w:rPr>
        <w:t>.—</w:t>
      </w:r>
      <w:proofErr w:type="gramEnd"/>
      <w:r w:rsidRPr="005C617F">
        <w:rPr>
          <w:rFonts w:ascii="Arial" w:eastAsia="Times New Roman" w:hAnsi="Arial" w:cs="Arial"/>
          <w:i/>
          <w:iCs/>
          <w:color w:val="000000"/>
          <w:sz w:val="24"/>
          <w:szCs w:val="24"/>
          <w:lang w:eastAsia="es-MX"/>
        </w:rPr>
        <w:t xml:space="preserve">Actores: Joel Cruz Chávez y otros.—Autoridades responsables: Quincuagésima Novena Legislatura del Estado de Oaxaca y otras.—6 de junio de 2007.—Unanimidad de votos.—Ponente: José Alejandro Luna Ramos.—Secretarios: Marco Antonio Zavala Arredondo y </w:t>
      </w:r>
      <w:proofErr w:type="spellStart"/>
      <w:r w:rsidRPr="005C617F">
        <w:rPr>
          <w:rFonts w:ascii="Arial" w:eastAsia="Times New Roman" w:hAnsi="Arial" w:cs="Arial"/>
          <w:i/>
          <w:iCs/>
          <w:color w:val="000000"/>
          <w:sz w:val="24"/>
          <w:szCs w:val="24"/>
          <w:lang w:eastAsia="es-MX"/>
        </w:rPr>
        <w:t>Adín</w:t>
      </w:r>
      <w:proofErr w:type="spellEnd"/>
      <w:r w:rsidRPr="005C617F">
        <w:rPr>
          <w:rFonts w:ascii="Arial" w:eastAsia="Times New Roman" w:hAnsi="Arial" w:cs="Arial"/>
          <w:i/>
          <w:iCs/>
          <w:color w:val="000000"/>
          <w:sz w:val="24"/>
          <w:szCs w:val="24"/>
          <w:lang w:eastAsia="es-MX"/>
        </w:rPr>
        <w:t xml:space="preserve"> de León Gálvez.</w:t>
      </w:r>
    </w:p>
    <w:p w14:paraId="3B5FEF34" w14:textId="24D83E7E" w:rsidR="005C617F" w:rsidRPr="005C617F" w:rsidRDefault="005C617F" w:rsidP="005C617F">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i/>
          <w:iCs/>
          <w:color w:val="000000"/>
          <w:sz w:val="24"/>
          <w:szCs w:val="24"/>
          <w:lang w:eastAsia="es-MX"/>
        </w:rPr>
        <w:lastRenderedPageBreak/>
        <w:br/>
      </w:r>
    </w:p>
    <w:p w14:paraId="07E16370" w14:textId="77777777" w:rsidR="005C617F" w:rsidRDefault="005C617F" w:rsidP="005C617F">
      <w:pPr>
        <w:shd w:val="clear" w:color="auto" w:fill="FFFFFF"/>
        <w:spacing w:after="0" w:line="240" w:lineRule="auto"/>
        <w:jc w:val="both"/>
        <w:rPr>
          <w:rFonts w:ascii="Arial" w:eastAsia="Times New Roman" w:hAnsi="Arial" w:cs="Arial"/>
          <w:i/>
          <w:iCs/>
          <w:color w:val="000000"/>
          <w:sz w:val="24"/>
          <w:szCs w:val="24"/>
          <w:lang w:eastAsia="es-MX"/>
        </w:rPr>
      </w:pPr>
      <w:r w:rsidRPr="005C617F">
        <w:rPr>
          <w:rFonts w:ascii="Arial" w:eastAsia="Times New Roman" w:hAnsi="Arial" w:cs="Arial"/>
          <w:i/>
          <w:iCs/>
          <w:color w:val="000000"/>
          <w:sz w:val="24"/>
          <w:szCs w:val="24"/>
          <w:lang w:eastAsia="es-MX"/>
        </w:rPr>
        <w:t>Juicio para la protección de los derechos político-electorales del ciudadano. </w:t>
      </w:r>
      <w:hyperlink r:id="rId7" w:tgtFrame="_blank" w:history="1">
        <w:r w:rsidRPr="005C617F">
          <w:rPr>
            <w:rFonts w:ascii="Arial" w:eastAsia="Times New Roman" w:hAnsi="Arial" w:cs="Arial"/>
            <w:i/>
            <w:iCs/>
            <w:color w:val="006633"/>
            <w:sz w:val="24"/>
            <w:szCs w:val="24"/>
            <w:u w:val="single"/>
            <w:lang w:eastAsia="es-MX"/>
          </w:rPr>
          <w:t>SUP-JDC-2568/2007</w:t>
        </w:r>
      </w:hyperlink>
      <w:proofErr w:type="gramStart"/>
      <w:r w:rsidRPr="005C617F">
        <w:rPr>
          <w:rFonts w:ascii="Arial" w:eastAsia="Times New Roman" w:hAnsi="Arial" w:cs="Arial"/>
          <w:i/>
          <w:iCs/>
          <w:color w:val="000000"/>
          <w:sz w:val="24"/>
          <w:szCs w:val="24"/>
          <w:lang w:eastAsia="es-MX"/>
        </w:rPr>
        <w:t>.—</w:t>
      </w:r>
      <w:proofErr w:type="gramEnd"/>
      <w:r w:rsidRPr="005C617F">
        <w:rPr>
          <w:rFonts w:ascii="Arial" w:eastAsia="Times New Roman" w:hAnsi="Arial" w:cs="Arial"/>
          <w:i/>
          <w:iCs/>
          <w:color w:val="000000"/>
          <w:sz w:val="24"/>
          <w:szCs w:val="24"/>
          <w:lang w:eastAsia="es-MX"/>
        </w:rPr>
        <w:t xml:space="preserve">Actores: Javier Felipe </w:t>
      </w:r>
      <w:proofErr w:type="spellStart"/>
      <w:r w:rsidRPr="005C617F">
        <w:rPr>
          <w:rFonts w:ascii="Arial" w:eastAsia="Times New Roman" w:hAnsi="Arial" w:cs="Arial"/>
          <w:i/>
          <w:iCs/>
          <w:color w:val="000000"/>
          <w:sz w:val="24"/>
          <w:szCs w:val="24"/>
          <w:lang w:eastAsia="es-MX"/>
        </w:rPr>
        <w:t>Ortíz</w:t>
      </w:r>
      <w:proofErr w:type="spellEnd"/>
      <w:r w:rsidRPr="005C617F">
        <w:rPr>
          <w:rFonts w:ascii="Arial" w:eastAsia="Times New Roman" w:hAnsi="Arial" w:cs="Arial"/>
          <w:i/>
          <w:iCs/>
          <w:color w:val="000000"/>
          <w:sz w:val="24"/>
          <w:szCs w:val="24"/>
          <w:lang w:eastAsia="es-MX"/>
        </w:rPr>
        <w:t xml:space="preserve"> García y otros.—Autoridades responsables: Instituto Estatal Electoral y otra.—28 de diciembre de 2007.—Unanimidad de cinco votos.—Ponente: Constancio Carrasco Daza.—Secretario: José Luis Ceballos Daza.</w:t>
      </w:r>
    </w:p>
    <w:p w14:paraId="6A6864FF" w14:textId="3DEEA94A" w:rsidR="005C617F" w:rsidRPr="005C617F" w:rsidRDefault="005C617F" w:rsidP="005C617F">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i/>
          <w:iCs/>
          <w:color w:val="000000"/>
          <w:sz w:val="24"/>
          <w:szCs w:val="24"/>
          <w:lang w:eastAsia="es-MX"/>
        </w:rPr>
        <w:br/>
      </w:r>
    </w:p>
    <w:p w14:paraId="6162AE42" w14:textId="77777777" w:rsidR="005C617F" w:rsidRDefault="005C617F" w:rsidP="005C617F">
      <w:pPr>
        <w:shd w:val="clear" w:color="auto" w:fill="FFFFFF"/>
        <w:spacing w:after="0" w:line="240" w:lineRule="auto"/>
        <w:jc w:val="both"/>
        <w:rPr>
          <w:rFonts w:ascii="Arial" w:eastAsia="Times New Roman" w:hAnsi="Arial" w:cs="Arial"/>
          <w:i/>
          <w:iCs/>
          <w:color w:val="000000"/>
          <w:sz w:val="24"/>
          <w:szCs w:val="24"/>
          <w:lang w:eastAsia="es-MX"/>
        </w:rPr>
      </w:pPr>
      <w:r w:rsidRPr="005C617F">
        <w:rPr>
          <w:rFonts w:ascii="Arial" w:eastAsia="Times New Roman" w:hAnsi="Arial" w:cs="Arial"/>
          <w:i/>
          <w:iCs/>
          <w:color w:val="000000"/>
          <w:sz w:val="24"/>
          <w:szCs w:val="24"/>
          <w:lang w:eastAsia="es-MX"/>
        </w:rPr>
        <w:t>Juicio para la protección de los derechos político-electorales del ciudadano. </w:t>
      </w:r>
      <w:hyperlink r:id="rId8" w:tgtFrame="_blank" w:history="1">
        <w:r w:rsidRPr="005C617F">
          <w:rPr>
            <w:rFonts w:ascii="Arial" w:eastAsia="Times New Roman" w:hAnsi="Arial" w:cs="Arial"/>
            <w:i/>
            <w:iCs/>
            <w:color w:val="006633"/>
            <w:sz w:val="24"/>
            <w:szCs w:val="24"/>
            <w:u w:val="single"/>
            <w:lang w:eastAsia="es-MX"/>
          </w:rPr>
          <w:t>SUP-JDC-2569/2007</w:t>
        </w:r>
      </w:hyperlink>
      <w:proofErr w:type="gramStart"/>
      <w:r w:rsidRPr="005C617F">
        <w:rPr>
          <w:rFonts w:ascii="Arial" w:eastAsia="Times New Roman" w:hAnsi="Arial" w:cs="Arial"/>
          <w:i/>
          <w:iCs/>
          <w:color w:val="000000"/>
          <w:sz w:val="24"/>
          <w:szCs w:val="24"/>
          <w:lang w:eastAsia="es-MX"/>
        </w:rPr>
        <w:t>.—</w:t>
      </w:r>
      <w:proofErr w:type="gramEnd"/>
      <w:r w:rsidRPr="005C617F">
        <w:rPr>
          <w:rFonts w:ascii="Arial" w:eastAsia="Times New Roman" w:hAnsi="Arial" w:cs="Arial"/>
          <w:i/>
          <w:iCs/>
          <w:color w:val="000000"/>
          <w:sz w:val="24"/>
          <w:szCs w:val="24"/>
          <w:lang w:eastAsia="es-MX"/>
        </w:rPr>
        <w:t xml:space="preserve">Actores: </w:t>
      </w:r>
      <w:proofErr w:type="spellStart"/>
      <w:r w:rsidRPr="005C617F">
        <w:rPr>
          <w:rFonts w:ascii="Arial" w:eastAsia="Times New Roman" w:hAnsi="Arial" w:cs="Arial"/>
          <w:i/>
          <w:iCs/>
          <w:color w:val="000000"/>
          <w:sz w:val="24"/>
          <w:szCs w:val="24"/>
          <w:lang w:eastAsia="es-MX"/>
        </w:rPr>
        <w:t>Epifania</w:t>
      </w:r>
      <w:proofErr w:type="spellEnd"/>
      <w:r w:rsidRPr="005C617F">
        <w:rPr>
          <w:rFonts w:ascii="Arial" w:eastAsia="Times New Roman" w:hAnsi="Arial" w:cs="Arial"/>
          <w:i/>
          <w:iCs/>
          <w:color w:val="000000"/>
          <w:sz w:val="24"/>
          <w:szCs w:val="24"/>
          <w:lang w:eastAsia="es-MX"/>
        </w:rPr>
        <w:t xml:space="preserve"> Quiroga Palacios y otros.—Autoridades responsables: Sexagésima Legislatura Constitucional del Estado Libre y Soberano de Oaxaca, erigida en Colegio Electoral y otra.—28 de diciembre de 2007.—Unanimidad de cinco votos.—Ponente: Flavio Galván Rivera.—Secretario: Genaro Escobar </w:t>
      </w:r>
      <w:proofErr w:type="spellStart"/>
      <w:r w:rsidRPr="005C617F">
        <w:rPr>
          <w:rFonts w:ascii="Arial" w:eastAsia="Times New Roman" w:hAnsi="Arial" w:cs="Arial"/>
          <w:i/>
          <w:iCs/>
          <w:color w:val="000000"/>
          <w:sz w:val="24"/>
          <w:szCs w:val="24"/>
          <w:lang w:eastAsia="es-MX"/>
        </w:rPr>
        <w:t>Ambriz</w:t>
      </w:r>
      <w:proofErr w:type="spellEnd"/>
      <w:r w:rsidRPr="005C617F">
        <w:rPr>
          <w:rFonts w:ascii="Arial" w:eastAsia="Times New Roman" w:hAnsi="Arial" w:cs="Arial"/>
          <w:i/>
          <w:iCs/>
          <w:color w:val="000000"/>
          <w:sz w:val="24"/>
          <w:szCs w:val="24"/>
          <w:lang w:eastAsia="es-MX"/>
        </w:rPr>
        <w:t>.</w:t>
      </w:r>
    </w:p>
    <w:p w14:paraId="41F772F0" w14:textId="3794C552" w:rsidR="005C617F" w:rsidRPr="005C617F" w:rsidRDefault="005C617F" w:rsidP="005C617F">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i/>
          <w:iCs/>
          <w:color w:val="000000"/>
          <w:sz w:val="24"/>
          <w:szCs w:val="24"/>
          <w:lang w:eastAsia="es-MX"/>
        </w:rPr>
        <w:br/>
      </w:r>
    </w:p>
    <w:p w14:paraId="1EE012E2" w14:textId="77777777" w:rsidR="005C617F" w:rsidRDefault="005C617F" w:rsidP="005C617F">
      <w:pPr>
        <w:shd w:val="clear" w:color="auto" w:fill="FFFFFF"/>
        <w:spacing w:after="0" w:line="240" w:lineRule="auto"/>
        <w:jc w:val="both"/>
        <w:rPr>
          <w:rFonts w:ascii="Arial" w:eastAsia="Times New Roman" w:hAnsi="Arial" w:cs="Arial"/>
          <w:b/>
          <w:bCs/>
          <w:color w:val="000000"/>
          <w:sz w:val="24"/>
          <w:szCs w:val="24"/>
          <w:lang w:eastAsia="es-MX"/>
        </w:rPr>
      </w:pPr>
      <w:r w:rsidRPr="005C617F">
        <w:rPr>
          <w:rFonts w:ascii="Arial" w:eastAsia="Times New Roman" w:hAnsi="Arial" w:cs="Arial"/>
          <w:b/>
          <w:bCs/>
          <w:color w:val="000000"/>
          <w:sz w:val="24"/>
          <w:szCs w:val="24"/>
          <w:lang w:eastAsia="es-MX"/>
        </w:rPr>
        <w:t>Notas</w:t>
      </w:r>
      <w:r w:rsidRPr="005C617F">
        <w:rPr>
          <w:rFonts w:ascii="Arial" w:eastAsia="Times New Roman" w:hAnsi="Arial" w:cs="Arial"/>
          <w:color w:val="000000"/>
          <w:sz w:val="24"/>
          <w:szCs w:val="24"/>
          <w:lang w:eastAsia="es-MX"/>
        </w:rPr>
        <w:t>: El contenido de los artículos 4 y 9 de la Ley Federal para Prevenir y Eliminar la Discriminación interpretados en esta jurisprudencia, corresponden a los artículos 1, párrafo 2, fracciones I y II, y 4 de la Ley Federal para Prevenir y Eliminar la Discriminación.</w:t>
      </w:r>
      <w:r w:rsidRPr="005C617F">
        <w:rPr>
          <w:rFonts w:ascii="Arial" w:eastAsia="Times New Roman" w:hAnsi="Arial" w:cs="Arial"/>
          <w:color w:val="000000"/>
          <w:sz w:val="24"/>
          <w:szCs w:val="24"/>
          <w:lang w:eastAsia="es-MX"/>
        </w:rPr>
        <w:br/>
      </w:r>
      <w:r w:rsidRPr="005C617F">
        <w:rPr>
          <w:rFonts w:ascii="Arial" w:eastAsia="Times New Roman" w:hAnsi="Arial" w:cs="Arial"/>
          <w:color w:val="000000"/>
          <w:sz w:val="24"/>
          <w:szCs w:val="24"/>
          <w:lang w:eastAsia="es-MX"/>
        </w:rPr>
        <w:br/>
      </w:r>
      <w:r w:rsidRPr="005C617F">
        <w:rPr>
          <w:rFonts w:ascii="Arial" w:eastAsia="Times New Roman" w:hAnsi="Arial" w:cs="Arial"/>
          <w:color w:val="000000"/>
          <w:sz w:val="24"/>
          <w:szCs w:val="24"/>
          <w:lang w:eastAsia="es-MX"/>
        </w:rPr>
        <w:br/>
      </w:r>
      <w:r w:rsidRPr="005C617F">
        <w:rPr>
          <w:rFonts w:ascii="Arial" w:eastAsia="Times New Roman" w:hAnsi="Arial" w:cs="Arial"/>
          <w:b/>
          <w:bCs/>
          <w:color w:val="000000"/>
          <w:sz w:val="24"/>
          <w:szCs w:val="24"/>
          <w:lang w:eastAsia="es-MX"/>
        </w:rPr>
        <w:t>La Sala Superior en sesión pública celebrada el primero de octubre de dos mil ocho, aprobó por unanimidad de votos la jurisprudencia que antecede y la declaró formalmente obligatoria.</w:t>
      </w:r>
    </w:p>
    <w:p w14:paraId="3047C03C" w14:textId="77777777" w:rsidR="005C617F" w:rsidRDefault="005C617F" w:rsidP="005C617F">
      <w:pPr>
        <w:shd w:val="clear" w:color="auto" w:fill="FFFFFF"/>
        <w:spacing w:after="0" w:line="240" w:lineRule="auto"/>
        <w:jc w:val="both"/>
        <w:rPr>
          <w:rFonts w:ascii="Arial" w:eastAsia="Times New Roman" w:hAnsi="Arial" w:cs="Arial"/>
          <w:b/>
          <w:bCs/>
          <w:color w:val="000000"/>
          <w:sz w:val="24"/>
          <w:szCs w:val="24"/>
          <w:lang w:eastAsia="es-MX"/>
        </w:rPr>
      </w:pPr>
      <w:r w:rsidRPr="005C617F">
        <w:rPr>
          <w:rFonts w:ascii="Arial" w:eastAsia="Times New Roman" w:hAnsi="Arial" w:cs="Arial"/>
          <w:color w:val="000000"/>
          <w:sz w:val="24"/>
          <w:szCs w:val="24"/>
          <w:lang w:eastAsia="es-MX"/>
        </w:rPr>
        <w:br/>
      </w:r>
      <w:r w:rsidRPr="005C617F">
        <w:rPr>
          <w:rFonts w:ascii="Arial" w:eastAsia="Times New Roman" w:hAnsi="Arial" w:cs="Arial"/>
          <w:color w:val="000000"/>
          <w:sz w:val="24"/>
          <w:szCs w:val="24"/>
          <w:lang w:eastAsia="es-MX"/>
        </w:rPr>
        <w:br/>
      </w:r>
      <w:r w:rsidRPr="005C617F">
        <w:rPr>
          <w:rFonts w:ascii="Arial" w:eastAsia="Times New Roman" w:hAnsi="Arial" w:cs="Arial"/>
          <w:b/>
          <w:bCs/>
          <w:color w:val="000000"/>
          <w:sz w:val="24"/>
          <w:szCs w:val="24"/>
          <w:lang w:eastAsia="es-MX"/>
        </w:rPr>
        <w:t>Gaceta de Jurisprudencia y Tesis en materia electoral, Tribunal Electoral del Poder Judicial de la Federación, Año 2, Número 3, 2009, páginas 17 y 18.</w:t>
      </w:r>
    </w:p>
    <w:p w14:paraId="66CAAABD" w14:textId="7486D113" w:rsidR="005C617F" w:rsidRPr="00821A73" w:rsidRDefault="005C617F" w:rsidP="00821A73">
      <w:pPr>
        <w:shd w:val="clear" w:color="auto" w:fill="FFFFFF"/>
        <w:spacing w:after="0" w:line="240" w:lineRule="auto"/>
        <w:jc w:val="both"/>
        <w:rPr>
          <w:rFonts w:ascii="Arial" w:eastAsia="Times New Roman" w:hAnsi="Arial" w:cs="Arial"/>
          <w:color w:val="000000"/>
          <w:sz w:val="24"/>
          <w:szCs w:val="24"/>
          <w:lang w:eastAsia="es-MX"/>
        </w:rPr>
      </w:pPr>
      <w:r w:rsidRPr="005C617F">
        <w:rPr>
          <w:rFonts w:ascii="Arial" w:eastAsia="Times New Roman" w:hAnsi="Arial" w:cs="Arial"/>
          <w:color w:val="000000"/>
          <w:sz w:val="24"/>
          <w:szCs w:val="24"/>
          <w:lang w:eastAsia="es-MX"/>
        </w:rPr>
        <w:br/>
      </w:r>
    </w:p>
    <w:p w14:paraId="15E396B7" w14:textId="64299B6B" w:rsidR="009227B2" w:rsidRPr="00290C19" w:rsidRDefault="009227B2" w:rsidP="009227B2">
      <w:pPr>
        <w:pStyle w:val="Ttulo3"/>
        <w:numPr>
          <w:ilvl w:val="0"/>
          <w:numId w:val="1"/>
        </w:numPr>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t xml:space="preserve">SENTENCIA </w:t>
      </w:r>
      <w:hyperlink r:id="rId9" w:tgtFrame="_blank" w:history="1">
        <w:r w:rsidRPr="005C617F">
          <w:rPr>
            <w:rFonts w:ascii="Arial" w:eastAsia="Times New Roman" w:hAnsi="Arial" w:cs="Arial"/>
            <w:b/>
            <w:bCs/>
            <w:color w:val="C00000"/>
            <w:sz w:val="28"/>
            <w:szCs w:val="28"/>
            <w:lang w:eastAsia="es-MX"/>
          </w:rPr>
          <w:t>SUP-JDC-11/2007</w:t>
        </w:r>
      </w:hyperlink>
    </w:p>
    <w:p w14:paraId="2B3C43B2" w14:textId="13235CEF" w:rsidR="009227B2" w:rsidRDefault="009227B2" w:rsidP="009227B2">
      <w:pPr>
        <w:rPr>
          <w:lang w:eastAsia="es-MX"/>
        </w:rPr>
      </w:pPr>
    </w:p>
    <w:p w14:paraId="4EB0ED27" w14:textId="77777777" w:rsidR="00821A73" w:rsidRDefault="00821A73" w:rsidP="009227B2">
      <w:pPr>
        <w:rPr>
          <w:lang w:eastAsia="es-MX"/>
        </w:rPr>
      </w:pPr>
    </w:p>
    <w:p w14:paraId="78A40700" w14:textId="77777777" w:rsidR="00821A73" w:rsidRPr="00821A73" w:rsidRDefault="00821A73" w:rsidP="00821A73">
      <w:pPr>
        <w:spacing w:after="0" w:line="240" w:lineRule="auto"/>
        <w:ind w:left="3686"/>
        <w:jc w:val="both"/>
        <w:rPr>
          <w:rFonts w:ascii="Univers" w:eastAsia="Times New Roman" w:hAnsi="Univers" w:cs="Arial"/>
          <w:b/>
          <w:caps/>
          <w:snapToGrid w:val="0"/>
          <w:sz w:val="28"/>
          <w:szCs w:val="28"/>
          <w:lang w:val="es-ES_tradnl" w:eastAsia="es-ES"/>
        </w:rPr>
      </w:pPr>
      <w:r w:rsidRPr="00821A73">
        <w:rPr>
          <w:rFonts w:ascii="Univers" w:eastAsia="Times New Roman" w:hAnsi="Univers" w:cs="Arial"/>
          <w:b/>
          <w:caps/>
          <w:snapToGrid w:val="0"/>
          <w:sz w:val="28"/>
          <w:szCs w:val="28"/>
          <w:lang w:val="es-ES_tradnl" w:eastAsia="es-ES"/>
        </w:rPr>
        <w:t>Juicio PARA LA PROTECCIÓN DE LOS DERECHOS POLÍTICO-electoralES DEL CIUDADANO</w:t>
      </w:r>
    </w:p>
    <w:p w14:paraId="47AD80B6" w14:textId="77777777" w:rsidR="00821A73" w:rsidRPr="00821A73" w:rsidRDefault="00821A73" w:rsidP="00821A73">
      <w:pPr>
        <w:spacing w:after="0" w:line="240" w:lineRule="auto"/>
        <w:ind w:left="3686"/>
        <w:rPr>
          <w:rFonts w:ascii="Times New Roman" w:eastAsia="Times New Roman" w:hAnsi="Times New Roman" w:cs="Times New Roman"/>
          <w:sz w:val="24"/>
          <w:szCs w:val="24"/>
          <w:lang w:val="es-ES" w:eastAsia="es-MX"/>
        </w:rPr>
      </w:pPr>
    </w:p>
    <w:p w14:paraId="662FADBE" w14:textId="77777777" w:rsidR="00821A73" w:rsidRPr="00821A73" w:rsidRDefault="00821A73" w:rsidP="00821A73">
      <w:pPr>
        <w:spacing w:after="0" w:line="240" w:lineRule="auto"/>
        <w:ind w:left="3686"/>
        <w:jc w:val="both"/>
        <w:rPr>
          <w:rFonts w:ascii="Univers" w:eastAsia="Times New Roman" w:hAnsi="Univers" w:cs="Arial"/>
          <w:caps/>
          <w:snapToGrid w:val="0"/>
          <w:sz w:val="28"/>
          <w:szCs w:val="28"/>
          <w:lang w:val="es-ES_tradnl" w:eastAsia="es-ES"/>
        </w:rPr>
      </w:pPr>
      <w:r w:rsidRPr="00821A73">
        <w:rPr>
          <w:rFonts w:ascii="Univers" w:eastAsia="Times New Roman" w:hAnsi="Univers" w:cs="Arial"/>
          <w:b/>
          <w:caps/>
          <w:snapToGrid w:val="0"/>
          <w:sz w:val="28"/>
          <w:szCs w:val="28"/>
          <w:lang w:val="es-ES_tradnl" w:eastAsia="es-ES"/>
        </w:rPr>
        <w:t xml:space="preserve">EXPEDIENTE: </w:t>
      </w:r>
      <w:r w:rsidRPr="00821A73">
        <w:rPr>
          <w:rFonts w:ascii="Univers" w:eastAsia="Times New Roman" w:hAnsi="Univers" w:cs="Arial"/>
          <w:caps/>
          <w:snapToGrid w:val="0"/>
          <w:sz w:val="28"/>
          <w:szCs w:val="28"/>
          <w:lang w:val="es-ES_tradnl" w:eastAsia="es-ES"/>
        </w:rPr>
        <w:t>SUP-JDC-11/2007</w:t>
      </w:r>
    </w:p>
    <w:p w14:paraId="4E2933E1" w14:textId="77777777" w:rsidR="00821A73" w:rsidRPr="00821A73" w:rsidRDefault="00821A73" w:rsidP="00821A73">
      <w:pPr>
        <w:spacing w:after="0" w:line="240" w:lineRule="auto"/>
        <w:ind w:left="3686"/>
        <w:rPr>
          <w:rFonts w:ascii="Times New Roman" w:eastAsia="Times New Roman" w:hAnsi="Times New Roman" w:cs="Times New Roman"/>
          <w:sz w:val="24"/>
          <w:szCs w:val="24"/>
          <w:lang w:val="es-ES" w:eastAsia="es-MX"/>
        </w:rPr>
      </w:pPr>
    </w:p>
    <w:p w14:paraId="1DB8211F" w14:textId="77777777" w:rsidR="00821A73" w:rsidRPr="00821A73" w:rsidRDefault="00821A73" w:rsidP="00821A73">
      <w:pPr>
        <w:spacing w:after="0" w:line="240" w:lineRule="auto"/>
        <w:ind w:left="3686"/>
        <w:jc w:val="both"/>
        <w:rPr>
          <w:rFonts w:ascii="Univers" w:eastAsia="Times New Roman" w:hAnsi="Univers" w:cs="Arial"/>
          <w:bCs/>
          <w:sz w:val="28"/>
          <w:szCs w:val="28"/>
          <w:lang w:eastAsia="es-MX"/>
        </w:rPr>
      </w:pPr>
      <w:r w:rsidRPr="00821A73">
        <w:rPr>
          <w:rFonts w:ascii="Univers" w:eastAsia="Times New Roman" w:hAnsi="Univers" w:cs="Times New Roman"/>
          <w:b/>
          <w:caps/>
          <w:sz w:val="28"/>
          <w:szCs w:val="28"/>
          <w:lang w:eastAsia="es-MX"/>
        </w:rPr>
        <w:t xml:space="preserve">ACTORes: </w:t>
      </w:r>
      <w:r w:rsidRPr="00821A73">
        <w:rPr>
          <w:rFonts w:ascii="Univers" w:eastAsia="Times New Roman" w:hAnsi="Univers" w:cs="Times New Roman"/>
          <w:caps/>
          <w:sz w:val="28"/>
          <w:szCs w:val="28"/>
          <w:lang w:eastAsia="es-MX"/>
        </w:rPr>
        <w:t>JOEL CRUZ CHÁVEZ</w:t>
      </w:r>
      <w:r w:rsidRPr="00821A73">
        <w:rPr>
          <w:rFonts w:ascii="Univers" w:eastAsia="Times New Roman" w:hAnsi="Univers" w:cs="Times New Roman"/>
          <w:b/>
          <w:caps/>
          <w:sz w:val="28"/>
          <w:szCs w:val="28"/>
          <w:lang w:eastAsia="es-MX"/>
        </w:rPr>
        <w:t xml:space="preserve"> </w:t>
      </w:r>
      <w:r w:rsidRPr="00821A73">
        <w:rPr>
          <w:rFonts w:ascii="Univers" w:eastAsia="Times New Roman" w:hAnsi="Univers" w:cs="Arial"/>
          <w:bCs/>
          <w:sz w:val="28"/>
          <w:szCs w:val="28"/>
          <w:lang w:eastAsia="es-MX"/>
        </w:rPr>
        <w:t xml:space="preserve">Y OTROS </w:t>
      </w:r>
    </w:p>
    <w:p w14:paraId="3BDB68B2" w14:textId="77777777" w:rsidR="00821A73" w:rsidRPr="00821A73" w:rsidRDefault="00821A73" w:rsidP="00821A73">
      <w:pPr>
        <w:spacing w:after="0" w:line="240" w:lineRule="auto"/>
        <w:ind w:left="3686"/>
        <w:jc w:val="both"/>
        <w:rPr>
          <w:rFonts w:ascii="Univers" w:eastAsia="Times New Roman" w:hAnsi="Univers" w:cs="Arial"/>
          <w:bCs/>
          <w:sz w:val="28"/>
          <w:szCs w:val="28"/>
          <w:lang w:eastAsia="es-MX"/>
        </w:rPr>
      </w:pPr>
    </w:p>
    <w:p w14:paraId="6B4C449C" w14:textId="77777777" w:rsidR="00821A73" w:rsidRPr="00821A73" w:rsidRDefault="00821A73" w:rsidP="00821A73">
      <w:pPr>
        <w:spacing w:after="0" w:line="240" w:lineRule="auto"/>
        <w:ind w:left="3686"/>
        <w:jc w:val="both"/>
        <w:rPr>
          <w:rFonts w:ascii="Univers" w:eastAsia="Times New Roman" w:hAnsi="Univers" w:cs="Arial"/>
          <w:caps/>
          <w:snapToGrid w:val="0"/>
          <w:sz w:val="28"/>
          <w:szCs w:val="28"/>
          <w:lang w:val="es-ES_tradnl" w:eastAsia="es-ES"/>
        </w:rPr>
      </w:pPr>
      <w:r w:rsidRPr="00821A73">
        <w:rPr>
          <w:rFonts w:ascii="Univers" w:eastAsia="Times New Roman" w:hAnsi="Univers" w:cs="Arial"/>
          <w:b/>
          <w:caps/>
          <w:snapToGrid w:val="0"/>
          <w:sz w:val="28"/>
          <w:szCs w:val="28"/>
          <w:lang w:val="es-ES_tradnl" w:eastAsia="es-ES"/>
        </w:rPr>
        <w:lastRenderedPageBreak/>
        <w:t xml:space="preserve">AUTORIDADES RESPONSABLES: </w:t>
      </w:r>
      <w:proofErr w:type="gramStart"/>
      <w:r w:rsidRPr="00821A73">
        <w:rPr>
          <w:rFonts w:ascii="Univers" w:eastAsia="Times New Roman" w:hAnsi="Univers" w:cs="Arial"/>
          <w:caps/>
          <w:snapToGrid w:val="0"/>
          <w:sz w:val="28"/>
          <w:szCs w:val="28"/>
          <w:lang w:val="es-ES_tradnl" w:eastAsia="es-ES"/>
        </w:rPr>
        <w:t>QUINcUAGÉSIMA  NOVENA</w:t>
      </w:r>
      <w:proofErr w:type="gramEnd"/>
      <w:r w:rsidRPr="00821A73">
        <w:rPr>
          <w:rFonts w:ascii="Univers" w:eastAsia="Times New Roman" w:hAnsi="Univers" w:cs="Arial"/>
          <w:caps/>
          <w:snapToGrid w:val="0"/>
          <w:sz w:val="28"/>
          <w:szCs w:val="28"/>
          <w:lang w:val="es-ES_tradnl" w:eastAsia="es-ES"/>
        </w:rPr>
        <w:t xml:space="preserve"> LEGISLATURA DEL ESTADO DE OAXACA Y OTRaS</w:t>
      </w:r>
    </w:p>
    <w:p w14:paraId="67F10D9B" w14:textId="77777777" w:rsidR="00821A73" w:rsidRPr="00821A73" w:rsidRDefault="00821A73" w:rsidP="00821A73">
      <w:pPr>
        <w:spacing w:after="0" w:line="240" w:lineRule="auto"/>
        <w:ind w:left="3686"/>
        <w:rPr>
          <w:rFonts w:ascii="Times New Roman" w:eastAsia="Times New Roman" w:hAnsi="Times New Roman" w:cs="Times New Roman"/>
          <w:sz w:val="24"/>
          <w:szCs w:val="24"/>
          <w:lang w:val="es-ES" w:eastAsia="es-MX"/>
        </w:rPr>
      </w:pPr>
    </w:p>
    <w:p w14:paraId="25A3D3BE" w14:textId="3CE75E8F" w:rsidR="00821A73" w:rsidRPr="00821A73" w:rsidRDefault="00821A73" w:rsidP="00821A73">
      <w:pPr>
        <w:spacing w:after="0" w:line="240" w:lineRule="auto"/>
        <w:ind w:left="3686"/>
        <w:jc w:val="both"/>
        <w:rPr>
          <w:rFonts w:ascii="Univers" w:eastAsia="Times New Roman" w:hAnsi="Univers" w:cs="Arial"/>
          <w:caps/>
          <w:snapToGrid w:val="0"/>
          <w:sz w:val="28"/>
          <w:szCs w:val="28"/>
          <w:lang w:val="es-ES_tradnl" w:eastAsia="es-ES"/>
        </w:rPr>
      </w:pPr>
      <w:r w:rsidRPr="00821A73">
        <w:rPr>
          <w:rFonts w:ascii="Univers" w:eastAsia="Times New Roman" w:hAnsi="Univers" w:cs="Arial"/>
          <w:b/>
          <w:caps/>
          <w:snapToGrid w:val="0"/>
          <w:sz w:val="28"/>
          <w:szCs w:val="28"/>
          <w:lang w:val="es-ES_tradnl" w:eastAsia="es-ES"/>
        </w:rPr>
        <w:t xml:space="preserve">MAGISTRADO PONENTE: </w:t>
      </w:r>
      <w:r w:rsidRPr="00821A73">
        <w:rPr>
          <w:rFonts w:ascii="Univers" w:eastAsia="Times New Roman" w:hAnsi="Univers" w:cs="Arial"/>
          <w:caps/>
          <w:snapToGrid w:val="0"/>
          <w:sz w:val="28"/>
          <w:szCs w:val="28"/>
          <w:lang w:val="es-ES_tradnl" w:eastAsia="es-ES"/>
        </w:rPr>
        <w:t>JOSÉ ALEJANDRO LUNA RAMOS</w:t>
      </w:r>
    </w:p>
    <w:p w14:paraId="18FEF119" w14:textId="77777777" w:rsidR="00821A73" w:rsidRPr="00821A73" w:rsidRDefault="00821A73" w:rsidP="00821A73">
      <w:pPr>
        <w:spacing w:after="0" w:line="240" w:lineRule="auto"/>
        <w:ind w:left="3686"/>
        <w:rPr>
          <w:rFonts w:ascii="Times New Roman" w:eastAsia="Times New Roman" w:hAnsi="Times New Roman" w:cs="Times New Roman"/>
          <w:sz w:val="24"/>
          <w:szCs w:val="24"/>
          <w:lang w:val="es-ES" w:eastAsia="es-MX"/>
        </w:rPr>
      </w:pPr>
    </w:p>
    <w:p w14:paraId="07741418" w14:textId="77777777" w:rsidR="00821A73" w:rsidRPr="00821A73" w:rsidRDefault="00821A73" w:rsidP="00821A73">
      <w:pPr>
        <w:spacing w:after="0" w:line="240" w:lineRule="auto"/>
        <w:ind w:left="3686"/>
        <w:jc w:val="both"/>
        <w:rPr>
          <w:rFonts w:ascii="Univers" w:eastAsia="Times New Roman" w:hAnsi="Univers" w:cs="Arial"/>
          <w:caps/>
          <w:snapToGrid w:val="0"/>
          <w:sz w:val="28"/>
          <w:szCs w:val="28"/>
          <w:lang w:val="es-ES_tradnl" w:eastAsia="es-ES"/>
        </w:rPr>
      </w:pPr>
      <w:r w:rsidRPr="00821A73">
        <w:rPr>
          <w:rFonts w:ascii="Univers" w:eastAsia="Times New Roman" w:hAnsi="Univers" w:cs="Arial"/>
          <w:b/>
          <w:caps/>
          <w:snapToGrid w:val="0"/>
          <w:sz w:val="28"/>
          <w:szCs w:val="28"/>
          <w:lang w:val="es-ES_tradnl" w:eastAsia="es-ES"/>
        </w:rPr>
        <w:t xml:space="preserve">SECRETARIOs: </w:t>
      </w:r>
      <w:r w:rsidRPr="00821A73">
        <w:rPr>
          <w:rFonts w:ascii="Univers" w:eastAsia="Times New Roman" w:hAnsi="Univers" w:cs="Arial"/>
          <w:caps/>
          <w:snapToGrid w:val="0"/>
          <w:sz w:val="28"/>
          <w:szCs w:val="28"/>
          <w:lang w:val="es-ES_tradnl" w:eastAsia="es-ES"/>
        </w:rPr>
        <w:t>marco antonio zavala arredondo y</w:t>
      </w:r>
      <w:r w:rsidRPr="00821A73">
        <w:rPr>
          <w:rFonts w:ascii="Univers" w:eastAsia="Times New Roman" w:hAnsi="Univers" w:cs="Arial"/>
          <w:b/>
          <w:caps/>
          <w:snapToGrid w:val="0"/>
          <w:sz w:val="28"/>
          <w:szCs w:val="28"/>
          <w:lang w:val="es-ES_tradnl" w:eastAsia="es-ES"/>
        </w:rPr>
        <w:t xml:space="preserve"> </w:t>
      </w:r>
      <w:r w:rsidRPr="00821A73">
        <w:rPr>
          <w:rFonts w:ascii="Univers" w:eastAsia="Times New Roman" w:hAnsi="Univers" w:cs="Arial"/>
          <w:caps/>
          <w:snapToGrid w:val="0"/>
          <w:sz w:val="28"/>
          <w:szCs w:val="28"/>
          <w:lang w:val="es-ES_tradnl" w:eastAsia="es-ES"/>
        </w:rPr>
        <w:t xml:space="preserve">ADÍN DE LEÓN GÁLVEZ </w:t>
      </w:r>
    </w:p>
    <w:p w14:paraId="0B337F30" w14:textId="77777777" w:rsidR="00821A73" w:rsidRPr="00821A73" w:rsidRDefault="00821A73" w:rsidP="00821A73">
      <w:pPr>
        <w:spacing w:after="0" w:line="360" w:lineRule="auto"/>
        <w:jc w:val="both"/>
        <w:rPr>
          <w:rFonts w:ascii="Univers" w:eastAsia="Times New Roman" w:hAnsi="Univers" w:cs="Arial"/>
          <w:sz w:val="28"/>
          <w:szCs w:val="28"/>
          <w:lang w:val="es-ES_tradnl" w:eastAsia="es-MX"/>
        </w:rPr>
      </w:pPr>
    </w:p>
    <w:p w14:paraId="51A31D31"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México, Distrito Federal, a seis de junio de dos mil siete.</w:t>
      </w:r>
    </w:p>
    <w:p w14:paraId="79A3C8F3"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VISTOS,</w:t>
      </w:r>
      <w:r w:rsidRPr="00821A73">
        <w:rPr>
          <w:rFonts w:ascii="Univers" w:eastAsia="Times New Roman" w:hAnsi="Univers"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seis, que establece la falta de condiciones necesarias para renovar concejales al ayuntamiento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y </w:t>
      </w:r>
    </w:p>
    <w:p w14:paraId="1B60FE8D" w14:textId="77777777" w:rsidR="00821A73" w:rsidRPr="00821A73" w:rsidRDefault="00821A73" w:rsidP="00821A73">
      <w:pPr>
        <w:widowControl w:val="0"/>
        <w:tabs>
          <w:tab w:val="left" w:pos="-720"/>
        </w:tabs>
        <w:suppressAutoHyphens/>
        <w:spacing w:before="240" w:after="240" w:line="360" w:lineRule="auto"/>
        <w:jc w:val="center"/>
        <w:rPr>
          <w:rFonts w:ascii="Univers" w:eastAsia="Times New Roman" w:hAnsi="Univers" w:cs="Arial"/>
          <w:b/>
          <w:caps/>
          <w:snapToGrid w:val="0"/>
          <w:sz w:val="28"/>
          <w:szCs w:val="28"/>
          <w:lang w:val="pt-BR" w:eastAsia="es-ES"/>
        </w:rPr>
      </w:pPr>
      <w:r w:rsidRPr="00821A73">
        <w:rPr>
          <w:rFonts w:ascii="Univers" w:eastAsia="Times New Roman" w:hAnsi="Univers" w:cs="Arial"/>
          <w:b/>
          <w:caps/>
          <w:snapToGrid w:val="0"/>
          <w:sz w:val="28"/>
          <w:szCs w:val="28"/>
          <w:lang w:val="pt-BR" w:eastAsia="es-ES"/>
        </w:rPr>
        <w:t>R e s u l t a n d o</w:t>
      </w:r>
    </w:p>
    <w:p w14:paraId="73122CD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bCs/>
          <w:sz w:val="28"/>
          <w:szCs w:val="28"/>
          <w:lang w:val="pt-BR" w:eastAsia="es-MX"/>
        </w:rPr>
        <w:t>I. Antecedentes.</w:t>
      </w:r>
      <w:r w:rsidRPr="00821A73">
        <w:rPr>
          <w:rFonts w:ascii="Univers" w:eastAsia="Times New Roman" w:hAnsi="Univers" w:cs="Arial"/>
          <w:sz w:val="28"/>
          <w:szCs w:val="28"/>
          <w:lang w:val="pt-BR" w:eastAsia="es-MX"/>
        </w:rPr>
        <w:t xml:space="preserve">  </w:t>
      </w:r>
      <w:r w:rsidRPr="00821A73">
        <w:rPr>
          <w:rFonts w:ascii="Univers" w:eastAsia="Times New Roman" w:hAnsi="Univers" w:cs="Arial"/>
          <w:sz w:val="28"/>
          <w:szCs w:val="28"/>
          <w:lang w:eastAsia="es-MX"/>
        </w:rPr>
        <w:t>De la narración de hechos efectuada por los comparecientes en su escrito inicial de demanda, así como de las constancias que obran en autos se tiene lo siguiente:</w:t>
      </w:r>
    </w:p>
    <w:p w14:paraId="1B4EB768"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a)</w:t>
      </w:r>
      <w:r w:rsidRPr="00821A73">
        <w:rPr>
          <w:rFonts w:ascii="Univers" w:eastAsia="Times New Roman" w:hAnsi="Univers" w:cs="Arial"/>
          <w:sz w:val="28"/>
          <w:szCs w:val="28"/>
          <w:lang w:eastAsia="es-MX"/>
        </w:rPr>
        <w:t xml:space="preserve">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afirman que desde finales del año dos mil dos, la Legislatura del Estado de Oaxaca decretó la “desaparición de poderes”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distrito de Villa Alta, por lo que </w:t>
      </w:r>
      <w:r w:rsidRPr="00821A73">
        <w:rPr>
          <w:rFonts w:ascii="Univers" w:eastAsia="Times New Roman" w:hAnsi="Univers" w:cs="Arial"/>
          <w:sz w:val="28"/>
          <w:szCs w:val="28"/>
          <w:lang w:eastAsia="es-MX"/>
        </w:rPr>
        <w:lastRenderedPageBreak/>
        <w:t>se designó un Administrador Municipal, sin que hasta la fecha se haya convocado a nuevas elecciones;</w:t>
      </w:r>
    </w:p>
    <w:p w14:paraId="35DEC3F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b) </w:t>
      </w:r>
      <w:r w:rsidRPr="00821A73">
        <w:rPr>
          <w:rFonts w:ascii="Univers" w:eastAsia="Times New Roman" w:hAnsi="Univers"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reunión participaron tres comisiones de ciudadanos del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el Director de Elecciones por Usos y Costumbres del Instituto Estatal Electoral, el Subsecretario de Desarrollo Municipal del Gobierno del Estado y el Administrador Municipal, sin que de la misma se hubiere logrado resultado alguno;</w:t>
      </w:r>
    </w:p>
    <w:p w14:paraId="3E106A2B"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c)</w:t>
      </w:r>
      <w:r w:rsidRPr="00821A73">
        <w:rPr>
          <w:rFonts w:ascii="Univers" w:eastAsia="Times New Roman" w:hAnsi="Univers" w:cs="Arial"/>
          <w:sz w:val="28"/>
          <w:szCs w:val="28"/>
          <w:lang w:eastAsia="es-MX"/>
        </w:rPr>
        <w:t xml:space="preserve"> Según refieren los </w:t>
      </w:r>
      <w:proofErr w:type="spellStart"/>
      <w:r w:rsidRPr="00821A73">
        <w:rPr>
          <w:rFonts w:ascii="Univers" w:eastAsia="Times New Roman" w:hAnsi="Univers" w:cs="Arial"/>
          <w:sz w:val="28"/>
          <w:szCs w:val="28"/>
          <w:lang w:eastAsia="es-MX"/>
        </w:rPr>
        <w:t>incoantes</w:t>
      </w:r>
      <w:proofErr w:type="spellEnd"/>
      <w:r w:rsidRPr="00821A73">
        <w:rPr>
          <w:rFonts w:ascii="Univers" w:eastAsia="Times New Roman" w:hAnsi="Univers" w:cs="Arial"/>
          <w:sz w:val="28"/>
          <w:szCs w:val="28"/>
          <w:lang w:eastAsia="es-MX"/>
        </w:rPr>
        <w:t xml:space="preserve">,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Ciudadanos” del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designó a sus autoridades municipales bajo el “sistema normativo indígena”. </w:t>
      </w:r>
    </w:p>
    <w:p w14:paraId="16C5B722"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3A0F601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d) </w:t>
      </w:r>
      <w:r w:rsidRPr="00821A73">
        <w:rPr>
          <w:rFonts w:ascii="Univers" w:eastAsia="Times New Roman" w:hAnsi="Univers" w:cs="Arial"/>
          <w:sz w:val="28"/>
          <w:szCs w:val="28"/>
          <w:lang w:eastAsia="es-MX"/>
        </w:rPr>
        <w:t xml:space="preserve">Mediante oficio IEE/PCG/0518/06 de veintiuno de febrero de dos mil seis, el Presidente del Consejo General del Instituto Estatal Electoral </w:t>
      </w:r>
      <w:r w:rsidRPr="00821A73">
        <w:rPr>
          <w:rFonts w:ascii="Univers" w:eastAsia="Times New Roman" w:hAnsi="Univers" w:cs="Arial"/>
          <w:sz w:val="28"/>
          <w:szCs w:val="28"/>
          <w:lang w:eastAsia="es-MX"/>
        </w:rPr>
        <w:lastRenderedPageBreak/>
        <w:t xml:space="preserve">solicitó al administrador municipal en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informara la fecha y hora en la cual se realizaría la elección de la autoridades municipales para </w:t>
      </w:r>
      <w:proofErr w:type="gramStart"/>
      <w:r w:rsidRPr="00821A73">
        <w:rPr>
          <w:rFonts w:ascii="Univers" w:eastAsia="Times New Roman" w:hAnsi="Univers" w:cs="Arial"/>
          <w:sz w:val="28"/>
          <w:szCs w:val="28"/>
          <w:lang w:eastAsia="es-MX"/>
        </w:rPr>
        <w:t>el  periodo</w:t>
      </w:r>
      <w:proofErr w:type="gramEnd"/>
      <w:r w:rsidRPr="00821A73">
        <w:rPr>
          <w:rFonts w:ascii="Univers" w:eastAsia="Times New Roman" w:hAnsi="Univers" w:cs="Arial"/>
          <w:sz w:val="28"/>
          <w:szCs w:val="28"/>
          <w:lang w:eastAsia="es-MX"/>
        </w:rPr>
        <w:t xml:space="preserve"> comprendido del primero de enero al treinta y uno de diciembre de dos mil siete;</w:t>
      </w:r>
    </w:p>
    <w:p w14:paraId="7AE5B91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e)</w:t>
      </w:r>
      <w:r w:rsidRPr="00821A73">
        <w:rPr>
          <w:rFonts w:ascii="Univers" w:eastAsia="Times New Roman" w:hAnsi="Univers" w:cs="Arial"/>
          <w:sz w:val="28"/>
          <w:szCs w:val="28"/>
          <w:lang w:eastAsia="es-MX"/>
        </w:rPr>
        <w:t xml:space="preserve"> En respuesta a la solicitud señalada, por medio de los oficios 110/2006 y 126/2006 de diecisiete de octubre y treinta de </w:t>
      </w:r>
      <w:proofErr w:type="gramStart"/>
      <w:r w:rsidRPr="00821A73">
        <w:rPr>
          <w:rFonts w:ascii="Univers" w:eastAsia="Times New Roman" w:hAnsi="Univers" w:cs="Arial"/>
          <w:sz w:val="28"/>
          <w:szCs w:val="28"/>
          <w:lang w:eastAsia="es-MX"/>
        </w:rPr>
        <w:t>noviembre  de</w:t>
      </w:r>
      <w:proofErr w:type="gramEnd"/>
      <w:r w:rsidRPr="00821A73">
        <w:rPr>
          <w:rFonts w:ascii="Univers" w:eastAsia="Times New Roman" w:hAnsi="Univers"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59FB127B"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f) </w:t>
      </w:r>
      <w:r w:rsidRPr="00821A73">
        <w:rPr>
          <w:rFonts w:ascii="Univers" w:eastAsia="Times New Roman" w:hAnsi="Univers"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1000D23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g) </w:t>
      </w:r>
      <w:r w:rsidRPr="00821A73">
        <w:rPr>
          <w:rFonts w:ascii="Univers" w:eastAsia="Times New Roman" w:hAnsi="Univers"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no existían las condiciones necesarias, para llevar a cabo la elección de autoridades municipales bajo las normas de derecho consuetudinario; </w:t>
      </w:r>
    </w:p>
    <w:p w14:paraId="0A8DB0D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h)</w:t>
      </w:r>
      <w:r w:rsidRPr="00821A73">
        <w:rPr>
          <w:rFonts w:ascii="Univers" w:eastAsia="Times New Roman" w:hAnsi="Univers" w:cs="Arial"/>
          <w:sz w:val="28"/>
          <w:szCs w:val="28"/>
          <w:lang w:eastAsia="es-MX"/>
        </w:rPr>
        <w:t xml:space="preserve"> El veintiuno de diciembre siguiente, la Quincuagésima Novena Legislatura del Estado de Oaxaca, emitió el Decreto número 365 por el cual ratificó el acuerdo del Consejo General del Instituto Estatal Electoral, mediante el cual se declaró la imposibilidad de que en el </w:t>
      </w:r>
      <w:r w:rsidRPr="00821A73">
        <w:rPr>
          <w:rFonts w:ascii="Univers" w:eastAsia="Times New Roman" w:hAnsi="Univers" w:cs="Arial"/>
          <w:sz w:val="28"/>
          <w:szCs w:val="28"/>
          <w:lang w:eastAsia="es-MX"/>
        </w:rPr>
        <w:lastRenderedPageBreak/>
        <w:t>municipio en cuestión se pueda llevar a cabo el procedimiento de renovación de concejales;</w:t>
      </w:r>
    </w:p>
    <w:p w14:paraId="78C71E8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i) </w:t>
      </w:r>
      <w:r w:rsidRPr="00821A73">
        <w:rPr>
          <w:rFonts w:ascii="Univers" w:eastAsia="Times New Roman" w:hAnsi="Univers" w:cs="Arial"/>
          <w:sz w:val="28"/>
          <w:szCs w:val="28"/>
          <w:lang w:eastAsia="es-MX"/>
        </w:rPr>
        <w:t xml:space="preserve">El mismo día veintiuno de diciembre, diversos ciudadanos, entre ellos los actores, solicitaron al Consejo General del Instituto Estatal Electoral copia certificada del </w:t>
      </w:r>
      <w:r w:rsidRPr="00821A73">
        <w:rPr>
          <w:rFonts w:ascii="Univers" w:eastAsia="Times New Roman" w:hAnsi="Univers" w:cs="Arial"/>
          <w:i/>
          <w:sz w:val="28"/>
          <w:szCs w:val="28"/>
          <w:lang w:eastAsia="es-MX"/>
        </w:rPr>
        <w:t>“acta de resolución”</w:t>
      </w:r>
      <w:r w:rsidRPr="00821A73">
        <w:rPr>
          <w:rFonts w:ascii="Univers" w:eastAsia="Times New Roman" w:hAnsi="Univers" w:cs="Arial"/>
          <w:sz w:val="28"/>
          <w:szCs w:val="28"/>
          <w:lang w:eastAsia="es-MX"/>
        </w:rPr>
        <w:t xml:space="preserve"> en la cual dicha autoridad decretó la no existencia de condiciones para llevar a cabo la elección de autoridades municipales de referencia.</w:t>
      </w:r>
    </w:p>
    <w:p w14:paraId="09EAC769" w14:textId="77777777" w:rsidR="00821A73" w:rsidRPr="00821A73" w:rsidRDefault="00821A73" w:rsidP="00821A73">
      <w:pPr>
        <w:spacing w:before="100" w:beforeAutospacing="1" w:after="100" w:afterAutospacing="1" w:line="360" w:lineRule="auto"/>
        <w:jc w:val="both"/>
        <w:rPr>
          <w:rFonts w:ascii="Univers" w:eastAsia="Times New Roman" w:hAnsi="Univers" w:cs="Arial"/>
          <w:i/>
          <w:sz w:val="28"/>
          <w:szCs w:val="28"/>
          <w:lang w:eastAsia="es-MX"/>
        </w:rPr>
      </w:pPr>
      <w:r w:rsidRPr="00821A73">
        <w:rPr>
          <w:rFonts w:ascii="Univers" w:eastAsia="Times New Roman" w:hAnsi="Univers"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821A73">
        <w:rPr>
          <w:rFonts w:ascii="Univers" w:eastAsia="Times New Roman" w:hAnsi="Univers" w:cs="Arial"/>
          <w:i/>
          <w:sz w:val="28"/>
          <w:szCs w:val="28"/>
          <w:lang w:eastAsia="es-MX"/>
        </w:rPr>
        <w:t xml:space="preserve"> </w:t>
      </w:r>
      <w:r w:rsidRPr="00821A73">
        <w:rPr>
          <w:rFonts w:ascii="Univers" w:eastAsia="Times New Roman" w:hAnsi="Univers" w:cs="Arial"/>
          <w:sz w:val="28"/>
          <w:szCs w:val="28"/>
          <w:lang w:eastAsia="es-MX"/>
        </w:rPr>
        <w:t>que en el acuerdo solicitado se ordenó su publicación en el Periódico Oficial de la entidad, y</w:t>
      </w:r>
    </w:p>
    <w:p w14:paraId="0EF0BAA0"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j) </w:t>
      </w:r>
      <w:r w:rsidRPr="00821A73">
        <w:rPr>
          <w:rFonts w:ascii="Univers" w:eastAsia="Times New Roman" w:hAnsi="Univers" w:cs="Arial"/>
          <w:sz w:val="28"/>
          <w:szCs w:val="28"/>
          <w:lang w:eastAsia="es-MX"/>
        </w:rPr>
        <w:t>El día treinta de diciembre de dos mil seis, se publicaron en el Periódico Oficial, órgano del Gobierno Constitucional del Estado Libre y Soberano</w:t>
      </w:r>
      <w:r w:rsidRPr="00821A73">
        <w:rPr>
          <w:rFonts w:ascii="Univers" w:eastAsia="Times New Roman" w:hAnsi="Univers" w:cs="Arial"/>
          <w:b/>
          <w:sz w:val="28"/>
          <w:szCs w:val="28"/>
          <w:lang w:eastAsia="es-MX"/>
        </w:rPr>
        <w:t xml:space="preserve"> </w:t>
      </w:r>
      <w:r w:rsidRPr="00821A73">
        <w:rPr>
          <w:rFonts w:ascii="Univers" w:eastAsia="Times New Roman" w:hAnsi="Univers" w:cs="Arial"/>
          <w:sz w:val="28"/>
          <w:szCs w:val="28"/>
          <w:lang w:eastAsia="es-MX"/>
        </w:rPr>
        <w:t>de Oaxaca, tomo LXXXVIII, número 52, tanto el acuerdo del Consejo General del Instituto Estatal Electoral, como el Decreto número 365 emitido por la Legislatura estatal de mérito.</w:t>
      </w:r>
    </w:p>
    <w:p w14:paraId="4434376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 II. Asunto General. </w:t>
      </w:r>
      <w:r w:rsidRPr="00821A73">
        <w:rPr>
          <w:rFonts w:ascii="Univers" w:eastAsia="Times New Roman" w:hAnsi="Univers"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w:t>
      </w:r>
      <w:proofErr w:type="spellStart"/>
      <w:r w:rsidRPr="00821A73">
        <w:rPr>
          <w:rFonts w:ascii="Univers" w:eastAsia="Times New Roman" w:hAnsi="Univers" w:cs="Arial"/>
          <w:sz w:val="28"/>
          <w:szCs w:val="28"/>
          <w:lang w:eastAsia="es-MX"/>
        </w:rPr>
        <w:t>Sadot</w:t>
      </w:r>
      <w:proofErr w:type="spellEnd"/>
      <w:r w:rsidRPr="00821A73">
        <w:rPr>
          <w:rFonts w:ascii="Univers" w:eastAsia="Times New Roman" w:hAnsi="Univers" w:cs="Arial"/>
          <w:sz w:val="28"/>
          <w:szCs w:val="28"/>
          <w:lang w:eastAsia="es-MX"/>
        </w:rPr>
        <w:t xml:space="preserve"> Reyes Martínez, </w:t>
      </w:r>
      <w:proofErr w:type="spellStart"/>
      <w:r w:rsidRPr="00821A73">
        <w:rPr>
          <w:rFonts w:ascii="Univers" w:eastAsia="Times New Roman" w:hAnsi="Univers" w:cs="Arial"/>
          <w:sz w:val="28"/>
          <w:szCs w:val="28"/>
          <w:lang w:eastAsia="es-MX"/>
        </w:rPr>
        <w:t>Zeferino</w:t>
      </w:r>
      <w:proofErr w:type="spellEnd"/>
      <w:r w:rsidRPr="00821A73">
        <w:rPr>
          <w:rFonts w:ascii="Univers" w:eastAsia="Times New Roman" w:hAnsi="Univers" w:cs="Arial"/>
          <w:sz w:val="28"/>
          <w:szCs w:val="28"/>
          <w:lang w:eastAsia="es-MX"/>
        </w:rPr>
        <w:t xml:space="preserve"> Salas Cruz, Rodolfo García Pérez, Juan Santiago </w:t>
      </w:r>
      <w:r w:rsidRPr="00821A73">
        <w:rPr>
          <w:rFonts w:ascii="Univers" w:eastAsia="Times New Roman" w:hAnsi="Univers" w:cs="Arial"/>
          <w:sz w:val="28"/>
          <w:szCs w:val="28"/>
          <w:lang w:eastAsia="es-MX"/>
        </w:rPr>
        <w:lastRenderedPageBreak/>
        <w:t xml:space="preserve">Chávez, Onésimo Chávez López, Gabino Chávez López, Pedro Reyes Martínez, David Reyes Cruz, Saturnino Martínez Cruz, Rómulo Martínez Velazco, Raymundo Cruz López, Saúl Martínez Salas, Isaac Bautista (sic), Antonio Pérez </w:t>
      </w:r>
      <w:proofErr w:type="spellStart"/>
      <w:r w:rsidRPr="00821A73">
        <w:rPr>
          <w:rFonts w:ascii="Univers" w:eastAsia="Times New Roman" w:hAnsi="Univers" w:cs="Arial"/>
          <w:sz w:val="28"/>
          <w:szCs w:val="28"/>
          <w:lang w:eastAsia="es-MX"/>
        </w:rPr>
        <w:t>Pérez</w:t>
      </w:r>
      <w:proofErr w:type="spellEnd"/>
      <w:r w:rsidRPr="00821A73">
        <w:rPr>
          <w:rFonts w:ascii="Univers" w:eastAsia="Times New Roman" w:hAnsi="Univers" w:cs="Arial"/>
          <w:sz w:val="28"/>
          <w:szCs w:val="28"/>
          <w:lang w:eastAsia="es-MX"/>
        </w:rPr>
        <w:t xml:space="preserve"> y Severino Martínez Reyes solicitaron al Magistrado Presidente de esta Sala Superior, su intervención para que se “instruyera” al Consejo General del Instituto Estatal Electoral de Oaxaca, a fin de que expidiera la copia certificada solicitada y se convocara a asamblea a efecto de que los ciudadanos del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eligieran democráticamente a sus autoridades municipales.</w:t>
      </w:r>
    </w:p>
    <w:p w14:paraId="223F76B7"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77BA18B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3952A382"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bCs/>
          <w:sz w:val="28"/>
          <w:szCs w:val="28"/>
          <w:lang w:eastAsia="es-MX"/>
        </w:rPr>
        <w:t xml:space="preserve">III. </w:t>
      </w:r>
      <w:r w:rsidRPr="00821A73">
        <w:rPr>
          <w:rFonts w:ascii="Univers" w:eastAsia="Times New Roman" w:hAnsi="Univers" w:cs="Arial"/>
          <w:b/>
          <w:sz w:val="28"/>
          <w:szCs w:val="28"/>
          <w:lang w:eastAsia="es-MX"/>
        </w:rPr>
        <w:t>Juicio para la protección de los derechos político-electorales.</w:t>
      </w:r>
      <w:r w:rsidRPr="00821A73">
        <w:rPr>
          <w:rFonts w:ascii="Univers" w:eastAsia="Times New Roman" w:hAnsi="Univers" w:cs="Times New Roman"/>
          <w:sz w:val="28"/>
          <w:szCs w:val="28"/>
          <w:lang w:eastAsia="es-MX"/>
        </w:rPr>
        <w:t xml:space="preserve"> En consecuencia, se integró el expediente </w:t>
      </w:r>
      <w:proofErr w:type="gramStart"/>
      <w:r w:rsidRPr="00821A73">
        <w:rPr>
          <w:rFonts w:ascii="Univers" w:eastAsia="Times New Roman" w:hAnsi="Univers" w:cs="Times New Roman"/>
          <w:sz w:val="28"/>
          <w:szCs w:val="28"/>
          <w:lang w:eastAsia="es-MX"/>
        </w:rPr>
        <w:t>del  juicio</w:t>
      </w:r>
      <w:proofErr w:type="gramEnd"/>
      <w:r w:rsidRPr="00821A73">
        <w:rPr>
          <w:rFonts w:ascii="Univers" w:eastAsia="Times New Roman" w:hAnsi="Univers" w:cs="Times New Roman"/>
          <w:sz w:val="28"/>
          <w:szCs w:val="28"/>
          <w:lang w:eastAsia="es-MX"/>
        </w:rPr>
        <w:t xml:space="preserve"> en que se actúa y, mediante oficio TEPJF-SGA-043/07, de dieciocho de enero de dos mil siete, suscrito por la Secretaria General de Acuerdos de esta Sala </w:t>
      </w:r>
      <w:r w:rsidRPr="00821A73">
        <w:rPr>
          <w:rFonts w:ascii="Univers" w:eastAsia="Times New Roman" w:hAnsi="Univers" w:cs="Times New Roman"/>
          <w:sz w:val="28"/>
          <w:szCs w:val="28"/>
          <w:lang w:eastAsia="es-MX"/>
        </w:rPr>
        <w:lastRenderedPageBreak/>
        <w:t xml:space="preserve">Superior, se turnó al Magistrado José Alejandro Luna Ramos, para los efectos del artículo 19 de la Ley General del Sistema de Medios de Impugnación en Materia Electoral. </w:t>
      </w:r>
    </w:p>
    <w:p w14:paraId="32577E48"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 xml:space="preserve">IV. Trámite y sustanciación. </w:t>
      </w:r>
      <w:r w:rsidRPr="00821A73">
        <w:rPr>
          <w:rFonts w:ascii="Univers" w:eastAsia="Times New Roman" w:hAnsi="Univers" w:cs="Times New Roman"/>
          <w:sz w:val="28"/>
          <w:szCs w:val="28"/>
          <w:lang w:eastAsia="es-MX"/>
        </w:rPr>
        <w:t xml:space="preserve">Los días veintinueve de enero, catorce </w:t>
      </w:r>
      <w:proofErr w:type="gramStart"/>
      <w:r w:rsidRPr="00821A73">
        <w:rPr>
          <w:rFonts w:ascii="Univers" w:eastAsia="Times New Roman" w:hAnsi="Univers" w:cs="Times New Roman"/>
          <w:sz w:val="28"/>
          <w:szCs w:val="28"/>
          <w:lang w:eastAsia="es-MX"/>
        </w:rPr>
        <w:t>y  quince</w:t>
      </w:r>
      <w:proofErr w:type="gramEnd"/>
      <w:r w:rsidRPr="00821A73">
        <w:rPr>
          <w:rFonts w:ascii="Univers" w:eastAsia="Times New Roman" w:hAnsi="Univers" w:cs="Times New Roman"/>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619451A4"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Mediante acuerdo de</w:t>
      </w:r>
      <w:r w:rsidRPr="00821A73">
        <w:rPr>
          <w:rFonts w:ascii="Univers" w:eastAsia="Times New Roman" w:hAnsi="Univers" w:cs="Times New Roman"/>
          <w:b/>
          <w:sz w:val="28"/>
          <w:szCs w:val="28"/>
          <w:lang w:eastAsia="es-MX"/>
        </w:rPr>
        <w:t xml:space="preserve"> </w:t>
      </w:r>
      <w:r w:rsidRPr="00821A73">
        <w:rPr>
          <w:rFonts w:ascii="Univers" w:eastAsia="Times New Roman" w:hAnsi="Univers" w:cs="Times New Roman"/>
          <w:sz w:val="28"/>
          <w:szCs w:val="28"/>
          <w:lang w:eastAsia="es-MX"/>
        </w:rPr>
        <w:t>diecinueve de febrero de dos mil siete</w:t>
      </w:r>
      <w:r w:rsidRPr="00821A73">
        <w:rPr>
          <w:rFonts w:ascii="Univers" w:eastAsia="Times New Roman" w:hAnsi="Univers" w:cs="Times New Roman"/>
          <w:b/>
          <w:sz w:val="28"/>
          <w:szCs w:val="28"/>
          <w:lang w:eastAsia="es-MX"/>
        </w:rPr>
        <w:t xml:space="preserve">, </w:t>
      </w:r>
      <w:r w:rsidRPr="00821A73">
        <w:rPr>
          <w:rFonts w:ascii="Univers" w:eastAsia="Times New Roman" w:hAnsi="Univers" w:cs="Times New Roman"/>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821A73">
        <w:rPr>
          <w:rFonts w:ascii="Univers" w:eastAsia="Times New Roman" w:hAnsi="Univers" w:cs="Times New Roman"/>
          <w:sz w:val="28"/>
          <w:szCs w:val="28"/>
          <w:lang w:eastAsia="es-MX"/>
        </w:rPr>
        <w:t>como  responsables</w:t>
      </w:r>
      <w:proofErr w:type="gramEnd"/>
      <w:r w:rsidRPr="00821A73">
        <w:rPr>
          <w:rFonts w:ascii="Univers" w:eastAsia="Times New Roman" w:hAnsi="Univers" w:cs="Times New Roman"/>
          <w:sz w:val="28"/>
          <w:szCs w:val="28"/>
          <w:lang w:eastAsia="es-MX"/>
        </w:rPr>
        <w:t xml:space="preserve">. </w:t>
      </w:r>
    </w:p>
    <w:p w14:paraId="120CF758"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 A través de escritos presentados en la Oficialía de Partes de esta Sala Superior, los días nueve de marzo, cuatro, once y dieciséis de mayo del presente año, los </w:t>
      </w:r>
      <w:proofErr w:type="spellStart"/>
      <w:r w:rsidRPr="00821A73">
        <w:rPr>
          <w:rFonts w:ascii="Univers" w:eastAsia="Times New Roman" w:hAnsi="Univers" w:cs="Times New Roman"/>
          <w:sz w:val="28"/>
          <w:szCs w:val="28"/>
          <w:lang w:eastAsia="es-MX"/>
        </w:rPr>
        <w:t>incoantes</w:t>
      </w:r>
      <w:proofErr w:type="spellEnd"/>
      <w:r w:rsidRPr="00821A73">
        <w:rPr>
          <w:rFonts w:ascii="Univers" w:eastAsia="Times New Roman" w:hAnsi="Univers" w:cs="Times New Roman"/>
          <w:sz w:val="28"/>
          <w:szCs w:val="28"/>
          <w:lang w:eastAsia="es-MX"/>
        </w:rPr>
        <w:t xml:space="preserve"> presentaron diversa documentación, relativa a las gestiones que han realizado ante diversas instancias locales y federales respecto a la problemática que se vive en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Oaxaca.</w:t>
      </w:r>
    </w:p>
    <w:p w14:paraId="16799AA0" w14:textId="77777777" w:rsidR="00821A73" w:rsidRPr="00821A73" w:rsidRDefault="00821A73" w:rsidP="00821A73">
      <w:pPr>
        <w:spacing w:before="100" w:beforeAutospacing="1" w:after="100" w:afterAutospacing="1" w:line="360" w:lineRule="auto"/>
        <w:jc w:val="both"/>
        <w:rPr>
          <w:rFonts w:ascii="Univers" w:eastAsia="Times New Roman" w:hAnsi="Univers" w:cs="Arial"/>
          <w:b/>
          <w:bCs/>
          <w:sz w:val="28"/>
          <w:szCs w:val="28"/>
          <w:lang w:eastAsia="es-MX"/>
        </w:rPr>
      </w:pPr>
      <w:r w:rsidRPr="00821A73">
        <w:rPr>
          <w:rFonts w:ascii="Univers" w:eastAsia="Times New Roman" w:hAnsi="Univers" w:cs="Times New Roman"/>
          <w:sz w:val="28"/>
          <w:szCs w:val="28"/>
          <w:lang w:eastAsia="es-MX"/>
        </w:rPr>
        <w:t>En su oportunidad, el Magistrado Instructor admitió a trámite la demanda y declaró cerrada la instrucción, con lo cual el asunto quedó en estado de resolución, y</w:t>
      </w:r>
    </w:p>
    <w:p w14:paraId="522DB3AE" w14:textId="77777777" w:rsidR="00821A73" w:rsidRPr="00821A73" w:rsidRDefault="00821A73" w:rsidP="00821A73">
      <w:pPr>
        <w:spacing w:before="100" w:beforeAutospacing="1" w:after="100" w:afterAutospacing="1" w:line="360" w:lineRule="auto"/>
        <w:jc w:val="center"/>
        <w:rPr>
          <w:rFonts w:ascii="Univers" w:eastAsia="Times New Roman" w:hAnsi="Univers" w:cs="Arial"/>
          <w:sz w:val="28"/>
          <w:szCs w:val="28"/>
          <w:lang w:val="pt-BR" w:eastAsia="es-MX"/>
        </w:rPr>
      </w:pPr>
      <w:r w:rsidRPr="00821A73">
        <w:rPr>
          <w:rFonts w:ascii="Univers" w:eastAsia="Times New Roman" w:hAnsi="Univers" w:cs="Arial"/>
          <w:b/>
          <w:bCs/>
          <w:sz w:val="28"/>
          <w:szCs w:val="28"/>
          <w:lang w:val="pt-BR" w:eastAsia="es-MX"/>
        </w:rPr>
        <w:t>C O N S I D E R A N D O</w:t>
      </w:r>
    </w:p>
    <w:p w14:paraId="3E5305F5"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bCs/>
          <w:sz w:val="28"/>
          <w:szCs w:val="28"/>
          <w:lang w:eastAsia="es-MX"/>
        </w:rPr>
        <w:lastRenderedPageBreak/>
        <w:t xml:space="preserve">PRIMERO. Jurisdicción y competencia. </w:t>
      </w:r>
      <w:r w:rsidRPr="00821A73">
        <w:rPr>
          <w:rFonts w:ascii="Univers" w:eastAsia="Times New Roman" w:hAnsi="Univers"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1218697D" w14:textId="77777777" w:rsidR="00821A73" w:rsidRPr="00821A73" w:rsidRDefault="00821A73" w:rsidP="00821A73">
      <w:pPr>
        <w:spacing w:before="240" w:after="240" w:line="360" w:lineRule="auto"/>
        <w:ind w:right="68"/>
        <w:jc w:val="both"/>
        <w:rPr>
          <w:rFonts w:ascii="Univers" w:eastAsia="Times New Roman" w:hAnsi="Univers" w:cs="Arial"/>
          <w:b/>
          <w:sz w:val="28"/>
          <w:szCs w:val="28"/>
          <w:lang w:eastAsia="es-MX"/>
        </w:rPr>
      </w:pPr>
      <w:r w:rsidRPr="00821A73">
        <w:rPr>
          <w:rFonts w:ascii="Univers" w:eastAsia="Times New Roman" w:hAnsi="Univers" w:cs="Arial"/>
          <w:b/>
          <w:sz w:val="28"/>
          <w:szCs w:val="28"/>
          <w:lang w:eastAsia="es-MX"/>
        </w:rPr>
        <w:t>SEGUNDO.</w:t>
      </w:r>
      <w:r w:rsidRPr="00821A73">
        <w:rPr>
          <w:rFonts w:ascii="Univers" w:eastAsia="Times New Roman" w:hAnsi="Univers" w:cs="Arial"/>
          <w:sz w:val="28"/>
          <w:szCs w:val="28"/>
          <w:lang w:eastAsia="es-MX"/>
        </w:rPr>
        <w:t xml:space="preserve"> </w:t>
      </w:r>
      <w:r w:rsidRPr="00821A73">
        <w:rPr>
          <w:rFonts w:ascii="Univers" w:eastAsia="Times New Roman" w:hAnsi="Univers" w:cs="Arial"/>
          <w:b/>
          <w:sz w:val="28"/>
          <w:szCs w:val="28"/>
          <w:lang w:eastAsia="es-MX"/>
        </w:rPr>
        <w:t>Determinación del alcance de la</w:t>
      </w:r>
      <w:r w:rsidRPr="00821A73">
        <w:rPr>
          <w:rFonts w:ascii="Univers" w:eastAsia="Times New Roman" w:hAnsi="Univers" w:cs="Arial"/>
          <w:sz w:val="28"/>
          <w:szCs w:val="28"/>
          <w:lang w:eastAsia="es-MX"/>
        </w:rPr>
        <w:t xml:space="preserve"> s</w:t>
      </w:r>
      <w:r w:rsidRPr="00821A73">
        <w:rPr>
          <w:rFonts w:ascii="Univers" w:eastAsia="Times New Roman" w:hAnsi="Univers" w:cs="Arial"/>
          <w:b/>
          <w:sz w:val="28"/>
          <w:szCs w:val="28"/>
          <w:lang w:eastAsia="es-MX"/>
        </w:rPr>
        <w:t xml:space="preserve">uplencia en los juicios promovidos por ciudadanos pertenecientes a pueblos y comunidades indígenas para la defensa de sus derechos político-electorales. </w:t>
      </w:r>
      <w:r w:rsidRPr="00821A73">
        <w:rPr>
          <w:rFonts w:ascii="Univers" w:eastAsia="Times New Roman" w:hAnsi="Univers"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821A73">
        <w:rPr>
          <w:rFonts w:ascii="Univers" w:eastAsia="Times New Roman" w:hAnsi="Univers" w:cs="Arial"/>
          <w:i/>
          <w:sz w:val="28"/>
          <w:szCs w:val="28"/>
          <w:lang w:eastAsia="es-MX"/>
        </w:rPr>
        <w:t>Convenio Sobre Pueblos Indígenas y Tribales, 1989</w:t>
      </w:r>
      <w:r w:rsidRPr="00821A73">
        <w:rPr>
          <w:rFonts w:ascii="Univers" w:eastAsia="Times New Roman" w:hAnsi="Univers"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w:t>
      </w:r>
      <w:r w:rsidRPr="00821A73">
        <w:rPr>
          <w:rFonts w:ascii="Univers" w:eastAsia="Times New Roman" w:hAnsi="Univers" w:cs="Arial"/>
          <w:sz w:val="28"/>
          <w:szCs w:val="28"/>
          <w:lang w:eastAsia="es-MX"/>
        </w:rPr>
        <w:lastRenderedPageBreak/>
        <w:t>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4D939FF3"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El criterio anunciado se apoya en los fundamentos y razonamientos que enseguida se exponen.</w:t>
      </w:r>
    </w:p>
    <w:p w14:paraId="336C0851"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5287D980"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La garantía individual precisada constituye, pues, un derecho público subjetivo, derivado de la prohibición constitucional a la </w:t>
      </w:r>
      <w:proofErr w:type="spellStart"/>
      <w:r w:rsidRPr="00821A73">
        <w:rPr>
          <w:rFonts w:ascii="Univers" w:eastAsia="Times New Roman" w:hAnsi="Univers" w:cs="Arial"/>
          <w:sz w:val="28"/>
          <w:szCs w:val="28"/>
          <w:lang w:eastAsia="es-MX"/>
        </w:rPr>
        <w:t>autotutela</w:t>
      </w:r>
      <w:proofErr w:type="spellEnd"/>
      <w:r w:rsidRPr="00821A73">
        <w:rPr>
          <w:rFonts w:ascii="Univers" w:eastAsia="Times New Roman" w:hAnsi="Univers" w:cs="Arial"/>
          <w:sz w:val="28"/>
          <w:szCs w:val="28"/>
          <w:lang w:eastAsia="es-MX"/>
        </w:rPr>
        <w:t xml:space="preserve"> contenida en el mismo precepto </w:t>
      </w:r>
      <w:r w:rsidRPr="00821A73">
        <w:rPr>
          <w:rFonts w:ascii="Univers" w:eastAsia="Times New Roman" w:hAnsi="Univers" w:cs="Arial"/>
          <w:i/>
          <w:sz w:val="28"/>
          <w:szCs w:val="28"/>
          <w:lang w:eastAsia="es-MX"/>
        </w:rPr>
        <w:t>(“Ninguna persona podrá hacerse justicia por sí misma, ni ejercer violencia para defender su derecho”</w:t>
      </w:r>
      <w:r w:rsidRPr="00821A73">
        <w:rPr>
          <w:rFonts w:ascii="Univers" w:eastAsia="Times New Roman" w:hAnsi="Univers" w:cs="Arial"/>
          <w:sz w:val="28"/>
          <w:szCs w:val="28"/>
          <w:lang w:eastAsia="es-MX"/>
        </w:rPr>
        <w:t>),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40AFE7AE"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El derecho a una tutela jurisdiccional completa y efectiva, en términos del dispositivo invocado, comprende una serie de obligaciones para los órganos estatales a fin de hacerlo efectivo.</w:t>
      </w:r>
    </w:p>
    <w:p w14:paraId="3757D26E"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primer término, la norma constitucional exige que los tribunales, esto es, los órganos del Estado que deben conocer y pronunciarse respecto de lo solicitado por las partes, estén expeditos para impartir justicia en </w:t>
      </w:r>
      <w:r w:rsidRPr="00821A73">
        <w:rPr>
          <w:rFonts w:ascii="Univers" w:eastAsia="Times New Roman" w:hAnsi="Univers" w:cs="Arial"/>
          <w:sz w:val="28"/>
          <w:szCs w:val="28"/>
          <w:lang w:eastAsia="es-MX"/>
        </w:rPr>
        <w:lastRenderedPageBreak/>
        <w:t>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3F30A61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4860C24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que inhiban, dificulten o retarden injustificadamente la aptitud de excitar la actuación de la jurisdicción estatal.</w:t>
      </w:r>
    </w:p>
    <w:p w14:paraId="430A1CA6"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75F9D3A2"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0C38EB0F"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 su vez, la imparcialidad en la resolución no debe identificarse exclusivamente con el irrestricto apego a la ley para la dilucidación de la materia del litigio, pues la propia Ley Fundamental prevé semejante requisito en el artículo 14, además de que el diverso numeral 16 requiere que todo acto de autoridad se funde y motive adecuada y </w:t>
      </w:r>
      <w:r w:rsidRPr="00821A73">
        <w:rPr>
          <w:rFonts w:ascii="Univers" w:eastAsia="Times New Roman" w:hAnsi="Univers" w:cs="Times New Roman"/>
          <w:sz w:val="28"/>
          <w:szCs w:val="28"/>
          <w:lang w:eastAsia="es-MX"/>
        </w:rPr>
        <w:lastRenderedPageBreak/>
        <w:t>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7E9E6601"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1DBC201D"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inmediatez de los tribunales de justicia, cuyo cumplimiento podría inhibirse si el ejercicio de la acción dependiera de algún pago.</w:t>
      </w:r>
    </w:p>
    <w:p w14:paraId="5528B3CD"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En abono de lo hasta aquí expuesto, conviene transcribir con carácter ilustrativo, las tesis de jurisprudencia y aisladas sustentadas por el Pleno de la Suprema Corte de Justicia de la Nación con las claves P</w:t>
      </w:r>
      <w:proofErr w:type="gramStart"/>
      <w:r w:rsidRPr="00821A73">
        <w:rPr>
          <w:rFonts w:ascii="Univers" w:eastAsia="Times New Roman" w:hAnsi="Univers" w:cs="Times New Roman"/>
          <w:sz w:val="28"/>
          <w:szCs w:val="28"/>
          <w:lang w:eastAsia="es-MX"/>
        </w:rPr>
        <w:t>./</w:t>
      </w:r>
      <w:proofErr w:type="gramEnd"/>
      <w:r w:rsidRPr="00821A73">
        <w:rPr>
          <w:rFonts w:ascii="Univers" w:eastAsia="Times New Roman" w:hAnsi="Univers" w:cs="Times New Roman"/>
          <w:sz w:val="28"/>
          <w:szCs w:val="28"/>
          <w:lang w:eastAsia="es-MX"/>
        </w:rPr>
        <w:t xml:space="preserve">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821A73">
        <w:rPr>
          <w:rFonts w:ascii="Univers" w:eastAsia="Times New Roman" w:hAnsi="Univers" w:cs="Times New Roman"/>
          <w:i/>
          <w:sz w:val="28"/>
          <w:szCs w:val="28"/>
          <w:lang w:eastAsia="es-MX"/>
        </w:rPr>
        <w:t>Semanario Judicial de la Federación y su Gaceta</w:t>
      </w:r>
      <w:r w:rsidRPr="00821A73">
        <w:rPr>
          <w:rFonts w:ascii="Univers" w:eastAsia="Times New Roman" w:hAnsi="Univers" w:cs="Times New Roman"/>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1586B351"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COSTAS JUDICIALES. ALCANCE DE SU PROHIBICIÓN CONSTITUCIONAL.</w:t>
      </w:r>
      <w:r w:rsidRPr="00821A73">
        <w:rPr>
          <w:rFonts w:ascii="Univers" w:eastAsia="Times New Roman" w:hAnsi="Univers" w:cs="Times New Roman"/>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6B99D6DB"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07D484C0"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821A73">
        <w:rPr>
          <w:rFonts w:ascii="Univers" w:eastAsia="Times New Roman" w:hAnsi="Univers" w:cs="Times New Roman"/>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w:t>
      </w:r>
      <w:r w:rsidRPr="00821A73">
        <w:rPr>
          <w:rFonts w:ascii="Univers" w:eastAsia="Times New Roman" w:hAnsi="Univers" w:cs="Times New Roman"/>
          <w:sz w:val="24"/>
          <w:szCs w:val="24"/>
          <w:lang w:eastAsia="es-MX"/>
        </w:rPr>
        <w:lastRenderedPageBreak/>
        <w:t>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7EF57085"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28EA960E"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COSTAS JUDICIALES, PROHIBICIÓN CONSTITUCIONAL DE LAS.</w:t>
      </w:r>
      <w:r w:rsidRPr="00821A73">
        <w:rPr>
          <w:rFonts w:ascii="Univers" w:eastAsia="Times New Roman" w:hAnsi="Univers" w:cs="Times New Roman"/>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4A8B54C0"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5E3F3665"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JUSTICIA PRONTA Y EXPEDITA. LA OBLIGATORIEDAD DE AGOTAR UN PROCEDIMIENTO CONCILIATORIO, PREVIAMENTE A ACUDIR ANTE LOS TRIBUNALES JUDICIALES, CONTRAVIENE LA GARANTÍA PREVISTA EN EL ARTÍCULO 17 CONSTITUCIONAL.</w:t>
      </w:r>
      <w:r w:rsidRPr="00821A73">
        <w:rPr>
          <w:rFonts w:ascii="Univers" w:eastAsia="Times New Roman" w:hAnsi="Univers" w:cs="Times New Roman"/>
          <w:sz w:val="24"/>
          <w:szCs w:val="24"/>
          <w:lang w:eastAsia="es-MX"/>
        </w:rPr>
        <w:t xml:space="preserve"> El derecho fundamental contenido en el segundo párrafo del artículo 17 de la Constitución Política de los Estados Unidos Mexicanos, adicionado por reforma publicada en el </w:t>
      </w:r>
      <w:r w:rsidRPr="00821A73">
        <w:rPr>
          <w:rFonts w:ascii="Univers" w:eastAsia="Times New Roman" w:hAnsi="Univers" w:cs="Times New Roman"/>
          <w:i/>
          <w:sz w:val="24"/>
          <w:szCs w:val="24"/>
          <w:lang w:eastAsia="es-MX"/>
        </w:rPr>
        <w:t>Diario Oficial de la Federación</w:t>
      </w:r>
      <w:r w:rsidRPr="00821A73">
        <w:rPr>
          <w:rFonts w:ascii="Univers" w:eastAsia="Times New Roman" w:hAnsi="Univers" w:cs="Times New Roman"/>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w:t>
      </w:r>
      <w:r w:rsidRPr="00821A73">
        <w:rPr>
          <w:rFonts w:ascii="Univers" w:eastAsia="Times New Roman" w:hAnsi="Univers" w:cs="Times New Roman"/>
          <w:sz w:val="24"/>
          <w:szCs w:val="24"/>
          <w:lang w:eastAsia="es-MX"/>
        </w:rPr>
        <w:lastRenderedPageBreak/>
        <w:t>retardando o entorpeciendo indefinidamente la función de administrar justicia, estará en contravención con el precepto constitucional aludido.</w:t>
      </w:r>
    </w:p>
    <w:p w14:paraId="3A16A911"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1260CBFE"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GARANTÍA A LA TUTELA JURISDICCIONAL PREVISTA EN EL ARTÍCULO 17 DE LA CONSTITUCIÓN FEDERAL.  SUS ALCANCES.</w:t>
      </w:r>
      <w:r w:rsidRPr="00821A73">
        <w:rPr>
          <w:rFonts w:ascii="Univers" w:eastAsia="Times New Roman" w:hAnsi="Univers" w:cs="Times New Roman"/>
          <w:sz w:val="24"/>
          <w:szCs w:val="24"/>
          <w:lang w:eastAsia="es-MX"/>
        </w:rPr>
        <w:t xml:space="preserve"> El citado precepto constitucional establece cinco garantías, a saber: 1) la prohibición de la </w:t>
      </w:r>
      <w:proofErr w:type="spellStart"/>
      <w:r w:rsidRPr="00821A73">
        <w:rPr>
          <w:rFonts w:ascii="Univers" w:eastAsia="Times New Roman" w:hAnsi="Univers" w:cs="Times New Roman"/>
          <w:sz w:val="24"/>
          <w:szCs w:val="24"/>
          <w:lang w:eastAsia="es-MX"/>
        </w:rPr>
        <w:t>autotutela</w:t>
      </w:r>
      <w:proofErr w:type="spellEnd"/>
      <w:r w:rsidRPr="00821A73">
        <w:rPr>
          <w:rFonts w:ascii="Univers" w:eastAsia="Times New Roman" w:hAnsi="Univers" w:cs="Times New Roman"/>
          <w:sz w:val="24"/>
          <w:szCs w:val="24"/>
          <w:lang w:eastAsia="es-MX"/>
        </w:rPr>
        <w:t xml:space="preserve">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267E8872"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5F454797"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JUSTICIA PRONTA A QUE SE REFIERE EL ARTÍCULO 17 CONSTITUCIONAL.  OBLIGACIÓN DEL LEGISLADOR PARA GARANTIZARLA.</w:t>
      </w:r>
      <w:r w:rsidRPr="00821A73">
        <w:rPr>
          <w:rFonts w:ascii="Univers" w:eastAsia="Times New Roman" w:hAnsi="Univers" w:cs="Times New Roman"/>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w:t>
      </w:r>
      <w:r w:rsidRPr="00821A73">
        <w:rPr>
          <w:rFonts w:ascii="Univers" w:eastAsia="Times New Roman" w:hAnsi="Univers" w:cs="Times New Roman"/>
          <w:sz w:val="24"/>
          <w:szCs w:val="24"/>
          <w:lang w:eastAsia="es-MX"/>
        </w:rPr>
        <w:lastRenderedPageBreak/>
        <w:t>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7FD86550"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p>
    <w:p w14:paraId="2BB398C3" w14:textId="77777777" w:rsidR="00821A73" w:rsidRPr="00821A73" w:rsidRDefault="00821A73" w:rsidP="00821A73">
      <w:pPr>
        <w:spacing w:after="0" w:line="240" w:lineRule="auto"/>
        <w:ind w:right="558"/>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821A73">
        <w:rPr>
          <w:rFonts w:ascii="Univers" w:eastAsia="Times New Roman" w:hAnsi="Univers" w:cs="Times New Roman"/>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proofErr w:type="spellStart"/>
      <w:r w:rsidRPr="00821A73">
        <w:rPr>
          <w:rFonts w:ascii="Univers" w:eastAsia="Times New Roman" w:hAnsi="Univers" w:cs="Times New Roman"/>
          <w:i/>
          <w:sz w:val="24"/>
          <w:szCs w:val="24"/>
          <w:lang w:eastAsia="es-MX"/>
        </w:rPr>
        <w:t>exequendo</w:t>
      </w:r>
      <w:proofErr w:type="spellEnd"/>
      <w:r w:rsidRPr="00821A73">
        <w:rPr>
          <w:rFonts w:ascii="Univers" w:eastAsia="Times New Roman" w:hAnsi="Univers" w:cs="Times New Roman"/>
          <w:sz w:val="24"/>
          <w:szCs w:val="24"/>
          <w:lang w:eastAsia="es-MX"/>
        </w:rPr>
        <w:t>, por dictar provisiones, despachos, exhortos, notas o razones del secretario, así como razones de los funcionarios que practicaban las notificaciones, ya fuera el secretario que la mandaba practicar, o bien, por las razones de los actuarios que las 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23F83D7E" w14:textId="77777777" w:rsidR="00821A73" w:rsidRPr="00821A73" w:rsidRDefault="00821A73" w:rsidP="00821A73">
      <w:pPr>
        <w:spacing w:after="0" w:line="240" w:lineRule="auto"/>
        <w:jc w:val="both"/>
        <w:rPr>
          <w:rFonts w:ascii="Univers" w:eastAsia="Times New Roman" w:hAnsi="Univers" w:cs="Times New Roman"/>
          <w:sz w:val="28"/>
          <w:szCs w:val="28"/>
          <w:lang w:eastAsia="es-MX"/>
        </w:rPr>
      </w:pPr>
    </w:p>
    <w:p w14:paraId="055BDDA6"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conclusión, en el aspecto que interesa destacar para los fines de la presente resolución, el artículo 17 de la Ley Fundamental garantiza a todo individuo el acceso directo e inmediato a los tribunales para la </w:t>
      </w:r>
      <w:r w:rsidRPr="00821A73">
        <w:rPr>
          <w:rFonts w:ascii="Univers" w:eastAsia="Times New Roman" w:hAnsi="Univers" w:cs="Times New Roman"/>
          <w:sz w:val="28"/>
          <w:szCs w:val="28"/>
          <w:lang w:eastAsia="es-MX"/>
        </w:rPr>
        <w:lastRenderedPageBreak/>
        <w:t>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3052D8BC"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Ya se dijo que en la configuración legislativa de los términos y plazos para el acceso y funcionamiento de la jurisdicción debe garantizarse su </w:t>
      </w:r>
      <w:proofErr w:type="spellStart"/>
      <w:r w:rsidRPr="00821A73">
        <w:rPr>
          <w:rFonts w:ascii="Univers" w:eastAsia="Times New Roman" w:hAnsi="Univers" w:cs="Times New Roman"/>
          <w:sz w:val="28"/>
          <w:szCs w:val="28"/>
          <w:lang w:eastAsia="es-MX"/>
        </w:rPr>
        <w:t>expeditez</w:t>
      </w:r>
      <w:proofErr w:type="spellEnd"/>
      <w:r w:rsidRPr="00821A73">
        <w:rPr>
          <w:rFonts w:ascii="Univers" w:eastAsia="Times New Roman" w:hAnsi="Univers" w:cs="Times New Roman"/>
          <w:sz w:val="28"/>
          <w:szCs w:val="28"/>
          <w:lang w:eastAsia="es-MX"/>
        </w:rPr>
        <w:t xml:space="preserve"> a los justiciables, y de esta forma evitarse el establecimiento de requisitos o condiciones injustificados que constituyan obstáculos para acceder en circunstancias óptimas a la impartición de justicia.  </w:t>
      </w:r>
    </w:p>
    <w:p w14:paraId="75517D4F"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revisión constitucional electoral con los números de expediente SUP-JRC-408/2001 y SUP-JRC-429/2001, </w:t>
      </w:r>
      <w:r w:rsidRPr="00821A73">
        <w:rPr>
          <w:rFonts w:ascii="Univers" w:eastAsia="Times New Roman" w:hAnsi="Univers" w:cs="Times New Roman"/>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821A73">
        <w:rPr>
          <w:rFonts w:ascii="Univers" w:eastAsia="Times New Roman" w:hAnsi="Univers" w:cs="Times New Roman"/>
          <w:sz w:val="28"/>
          <w:szCs w:val="28"/>
          <w:lang w:eastAsia="es-MX"/>
        </w:rPr>
        <w:t>[</w:t>
      </w:r>
      <w:proofErr w:type="gramStart"/>
      <w:r w:rsidRPr="00821A73">
        <w:rPr>
          <w:rFonts w:ascii="Univers" w:eastAsia="Times New Roman" w:hAnsi="Univers" w:cs="Times New Roman"/>
          <w:sz w:val="28"/>
          <w:szCs w:val="28"/>
          <w:lang w:eastAsia="es-MX"/>
        </w:rPr>
        <w:t>pues</w:t>
      </w:r>
      <w:proofErr w:type="gramEnd"/>
      <w:r w:rsidRPr="00821A73">
        <w:rPr>
          <w:rFonts w:ascii="Univers" w:eastAsia="Times New Roman" w:hAnsi="Univers" w:cs="Times New Roman"/>
          <w:sz w:val="28"/>
          <w:szCs w:val="28"/>
          <w:lang w:eastAsia="es-MX"/>
        </w:rPr>
        <w:t>]</w:t>
      </w:r>
      <w:r w:rsidRPr="00821A73">
        <w:rPr>
          <w:rFonts w:ascii="Univers" w:eastAsia="Times New Roman" w:hAnsi="Univers" w:cs="Times New Roman"/>
          <w:i/>
          <w:sz w:val="28"/>
          <w:szCs w:val="28"/>
          <w:lang w:eastAsia="es-MX"/>
        </w:rPr>
        <w:t xml:space="preserve"> también los juzgadores pueden producir similares lesiones jurídicas cuando realicen interpretaciones, sobre los requisitos </w:t>
      </w:r>
      <w:r w:rsidRPr="00821A73">
        <w:rPr>
          <w:rFonts w:ascii="Univers" w:eastAsia="Times New Roman" w:hAnsi="Univers" w:cs="Times New Roman"/>
          <w:i/>
          <w:sz w:val="28"/>
          <w:szCs w:val="28"/>
          <w:lang w:eastAsia="es-MX"/>
        </w:rPr>
        <w:lastRenderedPageBreak/>
        <w:t>para acceder o incitar la actividad jurisdiccional, que se aparten del fin perseguido con los mismos o mediante los cuales se pretenda otorgarles dimensiones o alcances que evidentemente no les correspondan…”.</w:t>
      </w:r>
    </w:p>
    <w:p w14:paraId="524137CF"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tal suerte, el derecho fundamental a una tutela jurisdiccional </w:t>
      </w:r>
      <w:r w:rsidRPr="00821A73">
        <w:rPr>
          <w:rFonts w:ascii="Univers" w:eastAsia="Times New Roman" w:hAnsi="Univers" w:cs="Arial"/>
          <w:sz w:val="28"/>
          <w:szCs w:val="28"/>
          <w:lang w:eastAsia="es-MX"/>
        </w:rPr>
        <w:t>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2B06E0A2"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Por su parte, el artículo 2 de la Constitución Política de los Estados Unidos Mexicanos contiene los derechos reconocidos a las colectividades indígenas (pueblos y comunidades) y a sus integrantes, así como otras disposiciones de corte prestacional encaminadas a garantizar y complementar aquellos.</w:t>
      </w:r>
    </w:p>
    <w:p w14:paraId="41E477ED"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821A73">
        <w:rPr>
          <w:rFonts w:ascii="Univers" w:eastAsia="Times New Roman" w:hAnsi="Univers" w:cs="Arial"/>
          <w:i/>
          <w:sz w:val="28"/>
          <w:szCs w:val="28"/>
          <w:lang w:eastAsia="es-MX"/>
        </w:rPr>
        <w:t xml:space="preserve">“Acceder plenamente a la jurisdicción del Estado. Para garantizar ese derecho, en todos los juicios y procedimientos en que sean parte, individual o colectivamente, se deberán tomar en cuenta sus costumbres y especificidades culturales respetando los derechos </w:t>
      </w:r>
      <w:r w:rsidRPr="00821A73">
        <w:rPr>
          <w:rFonts w:ascii="Univers" w:eastAsia="Times New Roman" w:hAnsi="Univers" w:cs="Arial"/>
          <w:i/>
          <w:sz w:val="28"/>
          <w:szCs w:val="28"/>
          <w:lang w:eastAsia="es-MX"/>
        </w:rPr>
        <w:lastRenderedPageBreak/>
        <w:t>de esta Constitución. Los indígenas tienen en todo tiempo el derecho de ser asistidos por intérpretes y defensores que tengan conocimiento de su lengua y cultura”.</w:t>
      </w:r>
    </w:p>
    <w:p w14:paraId="74D9871A"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5820DFA3"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00305F56"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1)</w:t>
      </w:r>
      <w:r w:rsidRPr="00821A73">
        <w:rPr>
          <w:rFonts w:ascii="Univers" w:eastAsia="Times New Roman" w:hAnsi="Univers" w:cs="Arial"/>
          <w:sz w:val="28"/>
          <w:szCs w:val="28"/>
          <w:lang w:eastAsia="es-MX"/>
        </w:rPr>
        <w:t xml:space="preserve">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5AC62807"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2)</w:t>
      </w:r>
      <w:r w:rsidRPr="00821A73">
        <w:rPr>
          <w:rFonts w:ascii="Univers" w:eastAsia="Times New Roman" w:hAnsi="Univers" w:cs="Arial"/>
          <w:sz w:val="28"/>
          <w:szCs w:val="28"/>
          <w:lang w:eastAsia="es-MX"/>
        </w:rPr>
        <w:t xml:space="preserve"> Los indígenas tienen en todo tiempo el derecho a ser asistidos por intérpretes y defensores que tengan conocimiento de su lengua y cultura.</w:t>
      </w:r>
    </w:p>
    <w:p w14:paraId="7EFA80D0"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El derecho constitucional de las colectividades indígenas y de sus miembros a acceder “</w:t>
      </w:r>
      <w:r w:rsidRPr="00821A73">
        <w:rPr>
          <w:rFonts w:ascii="Univers" w:eastAsia="Times New Roman" w:hAnsi="Univers" w:cs="Arial"/>
          <w:i/>
          <w:sz w:val="28"/>
          <w:szCs w:val="28"/>
          <w:lang w:eastAsia="es-MX"/>
        </w:rPr>
        <w:t>plenamente</w:t>
      </w:r>
      <w:r w:rsidRPr="00821A73">
        <w:rPr>
          <w:rFonts w:ascii="Univers" w:eastAsia="Times New Roman" w:hAnsi="Univers" w:cs="Arial"/>
          <w:sz w:val="28"/>
          <w:szCs w:val="28"/>
          <w:lang w:eastAsia="es-MX"/>
        </w:rPr>
        <w:t xml:space="preserve">” a la jurisdicción estatal no se agota mediante el reconocimiento de las dos potestades recién listadas, sino que tiene un contenido normativo más amplio, con alcances de principio estructural del andamiaje constitucional, tal y como se deduce de los </w:t>
      </w:r>
      <w:r w:rsidRPr="00821A73">
        <w:rPr>
          <w:rFonts w:ascii="Univers" w:eastAsia="Times New Roman" w:hAnsi="Univers" w:cs="Arial"/>
          <w:sz w:val="28"/>
          <w:szCs w:val="28"/>
          <w:lang w:eastAsia="es-MX"/>
        </w:rPr>
        <w:lastRenderedPageBreak/>
        <w:t>antecedentes legislativos y de una interpretación funcional de la disposición, entendida en el marco de los derechos sociales y colectivos incorporados al texto de la Ley Fundamental en la reforma de dos mil uno.</w:t>
      </w:r>
    </w:p>
    <w:p w14:paraId="6B2CA5D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821A73">
        <w:rPr>
          <w:rFonts w:ascii="Univers" w:eastAsia="Times New Roman" w:hAnsi="Univers" w:cs="Arial"/>
          <w:i/>
          <w:sz w:val="28"/>
          <w:szCs w:val="28"/>
          <w:lang w:eastAsia="es-MX"/>
        </w:rPr>
        <w:t>Diario Oficial de la Federación</w:t>
      </w:r>
      <w:r w:rsidRPr="00821A73">
        <w:rPr>
          <w:rFonts w:ascii="Univers" w:eastAsia="Times New Roman" w:hAnsi="Univers"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2AE33A1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1)</w:t>
      </w:r>
      <w:r w:rsidRPr="00821A73">
        <w:rPr>
          <w:rFonts w:ascii="Univers" w:eastAsia="Times New Roman" w:hAnsi="Univers" w:cs="Arial"/>
          <w:sz w:val="28"/>
          <w:szCs w:val="28"/>
          <w:lang w:eastAsia="es-MX"/>
        </w:rPr>
        <w:t xml:space="preserve"> La protección y promoción del desarrollo de sus lenguas, culturas, usos, costumbres, recursos y formas específicas, </w:t>
      </w:r>
      <w:r w:rsidRPr="00821A73">
        <w:rPr>
          <w:rFonts w:ascii="Univers" w:eastAsia="Times New Roman" w:hAnsi="Univers" w:cs="Arial"/>
          <w:i/>
          <w:sz w:val="28"/>
          <w:szCs w:val="28"/>
          <w:lang w:eastAsia="es-MX"/>
        </w:rPr>
        <w:t>a través de la ley</w:t>
      </w:r>
      <w:r w:rsidRPr="00821A73">
        <w:rPr>
          <w:rFonts w:ascii="Univers" w:eastAsia="Times New Roman" w:hAnsi="Univers" w:cs="Arial"/>
          <w:sz w:val="28"/>
          <w:szCs w:val="28"/>
          <w:lang w:eastAsia="es-MX"/>
        </w:rPr>
        <w:t>;</w:t>
      </w:r>
    </w:p>
    <w:p w14:paraId="6A38707A"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2)</w:t>
      </w:r>
      <w:r w:rsidRPr="00821A73">
        <w:rPr>
          <w:rFonts w:ascii="Univers" w:eastAsia="Times New Roman" w:hAnsi="Univers" w:cs="Arial"/>
          <w:sz w:val="28"/>
          <w:szCs w:val="28"/>
          <w:lang w:eastAsia="es-MX"/>
        </w:rPr>
        <w:t xml:space="preserve"> Igualmente </w:t>
      </w:r>
      <w:r w:rsidRPr="00821A73">
        <w:rPr>
          <w:rFonts w:ascii="Univers" w:eastAsia="Times New Roman" w:hAnsi="Univers" w:cs="Arial"/>
          <w:i/>
          <w:sz w:val="28"/>
          <w:szCs w:val="28"/>
          <w:lang w:eastAsia="es-MX"/>
        </w:rPr>
        <w:t>por conducto de la ley</w:t>
      </w:r>
      <w:r w:rsidRPr="00821A73">
        <w:rPr>
          <w:rFonts w:ascii="Univers" w:eastAsia="Times New Roman" w:hAnsi="Univers" w:cs="Arial"/>
          <w:sz w:val="28"/>
          <w:szCs w:val="28"/>
          <w:lang w:eastAsia="es-MX"/>
        </w:rPr>
        <w:t>, garantizar a sus integrantes el efectivo acceso a la jurisdicción del Estado, y</w:t>
      </w:r>
    </w:p>
    <w:p w14:paraId="123FD649"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3)</w:t>
      </w:r>
      <w:r w:rsidRPr="00821A73">
        <w:rPr>
          <w:rFonts w:ascii="Univers" w:eastAsia="Times New Roman" w:hAnsi="Univers" w:cs="Arial"/>
          <w:sz w:val="28"/>
          <w:szCs w:val="28"/>
          <w:lang w:eastAsia="es-MX"/>
        </w:rPr>
        <w:t xml:space="preserve"> Tomar en cuenta sus prácticas y costumbres jurídicas en los juicios y procedimientos agrarios en los cuales forman parte, en los términos </w:t>
      </w:r>
      <w:r w:rsidRPr="00821A73">
        <w:rPr>
          <w:rFonts w:ascii="Univers" w:eastAsia="Times New Roman" w:hAnsi="Univers" w:cs="Arial"/>
          <w:i/>
          <w:sz w:val="28"/>
          <w:szCs w:val="28"/>
          <w:lang w:eastAsia="es-MX"/>
        </w:rPr>
        <w:t>en los que estableciera la ley</w:t>
      </w:r>
      <w:r w:rsidRPr="00821A73">
        <w:rPr>
          <w:rFonts w:ascii="Univers" w:eastAsia="Times New Roman" w:hAnsi="Univers" w:cs="Arial"/>
          <w:sz w:val="28"/>
          <w:szCs w:val="28"/>
          <w:lang w:eastAsia="es-MX"/>
        </w:rPr>
        <w:t>.</w:t>
      </w:r>
    </w:p>
    <w:p w14:paraId="360C5974"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estas disposiciones se advierte el deseo del Poder Revisor de la Constitución de que las distintas manifestaciones culturales y sociales de las colectividades indígenas fueran consideradas como bienes </w:t>
      </w:r>
      <w:r w:rsidRPr="00821A73">
        <w:rPr>
          <w:rFonts w:ascii="Univers" w:eastAsia="Times New Roman" w:hAnsi="Univers" w:cs="Arial"/>
          <w:sz w:val="28"/>
          <w:szCs w:val="28"/>
          <w:lang w:eastAsia="es-MX"/>
        </w:rPr>
        <w:lastRenderedPageBreak/>
        <w:t>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12D0940E"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plantea la necesidad de una configuración legal para que se desarrolle la instrumentación de estas prerrogativas y su ejercicio.</w:t>
      </w:r>
    </w:p>
    <w:p w14:paraId="66CC998D"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w:t>
      </w:r>
      <w:proofErr w:type="spellStart"/>
      <w:r w:rsidRPr="00821A73">
        <w:rPr>
          <w:rFonts w:ascii="Univers" w:eastAsia="Times New Roman" w:hAnsi="Univers" w:cs="Arial"/>
          <w:sz w:val="28"/>
          <w:szCs w:val="28"/>
          <w:lang w:eastAsia="es-MX"/>
        </w:rPr>
        <w:t>Larraínzar</w:t>
      </w:r>
      <w:proofErr w:type="spellEnd"/>
      <w:r w:rsidRPr="00821A73">
        <w:rPr>
          <w:rFonts w:ascii="Univers" w:eastAsia="Times New Roman" w:hAnsi="Univers" w:cs="Arial"/>
          <w:sz w:val="28"/>
          <w:szCs w:val="28"/>
          <w:lang w:eastAsia="es-MX"/>
        </w:rPr>
        <w:t xml:space="preserve">, Chiapas, cuatro documentos que coloquialmente se conocen como </w:t>
      </w:r>
      <w:r w:rsidRPr="00821A73">
        <w:rPr>
          <w:rFonts w:ascii="Univers" w:eastAsia="Times New Roman" w:hAnsi="Univers" w:cs="Arial"/>
          <w:i/>
          <w:sz w:val="28"/>
          <w:szCs w:val="28"/>
          <w:lang w:eastAsia="es-MX"/>
        </w:rPr>
        <w:t>“Acuerdos de San Andrés”</w:t>
      </w:r>
      <w:r w:rsidRPr="00821A73">
        <w:rPr>
          <w:rFonts w:ascii="Univers" w:eastAsia="Times New Roman" w:hAnsi="Univers" w:cs="Arial"/>
          <w:sz w:val="28"/>
          <w:szCs w:val="28"/>
          <w:lang w:eastAsia="es-MX"/>
        </w:rPr>
        <w:t xml:space="preserve">. </w:t>
      </w:r>
    </w:p>
    <w:p w14:paraId="522BA677"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w:t>
      </w:r>
      <w:r w:rsidRPr="00821A73">
        <w:rPr>
          <w:rFonts w:ascii="Univers" w:eastAsia="Times New Roman" w:hAnsi="Univers" w:cs="Arial"/>
          <w:sz w:val="28"/>
          <w:szCs w:val="28"/>
          <w:lang w:eastAsia="es-MX"/>
        </w:rPr>
        <w:lastRenderedPageBreak/>
        <w:t>Paz Digna en Chiapas, debe destacarse lo determinado en ellos respecto de la temática que interesa para el presente apartado.</w:t>
      </w:r>
    </w:p>
    <w:p w14:paraId="6F9E00D0"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el </w:t>
      </w:r>
      <w:r w:rsidRPr="00821A73">
        <w:rPr>
          <w:rFonts w:ascii="Univers" w:eastAsia="Times New Roman" w:hAnsi="Univers" w:cs="Arial"/>
          <w:i/>
          <w:sz w:val="28"/>
          <w:szCs w:val="28"/>
          <w:lang w:eastAsia="es-MX"/>
        </w:rPr>
        <w:t>Pronunciamiento Conjunto que el Gobierno Federal y el EZLN enviaron a las Instancias de Debate y Decisión Nacional</w:t>
      </w:r>
      <w:r w:rsidRPr="00821A73">
        <w:rPr>
          <w:rFonts w:ascii="Univers" w:eastAsia="Times New Roman" w:hAnsi="Univers"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1B9226BF" w14:textId="77777777" w:rsidR="00821A73" w:rsidRPr="00821A73" w:rsidRDefault="00821A73" w:rsidP="00821A73">
      <w:pPr>
        <w:spacing w:before="240" w:after="240" w:line="240" w:lineRule="auto"/>
        <w:ind w:right="670"/>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50E5388A" w14:textId="77777777" w:rsidR="00821A73" w:rsidRPr="00821A73" w:rsidRDefault="00821A73" w:rsidP="00821A73">
      <w:pPr>
        <w:spacing w:before="240" w:after="240" w:line="240" w:lineRule="auto"/>
        <w:ind w:right="670"/>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 xml:space="preserve"> </w:t>
      </w:r>
    </w:p>
    <w:p w14:paraId="04B6E71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las </w:t>
      </w:r>
      <w:r w:rsidRPr="00821A73">
        <w:rPr>
          <w:rFonts w:ascii="Univers" w:eastAsia="Times New Roman" w:hAnsi="Univers" w:cs="Arial"/>
          <w:i/>
          <w:sz w:val="28"/>
          <w:szCs w:val="28"/>
          <w:lang w:eastAsia="es-MX"/>
        </w:rPr>
        <w:t>Propuestas Conjuntas que el Gobierno Federal y el EZLN se comprometieron a enviar a las Instancias de Debate y Decisión Nacional, correspondientes al Punto 1.4 de las Reglas de Procedimiento</w:t>
      </w:r>
      <w:r w:rsidRPr="00821A73">
        <w:rPr>
          <w:rFonts w:ascii="Univers" w:eastAsia="Times New Roman" w:hAnsi="Univers"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77CC38D7"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consideraran los principales derechos objeto de la referida autonomía y se establecieron las modalidades requeridas para asegurar su libre </w:t>
      </w:r>
      <w:r w:rsidRPr="00821A73">
        <w:rPr>
          <w:rFonts w:ascii="Univers" w:eastAsia="Times New Roman" w:hAnsi="Univers" w:cs="Arial"/>
          <w:sz w:val="28"/>
          <w:szCs w:val="28"/>
          <w:lang w:eastAsia="es-MX"/>
        </w:rPr>
        <w:lastRenderedPageBreak/>
        <w:t xml:space="preserve">ejercicio. Entre los derechos en cuestión se destaca, en el inciso c), el de </w:t>
      </w:r>
      <w:r w:rsidRPr="00821A73">
        <w:rPr>
          <w:rFonts w:ascii="Univers" w:eastAsia="Times New Roman" w:hAnsi="Univers" w:cs="Arial"/>
          <w:i/>
          <w:sz w:val="28"/>
          <w:szCs w:val="28"/>
          <w:lang w:eastAsia="es-MX"/>
        </w:rPr>
        <w:t>“acceder de mejor manera a la jurisdicción del Estado”</w:t>
      </w:r>
      <w:r w:rsidRPr="00821A73">
        <w:rPr>
          <w:rFonts w:ascii="Univers" w:eastAsia="Times New Roman" w:hAnsi="Univers" w:cs="Arial"/>
          <w:sz w:val="28"/>
          <w:szCs w:val="28"/>
          <w:lang w:eastAsia="es-MX"/>
        </w:rPr>
        <w:t>. De forma más prolija, el apartado III contiene las propuestas relacionadas con el acceso pleno a la justicia, de la siguiente forma (énfasis añadido):</w:t>
      </w:r>
    </w:p>
    <w:p w14:paraId="70AD87FD" w14:textId="77777777" w:rsidR="00821A73" w:rsidRPr="00821A73" w:rsidRDefault="00821A73" w:rsidP="00821A73">
      <w:pPr>
        <w:spacing w:before="120" w:after="120" w:line="240" w:lineRule="auto"/>
        <w:ind w:right="669"/>
        <w:jc w:val="both"/>
        <w:rPr>
          <w:rFonts w:ascii="Univers" w:eastAsia="Times New Roman" w:hAnsi="Univers" w:cs="Arial"/>
          <w:sz w:val="24"/>
          <w:szCs w:val="24"/>
          <w:lang w:eastAsia="es-MX"/>
        </w:rPr>
      </w:pPr>
      <w:r w:rsidRPr="00821A73">
        <w:rPr>
          <w:rFonts w:ascii="Univers" w:eastAsia="Times New Roman" w:hAnsi="Univers" w:cs="Arial"/>
          <w:b/>
          <w:sz w:val="24"/>
          <w:szCs w:val="24"/>
          <w:lang w:eastAsia="es-MX"/>
        </w:rPr>
        <w:t>2. Garantía de acceso pleno a la justicia</w:t>
      </w:r>
      <w:r w:rsidRPr="00821A73">
        <w:rPr>
          <w:rFonts w:ascii="Univers" w:eastAsia="Times New Roman" w:hAnsi="Univers"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4C46E6BA" w14:textId="77777777" w:rsidR="00821A73" w:rsidRPr="00821A73" w:rsidRDefault="00821A73" w:rsidP="00821A73">
      <w:pPr>
        <w:spacing w:before="120" w:after="120" w:line="240" w:lineRule="auto"/>
        <w:ind w:right="669"/>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El reconocimiento de espacios jurisdiccionales a las autoridades designadas en el seno de las comunidades, pueblos indígenas y municipios, a partir de una redistribución de competencias del fuero estatal, para que dichas autoridades estén en aptitud de dirimir las controversias internas de convivencia, cuyo conocimiento y resolución impliquen una mejor procuración e impartición de justicia.</w:t>
      </w:r>
    </w:p>
    <w:p w14:paraId="570E441D" w14:textId="77777777" w:rsidR="00821A73" w:rsidRPr="00821A73" w:rsidRDefault="00821A73" w:rsidP="00821A73">
      <w:pPr>
        <w:spacing w:before="120" w:after="120" w:line="240" w:lineRule="auto"/>
        <w:ind w:right="669"/>
        <w:jc w:val="both"/>
        <w:rPr>
          <w:rFonts w:ascii="Univers" w:eastAsia="Times New Roman" w:hAnsi="Univers" w:cs="Arial"/>
          <w:b/>
          <w:sz w:val="24"/>
          <w:szCs w:val="24"/>
          <w:lang w:eastAsia="es-MX"/>
        </w:rPr>
      </w:pPr>
      <w:r w:rsidRPr="00821A73">
        <w:rPr>
          <w:rFonts w:ascii="Univers" w:eastAsia="Times New Roman" w:hAnsi="Univers" w:cs="Arial"/>
          <w:b/>
          <w:sz w:val="24"/>
          <w:szCs w:val="24"/>
          <w:lang w:eastAsia="es-MX"/>
        </w:rPr>
        <w:t xml:space="preserve">La marginación en que viven los pueblos indígenas y las condiciones de desventaja en las que acceden al sistema de impartición y procuración de justicia, plantean la necesidad de una profunda revisión del marco jurídico federal y estatal, a fin de </w:t>
      </w:r>
      <w:proofErr w:type="spellStart"/>
      <w:r w:rsidRPr="00821A73">
        <w:rPr>
          <w:rFonts w:ascii="Univers" w:eastAsia="Times New Roman" w:hAnsi="Univers" w:cs="Arial"/>
          <w:b/>
          <w:sz w:val="24"/>
          <w:szCs w:val="24"/>
          <w:lang w:eastAsia="es-MX"/>
        </w:rPr>
        <w:t>regarantizar</w:t>
      </w:r>
      <w:proofErr w:type="spellEnd"/>
      <w:r w:rsidRPr="00821A73">
        <w:rPr>
          <w:rFonts w:ascii="Univers" w:eastAsia="Times New Roman" w:hAnsi="Univers" w:cs="Arial"/>
          <w:b/>
          <w:sz w:val="24"/>
          <w:szCs w:val="24"/>
          <w:lang w:eastAsia="es-MX"/>
        </w:rPr>
        <w:t xml:space="preserve"> el efectivo acceso de los pueblos indígenas y, en su caso, de sus integrantes a la jurisdicción del Estado, y con ello evitar una parcial impartición de justicia en detrimento de este sector de la población.</w:t>
      </w:r>
    </w:p>
    <w:p w14:paraId="5957DE81" w14:textId="77777777" w:rsidR="00821A73" w:rsidRPr="00821A73" w:rsidRDefault="00821A73" w:rsidP="00821A73">
      <w:pPr>
        <w:spacing w:before="120" w:after="120" w:line="240" w:lineRule="auto"/>
        <w:ind w:right="669"/>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1AFFF021" w14:textId="77777777" w:rsidR="00821A73" w:rsidRPr="00821A73" w:rsidRDefault="00821A73" w:rsidP="00821A73">
      <w:pPr>
        <w:spacing w:before="240" w:after="240" w:line="240" w:lineRule="auto"/>
        <w:ind w:right="669"/>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67ABDFBA"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47B2D62F" w14:textId="77777777" w:rsidR="00821A73" w:rsidRPr="00821A73" w:rsidRDefault="00821A73" w:rsidP="00821A73">
      <w:pPr>
        <w:spacing w:before="240" w:after="240" w:line="240" w:lineRule="auto"/>
        <w:ind w:right="670"/>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32CFAD54" w14:textId="77777777" w:rsidR="00821A73" w:rsidRPr="00821A73" w:rsidRDefault="00821A73" w:rsidP="00821A73">
      <w:pPr>
        <w:spacing w:before="240" w:after="240" w:line="240" w:lineRule="auto"/>
        <w:ind w:right="670"/>
        <w:jc w:val="both"/>
        <w:rPr>
          <w:rFonts w:ascii="Univers" w:eastAsia="Times New Roman" w:hAnsi="Univers" w:cs="Arial"/>
          <w:sz w:val="2"/>
          <w:szCs w:val="2"/>
          <w:lang w:eastAsia="es-MX"/>
        </w:rPr>
      </w:pPr>
    </w:p>
    <w:p w14:paraId="64394AB4"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04F3B768" w14:textId="77777777" w:rsidR="00821A73" w:rsidRPr="00821A73" w:rsidRDefault="00821A73" w:rsidP="00821A73">
      <w:pPr>
        <w:spacing w:before="240" w:after="240" w:line="240" w:lineRule="auto"/>
        <w:ind w:right="670"/>
        <w:jc w:val="both"/>
        <w:rPr>
          <w:rFonts w:ascii="Univers" w:eastAsia="Times New Roman" w:hAnsi="Univers" w:cs="Arial"/>
          <w:sz w:val="24"/>
          <w:szCs w:val="24"/>
          <w:lang w:eastAsia="es-MX"/>
        </w:rPr>
      </w:pPr>
      <w:r w:rsidRPr="00821A73">
        <w:rPr>
          <w:rFonts w:ascii="Univers" w:eastAsia="Times New Roman" w:hAnsi="Univers"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14CFC65C" w14:textId="77777777" w:rsidR="00821A73" w:rsidRPr="00821A73" w:rsidRDefault="00821A73" w:rsidP="00821A73">
      <w:pPr>
        <w:spacing w:before="240" w:after="240" w:line="240" w:lineRule="auto"/>
        <w:ind w:right="670"/>
        <w:jc w:val="both"/>
        <w:rPr>
          <w:rFonts w:ascii="Univers" w:eastAsia="Times New Roman" w:hAnsi="Univers" w:cs="Arial"/>
          <w:sz w:val="2"/>
          <w:szCs w:val="2"/>
          <w:lang w:eastAsia="es-MX"/>
        </w:rPr>
      </w:pPr>
    </w:p>
    <w:p w14:paraId="01F96608"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Conforme ambas propuestas, en lo esencial, se pretendía establecer como mecanismos idóneos para garantizar el acceso </w:t>
      </w:r>
      <w:r w:rsidRPr="00821A73">
        <w:rPr>
          <w:rFonts w:ascii="Univers" w:eastAsia="Times New Roman" w:hAnsi="Univers" w:cs="Arial"/>
          <w:i/>
          <w:sz w:val="28"/>
          <w:szCs w:val="28"/>
          <w:lang w:eastAsia="es-MX"/>
        </w:rPr>
        <w:t>“pleno”</w:t>
      </w:r>
      <w:r w:rsidRPr="00821A73">
        <w:rPr>
          <w:rFonts w:ascii="Univers" w:eastAsia="Times New Roman" w:hAnsi="Univers"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w:t>
      </w:r>
      <w:r w:rsidRPr="00821A73">
        <w:rPr>
          <w:rFonts w:ascii="Univers" w:eastAsia="Times New Roman" w:hAnsi="Univers" w:cs="Arial"/>
          <w:sz w:val="28"/>
          <w:szCs w:val="28"/>
          <w:lang w:eastAsia="es-MX"/>
        </w:rPr>
        <w:lastRenderedPageBreak/>
        <w:t>ser asistidos en todo tiempo por intérpretes y defensores que tengan conocimiento de su lengua y cultura.</w:t>
      </w:r>
    </w:p>
    <w:p w14:paraId="57CBF3A2"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821A73">
        <w:rPr>
          <w:rFonts w:ascii="Univers" w:eastAsia="Times New Roman" w:hAnsi="Univers" w:cs="Arial"/>
          <w:i/>
          <w:sz w:val="28"/>
          <w:szCs w:val="28"/>
          <w:lang w:eastAsia="es-MX"/>
        </w:rPr>
        <w:t>ad hoc</w:t>
      </w:r>
      <w:r w:rsidRPr="00821A73">
        <w:rPr>
          <w:rFonts w:ascii="Univers" w:eastAsia="Times New Roman" w:hAnsi="Univers" w:cs="Arial"/>
          <w:sz w:val="28"/>
          <w:szCs w:val="28"/>
          <w:lang w:eastAsia="es-MX"/>
        </w:rPr>
        <w:t>, difícilmente podría alcanzar.</w:t>
      </w:r>
    </w:p>
    <w:p w14:paraId="464E6692"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w:t>
      </w:r>
      <w:r w:rsidRPr="00821A73">
        <w:rPr>
          <w:rFonts w:ascii="Univers" w:eastAsia="Times New Roman" w:hAnsi="Univers" w:cs="Times New Roman"/>
          <w:sz w:val="28"/>
          <w:szCs w:val="28"/>
          <w:lang w:eastAsia="es-MX"/>
        </w:rPr>
        <w:lastRenderedPageBreak/>
        <w:t>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48C1BBEA"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su parte, la iniciativa de reformas y adiciones presentada el veintiséis de marzo de mil novecientos noventa y ocho, por el grupo parlamentario del Partido Verde Ecologista de México en la Cámara de Diputados del Congreso de la Unión, calificó de </w:t>
      </w:r>
      <w:r w:rsidRPr="00821A73">
        <w:rPr>
          <w:rFonts w:ascii="Univers" w:eastAsia="Times New Roman" w:hAnsi="Univers" w:cs="Times New Roman"/>
          <w:i/>
          <w:sz w:val="28"/>
          <w:szCs w:val="28"/>
          <w:lang w:eastAsia="es-MX"/>
        </w:rPr>
        <w:t xml:space="preserve">“lamentable la inaccesibilidad de muchos indígenas a la justicia en el país, </w:t>
      </w:r>
      <w:r w:rsidRPr="00821A73">
        <w:rPr>
          <w:rFonts w:ascii="Univers" w:eastAsia="Times New Roman" w:hAnsi="Univers" w:cs="Times New Roman"/>
          <w:sz w:val="28"/>
          <w:szCs w:val="28"/>
          <w:lang w:eastAsia="es-MX"/>
        </w:rPr>
        <w:t>y agregó:</w:t>
      </w:r>
      <w:r w:rsidRPr="00821A73">
        <w:rPr>
          <w:rFonts w:ascii="Univers" w:eastAsia="Times New Roman" w:hAnsi="Univers" w:cs="Times New Roman"/>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4B52E7C8"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w:t>
      </w:r>
      <w:proofErr w:type="spellStart"/>
      <w:r w:rsidRPr="00821A73">
        <w:rPr>
          <w:rFonts w:ascii="Univers" w:eastAsia="Times New Roman" w:hAnsi="Univers" w:cs="Times New Roman"/>
          <w:sz w:val="28"/>
          <w:szCs w:val="28"/>
          <w:lang w:eastAsia="es-MX"/>
        </w:rPr>
        <w:t>interpretes</w:t>
      </w:r>
      <w:proofErr w:type="spellEnd"/>
      <w:r w:rsidRPr="00821A73">
        <w:rPr>
          <w:rFonts w:ascii="Univers" w:eastAsia="Times New Roman" w:hAnsi="Univers" w:cs="Times New Roman"/>
          <w:sz w:val="28"/>
          <w:szCs w:val="28"/>
          <w:lang w:eastAsia="es-MX"/>
        </w:rPr>
        <w:t xml:space="preserve"> o defensores, particulares o de oficio, que tengan conocimiento de su lengua.</w:t>
      </w:r>
    </w:p>
    <w:p w14:paraId="4692D373"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821A73">
        <w:rPr>
          <w:rFonts w:ascii="Univers" w:eastAsia="Times New Roman" w:hAnsi="Univers" w:cs="Times New Roman"/>
          <w:i/>
          <w:sz w:val="28"/>
          <w:szCs w:val="28"/>
          <w:lang w:eastAsia="es-MX"/>
        </w:rPr>
        <w:t>“a las instalaciones de representación política, a los recursos materiales, a la defensa jurídica, a la educación, así como a la protección de derechos compatibles con sus usos y costumbres y, en general, con su especificidad cultural”</w:t>
      </w:r>
      <w:r w:rsidRPr="00821A73">
        <w:rPr>
          <w:rFonts w:ascii="Univers" w:eastAsia="Times New Roman" w:hAnsi="Univers" w:cs="Times New Roman"/>
          <w:sz w:val="28"/>
          <w:szCs w:val="28"/>
          <w:lang w:eastAsia="es-MX"/>
        </w:rPr>
        <w:t>.</w:t>
      </w:r>
    </w:p>
    <w:p w14:paraId="09C6BCEB"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284A4A8E"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Como ya se dijo, en el apartado A del artículo 2 de la Ley Fundamental reconoce una serie de derechos a favor de las colectividades indígenas </w:t>
      </w:r>
      <w:r w:rsidRPr="00821A73">
        <w:rPr>
          <w:rFonts w:ascii="Univers" w:eastAsia="Times New Roman" w:hAnsi="Univers" w:cs="Times New Roman"/>
          <w:sz w:val="28"/>
          <w:szCs w:val="28"/>
          <w:lang w:eastAsia="es-MX"/>
        </w:rPr>
        <w:lastRenderedPageBreak/>
        <w:t>y de sus miembros, y en la fracción VIII se trata lo relativo al acceso a la jurisdicción del estado por parte de aquéllos.</w:t>
      </w:r>
    </w:p>
    <w:p w14:paraId="451AF27E"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concretos para hacer efectivo dicho derecho, sino que, por el contrario, en forma directa la propia Constitución lo reconoce, por lo que se trata de un derecho fundamental directamente exigible.</w:t>
      </w:r>
    </w:p>
    <w:p w14:paraId="35D59B80"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w:t>
      </w:r>
      <w:r w:rsidRPr="00821A73">
        <w:rPr>
          <w:rFonts w:ascii="Univers" w:eastAsia="Times New Roman" w:hAnsi="Univers" w:cs="Times New Roman"/>
          <w:sz w:val="28"/>
          <w:szCs w:val="28"/>
          <w:lang w:eastAsia="es-MX"/>
        </w:rPr>
        <w:lastRenderedPageBreak/>
        <w:t>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5EBB3B2A" w14:textId="77777777" w:rsidR="00821A73" w:rsidRPr="00821A73" w:rsidRDefault="00821A73" w:rsidP="00821A73">
      <w:pPr>
        <w:spacing w:before="240" w:after="240"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4FD9A6E7"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w:t>
      </w:r>
      <w:r w:rsidRPr="00821A73">
        <w:rPr>
          <w:rFonts w:ascii="Univers" w:eastAsia="Times New Roman" w:hAnsi="Univers" w:cs="Arial"/>
          <w:sz w:val="28"/>
          <w:szCs w:val="28"/>
          <w:lang w:eastAsia="es-MX"/>
        </w:rPr>
        <w:lastRenderedPageBreak/>
        <w:t>sus efectos dentro del sistema, porque no se incluyeron inútilmente, de modo que el juzgador sólo podría apartarse de una directriz cuando quede demostrado en forma evidente lo contrario.</w:t>
      </w:r>
    </w:p>
    <w:p w14:paraId="6BE4D44A"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Conforme lo expuesto, las normas dictadas por el legislador (primario o secundario) no son superfluas, sino que todas y cada una tienen una utilidad, salvo prueba evidente en contrario (es decir, una vez agotadas las posibilidades de su interpretación armónica en el contexto del ordenamiento en su conjunto), pues sólo de esta forma se puede considerar que el sistema que las contiene es completo, coherente y claro.</w:t>
      </w:r>
    </w:p>
    <w:p w14:paraId="44B11C0F"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w:t>
      </w:r>
      <w:r w:rsidRPr="00821A73">
        <w:rPr>
          <w:rFonts w:ascii="Univers" w:eastAsia="Times New Roman" w:hAnsi="Univers" w:cs="Arial"/>
          <w:sz w:val="28"/>
          <w:szCs w:val="28"/>
          <w:lang w:eastAsia="es-MX"/>
        </w:rPr>
        <w:lastRenderedPageBreak/>
        <w:t>normativo genérico durante el procedimiento de reformas a la Carta Magna, según se ha puesto de manifiesto.</w:t>
      </w:r>
    </w:p>
    <w:p w14:paraId="598E4AFB"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Tribunal Electoral del Poder Judicial de la Federación al resolver el diverso juicio para la protección de los derechos político-electorales del ciudadano con la clave de expediente SUP-JDC-13/2002, en sesión de cinco de junio de dos mil dos.</w:t>
      </w:r>
    </w:p>
    <w:p w14:paraId="42DF6FBA" w14:textId="77777777" w:rsidR="00821A73" w:rsidRPr="00821A73" w:rsidRDefault="00821A73" w:rsidP="00821A73">
      <w:pPr>
        <w:spacing w:before="240" w:after="240" w:line="360" w:lineRule="auto"/>
        <w:jc w:val="both"/>
        <w:rPr>
          <w:rFonts w:ascii="Univers" w:eastAsia="Times New Roman" w:hAnsi="Univers" w:cs="Times New Roman"/>
          <w:sz w:val="28"/>
          <w:szCs w:val="24"/>
          <w:lang w:eastAsia="es-ES"/>
        </w:rPr>
      </w:pPr>
      <w:r w:rsidRPr="00821A73">
        <w:rPr>
          <w:rFonts w:ascii="Univers" w:eastAsia="Times New Roman" w:hAnsi="Univers" w:cs="Times New Roman"/>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821A73">
        <w:rPr>
          <w:rFonts w:ascii="Univers" w:eastAsia="Times New Roman" w:hAnsi="Univers" w:cs="Times New Roman"/>
          <w:sz w:val="28"/>
          <w:szCs w:val="24"/>
          <w:lang w:eastAsia="es-ES"/>
        </w:rPr>
        <w:t>complementadora</w:t>
      </w:r>
      <w:proofErr w:type="spellEnd"/>
      <w:r w:rsidRPr="00821A73">
        <w:rPr>
          <w:rFonts w:ascii="Univers" w:eastAsia="Times New Roman" w:hAnsi="Univers" w:cs="Times New Roman"/>
          <w:sz w:val="28"/>
          <w:szCs w:val="24"/>
          <w:lang w:eastAsia="es-ES"/>
        </w:rPr>
        <w:t xml:space="preserve"> del reconocimiento igualitario de un sistema de derechos al que una sociedad mínimamente justa no puede renunciar.</w:t>
      </w:r>
    </w:p>
    <w:p w14:paraId="10CE05AB" w14:textId="77777777" w:rsidR="00821A73" w:rsidRPr="00821A73" w:rsidRDefault="00821A73" w:rsidP="00821A73">
      <w:pPr>
        <w:spacing w:before="240" w:after="240" w:line="360" w:lineRule="auto"/>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lastRenderedPageBreak/>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4ABC3575"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315B962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ES"/>
        </w:rPr>
      </w:pPr>
      <w:r w:rsidRPr="00821A73">
        <w:rPr>
          <w:rFonts w:ascii="Univers" w:eastAsia="Times New Roman" w:hAnsi="Univers" w:cs="Times New Roman"/>
          <w:sz w:val="28"/>
          <w:szCs w:val="24"/>
          <w:lang w:eastAsia="es-ES"/>
        </w:rPr>
        <w:t xml:space="preserve">Desde esta óptica, queda claro que la incorporación constitucional de derechos a estos sujetos no equivale a pretender crear un ámbito jurídico propio y exclusivo de la realidad indígena, </w:t>
      </w:r>
      <w:proofErr w:type="gramStart"/>
      <w:r w:rsidRPr="00821A73">
        <w:rPr>
          <w:rFonts w:ascii="Univers" w:eastAsia="Times New Roman" w:hAnsi="Univers" w:cs="Times New Roman"/>
          <w:sz w:val="28"/>
          <w:szCs w:val="24"/>
          <w:lang w:eastAsia="es-ES"/>
        </w:rPr>
        <w:t>desvinculado</w:t>
      </w:r>
      <w:proofErr w:type="gramEnd"/>
      <w:r w:rsidRPr="00821A73">
        <w:rPr>
          <w:rFonts w:ascii="Univers" w:eastAsia="Times New Roman" w:hAnsi="Univers" w:cs="Times New Roman"/>
          <w:sz w:val="28"/>
          <w:szCs w:val="24"/>
          <w:lang w:eastAsia="es-ES"/>
        </w:rPr>
        <w:t xml:space="preserve"> del </w:t>
      </w:r>
      <w:r w:rsidRPr="00821A73">
        <w:rPr>
          <w:rFonts w:ascii="Univers" w:eastAsia="Times New Roman" w:hAnsi="Univers" w:cs="Times New Roman"/>
          <w:sz w:val="28"/>
          <w:szCs w:val="24"/>
          <w:lang w:eastAsia="es-ES"/>
        </w:rPr>
        <w:lastRenderedPageBreak/>
        <w:t>ordenamiento jurídico general, ni perpetuar o reinstaurar viejas desigualdades propias de los viejos colonialismos.</w:t>
      </w:r>
    </w:p>
    <w:p w14:paraId="219C4F67"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ES"/>
        </w:rPr>
      </w:pPr>
      <w:r w:rsidRPr="00821A73">
        <w:rPr>
          <w:rFonts w:ascii="Univers" w:eastAsia="Times New Roman" w:hAnsi="Univers" w:cs="Times New Roman"/>
          <w:sz w:val="28"/>
          <w:szCs w:val="24"/>
          <w:lang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049EF837"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ES"/>
        </w:rPr>
      </w:pPr>
      <w:r w:rsidRPr="00821A73">
        <w:rPr>
          <w:rFonts w:ascii="Univers" w:eastAsia="Times New Roman" w:hAnsi="Univers" w:cs="Times New Roman"/>
          <w:sz w:val="28"/>
          <w:szCs w:val="24"/>
          <w:lang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w:t>
      </w:r>
      <w:r w:rsidRPr="00821A73">
        <w:rPr>
          <w:rFonts w:ascii="Univers" w:eastAsia="Times New Roman" w:hAnsi="Univers" w:cs="Times New Roman"/>
          <w:sz w:val="28"/>
          <w:szCs w:val="24"/>
          <w:lang w:eastAsia="es-ES"/>
        </w:rPr>
        <w:lastRenderedPageBreak/>
        <w:t>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61A508A1"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1349009A"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72A8CDF0"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lastRenderedPageBreak/>
        <w:t>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50F160A7"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Como se ha recalcado en los párrafos precedentes, el derecho a acceder plenamente a la jurisdicción estatal no se agota con las dos 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5715D93B"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lastRenderedPageBreak/>
        <w:t>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7C3BA23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constitucional de mérito en la tramitación y resolución de los asuntos que conozca, como ocurre con el presente juicio para la protección de los derechos político-electorales del ciudadano.</w:t>
      </w:r>
    </w:p>
    <w:p w14:paraId="16CB2CDE"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w:t>
      </w:r>
      <w:r w:rsidRPr="00821A73">
        <w:rPr>
          <w:rFonts w:ascii="Univers" w:eastAsia="Times New Roman" w:hAnsi="Univers" w:cs="Times New Roman"/>
          <w:sz w:val="28"/>
          <w:szCs w:val="24"/>
          <w:lang w:eastAsia="es-MX"/>
        </w:rPr>
        <w:lastRenderedPageBreak/>
        <w:t>jurisdicción estatal electoral de carácter federal, ni que tales medidas aún no se hayan incorporado, con carácter genérico, en algún otro ordenamiento del mismo ámbito.</w:t>
      </w:r>
    </w:p>
    <w:p w14:paraId="0B84F121"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06234679"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w:t>
      </w:r>
      <w:r w:rsidRPr="00821A73">
        <w:rPr>
          <w:rFonts w:ascii="Univers" w:eastAsia="Times New Roman" w:hAnsi="Univers" w:cs="Times New Roman"/>
          <w:sz w:val="28"/>
          <w:szCs w:val="24"/>
          <w:lang w:eastAsia="es-MX"/>
        </w:rPr>
        <w:lastRenderedPageBreak/>
        <w:t>mediar esa relación en forma clara, se trate de mecanismos o instrumentos que respondan a igual o semejante finalidad, pues en este caso, por virtud del principio de completitud, se justificaría su adopción por existir, en lo sustancial, las mismas razones.</w:t>
      </w:r>
    </w:p>
    <w:p w14:paraId="12534E60"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Sobre esta base, debe recordarse que en nuestro país está vigente el </w:t>
      </w:r>
      <w:r w:rsidRPr="00821A73">
        <w:rPr>
          <w:rFonts w:ascii="Univers" w:eastAsia="Times New Roman" w:hAnsi="Univers" w:cs="Times New Roman"/>
          <w:i/>
          <w:sz w:val="28"/>
          <w:szCs w:val="24"/>
          <w:lang w:eastAsia="es-MX"/>
        </w:rPr>
        <w:t xml:space="preserve">Convenio 169 de la Organización Internacional del Trabajo, Sobre Pueblos Indígenas y Tribales en Países Independientes, </w:t>
      </w:r>
      <w:r w:rsidRPr="00821A73">
        <w:rPr>
          <w:rFonts w:ascii="Univers" w:eastAsia="Times New Roman" w:hAnsi="Univers" w:cs="Times New Roman"/>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821A73">
        <w:rPr>
          <w:rFonts w:ascii="Univers" w:eastAsia="Times New Roman" w:hAnsi="Univers" w:cs="Times New Roman"/>
          <w:i/>
          <w:sz w:val="28"/>
          <w:szCs w:val="24"/>
          <w:lang w:eastAsia="es-MX"/>
        </w:rPr>
        <w:t>Diario Oficial de la Federación</w:t>
      </w:r>
      <w:r w:rsidRPr="00821A73">
        <w:rPr>
          <w:rFonts w:ascii="Univers" w:eastAsia="Times New Roman" w:hAnsi="Univers" w:cs="Times New Roman"/>
          <w:sz w:val="28"/>
          <w:szCs w:val="24"/>
          <w:lang w:eastAsia="es-MX"/>
        </w:rPr>
        <w:t xml:space="preserve"> el veinticuatro de enero de mil novecientos noventa y uno. Entre sus disposiciones se encuentran las siguientes:</w:t>
      </w:r>
    </w:p>
    <w:p w14:paraId="20F2781E"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b/>
          <w:sz w:val="28"/>
          <w:szCs w:val="24"/>
          <w:lang w:eastAsia="es-MX"/>
        </w:rPr>
        <w:t>1)</w:t>
      </w:r>
      <w:r w:rsidRPr="00821A73">
        <w:rPr>
          <w:rFonts w:ascii="Univers" w:eastAsia="Times New Roman" w:hAnsi="Univers" w:cs="Times New Roman"/>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821A73">
        <w:rPr>
          <w:rFonts w:ascii="Univers" w:eastAsia="Times New Roman" w:hAnsi="Univers" w:cs="Times New Roman"/>
          <w:b/>
          <w:sz w:val="28"/>
          <w:szCs w:val="24"/>
          <w:lang w:eastAsia="es-MX"/>
        </w:rPr>
        <w:t>a)</w:t>
      </w:r>
      <w:r w:rsidRPr="00821A73">
        <w:rPr>
          <w:rFonts w:ascii="Univers" w:eastAsia="Times New Roman" w:hAnsi="Univers" w:cs="Times New Roman"/>
          <w:sz w:val="28"/>
          <w:szCs w:val="24"/>
          <w:lang w:eastAsia="es-MX"/>
        </w:rPr>
        <w:t xml:space="preserve"> aseguren a sus integrantes gozar, en pie de igualdad, de los derechos y oportunidades que la legislación nacional otorgue a los demás miembros de la población, </w:t>
      </w:r>
      <w:r w:rsidRPr="00821A73">
        <w:rPr>
          <w:rFonts w:ascii="Univers" w:eastAsia="Times New Roman" w:hAnsi="Univers" w:cs="Times New Roman"/>
          <w:b/>
          <w:sz w:val="28"/>
          <w:szCs w:val="24"/>
          <w:lang w:eastAsia="es-MX"/>
        </w:rPr>
        <w:t>b)</w:t>
      </w:r>
      <w:r w:rsidRPr="00821A73">
        <w:rPr>
          <w:rFonts w:ascii="Univers" w:eastAsia="Times New Roman" w:hAnsi="Univers" w:cs="Times New Roman"/>
          <w:sz w:val="28"/>
          <w:szCs w:val="24"/>
          <w:lang w:eastAsia="es-MX"/>
        </w:rPr>
        <w:t xml:space="preserve"> promuevan la plena efectividad de sus derechos sociales, económicos y culturales, con pleno respeto a su identidad social y cultural, sus tradiciones y costumbres, y sus instituciones, y </w:t>
      </w:r>
      <w:r w:rsidRPr="00821A73">
        <w:rPr>
          <w:rFonts w:ascii="Univers" w:eastAsia="Times New Roman" w:hAnsi="Univers" w:cs="Times New Roman"/>
          <w:b/>
          <w:sz w:val="28"/>
          <w:szCs w:val="24"/>
          <w:lang w:eastAsia="es-MX"/>
        </w:rPr>
        <w:t>c)</w:t>
      </w:r>
      <w:r w:rsidRPr="00821A73">
        <w:rPr>
          <w:rFonts w:ascii="Univers" w:eastAsia="Times New Roman" w:hAnsi="Univers" w:cs="Times New Roman"/>
          <w:sz w:val="28"/>
          <w:szCs w:val="24"/>
          <w:lang w:eastAsia="es-MX"/>
        </w:rPr>
        <w:t xml:space="preserve"> ayuden a sus miembros a eliminar las diferencias socioeconómicas existentes respecto del resto de la población (artículo 2);</w:t>
      </w:r>
    </w:p>
    <w:p w14:paraId="10F6D611"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b/>
          <w:sz w:val="28"/>
          <w:szCs w:val="24"/>
          <w:lang w:eastAsia="es-MX"/>
        </w:rPr>
        <w:t>2)</w:t>
      </w:r>
      <w:r w:rsidRPr="00821A73">
        <w:rPr>
          <w:rFonts w:ascii="Univers" w:eastAsia="Times New Roman" w:hAnsi="Univers" w:cs="Times New Roman"/>
          <w:sz w:val="28"/>
          <w:szCs w:val="24"/>
          <w:lang w:eastAsia="es-MX"/>
        </w:rPr>
        <w:t xml:space="preserve"> La obligación de adoptar las </w:t>
      </w:r>
      <w:r w:rsidRPr="00821A73">
        <w:rPr>
          <w:rFonts w:ascii="Univers" w:eastAsia="Times New Roman" w:hAnsi="Univers" w:cs="Times New Roman"/>
          <w:i/>
          <w:sz w:val="28"/>
          <w:szCs w:val="24"/>
          <w:lang w:eastAsia="es-MX"/>
        </w:rPr>
        <w:t>medidas especiales</w:t>
      </w:r>
      <w:r w:rsidRPr="00821A73">
        <w:rPr>
          <w:rFonts w:ascii="Univers" w:eastAsia="Times New Roman" w:hAnsi="Univers" w:cs="Times New Roman"/>
          <w:sz w:val="28"/>
          <w:szCs w:val="24"/>
          <w:lang w:eastAsia="es-MX"/>
        </w:rPr>
        <w:t xml:space="preserve"> que se precisen para salvaguardar las persona, las instituciones, los bienes, el trabajo, </w:t>
      </w:r>
      <w:r w:rsidRPr="00821A73">
        <w:rPr>
          <w:rFonts w:ascii="Univers" w:eastAsia="Times New Roman" w:hAnsi="Univers" w:cs="Times New Roman"/>
          <w:sz w:val="28"/>
          <w:szCs w:val="24"/>
          <w:lang w:eastAsia="es-MX"/>
        </w:rPr>
        <w:lastRenderedPageBreak/>
        <w:t>las culturas y el medio ambiente de los pueblos indígenas (artículo 4, apartado 1), y</w:t>
      </w:r>
    </w:p>
    <w:p w14:paraId="687F025F"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b/>
          <w:sz w:val="28"/>
          <w:szCs w:val="24"/>
          <w:lang w:eastAsia="es-MX"/>
        </w:rPr>
        <w:t>3)</w:t>
      </w:r>
      <w:r w:rsidRPr="00821A73">
        <w:rPr>
          <w:rFonts w:ascii="Univers" w:eastAsia="Times New Roman" w:hAnsi="Univers" w:cs="Times New Roman"/>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6B8AD931"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Los preceptos enunciados, por así disponerlo el artículo 133 de la Constitución Política de los Estados Unidos Mexicanos, forman parte de la “</w:t>
      </w:r>
      <w:r w:rsidRPr="00821A73">
        <w:rPr>
          <w:rFonts w:ascii="Univers" w:eastAsia="Times New Roman" w:hAnsi="Univers" w:cs="Times New Roman"/>
          <w:i/>
          <w:sz w:val="28"/>
          <w:szCs w:val="24"/>
          <w:lang w:eastAsia="es-MX"/>
        </w:rPr>
        <w:t>ley suprema de toda la Unión”</w:t>
      </w:r>
      <w:r w:rsidRPr="00821A73">
        <w:rPr>
          <w:rFonts w:ascii="Univers" w:eastAsia="Times New Roman" w:hAnsi="Univers" w:cs="Times New Roman"/>
          <w:sz w:val="28"/>
          <w:szCs w:val="24"/>
          <w:lang w:eastAsia="es-MX"/>
        </w:rPr>
        <w:t>, es decir, integran el sistema de fuentes federal y los juzgadores, estatales o federales, están obligados a observarlas, en su actuación, al resolver los litigios de su competencia.</w:t>
      </w:r>
    </w:p>
    <w:p w14:paraId="48BB0F1B"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821A73">
        <w:rPr>
          <w:rFonts w:ascii="Univers" w:eastAsia="Times New Roman" w:hAnsi="Univers" w:cs="Times New Roman"/>
          <w:i/>
          <w:sz w:val="28"/>
          <w:szCs w:val="24"/>
          <w:lang w:eastAsia="es-MX"/>
        </w:rPr>
        <w:t>medidas especiales</w:t>
      </w:r>
      <w:r w:rsidRPr="00821A73">
        <w:rPr>
          <w:rFonts w:ascii="Univers" w:eastAsia="Times New Roman" w:hAnsi="Univers" w:cs="Times New Roman"/>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w:t>
      </w:r>
      <w:r w:rsidRPr="00821A73">
        <w:rPr>
          <w:rFonts w:ascii="Univers" w:eastAsia="Times New Roman" w:hAnsi="Univers" w:cs="Times New Roman"/>
          <w:sz w:val="28"/>
          <w:szCs w:val="24"/>
          <w:lang w:eastAsia="es-MX"/>
        </w:rPr>
        <w:lastRenderedPageBreak/>
        <w:t>completas e imparciales, como está garantizado para todos gobernado en el ordenamiento jurídico mexicano.</w:t>
      </w:r>
    </w:p>
    <w:p w14:paraId="4B3F64A3"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5A04954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La misma conclusión es posible obtener si se atiende a las disposiciones de la Ley Federal para Prevenir y Eliminar la Discriminación, publicada en el </w:t>
      </w:r>
      <w:r w:rsidRPr="00821A73">
        <w:rPr>
          <w:rFonts w:ascii="Univers" w:eastAsia="Times New Roman" w:hAnsi="Univers" w:cs="Times New Roman"/>
          <w:i/>
          <w:sz w:val="28"/>
          <w:szCs w:val="24"/>
          <w:lang w:eastAsia="es-MX"/>
        </w:rPr>
        <w:t>Diario Oficial de la Federación</w:t>
      </w:r>
      <w:r w:rsidRPr="00821A73">
        <w:rPr>
          <w:rFonts w:ascii="Univers" w:eastAsia="Times New Roman" w:hAnsi="Univers" w:cs="Times New Roman"/>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7CDFE3B6"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efecto, conforme el artículo 2 de la ley en cita, corresponde al Estado promover las condiciones para que la igualdad y la libertad de las personas sean </w:t>
      </w:r>
      <w:r w:rsidRPr="00821A73">
        <w:rPr>
          <w:rFonts w:ascii="Univers" w:eastAsia="Times New Roman" w:hAnsi="Univers" w:cs="Times New Roman"/>
          <w:i/>
          <w:sz w:val="28"/>
          <w:szCs w:val="28"/>
          <w:lang w:eastAsia="es-MX"/>
        </w:rPr>
        <w:t>reales</w:t>
      </w:r>
      <w:r w:rsidRPr="00821A73">
        <w:rPr>
          <w:rFonts w:ascii="Univers" w:eastAsia="Times New Roman" w:hAnsi="Univers" w:cs="Times New Roman"/>
          <w:sz w:val="28"/>
          <w:szCs w:val="28"/>
          <w:lang w:eastAsia="es-MX"/>
        </w:rPr>
        <w:t xml:space="preserve"> y </w:t>
      </w:r>
      <w:r w:rsidRPr="00821A73">
        <w:rPr>
          <w:rFonts w:ascii="Univers" w:eastAsia="Times New Roman" w:hAnsi="Univers" w:cs="Times New Roman"/>
          <w:i/>
          <w:sz w:val="28"/>
          <w:szCs w:val="28"/>
          <w:lang w:eastAsia="es-MX"/>
        </w:rPr>
        <w:t>efectivas</w:t>
      </w:r>
      <w:r w:rsidRPr="00821A73">
        <w:rPr>
          <w:rFonts w:ascii="Univers" w:eastAsia="Times New Roman" w:hAnsi="Univers" w:cs="Times New Roman"/>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342FC749"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Además de prohibir toda práctica discriminatoria que tenga por objeto impedir o anular el reconocimiento o ejercicio de los derechos y la </w:t>
      </w:r>
      <w:r w:rsidRPr="00821A73">
        <w:rPr>
          <w:rFonts w:ascii="Univers" w:eastAsia="Times New Roman" w:hAnsi="Univers" w:cs="Times New Roman"/>
          <w:sz w:val="28"/>
          <w:szCs w:val="28"/>
          <w:lang w:eastAsia="es-MX"/>
        </w:rPr>
        <w:lastRenderedPageBreak/>
        <w:t>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27FD1343"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821A73">
        <w:rPr>
          <w:rFonts w:ascii="Univers" w:eastAsia="Times New Roman" w:hAnsi="Univers" w:cs="Times New Roman"/>
          <w:i/>
          <w:sz w:val="28"/>
          <w:szCs w:val="28"/>
          <w:lang w:eastAsia="es-MX"/>
        </w:rPr>
        <w:t>en forma enunciativa y no limitativa</w:t>
      </w:r>
      <w:r w:rsidRPr="00821A73">
        <w:rPr>
          <w:rFonts w:ascii="Univers" w:eastAsia="Times New Roman" w:hAnsi="Univers" w:cs="Times New Roman"/>
          <w:sz w:val="28"/>
          <w:szCs w:val="28"/>
          <w:lang w:eastAsia="es-MX"/>
        </w:rPr>
        <w:t>, diversas medidas positivas y compensatorias para promover la igualdad de oportunidades, entre las que cabe resaltar:</w:t>
      </w:r>
    </w:p>
    <w:p w14:paraId="32D8BFB7"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1</w:t>
      </w:r>
      <w:r w:rsidRPr="00821A73">
        <w:rPr>
          <w:rFonts w:ascii="Univers" w:eastAsia="Times New Roman" w:hAnsi="Univers" w:cs="Times New Roman"/>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403FA92C"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2</w:t>
      </w:r>
      <w:r w:rsidRPr="00821A73">
        <w:rPr>
          <w:rFonts w:ascii="Univers" w:eastAsia="Times New Roman" w:hAnsi="Univers" w:cs="Times New Roman"/>
          <w:sz w:val="28"/>
          <w:szCs w:val="28"/>
          <w:lang w:eastAsia="es-MX"/>
        </w:rPr>
        <w:t>) Garantizar a lo largo de cualquier proceso legal, el derecho a ser asistidos, si así lo solicitan, por intérpretes y defensores que tengan conocimiento de su lengua.</w:t>
      </w:r>
    </w:p>
    <w:p w14:paraId="6549C0B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59733479"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Al igual que las disposiciones constitucionales y del </w:t>
      </w:r>
      <w:r w:rsidRPr="00821A73">
        <w:rPr>
          <w:rFonts w:ascii="Univers" w:eastAsia="Times New Roman" w:hAnsi="Univers" w:cs="Times New Roman"/>
          <w:i/>
          <w:sz w:val="28"/>
          <w:szCs w:val="28"/>
          <w:lang w:eastAsia="es-MX"/>
        </w:rPr>
        <w:t>Convenio sobre Pueblos Indígenas y Tribales, 1989,</w:t>
      </w:r>
      <w:r w:rsidRPr="00821A73">
        <w:rPr>
          <w:rFonts w:ascii="Univers" w:eastAsia="Times New Roman" w:hAnsi="Univers" w:cs="Times New Roman"/>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33B0F9CC"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Consecuencia de este postulado, se impone a las autoridades federales, entre ellas las jurisdiccionales como esta Sala Superior del Tribunal Electoral del Poder Judicial de la Federación, el deber u obligación de adoptar </w:t>
      </w:r>
      <w:r w:rsidRPr="00821A73">
        <w:rPr>
          <w:rFonts w:ascii="Univers" w:eastAsia="Times New Roman" w:hAnsi="Univers" w:cs="Times New Roman"/>
          <w:i/>
          <w:sz w:val="28"/>
          <w:szCs w:val="28"/>
          <w:lang w:eastAsia="es-MX"/>
        </w:rPr>
        <w:t>medidas positivas y compensatorias</w:t>
      </w:r>
      <w:r w:rsidRPr="00821A73">
        <w:rPr>
          <w:rFonts w:ascii="Univers" w:eastAsia="Times New Roman" w:hAnsi="Univers" w:cs="Times New Roman"/>
          <w:sz w:val="28"/>
          <w:szCs w:val="28"/>
          <w:lang w:eastAsia="es-MX"/>
        </w:rPr>
        <w:t xml:space="preserve"> (denominadas </w:t>
      </w:r>
      <w:r w:rsidRPr="00821A73">
        <w:rPr>
          <w:rFonts w:ascii="Univers" w:eastAsia="Times New Roman" w:hAnsi="Univers" w:cs="Times New Roman"/>
          <w:i/>
          <w:sz w:val="28"/>
          <w:szCs w:val="28"/>
          <w:lang w:eastAsia="es-MX"/>
        </w:rPr>
        <w:t>medidas especiales</w:t>
      </w:r>
      <w:r w:rsidRPr="00821A73">
        <w:rPr>
          <w:rFonts w:ascii="Univers" w:eastAsia="Times New Roman" w:hAnsi="Univers" w:cs="Times New Roman"/>
          <w:sz w:val="28"/>
          <w:szCs w:val="28"/>
          <w:lang w:eastAsia="es-MX"/>
        </w:rPr>
        <w:t xml:space="preserve"> en el instrumento internacional que se ha citado) a favor de las colectividades que se hallan en esa situación de desigualdad real o material, entre ellas los pueblos y </w:t>
      </w:r>
      <w:r w:rsidRPr="00821A73">
        <w:rPr>
          <w:rFonts w:ascii="Univers" w:eastAsia="Times New Roman" w:hAnsi="Univers" w:cs="Times New Roman"/>
          <w:sz w:val="28"/>
          <w:szCs w:val="28"/>
          <w:lang w:eastAsia="es-MX"/>
        </w:rPr>
        <w:lastRenderedPageBreak/>
        <w:t>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276BD9E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821A73">
        <w:rPr>
          <w:rFonts w:ascii="Univers" w:eastAsia="Times New Roman" w:hAnsi="Univers" w:cs="Times New Roman"/>
          <w:i/>
          <w:sz w:val="28"/>
          <w:szCs w:val="24"/>
          <w:lang w:eastAsia="es-MX"/>
        </w:rPr>
        <w:t>Diario Oficial de la Federación</w:t>
      </w:r>
      <w:r w:rsidRPr="00821A73">
        <w:rPr>
          <w:rFonts w:ascii="Univers" w:eastAsia="Times New Roman" w:hAnsi="Univers" w:cs="Times New Roman"/>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6F93681A"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821A73">
        <w:rPr>
          <w:rFonts w:ascii="Univers" w:eastAsia="Times New Roman" w:hAnsi="Univers" w:cs="Times New Roman"/>
          <w:i/>
          <w:sz w:val="28"/>
          <w:szCs w:val="24"/>
          <w:lang w:eastAsia="es-MX"/>
        </w:rPr>
        <w:lastRenderedPageBreak/>
        <w:t>garantizar</w:t>
      </w:r>
      <w:r w:rsidRPr="00821A73">
        <w:rPr>
          <w:rFonts w:ascii="Univers" w:eastAsia="Times New Roman" w:hAnsi="Univers" w:cs="Times New Roman"/>
          <w:sz w:val="28"/>
          <w:szCs w:val="24"/>
          <w:lang w:eastAsia="es-MX"/>
        </w:rPr>
        <w:t xml:space="preserve"> el libre y pleno ejercicio de los derechos reconocidos en la convención a toda persona sujeta a su jurisdicción, deber que </w:t>
      </w:r>
      <w:r w:rsidRPr="00821A73">
        <w:rPr>
          <w:rFonts w:ascii="Univers" w:eastAsia="Times New Roman" w:hAnsi="Univers" w:cs="Times New Roman"/>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821A73">
        <w:rPr>
          <w:rFonts w:ascii="Univers" w:eastAsia="Times New Roman" w:hAnsi="Univers" w:cs="Times New Roman"/>
          <w:sz w:val="28"/>
          <w:szCs w:val="24"/>
          <w:lang w:eastAsia="es-MX"/>
        </w:rPr>
        <w:t xml:space="preserve">. Sentencia de 29 de julio de 1988, párrafos 165 a 167, y </w:t>
      </w:r>
      <w:r w:rsidRPr="00821A73">
        <w:rPr>
          <w:rFonts w:ascii="Univers" w:eastAsia="Times New Roman" w:hAnsi="Univers" w:cs="Times New Roman"/>
          <w:i/>
          <w:sz w:val="28"/>
          <w:szCs w:val="24"/>
          <w:lang w:eastAsia="es-MX"/>
        </w:rPr>
        <w:t>caso Godínez Cruz</w:t>
      </w:r>
      <w:r w:rsidRPr="00821A73">
        <w:rPr>
          <w:rFonts w:ascii="Univers" w:eastAsia="Times New Roman" w:hAnsi="Univers" w:cs="Times New Roman"/>
          <w:sz w:val="28"/>
          <w:szCs w:val="24"/>
          <w:lang w:eastAsia="es-MX"/>
        </w:rPr>
        <w:t>. Sentencia de 20 de enero de 1989, párrafos 174 a 176).</w:t>
      </w:r>
    </w:p>
    <w:p w14:paraId="050DB0F3"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821A73">
        <w:rPr>
          <w:rFonts w:ascii="Univers" w:eastAsia="Times New Roman" w:hAnsi="Univers" w:cs="Times New Roman"/>
          <w:i/>
          <w:sz w:val="28"/>
          <w:szCs w:val="24"/>
          <w:lang w:eastAsia="es-MX"/>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Humanos]</w:t>
      </w:r>
      <w:r w:rsidRPr="00821A73">
        <w:rPr>
          <w:rFonts w:ascii="Univers" w:eastAsia="Times New Roman" w:hAnsi="Univers" w:cs="Times New Roman"/>
          <w:sz w:val="28"/>
          <w:szCs w:val="24"/>
          <w:lang w:eastAsia="es-MX"/>
        </w:rPr>
        <w:t xml:space="preserve">. Opinión consultiva OC-11/90 del 10 de agosto de 1990, párrafo 34; </w:t>
      </w:r>
      <w:r w:rsidRPr="00821A73">
        <w:rPr>
          <w:rFonts w:ascii="Univers" w:eastAsia="Times New Roman" w:hAnsi="Univers" w:cs="Times New Roman"/>
          <w:i/>
          <w:sz w:val="28"/>
          <w:szCs w:val="24"/>
          <w:lang w:eastAsia="es-MX"/>
        </w:rPr>
        <w:t xml:space="preserve">caso </w:t>
      </w:r>
      <w:proofErr w:type="spellStart"/>
      <w:r w:rsidRPr="00821A73">
        <w:rPr>
          <w:rFonts w:ascii="Univers" w:eastAsia="Times New Roman" w:hAnsi="Univers" w:cs="Times New Roman"/>
          <w:i/>
          <w:sz w:val="28"/>
          <w:szCs w:val="24"/>
          <w:lang w:eastAsia="es-MX"/>
        </w:rPr>
        <w:t>Bámara</w:t>
      </w:r>
      <w:proofErr w:type="spellEnd"/>
      <w:r w:rsidRPr="00821A73">
        <w:rPr>
          <w:rFonts w:ascii="Univers" w:eastAsia="Times New Roman" w:hAnsi="Univers" w:cs="Times New Roman"/>
          <w:i/>
          <w:sz w:val="28"/>
          <w:szCs w:val="24"/>
          <w:lang w:eastAsia="es-MX"/>
        </w:rPr>
        <w:t xml:space="preserve"> Velázquez</w:t>
      </w:r>
      <w:r w:rsidRPr="00821A73">
        <w:rPr>
          <w:rFonts w:ascii="Univers" w:eastAsia="Times New Roman" w:hAnsi="Univers" w:cs="Times New Roman"/>
          <w:sz w:val="28"/>
          <w:szCs w:val="24"/>
          <w:lang w:eastAsia="es-MX"/>
        </w:rPr>
        <w:t xml:space="preserve">. Sentencia de 25 de noviembre de 2000, párrafo 194; </w:t>
      </w:r>
      <w:r w:rsidRPr="00821A73">
        <w:rPr>
          <w:rFonts w:ascii="Univers" w:eastAsia="Times New Roman" w:hAnsi="Univers" w:cs="Times New Roman"/>
          <w:i/>
          <w:sz w:val="28"/>
          <w:szCs w:val="24"/>
          <w:lang w:eastAsia="es-MX"/>
        </w:rPr>
        <w:t xml:space="preserve">caso </w:t>
      </w:r>
      <w:proofErr w:type="spellStart"/>
      <w:r w:rsidRPr="00821A73">
        <w:rPr>
          <w:rFonts w:ascii="Univers" w:eastAsia="Times New Roman" w:hAnsi="Univers" w:cs="Times New Roman"/>
          <w:i/>
          <w:sz w:val="28"/>
          <w:szCs w:val="24"/>
          <w:lang w:eastAsia="es-MX"/>
        </w:rPr>
        <w:t>Hilaire</w:t>
      </w:r>
      <w:proofErr w:type="spellEnd"/>
      <w:r w:rsidRPr="00821A73">
        <w:rPr>
          <w:rFonts w:ascii="Univers" w:eastAsia="Times New Roman" w:hAnsi="Univers" w:cs="Times New Roman"/>
          <w:i/>
          <w:sz w:val="28"/>
          <w:szCs w:val="24"/>
          <w:lang w:eastAsia="es-MX"/>
        </w:rPr>
        <w:t xml:space="preserve">, </w:t>
      </w:r>
      <w:proofErr w:type="spellStart"/>
      <w:r w:rsidRPr="00821A73">
        <w:rPr>
          <w:rFonts w:ascii="Univers" w:eastAsia="Times New Roman" w:hAnsi="Univers" w:cs="Times New Roman"/>
          <w:i/>
          <w:sz w:val="28"/>
          <w:szCs w:val="24"/>
          <w:lang w:eastAsia="es-MX"/>
        </w:rPr>
        <w:t>Constantine</w:t>
      </w:r>
      <w:proofErr w:type="spellEnd"/>
      <w:r w:rsidRPr="00821A73">
        <w:rPr>
          <w:rFonts w:ascii="Univers" w:eastAsia="Times New Roman" w:hAnsi="Univers" w:cs="Times New Roman"/>
          <w:i/>
          <w:sz w:val="28"/>
          <w:szCs w:val="24"/>
          <w:lang w:eastAsia="es-MX"/>
        </w:rPr>
        <w:t xml:space="preserve"> y Benjamín y Otros vs. Trinidad y Tobago</w:t>
      </w:r>
      <w:r w:rsidRPr="00821A73">
        <w:rPr>
          <w:rFonts w:ascii="Univers" w:eastAsia="Times New Roman" w:hAnsi="Univers" w:cs="Times New Roman"/>
          <w:sz w:val="28"/>
          <w:szCs w:val="24"/>
          <w:lang w:eastAsia="es-MX"/>
        </w:rPr>
        <w:t xml:space="preserve">. Sentencia de 21 de junio de 2002, párrafo 151, y </w:t>
      </w:r>
      <w:r w:rsidRPr="00821A73">
        <w:rPr>
          <w:rFonts w:ascii="Univers" w:eastAsia="Times New Roman" w:hAnsi="Univers" w:cs="Times New Roman"/>
          <w:i/>
          <w:sz w:val="28"/>
          <w:szCs w:val="24"/>
          <w:lang w:eastAsia="es-MX"/>
        </w:rPr>
        <w:t>caso Cantos</w:t>
      </w:r>
      <w:r w:rsidRPr="00821A73">
        <w:rPr>
          <w:rFonts w:ascii="Univers" w:eastAsia="Times New Roman" w:hAnsi="Univers" w:cs="Times New Roman"/>
          <w:sz w:val="28"/>
          <w:szCs w:val="24"/>
          <w:lang w:eastAsia="es-MX"/>
        </w:rPr>
        <w:t>. Sentencia de 28 de noviembre de 2002, párrafo 49).</w:t>
      </w:r>
    </w:p>
    <w:p w14:paraId="794A055C"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lastRenderedPageBreak/>
        <w:t>Semejante intelección también se ha estimado aplicable en el caso de los derechos de los pueblos y comunidades indígenas, respecto de las cuales, según ha sostenido la Corte Interamericana de Derechos Humanos, “</w:t>
      </w:r>
      <w:r w:rsidRPr="00821A73">
        <w:rPr>
          <w:rFonts w:ascii="Univers" w:eastAsia="Times New Roman" w:hAnsi="Univers" w:cs="Times New Roman"/>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(Caso Comunidad Indígena </w:t>
      </w:r>
      <w:proofErr w:type="spellStart"/>
      <w:r w:rsidRPr="00821A73">
        <w:rPr>
          <w:rFonts w:ascii="Univers" w:eastAsia="Times New Roman" w:hAnsi="Univers" w:cs="Times New Roman"/>
          <w:i/>
          <w:sz w:val="28"/>
          <w:szCs w:val="24"/>
          <w:lang w:eastAsia="es-MX"/>
        </w:rPr>
        <w:t>Yakye</w:t>
      </w:r>
      <w:proofErr w:type="spellEnd"/>
      <w:r w:rsidRPr="00821A73">
        <w:rPr>
          <w:rFonts w:ascii="Univers" w:eastAsia="Times New Roman" w:hAnsi="Univers" w:cs="Times New Roman"/>
          <w:i/>
          <w:sz w:val="28"/>
          <w:szCs w:val="24"/>
          <w:lang w:eastAsia="es-MX"/>
        </w:rPr>
        <w:t xml:space="preserve"> Axa vs. Paraguay.</w:t>
      </w:r>
      <w:r w:rsidRPr="00821A73">
        <w:rPr>
          <w:rFonts w:ascii="Univers" w:eastAsia="Times New Roman" w:hAnsi="Univers" w:cs="Times New Roman"/>
          <w:sz w:val="28"/>
          <w:szCs w:val="24"/>
          <w:lang w:eastAsia="es-MX"/>
        </w:rPr>
        <w:t xml:space="preserve"> Sentencia de 17 de junio de 2005, párrafo 51).</w:t>
      </w:r>
    </w:p>
    <w:p w14:paraId="27BC8545"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065182CF"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lastRenderedPageBreak/>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w:t>
      </w:r>
      <w:r w:rsidRPr="00821A73">
        <w:rPr>
          <w:rFonts w:ascii="Univers" w:eastAsia="Times New Roman" w:hAnsi="Univers" w:cs="Times New Roman"/>
          <w:sz w:val="28"/>
          <w:szCs w:val="24"/>
          <w:lang w:eastAsia="es-MX"/>
        </w:rPr>
        <w:lastRenderedPageBreak/>
        <w:t xml:space="preserve">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0013F16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1820CAB9"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821A73">
        <w:rPr>
          <w:rFonts w:ascii="Univers" w:eastAsia="Times New Roman" w:hAnsi="Univers" w:cs="Times New Roman"/>
          <w:sz w:val="28"/>
          <w:szCs w:val="24"/>
          <w:lang w:eastAsia="es-MX"/>
        </w:rPr>
        <w:t>promoventes</w:t>
      </w:r>
      <w:proofErr w:type="spellEnd"/>
      <w:r w:rsidRPr="00821A73">
        <w:rPr>
          <w:rFonts w:ascii="Univers" w:eastAsia="Times New Roman" w:hAnsi="Univers" w:cs="Times New Roman"/>
          <w:sz w:val="28"/>
          <w:szCs w:val="24"/>
          <w:lang w:eastAsia="es-MX"/>
        </w:rPr>
        <w:t xml:space="preserve">, 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w:t>
      </w:r>
      <w:r w:rsidRPr="00821A73">
        <w:rPr>
          <w:rFonts w:ascii="Univers" w:eastAsia="Times New Roman" w:hAnsi="Univers" w:cs="Times New Roman"/>
          <w:sz w:val="28"/>
          <w:szCs w:val="24"/>
          <w:lang w:eastAsia="es-MX"/>
        </w:rPr>
        <w:lastRenderedPageBreak/>
        <w:t>culturales, que evidentemente los diferencian del resto de la ciudadanía.</w:t>
      </w:r>
    </w:p>
    <w:p w14:paraId="3D0DC791"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4"/>
          <w:lang w:eastAsia="es-MX"/>
        </w:rPr>
      </w:pPr>
      <w:r w:rsidRPr="00821A73">
        <w:rPr>
          <w:rFonts w:ascii="Univers" w:eastAsia="Times New Roman" w:hAnsi="Univers" w:cs="Times New Roman"/>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w:t>
      </w:r>
      <w:proofErr w:type="spellStart"/>
      <w:r w:rsidRPr="00821A73">
        <w:rPr>
          <w:rFonts w:ascii="Univers" w:eastAsia="Times New Roman" w:hAnsi="Univers" w:cs="Times New Roman"/>
          <w:sz w:val="28"/>
          <w:szCs w:val="24"/>
          <w:lang w:eastAsia="es-MX"/>
        </w:rPr>
        <w:t>antiformalista</w:t>
      </w:r>
      <w:proofErr w:type="spellEnd"/>
      <w:r w:rsidRPr="00821A73">
        <w:rPr>
          <w:rFonts w:ascii="Univers" w:eastAsia="Times New Roman" w:hAnsi="Univers" w:cs="Times New Roman"/>
          <w:sz w:val="28"/>
          <w:szCs w:val="24"/>
          <w:lang w:eastAsia="es-MX"/>
        </w:rPr>
        <w:t xml:space="preserve"> en la tutela de las garantías 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54ADDB30"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El aserto precedente se apoya en el análisis progresivo en los diversos ordenamientos constitucionales y legales que han regulado la figura de la suplencia.</w:t>
      </w:r>
    </w:p>
    <w:p w14:paraId="2CBE9C14"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 suplencia de la queja deficiente nace directamente en la Constitución Política Mexicana de mil novecientos diecisiete, ya que ni la de mil ochocientos cincuenta y siete, ni las leyes orgánicas de mil ochocientos sesenta y uno, mil ochocientos sesenta y nueve, y mil </w:t>
      </w:r>
      <w:r w:rsidRPr="00821A73">
        <w:rPr>
          <w:rFonts w:ascii="Univers" w:eastAsia="Times New Roman" w:hAnsi="Univers" w:cs="Times New Roman"/>
          <w:sz w:val="28"/>
          <w:szCs w:val="28"/>
          <w:lang w:eastAsia="es-MX"/>
        </w:rPr>
        <w:lastRenderedPageBreak/>
        <w:t>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2776645D"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la primera Ley de Amparo de mil ochocientos sesenta y uno, en su artículo 3, consignaba el requisito de que en el ocurso de demanda expresara “</w:t>
      </w:r>
      <w:r w:rsidRPr="00821A73">
        <w:rPr>
          <w:rFonts w:ascii="Univers" w:eastAsia="Times New Roman" w:hAnsi="Univers" w:cs="Times New Roman"/>
          <w:i/>
          <w:sz w:val="28"/>
          <w:szCs w:val="28"/>
          <w:lang w:eastAsia="es-MX"/>
        </w:rPr>
        <w:t>detalladamente el hecho, fijándose cuál es la garantía violada”</w:t>
      </w:r>
      <w:r w:rsidRPr="00821A73">
        <w:rPr>
          <w:rFonts w:ascii="Univers" w:eastAsia="Times New Roman" w:hAnsi="Univers" w:cs="Times New Roman"/>
          <w:sz w:val="28"/>
          <w:szCs w:val="28"/>
          <w:lang w:eastAsia="es-MX"/>
        </w:rPr>
        <w:t>. La ley de mil ochocientos sesenta y nueve, en su artículo 4 estableció un precepto semejante al recién mencionado.</w:t>
      </w:r>
    </w:p>
    <w:p w14:paraId="03F50700"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Posteriormente, la Ley de Amparo de mil ochocientos ochenta y dos introdujo en su artículo 42 una excepción a la regla anterior, al admitir la posibilidad de </w:t>
      </w:r>
      <w:r w:rsidRPr="00821A73">
        <w:rPr>
          <w:rFonts w:ascii="Univers" w:eastAsia="Times New Roman" w:hAnsi="Univers" w:cs="Times New Roman"/>
          <w:i/>
          <w:sz w:val="28"/>
          <w:szCs w:val="28"/>
          <w:lang w:eastAsia="es-MX"/>
        </w:rPr>
        <w:t>“suplir el error o la ignorancia de la parte agraviada, otorgando el amparo por la garantía cuya violación aparezca comprobada en autos, aunque no se haya mencionado en la demanda”</w:t>
      </w:r>
      <w:r w:rsidRPr="00821A73">
        <w:rPr>
          <w:rFonts w:ascii="Univers" w:eastAsia="Times New Roman" w:hAnsi="Univers" w:cs="Times New Roman"/>
          <w:sz w:val="28"/>
          <w:szCs w:val="28"/>
          <w:lang w:eastAsia="es-MX"/>
        </w:rPr>
        <w:t xml:space="preserve">, lo cual significaba sólo la suplencia en el error o mención de la garantía afectada, es decir, la aplicación del principio </w:t>
      </w:r>
      <w:proofErr w:type="spellStart"/>
      <w:r w:rsidRPr="00821A73">
        <w:rPr>
          <w:rFonts w:ascii="Univers" w:eastAsia="Times New Roman" w:hAnsi="Univers" w:cs="Times New Roman"/>
          <w:i/>
          <w:sz w:val="28"/>
          <w:szCs w:val="28"/>
          <w:lang w:eastAsia="es-MX"/>
        </w:rPr>
        <w:t>iura</w:t>
      </w:r>
      <w:proofErr w:type="spellEnd"/>
      <w:r w:rsidRPr="00821A73">
        <w:rPr>
          <w:rFonts w:ascii="Univers" w:eastAsia="Times New Roman" w:hAnsi="Univers" w:cs="Times New Roman"/>
          <w:i/>
          <w:sz w:val="28"/>
          <w:szCs w:val="28"/>
          <w:lang w:eastAsia="es-MX"/>
        </w:rPr>
        <w:t xml:space="preserve"> </w:t>
      </w:r>
      <w:proofErr w:type="spellStart"/>
      <w:r w:rsidRPr="00821A73">
        <w:rPr>
          <w:rFonts w:ascii="Univers" w:eastAsia="Times New Roman" w:hAnsi="Univers" w:cs="Times New Roman"/>
          <w:i/>
          <w:sz w:val="28"/>
          <w:szCs w:val="28"/>
          <w:lang w:eastAsia="es-MX"/>
        </w:rPr>
        <w:t>novit</w:t>
      </w:r>
      <w:proofErr w:type="spellEnd"/>
      <w:r w:rsidRPr="00821A73">
        <w:rPr>
          <w:rFonts w:ascii="Univers" w:eastAsia="Times New Roman" w:hAnsi="Univers" w:cs="Times New Roman"/>
          <w:i/>
          <w:sz w:val="28"/>
          <w:szCs w:val="28"/>
          <w:lang w:eastAsia="es-MX"/>
        </w:rPr>
        <w:t xml:space="preserve"> curia (el juez conoce el derecho).</w:t>
      </w:r>
    </w:p>
    <w:p w14:paraId="6A1A3BDA"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el Código Federal de Procedimientos Civiles de mil ochocientos noventa y siete aparece, por primera vez, el “</w:t>
      </w:r>
      <w:r w:rsidRPr="00821A73">
        <w:rPr>
          <w:rFonts w:ascii="Univers" w:eastAsia="Times New Roman" w:hAnsi="Univers" w:cs="Times New Roman"/>
          <w:i/>
          <w:sz w:val="28"/>
          <w:szCs w:val="28"/>
          <w:lang w:eastAsia="es-MX"/>
        </w:rPr>
        <w:t>concepto de violación</w:t>
      </w:r>
      <w:r w:rsidRPr="00821A73">
        <w:rPr>
          <w:rFonts w:ascii="Univers" w:eastAsia="Times New Roman" w:hAnsi="Univers" w:cs="Times New Roman"/>
          <w:sz w:val="28"/>
          <w:szCs w:val="28"/>
          <w:lang w:eastAsia="es-MX"/>
        </w:rPr>
        <w:t xml:space="preserve">” como requisito de la demanda en </w:t>
      </w:r>
      <w:proofErr w:type="gramStart"/>
      <w:r w:rsidRPr="00821A73">
        <w:rPr>
          <w:rFonts w:ascii="Univers" w:eastAsia="Times New Roman" w:hAnsi="Univers" w:cs="Times New Roman"/>
          <w:sz w:val="28"/>
          <w:szCs w:val="28"/>
          <w:lang w:eastAsia="es-MX"/>
        </w:rPr>
        <w:t>los  amparos</w:t>
      </w:r>
      <w:proofErr w:type="gramEnd"/>
      <w:r w:rsidRPr="00821A73">
        <w:rPr>
          <w:rFonts w:ascii="Univers" w:eastAsia="Times New Roman" w:hAnsi="Univers" w:cs="Times New Roman"/>
          <w:sz w:val="28"/>
          <w:szCs w:val="28"/>
          <w:lang w:eastAsia="es-MX"/>
        </w:rPr>
        <w:t xml:space="preserve"> civiles, con la prohibición legal expresa de suplirlo, si bien en el propio código se reitera la suplencia por error u omisión de la garantía violada. Cabe señalar que este código no estableció prohibición de realizar la suplencia en los </w:t>
      </w:r>
      <w:r w:rsidRPr="00821A73">
        <w:rPr>
          <w:rFonts w:ascii="Univers" w:eastAsia="Times New Roman" w:hAnsi="Univers" w:cs="Times New Roman"/>
          <w:sz w:val="28"/>
          <w:szCs w:val="28"/>
          <w:lang w:eastAsia="es-MX"/>
        </w:rPr>
        <w:lastRenderedPageBreak/>
        <w:t>juicios no civiles, que en aquella época se comprendía a todo lo que era de la materia penal.</w:t>
      </w:r>
    </w:p>
    <w:p w14:paraId="0B770486"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El tratamiento se </w:t>
      </w:r>
      <w:proofErr w:type="spellStart"/>
      <w:r w:rsidRPr="00821A73">
        <w:rPr>
          <w:rFonts w:ascii="Univers" w:eastAsia="Times New Roman" w:hAnsi="Univers" w:cs="Times New Roman"/>
          <w:sz w:val="28"/>
          <w:szCs w:val="28"/>
          <w:lang w:eastAsia="es-MX"/>
        </w:rPr>
        <w:t>rigoriza</w:t>
      </w:r>
      <w:proofErr w:type="spellEnd"/>
      <w:r w:rsidRPr="00821A73">
        <w:rPr>
          <w:rFonts w:ascii="Univers" w:eastAsia="Times New Roman" w:hAnsi="Univers" w:cs="Times New Roman"/>
          <w:sz w:val="28"/>
          <w:szCs w:val="28"/>
          <w:lang w:eastAsia="es-MX"/>
        </w:rPr>
        <w:t xml:space="preserve"> para el Código Federal de Procedimientos Civiles de mil novecientos ocho, ya que al amparo en materia civil se le denomina como de </w:t>
      </w:r>
      <w:r w:rsidRPr="00821A73">
        <w:rPr>
          <w:rFonts w:ascii="Univers" w:eastAsia="Times New Roman" w:hAnsi="Univers" w:cs="Times New Roman"/>
          <w:i/>
          <w:sz w:val="28"/>
          <w:szCs w:val="28"/>
          <w:lang w:eastAsia="es-MX"/>
        </w:rPr>
        <w:t>“estricto derecho”</w:t>
      </w:r>
      <w:r w:rsidRPr="00821A73">
        <w:rPr>
          <w:rFonts w:ascii="Univers" w:eastAsia="Times New Roman" w:hAnsi="Univers" w:cs="Times New Roman"/>
          <w:sz w:val="28"/>
          <w:szCs w:val="28"/>
          <w:lang w:eastAsia="es-MX"/>
        </w:rPr>
        <w:t xml:space="preserve">, y se señala en el artículo 767, que </w:t>
      </w:r>
      <w:r w:rsidRPr="00821A73">
        <w:rPr>
          <w:rFonts w:ascii="Univers" w:eastAsia="Times New Roman" w:hAnsi="Univers" w:cs="Times New Roman"/>
          <w:i/>
          <w:sz w:val="28"/>
          <w:szCs w:val="28"/>
          <w:lang w:eastAsia="es-MX"/>
        </w:rPr>
        <w:t>“deberá sujetarse a los términos de la demanda, sin que sea permitido suplir ni ampliar nada de ellos”</w:t>
      </w:r>
      <w:r w:rsidRPr="00821A73">
        <w:rPr>
          <w:rFonts w:ascii="Univers" w:eastAsia="Times New Roman" w:hAnsi="Univers" w:cs="Times New Roman"/>
          <w:sz w:val="28"/>
          <w:szCs w:val="28"/>
          <w:lang w:eastAsia="es-MX"/>
        </w:rPr>
        <w:t>.</w:t>
      </w:r>
    </w:p>
    <w:p w14:paraId="6FF5327D"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821A73">
        <w:rPr>
          <w:rFonts w:ascii="Univers" w:eastAsia="Times New Roman" w:hAnsi="Univers" w:cs="Times New Roman"/>
          <w:i/>
          <w:sz w:val="28"/>
          <w:szCs w:val="28"/>
          <w:lang w:eastAsia="es-MX"/>
        </w:rPr>
        <w:t xml:space="preserve">“La Suprema Corte, no obstante esta regla </w:t>
      </w:r>
      <w:r w:rsidRPr="00821A73">
        <w:rPr>
          <w:rFonts w:ascii="Univers" w:eastAsia="Times New Roman" w:hAnsi="Univers" w:cs="Times New Roman"/>
          <w:sz w:val="28"/>
          <w:szCs w:val="28"/>
          <w:lang w:eastAsia="es-MX"/>
        </w:rPr>
        <w:t>(la establecida en el párrafo primero de la fracción I, referida a la procedencia y requisitos del juicio de amparo en los juicios civiles y penales)</w:t>
      </w:r>
      <w:r w:rsidRPr="00821A73">
        <w:rPr>
          <w:rFonts w:ascii="Univers" w:eastAsia="Times New Roman" w:hAnsi="Univers" w:cs="Times New Roman"/>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2C9ECCE3"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las reglas para preparar el amparo y a partir de entonces la suplencia en materia penal pasó a ser una excepción al amparo de estricto </w:t>
      </w:r>
      <w:r w:rsidRPr="00821A73">
        <w:rPr>
          <w:rFonts w:ascii="Univers" w:eastAsia="Times New Roman" w:hAnsi="Univers" w:cs="Times New Roman"/>
          <w:sz w:val="28"/>
          <w:szCs w:val="28"/>
          <w:lang w:eastAsia="es-MX"/>
        </w:rPr>
        <w:lastRenderedPageBreak/>
        <w:t>derecho. De tal suerte, la prohibición para efectuar suplencia en los amparos civiles se tradujo en la regla general de estricto derecho.</w:t>
      </w:r>
    </w:p>
    <w:p w14:paraId="6326F475"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Mediante las reformas a la Constitución de mil novecientos cincuenta, publicadas en el </w:t>
      </w:r>
      <w:r w:rsidRPr="00821A73">
        <w:rPr>
          <w:rFonts w:ascii="Univers" w:eastAsia="Times New Roman" w:hAnsi="Univers" w:cs="Times New Roman"/>
          <w:i/>
          <w:sz w:val="28"/>
          <w:szCs w:val="28"/>
          <w:lang w:eastAsia="es-MX"/>
        </w:rPr>
        <w:t>Diario Oficial de la Federación</w:t>
      </w:r>
      <w:r w:rsidRPr="00821A73">
        <w:rPr>
          <w:rFonts w:ascii="Univers" w:eastAsia="Times New Roman" w:hAnsi="Univers" w:cs="Times New Roman"/>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687D1E1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22F866A5"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decreto publicado el dos de noviembre de mil novecientos sesenta y dos, se agregó un nuevo párrafo a la fracción II del artículo 107 constitucional, para permitir la suplencia en beneficio de los núcleos de población, ejidatarios y comuneros. La nueva disposición se incorporó al artículo 76 de la Ley de Amparo, por decreto publicado el cuatro de febrero de mil novecientos sesenta y tres (al crearse un libro segundo </w:t>
      </w:r>
      <w:r w:rsidRPr="00821A73">
        <w:rPr>
          <w:rFonts w:ascii="Univers" w:eastAsia="Times New Roman" w:hAnsi="Univers" w:cs="Times New Roman"/>
          <w:sz w:val="28"/>
          <w:szCs w:val="28"/>
          <w:lang w:eastAsia="es-MX"/>
        </w:rPr>
        <w:lastRenderedPageBreak/>
        <w:t xml:space="preserve">para el amparo en materia agraria en mil novecientos setenta y seis, la suplencia de la queja se incluyó en el artículo 227 de la ley). </w:t>
      </w:r>
    </w:p>
    <w:p w14:paraId="2E869F4F"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7D9A6B98"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Finalmente, a partir del decreto de veinte de marzo de mil novecientos ochenta y seis, publicado el siete de abril siguiente, la suplencia de la queja deficiente en materia de amparo, se encuentra consagrada en el artículo 107, fracción II, párrafo segundo, de la Constitución Política de los Estados Unidos Mexicanos, en los siguientes términos:</w:t>
      </w:r>
    </w:p>
    <w:p w14:paraId="281E9484"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Artículo 107.</w:t>
      </w:r>
      <w:r w:rsidRPr="00821A73">
        <w:rPr>
          <w:rFonts w:ascii="Univers" w:eastAsia="Times New Roman" w:hAnsi="Univers" w:cs="Times New Roman"/>
          <w:sz w:val="24"/>
          <w:szCs w:val="24"/>
          <w:lang w:eastAsia="es-MX"/>
        </w:rPr>
        <w:t xml:space="preserve"> Todas las controversias de que habla el artículo 103 se sujetarán a los procedimientos y formas del orden jurídico que determine la ley, de acuerdo a las bases siguientes: </w:t>
      </w:r>
    </w:p>
    <w:p w14:paraId="38344DD1"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p>
    <w:p w14:paraId="499A17CD"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 En el juicio de amparo deberá suplirse la deficiencia de la queja de acuerdo con lo que disponga la Ley Reglamentaria de los Artículos 103 y 107 de esta Constitución.</w:t>
      </w:r>
    </w:p>
    <w:p w14:paraId="378FFB40"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p>
    <w:p w14:paraId="29A68FAE"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 esta reforma, se optó por omitir en la norma constitucional los casos específicos en los cuales procedía la suplencia de la queja y se remitió a la Ley Reglamentaria respectiva la configuración de los mismos, en el entendido de que, a diferencia de los antecedentes legislativos, los supuestos que se reglamentaran tendrían el carácter de obligatorios para el juzgador, habida cuenta que se sustituyó el </w:t>
      </w:r>
      <w:r w:rsidRPr="00821A73">
        <w:rPr>
          <w:rFonts w:ascii="Univers" w:eastAsia="Times New Roman" w:hAnsi="Univers" w:cs="Times New Roman"/>
          <w:sz w:val="28"/>
          <w:szCs w:val="28"/>
          <w:lang w:eastAsia="es-MX"/>
        </w:rPr>
        <w:lastRenderedPageBreak/>
        <w:t xml:space="preserve">verbo </w:t>
      </w:r>
      <w:r w:rsidRPr="00821A73">
        <w:rPr>
          <w:rFonts w:ascii="Univers" w:eastAsia="Times New Roman" w:hAnsi="Univers" w:cs="Times New Roman"/>
          <w:i/>
          <w:sz w:val="28"/>
          <w:szCs w:val="28"/>
          <w:lang w:eastAsia="es-MX"/>
        </w:rPr>
        <w:t>“podrá”</w:t>
      </w:r>
      <w:r w:rsidRPr="00821A73">
        <w:rPr>
          <w:rFonts w:ascii="Univers" w:eastAsia="Times New Roman" w:hAnsi="Univers" w:cs="Times New Roman"/>
          <w:sz w:val="28"/>
          <w:szCs w:val="28"/>
          <w:lang w:eastAsia="es-MX"/>
        </w:rPr>
        <w:t xml:space="preserve"> empleado anteriormente, por el </w:t>
      </w:r>
      <w:r w:rsidRPr="00821A73">
        <w:rPr>
          <w:rFonts w:ascii="Univers" w:eastAsia="Times New Roman" w:hAnsi="Univers" w:cs="Times New Roman"/>
          <w:i/>
          <w:sz w:val="28"/>
          <w:szCs w:val="28"/>
          <w:lang w:eastAsia="es-MX"/>
        </w:rPr>
        <w:t>“deberá”</w:t>
      </w:r>
      <w:r w:rsidRPr="00821A73">
        <w:rPr>
          <w:rFonts w:ascii="Univers" w:eastAsia="Times New Roman" w:hAnsi="Univers" w:cs="Times New Roman"/>
          <w:sz w:val="28"/>
          <w:szCs w:val="28"/>
          <w:lang w:eastAsia="es-MX"/>
        </w:rPr>
        <w:t xml:space="preserve"> que actualmente se contempla. </w:t>
      </w:r>
    </w:p>
    <w:p w14:paraId="75E2E059"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1BC5A3E1"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Artículo 76-Bis</w:t>
      </w:r>
      <w:r w:rsidRPr="00821A73">
        <w:rPr>
          <w:rFonts w:ascii="Univers" w:eastAsia="Times New Roman" w:hAnsi="Univers" w:cs="Times New Roman"/>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082CB7CC"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p>
    <w:p w14:paraId="3693C468"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cualquier materia, cuando el acto reclamado se funde en leyes declaradas inconstitucionales por la jurisprudencia de la Suprema Corte de Justicia.</w:t>
      </w:r>
    </w:p>
    <w:p w14:paraId="5DE2A591"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materia penal, la suplencia operará aun ante la ausencia de conceptos de violación o de agravios del reo.</w:t>
      </w:r>
    </w:p>
    <w:p w14:paraId="5AF69912"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materia agraria, conforme a lo dispuesto por el artículo 227 de esta ley.</w:t>
      </w:r>
    </w:p>
    <w:p w14:paraId="415B28DF"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materia laboral, la suplencia sólo se aplicará en favor del trabajador.</w:t>
      </w:r>
    </w:p>
    <w:p w14:paraId="613BCAFA"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favor de los menores de edad o incapaces.</w:t>
      </w:r>
    </w:p>
    <w:p w14:paraId="4DE6BC1A" w14:textId="77777777" w:rsidR="00821A73" w:rsidRPr="00821A73" w:rsidRDefault="00821A73" w:rsidP="00821A73">
      <w:pPr>
        <w:numPr>
          <w:ilvl w:val="0"/>
          <w:numId w:val="6"/>
        </w:num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En otras materias, cuando se advierta que ha habido en contra del quejoso o del particular recurrente una violación manifiesta de la ley que lo haya dejado sin defensa.</w:t>
      </w:r>
    </w:p>
    <w:p w14:paraId="27CAFEC6" w14:textId="77777777" w:rsidR="00821A73" w:rsidRPr="00821A73" w:rsidRDefault="00821A73" w:rsidP="00821A73">
      <w:pPr>
        <w:spacing w:after="0" w:line="240" w:lineRule="auto"/>
        <w:jc w:val="both"/>
        <w:rPr>
          <w:rFonts w:ascii="Univers" w:eastAsia="Times New Roman" w:hAnsi="Univers" w:cs="Times New Roman"/>
          <w:sz w:val="28"/>
          <w:szCs w:val="28"/>
          <w:lang w:eastAsia="es-MX"/>
        </w:rPr>
      </w:pPr>
    </w:p>
    <w:p w14:paraId="319CB6CA" w14:textId="77777777" w:rsidR="00821A73" w:rsidRPr="00821A73" w:rsidRDefault="00821A73" w:rsidP="00821A73">
      <w:pPr>
        <w:spacing w:before="120" w:after="12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 su vez, el artículo 227 del cuerpo legal en cita es del siguiente tenor:</w:t>
      </w:r>
    </w:p>
    <w:p w14:paraId="641D3A73" w14:textId="77777777" w:rsidR="00821A73" w:rsidRPr="00821A73" w:rsidRDefault="00821A73" w:rsidP="00821A73">
      <w:pPr>
        <w:spacing w:after="0" w:line="240" w:lineRule="auto"/>
        <w:jc w:val="both"/>
        <w:rPr>
          <w:rFonts w:ascii="Univers" w:eastAsia="Times New Roman" w:hAnsi="Univers" w:cs="Times New Roman"/>
          <w:sz w:val="24"/>
          <w:szCs w:val="24"/>
          <w:lang w:eastAsia="es-MX"/>
        </w:rPr>
      </w:pPr>
      <w:r w:rsidRPr="00821A73">
        <w:rPr>
          <w:rFonts w:ascii="Univers" w:eastAsia="Times New Roman" w:hAnsi="Univers" w:cs="Times New Roman"/>
          <w:b/>
          <w:sz w:val="24"/>
          <w:szCs w:val="24"/>
          <w:lang w:eastAsia="es-MX"/>
        </w:rPr>
        <w:t>Artículo 227</w:t>
      </w:r>
      <w:r w:rsidRPr="00821A73">
        <w:rPr>
          <w:rFonts w:ascii="Univers" w:eastAsia="Times New Roman" w:hAnsi="Univers" w:cs="Times New Roman"/>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50582A2A" w14:textId="77777777" w:rsidR="00821A73" w:rsidRPr="00821A73" w:rsidRDefault="00821A73" w:rsidP="00821A73">
      <w:pPr>
        <w:spacing w:after="0" w:line="240" w:lineRule="auto"/>
        <w:jc w:val="both"/>
        <w:rPr>
          <w:rFonts w:ascii="Univers" w:eastAsia="Times New Roman" w:hAnsi="Univers" w:cs="Times New Roman"/>
          <w:sz w:val="28"/>
          <w:szCs w:val="28"/>
          <w:lang w:eastAsia="es-MX"/>
        </w:rPr>
      </w:pPr>
    </w:p>
    <w:p w14:paraId="615665AC"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4A875E36"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1)</w:t>
      </w:r>
      <w:r w:rsidRPr="00821A73">
        <w:rPr>
          <w:rFonts w:ascii="Univers" w:eastAsia="Times New Roman" w:hAnsi="Univers" w:cs="Times New Roman"/>
          <w:sz w:val="28"/>
          <w:szCs w:val="28"/>
          <w:lang w:eastAsia="es-MX"/>
        </w:rPr>
        <w:t xml:space="preserve"> Recabar de oficio todas aquellas pruebas que puedan beneficiar a las entidades o individuos mencionados en el artículo 212, y</w:t>
      </w:r>
    </w:p>
    <w:p w14:paraId="46361895"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2)</w:t>
      </w:r>
      <w:r w:rsidRPr="00821A73">
        <w:rPr>
          <w:rFonts w:ascii="Univers" w:eastAsia="Times New Roman" w:hAnsi="Univers" w:cs="Times New Roman"/>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2459D33D" w14:textId="77777777" w:rsidR="00821A73" w:rsidRPr="00821A73" w:rsidRDefault="00821A73" w:rsidP="00821A73">
      <w:pPr>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w:t>
      </w:r>
      <w:proofErr w:type="spellStart"/>
      <w:r w:rsidRPr="00821A73">
        <w:rPr>
          <w:rFonts w:ascii="Univers" w:eastAsia="Times New Roman" w:hAnsi="Univers" w:cs="Times New Roman"/>
          <w:sz w:val="28"/>
          <w:szCs w:val="28"/>
          <w:lang w:eastAsia="es-MX"/>
        </w:rPr>
        <w:t>antiformalista</w:t>
      </w:r>
      <w:proofErr w:type="spellEnd"/>
      <w:r w:rsidRPr="00821A73">
        <w:rPr>
          <w:rFonts w:ascii="Univers" w:eastAsia="Times New Roman" w:hAnsi="Univers" w:cs="Times New Roman"/>
          <w:sz w:val="28"/>
          <w:szCs w:val="28"/>
          <w:lang w:eastAsia="es-MX"/>
        </w:rPr>
        <w:t xml:space="preserve"> para </w:t>
      </w:r>
      <w:r w:rsidRPr="00821A73">
        <w:rPr>
          <w:rFonts w:ascii="Univers" w:eastAsia="Times New Roman" w:hAnsi="Univers" w:cs="Times New Roman"/>
          <w:sz w:val="28"/>
          <w:szCs w:val="28"/>
          <w:lang w:eastAsia="es-MX"/>
        </w:rPr>
        <w:lastRenderedPageBreak/>
        <w:t>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25098D19"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7A76CBEC"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Ciertamente, el Código Federal de Instituciones y Procedimientos Electorales, publicado en el </w:t>
      </w:r>
      <w:r w:rsidRPr="00821A73">
        <w:rPr>
          <w:rFonts w:ascii="Univers" w:eastAsia="Times New Roman" w:hAnsi="Univers" w:cs="Arial"/>
          <w:i/>
          <w:sz w:val="28"/>
          <w:szCs w:val="28"/>
          <w:lang w:eastAsia="es-MX"/>
        </w:rPr>
        <w:t>Diario Oficial de la Federación</w:t>
      </w:r>
      <w:r w:rsidRPr="00821A73">
        <w:rPr>
          <w:rFonts w:ascii="Univers" w:eastAsia="Times New Roman" w:hAnsi="Univers"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efectuar algún tipo de suplencia para resolver </w:t>
      </w:r>
      <w:proofErr w:type="spellStart"/>
      <w:r w:rsidRPr="00821A73">
        <w:rPr>
          <w:rFonts w:ascii="Univers" w:eastAsia="Times New Roman" w:hAnsi="Univers" w:cs="Arial"/>
          <w:sz w:val="28"/>
          <w:szCs w:val="28"/>
          <w:lang w:eastAsia="es-MX"/>
        </w:rPr>
        <w:t>lo</w:t>
      </w:r>
      <w:proofErr w:type="spellEnd"/>
      <w:r w:rsidRPr="00821A73">
        <w:rPr>
          <w:rFonts w:ascii="Univers" w:eastAsia="Times New Roman" w:hAnsi="Univers" w:cs="Arial"/>
          <w:sz w:val="28"/>
          <w:szCs w:val="28"/>
          <w:lang w:eastAsia="es-MX"/>
        </w:rPr>
        <w:t xml:space="preserve"> recursos jurisdiccionales regulados en ese entonces por este cuerpo legal.</w:t>
      </w:r>
    </w:p>
    <w:p w14:paraId="3A7A26C1"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w:t>
      </w:r>
      <w:r w:rsidRPr="00821A73">
        <w:rPr>
          <w:rFonts w:ascii="Univers" w:eastAsia="Times New Roman" w:hAnsi="Univers" w:cs="Arial"/>
          <w:sz w:val="28"/>
          <w:szCs w:val="28"/>
          <w:lang w:eastAsia="es-MX"/>
        </w:rPr>
        <w:lastRenderedPageBreak/>
        <w:t xml:space="preserve">posibilidad de efectuar suplencia alguna. Esta circunstancia se destacó en el informe rendido por el Presidente de dicho tribunal el trece de diciembre de mil novecientos noventa y uno, ante el Pleno de la Sala Central, según consta en la </w:t>
      </w:r>
      <w:r w:rsidRPr="00821A73">
        <w:rPr>
          <w:rFonts w:ascii="Univers" w:eastAsia="Times New Roman" w:hAnsi="Univers" w:cs="Arial"/>
          <w:i/>
          <w:sz w:val="28"/>
          <w:szCs w:val="28"/>
          <w:lang w:eastAsia="es-MX"/>
        </w:rPr>
        <w:t>Memoria 1991</w:t>
      </w:r>
      <w:r w:rsidRPr="00821A73">
        <w:rPr>
          <w:rFonts w:ascii="Univers" w:eastAsia="Times New Roman" w:hAnsi="Univers" w:cs="Arial"/>
          <w:sz w:val="28"/>
          <w:szCs w:val="28"/>
          <w:lang w:eastAsia="es-MX"/>
        </w:rPr>
        <w:t xml:space="preserve"> (Tribunal Federal Electoral, México, 1992, página 287), en los términos siguientes:</w:t>
      </w:r>
    </w:p>
    <w:p w14:paraId="7B2D8410" w14:textId="77777777" w:rsidR="00821A73" w:rsidRPr="00821A73" w:rsidRDefault="00821A73" w:rsidP="00821A73">
      <w:pPr>
        <w:shd w:val="clear" w:color="auto" w:fill="FFFFFF"/>
        <w:spacing w:after="0" w:line="226" w:lineRule="exact"/>
        <w:ind w:right="669"/>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1C3064BB" w14:textId="77777777" w:rsidR="00821A73" w:rsidRPr="00821A73" w:rsidRDefault="00821A73" w:rsidP="00821A73">
      <w:pPr>
        <w:shd w:val="clear" w:color="auto" w:fill="FFFFFF"/>
        <w:spacing w:after="0" w:line="360" w:lineRule="auto"/>
        <w:ind w:right="-51"/>
        <w:jc w:val="both"/>
        <w:rPr>
          <w:rFonts w:ascii="Univers" w:eastAsia="Times New Roman" w:hAnsi="Univers" w:cs="Times New Roman"/>
          <w:sz w:val="24"/>
          <w:szCs w:val="24"/>
          <w:lang w:eastAsia="es-MX"/>
        </w:rPr>
      </w:pPr>
    </w:p>
    <w:p w14:paraId="07952AC9" w14:textId="77777777" w:rsidR="00821A73" w:rsidRPr="00821A73" w:rsidRDefault="00821A73" w:rsidP="00821A73">
      <w:pPr>
        <w:shd w:val="clear" w:color="auto" w:fill="FFFFFF"/>
        <w:spacing w:before="120" w:after="120" w:line="360" w:lineRule="auto"/>
        <w:ind w:right="68"/>
        <w:jc w:val="both"/>
        <w:rPr>
          <w:rFonts w:ascii="Univers" w:eastAsia="Times New Roman" w:hAnsi="Univers" w:cs="Times New Roman"/>
          <w:sz w:val="24"/>
          <w:szCs w:val="24"/>
          <w:lang w:eastAsia="es-MX"/>
        </w:rPr>
      </w:pPr>
      <w:r w:rsidRPr="00821A73">
        <w:rPr>
          <w:rFonts w:ascii="Univers" w:eastAsia="Times New Roman" w:hAnsi="Univers" w:cs="Times New Roman"/>
          <w:sz w:val="28"/>
          <w:szCs w:val="28"/>
          <w:lang w:eastAsia="es-MX"/>
        </w:rPr>
        <w:t>También en el citado informe, a continuación, se precisó</w:t>
      </w:r>
      <w:r w:rsidRPr="00821A73">
        <w:rPr>
          <w:rFonts w:ascii="Univers" w:eastAsia="Times New Roman" w:hAnsi="Univers" w:cs="Times New Roman"/>
          <w:sz w:val="24"/>
          <w:szCs w:val="24"/>
          <w:lang w:eastAsia="es-MX"/>
        </w:rPr>
        <w:t>:</w:t>
      </w:r>
    </w:p>
    <w:p w14:paraId="00971420" w14:textId="77777777" w:rsidR="00821A73" w:rsidRPr="00821A73" w:rsidRDefault="00821A73" w:rsidP="00821A73">
      <w:pPr>
        <w:shd w:val="clear" w:color="auto" w:fill="FFFFFF"/>
        <w:spacing w:after="0" w:line="226" w:lineRule="exact"/>
        <w:ind w:right="669"/>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3EEBBE75" w14:textId="77777777" w:rsidR="00821A73" w:rsidRPr="00821A73" w:rsidRDefault="00821A73" w:rsidP="00821A73">
      <w:pPr>
        <w:shd w:val="clear" w:color="auto" w:fill="FFFFFF"/>
        <w:spacing w:after="0" w:line="226" w:lineRule="exact"/>
        <w:ind w:right="669"/>
        <w:jc w:val="both"/>
        <w:rPr>
          <w:rFonts w:ascii="Univers" w:eastAsia="Times New Roman" w:hAnsi="Univers" w:cs="Times New Roman"/>
          <w:sz w:val="24"/>
          <w:szCs w:val="24"/>
          <w:lang w:eastAsia="es-MX"/>
        </w:rPr>
      </w:pPr>
    </w:p>
    <w:p w14:paraId="74F65622" w14:textId="77777777" w:rsidR="00821A73" w:rsidRPr="00821A73" w:rsidRDefault="00821A73" w:rsidP="00821A73">
      <w:pPr>
        <w:shd w:val="clear" w:color="auto" w:fill="FFFFFF"/>
        <w:spacing w:after="0" w:line="226" w:lineRule="exact"/>
        <w:ind w:right="669"/>
        <w:jc w:val="both"/>
        <w:rPr>
          <w:rFonts w:ascii="Univers" w:eastAsia="Times New Roman" w:hAnsi="Univers" w:cs="Times New Roman"/>
          <w:sz w:val="24"/>
          <w:szCs w:val="24"/>
          <w:lang w:eastAsia="es-MX"/>
        </w:rPr>
      </w:pPr>
      <w:r w:rsidRPr="00821A73">
        <w:rPr>
          <w:rFonts w:ascii="Univers" w:eastAsia="Times New Roman" w:hAnsi="Univers" w:cs="Times New Roman"/>
          <w:sz w:val="24"/>
          <w:szCs w:val="24"/>
          <w:lang w:eastAsia="es-MX"/>
        </w:rPr>
        <w:t>Este criterio se aplicó en diversas actuaciones de las Salas del Tribunal en materia de personalidad, agravios, hechos, pruebas, fundamentos legales, y escrito de protesta.”</w:t>
      </w:r>
    </w:p>
    <w:p w14:paraId="29535488" w14:textId="77777777" w:rsidR="00821A73" w:rsidRPr="00821A73" w:rsidRDefault="00821A73" w:rsidP="00821A73">
      <w:pPr>
        <w:shd w:val="clear" w:color="auto" w:fill="FFFFFF"/>
        <w:spacing w:after="0" w:line="226" w:lineRule="exact"/>
        <w:ind w:right="669"/>
        <w:jc w:val="both"/>
        <w:rPr>
          <w:rFonts w:ascii="Univers" w:eastAsia="Times New Roman" w:hAnsi="Univers" w:cs="Times New Roman"/>
          <w:sz w:val="24"/>
          <w:szCs w:val="24"/>
          <w:lang w:eastAsia="es-MX"/>
        </w:rPr>
      </w:pPr>
    </w:p>
    <w:p w14:paraId="7CDEBABF"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Esto es, a pesar del silencio de la ley, desde la instauración del sistema impugnativo contemplado en el Código Federal de 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w:t>
      </w:r>
      <w:proofErr w:type="spellStart"/>
      <w:r w:rsidRPr="00821A73">
        <w:rPr>
          <w:rFonts w:ascii="Univers" w:eastAsia="Times New Roman" w:hAnsi="Univers" w:cs="Times New Roman"/>
          <w:sz w:val="28"/>
          <w:szCs w:val="28"/>
          <w:lang w:eastAsia="es-MX"/>
        </w:rPr>
        <w:t>canones</w:t>
      </w:r>
      <w:proofErr w:type="spellEnd"/>
      <w:r w:rsidRPr="00821A73">
        <w:rPr>
          <w:rFonts w:ascii="Univers" w:eastAsia="Times New Roman" w:hAnsi="Univers" w:cs="Times New Roman"/>
          <w:sz w:val="28"/>
          <w:szCs w:val="28"/>
          <w:lang w:eastAsia="es-MX"/>
        </w:rPr>
        <w:t xml:space="preserve"> formalistas y rigurosos, como cuando en </w:t>
      </w:r>
      <w:r w:rsidRPr="00821A73">
        <w:rPr>
          <w:rFonts w:ascii="Univers" w:eastAsia="Times New Roman" w:hAnsi="Univers" w:cs="Times New Roman"/>
          <w:sz w:val="28"/>
          <w:szCs w:val="28"/>
          <w:lang w:eastAsia="es-MX"/>
        </w:rPr>
        <w:lastRenderedPageBreak/>
        <w:t xml:space="preserve">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821A73">
        <w:rPr>
          <w:rFonts w:ascii="Univers" w:eastAsia="Times New Roman" w:hAnsi="Univers" w:cs="Times New Roman"/>
          <w:i/>
          <w:sz w:val="28"/>
          <w:szCs w:val="28"/>
          <w:lang w:eastAsia="es-MX"/>
        </w:rPr>
        <w:t>“una suplencia de la deficiencia de lo que legalmente se debe expresar en el recurso de inconformidad...”</w:t>
      </w:r>
      <w:r w:rsidRPr="00821A73">
        <w:rPr>
          <w:rFonts w:ascii="Univers" w:eastAsia="Times New Roman" w:hAnsi="Univers" w:cs="Times New Roman"/>
          <w:sz w:val="28"/>
          <w:szCs w:val="28"/>
          <w:lang w:eastAsia="es-MX"/>
        </w:rPr>
        <w:t xml:space="preserve"> (</w:t>
      </w:r>
      <w:proofErr w:type="gramStart"/>
      <w:r w:rsidRPr="00821A73">
        <w:rPr>
          <w:rFonts w:ascii="Univers" w:eastAsia="Times New Roman" w:hAnsi="Univers" w:cs="Times New Roman"/>
          <w:sz w:val="28"/>
          <w:szCs w:val="28"/>
          <w:lang w:eastAsia="es-MX"/>
        </w:rPr>
        <w:t>tesis</w:t>
      </w:r>
      <w:proofErr w:type="gramEnd"/>
      <w:r w:rsidRPr="00821A73">
        <w:rPr>
          <w:rFonts w:ascii="Univers" w:eastAsia="Times New Roman" w:hAnsi="Univers" w:cs="Times New Roman"/>
          <w:sz w:val="28"/>
          <w:szCs w:val="28"/>
          <w:lang w:eastAsia="es-MX"/>
        </w:rPr>
        <w:t xml:space="preserve"> relevante intitulada </w:t>
      </w:r>
      <w:r w:rsidRPr="00821A73">
        <w:rPr>
          <w:rFonts w:ascii="Univers" w:eastAsia="Times New Roman" w:hAnsi="Univers" w:cs="Times New Roman"/>
          <w:b/>
          <w:sz w:val="28"/>
          <w:szCs w:val="28"/>
          <w:lang w:eastAsia="es-MX"/>
        </w:rPr>
        <w:t>“CASILLAS. LA IDENTIFICACIÓN POR EL PARTIDO RECURRENTE HACE PRESUMIR LA REFERENCIA A LAS BÁSICAS”,</w:t>
      </w:r>
      <w:r w:rsidRPr="00821A73">
        <w:rPr>
          <w:rFonts w:ascii="Univers" w:eastAsia="Times New Roman" w:hAnsi="Univers" w:cs="Times New Roman"/>
          <w:sz w:val="28"/>
          <w:szCs w:val="28"/>
          <w:lang w:eastAsia="es-MX"/>
        </w:rPr>
        <w:t xml:space="preserve"> visible en la </w:t>
      </w:r>
      <w:r w:rsidRPr="00821A73">
        <w:rPr>
          <w:rFonts w:ascii="Univers" w:eastAsia="Times New Roman" w:hAnsi="Univers" w:cs="Times New Roman"/>
          <w:i/>
          <w:sz w:val="28"/>
          <w:szCs w:val="28"/>
          <w:lang w:eastAsia="es-MX"/>
        </w:rPr>
        <w:t>Memoria 1991</w:t>
      </w:r>
      <w:r w:rsidRPr="00821A73">
        <w:rPr>
          <w:rFonts w:ascii="Univers" w:eastAsia="Times New Roman" w:hAnsi="Univers" w:cs="Times New Roman"/>
          <w:sz w:val="28"/>
          <w:szCs w:val="28"/>
          <w:lang w:eastAsia="es-MX"/>
        </w:rPr>
        <w:t>, página 240).</w:t>
      </w:r>
    </w:p>
    <w:p w14:paraId="07AF2D52"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Esta circunstancia fue considerada por el legislador ordinario en las reformas efectuadas al código electoral federal, cuyo decreto respectivo fue publicado en el </w:t>
      </w:r>
      <w:r w:rsidRPr="00821A73">
        <w:rPr>
          <w:rFonts w:ascii="Univers" w:eastAsia="Times New Roman" w:hAnsi="Univers" w:cs="Times New Roman"/>
          <w:i/>
          <w:sz w:val="28"/>
          <w:szCs w:val="28"/>
          <w:lang w:eastAsia="es-MX"/>
        </w:rPr>
        <w:t>Diario Oficial de la Federación</w:t>
      </w:r>
      <w:r w:rsidRPr="00821A73">
        <w:rPr>
          <w:rFonts w:ascii="Univers" w:eastAsia="Times New Roman" w:hAnsi="Univers" w:cs="Times New Roman"/>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666A670C"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821A73">
        <w:rPr>
          <w:rFonts w:ascii="Univers" w:eastAsia="Times New Roman" w:hAnsi="Univers" w:cs="Times New Roman"/>
          <w:b/>
          <w:sz w:val="28"/>
          <w:szCs w:val="28"/>
          <w:lang w:eastAsia="es-MX"/>
        </w:rPr>
        <w:t>podrían</w:t>
      </w:r>
      <w:r w:rsidRPr="00821A73">
        <w:rPr>
          <w:rFonts w:ascii="Univers" w:eastAsia="Times New Roman" w:hAnsi="Univers" w:cs="Times New Roman"/>
          <w:sz w:val="28"/>
          <w:szCs w:val="28"/>
          <w:lang w:eastAsia="es-MX"/>
        </w:rPr>
        <w:t xml:space="preserve"> resolver el recurso tomando </w:t>
      </w:r>
      <w:r w:rsidRPr="00821A73">
        <w:rPr>
          <w:rFonts w:ascii="Univers" w:eastAsia="Times New Roman" w:hAnsi="Univers" w:cs="Times New Roman"/>
          <w:sz w:val="28"/>
          <w:szCs w:val="28"/>
          <w:lang w:eastAsia="es-MX"/>
        </w:rPr>
        <w:lastRenderedPageBreak/>
        <w:t>en consideración los preceptos legales que debieron ser invocados o los que resultaren aplicables al caso concreto.</w:t>
      </w:r>
    </w:p>
    <w:p w14:paraId="1B002369"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su parte, el inciso c) del dispositivo invocado previó la suplencia de la queja deficiente en los términos siguientes: </w:t>
      </w:r>
      <w:r w:rsidRPr="00821A73">
        <w:rPr>
          <w:rFonts w:ascii="Univers" w:eastAsia="Times New Roman" w:hAnsi="Univers" w:cs="Times New Roman"/>
          <w:i/>
          <w:sz w:val="28"/>
          <w:szCs w:val="28"/>
          <w:lang w:eastAsia="es-MX"/>
        </w:rPr>
        <w:t>“Cuando exista deficiencia en la argumentación de los agravios pero éstos puedan ser deducidos claramente de los hechos expuestos, en el recurso, la Sala no lo desechará y resolverá con los elementos que obren en el expediente”.</w:t>
      </w:r>
    </w:p>
    <w:p w14:paraId="6F5B23C5"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1678385A"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exclusivamente a los fundamentos normativos invocados por los recurrentes, sino a aplicar los que se estimen conducentes, hayan sido o no referenciados en la demanda, en conformidad con el principio jurídico identificado con el </w:t>
      </w:r>
      <w:proofErr w:type="spellStart"/>
      <w:r w:rsidRPr="00821A73">
        <w:rPr>
          <w:rFonts w:ascii="Univers" w:eastAsia="Times New Roman" w:hAnsi="Univers" w:cs="Times New Roman"/>
          <w:sz w:val="28"/>
          <w:szCs w:val="28"/>
          <w:lang w:eastAsia="es-MX"/>
        </w:rPr>
        <w:t>brocardo</w:t>
      </w:r>
      <w:proofErr w:type="spellEnd"/>
      <w:r w:rsidRPr="00821A73">
        <w:rPr>
          <w:rFonts w:ascii="Univers" w:eastAsia="Times New Roman" w:hAnsi="Univers" w:cs="Times New Roman"/>
          <w:sz w:val="28"/>
          <w:szCs w:val="28"/>
          <w:lang w:eastAsia="es-MX"/>
        </w:rPr>
        <w:t xml:space="preserve"> latino </w:t>
      </w:r>
      <w:proofErr w:type="spellStart"/>
      <w:r w:rsidRPr="00821A73">
        <w:rPr>
          <w:rFonts w:ascii="Univers" w:eastAsia="Times New Roman" w:hAnsi="Univers" w:cs="Times New Roman"/>
          <w:i/>
          <w:sz w:val="28"/>
          <w:szCs w:val="28"/>
          <w:lang w:eastAsia="es-MX"/>
        </w:rPr>
        <w:t>iura</w:t>
      </w:r>
      <w:proofErr w:type="spellEnd"/>
      <w:r w:rsidRPr="00821A73">
        <w:rPr>
          <w:rFonts w:ascii="Univers" w:eastAsia="Times New Roman" w:hAnsi="Univers" w:cs="Times New Roman"/>
          <w:i/>
          <w:sz w:val="28"/>
          <w:szCs w:val="28"/>
          <w:lang w:eastAsia="es-MX"/>
        </w:rPr>
        <w:t xml:space="preserve"> </w:t>
      </w:r>
      <w:proofErr w:type="spellStart"/>
      <w:r w:rsidRPr="00821A73">
        <w:rPr>
          <w:rFonts w:ascii="Univers" w:eastAsia="Times New Roman" w:hAnsi="Univers" w:cs="Times New Roman"/>
          <w:i/>
          <w:sz w:val="28"/>
          <w:szCs w:val="28"/>
          <w:lang w:eastAsia="es-MX"/>
        </w:rPr>
        <w:t>novit</w:t>
      </w:r>
      <w:proofErr w:type="spellEnd"/>
      <w:r w:rsidRPr="00821A73">
        <w:rPr>
          <w:rFonts w:ascii="Univers" w:eastAsia="Times New Roman" w:hAnsi="Univers" w:cs="Times New Roman"/>
          <w:i/>
          <w:sz w:val="28"/>
          <w:szCs w:val="28"/>
          <w:lang w:eastAsia="es-MX"/>
        </w:rPr>
        <w:t xml:space="preserve"> curia</w:t>
      </w:r>
      <w:r w:rsidRPr="00821A73">
        <w:rPr>
          <w:rFonts w:ascii="Univers" w:eastAsia="Times New Roman" w:hAnsi="Univers" w:cs="Times New Roman"/>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w:t>
      </w:r>
      <w:r w:rsidRPr="00821A73">
        <w:rPr>
          <w:rFonts w:ascii="Univers" w:eastAsia="Times New Roman" w:hAnsi="Univers" w:cs="Times New Roman"/>
          <w:sz w:val="28"/>
          <w:szCs w:val="28"/>
          <w:lang w:eastAsia="es-MX"/>
        </w:rPr>
        <w:lastRenderedPageBreak/>
        <w:t xml:space="preserve">parte actora, siempre y cuando, la causa de la violación pudiera deducirse </w:t>
      </w:r>
      <w:r w:rsidRPr="00821A73">
        <w:rPr>
          <w:rFonts w:ascii="Univers" w:eastAsia="Times New Roman" w:hAnsi="Univers" w:cs="Times New Roman"/>
          <w:i/>
          <w:sz w:val="28"/>
          <w:szCs w:val="28"/>
          <w:lang w:eastAsia="es-MX"/>
        </w:rPr>
        <w:t>claramente</w:t>
      </w:r>
      <w:r w:rsidRPr="00821A73">
        <w:rPr>
          <w:rFonts w:ascii="Univers" w:eastAsia="Times New Roman" w:hAnsi="Univers" w:cs="Times New Roman"/>
          <w:sz w:val="28"/>
          <w:szCs w:val="28"/>
          <w:lang w:eastAsia="es-MX"/>
        </w:rPr>
        <w:t xml:space="preserve"> de los hechos expuestos.</w:t>
      </w:r>
    </w:p>
    <w:p w14:paraId="1D168ADF"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infracción a subsanar y los elementos o expresiones contenidos en la demanda que permitieran advertirla fácilmente, para de esta forma evidenciar el error o inexacta apreciación en que hubiera incurrido la sala </w:t>
      </w:r>
      <w:r w:rsidRPr="00821A73">
        <w:rPr>
          <w:rFonts w:ascii="Univers" w:eastAsia="Times New Roman" w:hAnsi="Univers" w:cs="Times New Roman"/>
          <w:i/>
          <w:sz w:val="28"/>
          <w:szCs w:val="28"/>
          <w:lang w:eastAsia="es-MX"/>
        </w:rPr>
        <w:t>a quo</w:t>
      </w:r>
      <w:r w:rsidRPr="00821A73">
        <w:rPr>
          <w:rFonts w:ascii="Univers" w:eastAsia="Times New Roman" w:hAnsi="Univers" w:cs="Times New Roman"/>
          <w:sz w:val="28"/>
          <w:szCs w:val="28"/>
          <w:lang w:eastAsia="es-MX"/>
        </w:rPr>
        <w:t xml:space="preserve">. </w:t>
      </w:r>
    </w:p>
    <w:p w14:paraId="04DA4D01" w14:textId="77777777" w:rsidR="00821A73" w:rsidRPr="00821A73" w:rsidRDefault="00821A73" w:rsidP="00821A73">
      <w:pPr>
        <w:shd w:val="clear" w:color="auto" w:fill="FFFFFF"/>
        <w:spacing w:before="120" w:after="12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w:t>
      </w:r>
      <w:r w:rsidRPr="00821A73">
        <w:rPr>
          <w:rFonts w:ascii="Univers" w:eastAsia="Times New Roman" w:hAnsi="Univers" w:cs="Times New Roman"/>
          <w:sz w:val="28"/>
          <w:szCs w:val="28"/>
          <w:lang w:eastAsia="es-MX"/>
        </w:rPr>
        <w:lastRenderedPageBreak/>
        <w:t>mención de algún precepto, así como también la posibilidad de vincular los agravios y hechos con las pruebas aportadas por las partes o las requeridas para mejor proveer por el órgano jurisdiccional.</w:t>
      </w:r>
    </w:p>
    <w:p w14:paraId="45C8D77C" w14:textId="77777777" w:rsidR="00821A73" w:rsidRPr="00821A73" w:rsidRDefault="00821A73" w:rsidP="00821A73">
      <w:pPr>
        <w:shd w:val="clear" w:color="auto" w:fill="FFFFFF"/>
        <w:spacing w:before="120" w:after="12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821A73">
        <w:rPr>
          <w:rFonts w:ascii="Univers" w:eastAsia="Times New Roman" w:hAnsi="Univers" w:cs="Times New Roman"/>
          <w:i/>
          <w:sz w:val="28"/>
          <w:szCs w:val="28"/>
          <w:lang w:eastAsia="es-MX"/>
        </w:rPr>
        <w:t>Memoria 1994</w:t>
      </w:r>
      <w:r w:rsidRPr="00821A73">
        <w:rPr>
          <w:rFonts w:ascii="Univers" w:eastAsia="Times New Roman" w:hAnsi="Univers" w:cs="Times New Roman"/>
          <w:sz w:val="28"/>
          <w:szCs w:val="28"/>
          <w:lang w:eastAsia="es-MX"/>
        </w:rPr>
        <w:t xml:space="preserve"> del mencionado tribunal, que enseguida se transcriben:</w:t>
      </w:r>
    </w:p>
    <w:p w14:paraId="44FF8BC2"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color w:val="000000"/>
          <w:spacing w:val="2"/>
          <w:sz w:val="24"/>
          <w:szCs w:val="24"/>
          <w:lang w:val="es-ES_tradnl" w:eastAsia="es-MX"/>
        </w:rPr>
      </w:pPr>
      <w:r w:rsidRPr="00821A73">
        <w:rPr>
          <w:rFonts w:ascii="Univers" w:eastAsia="Times New Roman" w:hAnsi="Univers" w:cs="Times New Roman"/>
          <w:b/>
          <w:bCs/>
          <w:color w:val="000000"/>
          <w:spacing w:val="-4"/>
          <w:sz w:val="24"/>
          <w:szCs w:val="24"/>
          <w:lang w:val="es-ES_tradnl" w:eastAsia="es-MX"/>
        </w:rPr>
        <w:t xml:space="preserve">7. RECONSIDERACIÓN. DEBE SER RAZONADO EL AGRAVIO RELATIVO A LA FALTA DE SUPLENCIA EN </w:t>
      </w:r>
      <w:r w:rsidRPr="00821A73">
        <w:rPr>
          <w:rFonts w:ascii="Univers" w:eastAsia="Times New Roman" w:hAnsi="Univers" w:cs="Times New Roman"/>
          <w:b/>
          <w:bCs/>
          <w:color w:val="000000"/>
          <w:spacing w:val="-1"/>
          <w:sz w:val="24"/>
          <w:szCs w:val="24"/>
          <w:lang w:val="es-ES_tradnl" w:eastAsia="es-MX"/>
        </w:rPr>
        <w:t xml:space="preserve">EL RECURSO DE INCONFORMIDAD.- </w:t>
      </w:r>
      <w:r w:rsidRPr="00821A73">
        <w:rPr>
          <w:rFonts w:ascii="Univers" w:eastAsia="Times New Roman" w:hAnsi="Univers" w:cs="Times New Roman"/>
          <w:color w:val="000000"/>
          <w:spacing w:val="-1"/>
          <w:sz w:val="24"/>
          <w:szCs w:val="24"/>
          <w:lang w:val="es-ES_tradnl" w:eastAsia="es-MX"/>
        </w:rPr>
        <w:t xml:space="preserve">Si bien es cierto </w:t>
      </w:r>
      <w:r w:rsidRPr="00821A73">
        <w:rPr>
          <w:rFonts w:ascii="Univers" w:eastAsia="Times New Roman" w:hAnsi="Univers" w:cs="Times New Roman"/>
          <w:color w:val="000000"/>
          <w:spacing w:val="1"/>
          <w:sz w:val="24"/>
          <w:szCs w:val="24"/>
          <w:lang w:val="es-ES_tradnl" w:eastAsia="es-MX"/>
        </w:rPr>
        <w:t>que en el recurso de inconformidad la autoridad juris</w:t>
      </w:r>
      <w:r w:rsidRPr="00821A73">
        <w:rPr>
          <w:rFonts w:ascii="Univers" w:eastAsia="Times New Roman" w:hAnsi="Univers" w:cs="Times New Roman"/>
          <w:color w:val="000000"/>
          <w:spacing w:val="1"/>
          <w:sz w:val="24"/>
          <w:szCs w:val="24"/>
          <w:lang w:val="es-ES_tradnl" w:eastAsia="es-MX"/>
        </w:rPr>
        <w:softHyphen/>
      </w:r>
      <w:r w:rsidRPr="00821A73">
        <w:rPr>
          <w:rFonts w:ascii="Univers" w:eastAsia="Times New Roman" w:hAnsi="Univers" w:cs="Times New Roman"/>
          <w:color w:val="000000"/>
          <w:spacing w:val="-1"/>
          <w:sz w:val="24"/>
          <w:szCs w:val="24"/>
          <w:lang w:val="es-ES_tradnl" w:eastAsia="es-MX"/>
        </w:rPr>
        <w:t xml:space="preserve">diccional que lo sustancia y resuelve goza de la facultad </w:t>
      </w:r>
      <w:r w:rsidRPr="00821A73">
        <w:rPr>
          <w:rFonts w:ascii="Univers" w:eastAsia="Times New Roman" w:hAnsi="Univers" w:cs="Times New Roman"/>
          <w:color w:val="000000"/>
          <w:spacing w:val="3"/>
          <w:sz w:val="24"/>
          <w:szCs w:val="24"/>
          <w:lang w:val="es-ES_tradnl" w:eastAsia="es-MX"/>
        </w:rPr>
        <w:t xml:space="preserve">de suplir la deficiencia en la argumentación de los </w:t>
      </w:r>
      <w:r w:rsidRPr="00821A73">
        <w:rPr>
          <w:rFonts w:ascii="Univers" w:eastAsia="Times New Roman" w:hAnsi="Univers" w:cs="Times New Roman"/>
          <w:color w:val="000000"/>
          <w:spacing w:val="1"/>
          <w:sz w:val="24"/>
          <w:szCs w:val="24"/>
          <w:lang w:val="es-ES_tradnl" w:eastAsia="es-MX"/>
        </w:rPr>
        <w:t xml:space="preserve">agravios, conforme a lo dispuesto en el artículo 316, </w:t>
      </w:r>
      <w:r w:rsidRPr="00821A73">
        <w:rPr>
          <w:rFonts w:ascii="Univers" w:eastAsia="Times New Roman" w:hAnsi="Univers" w:cs="Times New Roman"/>
          <w:color w:val="000000"/>
          <w:spacing w:val="2"/>
          <w:sz w:val="24"/>
          <w:szCs w:val="24"/>
          <w:lang w:val="es-ES_tradnl" w:eastAsia="es-MX"/>
        </w:rPr>
        <w:t xml:space="preserve">párrafo 4, inciso d) del Código Federal de Instituciones y Procedimientos Electorales, también es verdad que </w:t>
      </w:r>
      <w:r w:rsidRPr="00821A73">
        <w:rPr>
          <w:rFonts w:ascii="Univers" w:eastAsia="Times New Roman" w:hAnsi="Univers" w:cs="Times New Roman"/>
          <w:color w:val="000000"/>
          <w:sz w:val="24"/>
          <w:szCs w:val="24"/>
          <w:lang w:val="es-ES_tradnl" w:eastAsia="es-MX"/>
        </w:rPr>
        <w:t>para la aplicación de esta institución jurídica se necesi</w:t>
      </w:r>
      <w:r w:rsidRPr="00821A73">
        <w:rPr>
          <w:rFonts w:ascii="Univers" w:eastAsia="Times New Roman" w:hAnsi="Univers" w:cs="Times New Roman"/>
          <w:color w:val="000000"/>
          <w:sz w:val="24"/>
          <w:szCs w:val="24"/>
          <w:lang w:val="es-ES_tradnl" w:eastAsia="es-MX"/>
        </w:rPr>
        <w:softHyphen/>
        <w:t xml:space="preserve">tan, como presupuestos lógicos, la existencia de una </w:t>
      </w:r>
      <w:r w:rsidRPr="00821A73">
        <w:rPr>
          <w:rFonts w:ascii="Univers" w:eastAsia="Times New Roman" w:hAnsi="Univers" w:cs="Times New Roman"/>
          <w:color w:val="000000"/>
          <w:spacing w:val="6"/>
          <w:sz w:val="24"/>
          <w:szCs w:val="24"/>
          <w:lang w:val="es-ES_tradnl" w:eastAsia="es-MX"/>
        </w:rPr>
        <w:t xml:space="preserve">infracción a la ley en el acto combatido, y que del </w:t>
      </w:r>
      <w:r w:rsidRPr="00821A73">
        <w:rPr>
          <w:rFonts w:ascii="Univers" w:eastAsia="Times New Roman" w:hAnsi="Univers" w:cs="Times New Roman"/>
          <w:color w:val="000000"/>
          <w:spacing w:val="-1"/>
          <w:sz w:val="24"/>
          <w:szCs w:val="24"/>
          <w:lang w:val="es-ES_tradnl" w:eastAsia="es-MX"/>
        </w:rPr>
        <w:t xml:space="preserve">escrito del recurso se desprendan algunos elementos </w:t>
      </w:r>
      <w:r w:rsidRPr="00821A73">
        <w:rPr>
          <w:rFonts w:ascii="Univers" w:eastAsia="Times New Roman" w:hAnsi="Univers" w:cs="Times New Roman"/>
          <w:color w:val="000000"/>
          <w:spacing w:val="1"/>
          <w:sz w:val="24"/>
          <w:szCs w:val="24"/>
          <w:lang w:val="es-ES_tradnl" w:eastAsia="es-MX"/>
        </w:rPr>
        <w:t xml:space="preserve">mínimos que conduzcan a advertir la contravención. El </w:t>
      </w:r>
      <w:r w:rsidRPr="00821A73">
        <w:rPr>
          <w:rFonts w:ascii="Univers" w:eastAsia="Times New Roman" w:hAnsi="Univers" w:cs="Times New Roman"/>
          <w:color w:val="000000"/>
          <w:spacing w:val="2"/>
          <w:sz w:val="24"/>
          <w:szCs w:val="24"/>
          <w:lang w:val="es-ES_tradnl" w:eastAsia="es-MX"/>
        </w:rPr>
        <w:t xml:space="preserve">recurso de reconsideración se rige por el principio dispositivo llamado en México de estricto derecho, por </w:t>
      </w:r>
      <w:r w:rsidRPr="00821A73">
        <w:rPr>
          <w:rFonts w:ascii="Univers" w:eastAsia="Times New Roman" w:hAnsi="Univers" w:cs="Times New Roman"/>
          <w:color w:val="000000"/>
          <w:spacing w:val="3"/>
          <w:sz w:val="24"/>
          <w:szCs w:val="24"/>
          <w:lang w:val="es-ES_tradnl" w:eastAsia="es-MX"/>
        </w:rPr>
        <w:t xml:space="preserve">el que se impone al que lo hace valer el gravamen </w:t>
      </w:r>
      <w:r w:rsidRPr="00821A73">
        <w:rPr>
          <w:rFonts w:ascii="Univers" w:eastAsia="Times New Roman" w:hAnsi="Univers" w:cs="Times New Roman"/>
          <w:color w:val="000000"/>
          <w:spacing w:val="-1"/>
          <w:sz w:val="24"/>
          <w:szCs w:val="24"/>
          <w:lang w:val="es-ES_tradnl" w:eastAsia="es-MX"/>
        </w:rPr>
        <w:t>procesal de expresar agravios configurados adecuada</w:t>
      </w:r>
      <w:r w:rsidRPr="00821A73">
        <w:rPr>
          <w:rFonts w:ascii="Univers" w:eastAsia="Times New Roman" w:hAnsi="Univers" w:cs="Times New Roman"/>
          <w:color w:val="000000"/>
          <w:spacing w:val="-1"/>
          <w:sz w:val="24"/>
          <w:szCs w:val="24"/>
          <w:lang w:val="es-ES_tradnl" w:eastAsia="es-MX"/>
        </w:rPr>
        <w:softHyphen/>
      </w:r>
      <w:r w:rsidRPr="00821A73">
        <w:rPr>
          <w:rFonts w:ascii="Univers" w:eastAsia="Times New Roman" w:hAnsi="Univers" w:cs="Times New Roman"/>
          <w:color w:val="000000"/>
          <w:spacing w:val="3"/>
          <w:sz w:val="24"/>
          <w:szCs w:val="24"/>
          <w:lang w:val="es-ES_tradnl" w:eastAsia="es-MX"/>
        </w:rPr>
        <w:t xml:space="preserve">mente, es decir, con el señalamiento preciso de las </w:t>
      </w:r>
      <w:r w:rsidRPr="00821A73">
        <w:rPr>
          <w:rFonts w:ascii="Univers" w:eastAsia="Times New Roman" w:hAnsi="Univers" w:cs="Times New Roman"/>
          <w:color w:val="000000"/>
          <w:sz w:val="24"/>
          <w:szCs w:val="24"/>
          <w:lang w:val="es-ES_tradnl" w:eastAsia="es-MX"/>
        </w:rPr>
        <w:t xml:space="preserve">normas o principios jurídicos que se estimen infringidos, de la parte o partes de la resolución impugnada en la </w:t>
      </w:r>
      <w:r w:rsidRPr="00821A73">
        <w:rPr>
          <w:rFonts w:ascii="Univers" w:eastAsia="Times New Roman" w:hAnsi="Univers" w:cs="Times New Roman"/>
          <w:color w:val="000000"/>
          <w:spacing w:val="1"/>
          <w:sz w:val="24"/>
          <w:szCs w:val="24"/>
          <w:lang w:val="es-ES_tradnl" w:eastAsia="es-MX"/>
        </w:rPr>
        <w:t xml:space="preserve">reconsideración a la que se atribuye la violación, y los </w:t>
      </w:r>
      <w:r w:rsidRPr="00821A73">
        <w:rPr>
          <w:rFonts w:ascii="Univers" w:eastAsia="Times New Roman" w:hAnsi="Univers" w:cs="Times New Roman"/>
          <w:color w:val="000000"/>
          <w:spacing w:val="-1"/>
          <w:sz w:val="24"/>
          <w:szCs w:val="24"/>
          <w:lang w:val="es-ES_tradnl" w:eastAsia="es-MX"/>
        </w:rPr>
        <w:t xml:space="preserve">argumentos racionales para demostrar la contraposición entre la determinación y las disposiciones indicadas. Los </w:t>
      </w:r>
      <w:r w:rsidRPr="00821A73">
        <w:rPr>
          <w:rFonts w:ascii="Univers" w:eastAsia="Times New Roman" w:hAnsi="Univers" w:cs="Times New Roman"/>
          <w:color w:val="000000"/>
          <w:sz w:val="24"/>
          <w:szCs w:val="24"/>
          <w:lang w:val="es-ES_tradnl" w:eastAsia="es-MX"/>
        </w:rPr>
        <w:t>dos aspectos mencionados permiten llegar al conoci</w:t>
      </w:r>
      <w:r w:rsidRPr="00821A73">
        <w:rPr>
          <w:rFonts w:ascii="Univers" w:eastAsia="Times New Roman" w:hAnsi="Univers" w:cs="Times New Roman"/>
          <w:color w:val="000000"/>
          <w:sz w:val="24"/>
          <w:szCs w:val="24"/>
          <w:lang w:val="es-ES_tradnl" w:eastAsia="es-MX"/>
        </w:rPr>
        <w:softHyphen/>
      </w:r>
      <w:r w:rsidRPr="00821A73">
        <w:rPr>
          <w:rFonts w:ascii="Univers" w:eastAsia="Times New Roman" w:hAnsi="Univers" w:cs="Times New Roman"/>
          <w:color w:val="000000"/>
          <w:spacing w:val="2"/>
          <w:sz w:val="24"/>
          <w:szCs w:val="24"/>
          <w:lang w:val="es-ES_tradnl" w:eastAsia="es-MX"/>
        </w:rPr>
        <w:t xml:space="preserve">miento de que, cuando se alegue como violación en el recurso de reconsideración que la Sala de Primera </w:t>
      </w:r>
      <w:r w:rsidRPr="00821A73">
        <w:rPr>
          <w:rFonts w:ascii="Univers" w:eastAsia="Times New Roman" w:hAnsi="Univers" w:cs="Times New Roman"/>
          <w:color w:val="000000"/>
          <w:sz w:val="24"/>
          <w:szCs w:val="24"/>
          <w:lang w:val="es-ES_tradnl" w:eastAsia="es-MX"/>
        </w:rPr>
        <w:t>Instancia no procedió debidamente a suplir la argumen</w:t>
      </w:r>
      <w:r w:rsidRPr="00821A73">
        <w:rPr>
          <w:rFonts w:ascii="Univers" w:eastAsia="Times New Roman" w:hAnsi="Univers" w:cs="Times New Roman"/>
          <w:color w:val="000000"/>
          <w:sz w:val="24"/>
          <w:szCs w:val="24"/>
          <w:lang w:val="es-ES_tradnl" w:eastAsia="es-MX"/>
        </w:rPr>
        <w:softHyphen/>
        <w:t xml:space="preserve">tación deficiente, en el agravio se debe precisar en qué consiste la infracción que debió subsanar la Sala a </w:t>
      </w:r>
      <w:r w:rsidRPr="00821A73">
        <w:rPr>
          <w:rFonts w:ascii="Univers" w:eastAsia="Times New Roman" w:hAnsi="Univers" w:cs="Times New Roman"/>
          <w:i/>
          <w:iCs/>
          <w:color w:val="000000"/>
          <w:sz w:val="24"/>
          <w:szCs w:val="24"/>
          <w:lang w:val="es-ES_tradnl" w:eastAsia="es-MX"/>
        </w:rPr>
        <w:t xml:space="preserve">quo, </w:t>
      </w:r>
      <w:r w:rsidRPr="00821A73">
        <w:rPr>
          <w:rFonts w:ascii="Univers" w:eastAsia="Times New Roman" w:hAnsi="Univers" w:cs="Times New Roman"/>
          <w:color w:val="000000"/>
          <w:sz w:val="24"/>
          <w:szCs w:val="24"/>
          <w:lang w:val="es-ES_tradnl" w:eastAsia="es-MX"/>
        </w:rPr>
        <w:t xml:space="preserve">así como los elementos del escrito de la inconformidad, </w:t>
      </w:r>
      <w:r w:rsidRPr="00821A73">
        <w:rPr>
          <w:rFonts w:ascii="Univers" w:eastAsia="Times New Roman" w:hAnsi="Univers" w:cs="Times New Roman"/>
          <w:color w:val="000000"/>
          <w:spacing w:val="3"/>
          <w:sz w:val="24"/>
          <w:szCs w:val="24"/>
          <w:lang w:val="es-ES_tradnl" w:eastAsia="es-MX"/>
        </w:rPr>
        <w:t xml:space="preserve">que en dicho documento constituyen principios para </w:t>
      </w:r>
      <w:r w:rsidRPr="00821A73">
        <w:rPr>
          <w:rFonts w:ascii="Univers" w:eastAsia="Times New Roman" w:hAnsi="Univers" w:cs="Times New Roman"/>
          <w:color w:val="000000"/>
          <w:spacing w:val="-1"/>
          <w:sz w:val="24"/>
          <w:szCs w:val="24"/>
          <w:lang w:val="es-ES_tradnl" w:eastAsia="es-MX"/>
        </w:rPr>
        <w:t xml:space="preserve">percatarse de la pretendida violación; esto para poner de </w:t>
      </w:r>
      <w:r w:rsidRPr="00821A73">
        <w:rPr>
          <w:rFonts w:ascii="Univers" w:eastAsia="Times New Roman" w:hAnsi="Univers" w:cs="Times New Roman"/>
          <w:color w:val="000000"/>
          <w:spacing w:val="1"/>
          <w:sz w:val="24"/>
          <w:szCs w:val="24"/>
          <w:lang w:val="es-ES_tradnl" w:eastAsia="es-MX"/>
        </w:rPr>
        <w:t xml:space="preserve">manifiesto que dicha Sala no aplicó el precepto legal </w:t>
      </w:r>
      <w:r w:rsidRPr="00821A73">
        <w:rPr>
          <w:rFonts w:ascii="Univers" w:eastAsia="Times New Roman" w:hAnsi="Univers" w:cs="Times New Roman"/>
          <w:color w:val="000000"/>
          <w:sz w:val="24"/>
          <w:szCs w:val="24"/>
          <w:lang w:val="es-ES_tradnl" w:eastAsia="es-MX"/>
        </w:rPr>
        <w:t xml:space="preserve">mencionado, a pesar de ser patentes los elementos </w:t>
      </w:r>
      <w:r w:rsidRPr="00821A73">
        <w:rPr>
          <w:rFonts w:ascii="Univers" w:eastAsia="Times New Roman" w:hAnsi="Univers" w:cs="Times New Roman"/>
          <w:color w:val="000000"/>
          <w:spacing w:val="2"/>
          <w:sz w:val="24"/>
          <w:szCs w:val="24"/>
          <w:lang w:val="es-ES_tradnl" w:eastAsia="es-MX"/>
        </w:rPr>
        <w:t>condicionantes para que lo hiciera.</w:t>
      </w:r>
    </w:p>
    <w:p w14:paraId="1AA177E8"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b/>
          <w:bCs/>
          <w:color w:val="424242"/>
          <w:spacing w:val="3"/>
          <w:sz w:val="24"/>
          <w:szCs w:val="24"/>
          <w:lang w:val="es-ES_tradnl" w:eastAsia="es-MX"/>
        </w:rPr>
      </w:pPr>
    </w:p>
    <w:p w14:paraId="3F81BE5F"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sz w:val="24"/>
          <w:szCs w:val="24"/>
          <w:lang w:eastAsia="es-MX"/>
        </w:rPr>
      </w:pPr>
      <w:r w:rsidRPr="00821A73">
        <w:rPr>
          <w:rFonts w:ascii="Univers" w:eastAsia="Times New Roman" w:hAnsi="Univers" w:cs="Times New Roman"/>
          <w:b/>
          <w:bCs/>
          <w:color w:val="424242"/>
          <w:spacing w:val="3"/>
          <w:sz w:val="24"/>
          <w:szCs w:val="24"/>
          <w:lang w:val="es-ES_tradnl" w:eastAsia="es-MX"/>
        </w:rPr>
        <w:lastRenderedPageBreak/>
        <w:t>10. SUPLENCIA DE LA DEFICIENCIA EN LA ARGUMEN</w:t>
      </w:r>
      <w:r w:rsidRPr="00821A73">
        <w:rPr>
          <w:rFonts w:ascii="Univers" w:eastAsia="Times New Roman" w:hAnsi="Univers" w:cs="Times New Roman"/>
          <w:b/>
          <w:bCs/>
          <w:color w:val="424242"/>
          <w:spacing w:val="3"/>
          <w:sz w:val="24"/>
          <w:szCs w:val="24"/>
          <w:lang w:val="es-ES_tradnl" w:eastAsia="es-MX"/>
        </w:rPr>
        <w:softHyphen/>
      </w:r>
      <w:r w:rsidRPr="00821A73">
        <w:rPr>
          <w:rFonts w:ascii="Univers" w:eastAsia="Times New Roman" w:hAnsi="Univers" w:cs="Times New Roman"/>
          <w:b/>
          <w:bCs/>
          <w:color w:val="424242"/>
          <w:spacing w:val="4"/>
          <w:sz w:val="24"/>
          <w:szCs w:val="24"/>
          <w:lang w:val="es-ES_tradnl" w:eastAsia="es-MX"/>
        </w:rPr>
        <w:t>TACIÓN DE LOS AGRAVIOS. ALCANCE DEL PRINCI</w:t>
      </w:r>
      <w:r w:rsidRPr="00821A73">
        <w:rPr>
          <w:rFonts w:ascii="Univers" w:eastAsia="Times New Roman" w:hAnsi="Univers" w:cs="Times New Roman"/>
          <w:b/>
          <w:bCs/>
          <w:color w:val="424242"/>
          <w:spacing w:val="4"/>
          <w:sz w:val="24"/>
          <w:szCs w:val="24"/>
          <w:lang w:val="es-ES_tradnl" w:eastAsia="es-MX"/>
        </w:rPr>
        <w:softHyphen/>
      </w:r>
      <w:r w:rsidRPr="00821A73">
        <w:rPr>
          <w:rFonts w:ascii="Univers" w:eastAsia="Times New Roman" w:hAnsi="Univers" w:cs="Times New Roman"/>
          <w:b/>
          <w:bCs/>
          <w:color w:val="424242"/>
          <w:spacing w:val="5"/>
          <w:sz w:val="24"/>
          <w:szCs w:val="24"/>
          <w:lang w:val="es-ES_tradnl" w:eastAsia="es-MX"/>
        </w:rPr>
        <w:t xml:space="preserve">PIO DE EXHAUSTIVIDAD EN LAS RESOLUCIONES </w:t>
      </w:r>
      <w:r w:rsidRPr="00821A73">
        <w:rPr>
          <w:rFonts w:ascii="Univers" w:eastAsia="Times New Roman" w:hAnsi="Univers" w:cs="Times New Roman"/>
          <w:b/>
          <w:bCs/>
          <w:color w:val="424242"/>
          <w:spacing w:val="7"/>
          <w:sz w:val="24"/>
          <w:szCs w:val="24"/>
          <w:lang w:val="es-ES_tradnl" w:eastAsia="es-MX"/>
        </w:rPr>
        <w:t xml:space="preserve">DICTADAS POR LA JURISDICCIÓN ELECTORAL- </w:t>
      </w:r>
      <w:r w:rsidRPr="00821A73">
        <w:rPr>
          <w:rFonts w:ascii="Univers" w:eastAsia="Times New Roman" w:hAnsi="Univers" w:cs="Times New Roman"/>
          <w:color w:val="424242"/>
          <w:spacing w:val="7"/>
          <w:sz w:val="24"/>
          <w:szCs w:val="24"/>
          <w:lang w:val="es-ES_tradnl" w:eastAsia="es-MX"/>
        </w:rPr>
        <w:t xml:space="preserve">El Código Federal de Instituciones y Procedimientos </w:t>
      </w:r>
      <w:r w:rsidRPr="00821A73">
        <w:rPr>
          <w:rFonts w:ascii="Univers" w:eastAsia="Times New Roman" w:hAnsi="Univers" w:cs="Times New Roman"/>
          <w:color w:val="424242"/>
          <w:spacing w:val="6"/>
          <w:sz w:val="24"/>
          <w:szCs w:val="24"/>
          <w:lang w:val="es-ES_tradnl" w:eastAsia="es-MX"/>
        </w:rPr>
        <w:t xml:space="preserve">Electorales, en su artículo 316 establece como carga procesal para los partidos políticos los requisitos que </w:t>
      </w:r>
      <w:r w:rsidRPr="00821A73">
        <w:rPr>
          <w:rFonts w:ascii="Univers" w:eastAsia="Times New Roman" w:hAnsi="Univers" w:cs="Times New Roman"/>
          <w:color w:val="424242"/>
          <w:spacing w:val="7"/>
          <w:sz w:val="24"/>
          <w:szCs w:val="24"/>
          <w:lang w:val="es-ES_tradnl" w:eastAsia="es-MX"/>
        </w:rPr>
        <w:t xml:space="preserve">deben cumplir los escritos por los que se interpone un </w:t>
      </w:r>
      <w:r w:rsidRPr="00821A73">
        <w:rPr>
          <w:rFonts w:ascii="Univers" w:eastAsia="Times New Roman" w:hAnsi="Univers" w:cs="Times New Roman"/>
          <w:color w:val="424242"/>
          <w:spacing w:val="5"/>
          <w:sz w:val="24"/>
          <w:szCs w:val="24"/>
          <w:lang w:val="es-ES_tradnl" w:eastAsia="es-MX"/>
        </w:rPr>
        <w:t>recurso, y entre ellos, en su inciso e) establece que se deben "mencionar de manera expresa y clara los agra</w:t>
      </w:r>
      <w:r w:rsidRPr="00821A73">
        <w:rPr>
          <w:rFonts w:ascii="Univers" w:eastAsia="Times New Roman" w:hAnsi="Univers" w:cs="Times New Roman"/>
          <w:color w:val="424242"/>
          <w:spacing w:val="5"/>
          <w:sz w:val="24"/>
          <w:szCs w:val="24"/>
          <w:lang w:val="es-ES_tradnl" w:eastAsia="es-MX"/>
        </w:rPr>
        <w:softHyphen/>
      </w:r>
      <w:r w:rsidRPr="00821A73">
        <w:rPr>
          <w:rFonts w:ascii="Univers" w:eastAsia="Times New Roman" w:hAnsi="Univers" w:cs="Times New Roman"/>
          <w:color w:val="424242"/>
          <w:spacing w:val="7"/>
          <w:sz w:val="24"/>
          <w:szCs w:val="24"/>
          <w:lang w:val="es-ES_tradnl" w:eastAsia="es-MX"/>
        </w:rPr>
        <w:t xml:space="preserve">vios que cause el acto o resolución impugnado, los </w:t>
      </w:r>
      <w:r w:rsidRPr="00821A73">
        <w:rPr>
          <w:rFonts w:ascii="Univers" w:eastAsia="Times New Roman" w:hAnsi="Univers" w:cs="Times New Roman"/>
          <w:color w:val="424242"/>
          <w:spacing w:val="6"/>
          <w:sz w:val="24"/>
          <w:szCs w:val="24"/>
          <w:lang w:val="es-ES_tradnl" w:eastAsia="es-MX"/>
        </w:rPr>
        <w:t xml:space="preserve">preceptos presuntamente violados y los hechos en que se basa la impugnación". Este requisito debe cumplirse </w:t>
      </w:r>
      <w:r w:rsidRPr="00821A73">
        <w:rPr>
          <w:rFonts w:ascii="Univers" w:eastAsia="Times New Roman" w:hAnsi="Univers" w:cs="Times New Roman"/>
          <w:color w:val="424242"/>
          <w:spacing w:val="7"/>
          <w:sz w:val="24"/>
          <w:szCs w:val="24"/>
          <w:lang w:val="es-ES_tradnl" w:eastAsia="es-MX"/>
        </w:rPr>
        <w:t xml:space="preserve">en principio, no obstante que la propia ley electoral en </w:t>
      </w:r>
      <w:r w:rsidRPr="00821A73">
        <w:rPr>
          <w:rFonts w:ascii="Univers" w:eastAsia="Times New Roman" w:hAnsi="Univers" w:cs="Times New Roman"/>
          <w:color w:val="424242"/>
          <w:spacing w:val="6"/>
          <w:sz w:val="24"/>
          <w:szCs w:val="24"/>
          <w:lang w:val="es-ES_tradnl" w:eastAsia="es-MX"/>
        </w:rPr>
        <w:t xml:space="preserve">el mismo artículo, en su párrafo 4, inciso d), establece </w:t>
      </w:r>
      <w:r w:rsidRPr="00821A73">
        <w:rPr>
          <w:rFonts w:ascii="Univers" w:eastAsia="Times New Roman" w:hAnsi="Univers" w:cs="Times New Roman"/>
          <w:color w:val="424242"/>
          <w:spacing w:val="5"/>
          <w:sz w:val="24"/>
          <w:szCs w:val="24"/>
          <w:lang w:val="es-ES_tradnl" w:eastAsia="es-MX"/>
        </w:rPr>
        <w:t xml:space="preserve">una suplencia parcial al señalar que "cuando exista </w:t>
      </w:r>
      <w:r w:rsidRPr="00821A73">
        <w:rPr>
          <w:rFonts w:ascii="Univers" w:eastAsia="Times New Roman" w:hAnsi="Univers" w:cs="Times New Roman"/>
          <w:color w:val="424242"/>
          <w:spacing w:val="7"/>
          <w:sz w:val="24"/>
          <w:szCs w:val="24"/>
          <w:lang w:val="es-ES_tradnl" w:eastAsia="es-MX"/>
        </w:rPr>
        <w:t xml:space="preserve">deficiencia en la argumentación de los agravios pero </w:t>
      </w:r>
      <w:r w:rsidRPr="00821A73">
        <w:rPr>
          <w:rFonts w:ascii="Univers" w:eastAsia="Times New Roman" w:hAnsi="Univers" w:cs="Times New Roman"/>
          <w:color w:val="424242"/>
          <w:spacing w:val="6"/>
          <w:sz w:val="24"/>
          <w:szCs w:val="24"/>
          <w:lang w:val="es-ES_tradnl" w:eastAsia="es-MX"/>
        </w:rPr>
        <w:t xml:space="preserve">éstos puedan ser deducidos claramente de los hechos </w:t>
      </w:r>
      <w:r w:rsidRPr="00821A73">
        <w:rPr>
          <w:rFonts w:ascii="Univers" w:eastAsia="Times New Roman" w:hAnsi="Univers" w:cs="Times New Roman"/>
          <w:color w:val="424242"/>
          <w:spacing w:val="8"/>
          <w:sz w:val="24"/>
          <w:szCs w:val="24"/>
          <w:lang w:val="es-ES_tradnl" w:eastAsia="es-MX"/>
        </w:rPr>
        <w:t xml:space="preserve">expuestos en el recurso, la Sala no lo desechará y </w:t>
      </w:r>
      <w:r w:rsidRPr="00821A73">
        <w:rPr>
          <w:rFonts w:ascii="Univers" w:eastAsia="Times New Roman" w:hAnsi="Univers" w:cs="Times New Roman"/>
          <w:color w:val="424242"/>
          <w:spacing w:val="6"/>
          <w:sz w:val="24"/>
          <w:szCs w:val="24"/>
          <w:lang w:val="es-ES_tradnl" w:eastAsia="es-MX"/>
        </w:rPr>
        <w:t>resolverá con los elementos que obren en el expedien</w:t>
      </w:r>
      <w:r w:rsidRPr="00821A73">
        <w:rPr>
          <w:rFonts w:ascii="Univers" w:eastAsia="Times New Roman" w:hAnsi="Univers" w:cs="Times New Roman"/>
          <w:color w:val="424242"/>
          <w:spacing w:val="6"/>
          <w:sz w:val="24"/>
          <w:szCs w:val="24"/>
          <w:lang w:val="es-ES_tradnl" w:eastAsia="es-MX"/>
        </w:rPr>
        <w:softHyphen/>
      </w:r>
      <w:r w:rsidRPr="00821A73">
        <w:rPr>
          <w:rFonts w:ascii="Univers" w:eastAsia="Times New Roman" w:hAnsi="Univers" w:cs="Times New Roman"/>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821A73">
        <w:rPr>
          <w:rFonts w:ascii="Univers" w:eastAsia="Times New Roman" w:hAnsi="Univers" w:cs="Times New Roman"/>
          <w:color w:val="424242"/>
          <w:spacing w:val="4"/>
          <w:sz w:val="24"/>
          <w:szCs w:val="24"/>
          <w:lang w:val="es-ES_tradnl" w:eastAsia="es-MX"/>
        </w:rPr>
        <w:t xml:space="preserve">pero están deficientemente argumentados, las Salas de </w:t>
      </w:r>
      <w:r w:rsidRPr="00821A73">
        <w:rPr>
          <w:rFonts w:ascii="Univers" w:eastAsia="Times New Roman" w:hAnsi="Univers" w:cs="Times New Roman"/>
          <w:color w:val="424242"/>
          <w:spacing w:val="5"/>
          <w:sz w:val="24"/>
          <w:szCs w:val="24"/>
          <w:lang w:val="es-ES_tradnl" w:eastAsia="es-MX"/>
        </w:rPr>
        <w:t xml:space="preserve">Primera Instancia del Tribunal Federal Electoral deben </w:t>
      </w:r>
      <w:r w:rsidRPr="00821A73">
        <w:rPr>
          <w:rFonts w:ascii="Univers" w:eastAsia="Times New Roman" w:hAnsi="Univers" w:cs="Times New Roman"/>
          <w:color w:val="424242"/>
          <w:spacing w:val="6"/>
          <w:sz w:val="24"/>
          <w:szCs w:val="24"/>
          <w:lang w:val="es-ES_tradnl" w:eastAsia="es-MX"/>
        </w:rPr>
        <w:t xml:space="preserve">suplir dicha deficiencia, siempre que puedan deducirlos </w:t>
      </w:r>
      <w:r w:rsidRPr="00821A73">
        <w:rPr>
          <w:rFonts w:ascii="Univers" w:eastAsia="Times New Roman" w:hAnsi="Univers" w:cs="Times New Roman"/>
          <w:color w:val="424242"/>
          <w:spacing w:val="5"/>
          <w:sz w:val="24"/>
          <w:szCs w:val="24"/>
          <w:lang w:val="es-ES_tradnl" w:eastAsia="es-MX"/>
        </w:rPr>
        <w:t xml:space="preserve">claramente de los hechos expuestos en el recurso. Consecuentemente, la regla de la suplencia establecida </w:t>
      </w:r>
      <w:r w:rsidRPr="00821A73">
        <w:rPr>
          <w:rFonts w:ascii="Univers" w:eastAsia="Times New Roman" w:hAnsi="Univers" w:cs="Times New Roman"/>
          <w:color w:val="424242"/>
          <w:spacing w:val="8"/>
          <w:sz w:val="24"/>
          <w:szCs w:val="24"/>
          <w:lang w:val="es-ES_tradnl" w:eastAsia="es-MX"/>
        </w:rPr>
        <w:t xml:space="preserve">en el ordenamiento electoral presupone los siguientes </w:t>
      </w:r>
      <w:r w:rsidRPr="00821A73">
        <w:rPr>
          <w:rFonts w:ascii="Univers" w:eastAsia="Times New Roman" w:hAnsi="Univers" w:cs="Times New Roman"/>
          <w:color w:val="000000"/>
          <w:sz w:val="24"/>
          <w:szCs w:val="24"/>
          <w:lang w:val="es-ES_tradnl" w:eastAsia="es-MX"/>
        </w:rPr>
        <w:t>elementos ineludibles: a) que haya expresión de agra</w:t>
      </w:r>
      <w:r w:rsidRPr="00821A73">
        <w:rPr>
          <w:rFonts w:ascii="Univers" w:eastAsia="Times New Roman" w:hAnsi="Univers" w:cs="Times New Roman"/>
          <w:color w:val="000000"/>
          <w:sz w:val="24"/>
          <w:szCs w:val="24"/>
          <w:lang w:val="es-ES_tradnl" w:eastAsia="es-MX"/>
        </w:rPr>
        <w:softHyphen/>
        <w:t xml:space="preserve">vios, aunque ésta sea deficiente; b) que existan hechos; </w:t>
      </w:r>
      <w:r w:rsidRPr="00821A73">
        <w:rPr>
          <w:rFonts w:ascii="Univers" w:eastAsia="Times New Roman" w:hAnsi="Univers" w:cs="Times New Roman"/>
          <w:color w:val="000000"/>
          <w:spacing w:val="-1"/>
          <w:sz w:val="24"/>
          <w:szCs w:val="24"/>
          <w:lang w:val="es-ES_tradnl" w:eastAsia="es-MX"/>
        </w:rPr>
        <w:t>y c) que de los hechos las Salas puedan deducir clara</w:t>
      </w:r>
      <w:r w:rsidRPr="00821A73">
        <w:rPr>
          <w:rFonts w:ascii="Univers" w:eastAsia="Times New Roman" w:hAnsi="Univers" w:cs="Times New Roman"/>
          <w:color w:val="000000"/>
          <w:spacing w:val="-1"/>
          <w:sz w:val="24"/>
          <w:szCs w:val="24"/>
          <w:lang w:val="es-ES_tradnl" w:eastAsia="es-MX"/>
        </w:rPr>
        <w:softHyphen/>
      </w:r>
      <w:r w:rsidRPr="00821A73">
        <w:rPr>
          <w:rFonts w:ascii="Univers" w:eastAsia="Times New Roman" w:hAnsi="Univers" w:cs="Times New Roman"/>
          <w:color w:val="000000"/>
          <w:spacing w:val="3"/>
          <w:sz w:val="24"/>
          <w:szCs w:val="24"/>
          <w:lang w:val="es-ES_tradnl" w:eastAsia="es-MX"/>
        </w:rPr>
        <w:t xml:space="preserve">mente los agravios. Es claro que el legislador le dio a </w:t>
      </w:r>
      <w:r w:rsidRPr="00821A73">
        <w:rPr>
          <w:rFonts w:ascii="Univers" w:eastAsia="Times New Roman" w:hAnsi="Univers" w:cs="Times New Roman"/>
          <w:color w:val="000000"/>
          <w:spacing w:val="1"/>
          <w:sz w:val="24"/>
          <w:szCs w:val="24"/>
          <w:lang w:val="es-ES_tradnl" w:eastAsia="es-MX"/>
        </w:rPr>
        <w:t xml:space="preserve">las Salas una amplia facultad discrecional para deducir </w:t>
      </w:r>
      <w:r w:rsidRPr="00821A73">
        <w:rPr>
          <w:rFonts w:ascii="Univers" w:eastAsia="Times New Roman" w:hAnsi="Univers" w:cs="Times New Roman"/>
          <w:bCs/>
          <w:color w:val="000000"/>
          <w:spacing w:val="-2"/>
          <w:sz w:val="24"/>
          <w:szCs w:val="24"/>
          <w:lang w:val="es-ES_tradnl" w:eastAsia="es-MX"/>
        </w:rPr>
        <w:t>los</w:t>
      </w:r>
      <w:r w:rsidRPr="00821A73">
        <w:rPr>
          <w:rFonts w:ascii="Univers" w:eastAsia="Times New Roman" w:hAnsi="Univers" w:cs="Times New Roman"/>
          <w:b/>
          <w:bCs/>
          <w:color w:val="000000"/>
          <w:spacing w:val="-2"/>
          <w:sz w:val="24"/>
          <w:szCs w:val="24"/>
          <w:lang w:val="es-ES_tradnl" w:eastAsia="es-MX"/>
        </w:rPr>
        <w:t xml:space="preserve"> </w:t>
      </w:r>
      <w:r w:rsidRPr="00821A73">
        <w:rPr>
          <w:rFonts w:ascii="Univers" w:eastAsia="Times New Roman" w:hAnsi="Univers" w:cs="Times New Roman"/>
          <w:color w:val="000000"/>
          <w:spacing w:val="-2"/>
          <w:sz w:val="24"/>
          <w:szCs w:val="24"/>
          <w:lang w:val="es-ES_tradnl" w:eastAsia="es-MX"/>
        </w:rPr>
        <w:t xml:space="preserve">agravios y en consecuencia éstas lo pueden hacer si </w:t>
      </w:r>
      <w:r w:rsidRPr="00821A73">
        <w:rPr>
          <w:rFonts w:ascii="Univers" w:eastAsia="Times New Roman" w:hAnsi="Univers" w:cs="Times New Roman"/>
          <w:color w:val="000000"/>
          <w:spacing w:val="1"/>
          <w:sz w:val="24"/>
          <w:szCs w:val="24"/>
          <w:lang w:val="es-ES_tradnl" w:eastAsia="es-MX"/>
        </w:rPr>
        <w:t xml:space="preserve">encuentran en el recurso de inconformidad hechos, </w:t>
      </w:r>
      <w:r w:rsidRPr="00821A73">
        <w:rPr>
          <w:rFonts w:ascii="Univers" w:eastAsia="Times New Roman" w:hAnsi="Univers" w:cs="Times New Roman"/>
          <w:color w:val="000000"/>
          <w:spacing w:val="4"/>
          <w:sz w:val="24"/>
          <w:szCs w:val="24"/>
          <w:lang w:val="es-ES_tradnl" w:eastAsia="es-MX"/>
        </w:rPr>
        <w:t xml:space="preserve">señalamiento de actos o, inclusive, invocación de </w:t>
      </w:r>
      <w:r w:rsidRPr="00821A73">
        <w:rPr>
          <w:rFonts w:ascii="Univers" w:eastAsia="Times New Roman" w:hAnsi="Univers" w:cs="Times New Roman"/>
          <w:color w:val="000000"/>
          <w:spacing w:val="-2"/>
          <w:sz w:val="24"/>
          <w:szCs w:val="24"/>
          <w:lang w:val="es-ES_tradnl" w:eastAsia="es-MX"/>
        </w:rPr>
        <w:t xml:space="preserve">preceptos legales, de los cuales puedan deducirse los </w:t>
      </w:r>
      <w:r w:rsidRPr="00821A73">
        <w:rPr>
          <w:rFonts w:ascii="Univers" w:eastAsia="Times New Roman" w:hAnsi="Univers" w:cs="Times New Roman"/>
          <w:color w:val="000000"/>
          <w:spacing w:val="2"/>
          <w:sz w:val="24"/>
          <w:szCs w:val="24"/>
          <w:lang w:val="es-ES_tradnl" w:eastAsia="es-MX"/>
        </w:rPr>
        <w:t xml:space="preserve">agravios que pretende hacer valer el recurrente. No </w:t>
      </w:r>
      <w:r w:rsidRPr="00821A73">
        <w:rPr>
          <w:rFonts w:ascii="Univers" w:eastAsia="Times New Roman" w:hAnsi="Univers" w:cs="Times New Roman"/>
          <w:color w:val="000000"/>
          <w:sz w:val="24"/>
          <w:szCs w:val="24"/>
          <w:lang w:val="es-ES_tradnl" w:eastAsia="es-MX"/>
        </w:rPr>
        <w:t>obstante lo anterior, las Salas no deben, bajo el argu</w:t>
      </w:r>
      <w:r w:rsidRPr="00821A73">
        <w:rPr>
          <w:rFonts w:ascii="Univers" w:eastAsia="Times New Roman" w:hAnsi="Univers" w:cs="Times New Roman"/>
          <w:color w:val="000000"/>
          <w:sz w:val="24"/>
          <w:szCs w:val="24"/>
          <w:lang w:val="es-ES_tradnl" w:eastAsia="es-MX"/>
        </w:rPr>
        <w:softHyphen/>
        <w:t xml:space="preserve">mento de la aplicación del principio de exhaustividad de </w:t>
      </w:r>
      <w:r w:rsidRPr="00821A73">
        <w:rPr>
          <w:rFonts w:ascii="Univers" w:eastAsia="Times New Roman" w:hAnsi="Univers" w:cs="Times New Roman"/>
          <w:color w:val="000000"/>
          <w:spacing w:val="-1"/>
          <w:sz w:val="24"/>
          <w:szCs w:val="24"/>
          <w:lang w:val="es-ES_tradnl" w:eastAsia="es-MX"/>
        </w:rPr>
        <w:t xml:space="preserve">la sentencia, introducir, inventar o crear agravios que no </w:t>
      </w:r>
      <w:r w:rsidRPr="00821A73">
        <w:rPr>
          <w:rFonts w:ascii="Univers" w:eastAsia="Times New Roman" w:hAnsi="Univers" w:cs="Times New Roman"/>
          <w:color w:val="000000"/>
          <w:spacing w:val="-2"/>
          <w:sz w:val="24"/>
          <w:szCs w:val="24"/>
          <w:lang w:val="es-ES_tradnl" w:eastAsia="es-MX"/>
        </w:rPr>
        <w:t>puedan ser deducidos claramente de los hechos. Es con</w:t>
      </w:r>
      <w:r w:rsidRPr="00821A73">
        <w:rPr>
          <w:rFonts w:ascii="Univers" w:eastAsia="Times New Roman" w:hAnsi="Univers" w:cs="Times New Roman"/>
          <w:color w:val="000000"/>
          <w:spacing w:val="2"/>
          <w:sz w:val="24"/>
          <w:szCs w:val="24"/>
          <w:lang w:val="es-ES_tradnl" w:eastAsia="es-MX"/>
        </w:rPr>
        <w:t xml:space="preserve">cluyente por lo tanto, que el principio de exhaustividad </w:t>
      </w:r>
      <w:r w:rsidRPr="00821A73">
        <w:rPr>
          <w:rFonts w:ascii="Univers" w:eastAsia="Times New Roman" w:hAnsi="Univers" w:cs="Times New Roman"/>
          <w:color w:val="000000"/>
          <w:spacing w:val="-2"/>
          <w:sz w:val="24"/>
          <w:szCs w:val="24"/>
          <w:lang w:val="es-ES_tradnl" w:eastAsia="es-MX"/>
        </w:rPr>
        <w:t>tiene su límite, por una parte, en las facultades discrecio</w:t>
      </w:r>
      <w:r w:rsidRPr="00821A73">
        <w:rPr>
          <w:rFonts w:ascii="Univers" w:eastAsia="Times New Roman" w:hAnsi="Univers" w:cs="Times New Roman"/>
          <w:color w:val="000000"/>
          <w:spacing w:val="-2"/>
          <w:sz w:val="24"/>
          <w:szCs w:val="24"/>
          <w:lang w:val="es-ES_tradnl" w:eastAsia="es-MX"/>
        </w:rPr>
        <w:softHyphen/>
        <w:t xml:space="preserve">nales, que no arbitrarias, de las Salas para deducir de los </w:t>
      </w:r>
      <w:r w:rsidRPr="00821A73">
        <w:rPr>
          <w:rFonts w:ascii="Univers" w:eastAsia="Times New Roman" w:hAnsi="Univers" w:cs="Times New Roman"/>
          <w:color w:val="000000"/>
          <w:sz w:val="24"/>
          <w:szCs w:val="24"/>
          <w:lang w:val="es-ES_tradnl" w:eastAsia="es-MX"/>
        </w:rPr>
        <w:t xml:space="preserve">hechos los agravios y por otra, en los planteamientos </w:t>
      </w:r>
      <w:r w:rsidRPr="00821A73">
        <w:rPr>
          <w:rFonts w:ascii="Univers" w:eastAsia="Times New Roman" w:hAnsi="Univers" w:cs="Times New Roman"/>
          <w:color w:val="000000"/>
          <w:spacing w:val="-1"/>
          <w:sz w:val="24"/>
          <w:szCs w:val="24"/>
          <w:lang w:val="es-ES_tradnl" w:eastAsia="es-MX"/>
        </w:rPr>
        <w:t xml:space="preserve">mismos de los recurrentes. Cualquier exceso a dichos </w:t>
      </w:r>
      <w:r w:rsidRPr="00821A73">
        <w:rPr>
          <w:rFonts w:ascii="Univers" w:eastAsia="Times New Roman" w:hAnsi="Univers" w:cs="Times New Roman"/>
          <w:color w:val="000000"/>
          <w:spacing w:val="4"/>
          <w:sz w:val="24"/>
          <w:szCs w:val="24"/>
          <w:lang w:val="es-ES_tradnl" w:eastAsia="es-MX"/>
        </w:rPr>
        <w:t xml:space="preserve">límites viola la ley electoral y en consecuencia, ello </w:t>
      </w:r>
      <w:r w:rsidRPr="00821A73">
        <w:rPr>
          <w:rFonts w:ascii="Univers" w:eastAsia="Times New Roman" w:hAnsi="Univers" w:cs="Times New Roman"/>
          <w:color w:val="000000"/>
          <w:spacing w:val="-2"/>
          <w:sz w:val="24"/>
          <w:szCs w:val="24"/>
          <w:lang w:val="es-ES_tradnl" w:eastAsia="es-MX"/>
        </w:rPr>
        <w:t>puede ser argumentado ante la Sala de Segunda Instan</w:t>
      </w:r>
      <w:r w:rsidRPr="00821A73">
        <w:rPr>
          <w:rFonts w:ascii="Univers" w:eastAsia="Times New Roman" w:hAnsi="Univers" w:cs="Times New Roman"/>
          <w:color w:val="000000"/>
          <w:spacing w:val="-2"/>
          <w:sz w:val="24"/>
          <w:szCs w:val="24"/>
          <w:lang w:val="es-ES_tradnl" w:eastAsia="es-MX"/>
        </w:rPr>
        <w:softHyphen/>
      </w:r>
      <w:r w:rsidRPr="00821A73">
        <w:rPr>
          <w:rFonts w:ascii="Univers" w:eastAsia="Times New Roman" w:hAnsi="Univers" w:cs="Times New Roman"/>
          <w:color w:val="000000"/>
          <w:spacing w:val="5"/>
          <w:sz w:val="24"/>
          <w:szCs w:val="24"/>
          <w:lang w:val="es-ES_tradnl" w:eastAsia="es-MX"/>
        </w:rPr>
        <w:t xml:space="preserve">cia como agravio, el cual deberá ser estudiado en </w:t>
      </w:r>
      <w:r w:rsidRPr="00821A73">
        <w:rPr>
          <w:rFonts w:ascii="Univers" w:eastAsia="Times New Roman" w:hAnsi="Univers" w:cs="Times New Roman"/>
          <w:color w:val="000000"/>
          <w:spacing w:val="1"/>
          <w:sz w:val="24"/>
          <w:szCs w:val="24"/>
          <w:lang w:val="es-ES_tradnl" w:eastAsia="es-MX"/>
        </w:rPr>
        <w:t>estricto derecho, en virtud de que el recurso de recon</w:t>
      </w:r>
      <w:r w:rsidRPr="00821A73">
        <w:rPr>
          <w:rFonts w:ascii="Univers" w:eastAsia="Times New Roman" w:hAnsi="Univers" w:cs="Times New Roman"/>
          <w:color w:val="000000"/>
          <w:spacing w:val="1"/>
          <w:sz w:val="24"/>
          <w:szCs w:val="24"/>
          <w:lang w:val="es-ES_tradnl" w:eastAsia="es-MX"/>
        </w:rPr>
        <w:softHyphen/>
        <w:t xml:space="preserve">sideración, su tramitación y resolución, así como la </w:t>
      </w:r>
      <w:r w:rsidRPr="00821A73">
        <w:rPr>
          <w:rFonts w:ascii="Univers" w:eastAsia="Times New Roman" w:hAnsi="Univers" w:cs="Times New Roman"/>
          <w:color w:val="000000"/>
          <w:spacing w:val="-3"/>
          <w:sz w:val="24"/>
          <w:szCs w:val="24"/>
          <w:lang w:val="es-ES_tradnl" w:eastAsia="es-MX"/>
        </w:rPr>
        <w:t xml:space="preserve">actuación de la Sala de Segunda Instancia, se rige por tal </w:t>
      </w:r>
      <w:r w:rsidRPr="00821A73">
        <w:rPr>
          <w:rFonts w:ascii="Univers" w:eastAsia="Times New Roman" w:hAnsi="Univers" w:cs="Times New Roman"/>
          <w:color w:val="000000"/>
          <w:spacing w:val="5"/>
          <w:sz w:val="24"/>
          <w:szCs w:val="24"/>
          <w:lang w:val="es-ES_tradnl" w:eastAsia="es-MX"/>
        </w:rPr>
        <w:t xml:space="preserve">principio, por lo cual no hay posibilidad de suplencia </w:t>
      </w:r>
      <w:r w:rsidRPr="00821A73">
        <w:rPr>
          <w:rFonts w:ascii="Univers" w:eastAsia="Times New Roman" w:hAnsi="Univers" w:cs="Times New Roman"/>
          <w:color w:val="000000"/>
          <w:spacing w:val="-1"/>
          <w:sz w:val="24"/>
          <w:szCs w:val="24"/>
          <w:lang w:val="es-ES_tradnl" w:eastAsia="es-MX"/>
        </w:rPr>
        <w:t>del derecho ni de agravios o de su deficiente argumenta</w:t>
      </w:r>
      <w:r w:rsidRPr="00821A73">
        <w:rPr>
          <w:rFonts w:ascii="Univers" w:eastAsia="Times New Roman" w:hAnsi="Univers" w:cs="Times New Roman"/>
          <w:color w:val="000000"/>
          <w:spacing w:val="-1"/>
          <w:sz w:val="24"/>
          <w:szCs w:val="24"/>
          <w:lang w:val="es-ES_tradnl" w:eastAsia="es-MX"/>
        </w:rPr>
        <w:softHyphen/>
      </w:r>
      <w:r w:rsidRPr="00821A73">
        <w:rPr>
          <w:rFonts w:ascii="Univers" w:eastAsia="Times New Roman" w:hAnsi="Univers" w:cs="Times New Roman"/>
          <w:color w:val="000000"/>
          <w:spacing w:val="2"/>
          <w:sz w:val="24"/>
          <w:szCs w:val="24"/>
          <w:lang w:val="es-ES_tradnl" w:eastAsia="es-MX"/>
        </w:rPr>
        <w:t>ción.</w:t>
      </w:r>
    </w:p>
    <w:p w14:paraId="6F711A1A"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color w:val="000000"/>
          <w:spacing w:val="2"/>
          <w:sz w:val="24"/>
          <w:szCs w:val="24"/>
          <w:lang w:eastAsia="es-MX"/>
        </w:rPr>
      </w:pPr>
    </w:p>
    <w:p w14:paraId="61033E3F"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color w:val="000000"/>
          <w:spacing w:val="9"/>
          <w:sz w:val="24"/>
          <w:szCs w:val="24"/>
          <w:lang w:val="es-ES_tradnl" w:eastAsia="es-MX"/>
        </w:rPr>
      </w:pPr>
      <w:r w:rsidRPr="00821A73">
        <w:rPr>
          <w:rFonts w:ascii="Univers" w:eastAsia="Times New Roman" w:hAnsi="Univers" w:cs="Times New Roman"/>
          <w:b/>
          <w:bCs/>
          <w:color w:val="484848"/>
          <w:spacing w:val="-8"/>
          <w:sz w:val="24"/>
          <w:szCs w:val="24"/>
          <w:lang w:val="es-ES_tradnl" w:eastAsia="es-MX"/>
        </w:rPr>
        <w:t>103. SUPLENCIA DE LA DEFICIENCIA EN LA ARGU</w:t>
      </w:r>
      <w:r w:rsidRPr="00821A73">
        <w:rPr>
          <w:rFonts w:ascii="Univers" w:eastAsia="Times New Roman" w:hAnsi="Univers" w:cs="Times New Roman"/>
          <w:b/>
          <w:bCs/>
          <w:color w:val="484848"/>
          <w:spacing w:val="-8"/>
          <w:sz w:val="24"/>
          <w:szCs w:val="24"/>
          <w:lang w:val="es-ES_tradnl" w:eastAsia="es-MX"/>
        </w:rPr>
        <w:softHyphen/>
        <w:t xml:space="preserve">MENTACIÓN DE LOS AGRAVIOS. ALCANCE EN EL </w:t>
      </w:r>
      <w:r w:rsidRPr="00821A73">
        <w:rPr>
          <w:rFonts w:ascii="Univers" w:eastAsia="Times New Roman" w:hAnsi="Univers" w:cs="Times New Roman"/>
          <w:b/>
          <w:bCs/>
          <w:color w:val="484848"/>
          <w:spacing w:val="-6"/>
          <w:sz w:val="24"/>
          <w:szCs w:val="24"/>
          <w:lang w:val="es-ES_tradnl" w:eastAsia="es-MX"/>
        </w:rPr>
        <w:t xml:space="preserve">RECURSO DE INCONFORMIDAD.- </w:t>
      </w:r>
      <w:r w:rsidRPr="00821A73">
        <w:rPr>
          <w:rFonts w:ascii="Univers" w:eastAsia="Times New Roman" w:hAnsi="Univers" w:cs="Times New Roman"/>
          <w:color w:val="484848"/>
          <w:spacing w:val="-6"/>
          <w:sz w:val="24"/>
          <w:szCs w:val="24"/>
          <w:lang w:val="es-ES_tradnl" w:eastAsia="es-MX"/>
        </w:rPr>
        <w:t xml:space="preserve">Las Salas del </w:t>
      </w:r>
      <w:r w:rsidRPr="00821A73">
        <w:rPr>
          <w:rFonts w:ascii="Univers" w:eastAsia="Times New Roman" w:hAnsi="Univers" w:cs="Times New Roman"/>
          <w:color w:val="484848"/>
          <w:spacing w:val="-4"/>
          <w:sz w:val="24"/>
          <w:szCs w:val="24"/>
          <w:lang w:val="es-ES_tradnl" w:eastAsia="es-MX"/>
        </w:rPr>
        <w:t xml:space="preserve">Tribunal Federal Electoral, en aplicación de lo dispuesto </w:t>
      </w:r>
      <w:r w:rsidRPr="00821A73">
        <w:rPr>
          <w:rFonts w:ascii="Univers" w:eastAsia="Times New Roman" w:hAnsi="Univers" w:cs="Times New Roman"/>
          <w:color w:val="000000"/>
          <w:spacing w:val="5"/>
          <w:sz w:val="24"/>
          <w:szCs w:val="24"/>
          <w:lang w:val="es-ES_tradnl" w:eastAsia="es-MX"/>
        </w:rPr>
        <w:t xml:space="preserve">por el artículo 316, párrafo 4, incisos c) y d) del Código Federal de Instituciones y </w:t>
      </w:r>
      <w:r w:rsidRPr="00821A73">
        <w:rPr>
          <w:rFonts w:ascii="Univers" w:eastAsia="Times New Roman" w:hAnsi="Univers" w:cs="Times New Roman"/>
          <w:color w:val="000000"/>
          <w:spacing w:val="5"/>
          <w:sz w:val="24"/>
          <w:szCs w:val="24"/>
          <w:lang w:val="es-ES_tradnl" w:eastAsia="es-MX"/>
        </w:rPr>
        <w:lastRenderedPageBreak/>
        <w:t>Procedimientos Electorales, deben suplir la deficiencia en la argumentación de los agravios, mas no la omisión de los mismos, consideran</w:t>
      </w:r>
      <w:r w:rsidRPr="00821A73">
        <w:rPr>
          <w:rFonts w:ascii="Univers" w:eastAsia="Times New Roman" w:hAnsi="Univers" w:cs="Times New Roman"/>
          <w:color w:val="000000"/>
          <w:spacing w:val="5"/>
          <w:sz w:val="24"/>
          <w:szCs w:val="24"/>
          <w:lang w:val="es-ES_tradnl" w:eastAsia="es-MX"/>
        </w:rPr>
        <w:softHyphen/>
      </w:r>
      <w:r w:rsidRPr="00821A73">
        <w:rPr>
          <w:rFonts w:ascii="Univers" w:eastAsia="Times New Roman" w:hAnsi="Univers" w:cs="Times New Roman"/>
          <w:color w:val="000000"/>
          <w:spacing w:val="4"/>
          <w:sz w:val="24"/>
          <w:szCs w:val="24"/>
          <w:lang w:val="es-ES_tradnl" w:eastAsia="es-MX"/>
        </w:rPr>
        <w:t>do los agravios y hechos en que se fundan las impugna</w:t>
      </w:r>
      <w:r w:rsidRPr="00821A73">
        <w:rPr>
          <w:rFonts w:ascii="Univers" w:eastAsia="Times New Roman" w:hAnsi="Univers" w:cs="Times New Roman"/>
          <w:color w:val="000000"/>
          <w:spacing w:val="4"/>
          <w:sz w:val="24"/>
          <w:szCs w:val="24"/>
          <w:lang w:val="es-ES_tradnl" w:eastAsia="es-MX"/>
        </w:rPr>
        <w:softHyphen/>
      </w:r>
      <w:r w:rsidRPr="00821A73">
        <w:rPr>
          <w:rFonts w:ascii="Univers" w:eastAsia="Times New Roman" w:hAnsi="Univers" w:cs="Times New Roman"/>
          <w:color w:val="000000"/>
          <w:spacing w:val="3"/>
          <w:sz w:val="24"/>
          <w:szCs w:val="24"/>
          <w:lang w:val="es-ES_tradnl" w:eastAsia="es-MX"/>
        </w:rPr>
        <w:t>ciones del partido recurrente no como meras expresiones abstractas o genéricas, o bien, como simples apreciacio</w:t>
      </w:r>
      <w:r w:rsidRPr="00821A73">
        <w:rPr>
          <w:rFonts w:ascii="Univers" w:eastAsia="Times New Roman" w:hAnsi="Univers" w:cs="Times New Roman"/>
          <w:color w:val="000000"/>
          <w:spacing w:val="3"/>
          <w:sz w:val="24"/>
          <w:szCs w:val="24"/>
          <w:lang w:val="es-ES_tradnl" w:eastAsia="es-MX"/>
        </w:rPr>
        <w:softHyphen/>
      </w:r>
      <w:r w:rsidRPr="00821A73">
        <w:rPr>
          <w:rFonts w:ascii="Univers" w:eastAsia="Times New Roman" w:hAnsi="Univers" w:cs="Times New Roman"/>
          <w:color w:val="000000"/>
          <w:spacing w:val="4"/>
          <w:sz w:val="24"/>
          <w:szCs w:val="24"/>
          <w:lang w:val="es-ES_tradnl" w:eastAsia="es-MX"/>
        </w:rPr>
        <w:t xml:space="preserve">nes subjetivas, sino realizando su estudio y análisis, </w:t>
      </w:r>
      <w:r w:rsidRPr="00821A73">
        <w:rPr>
          <w:rFonts w:ascii="Univers" w:eastAsia="Times New Roman" w:hAnsi="Univers" w:cs="Times New Roman"/>
          <w:color w:val="000000"/>
          <w:spacing w:val="6"/>
          <w:sz w:val="24"/>
          <w:szCs w:val="24"/>
          <w:lang w:val="es-ES_tradnl" w:eastAsia="es-MX"/>
        </w:rPr>
        <w:t xml:space="preserve">vinculándolos con los hechos que el recurrente invoca como ilegales y con las demás disposiciones jurídicas </w:t>
      </w:r>
      <w:r w:rsidRPr="00821A73">
        <w:rPr>
          <w:rFonts w:ascii="Univers" w:eastAsia="Times New Roman" w:hAnsi="Univers" w:cs="Times New Roman"/>
          <w:color w:val="000000"/>
          <w:spacing w:val="7"/>
          <w:sz w:val="24"/>
          <w:szCs w:val="24"/>
          <w:lang w:val="es-ES_tradnl" w:eastAsia="es-MX"/>
        </w:rPr>
        <w:t xml:space="preserve">que igualmente señale como violadas, inclusive con </w:t>
      </w:r>
      <w:r w:rsidRPr="00821A73">
        <w:rPr>
          <w:rFonts w:ascii="Univers" w:eastAsia="Times New Roman" w:hAnsi="Univers" w:cs="Times New Roman"/>
          <w:color w:val="000000"/>
          <w:spacing w:val="8"/>
          <w:sz w:val="24"/>
          <w:szCs w:val="24"/>
          <w:lang w:val="es-ES_tradnl" w:eastAsia="es-MX"/>
        </w:rPr>
        <w:t xml:space="preserve">aquéllas que sean objeto de alguna infracción y que </w:t>
      </w:r>
      <w:r w:rsidRPr="00821A73">
        <w:rPr>
          <w:rFonts w:ascii="Univers" w:eastAsia="Times New Roman" w:hAnsi="Univers" w:cs="Times New Roman"/>
          <w:color w:val="000000"/>
          <w:spacing w:val="6"/>
          <w:sz w:val="24"/>
          <w:szCs w:val="24"/>
          <w:lang w:val="es-ES_tradnl" w:eastAsia="es-MX"/>
        </w:rPr>
        <w:t xml:space="preserve">omita citar el inconforme, </w:t>
      </w:r>
      <w:r w:rsidRPr="00821A73">
        <w:rPr>
          <w:rFonts w:ascii="Univers" w:eastAsia="Times New Roman" w:hAnsi="Univers" w:cs="Times New Roman"/>
          <w:i/>
          <w:iCs/>
          <w:color w:val="000000"/>
          <w:spacing w:val="6"/>
          <w:sz w:val="24"/>
          <w:szCs w:val="24"/>
          <w:lang w:val="es-ES_tradnl" w:eastAsia="es-MX"/>
        </w:rPr>
        <w:t xml:space="preserve">jura </w:t>
      </w:r>
      <w:proofErr w:type="spellStart"/>
      <w:r w:rsidRPr="00821A73">
        <w:rPr>
          <w:rFonts w:ascii="Univers" w:eastAsia="Times New Roman" w:hAnsi="Univers" w:cs="Times New Roman"/>
          <w:i/>
          <w:iCs/>
          <w:color w:val="000000"/>
          <w:spacing w:val="6"/>
          <w:sz w:val="24"/>
          <w:szCs w:val="24"/>
          <w:lang w:val="es-ES_tradnl" w:eastAsia="es-MX"/>
        </w:rPr>
        <w:t>novit</w:t>
      </w:r>
      <w:proofErr w:type="spellEnd"/>
      <w:r w:rsidRPr="00821A73">
        <w:rPr>
          <w:rFonts w:ascii="Univers" w:eastAsia="Times New Roman" w:hAnsi="Univers" w:cs="Times New Roman"/>
          <w:i/>
          <w:iCs/>
          <w:color w:val="000000"/>
          <w:spacing w:val="6"/>
          <w:sz w:val="24"/>
          <w:szCs w:val="24"/>
          <w:lang w:val="es-ES_tradnl" w:eastAsia="es-MX"/>
        </w:rPr>
        <w:t xml:space="preserve"> curia, </w:t>
      </w:r>
      <w:r w:rsidRPr="00821A73">
        <w:rPr>
          <w:rFonts w:ascii="Univers" w:eastAsia="Times New Roman" w:hAnsi="Univers" w:cs="Times New Roman"/>
          <w:color w:val="000000"/>
          <w:spacing w:val="6"/>
          <w:sz w:val="24"/>
          <w:szCs w:val="24"/>
          <w:lang w:val="es-ES_tradnl" w:eastAsia="es-MX"/>
        </w:rPr>
        <w:t>adminiculan</w:t>
      </w:r>
      <w:r w:rsidRPr="00821A73">
        <w:rPr>
          <w:rFonts w:ascii="Univers" w:eastAsia="Times New Roman" w:hAnsi="Univers" w:cs="Times New Roman"/>
          <w:color w:val="000000"/>
          <w:spacing w:val="6"/>
          <w:sz w:val="24"/>
          <w:szCs w:val="24"/>
          <w:lang w:val="es-ES_tradnl" w:eastAsia="es-MX"/>
        </w:rPr>
        <w:softHyphen/>
      </w:r>
      <w:r w:rsidRPr="00821A73">
        <w:rPr>
          <w:rFonts w:ascii="Univers" w:eastAsia="Times New Roman" w:hAnsi="Univers" w:cs="Times New Roman"/>
          <w:color w:val="000000"/>
          <w:spacing w:val="3"/>
          <w:sz w:val="24"/>
          <w:szCs w:val="24"/>
          <w:lang w:val="es-ES_tradnl" w:eastAsia="es-MX"/>
        </w:rPr>
        <w:t xml:space="preserve">do las pruebas y los demás elementos que constan y se </w:t>
      </w:r>
      <w:r w:rsidRPr="00821A73">
        <w:rPr>
          <w:rFonts w:ascii="Univers" w:eastAsia="Times New Roman" w:hAnsi="Univers" w:cs="Times New Roman"/>
          <w:color w:val="000000"/>
          <w:spacing w:val="6"/>
          <w:sz w:val="24"/>
          <w:szCs w:val="24"/>
          <w:lang w:val="es-ES_tradnl" w:eastAsia="es-MX"/>
        </w:rPr>
        <w:t xml:space="preserve">desprenden de autos, tanto los aportados por las partes </w:t>
      </w:r>
      <w:r w:rsidRPr="00821A73">
        <w:rPr>
          <w:rFonts w:ascii="Univers" w:eastAsia="Times New Roman" w:hAnsi="Univers" w:cs="Times New Roman"/>
          <w:color w:val="000000"/>
          <w:spacing w:val="4"/>
          <w:sz w:val="24"/>
          <w:szCs w:val="24"/>
          <w:lang w:val="es-ES_tradnl" w:eastAsia="es-MX"/>
        </w:rPr>
        <w:t xml:space="preserve">y el tercero interesado como los que requiera el Tribunal </w:t>
      </w:r>
      <w:r w:rsidRPr="00821A73">
        <w:rPr>
          <w:rFonts w:ascii="Univers" w:eastAsia="Times New Roman" w:hAnsi="Univers" w:cs="Times New Roman"/>
          <w:color w:val="000000"/>
          <w:spacing w:val="3"/>
          <w:sz w:val="24"/>
          <w:szCs w:val="24"/>
          <w:lang w:val="es-ES_tradnl" w:eastAsia="es-MX"/>
        </w:rPr>
        <w:t xml:space="preserve">Federal Electoral para mejor proveer, </w:t>
      </w:r>
      <w:proofErr w:type="spellStart"/>
      <w:r w:rsidRPr="00821A73">
        <w:rPr>
          <w:rFonts w:ascii="Univers" w:eastAsia="Times New Roman" w:hAnsi="Univers" w:cs="Times New Roman"/>
          <w:i/>
          <w:iCs/>
          <w:color w:val="000000"/>
          <w:spacing w:val="3"/>
          <w:sz w:val="24"/>
          <w:szCs w:val="24"/>
          <w:lang w:val="es-ES_tradnl" w:eastAsia="es-MX"/>
        </w:rPr>
        <w:t>pars</w:t>
      </w:r>
      <w:proofErr w:type="spellEnd"/>
      <w:r w:rsidRPr="00821A73">
        <w:rPr>
          <w:rFonts w:ascii="Univers" w:eastAsia="Times New Roman" w:hAnsi="Univers" w:cs="Times New Roman"/>
          <w:i/>
          <w:iCs/>
          <w:color w:val="000000"/>
          <w:spacing w:val="3"/>
          <w:sz w:val="24"/>
          <w:szCs w:val="24"/>
          <w:lang w:val="es-ES_tradnl" w:eastAsia="es-MX"/>
        </w:rPr>
        <w:t xml:space="preserve"> </w:t>
      </w:r>
      <w:proofErr w:type="spellStart"/>
      <w:r w:rsidRPr="00821A73">
        <w:rPr>
          <w:rFonts w:ascii="Univers" w:eastAsia="Times New Roman" w:hAnsi="Univers" w:cs="Times New Roman"/>
          <w:i/>
          <w:iCs/>
          <w:color w:val="000000"/>
          <w:spacing w:val="3"/>
          <w:sz w:val="24"/>
          <w:szCs w:val="24"/>
          <w:lang w:val="es-ES_tradnl" w:eastAsia="es-MX"/>
        </w:rPr>
        <w:t>est</w:t>
      </w:r>
      <w:proofErr w:type="spellEnd"/>
      <w:r w:rsidRPr="00821A73">
        <w:rPr>
          <w:rFonts w:ascii="Univers" w:eastAsia="Times New Roman" w:hAnsi="Univers" w:cs="Times New Roman"/>
          <w:i/>
          <w:iCs/>
          <w:color w:val="000000"/>
          <w:spacing w:val="3"/>
          <w:sz w:val="24"/>
          <w:szCs w:val="24"/>
          <w:lang w:val="es-ES_tradnl" w:eastAsia="es-MX"/>
        </w:rPr>
        <w:t xml:space="preserve"> in </w:t>
      </w:r>
      <w:proofErr w:type="spellStart"/>
      <w:r w:rsidRPr="00821A73">
        <w:rPr>
          <w:rFonts w:ascii="Univers" w:eastAsia="Times New Roman" w:hAnsi="Univers" w:cs="Times New Roman"/>
          <w:i/>
          <w:iCs/>
          <w:color w:val="000000"/>
          <w:spacing w:val="3"/>
          <w:sz w:val="24"/>
          <w:szCs w:val="24"/>
          <w:lang w:val="es-ES_tradnl" w:eastAsia="es-MX"/>
        </w:rPr>
        <w:t>toto</w:t>
      </w:r>
      <w:proofErr w:type="spellEnd"/>
      <w:r w:rsidRPr="00821A73">
        <w:rPr>
          <w:rFonts w:ascii="Univers" w:eastAsia="Times New Roman" w:hAnsi="Univers" w:cs="Times New Roman"/>
          <w:i/>
          <w:iCs/>
          <w:color w:val="000000"/>
          <w:spacing w:val="3"/>
          <w:sz w:val="24"/>
          <w:szCs w:val="24"/>
          <w:lang w:val="es-ES_tradnl" w:eastAsia="es-MX"/>
        </w:rPr>
        <w:t xml:space="preserve">, </w:t>
      </w:r>
      <w:r w:rsidRPr="00821A73">
        <w:rPr>
          <w:rFonts w:ascii="Univers" w:eastAsia="Times New Roman" w:hAnsi="Univers" w:cs="Times New Roman"/>
          <w:color w:val="000000"/>
          <w:spacing w:val="3"/>
          <w:sz w:val="24"/>
          <w:szCs w:val="24"/>
          <w:lang w:val="es-ES_tradnl" w:eastAsia="es-MX"/>
        </w:rPr>
        <w:t xml:space="preserve">ya </w:t>
      </w:r>
      <w:r w:rsidRPr="00821A73">
        <w:rPr>
          <w:rFonts w:ascii="Univers" w:eastAsia="Times New Roman" w:hAnsi="Univers" w:cs="Times New Roman"/>
          <w:color w:val="000000"/>
          <w:spacing w:val="4"/>
          <w:sz w:val="24"/>
          <w:szCs w:val="24"/>
          <w:lang w:val="es-ES_tradnl" w:eastAsia="es-MX"/>
        </w:rPr>
        <w:t>que el expediente debe ser objeto de un estudio exhaus</w:t>
      </w:r>
      <w:r w:rsidRPr="00821A73">
        <w:rPr>
          <w:rFonts w:ascii="Univers" w:eastAsia="Times New Roman" w:hAnsi="Univers" w:cs="Times New Roman"/>
          <w:color w:val="000000"/>
          <w:spacing w:val="4"/>
          <w:sz w:val="24"/>
          <w:szCs w:val="24"/>
          <w:lang w:val="es-ES_tradnl" w:eastAsia="es-MX"/>
        </w:rPr>
        <w:softHyphen/>
      </w:r>
      <w:r w:rsidRPr="00821A73">
        <w:rPr>
          <w:rFonts w:ascii="Univers" w:eastAsia="Times New Roman" w:hAnsi="Univers" w:cs="Times New Roman"/>
          <w:color w:val="000000"/>
          <w:spacing w:val="6"/>
          <w:sz w:val="24"/>
          <w:szCs w:val="24"/>
          <w:lang w:val="es-ES_tradnl" w:eastAsia="es-MX"/>
        </w:rPr>
        <w:t xml:space="preserve">tivo e integral, en observancia de lo previsto por los </w:t>
      </w:r>
      <w:r w:rsidRPr="00821A73">
        <w:rPr>
          <w:rFonts w:ascii="Univers" w:eastAsia="Times New Roman" w:hAnsi="Univers" w:cs="Times New Roman"/>
          <w:color w:val="000000"/>
          <w:spacing w:val="3"/>
          <w:sz w:val="24"/>
          <w:szCs w:val="24"/>
          <w:lang w:val="es-ES_tradnl" w:eastAsia="es-MX"/>
        </w:rPr>
        <w:t xml:space="preserve">artículos 316, párrafo 4, así como 326, párrafos 1 y 3 del </w:t>
      </w:r>
      <w:r w:rsidRPr="00821A73">
        <w:rPr>
          <w:rFonts w:ascii="Univers" w:eastAsia="Times New Roman" w:hAnsi="Univers" w:cs="Times New Roman"/>
          <w:color w:val="000000"/>
          <w:spacing w:val="9"/>
          <w:sz w:val="24"/>
          <w:szCs w:val="24"/>
          <w:lang w:val="es-ES_tradnl" w:eastAsia="es-MX"/>
        </w:rPr>
        <w:t>Código invocado.</w:t>
      </w:r>
    </w:p>
    <w:p w14:paraId="5477D8D1"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color w:val="000000"/>
          <w:spacing w:val="2"/>
          <w:sz w:val="24"/>
          <w:szCs w:val="24"/>
          <w:lang w:eastAsia="es-MX"/>
        </w:rPr>
      </w:pPr>
    </w:p>
    <w:p w14:paraId="14C5B347" w14:textId="77777777" w:rsidR="00821A73" w:rsidRPr="00821A73" w:rsidRDefault="00821A73" w:rsidP="00821A73">
      <w:pPr>
        <w:shd w:val="clear" w:color="auto" w:fill="FFFFFF"/>
        <w:spacing w:after="0" w:line="240" w:lineRule="auto"/>
        <w:ind w:right="669"/>
        <w:jc w:val="both"/>
        <w:rPr>
          <w:rFonts w:ascii="Univers" w:eastAsia="Times New Roman" w:hAnsi="Univers" w:cs="Times New Roman"/>
          <w:color w:val="000000"/>
          <w:spacing w:val="6"/>
          <w:sz w:val="24"/>
          <w:szCs w:val="24"/>
          <w:lang w:val="es-ES_tradnl" w:eastAsia="es-MX"/>
        </w:rPr>
      </w:pPr>
      <w:r w:rsidRPr="00821A73">
        <w:rPr>
          <w:rFonts w:ascii="Univers" w:eastAsia="Times New Roman" w:hAnsi="Univers" w:cs="Times New Roman"/>
          <w:b/>
          <w:bCs/>
          <w:color w:val="000000"/>
          <w:spacing w:val="-8"/>
          <w:sz w:val="24"/>
          <w:szCs w:val="24"/>
          <w:lang w:val="es-ES_tradnl" w:eastAsia="es-MX"/>
        </w:rPr>
        <w:t xml:space="preserve">AGRAVIOS INADVERTIDOS EN EL RECURSO DE </w:t>
      </w:r>
      <w:r w:rsidRPr="00821A73">
        <w:rPr>
          <w:rFonts w:ascii="Univers" w:eastAsia="Times New Roman" w:hAnsi="Univers" w:cs="Times New Roman"/>
          <w:b/>
          <w:bCs/>
          <w:color w:val="000000"/>
          <w:spacing w:val="-6"/>
          <w:sz w:val="24"/>
          <w:szCs w:val="24"/>
          <w:lang w:val="es-ES_tradnl" w:eastAsia="es-MX"/>
        </w:rPr>
        <w:t xml:space="preserve">INCONFORMIDAD. COMO DEBE TRATARSE LA </w:t>
      </w:r>
      <w:r w:rsidRPr="00821A73">
        <w:rPr>
          <w:rFonts w:ascii="Univers" w:eastAsia="Times New Roman" w:hAnsi="Univers" w:cs="Times New Roman"/>
          <w:b/>
          <w:bCs/>
          <w:color w:val="000000"/>
          <w:spacing w:val="-3"/>
          <w:sz w:val="24"/>
          <w:szCs w:val="24"/>
          <w:lang w:val="es-ES_tradnl" w:eastAsia="es-MX"/>
        </w:rPr>
        <w:t xml:space="preserve">CUESTIÓN EN SEGUNDA INSTANCIA.- </w:t>
      </w:r>
      <w:r w:rsidRPr="00821A73">
        <w:rPr>
          <w:rFonts w:ascii="Univers" w:eastAsia="Times New Roman" w:hAnsi="Univers" w:cs="Times New Roman"/>
          <w:color w:val="000000"/>
          <w:spacing w:val="-3"/>
          <w:sz w:val="24"/>
          <w:szCs w:val="24"/>
          <w:lang w:val="es-ES_tradnl" w:eastAsia="es-MX"/>
        </w:rPr>
        <w:t xml:space="preserve">De acuerdo </w:t>
      </w:r>
      <w:r w:rsidRPr="00821A73">
        <w:rPr>
          <w:rFonts w:ascii="Univers" w:eastAsia="Times New Roman" w:hAnsi="Univers" w:cs="Times New Roman"/>
          <w:color w:val="000000"/>
          <w:spacing w:val="1"/>
          <w:sz w:val="24"/>
          <w:szCs w:val="24"/>
          <w:lang w:val="es-ES_tradnl" w:eastAsia="es-MX"/>
        </w:rPr>
        <w:t xml:space="preserve">con el artículo 316, párrafo 1, inciso e) del Código </w:t>
      </w:r>
      <w:r w:rsidRPr="00821A73">
        <w:rPr>
          <w:rFonts w:ascii="Univers" w:eastAsia="Times New Roman" w:hAnsi="Univers" w:cs="Times New Roman"/>
          <w:color w:val="000000"/>
          <w:spacing w:val="-4"/>
          <w:sz w:val="24"/>
          <w:szCs w:val="24"/>
          <w:lang w:val="es-ES_tradnl" w:eastAsia="es-MX"/>
        </w:rPr>
        <w:t xml:space="preserve">Federal de Instituciones y Procedimientos Electorales, </w:t>
      </w:r>
      <w:r w:rsidRPr="00821A73">
        <w:rPr>
          <w:rFonts w:ascii="Univers" w:eastAsia="Times New Roman" w:hAnsi="Univers" w:cs="Times New Roman"/>
          <w:color w:val="000000"/>
          <w:spacing w:val="-2"/>
          <w:sz w:val="24"/>
          <w:szCs w:val="24"/>
          <w:lang w:val="es-ES_tradnl" w:eastAsia="es-MX"/>
        </w:rPr>
        <w:t xml:space="preserve">quien interpone la inconformidad deberá mencionar de </w:t>
      </w:r>
      <w:r w:rsidRPr="00821A73">
        <w:rPr>
          <w:rFonts w:ascii="Univers" w:eastAsia="Times New Roman" w:hAnsi="Univers" w:cs="Times New Roman"/>
          <w:color w:val="000000"/>
          <w:spacing w:val="-6"/>
          <w:sz w:val="24"/>
          <w:szCs w:val="24"/>
          <w:lang w:val="es-ES_tradnl" w:eastAsia="es-MX"/>
        </w:rPr>
        <w:t xml:space="preserve">manera expresa y clara los agravios que cause el acto o </w:t>
      </w:r>
      <w:r w:rsidRPr="00821A73">
        <w:rPr>
          <w:rFonts w:ascii="Univers" w:eastAsia="Times New Roman" w:hAnsi="Univers" w:cs="Times New Roman"/>
          <w:color w:val="000000"/>
          <w:spacing w:val="-3"/>
          <w:sz w:val="24"/>
          <w:szCs w:val="24"/>
          <w:lang w:val="es-ES_tradnl" w:eastAsia="es-MX"/>
        </w:rPr>
        <w:t xml:space="preserve">resolución impugnado, los preceptos presuntamente </w:t>
      </w:r>
      <w:r w:rsidRPr="00821A73">
        <w:rPr>
          <w:rFonts w:ascii="Univers" w:eastAsia="Times New Roman" w:hAnsi="Univers" w:cs="Times New Roman"/>
          <w:color w:val="000000"/>
          <w:spacing w:val="-5"/>
          <w:sz w:val="24"/>
          <w:szCs w:val="24"/>
          <w:lang w:val="es-ES_tradnl" w:eastAsia="es-MX"/>
        </w:rPr>
        <w:t xml:space="preserve">violados y los hechos en que se basa la impugnación, de </w:t>
      </w:r>
      <w:r w:rsidRPr="00821A73">
        <w:rPr>
          <w:rFonts w:ascii="Univers" w:eastAsia="Times New Roman" w:hAnsi="Univers" w:cs="Times New Roman"/>
          <w:color w:val="000000"/>
          <w:spacing w:val="2"/>
          <w:sz w:val="24"/>
          <w:szCs w:val="24"/>
          <w:lang w:val="es-ES_tradnl" w:eastAsia="es-MX"/>
        </w:rPr>
        <w:t xml:space="preserve">lo cual se advierte que, en principio, los agravios </w:t>
      </w:r>
      <w:r w:rsidRPr="00821A73">
        <w:rPr>
          <w:rFonts w:ascii="Univers" w:eastAsia="Times New Roman" w:hAnsi="Univers" w:cs="Times New Roman"/>
          <w:color w:val="000000"/>
          <w:spacing w:val="-4"/>
          <w:sz w:val="24"/>
          <w:szCs w:val="24"/>
          <w:lang w:val="es-ES_tradnl" w:eastAsia="es-MX"/>
        </w:rPr>
        <w:t xml:space="preserve">deberían cumplir con los siguientes requisitos lógicos y jurídicos: a).- Ser claros, o sea, que el </w:t>
      </w:r>
      <w:proofErr w:type="spellStart"/>
      <w:r w:rsidRPr="00821A73">
        <w:rPr>
          <w:rFonts w:ascii="Univers" w:eastAsia="Times New Roman" w:hAnsi="Univers" w:cs="Times New Roman"/>
          <w:color w:val="000000"/>
          <w:spacing w:val="-4"/>
          <w:sz w:val="24"/>
          <w:szCs w:val="24"/>
          <w:lang w:val="es-ES_tradnl" w:eastAsia="es-MX"/>
        </w:rPr>
        <w:t>promovente</w:t>
      </w:r>
      <w:proofErr w:type="spellEnd"/>
      <w:r w:rsidRPr="00821A73">
        <w:rPr>
          <w:rFonts w:ascii="Univers" w:eastAsia="Times New Roman" w:hAnsi="Univers" w:cs="Times New Roman"/>
          <w:color w:val="000000"/>
          <w:spacing w:val="-4"/>
          <w:sz w:val="24"/>
          <w:szCs w:val="24"/>
          <w:lang w:val="es-ES_tradnl" w:eastAsia="es-MX"/>
        </w:rPr>
        <w:t xml:space="preserve"> tiene que precisar cuál es la parte de la resolución impugnada </w:t>
      </w:r>
      <w:r w:rsidRPr="00821A73">
        <w:rPr>
          <w:rFonts w:ascii="Univers" w:eastAsia="Times New Roman" w:hAnsi="Univers" w:cs="Times New Roman"/>
          <w:color w:val="000000"/>
          <w:sz w:val="24"/>
          <w:szCs w:val="24"/>
          <w:lang w:val="es-ES_tradnl" w:eastAsia="es-MX"/>
        </w:rPr>
        <w:t xml:space="preserve">o del acto que lesiona sus derechos; b).- Citar los </w:t>
      </w:r>
      <w:r w:rsidRPr="00821A73">
        <w:rPr>
          <w:rFonts w:ascii="Univers" w:eastAsia="Times New Roman" w:hAnsi="Univers" w:cs="Times New Roman"/>
          <w:color w:val="000000"/>
          <w:spacing w:val="-6"/>
          <w:sz w:val="24"/>
          <w:szCs w:val="24"/>
          <w:lang w:val="es-ES_tradnl" w:eastAsia="es-MX"/>
        </w:rPr>
        <w:t xml:space="preserve">preceptos legales que el recurrente estima violados; y c).- Expresar los hechos o las consideraciones jurídicas para </w:t>
      </w:r>
      <w:r w:rsidRPr="00821A73">
        <w:rPr>
          <w:rFonts w:ascii="Univers" w:eastAsia="Times New Roman" w:hAnsi="Univers" w:cs="Times New Roman"/>
          <w:color w:val="000000"/>
          <w:sz w:val="24"/>
          <w:szCs w:val="24"/>
          <w:lang w:val="es-ES_tradnl" w:eastAsia="es-MX"/>
        </w:rPr>
        <w:t xml:space="preserve">justificar la violación alegada. Con la reforma que se </w:t>
      </w:r>
      <w:r w:rsidRPr="00821A73">
        <w:rPr>
          <w:rFonts w:ascii="Univers" w:eastAsia="Times New Roman" w:hAnsi="Univers" w:cs="Times New Roman"/>
          <w:color w:val="000000"/>
          <w:spacing w:val="-4"/>
          <w:sz w:val="24"/>
          <w:szCs w:val="24"/>
          <w:lang w:val="es-ES_tradnl" w:eastAsia="es-MX"/>
        </w:rPr>
        <w:t xml:space="preserve">hizo al Código mencionado en el mes de septiembre de </w:t>
      </w:r>
      <w:r w:rsidRPr="00821A73">
        <w:rPr>
          <w:rFonts w:ascii="Univers" w:eastAsia="Times New Roman" w:hAnsi="Univers" w:cs="Times New Roman"/>
          <w:color w:val="000000"/>
          <w:spacing w:val="-2"/>
          <w:sz w:val="24"/>
          <w:szCs w:val="24"/>
          <w:lang w:val="es-ES_tradnl" w:eastAsia="es-MX"/>
        </w:rPr>
        <w:t xml:space="preserve">1993, fue adicionado el artículo 316, agregándole un </w:t>
      </w:r>
      <w:r w:rsidRPr="00821A73">
        <w:rPr>
          <w:rFonts w:ascii="Univers" w:eastAsia="Times New Roman" w:hAnsi="Univers" w:cs="Times New Roman"/>
          <w:color w:val="000000"/>
          <w:spacing w:val="-5"/>
          <w:sz w:val="24"/>
          <w:szCs w:val="24"/>
          <w:lang w:val="es-ES_tradnl" w:eastAsia="es-MX"/>
        </w:rPr>
        <w:t xml:space="preserve">inciso d) al párrafo 4, del tenor siguiente: "Cuando exista </w:t>
      </w:r>
      <w:r w:rsidRPr="00821A73">
        <w:rPr>
          <w:rFonts w:ascii="Univers" w:eastAsia="Times New Roman" w:hAnsi="Univers" w:cs="Times New Roman"/>
          <w:color w:val="000000"/>
          <w:spacing w:val="-2"/>
          <w:sz w:val="24"/>
          <w:szCs w:val="24"/>
          <w:lang w:val="es-ES_tradnl" w:eastAsia="es-MX"/>
        </w:rPr>
        <w:t xml:space="preserve">deficiencia en la argumentación de los agravios, pero </w:t>
      </w:r>
      <w:r w:rsidRPr="00821A73">
        <w:rPr>
          <w:rFonts w:ascii="Univers" w:eastAsia="Times New Roman" w:hAnsi="Univers" w:cs="Times New Roman"/>
          <w:color w:val="000000"/>
          <w:spacing w:val="-5"/>
          <w:sz w:val="24"/>
          <w:szCs w:val="24"/>
          <w:lang w:val="es-ES_tradnl" w:eastAsia="es-MX"/>
        </w:rPr>
        <w:t xml:space="preserve">éstos puedan ser deducidos claramente de los hechos </w:t>
      </w:r>
      <w:r w:rsidRPr="00821A73">
        <w:rPr>
          <w:rFonts w:ascii="Univers" w:eastAsia="Times New Roman" w:hAnsi="Univers" w:cs="Times New Roman"/>
          <w:color w:val="000000"/>
          <w:spacing w:val="-1"/>
          <w:sz w:val="24"/>
          <w:szCs w:val="24"/>
          <w:lang w:val="es-ES_tradnl" w:eastAsia="es-MX"/>
        </w:rPr>
        <w:t xml:space="preserve">expuestos en el recurso, la Sala no lo desechará y </w:t>
      </w:r>
      <w:r w:rsidRPr="00821A73">
        <w:rPr>
          <w:rFonts w:ascii="Univers" w:eastAsia="Times New Roman" w:hAnsi="Univers" w:cs="Times New Roman"/>
          <w:color w:val="000000"/>
          <w:spacing w:val="-3"/>
          <w:sz w:val="24"/>
          <w:szCs w:val="24"/>
          <w:lang w:val="es-ES_tradnl" w:eastAsia="es-MX"/>
        </w:rPr>
        <w:t>resolverá con los elementos que obren en el expedien</w:t>
      </w:r>
      <w:r w:rsidRPr="00821A73">
        <w:rPr>
          <w:rFonts w:ascii="Univers" w:eastAsia="Times New Roman" w:hAnsi="Univers" w:cs="Times New Roman"/>
          <w:color w:val="000000"/>
          <w:spacing w:val="-3"/>
          <w:sz w:val="24"/>
          <w:szCs w:val="24"/>
          <w:lang w:val="es-ES_tradnl" w:eastAsia="es-MX"/>
        </w:rPr>
        <w:softHyphen/>
      </w:r>
      <w:r w:rsidRPr="00821A73">
        <w:rPr>
          <w:rFonts w:ascii="Univers" w:eastAsia="Times New Roman" w:hAnsi="Univers" w:cs="Times New Roman"/>
          <w:color w:val="000000"/>
          <w:spacing w:val="1"/>
          <w:sz w:val="24"/>
          <w:szCs w:val="24"/>
          <w:lang w:val="es-ES_tradnl" w:eastAsia="es-MX"/>
        </w:rPr>
        <w:t xml:space="preserve">te." En esta adición el legislador concedió amplia </w:t>
      </w:r>
      <w:r w:rsidRPr="00821A73">
        <w:rPr>
          <w:rFonts w:ascii="Univers" w:eastAsia="Times New Roman" w:hAnsi="Univers" w:cs="Times New Roman"/>
          <w:color w:val="000000"/>
          <w:spacing w:val="-6"/>
          <w:sz w:val="24"/>
          <w:szCs w:val="24"/>
          <w:lang w:val="es-ES_tradnl" w:eastAsia="es-MX"/>
        </w:rPr>
        <w:t xml:space="preserve">capacidad de apreciación discrecional a las Salas Central </w:t>
      </w:r>
      <w:r w:rsidRPr="00821A73">
        <w:rPr>
          <w:rFonts w:ascii="Univers" w:eastAsia="Times New Roman" w:hAnsi="Univers" w:cs="Times New Roman"/>
          <w:color w:val="000000"/>
          <w:spacing w:val="-4"/>
          <w:sz w:val="24"/>
          <w:szCs w:val="24"/>
          <w:lang w:val="es-ES_tradnl" w:eastAsia="es-MX"/>
        </w:rPr>
        <w:t xml:space="preserve">y Regionales, para determinar si de los hechos pueden </w:t>
      </w:r>
      <w:r w:rsidRPr="00821A73">
        <w:rPr>
          <w:rFonts w:ascii="Univers" w:eastAsia="Times New Roman" w:hAnsi="Univers" w:cs="Times New Roman"/>
          <w:color w:val="000000"/>
          <w:spacing w:val="-6"/>
          <w:sz w:val="24"/>
          <w:szCs w:val="24"/>
          <w:lang w:val="es-ES_tradnl" w:eastAsia="es-MX"/>
        </w:rPr>
        <w:t xml:space="preserve">ser deducidos claramente agravios; y al hablar de hechos </w:t>
      </w:r>
      <w:r w:rsidRPr="00821A73">
        <w:rPr>
          <w:rFonts w:ascii="Univers" w:eastAsia="Times New Roman" w:hAnsi="Univers" w:cs="Times New Roman"/>
          <w:color w:val="000000"/>
          <w:spacing w:val="1"/>
          <w:sz w:val="24"/>
          <w:szCs w:val="24"/>
          <w:lang w:val="es-ES_tradnl" w:eastAsia="es-MX"/>
        </w:rPr>
        <w:t xml:space="preserve">lo hizo en el sentido más amplio, de tal manera que </w:t>
      </w:r>
      <w:r w:rsidRPr="00821A73">
        <w:rPr>
          <w:rFonts w:ascii="Univers" w:eastAsia="Times New Roman" w:hAnsi="Univers" w:cs="Times New Roman"/>
          <w:color w:val="000000"/>
          <w:spacing w:val="-2"/>
          <w:sz w:val="24"/>
          <w:szCs w:val="24"/>
          <w:lang w:val="es-ES_tradnl" w:eastAsia="es-MX"/>
        </w:rPr>
        <w:t xml:space="preserve">ante cualquier expresión, inclusive la mención o la </w:t>
      </w:r>
      <w:r w:rsidRPr="00821A73">
        <w:rPr>
          <w:rFonts w:ascii="Univers" w:eastAsia="Times New Roman" w:hAnsi="Univers" w:cs="Times New Roman"/>
          <w:color w:val="000000"/>
          <w:spacing w:val="-3"/>
          <w:sz w:val="24"/>
          <w:szCs w:val="24"/>
          <w:lang w:val="es-ES_tradnl" w:eastAsia="es-MX"/>
        </w:rPr>
        <w:t xml:space="preserve">identificación de una norma que contiene una causa de nulidad, se da la posibilidad de deducir la existencia de </w:t>
      </w:r>
      <w:r w:rsidRPr="00821A73">
        <w:rPr>
          <w:rFonts w:ascii="Univers" w:eastAsia="Times New Roman" w:hAnsi="Univers" w:cs="Times New Roman"/>
          <w:color w:val="000000"/>
          <w:spacing w:val="-4"/>
          <w:sz w:val="24"/>
          <w:szCs w:val="24"/>
          <w:lang w:val="es-ES_tradnl" w:eastAsia="es-MX"/>
        </w:rPr>
        <w:t xml:space="preserve">un agravio, toda vez que tales expresiones conllevan </w:t>
      </w:r>
      <w:r w:rsidRPr="00821A73">
        <w:rPr>
          <w:rFonts w:ascii="Univers" w:eastAsia="Times New Roman" w:hAnsi="Univers" w:cs="Times New Roman"/>
          <w:color w:val="000000"/>
          <w:spacing w:val="-5"/>
          <w:sz w:val="24"/>
          <w:szCs w:val="24"/>
          <w:lang w:val="es-ES_tradnl" w:eastAsia="es-MX"/>
        </w:rPr>
        <w:t xml:space="preserve">hechos, como por ejemplo la manifestación de que hubo </w:t>
      </w:r>
      <w:r w:rsidRPr="00821A73">
        <w:rPr>
          <w:rFonts w:ascii="Univers" w:eastAsia="Times New Roman" w:hAnsi="Univers" w:cs="Times New Roman"/>
          <w:color w:val="000000"/>
          <w:spacing w:val="-3"/>
          <w:sz w:val="24"/>
          <w:szCs w:val="24"/>
          <w:lang w:val="es-ES_tradnl" w:eastAsia="es-MX"/>
        </w:rPr>
        <w:t xml:space="preserve">error en la computación de los votos o el señalamiento </w:t>
      </w:r>
      <w:r w:rsidRPr="00821A73">
        <w:rPr>
          <w:rFonts w:ascii="Univers" w:eastAsia="Times New Roman" w:hAnsi="Univers" w:cs="Times New Roman"/>
          <w:color w:val="000000"/>
          <w:spacing w:val="-2"/>
          <w:sz w:val="24"/>
          <w:szCs w:val="24"/>
          <w:lang w:val="es-ES_tradnl" w:eastAsia="es-MX"/>
        </w:rPr>
        <w:t xml:space="preserve">del artículo 287, párrafo 1, inciso f) del citado código. </w:t>
      </w:r>
      <w:r w:rsidRPr="00821A73">
        <w:rPr>
          <w:rFonts w:ascii="Univers" w:eastAsia="Times New Roman" w:hAnsi="Univers" w:cs="Times New Roman"/>
          <w:color w:val="000000"/>
          <w:spacing w:val="-3"/>
          <w:sz w:val="24"/>
          <w:szCs w:val="24"/>
          <w:lang w:val="es-ES_tradnl" w:eastAsia="es-MX"/>
        </w:rPr>
        <w:t xml:space="preserve">Empero, esto queda al arbitrio del </w:t>
      </w:r>
      <w:proofErr w:type="spellStart"/>
      <w:r w:rsidRPr="00821A73">
        <w:rPr>
          <w:rFonts w:ascii="Univers" w:eastAsia="Times New Roman" w:hAnsi="Univers" w:cs="Times New Roman"/>
          <w:color w:val="000000"/>
          <w:spacing w:val="-3"/>
          <w:sz w:val="24"/>
          <w:szCs w:val="24"/>
          <w:lang w:val="es-ES_tradnl" w:eastAsia="es-MX"/>
        </w:rPr>
        <w:t>juzgador</w:t>
      </w:r>
      <w:proofErr w:type="spellEnd"/>
      <w:r w:rsidRPr="00821A73">
        <w:rPr>
          <w:rFonts w:ascii="Univers" w:eastAsia="Times New Roman" w:hAnsi="Univers" w:cs="Times New Roman"/>
          <w:color w:val="000000"/>
          <w:spacing w:val="-3"/>
          <w:sz w:val="24"/>
          <w:szCs w:val="24"/>
          <w:lang w:val="es-ES_tradnl" w:eastAsia="es-MX"/>
        </w:rPr>
        <w:t xml:space="preserve"> de primera </w:t>
      </w:r>
      <w:r w:rsidRPr="00821A73">
        <w:rPr>
          <w:rFonts w:ascii="Univers" w:eastAsia="Times New Roman" w:hAnsi="Univers" w:cs="Times New Roman"/>
          <w:color w:val="000000"/>
          <w:spacing w:val="-2"/>
          <w:sz w:val="24"/>
          <w:szCs w:val="24"/>
          <w:lang w:val="es-ES_tradnl" w:eastAsia="es-MX"/>
        </w:rPr>
        <w:t>instancia, el cual si deduce la existencia de agravios, tiene la obligación de admitir el recurso de inconformi</w:t>
      </w:r>
      <w:r w:rsidRPr="00821A73">
        <w:rPr>
          <w:rFonts w:ascii="Univers" w:eastAsia="Times New Roman" w:hAnsi="Univers" w:cs="Times New Roman"/>
          <w:color w:val="000000"/>
          <w:spacing w:val="-2"/>
          <w:sz w:val="24"/>
          <w:szCs w:val="24"/>
          <w:lang w:val="es-ES_tradnl" w:eastAsia="es-MX"/>
        </w:rPr>
        <w:softHyphen/>
      </w:r>
      <w:r w:rsidRPr="00821A73">
        <w:rPr>
          <w:rFonts w:ascii="Univers" w:eastAsia="Times New Roman" w:hAnsi="Univers" w:cs="Times New Roman"/>
          <w:color w:val="000000"/>
          <w:spacing w:val="-4"/>
          <w:sz w:val="24"/>
          <w:szCs w:val="24"/>
          <w:lang w:val="es-ES_tradnl" w:eastAsia="es-MX"/>
        </w:rPr>
        <w:t xml:space="preserve">dad y de resolverlo con los elementos que obren en el </w:t>
      </w:r>
      <w:r w:rsidRPr="00821A73">
        <w:rPr>
          <w:rFonts w:ascii="Univers" w:eastAsia="Times New Roman" w:hAnsi="Univers" w:cs="Times New Roman"/>
          <w:color w:val="000000"/>
          <w:spacing w:val="-3"/>
          <w:sz w:val="24"/>
          <w:szCs w:val="24"/>
          <w:lang w:val="es-ES_tradnl" w:eastAsia="es-MX"/>
        </w:rPr>
        <w:t xml:space="preserve">expediente. Como consecuencia de lo anterior, cuando </w:t>
      </w:r>
      <w:r w:rsidRPr="00821A73">
        <w:rPr>
          <w:rFonts w:ascii="Univers" w:eastAsia="Times New Roman" w:hAnsi="Univers" w:cs="Times New Roman"/>
          <w:color w:val="000000"/>
          <w:sz w:val="24"/>
          <w:szCs w:val="24"/>
          <w:lang w:val="es-ES_tradnl" w:eastAsia="es-MX"/>
        </w:rPr>
        <w:t xml:space="preserve">en el recurso de reconsideración se aduzca que el </w:t>
      </w:r>
      <w:r w:rsidRPr="00821A73">
        <w:rPr>
          <w:rFonts w:ascii="Univers" w:eastAsia="Times New Roman" w:hAnsi="Univers" w:cs="Times New Roman"/>
          <w:color w:val="000000"/>
          <w:spacing w:val="-2"/>
          <w:sz w:val="24"/>
          <w:szCs w:val="24"/>
          <w:lang w:val="es-ES_tradnl" w:eastAsia="es-MX"/>
        </w:rPr>
        <w:t xml:space="preserve">órgano jurisdiccional de primer grado no advirtió la </w:t>
      </w:r>
      <w:r w:rsidRPr="00821A73">
        <w:rPr>
          <w:rFonts w:ascii="Univers" w:eastAsia="Times New Roman" w:hAnsi="Univers" w:cs="Times New Roman"/>
          <w:color w:val="000000"/>
          <w:spacing w:val="-4"/>
          <w:sz w:val="24"/>
          <w:szCs w:val="24"/>
          <w:lang w:val="es-ES_tradnl" w:eastAsia="es-MX"/>
        </w:rPr>
        <w:t xml:space="preserve">existencia de agravios en el escrito de inconformidad, la </w:t>
      </w:r>
      <w:r w:rsidRPr="00821A73">
        <w:rPr>
          <w:rFonts w:ascii="Univers" w:eastAsia="Times New Roman" w:hAnsi="Univers" w:cs="Times New Roman"/>
          <w:color w:val="000000"/>
          <w:spacing w:val="-1"/>
          <w:sz w:val="24"/>
          <w:szCs w:val="24"/>
          <w:lang w:val="es-ES_tradnl" w:eastAsia="es-MX"/>
        </w:rPr>
        <w:t xml:space="preserve">Sala </w:t>
      </w:r>
      <w:r w:rsidRPr="00821A73">
        <w:rPr>
          <w:rFonts w:ascii="Univers" w:eastAsia="Times New Roman" w:hAnsi="Univers" w:cs="Times New Roman"/>
          <w:color w:val="000000"/>
          <w:spacing w:val="-1"/>
          <w:sz w:val="24"/>
          <w:szCs w:val="24"/>
          <w:lang w:val="es-ES_tradnl" w:eastAsia="es-MX"/>
        </w:rPr>
        <w:lastRenderedPageBreak/>
        <w:t xml:space="preserve">de Segunda Instancia debe tener en cuenta la amplia capacidad discrecional que el legislador otorgó </w:t>
      </w:r>
      <w:r w:rsidRPr="00821A73">
        <w:rPr>
          <w:rFonts w:ascii="Univers" w:eastAsia="Times New Roman" w:hAnsi="Univers" w:cs="Times New Roman"/>
          <w:color w:val="000000"/>
          <w:sz w:val="24"/>
          <w:szCs w:val="24"/>
          <w:lang w:val="es-ES_tradnl" w:eastAsia="es-MX"/>
        </w:rPr>
        <w:t xml:space="preserve">a la Sala a </w:t>
      </w:r>
      <w:r w:rsidRPr="00821A73">
        <w:rPr>
          <w:rFonts w:ascii="Univers" w:eastAsia="Times New Roman" w:hAnsi="Univers" w:cs="Times New Roman"/>
          <w:i/>
          <w:iCs/>
          <w:color w:val="000000"/>
          <w:sz w:val="24"/>
          <w:szCs w:val="24"/>
          <w:lang w:val="es-ES_tradnl" w:eastAsia="es-MX"/>
        </w:rPr>
        <w:t xml:space="preserve">quo, </w:t>
      </w:r>
      <w:r w:rsidRPr="00821A73">
        <w:rPr>
          <w:rFonts w:ascii="Univers" w:eastAsia="Times New Roman" w:hAnsi="Univers" w:cs="Times New Roman"/>
          <w:color w:val="000000"/>
          <w:sz w:val="24"/>
          <w:szCs w:val="24"/>
          <w:lang w:val="es-ES_tradnl" w:eastAsia="es-MX"/>
        </w:rPr>
        <w:t xml:space="preserve">por lo que sólo cuando sea evidente </w:t>
      </w:r>
      <w:r w:rsidRPr="00821A73">
        <w:rPr>
          <w:rFonts w:ascii="Univers" w:eastAsia="Times New Roman" w:hAnsi="Univers" w:cs="Times New Roman"/>
          <w:color w:val="000000"/>
          <w:spacing w:val="-4"/>
          <w:sz w:val="24"/>
          <w:szCs w:val="24"/>
          <w:lang w:val="es-ES_tradnl" w:eastAsia="es-MX"/>
        </w:rPr>
        <w:t xml:space="preserve">que, por una inexacta apreciación o por un error, la Sala </w:t>
      </w:r>
      <w:r w:rsidRPr="00821A73">
        <w:rPr>
          <w:rFonts w:ascii="Univers" w:eastAsia="Times New Roman" w:hAnsi="Univers" w:cs="Times New Roman"/>
          <w:color w:val="000000"/>
          <w:spacing w:val="-2"/>
          <w:sz w:val="24"/>
          <w:szCs w:val="24"/>
          <w:lang w:val="es-ES_tradnl" w:eastAsia="es-MX"/>
        </w:rPr>
        <w:t>rompió verdaderamente con el marco de discrecionali</w:t>
      </w:r>
      <w:r w:rsidRPr="00821A73">
        <w:rPr>
          <w:rFonts w:ascii="Univers" w:eastAsia="Times New Roman" w:hAnsi="Univers" w:cs="Times New Roman"/>
          <w:color w:val="000000"/>
          <w:spacing w:val="-4"/>
          <w:sz w:val="24"/>
          <w:szCs w:val="24"/>
          <w:lang w:val="es-ES_tradnl" w:eastAsia="es-MX"/>
        </w:rPr>
        <w:t xml:space="preserve">dad al pronunciarse sobre una cuestión, podrá ocuparse de ese aspecto de la decisión y sustituir al órgano de </w:t>
      </w:r>
      <w:r w:rsidRPr="00821A73">
        <w:rPr>
          <w:rFonts w:ascii="Univers" w:eastAsia="Times New Roman" w:hAnsi="Univers" w:cs="Times New Roman"/>
          <w:color w:val="000000"/>
          <w:spacing w:val="8"/>
          <w:sz w:val="24"/>
          <w:szCs w:val="24"/>
          <w:lang w:val="es-ES_tradnl" w:eastAsia="es-MX"/>
        </w:rPr>
        <w:t xml:space="preserve">primer grado en el análisis del agravio no advertido, </w:t>
      </w:r>
      <w:r w:rsidRPr="00821A73">
        <w:rPr>
          <w:rFonts w:ascii="Univers" w:eastAsia="Times New Roman" w:hAnsi="Univers" w:cs="Times New Roman"/>
          <w:color w:val="000000"/>
          <w:spacing w:val="6"/>
          <w:sz w:val="24"/>
          <w:szCs w:val="24"/>
          <w:lang w:val="es-ES_tradnl" w:eastAsia="es-MX"/>
        </w:rPr>
        <w:t>pues en esta materia no existe reenvío.</w:t>
      </w:r>
    </w:p>
    <w:p w14:paraId="7F7B6D1A" w14:textId="77777777" w:rsidR="00821A73" w:rsidRPr="00821A73" w:rsidRDefault="00821A73" w:rsidP="00821A73">
      <w:pPr>
        <w:shd w:val="clear" w:color="auto" w:fill="FFFFFF"/>
        <w:spacing w:after="0" w:line="221" w:lineRule="exact"/>
        <w:ind w:right="669"/>
        <w:jc w:val="both"/>
        <w:rPr>
          <w:rFonts w:ascii="Univers" w:eastAsia="Times New Roman" w:hAnsi="Univers" w:cs="Times New Roman"/>
          <w:color w:val="000000"/>
          <w:spacing w:val="2"/>
          <w:w w:val="94"/>
          <w:sz w:val="24"/>
          <w:szCs w:val="24"/>
          <w:lang w:eastAsia="es-MX"/>
        </w:rPr>
      </w:pPr>
    </w:p>
    <w:p w14:paraId="3D157522"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Electoral se incorporaron a la Ley Orgánica del Poder Judicial de la Federación, y la reglamentación de la justicia electoral respecto de actos concretos se recogió en la Ley General del Sistema de Medios de Impugnación en Materia Electoral.</w:t>
      </w:r>
    </w:p>
    <w:p w14:paraId="7B3B6866"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31210319"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w:t>
      </w:r>
      <w:r w:rsidRPr="00821A73">
        <w:rPr>
          <w:rFonts w:ascii="Univers" w:eastAsia="Times New Roman" w:hAnsi="Univers" w:cs="Times New Roman"/>
          <w:sz w:val="28"/>
          <w:szCs w:val="28"/>
          <w:lang w:eastAsia="es-MX"/>
        </w:rPr>
        <w:lastRenderedPageBreak/>
        <w:t xml:space="preserve">en el Título Quinto del Libro Segundo y en el Libro Cuarto de la ley, es decir, del recurso de reconsideración y del juicio de revisión constitucional electoral. </w:t>
      </w:r>
    </w:p>
    <w:p w14:paraId="5A809B3D"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12D0661A"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otro lado, en relación con la suplencia del error u omisión en la invocación de los preceptos legales, el apartado 3 del artículo 23 conservó el principio </w:t>
      </w:r>
      <w:proofErr w:type="spellStart"/>
      <w:r w:rsidRPr="00821A73">
        <w:rPr>
          <w:rFonts w:ascii="Univers" w:eastAsia="Times New Roman" w:hAnsi="Univers" w:cs="Times New Roman"/>
          <w:i/>
          <w:sz w:val="28"/>
          <w:szCs w:val="28"/>
          <w:lang w:eastAsia="es-MX"/>
        </w:rPr>
        <w:t>iura</w:t>
      </w:r>
      <w:proofErr w:type="spellEnd"/>
      <w:r w:rsidRPr="00821A73">
        <w:rPr>
          <w:rFonts w:ascii="Univers" w:eastAsia="Times New Roman" w:hAnsi="Univers" w:cs="Times New Roman"/>
          <w:i/>
          <w:sz w:val="28"/>
          <w:szCs w:val="28"/>
          <w:lang w:eastAsia="es-MX"/>
        </w:rPr>
        <w:t xml:space="preserve"> </w:t>
      </w:r>
      <w:proofErr w:type="spellStart"/>
      <w:r w:rsidRPr="00821A73">
        <w:rPr>
          <w:rFonts w:ascii="Univers" w:eastAsia="Times New Roman" w:hAnsi="Univers" w:cs="Times New Roman"/>
          <w:i/>
          <w:sz w:val="28"/>
          <w:szCs w:val="28"/>
          <w:lang w:eastAsia="es-MX"/>
        </w:rPr>
        <w:t>novit</w:t>
      </w:r>
      <w:proofErr w:type="spellEnd"/>
      <w:r w:rsidRPr="00821A73">
        <w:rPr>
          <w:rFonts w:ascii="Univers" w:eastAsia="Times New Roman" w:hAnsi="Univers" w:cs="Times New Roman"/>
          <w:i/>
          <w:sz w:val="28"/>
          <w:szCs w:val="28"/>
          <w:lang w:eastAsia="es-MX"/>
        </w:rPr>
        <w:t xml:space="preserve"> curia</w:t>
      </w:r>
      <w:r w:rsidRPr="00821A73">
        <w:rPr>
          <w:rFonts w:ascii="Univers" w:eastAsia="Times New Roman" w:hAnsi="Univers" w:cs="Times New Roman"/>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5FE9BF59"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w:t>
      </w:r>
      <w:r w:rsidRPr="00821A73">
        <w:rPr>
          <w:rFonts w:ascii="Univers" w:eastAsia="Times New Roman" w:hAnsi="Univers" w:cs="Times New Roman"/>
          <w:sz w:val="28"/>
          <w:szCs w:val="28"/>
          <w:lang w:eastAsia="es-MX"/>
        </w:rPr>
        <w:lastRenderedPageBreak/>
        <w:t>reconsideración y juicio de revisión constitucional electoral), cuando en el ordenamiento previo se excluía expresamente esta posibilidad.</w:t>
      </w:r>
    </w:p>
    <w:p w14:paraId="255E933F"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3843B087"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821A73">
        <w:rPr>
          <w:rFonts w:ascii="Univers" w:eastAsia="Times New Roman" w:hAnsi="Univers" w:cs="Times New Roman"/>
          <w:b/>
          <w:sz w:val="28"/>
          <w:szCs w:val="28"/>
          <w:lang w:eastAsia="es-MX"/>
        </w:rPr>
        <w:t xml:space="preserve">“ACCIÓN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w:t>
      </w:r>
      <w:r w:rsidRPr="00821A73">
        <w:rPr>
          <w:rFonts w:ascii="Univers" w:eastAsia="Times New Roman" w:hAnsi="Univers" w:cs="Times New Roman"/>
          <w:b/>
          <w:sz w:val="28"/>
          <w:szCs w:val="28"/>
          <w:lang w:eastAsia="es-MX"/>
        </w:rPr>
        <w:lastRenderedPageBreak/>
        <w:t>[INTERPRETACIÓN DEL ARTÍCULO 71 DE LA LEY REGLAMENTARIA DE LAS FRACCIONES I Y II DEL ARTÍCULO 105 DE LA CONSTITUCIÓN POLÍTICA DE LOS ESTADOS UNIDOS MEXICANOS])”</w:t>
      </w:r>
      <w:r w:rsidRPr="00821A73">
        <w:rPr>
          <w:rFonts w:ascii="Univers" w:eastAsia="Times New Roman" w:hAnsi="Univers" w:cs="Times New Roman"/>
          <w:sz w:val="28"/>
          <w:szCs w:val="28"/>
          <w:lang w:eastAsia="es-MX"/>
        </w:rPr>
        <w:t>.</w:t>
      </w:r>
    </w:p>
    <w:p w14:paraId="17D80050"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impuesta por el párrafo segundo del dispositivo en cita sólo atempera el ejercicio de esta facultad para colmar las omisiones advertidas en las argumentaciones de la parte accionante, a que no se comprendan preceptos constitucionales imprevistos por el </w:t>
      </w:r>
      <w:proofErr w:type="spellStart"/>
      <w:r w:rsidRPr="00821A73">
        <w:rPr>
          <w:rFonts w:ascii="Univers" w:eastAsia="Times New Roman" w:hAnsi="Univers" w:cs="Times New Roman"/>
          <w:sz w:val="28"/>
          <w:szCs w:val="28"/>
          <w:lang w:eastAsia="es-MX"/>
        </w:rPr>
        <w:t>promovente</w:t>
      </w:r>
      <w:proofErr w:type="spellEnd"/>
      <w:r w:rsidRPr="00821A73">
        <w:rPr>
          <w:rFonts w:ascii="Univers" w:eastAsia="Times New Roman" w:hAnsi="Univers" w:cs="Times New Roman"/>
          <w:sz w:val="28"/>
          <w:szCs w:val="28"/>
          <w:lang w:eastAsia="es-MX"/>
        </w:rPr>
        <w:t>. Empero, de forma congruente con este criterio,</w:t>
      </w:r>
      <w:r w:rsidRPr="00821A73">
        <w:rPr>
          <w:rFonts w:ascii="Univers" w:eastAsia="Times New Roman" w:hAnsi="Univers" w:cs="Times New Roman"/>
          <w:color w:val="000000"/>
          <w:spacing w:val="2"/>
          <w:w w:val="94"/>
          <w:sz w:val="28"/>
          <w:szCs w:val="28"/>
          <w:lang w:eastAsia="es-MX"/>
        </w:rPr>
        <w:t xml:space="preserve"> </w:t>
      </w:r>
      <w:r w:rsidRPr="00821A73">
        <w:rPr>
          <w:rFonts w:ascii="Univers" w:eastAsia="Times New Roman" w:hAnsi="Univers" w:cs="Times New Roman"/>
          <w:sz w:val="28"/>
          <w:szCs w:val="28"/>
          <w:lang w:eastAsia="es-MX"/>
        </w:rPr>
        <w:t xml:space="preserve">el Alto Tribunal también sostuvo que en la impugnación de las leyes electorales, el examen de la Suprema Corte no debe traducirse hasta un punto de especificidad que haga nugatorio el sistema de la suplencia del error, sino que basta con que el </w:t>
      </w:r>
      <w:proofErr w:type="spellStart"/>
      <w:r w:rsidRPr="00821A73">
        <w:rPr>
          <w:rFonts w:ascii="Univers" w:eastAsia="Times New Roman" w:hAnsi="Univers" w:cs="Times New Roman"/>
          <w:sz w:val="28"/>
          <w:szCs w:val="28"/>
          <w:lang w:eastAsia="es-MX"/>
        </w:rPr>
        <w:t>promovente</w:t>
      </w:r>
      <w:proofErr w:type="spellEnd"/>
      <w:r w:rsidRPr="00821A73">
        <w:rPr>
          <w:rFonts w:ascii="Univers" w:eastAsia="Times New Roman" w:hAnsi="Univers" w:cs="Times New Roman"/>
          <w:sz w:val="28"/>
          <w:szCs w:val="28"/>
          <w:lang w:eastAsia="es-MX"/>
        </w:rPr>
        <w:t xml:space="preserve"> indique el precepto constitucional supuestamente vulnerado en su caso, las referencias necesarias para que el juzgador localice la norma aparentemente infringida.</w:t>
      </w:r>
    </w:p>
    <w:p w14:paraId="5490CBA9"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w:t>
      </w:r>
      <w:r w:rsidRPr="00821A73">
        <w:rPr>
          <w:rFonts w:ascii="Univers" w:eastAsia="Times New Roman" w:hAnsi="Univers" w:cs="Times New Roman"/>
          <w:sz w:val="28"/>
          <w:szCs w:val="28"/>
          <w:lang w:eastAsia="es-MX"/>
        </w:rPr>
        <w:lastRenderedPageBreak/>
        <w:t xml:space="preserve">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821A73">
        <w:rPr>
          <w:rFonts w:ascii="Univers" w:eastAsia="Times New Roman" w:hAnsi="Univers" w:cs="Times New Roman"/>
          <w:i/>
          <w:sz w:val="28"/>
          <w:szCs w:val="28"/>
          <w:lang w:eastAsia="es-MX"/>
        </w:rPr>
        <w:t xml:space="preserve">“con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w:t>
      </w:r>
      <w:proofErr w:type="spellStart"/>
      <w:r w:rsidRPr="00821A73">
        <w:rPr>
          <w:rFonts w:ascii="Univers" w:eastAsia="Times New Roman" w:hAnsi="Univers" w:cs="Times New Roman"/>
          <w:i/>
          <w:sz w:val="28"/>
          <w:szCs w:val="28"/>
          <w:lang w:eastAsia="es-MX"/>
        </w:rPr>
        <w:t>promovente</w:t>
      </w:r>
      <w:proofErr w:type="spellEnd"/>
      <w:r w:rsidRPr="00821A73">
        <w:rPr>
          <w:rFonts w:ascii="Univers" w:eastAsia="Times New Roman" w:hAnsi="Univers" w:cs="Times New Roman"/>
          <w:i/>
          <w:sz w:val="28"/>
          <w:szCs w:val="28"/>
          <w:lang w:eastAsia="es-MX"/>
        </w:rPr>
        <w:t>”.</w:t>
      </w:r>
    </w:p>
    <w:p w14:paraId="51E200FD" w14:textId="77777777" w:rsidR="00821A73" w:rsidRPr="00821A73" w:rsidRDefault="00821A73" w:rsidP="00821A73">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Los criterios precedentes fueron recogidos en las tesis aisladas del Pleno de la Suprema Corte de Justicia de la Nación XXXIV, XXXV y XXXVI, todas del dos mil seis, publicados en el Tomo XXIII del </w:t>
      </w:r>
      <w:r w:rsidRPr="00821A73">
        <w:rPr>
          <w:rFonts w:ascii="Univers" w:eastAsia="Times New Roman" w:hAnsi="Univers" w:cs="Times New Roman"/>
          <w:i/>
          <w:sz w:val="28"/>
          <w:szCs w:val="28"/>
          <w:lang w:eastAsia="es-MX"/>
        </w:rPr>
        <w:t>Semanario Judicial de la Federación y su Gaceta</w:t>
      </w:r>
      <w:r w:rsidRPr="00821A73">
        <w:rPr>
          <w:rFonts w:ascii="Univers" w:eastAsia="Times New Roman" w:hAnsi="Univers" w:cs="Times New Roman"/>
          <w:sz w:val="28"/>
          <w:szCs w:val="28"/>
          <w:lang w:eastAsia="es-MX"/>
        </w:rPr>
        <w:t xml:space="preserve"> correspondiente al mes de abril de 2006, en las páginas 539 y siguientes, que aparecen con los siguientes rubros:</w:t>
      </w:r>
    </w:p>
    <w:p w14:paraId="664CC7A5"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 xml:space="preserve">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w:t>
      </w:r>
      <w:proofErr w:type="gramStart"/>
      <w:r w:rsidRPr="00821A73">
        <w:rPr>
          <w:rFonts w:ascii="Univers" w:eastAsia="Times New Roman" w:hAnsi="Univers" w:cs="Times New Roman"/>
          <w:b/>
          <w:sz w:val="28"/>
          <w:szCs w:val="28"/>
          <w:lang w:eastAsia="es-MX"/>
        </w:rPr>
        <w:t>71  DE</w:t>
      </w:r>
      <w:proofErr w:type="gramEnd"/>
      <w:r w:rsidRPr="00821A73">
        <w:rPr>
          <w:rFonts w:ascii="Univers" w:eastAsia="Times New Roman" w:hAnsi="Univers" w:cs="Times New Roman"/>
          <w:b/>
          <w:sz w:val="28"/>
          <w:szCs w:val="28"/>
          <w:lang w:eastAsia="es-MX"/>
        </w:rPr>
        <w:t xml:space="preserve"> LA LEY REGLAMENTARIA DE LAS FRACCIONES I Y II DEL ARTÍCULO 105 CONSTITUCIONAL)</w:t>
      </w:r>
      <w:r w:rsidRPr="00821A73">
        <w:rPr>
          <w:rFonts w:ascii="Univers" w:eastAsia="Times New Roman" w:hAnsi="Univers" w:cs="Times New Roman"/>
          <w:sz w:val="28"/>
          <w:szCs w:val="28"/>
          <w:lang w:eastAsia="es-MX"/>
        </w:rPr>
        <w:t>;</w:t>
      </w:r>
    </w:p>
    <w:p w14:paraId="2A93E7B3" w14:textId="77777777" w:rsidR="00821A73" w:rsidRPr="00821A73" w:rsidRDefault="00821A73" w:rsidP="00821A73">
      <w:pPr>
        <w:shd w:val="clear" w:color="auto" w:fill="FFFFFF"/>
        <w:spacing w:before="240" w:after="240" w:line="360" w:lineRule="auto"/>
        <w:ind w:right="68"/>
        <w:jc w:val="both"/>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lastRenderedPageBreak/>
        <w:t>2) ACCIÓN DE INCONSTITUCIONALIDAD EN MATERIA ELECTORAL. LA SUPLENCIA DE LOS CONCEPTOS DE INVALIDEZ OPERA RESPECTO DE TODOS LOS SUJETOS LEGITIMADOS PARA INTERPONER AQUÉLLA</w:t>
      </w:r>
      <w:r w:rsidRPr="00821A73">
        <w:rPr>
          <w:rFonts w:ascii="Univers" w:eastAsia="Times New Roman" w:hAnsi="Univers" w:cs="Times New Roman"/>
          <w:sz w:val="28"/>
          <w:szCs w:val="28"/>
          <w:lang w:eastAsia="es-MX"/>
        </w:rPr>
        <w:t>,</w:t>
      </w:r>
      <w:r w:rsidRPr="00821A73">
        <w:rPr>
          <w:rFonts w:ascii="Univers" w:eastAsia="Times New Roman" w:hAnsi="Univers" w:cs="Times New Roman"/>
          <w:b/>
          <w:sz w:val="28"/>
          <w:szCs w:val="28"/>
          <w:lang w:eastAsia="es-MX"/>
        </w:rPr>
        <w:t xml:space="preserve"> </w:t>
      </w:r>
      <w:r w:rsidRPr="00821A73">
        <w:rPr>
          <w:rFonts w:ascii="Univers" w:eastAsia="Times New Roman" w:hAnsi="Univers" w:cs="Times New Roman"/>
          <w:sz w:val="28"/>
          <w:szCs w:val="28"/>
          <w:lang w:eastAsia="es-MX"/>
        </w:rPr>
        <w:t>y</w:t>
      </w:r>
    </w:p>
    <w:p w14:paraId="072C80F1"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3) ACCIÓN DE INCONSTITUCIONALIDAD EN MATERIA ELECTORAL. FORMA EN LA QUE OPERA LA SUPLENCIA DEL ERROR</w:t>
      </w:r>
      <w:r w:rsidRPr="00821A73">
        <w:rPr>
          <w:rFonts w:ascii="Univers" w:eastAsia="Times New Roman" w:hAnsi="Univers" w:cs="Arial"/>
          <w:sz w:val="28"/>
          <w:szCs w:val="28"/>
          <w:lang w:eastAsia="es-MX"/>
        </w:rPr>
        <w:t>.</w:t>
      </w:r>
    </w:p>
    <w:p w14:paraId="515B58E5" w14:textId="77777777" w:rsidR="00821A73" w:rsidRPr="00821A73" w:rsidRDefault="00821A73" w:rsidP="00821A73">
      <w:pPr>
        <w:spacing w:before="240" w:after="240" w:line="360" w:lineRule="auto"/>
        <w:ind w:right="68"/>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386E1DA3"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TERCERO. Determinación del acto impugnado. </w:t>
      </w:r>
      <w:r w:rsidRPr="00821A73">
        <w:rPr>
          <w:rFonts w:ascii="Univers" w:eastAsia="Times New Roman" w:hAnsi="Univers" w:cs="Arial"/>
          <w:sz w:val="28"/>
          <w:szCs w:val="28"/>
          <w:lang w:eastAsia="es-MX"/>
        </w:rPr>
        <w:t>En la demanda</w:t>
      </w:r>
      <w:r w:rsidRPr="00821A73">
        <w:rPr>
          <w:rFonts w:ascii="Univers" w:eastAsia="Times New Roman" w:hAnsi="Univers" w:cs="Arial"/>
          <w:b/>
          <w:sz w:val="28"/>
          <w:szCs w:val="28"/>
          <w:lang w:eastAsia="es-MX"/>
        </w:rPr>
        <w:t xml:space="preserve"> </w:t>
      </w:r>
      <w:r w:rsidRPr="00821A73">
        <w:rPr>
          <w:rFonts w:ascii="Univers" w:eastAsia="Times New Roman" w:hAnsi="Univers" w:cs="Arial"/>
          <w:sz w:val="28"/>
          <w:szCs w:val="28"/>
          <w:lang w:eastAsia="es-MX"/>
        </w:rPr>
        <w:t xml:space="preserve">del presente juicio para la protección de los derechos políticos-electorales </w:t>
      </w:r>
      <w:r w:rsidRPr="00821A73">
        <w:rPr>
          <w:rFonts w:ascii="Univers" w:eastAsia="Times New Roman" w:hAnsi="Univers" w:cs="Arial"/>
          <w:sz w:val="28"/>
          <w:szCs w:val="28"/>
          <w:lang w:eastAsia="es-MX"/>
        </w:rPr>
        <w:lastRenderedPageBreak/>
        <w:t xml:space="preserve">del ciudadano,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destacan que desde finales del año dos mil dos,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Oaxaca, no cuentan con autoridades electas por la ciudadanía, y que semejante situación anómala se ha prolongado en el tiempo, pese a que han solicitado la intervención de:</w:t>
      </w:r>
    </w:p>
    <w:p w14:paraId="7373C4E3"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1)</w:t>
      </w:r>
      <w:r w:rsidRPr="00821A73">
        <w:rPr>
          <w:rFonts w:ascii="Univers" w:eastAsia="Times New Roman" w:hAnsi="Univers" w:cs="Arial"/>
          <w:sz w:val="28"/>
          <w:szCs w:val="28"/>
          <w:lang w:eastAsia="es-MX"/>
        </w:rPr>
        <w:t xml:space="preserve"> El Consejo General del Instituto Electoral del Estado;</w:t>
      </w:r>
    </w:p>
    <w:p w14:paraId="3B552E07"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2)</w:t>
      </w:r>
      <w:r w:rsidRPr="00821A73">
        <w:rPr>
          <w:rFonts w:ascii="Univers" w:eastAsia="Times New Roman" w:hAnsi="Univers" w:cs="Arial"/>
          <w:sz w:val="28"/>
          <w:szCs w:val="28"/>
          <w:lang w:eastAsia="es-MX"/>
        </w:rPr>
        <w:t xml:space="preserve"> La Secretaría General de Gobierno de la entidad federativa, y </w:t>
      </w:r>
    </w:p>
    <w:p w14:paraId="4DD39C3B"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3)</w:t>
      </w:r>
      <w:r w:rsidRPr="00821A73">
        <w:rPr>
          <w:rFonts w:ascii="Univers" w:eastAsia="Times New Roman" w:hAnsi="Univers" w:cs="Arial"/>
          <w:sz w:val="28"/>
          <w:szCs w:val="28"/>
          <w:lang w:eastAsia="es-MX"/>
        </w:rPr>
        <w:t xml:space="preserve"> El Honorable Congreso del Estado de Oaxaca.</w:t>
      </w:r>
    </w:p>
    <w:p w14:paraId="4A1D6D88"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Los actores </w:t>
      </w:r>
      <w:proofErr w:type="gramStart"/>
      <w:r w:rsidRPr="00821A73">
        <w:rPr>
          <w:rFonts w:ascii="Univers" w:eastAsia="Times New Roman" w:hAnsi="Univers" w:cs="Arial"/>
          <w:sz w:val="28"/>
          <w:szCs w:val="28"/>
          <w:lang w:eastAsia="es-MX"/>
        </w:rPr>
        <w:t>igualmente  relatan</w:t>
      </w:r>
      <w:proofErr w:type="gramEnd"/>
      <w:r w:rsidRPr="00821A73">
        <w:rPr>
          <w:rFonts w:ascii="Univers" w:eastAsia="Times New Roman" w:hAnsi="Univers" w:cs="Arial"/>
          <w:sz w:val="28"/>
          <w:szCs w:val="28"/>
          <w:lang w:eastAsia="es-MX"/>
        </w:rPr>
        <w:t xml:space="preserve"> que las solicitudes de apoyo presentadas a las instancias de gobierno no han sido atendidas oportunamente porque:</w:t>
      </w:r>
    </w:p>
    <w:p w14:paraId="65FFDC09"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a) </w:t>
      </w:r>
      <w:r w:rsidRPr="00821A73">
        <w:rPr>
          <w:rFonts w:ascii="Univers" w:eastAsia="Times New Roman" w:hAnsi="Univers"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23A9391C"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b)</w:t>
      </w:r>
      <w:r w:rsidRPr="00821A73">
        <w:rPr>
          <w:rFonts w:ascii="Univers" w:eastAsia="Times New Roman" w:hAnsi="Univers"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2E00B9F8"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c)</w:t>
      </w:r>
      <w:r w:rsidRPr="00821A73">
        <w:rPr>
          <w:rFonts w:ascii="Univers" w:eastAsia="Times New Roman" w:hAnsi="Univers" w:cs="Arial"/>
          <w:sz w:val="28"/>
          <w:szCs w:val="28"/>
          <w:lang w:eastAsia="es-MX"/>
        </w:rPr>
        <w:t xml:space="preserve"> El licenciado Jorge Franco Vargas, Secretario General de Gobierno en el Estado de Oaxaca, les dijo que el asunto se trataría después de las elecciones federales;</w:t>
      </w:r>
    </w:p>
    <w:p w14:paraId="6CEB2DEA"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lastRenderedPageBreak/>
        <w:t>d)</w:t>
      </w:r>
      <w:r w:rsidRPr="00821A73">
        <w:rPr>
          <w:rFonts w:ascii="Univers" w:eastAsia="Times New Roman" w:hAnsi="Univers"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154D6D83"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 xml:space="preserve">e) </w:t>
      </w:r>
      <w:r w:rsidRPr="00821A73">
        <w:rPr>
          <w:rFonts w:ascii="Univers" w:eastAsia="Times New Roman" w:hAnsi="Univers" w:cs="Arial"/>
          <w:sz w:val="28"/>
          <w:szCs w:val="28"/>
          <w:lang w:eastAsia="es-MX"/>
        </w:rPr>
        <w:t>El veinticinco de diciembre de dos mil seis solicitaron al órgano electoral del Estado, copia del acuerdo del diecinueve de diciembre, sin que les haya sido entregada.</w:t>
      </w:r>
    </w:p>
    <w:p w14:paraId="566EE5AC"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Después de presentar lo anterior, los actores añaden que comparecen ante esta Sala Superior del Tribunal Electoral del Poder Judicial de la Federación, a fin de obtener lo siguiente:</w:t>
      </w:r>
    </w:p>
    <w:p w14:paraId="776DE254"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I)</w:t>
      </w:r>
      <w:r w:rsidRPr="00821A73">
        <w:rPr>
          <w:rFonts w:ascii="Univers" w:eastAsia="Times New Roman" w:hAnsi="Univers" w:cs="Arial"/>
          <w:sz w:val="28"/>
          <w:szCs w:val="28"/>
          <w:lang w:eastAsia="es-MX"/>
        </w:rPr>
        <w:t xml:space="preserve"> La expedición de la copia del documento solicitado al Consejo General del Instituto </w:t>
      </w:r>
      <w:proofErr w:type="spellStart"/>
      <w:r w:rsidRPr="00821A73">
        <w:rPr>
          <w:rFonts w:ascii="Univers" w:eastAsia="Times New Roman" w:hAnsi="Univers" w:cs="Arial"/>
          <w:sz w:val="28"/>
          <w:szCs w:val="28"/>
          <w:lang w:eastAsia="es-MX"/>
        </w:rPr>
        <w:t>Electora</w:t>
      </w:r>
      <w:proofErr w:type="spellEnd"/>
      <w:r w:rsidRPr="00821A73">
        <w:rPr>
          <w:rFonts w:ascii="Univers" w:eastAsia="Times New Roman" w:hAnsi="Univers" w:cs="Arial"/>
          <w:sz w:val="28"/>
          <w:szCs w:val="28"/>
          <w:lang w:eastAsia="es-MX"/>
        </w:rPr>
        <w:t xml:space="preserve"> del Estado de Oaxaca, y </w:t>
      </w:r>
    </w:p>
    <w:p w14:paraId="4D90B177"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II)</w:t>
      </w:r>
      <w:r w:rsidRPr="00821A73">
        <w:rPr>
          <w:rFonts w:ascii="Univers" w:eastAsia="Times New Roman" w:hAnsi="Univers" w:cs="Arial"/>
          <w:sz w:val="28"/>
          <w:szCs w:val="28"/>
          <w:lang w:eastAsia="es-MX"/>
        </w:rPr>
        <w:t xml:space="preserve"> La expedición de una convocatoria a asamblea comunitaria, para que sea el </w:t>
      </w:r>
      <w:r w:rsidRPr="00821A73">
        <w:rPr>
          <w:rFonts w:ascii="Univers" w:eastAsia="Times New Roman" w:hAnsi="Univers" w:cs="Arial"/>
          <w:i/>
          <w:sz w:val="28"/>
          <w:szCs w:val="28"/>
          <w:lang w:eastAsia="es-MX"/>
        </w:rPr>
        <w:t xml:space="preserve">“mismo pueblo quien elija </w:t>
      </w:r>
      <w:proofErr w:type="gramStart"/>
      <w:r w:rsidRPr="00821A73">
        <w:rPr>
          <w:rFonts w:ascii="Univers" w:eastAsia="Times New Roman" w:hAnsi="Univers" w:cs="Arial"/>
          <w:i/>
          <w:sz w:val="28"/>
          <w:szCs w:val="28"/>
          <w:lang w:eastAsia="es-MX"/>
        </w:rPr>
        <w:t>libremente  a</w:t>
      </w:r>
      <w:proofErr w:type="gramEnd"/>
      <w:r w:rsidRPr="00821A73">
        <w:rPr>
          <w:rFonts w:ascii="Univers" w:eastAsia="Times New Roman" w:hAnsi="Univers" w:cs="Arial"/>
          <w:i/>
          <w:sz w:val="28"/>
          <w:szCs w:val="28"/>
          <w:lang w:eastAsia="es-MX"/>
        </w:rPr>
        <w:t xml:space="preserve"> sus autoridades municipales como lo establece el Art. 2º de la Constitución Política de los Estados Unidos Mexicanos”.</w:t>
      </w:r>
    </w:p>
    <w:p w14:paraId="42F5134C" w14:textId="77777777" w:rsidR="00821A73" w:rsidRPr="00821A73" w:rsidRDefault="00821A73" w:rsidP="00821A73">
      <w:pPr>
        <w:spacing w:before="240" w:after="240"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Lo narrado hace patente que la inconformidad toral que enderezan los </w:t>
      </w:r>
      <w:proofErr w:type="spellStart"/>
      <w:r w:rsidRPr="00821A73">
        <w:rPr>
          <w:rFonts w:ascii="Univers" w:eastAsia="Times New Roman" w:hAnsi="Univers" w:cs="Arial"/>
          <w:sz w:val="28"/>
          <w:szCs w:val="28"/>
          <w:lang w:eastAsia="es-MX"/>
        </w:rPr>
        <w:t>promovente</w:t>
      </w:r>
      <w:proofErr w:type="spellEnd"/>
      <w:r w:rsidRPr="00821A73">
        <w:rPr>
          <w:rFonts w:ascii="Univers" w:eastAsia="Times New Roman" w:hAnsi="Univers" w:cs="Arial"/>
          <w:sz w:val="28"/>
          <w:szCs w:val="28"/>
          <w:lang w:eastAsia="es-MX"/>
        </w:rPr>
        <w:t xml:space="preserve"> gira en torno la situación irregular que aseguran existe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Oaxaca, motivada 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w:t>
      </w:r>
      <w:r w:rsidRPr="00821A73">
        <w:rPr>
          <w:rFonts w:ascii="Univers" w:eastAsia="Times New Roman" w:hAnsi="Univers" w:cs="Arial"/>
          <w:sz w:val="28"/>
          <w:szCs w:val="28"/>
          <w:lang w:eastAsia="es-MX"/>
        </w:rPr>
        <w:lastRenderedPageBreak/>
        <w:t>procedimientos consuetudinarios amparados por la Constitución Federal.</w:t>
      </w:r>
    </w:p>
    <w:p w14:paraId="4EF2281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conocer el contenido del acto de autoridad que determinó la imposibilidad de convocar a elecciones por usos y costumbres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w:t>
      </w:r>
    </w:p>
    <w:p w14:paraId="3AF9FB1D"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no existen  las condiciones necesarias para renovar concejales al ayuntamiento bajo el régimen de normas de derecho consuetudinario, en el proceso electoral ordinario </w:t>
      </w:r>
      <w:r w:rsidRPr="00821A73">
        <w:rPr>
          <w:rFonts w:ascii="Univers" w:eastAsia="Times New Roman" w:hAnsi="Univers" w:cs="Arial"/>
          <w:b/>
          <w:sz w:val="28"/>
          <w:szCs w:val="28"/>
          <w:lang w:eastAsia="es-MX"/>
        </w:rPr>
        <w:t xml:space="preserve">2006, </w:t>
      </w:r>
      <w:r w:rsidRPr="00821A73">
        <w:rPr>
          <w:rFonts w:ascii="Univers" w:eastAsia="Times New Roman" w:hAnsi="Univers" w:cs="Arial"/>
          <w:sz w:val="28"/>
          <w:szCs w:val="28"/>
          <w:lang w:eastAsia="es-MX"/>
        </w:rPr>
        <w:t xml:space="preserve">al ponerse en peligro la paz pública y la estabilidad de las instituciones, motivó por el </w:t>
      </w:r>
      <w:r w:rsidRPr="00821A73">
        <w:rPr>
          <w:rFonts w:ascii="Univers" w:eastAsia="Times New Roman" w:hAnsi="Univers" w:cs="Arial"/>
          <w:sz w:val="28"/>
          <w:szCs w:val="28"/>
          <w:lang w:eastAsia="es-MX"/>
        </w:rPr>
        <w:lastRenderedPageBreak/>
        <w:t>cual se autoriza al Titular del Poder Ejecutivo para que nombre a un nuevo representante que se haga cargo del gobierno municipal, hasta en tanto existan las condiciones para nombrar a un consejo municipal.</w:t>
      </w:r>
    </w:p>
    <w:p w14:paraId="232356D0"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Poder Legislativo del Estado de Oaxaca y el Título Séptimo del Reglamento Interior del Congreso del Estado de Oaxaca.</w:t>
      </w:r>
    </w:p>
    <w:p w14:paraId="1DC623C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w:t>
      </w:r>
      <w:r w:rsidRPr="00821A73">
        <w:rPr>
          <w:rFonts w:ascii="Univers" w:eastAsia="Times New Roman" w:hAnsi="Univers" w:cs="Arial"/>
          <w:sz w:val="28"/>
          <w:szCs w:val="28"/>
          <w:lang w:eastAsia="es-MX"/>
        </w:rPr>
        <w:lastRenderedPageBreak/>
        <w:t>casos, la autoridad provisional ejerza sus funciones hasta que se resuelva en definitiva.</w:t>
      </w:r>
    </w:p>
    <w:p w14:paraId="55578EA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821A73">
        <w:rPr>
          <w:rFonts w:ascii="Univers" w:eastAsia="Times New Roman" w:hAnsi="Univers" w:cs="Arial"/>
          <w:i/>
          <w:sz w:val="28"/>
          <w:szCs w:val="28"/>
          <w:lang w:eastAsia="es-MX"/>
        </w:rPr>
        <w:t>“hasta en tanto existan las condiciones para nombrar a un Concejo Municipal”.</w:t>
      </w:r>
      <w:r w:rsidRPr="00821A73">
        <w:rPr>
          <w:rFonts w:ascii="Univers" w:eastAsia="Times New Roman" w:hAnsi="Univers" w:cs="Arial"/>
          <w:sz w:val="28"/>
          <w:szCs w:val="28"/>
          <w:lang w:eastAsia="es-MX"/>
        </w:rPr>
        <w:t xml:space="preserve"> </w:t>
      </w:r>
    </w:p>
    <w:p w14:paraId="1B08F5E3"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Oaxaca, a fin de regularizar la vida política y administrativa en la demarcación, ni la presunta falta de contestación a la solicitud de copias certificadas por parte de la autoridad electoral administrativa.</w:t>
      </w:r>
    </w:p>
    <w:p w14:paraId="41CDCF0B"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Oaxaca, y en virtud de semejante ratificación, autorizó al Ejecutivo estatal a designar nuevo administrador municipal, </w:t>
      </w:r>
      <w:r w:rsidRPr="00821A73">
        <w:rPr>
          <w:rFonts w:ascii="Univers" w:eastAsia="Times New Roman" w:hAnsi="Univers" w:cs="Arial"/>
          <w:sz w:val="28"/>
          <w:szCs w:val="28"/>
          <w:lang w:eastAsia="es-MX"/>
        </w:rPr>
        <w:lastRenderedPageBreak/>
        <w:t>determinación que se contrapone con la pretensión enderezada por los actores.</w:t>
      </w:r>
    </w:p>
    <w:p w14:paraId="0F8CC113"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w:t>
      </w:r>
      <w:proofErr w:type="spellStart"/>
      <w:r w:rsidRPr="00821A73">
        <w:rPr>
          <w:rFonts w:ascii="Univers" w:eastAsia="Times New Roman" w:hAnsi="Univers" w:cs="Arial"/>
          <w:sz w:val="28"/>
          <w:szCs w:val="28"/>
          <w:lang w:eastAsia="es-MX"/>
        </w:rPr>
        <w:t>practicas</w:t>
      </w:r>
      <w:proofErr w:type="spellEnd"/>
      <w:r w:rsidRPr="00821A73">
        <w:rPr>
          <w:rFonts w:ascii="Univers" w:eastAsia="Times New Roman" w:hAnsi="Univers" w:cs="Arial"/>
          <w:sz w:val="28"/>
          <w:szCs w:val="28"/>
          <w:lang w:eastAsia="es-MX"/>
        </w:rPr>
        <w:t xml:space="preserve"> tradicionales, como por ejemplo, determinar el acto que realmente cause un perjuicio a la parte actora, con base en los elementos existentes en autos, ya sea que se hayan agregado al expediente con motivo del trámite ordinario del escrito de demanda (como ocurre en el caso) o que en su caso, se hubieren requerido durante la fase de sustanciación.</w:t>
      </w:r>
    </w:p>
    <w:p w14:paraId="25D7B4D8"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La definición del decreto legislativo número 365 no importa la variación de la controversia sometida a consideración de este órgano jurisdiccional, puesto que lo realmente importante es que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hacen valer  que en el acuerdo del Consejo General del Instituto Estatal Electoral de Oaxaca, de dieciséis de diciembre de dos mil seis, que sirvió de base al decreto mencionado en primer término, se emitió </w:t>
      </w:r>
      <w:r w:rsidRPr="00821A73">
        <w:rPr>
          <w:rFonts w:ascii="Univers" w:eastAsia="Times New Roman" w:hAnsi="Univers" w:cs="Arial"/>
          <w:i/>
          <w:sz w:val="28"/>
          <w:szCs w:val="28"/>
          <w:lang w:eastAsia="es-MX"/>
        </w:rPr>
        <w:t xml:space="preserve">“sin indagación de las condiciones actuales de la comunidad </w:t>
      </w:r>
      <w:r w:rsidRPr="00821A73">
        <w:rPr>
          <w:rFonts w:ascii="Univers" w:eastAsia="Times New Roman" w:hAnsi="Univers" w:cs="Arial"/>
          <w:i/>
          <w:sz w:val="28"/>
          <w:szCs w:val="28"/>
          <w:lang w:eastAsia="es-MX"/>
        </w:rPr>
        <w:lastRenderedPageBreak/>
        <w:t>y sin el consentimiento de los ciudadanos”</w:t>
      </w:r>
      <w:r w:rsidRPr="00821A73">
        <w:rPr>
          <w:rFonts w:ascii="Univers" w:eastAsia="Times New Roman" w:hAnsi="Univers" w:cs="Arial"/>
          <w:sz w:val="28"/>
          <w:szCs w:val="28"/>
          <w:lang w:eastAsia="es-MX"/>
        </w:rPr>
        <w:t>, violación que, de acogerse implicaría una irregularidad que trascendería en la secuela procedimental hasta el último de los actos que la integran, en la especie, el citado decreto.</w:t>
      </w:r>
    </w:p>
    <w:p w14:paraId="5F418C1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70A9704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y la causa de pedir en la que se sustenta, así como también han  expuesto los fundamentos y motivos para sostener la constitucionalidad y legalidad de sus actos, entre los que se encuentra el citado decreto.</w:t>
      </w:r>
    </w:p>
    <w:p w14:paraId="2F46418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821A73">
        <w:rPr>
          <w:rFonts w:ascii="Univers" w:eastAsia="Times New Roman" w:hAnsi="Univers" w:cs="Arial"/>
          <w:sz w:val="28"/>
          <w:szCs w:val="28"/>
          <w:lang w:eastAsia="es-MX"/>
        </w:rPr>
        <w:t>la  satisfacción</w:t>
      </w:r>
      <w:proofErr w:type="gramEnd"/>
      <w:r w:rsidRPr="00821A73">
        <w:rPr>
          <w:rFonts w:ascii="Univers" w:eastAsia="Times New Roman" w:hAnsi="Univers" w:cs="Arial"/>
          <w:sz w:val="28"/>
          <w:szCs w:val="28"/>
          <w:lang w:eastAsia="es-MX"/>
        </w:rPr>
        <w:t xml:space="preserve"> de los requisitos de procedencia del presente juicio se analizará sobre estas bases.</w:t>
      </w:r>
    </w:p>
    <w:p w14:paraId="354C556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lastRenderedPageBreak/>
        <w:t>CUARTO.</w:t>
      </w:r>
      <w:r w:rsidRPr="00821A73">
        <w:rPr>
          <w:rFonts w:ascii="Univers" w:eastAsia="Times New Roman" w:hAnsi="Univers" w:cs="Arial"/>
          <w:sz w:val="28"/>
          <w:szCs w:val="28"/>
          <w:lang w:eastAsia="es-MX"/>
        </w:rPr>
        <w:t xml:space="preserve"> </w:t>
      </w:r>
      <w:r w:rsidRPr="00821A73">
        <w:rPr>
          <w:rFonts w:ascii="Univers" w:eastAsia="Times New Roman" w:hAnsi="Univers" w:cs="Arial"/>
          <w:b/>
          <w:sz w:val="28"/>
          <w:szCs w:val="28"/>
          <w:lang w:eastAsia="es-MX"/>
        </w:rPr>
        <w:t xml:space="preserve">Procedencia. </w:t>
      </w:r>
      <w:r w:rsidRPr="00821A73">
        <w:rPr>
          <w:rFonts w:ascii="Univers" w:eastAsia="Times New Roman" w:hAnsi="Univers"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4C75DC5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Requisitos generales.</w:t>
      </w:r>
      <w:r w:rsidRPr="00821A73">
        <w:rPr>
          <w:rFonts w:ascii="Univers" w:eastAsia="Times New Roman" w:hAnsi="Univers"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6093A43D"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primer lugar, se satisface la obligación de que la demanda se debe presentar ante la autoridad señalada como responsable del acto o resolución impugnada. Esto es así, ya que, aun cuando los actores 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1B10AAC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Asimismo, en el escrito inicial de demanda se indican los nombres de los veinte actores y se plasman sus respectivas firmas autógrafas; se señala además, el domicilio para oír y recibir notificaciones, las personas autorizadas para esos efectos, los hechos en que basan su pretensión, los actos que estiman contrarios a derecho y las autoridades vinculadas a tales actos.</w:t>
      </w:r>
    </w:p>
    <w:p w14:paraId="697550DD"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lastRenderedPageBreak/>
        <w:t>En relación con este aspecto, se desestima la causa de improcedencia aducida por el Consejo General el Instituto Estatal Electoral de Oaxaca</w:t>
      </w:r>
      <w:r w:rsidRPr="00821A73">
        <w:rPr>
          <w:rFonts w:ascii="Univers" w:eastAsia="Times New Roman" w:hAnsi="Univers" w:cs="Arial"/>
          <w:sz w:val="28"/>
          <w:szCs w:val="28"/>
          <w:lang w:eastAsia="es-MX"/>
        </w:rPr>
        <w:t xml:space="preserve">, en el sentido de que el escrito inicial de demanda carece de las firmas autógrafas de los actores y por ello, se torna improcedente el presente medio de impugnación. </w:t>
      </w:r>
    </w:p>
    <w:p w14:paraId="54AC18A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693BC8B7"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Oportunidad.</w:t>
      </w:r>
      <w:r w:rsidRPr="00821A73">
        <w:rPr>
          <w:rFonts w:ascii="Univers" w:eastAsia="Times New Roman" w:hAnsi="Univers"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358FF7D6"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Arial"/>
          <w:sz w:val="28"/>
          <w:szCs w:val="28"/>
          <w:lang w:eastAsia="es-MX"/>
        </w:rPr>
        <w:t xml:space="preserve">Ello sin perjuicio de lo planteado por el </w:t>
      </w:r>
      <w:r w:rsidRPr="00821A73">
        <w:rPr>
          <w:rFonts w:ascii="Univers" w:eastAsia="Times New Roman" w:hAnsi="Univers" w:cs="Times New Roman"/>
          <w:sz w:val="28"/>
          <w:szCs w:val="28"/>
          <w:lang w:eastAsia="es-MX"/>
        </w:rPr>
        <w:t xml:space="preserve">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w:t>
      </w:r>
      <w:r w:rsidRPr="00821A73">
        <w:rPr>
          <w:rFonts w:ascii="Univers" w:eastAsia="Times New Roman" w:hAnsi="Univers" w:cs="Times New Roman"/>
          <w:sz w:val="28"/>
          <w:szCs w:val="28"/>
          <w:lang w:eastAsia="es-MX"/>
        </w:rPr>
        <w:lastRenderedPageBreak/>
        <w:t>plazo abarcó del dos al cinco de enero de dos mil siete, siendo el caso que la demanda se presentó hasta el día once siguiente, por lo que señalan que el medio impugnativo deviene extemporáneo.</w:t>
      </w:r>
    </w:p>
    <w:p w14:paraId="6F23A109"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Oaxaca.</w:t>
      </w:r>
    </w:p>
    <w:p w14:paraId="44E5BD5F"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Ciertamente, el artículo 30, apartado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3C9EBCF4"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Dicho precepto es el que toman en consideración las autoridades precisadas para sustentar su afirmación de que la promoción del presente juicio fue realizada en forma extemporánea.</w:t>
      </w:r>
    </w:p>
    <w:p w14:paraId="30C3B582"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5F170009"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106941DF"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3110D15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su parte, en consonancia con lo anterior, en términos del artículo 8, apartado 1 del </w:t>
      </w:r>
      <w:r w:rsidRPr="00821A73">
        <w:rPr>
          <w:rFonts w:ascii="Univers" w:eastAsia="Times New Roman" w:hAnsi="Univers" w:cs="Times New Roman"/>
          <w:i/>
          <w:sz w:val="28"/>
          <w:szCs w:val="28"/>
          <w:lang w:eastAsia="es-MX"/>
        </w:rPr>
        <w:t>Convenio sobre Pueblos Indígenas y Tribales, 1989</w:t>
      </w:r>
      <w:r w:rsidRPr="00821A73">
        <w:rPr>
          <w:rFonts w:ascii="Univers" w:eastAsia="Times New Roman" w:hAnsi="Univers" w:cs="Times New Roman"/>
          <w:sz w:val="28"/>
          <w:szCs w:val="28"/>
          <w:lang w:eastAsia="es-MX"/>
        </w:rPr>
        <w:t>, cuando se aplique la legislación nacional (en este caso, la Ley General del Sistema de Medios de Impugnación en Materia Electoral) a los pueblos indígenas (y sus integrantes</w:t>
      </w:r>
      <w:proofErr w:type="gramStart"/>
      <w:r w:rsidRPr="00821A73">
        <w:rPr>
          <w:rFonts w:ascii="Univers" w:eastAsia="Times New Roman" w:hAnsi="Univers" w:cs="Times New Roman"/>
          <w:sz w:val="28"/>
          <w:szCs w:val="28"/>
          <w:lang w:eastAsia="es-MX"/>
        </w:rPr>
        <w:t>)  deben</w:t>
      </w:r>
      <w:proofErr w:type="gramEnd"/>
      <w:r w:rsidRPr="00821A73">
        <w:rPr>
          <w:rFonts w:ascii="Univers" w:eastAsia="Times New Roman" w:hAnsi="Univers" w:cs="Times New Roman"/>
          <w:sz w:val="28"/>
          <w:szCs w:val="28"/>
          <w:lang w:eastAsia="es-MX"/>
        </w:rPr>
        <w:t xml:space="preserve"> tomarse en consideración sus costumbres o su derecho consuetudinario.</w:t>
      </w:r>
    </w:p>
    <w:p w14:paraId="6D3CD651"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w:t>
      </w:r>
      <w:proofErr w:type="spellStart"/>
      <w:r w:rsidRPr="00821A73">
        <w:rPr>
          <w:rFonts w:ascii="Univers" w:eastAsia="Times New Roman" w:hAnsi="Univers" w:cs="Times New Roman"/>
          <w:sz w:val="28"/>
          <w:szCs w:val="28"/>
          <w:lang w:eastAsia="es-MX"/>
        </w:rPr>
        <w:t>autoadscribirse</w:t>
      </w:r>
      <w:proofErr w:type="spellEnd"/>
      <w:r w:rsidRPr="00821A73">
        <w:rPr>
          <w:rFonts w:ascii="Univers" w:eastAsia="Times New Roman" w:hAnsi="Univers" w:cs="Times New Roman"/>
          <w:sz w:val="28"/>
          <w:szCs w:val="28"/>
          <w:lang w:eastAsia="es-MX"/>
        </w:rPr>
        <w:t xml:space="preserve"> como miembros de ese grupo social. </w:t>
      </w:r>
    </w:p>
    <w:p w14:paraId="51F6D317"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Tales costumbres y especificidades culturales de los pueblos y comunidades indígenas deben ser ponderados por el juzgador al 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w:t>
      </w:r>
      <w:r w:rsidRPr="00821A73">
        <w:rPr>
          <w:rFonts w:ascii="Univers" w:eastAsia="Times New Roman" w:hAnsi="Univers" w:cs="Times New Roman"/>
          <w:sz w:val="28"/>
          <w:szCs w:val="28"/>
          <w:lang w:eastAsia="es-MX"/>
        </w:rPr>
        <w:lastRenderedPageBreak/>
        <w:t xml:space="preserve">estatal y los órganos que la ejercen como entidades ajenas e incompatibles con su entorno. </w:t>
      </w:r>
    </w:p>
    <w:p w14:paraId="050D0854"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6005325D"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Sobres estas bases, es decir, si se toman en cuenta las especificidades culturales indígenas, resulta claro que la publicación en el </w:t>
      </w:r>
      <w:r w:rsidRPr="00821A73">
        <w:rPr>
          <w:rFonts w:ascii="Univers" w:eastAsia="Times New Roman" w:hAnsi="Univers" w:cs="Times New Roman"/>
          <w:i/>
          <w:sz w:val="28"/>
          <w:szCs w:val="28"/>
          <w:lang w:eastAsia="es-MX"/>
        </w:rPr>
        <w:t>Periódico Oficial del Estado Libre y Soberano de Oaxaca</w:t>
      </w:r>
      <w:r w:rsidRPr="00821A73">
        <w:rPr>
          <w:rFonts w:ascii="Univers" w:eastAsia="Times New Roman" w:hAnsi="Univers" w:cs="Times New Roman"/>
          <w:sz w:val="28"/>
          <w:szCs w:val="28"/>
          <w:lang w:eastAsia="es-MX"/>
        </w:rPr>
        <w:t xml:space="preserve"> de treinta de diciembre de dos mil seis, del decreto número 365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426A0E4C"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w:t>
      </w:r>
      <w:r w:rsidRPr="00821A73">
        <w:rPr>
          <w:rFonts w:ascii="Univers" w:eastAsia="Times New Roman" w:hAnsi="Univers" w:cs="Times New Roman"/>
          <w:sz w:val="28"/>
          <w:szCs w:val="28"/>
          <w:lang w:eastAsia="es-MX"/>
        </w:rPr>
        <w:lastRenderedPageBreak/>
        <w:t xml:space="preserve">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79B364C1"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w:t>
      </w:r>
      <w:r w:rsidRPr="00821A73">
        <w:rPr>
          <w:rFonts w:ascii="Univers" w:eastAsia="Times New Roman" w:hAnsi="Univers" w:cs="Times New Roman"/>
          <w:sz w:val="28"/>
          <w:szCs w:val="28"/>
          <w:lang w:eastAsia="es-MX"/>
        </w:rPr>
        <w:lastRenderedPageBreak/>
        <w:t>publicaciones de esta clase su eficacia comunicativa, presupuesto de la norma en comento.</w:t>
      </w:r>
    </w:p>
    <w:p w14:paraId="722D3692"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4B9385FC"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el caso, la lectura integral del decreto número 365 revela que el mismo está dirigido a los habitantes del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Oaxaca, pues ratifica la declaratoria emitida por el Consejo General del órgano electoral local, en el sentido de que en dicha 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7587F3A1"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w:t>
      </w:r>
      <w:r w:rsidRPr="00821A73">
        <w:rPr>
          <w:rFonts w:ascii="Univers" w:eastAsia="Times New Roman" w:hAnsi="Univers" w:cs="Times New Roman"/>
          <w:sz w:val="28"/>
          <w:szCs w:val="28"/>
          <w:lang w:eastAsia="es-MX"/>
        </w:rPr>
        <w:lastRenderedPageBreak/>
        <w:t xml:space="preserve">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7B9A5495"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con el fin de cerciorarse que sus habitantes tuvieran pleno acceso, conocimiento y entendimiento claro del acto que en, un momento dado, pudiera depararles algún perjuicio.</w:t>
      </w:r>
    </w:p>
    <w:p w14:paraId="6AABC3F3" w14:textId="77777777" w:rsidR="00821A73" w:rsidRPr="00821A73" w:rsidRDefault="00821A73" w:rsidP="00821A73">
      <w:pPr>
        <w:keepNext/>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t xml:space="preserve">El deber de actuar en los términos apuntados deriva de lo previsto en el artículo 30 del citado Convenio sobre Pueblos Indígenas y Tribales, 1989, según el cual </w:t>
      </w:r>
      <w:r w:rsidRPr="00821A73">
        <w:rPr>
          <w:rFonts w:ascii="Univers" w:eastAsia="Times New Roman" w:hAnsi="Univers" w:cs="Arial"/>
          <w:sz w:val="28"/>
          <w:szCs w:val="28"/>
          <w:lang w:eastAsia="es-MX"/>
        </w:rPr>
        <w:t>los gobiernos deben adoptar medidas que 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ejemplificativo, la utilización de traducciones escritas y otras formas comunicación de masas en las lenguas de dichos pueblos.</w:t>
      </w:r>
    </w:p>
    <w:p w14:paraId="5A8929CD"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p>
    <w:p w14:paraId="5B158639"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 xml:space="preserve">En la publicación intitulada </w:t>
      </w:r>
      <w:r w:rsidRPr="00821A73">
        <w:rPr>
          <w:rFonts w:ascii="Univers" w:eastAsia="Times New Roman" w:hAnsi="Univers" w:cs="Times New Roman"/>
          <w:i/>
          <w:sz w:val="28"/>
          <w:szCs w:val="28"/>
          <w:lang w:eastAsia="es-MX"/>
        </w:rPr>
        <w:t>“Oaxaca. Perfil Sociodemográfico. XII Censo General de Población y Vivienda 2000”</w:t>
      </w:r>
      <w:r w:rsidRPr="00821A73">
        <w:rPr>
          <w:rFonts w:ascii="Univers" w:eastAsia="Times New Roman" w:hAnsi="Univers" w:cs="Times New Roman"/>
          <w:sz w:val="28"/>
          <w:szCs w:val="28"/>
          <w:lang w:eastAsia="es-MX"/>
        </w:rPr>
        <w:t>, cuya versión electrónica puede ser consultada en la página de Internet del Instituto Nacional de Estadística, Geografía e Informática (</w:t>
      </w:r>
      <w:r w:rsidRPr="00821A73">
        <w:rPr>
          <w:rFonts w:ascii="Univers" w:eastAsia="Times New Roman" w:hAnsi="Univers" w:cs="Arial"/>
          <w:color w:val="000000"/>
          <w:sz w:val="28"/>
          <w:szCs w:val="28"/>
          <w:lang w:eastAsia="es-MX"/>
        </w:rPr>
        <w:t>www.</w:t>
      </w:r>
      <w:r w:rsidRPr="00821A73">
        <w:rPr>
          <w:rFonts w:ascii="Univers" w:eastAsia="Times New Roman" w:hAnsi="Univers" w:cs="Arial"/>
          <w:b/>
          <w:bCs/>
          <w:color w:val="000000"/>
          <w:sz w:val="28"/>
          <w:szCs w:val="28"/>
          <w:lang w:eastAsia="es-MX"/>
        </w:rPr>
        <w:t>inegi</w:t>
      </w:r>
      <w:r w:rsidRPr="00821A73">
        <w:rPr>
          <w:rFonts w:ascii="Univers" w:eastAsia="Times New Roman" w:hAnsi="Univers" w:cs="Arial"/>
          <w:color w:val="000000"/>
          <w:sz w:val="28"/>
          <w:szCs w:val="28"/>
          <w:lang w:eastAsia="es-MX"/>
        </w:rPr>
        <w:t xml:space="preserve">.gob.mx), se da cuenta que los resultados del censo precisado mostraron que en </w:t>
      </w:r>
      <w:proofErr w:type="spellStart"/>
      <w:r w:rsidRPr="00821A73">
        <w:rPr>
          <w:rFonts w:ascii="Univers" w:eastAsia="Times New Roman" w:hAnsi="Univers" w:cs="Arial"/>
          <w:color w:val="000000"/>
          <w:sz w:val="28"/>
          <w:szCs w:val="28"/>
          <w:lang w:eastAsia="es-MX"/>
        </w:rPr>
        <w:t>Tanetze</w:t>
      </w:r>
      <w:proofErr w:type="spellEnd"/>
      <w:r w:rsidRPr="00821A73">
        <w:rPr>
          <w:rFonts w:ascii="Univers" w:eastAsia="Times New Roman" w:hAnsi="Univers" w:cs="Arial"/>
          <w:color w:val="000000"/>
          <w:sz w:val="28"/>
          <w:szCs w:val="28"/>
          <w:lang w:eastAsia="es-MX"/>
        </w:rPr>
        <w:t xml:space="preserve"> de Zaragoza se reportaron 1,274 personas de quince años o más, de entre quienes 1,152 se consideraron analfabetas (el 90.42%) y 121 analfabetas (el 9.49%), en tanto que respecto de un individuo no se especificó su condición sobre el particular.</w:t>
      </w:r>
      <w:r w:rsidRPr="00821A73">
        <w:rPr>
          <w:rFonts w:ascii="Univers" w:eastAsia="Times New Roman" w:hAnsi="Univers" w:cs="Times New Roman"/>
          <w:sz w:val="28"/>
          <w:szCs w:val="28"/>
          <w:lang w:eastAsia="es-MX"/>
        </w:rPr>
        <w:t xml:space="preserve"> </w:t>
      </w:r>
    </w:p>
    <w:p w14:paraId="63CB0FFF"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acuerdo con estas cifras, el porcentaje de población de quince años y más que es </w:t>
      </w:r>
      <w:proofErr w:type="spellStart"/>
      <w:r w:rsidRPr="00821A73">
        <w:rPr>
          <w:rFonts w:ascii="Univers" w:eastAsia="Times New Roman" w:hAnsi="Univers" w:cs="Times New Roman"/>
          <w:sz w:val="28"/>
          <w:szCs w:val="28"/>
          <w:lang w:eastAsia="es-MX"/>
        </w:rPr>
        <w:t>alfabeta</w:t>
      </w:r>
      <w:proofErr w:type="spellEnd"/>
      <w:r w:rsidRPr="00821A73">
        <w:rPr>
          <w:rFonts w:ascii="Univers" w:eastAsia="Times New Roman" w:hAnsi="Univers" w:cs="Times New Roman"/>
          <w:sz w:val="28"/>
          <w:szCs w:val="28"/>
          <w:lang w:eastAsia="es-MX"/>
        </w:rPr>
        <w:t xml:space="preserve"> en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es correspondiente con la media nacional, que según el XII Censo General de Población es de 90.5%, y superior a la registrada en Oaxaca en el año dos mil, de 78.4%. </w:t>
      </w:r>
    </w:p>
    <w:p w14:paraId="00319AEF"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Por su parte, conforme los datos relativos al Conteo de Población y Vivienda 2005, igualmente consultables en la página electrónica recién precisada, en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se registran  1,327 personas residentes que cuentan con cinco años y más, y hablan alguna lengua indígena (1,323 hablan zapoteco, 1 </w:t>
      </w:r>
      <w:proofErr w:type="spellStart"/>
      <w:r w:rsidRPr="00821A73">
        <w:rPr>
          <w:rFonts w:ascii="Univers" w:eastAsia="Times New Roman" w:hAnsi="Univers" w:cs="Times New Roman"/>
          <w:sz w:val="28"/>
          <w:szCs w:val="28"/>
          <w:lang w:eastAsia="es-MX"/>
        </w:rPr>
        <w:t>chinateco</w:t>
      </w:r>
      <w:proofErr w:type="spellEnd"/>
      <w:r w:rsidRPr="00821A73">
        <w:rPr>
          <w:rFonts w:ascii="Univers" w:eastAsia="Times New Roman" w:hAnsi="Univers" w:cs="Times New Roman"/>
          <w:sz w:val="28"/>
          <w:szCs w:val="28"/>
          <w:lang w:eastAsia="es-MX"/>
        </w:rPr>
        <w:t>, 1 mazateco y en los dos casos no se especificó). De este universo, 41 personas no hablan español (con excepción de un caso que no se detalla, todos hablan exclusivamente lengua zapoteca), en tanto que respecto de 28 personas no se precisa su condición.</w:t>
      </w:r>
    </w:p>
    <w:p w14:paraId="0A116884"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La página electrónica del gobierno del Estado de Oaxaca, a su vez, contiene un hipervínculo a la información de los ayuntamientos de la </w:t>
      </w:r>
      <w:r w:rsidRPr="00821A73">
        <w:rPr>
          <w:rFonts w:ascii="Univers" w:eastAsia="Times New Roman" w:hAnsi="Univers" w:cs="Times New Roman"/>
          <w:sz w:val="28"/>
          <w:szCs w:val="28"/>
          <w:lang w:eastAsia="es-MX"/>
        </w:rPr>
        <w:lastRenderedPageBreak/>
        <w:t xml:space="preserve">entidad, entre los cuales se encuentra listado, con el número 537,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que permite acceder a los datos estadísticos más representativos del municipio. (www.e-oaxaca.gob.mx/web/index/.php?option=com_contant&amp;task=viewdcid=54&amp;itemid=67&amp;mi_id=541). De los mismos resulta relevante mencionar los siguientes:</w:t>
      </w:r>
    </w:p>
    <w:p w14:paraId="58E35171"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1)</w:t>
      </w:r>
      <w:r w:rsidRPr="00821A73">
        <w:rPr>
          <w:rFonts w:ascii="Univers" w:eastAsia="Times New Roman" w:hAnsi="Univers" w:cs="Times New Roman"/>
          <w:sz w:val="28"/>
          <w:szCs w:val="28"/>
          <w:lang w:eastAsia="es-MX"/>
        </w:rPr>
        <w:t xml:space="preserve"> 1,855 constituyen la población total;</w:t>
      </w:r>
    </w:p>
    <w:p w14:paraId="23B83AD4"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2)</w:t>
      </w:r>
      <w:r w:rsidRPr="00821A73">
        <w:rPr>
          <w:rFonts w:ascii="Univers" w:eastAsia="Times New Roman" w:hAnsi="Univers" w:cs="Times New Roman"/>
          <w:sz w:val="28"/>
          <w:szCs w:val="28"/>
          <w:lang w:eastAsia="es-MX"/>
        </w:rPr>
        <w:t xml:space="preserve"> La población de quince años o más analfabeta representa el 9.51% (alrededor de 176 individuos);</w:t>
      </w:r>
    </w:p>
    <w:p w14:paraId="6DB598F3"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3)</w:t>
      </w:r>
      <w:r w:rsidRPr="00821A73">
        <w:rPr>
          <w:rFonts w:ascii="Univers" w:eastAsia="Times New Roman" w:hAnsi="Univers" w:cs="Times New Roman"/>
          <w:sz w:val="28"/>
          <w:szCs w:val="28"/>
          <w:lang w:eastAsia="es-MX"/>
        </w:rPr>
        <w:t xml:space="preserve"> La población sin primaria completa de quince años o más alcanza el 49.25% (aproximadamente 913 personas);</w:t>
      </w:r>
    </w:p>
    <w:p w14:paraId="6AB99C7C"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4)</w:t>
      </w:r>
      <w:r w:rsidRPr="00821A73">
        <w:rPr>
          <w:rFonts w:ascii="Univers" w:eastAsia="Times New Roman" w:hAnsi="Univers" w:cs="Times New Roman"/>
          <w:sz w:val="28"/>
          <w:szCs w:val="28"/>
          <w:lang w:eastAsia="es-MX"/>
        </w:rPr>
        <w:t xml:space="preserve"> El 54.86% de las viviendas reportan algún nivel de hacinamiento:</w:t>
      </w:r>
    </w:p>
    <w:p w14:paraId="6DB524C6"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5)</w:t>
      </w:r>
      <w:r w:rsidRPr="00821A73">
        <w:rPr>
          <w:rFonts w:ascii="Univers" w:eastAsia="Times New Roman" w:hAnsi="Univers" w:cs="Times New Roman"/>
          <w:sz w:val="28"/>
          <w:szCs w:val="28"/>
          <w:lang w:eastAsia="es-MX"/>
        </w:rPr>
        <w:t xml:space="preserve"> El 94.90% de la población está ocupada y tiene un ingreso de hasta 2 salarios mínimos;</w:t>
      </w:r>
    </w:p>
    <w:p w14:paraId="5950B711"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6)</w:t>
      </w:r>
      <w:r w:rsidRPr="00821A73">
        <w:rPr>
          <w:rFonts w:ascii="Univers" w:eastAsia="Times New Roman" w:hAnsi="Univers" w:cs="Times New Roman"/>
          <w:sz w:val="28"/>
          <w:szCs w:val="28"/>
          <w:lang w:eastAsia="es-MX"/>
        </w:rPr>
        <w:t xml:space="preserve"> El municipio </w:t>
      </w:r>
      <w:r w:rsidRPr="00821A73">
        <w:rPr>
          <w:rFonts w:ascii="Univers" w:eastAsia="Times New Roman" w:hAnsi="Univers" w:cs="Times New Roman"/>
          <w:i/>
          <w:sz w:val="28"/>
          <w:szCs w:val="28"/>
          <w:lang w:eastAsia="es-MX"/>
        </w:rPr>
        <w:t>“cuenta con un mercado público, cuya tienda comunitaria y misceláneas en donde se abastece la población de los artículos de primera necesidad”</w:t>
      </w:r>
      <w:r w:rsidRPr="00821A73">
        <w:rPr>
          <w:rFonts w:ascii="Univers" w:eastAsia="Times New Roman" w:hAnsi="Univers" w:cs="Times New Roman"/>
          <w:sz w:val="28"/>
          <w:szCs w:val="28"/>
          <w:lang w:eastAsia="es-MX"/>
        </w:rPr>
        <w:t xml:space="preserve">;   </w:t>
      </w:r>
    </w:p>
    <w:p w14:paraId="088BD9D3"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7)</w:t>
      </w:r>
      <w:r w:rsidRPr="00821A73">
        <w:rPr>
          <w:rFonts w:ascii="Univers" w:eastAsia="Times New Roman" w:hAnsi="Univers" w:cs="Times New Roman"/>
          <w:sz w:val="28"/>
          <w:szCs w:val="28"/>
          <w:lang w:eastAsia="es-MX"/>
        </w:rPr>
        <w:t xml:space="preserve"> La mayoría de las 484 viviendas reportadas en el censo de población del año dos mil, son de pisos de tierra, muros de abobe y ladrillo, y techos de lámina y tejas;</w:t>
      </w:r>
    </w:p>
    <w:p w14:paraId="7830348A"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proofErr w:type="gramStart"/>
      <w:r w:rsidRPr="00821A73">
        <w:rPr>
          <w:rFonts w:ascii="Univers" w:eastAsia="Times New Roman" w:hAnsi="Univers" w:cs="Times New Roman"/>
          <w:b/>
          <w:sz w:val="28"/>
          <w:szCs w:val="28"/>
          <w:lang w:eastAsia="es-MX"/>
        </w:rPr>
        <w:t>8) ”</w:t>
      </w:r>
      <w:proofErr w:type="gramEnd"/>
      <w:r w:rsidRPr="00821A73">
        <w:rPr>
          <w:rFonts w:ascii="Univers" w:eastAsia="Times New Roman" w:hAnsi="Univers" w:cs="Times New Roman"/>
          <w:i/>
          <w:sz w:val="28"/>
          <w:szCs w:val="28"/>
          <w:lang w:eastAsia="es-MX"/>
        </w:rPr>
        <w:t xml:space="preserve">Los medios de comunicación más importantes en el municipio son: caseta telefónica, oficina de correos y se escuchan algunas estaciones </w:t>
      </w:r>
      <w:r w:rsidRPr="00821A73">
        <w:rPr>
          <w:rFonts w:ascii="Univers" w:eastAsia="Times New Roman" w:hAnsi="Univers" w:cs="Times New Roman"/>
          <w:i/>
          <w:sz w:val="28"/>
          <w:szCs w:val="28"/>
          <w:lang w:eastAsia="es-MX"/>
        </w:rPr>
        <w:lastRenderedPageBreak/>
        <w:t>del Estado vecino de Veracruz. La línea que presta el servicio es</w:t>
      </w:r>
      <w:r w:rsidRPr="00821A73">
        <w:rPr>
          <w:rFonts w:ascii="Univers" w:eastAsia="Times New Roman" w:hAnsi="Univers" w:cs="Times New Roman"/>
          <w:i/>
          <w:color w:val="000000"/>
          <w:sz w:val="28"/>
          <w:szCs w:val="28"/>
          <w:lang w:eastAsia="es-MX"/>
        </w:rPr>
        <w:t xml:space="preserve"> la Benito Juárez</w:t>
      </w:r>
      <w:r w:rsidRPr="00821A73">
        <w:rPr>
          <w:rFonts w:ascii="Univers" w:eastAsia="Times New Roman" w:hAnsi="Univers" w:cs="Times New Roman"/>
          <w:sz w:val="28"/>
          <w:szCs w:val="28"/>
          <w:lang w:eastAsia="es-MX"/>
        </w:rPr>
        <w:t>“;</w:t>
      </w:r>
    </w:p>
    <w:p w14:paraId="6C5C7782"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9)</w:t>
      </w:r>
      <w:r w:rsidRPr="00821A73">
        <w:rPr>
          <w:rFonts w:ascii="Univers" w:eastAsia="Times New Roman" w:hAnsi="Univers" w:cs="Times New Roman"/>
          <w:sz w:val="28"/>
          <w:szCs w:val="28"/>
          <w:lang w:eastAsia="es-MX"/>
        </w:rPr>
        <w:t xml:space="preserve"> En relación con las vías de comunicación, se dice que el municipio “</w:t>
      </w:r>
      <w:r w:rsidRPr="00821A73">
        <w:rPr>
          <w:rFonts w:ascii="Univers" w:eastAsia="Times New Roman" w:hAnsi="Univers" w:cs="Times New Roman"/>
          <w:i/>
          <w:sz w:val="28"/>
          <w:szCs w:val="28"/>
          <w:lang w:eastAsia="es-MX"/>
        </w:rPr>
        <w:t xml:space="preserve">cuenta con un camino de terracería que conduce a </w:t>
      </w:r>
      <w:proofErr w:type="spellStart"/>
      <w:r w:rsidRPr="00821A73">
        <w:rPr>
          <w:rFonts w:ascii="Univers" w:eastAsia="Times New Roman" w:hAnsi="Univers" w:cs="Times New Roman"/>
          <w:i/>
          <w:sz w:val="28"/>
          <w:szCs w:val="28"/>
          <w:lang w:eastAsia="es-MX"/>
        </w:rPr>
        <w:t>Teviche</w:t>
      </w:r>
      <w:proofErr w:type="spellEnd"/>
      <w:r w:rsidRPr="00821A73">
        <w:rPr>
          <w:rFonts w:ascii="Univers" w:eastAsia="Times New Roman" w:hAnsi="Univers" w:cs="Times New Roman"/>
          <w:i/>
          <w:sz w:val="28"/>
          <w:szCs w:val="28"/>
          <w:lang w:eastAsia="es-MX"/>
        </w:rPr>
        <w:t xml:space="preserve"> y otro que conduce a San Juan </w:t>
      </w:r>
      <w:proofErr w:type="spellStart"/>
      <w:r w:rsidRPr="00821A73">
        <w:rPr>
          <w:rFonts w:ascii="Univers" w:eastAsia="Times New Roman" w:hAnsi="Univers" w:cs="Times New Roman"/>
          <w:i/>
          <w:sz w:val="28"/>
          <w:szCs w:val="28"/>
          <w:lang w:eastAsia="es-MX"/>
        </w:rPr>
        <w:t>Juquila</w:t>
      </w:r>
      <w:proofErr w:type="spellEnd"/>
      <w:r w:rsidRPr="00821A73">
        <w:rPr>
          <w:rFonts w:ascii="Univers" w:eastAsia="Times New Roman" w:hAnsi="Univers" w:cs="Times New Roman"/>
          <w:i/>
          <w:sz w:val="28"/>
          <w:szCs w:val="28"/>
          <w:lang w:eastAsia="es-MX"/>
        </w:rPr>
        <w:t xml:space="preserve"> </w:t>
      </w:r>
      <w:proofErr w:type="spellStart"/>
      <w:r w:rsidRPr="00821A73">
        <w:rPr>
          <w:rFonts w:ascii="Univers" w:eastAsia="Times New Roman" w:hAnsi="Univers" w:cs="Times New Roman"/>
          <w:i/>
          <w:sz w:val="28"/>
          <w:szCs w:val="28"/>
          <w:lang w:eastAsia="es-MX"/>
        </w:rPr>
        <w:t>Vijanos</w:t>
      </w:r>
      <w:proofErr w:type="spellEnd"/>
      <w:r w:rsidRPr="00821A73">
        <w:rPr>
          <w:rFonts w:ascii="Univers" w:eastAsia="Times New Roman" w:hAnsi="Univers" w:cs="Times New Roman"/>
          <w:sz w:val="28"/>
          <w:szCs w:val="28"/>
          <w:lang w:eastAsia="es-MX"/>
        </w:rPr>
        <w:t xml:space="preserve">”;  </w:t>
      </w:r>
    </w:p>
    <w:p w14:paraId="3261AD4A"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10)</w:t>
      </w:r>
      <w:r w:rsidRPr="00821A73">
        <w:rPr>
          <w:rFonts w:ascii="Univers" w:eastAsia="Times New Roman" w:hAnsi="Univers" w:cs="Times New Roman"/>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6841BB7C"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11)</w:t>
      </w:r>
      <w:r w:rsidRPr="00821A73">
        <w:rPr>
          <w:rFonts w:ascii="Univers" w:eastAsia="Times New Roman" w:hAnsi="Univers" w:cs="Times New Roman"/>
          <w:sz w:val="28"/>
          <w:szCs w:val="28"/>
          <w:lang w:eastAsia="es-MX"/>
        </w:rPr>
        <w:t xml:space="preserve"> Además de la cabecera municipal, la principal localidad es la agencia municipal de Santa María </w:t>
      </w:r>
      <w:proofErr w:type="spellStart"/>
      <w:r w:rsidRPr="00821A73">
        <w:rPr>
          <w:rFonts w:ascii="Univers" w:eastAsia="Times New Roman" w:hAnsi="Univers" w:cs="Times New Roman"/>
          <w:sz w:val="28"/>
          <w:szCs w:val="28"/>
          <w:lang w:eastAsia="es-MX"/>
        </w:rPr>
        <w:t>Yaviche</w:t>
      </w:r>
      <w:proofErr w:type="spellEnd"/>
      <w:r w:rsidRPr="00821A73">
        <w:rPr>
          <w:rFonts w:ascii="Univers" w:eastAsia="Times New Roman" w:hAnsi="Univers" w:cs="Times New Roman"/>
          <w:sz w:val="28"/>
          <w:szCs w:val="28"/>
          <w:lang w:eastAsia="es-MX"/>
        </w:rPr>
        <w:t>. La superficie total del municipio es de 58.69 Kilómetros cuadrados.</w:t>
      </w:r>
    </w:p>
    <w:p w14:paraId="3CC26874"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la información que antecede se puede concluir que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la capital de la entidad son sumamente limitados y no permiten un flujo informativo con el exterior rápido y eficiente (lo más representativo es una sola caseta telefónica y la oficina de correos, pues las emisiones radiales que se </w:t>
      </w:r>
      <w:proofErr w:type="spellStart"/>
      <w:r w:rsidRPr="00821A73">
        <w:rPr>
          <w:rFonts w:ascii="Univers" w:eastAsia="Times New Roman" w:hAnsi="Univers" w:cs="Times New Roman"/>
          <w:sz w:val="28"/>
          <w:szCs w:val="28"/>
          <w:lang w:eastAsia="es-MX"/>
        </w:rPr>
        <w:t>recepcionan</w:t>
      </w:r>
      <w:proofErr w:type="spellEnd"/>
      <w:r w:rsidRPr="00821A73">
        <w:rPr>
          <w:rFonts w:ascii="Univers" w:eastAsia="Times New Roman" w:hAnsi="Univers" w:cs="Times New Roman"/>
          <w:sz w:val="28"/>
          <w:szCs w:val="28"/>
          <w:lang w:eastAsia="es-MX"/>
        </w:rPr>
        <w:t xml:space="preserve"> corresponden a un Estado distinto).</w:t>
      </w:r>
    </w:p>
    <w:p w14:paraId="092DECE8"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41E62DB0"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También debe destacarse que aproximadamente un 3% de la población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habla exclusivamente su lengua indígena, lo que impide a este sector siquiera equiparar las escasas oportunidades de obtener y difundir comunicación con que cuenta el resto de los residentes.</w:t>
      </w:r>
    </w:p>
    <w:p w14:paraId="367395A0"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w:t>
      </w:r>
      <w:r w:rsidRPr="00821A73">
        <w:rPr>
          <w:rFonts w:ascii="Univers" w:eastAsia="Times New Roman" w:hAnsi="Univers" w:cs="Times New Roman"/>
          <w:sz w:val="28"/>
          <w:szCs w:val="28"/>
          <w:lang w:eastAsia="es-MX"/>
        </w:rPr>
        <w:lastRenderedPageBreak/>
        <w:t>de precariedad y marginación (económica, social y cultural) en que subsiste la población los obligue muy probablemente  a destinar casi todos sus recursos y tiempo a obtener sus satisfactores básicos o primarios.</w:t>
      </w:r>
    </w:p>
    <w:p w14:paraId="0B3FE90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Así las cosas, no es dable sostener que a partir de que surtió sus efectos la publicación en el </w:t>
      </w:r>
      <w:r w:rsidRPr="00821A73">
        <w:rPr>
          <w:rFonts w:ascii="Univers" w:eastAsia="Times New Roman" w:hAnsi="Univers" w:cs="Times New Roman"/>
          <w:i/>
          <w:sz w:val="28"/>
          <w:szCs w:val="28"/>
          <w:lang w:eastAsia="es-MX"/>
        </w:rPr>
        <w:t>Periódico Oficial del Estado</w:t>
      </w:r>
      <w:r w:rsidRPr="00821A73">
        <w:rPr>
          <w:rFonts w:ascii="Univers" w:eastAsia="Times New Roman" w:hAnsi="Univers" w:cs="Times New Roman"/>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821A73">
        <w:rPr>
          <w:rFonts w:ascii="Univers" w:eastAsia="Times New Roman" w:hAnsi="Univers" w:cs="Times New Roman"/>
          <w:sz w:val="28"/>
          <w:szCs w:val="28"/>
          <w:lang w:eastAsia="es-MX"/>
        </w:rPr>
        <w:t>legislador  para</w:t>
      </w:r>
      <w:proofErr w:type="gramEnd"/>
      <w:r w:rsidRPr="00821A73">
        <w:rPr>
          <w:rFonts w:ascii="Univers" w:eastAsia="Times New Roman" w:hAnsi="Univers" w:cs="Times New Roman"/>
          <w:sz w:val="28"/>
          <w:szCs w:val="28"/>
          <w:lang w:eastAsia="es-MX"/>
        </w:rPr>
        <w:t xml:space="preserve"> que cobre aplicación lo dispuesto en el artículo 3º, apartado 2 de la Ley General del Sistema de Medios de Impugnación en Materia Electoral. </w:t>
      </w:r>
    </w:p>
    <w:p w14:paraId="2DDC6DF7"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Con independencia de lo anterior, igualmente cabe concluir que el presente medio impugnativo fue promovido en tiempo si se toma en consideración, que la violación reclamada por los </w:t>
      </w:r>
      <w:proofErr w:type="spellStart"/>
      <w:r w:rsidRPr="00821A73">
        <w:rPr>
          <w:rFonts w:ascii="Univers" w:eastAsia="Times New Roman" w:hAnsi="Univers" w:cs="Times New Roman"/>
          <w:sz w:val="28"/>
          <w:szCs w:val="28"/>
          <w:lang w:eastAsia="es-MX"/>
        </w:rPr>
        <w:t>promoventes</w:t>
      </w:r>
      <w:proofErr w:type="spellEnd"/>
      <w:r w:rsidRPr="00821A73">
        <w:rPr>
          <w:rFonts w:ascii="Univers" w:eastAsia="Times New Roman" w:hAnsi="Univers" w:cs="Times New Roman"/>
          <w:sz w:val="28"/>
          <w:szCs w:val="28"/>
          <w:lang w:eastAsia="es-MX"/>
        </w:rPr>
        <w:t xml:space="preserve"> consiste, en última instancia, en la falta de celebración de elecciones regidas por usos y costumbres indígenas en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Oaxaca, en contravención del derecho de sufragio de los </w:t>
      </w:r>
      <w:proofErr w:type="spellStart"/>
      <w:r w:rsidRPr="00821A73">
        <w:rPr>
          <w:rFonts w:ascii="Univers" w:eastAsia="Times New Roman" w:hAnsi="Univers" w:cs="Times New Roman"/>
          <w:sz w:val="28"/>
          <w:szCs w:val="28"/>
          <w:lang w:eastAsia="es-MX"/>
        </w:rPr>
        <w:t>promoventes</w:t>
      </w:r>
      <w:proofErr w:type="spellEnd"/>
      <w:r w:rsidRPr="00821A73">
        <w:rPr>
          <w:rFonts w:ascii="Univers" w:eastAsia="Times New Roman" w:hAnsi="Univers" w:cs="Times New Roman"/>
          <w:sz w:val="28"/>
          <w:szCs w:val="28"/>
          <w:lang w:eastAsia="es-MX"/>
        </w:rPr>
        <w:t>, en tanto el mencionado decreto número 365 prolonga la situación anómala en que se encuentra la localidad desde el año dos mil dos.</w:t>
      </w:r>
    </w:p>
    <w:p w14:paraId="7C737930"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w:t>
      </w:r>
      <w:r w:rsidRPr="00821A73">
        <w:rPr>
          <w:rFonts w:ascii="Univers" w:eastAsia="Times New Roman" w:hAnsi="Univers" w:cs="Times New Roman"/>
          <w:sz w:val="28"/>
          <w:szCs w:val="28"/>
          <w:lang w:eastAsia="es-MX"/>
        </w:rPr>
        <w:lastRenderedPageBreak/>
        <w:t>se prolongan de forma encadenada e ininterrumpida en el tiempo, mientras se desplieguen las consecuencias normativas de la determinación.</w:t>
      </w:r>
    </w:p>
    <w:p w14:paraId="74FD2C2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2F94E9C2"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7ED8737E" w14:textId="77777777" w:rsidR="00821A73" w:rsidRPr="00821A73" w:rsidRDefault="00821A73" w:rsidP="00821A73">
      <w:pPr>
        <w:spacing w:before="100" w:beforeAutospacing="1" w:after="100" w:afterAutospacing="1" w:line="240" w:lineRule="auto"/>
        <w:ind w:right="686"/>
        <w:jc w:val="both"/>
        <w:rPr>
          <w:rFonts w:ascii="Univers" w:eastAsia="Times New Roman" w:hAnsi="Univers" w:cs="Times New Roman"/>
          <w:sz w:val="24"/>
          <w:szCs w:val="24"/>
          <w:lang w:eastAsia="es-MX"/>
        </w:rPr>
      </w:pPr>
      <w:r w:rsidRPr="00821A73">
        <w:rPr>
          <w:rFonts w:ascii="Univers" w:eastAsia="Times New Roman" w:hAnsi="Univers" w:cs="Arial"/>
          <w:b/>
          <w:bCs/>
          <w:sz w:val="24"/>
          <w:szCs w:val="24"/>
          <w:lang w:eastAsia="es-MX"/>
        </w:rPr>
        <w:t>“PLAZOS LEGALES. SU COMPUTACIÓN PARA EL EJERCICIO DE UN DERECHO O LA LIBERACIÓN DE UNA OBLIGACIÓN, CUANDO SE TRATA DE ACTOS DE TRACTO SUCESIVO.—</w:t>
      </w:r>
      <w:r w:rsidRPr="00821A73">
        <w:rPr>
          <w:rFonts w:ascii="Univers" w:eastAsia="Times New Roman" w:hAnsi="Univers" w:cs="Arial"/>
          <w:sz w:val="24"/>
          <w:szCs w:val="24"/>
          <w:lang w:eastAsia="es-MX"/>
        </w:rPr>
        <w:t>Un principio lógico que se ha aplicado para determinar el transcurso de los plazos legales para el ejercicio de un derecho o la liberación de una obligación, cuando se trata de actos de tracto sucesivo, en los que genéricamente se reputan comprendidos los que no se agotan 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50D39592"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Por las razones expuestas, se desestima la causa de improcedencia vinculada con la supuesta extemporaneidad del presente juicio.</w:t>
      </w:r>
    </w:p>
    <w:p w14:paraId="601DD1FC"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proofErr w:type="spellStart"/>
      <w:r w:rsidRPr="00821A73">
        <w:rPr>
          <w:rFonts w:ascii="Univers" w:eastAsia="Times New Roman" w:hAnsi="Univers" w:cs="Arial"/>
          <w:b/>
          <w:sz w:val="28"/>
          <w:szCs w:val="28"/>
          <w:lang w:eastAsia="es-MX"/>
        </w:rPr>
        <w:t>Definitividad</w:t>
      </w:r>
      <w:proofErr w:type="spellEnd"/>
      <w:r w:rsidRPr="00821A73">
        <w:rPr>
          <w:rFonts w:ascii="Univers" w:eastAsia="Times New Roman" w:hAnsi="Univers" w:cs="Arial"/>
          <w:b/>
          <w:sz w:val="28"/>
          <w:szCs w:val="28"/>
          <w:lang w:eastAsia="es-MX"/>
        </w:rPr>
        <w:t xml:space="preserve"> y firmeza.</w:t>
      </w:r>
      <w:r w:rsidRPr="00821A73">
        <w:rPr>
          <w:rFonts w:ascii="Univers" w:eastAsia="Times New Roman" w:hAnsi="Univers" w:cs="Arial"/>
          <w:sz w:val="28"/>
          <w:szCs w:val="28"/>
          <w:lang w:eastAsia="es-MX"/>
        </w:rPr>
        <w:t xml:space="preserve"> Por lo que se refiere a la obligatoriedad de agotar las instancias previas a que se refiere los </w:t>
      </w:r>
      <w:bookmarkStart w:id="1" w:name="LPHit1"/>
      <w:bookmarkEnd w:id="1"/>
      <w:r w:rsidRPr="00821A73">
        <w:rPr>
          <w:rFonts w:ascii="Univers" w:eastAsia="Times New Roman" w:hAnsi="Univers" w:cs="Arial"/>
          <w:sz w:val="28"/>
          <w:szCs w:val="28"/>
          <w:lang w:eastAsia="es-MX"/>
        </w:rPr>
        <w:t xml:space="preserve">artículos 10, párrafo 1, inciso d) y 80, apartado 2, de la Ley General del Sistema de Medios de Impugnación en Materia Electoral, </w:t>
      </w:r>
      <w:r w:rsidRPr="00821A73">
        <w:rPr>
          <w:rFonts w:ascii="Univers" w:eastAsia="Times New Roman" w:hAnsi="Univers" w:cs="Times New Roman"/>
          <w:sz w:val="28"/>
          <w:szCs w:val="28"/>
          <w:lang w:eastAsia="es-MX"/>
        </w:rPr>
        <w:t xml:space="preserve">debe decirse que en el caso los </w:t>
      </w:r>
      <w:proofErr w:type="spellStart"/>
      <w:r w:rsidRPr="00821A73">
        <w:rPr>
          <w:rFonts w:ascii="Univers" w:eastAsia="Times New Roman" w:hAnsi="Univers" w:cs="Times New Roman"/>
          <w:sz w:val="28"/>
          <w:szCs w:val="28"/>
          <w:lang w:eastAsia="es-MX"/>
        </w:rPr>
        <w:t>incoantes</w:t>
      </w:r>
      <w:proofErr w:type="spellEnd"/>
      <w:r w:rsidRPr="00821A73">
        <w:rPr>
          <w:rFonts w:ascii="Univers" w:eastAsia="Times New Roman" w:hAnsi="Univers" w:cs="Times New Roman"/>
          <w:sz w:val="28"/>
          <w:szCs w:val="28"/>
          <w:lang w:eastAsia="es-MX"/>
        </w:rPr>
        <w:t xml:space="preserve">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730DA97A"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Ciertamente, con las reforma a la Constitución local, publicada en el </w:t>
      </w:r>
      <w:r w:rsidRPr="00821A73">
        <w:rPr>
          <w:rFonts w:ascii="Univers" w:eastAsia="Times New Roman" w:hAnsi="Univers" w:cs="Times New Roman"/>
          <w:i/>
          <w:sz w:val="28"/>
          <w:szCs w:val="28"/>
          <w:lang w:eastAsia="es-MX"/>
        </w:rPr>
        <w:t>Periódico Oficial del Estado</w:t>
      </w:r>
      <w:r w:rsidRPr="00821A73">
        <w:rPr>
          <w:rFonts w:ascii="Univers" w:eastAsia="Times New Roman" w:hAnsi="Univers" w:cs="Times New Roman"/>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6E2BB3F7"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b/>
          <w:sz w:val="28"/>
          <w:szCs w:val="28"/>
          <w:lang w:eastAsia="es-MX"/>
        </w:rPr>
        <w:t>Legitimación en la causa e interés jurídico.</w:t>
      </w:r>
      <w:r w:rsidRPr="00821A73">
        <w:rPr>
          <w:rFonts w:ascii="Univers" w:eastAsia="Times New Roman" w:hAnsi="Univers" w:cs="Times New Roman"/>
          <w:sz w:val="28"/>
          <w:szCs w:val="28"/>
          <w:lang w:eastAsia="es-MX"/>
        </w:rPr>
        <w:t xml:space="preserve"> Por otra parte, este órgano estima que, contrariamente a lo que aducen las autoridades responsables, los </w:t>
      </w:r>
      <w:proofErr w:type="spellStart"/>
      <w:r w:rsidRPr="00821A73">
        <w:rPr>
          <w:rFonts w:ascii="Univers" w:eastAsia="Times New Roman" w:hAnsi="Univers" w:cs="Times New Roman"/>
          <w:sz w:val="28"/>
          <w:szCs w:val="28"/>
          <w:lang w:eastAsia="es-MX"/>
        </w:rPr>
        <w:t>promoventes</w:t>
      </w:r>
      <w:proofErr w:type="spellEnd"/>
      <w:r w:rsidRPr="00821A73">
        <w:rPr>
          <w:rFonts w:ascii="Univers" w:eastAsia="Times New Roman" w:hAnsi="Univers" w:cs="Times New Roman"/>
          <w:sz w:val="28"/>
          <w:szCs w:val="28"/>
          <w:lang w:eastAsia="es-MX"/>
        </w:rPr>
        <w:t xml:space="preserve"> se encuentran legitimados y cuentan con interés jurídico para promover el presente juicio para la protección </w:t>
      </w:r>
      <w:r w:rsidRPr="00821A73">
        <w:rPr>
          <w:rFonts w:ascii="Univers" w:eastAsia="Times New Roman" w:hAnsi="Univers" w:cs="Times New Roman"/>
          <w:sz w:val="28"/>
          <w:szCs w:val="28"/>
          <w:lang w:eastAsia="es-MX"/>
        </w:rPr>
        <w:lastRenderedPageBreak/>
        <w:t xml:space="preserve">de los derechos político-electorales del ciudadano, en atención a lo siguiente: </w:t>
      </w:r>
    </w:p>
    <w:p w14:paraId="1DA3F44F"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35E02BA1"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73F68A6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821A73">
        <w:rPr>
          <w:rFonts w:ascii="Univers" w:eastAsia="Times New Roman" w:hAnsi="Univers" w:cs="Arial"/>
          <w:b/>
          <w:sz w:val="28"/>
          <w:szCs w:val="28"/>
          <w:lang w:eastAsia="es-MX"/>
        </w:rPr>
        <w:t>1)</w:t>
      </w:r>
      <w:r w:rsidRPr="00821A73">
        <w:rPr>
          <w:rFonts w:ascii="Univers" w:eastAsia="Times New Roman" w:hAnsi="Univers" w:cs="Arial"/>
          <w:sz w:val="28"/>
          <w:szCs w:val="28"/>
          <w:lang w:eastAsia="es-MX"/>
        </w:rPr>
        <w:t xml:space="preserve"> que el </w:t>
      </w:r>
      <w:proofErr w:type="spellStart"/>
      <w:r w:rsidRPr="00821A73">
        <w:rPr>
          <w:rFonts w:ascii="Univers" w:eastAsia="Times New Roman" w:hAnsi="Univers" w:cs="Arial"/>
          <w:sz w:val="28"/>
          <w:szCs w:val="28"/>
          <w:lang w:eastAsia="es-MX"/>
        </w:rPr>
        <w:t>promovente</w:t>
      </w:r>
      <w:proofErr w:type="spellEnd"/>
      <w:r w:rsidRPr="00821A73">
        <w:rPr>
          <w:rFonts w:ascii="Univers" w:eastAsia="Times New Roman" w:hAnsi="Univers" w:cs="Arial"/>
          <w:sz w:val="28"/>
          <w:szCs w:val="28"/>
          <w:lang w:eastAsia="es-MX"/>
        </w:rPr>
        <w:t xml:space="preserve"> sea un ciudadano mexicano; </w:t>
      </w:r>
      <w:r w:rsidRPr="00821A73">
        <w:rPr>
          <w:rFonts w:ascii="Univers" w:eastAsia="Times New Roman" w:hAnsi="Univers" w:cs="Arial"/>
          <w:b/>
          <w:sz w:val="28"/>
          <w:szCs w:val="28"/>
          <w:lang w:eastAsia="es-MX"/>
        </w:rPr>
        <w:t>2)</w:t>
      </w:r>
      <w:r w:rsidRPr="00821A73">
        <w:rPr>
          <w:rFonts w:ascii="Univers" w:eastAsia="Times New Roman" w:hAnsi="Univers" w:cs="Arial"/>
          <w:sz w:val="28"/>
          <w:szCs w:val="28"/>
          <w:lang w:eastAsia="es-MX"/>
        </w:rPr>
        <w:t xml:space="preserve"> que este ciudadano promueva por sí mismo y en forma individual, y </w:t>
      </w:r>
      <w:r w:rsidRPr="00821A73">
        <w:rPr>
          <w:rFonts w:ascii="Univers" w:eastAsia="Times New Roman" w:hAnsi="Univers" w:cs="Arial"/>
          <w:b/>
          <w:sz w:val="28"/>
          <w:szCs w:val="28"/>
          <w:lang w:eastAsia="es-MX"/>
        </w:rPr>
        <w:t>3)</w:t>
      </w:r>
      <w:r w:rsidRPr="00821A73">
        <w:rPr>
          <w:rFonts w:ascii="Univers" w:eastAsia="Times New Roman" w:hAnsi="Univers"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5428F6E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821A73">
          <w:rPr>
            <w:rFonts w:ascii="Univers" w:eastAsia="Times New Roman" w:hAnsi="Univers" w:cs="Arial"/>
            <w:sz w:val="28"/>
            <w:szCs w:val="28"/>
            <w:lang w:eastAsia="es-MX"/>
          </w:rPr>
          <w:t>166 a</w:t>
        </w:r>
      </w:smartTag>
      <w:r w:rsidRPr="00821A73">
        <w:rPr>
          <w:rFonts w:ascii="Univers" w:eastAsia="Times New Roman" w:hAnsi="Univers" w:cs="Arial"/>
          <w:sz w:val="28"/>
          <w:szCs w:val="28"/>
          <w:lang w:eastAsia="es-MX"/>
        </w:rPr>
        <w:t xml:space="preserve"> 168 en la </w:t>
      </w:r>
      <w:r w:rsidRPr="00821A73">
        <w:rPr>
          <w:rFonts w:ascii="Univers" w:eastAsia="Times New Roman" w:hAnsi="Univers" w:cs="Arial"/>
          <w:i/>
          <w:iCs/>
          <w:sz w:val="28"/>
          <w:szCs w:val="28"/>
          <w:lang w:eastAsia="es-MX"/>
        </w:rPr>
        <w:t xml:space="preserve">Compilación Oficial de Jurisprudencia y Tesis Relevantes 1997-2005, </w:t>
      </w:r>
      <w:r w:rsidRPr="00821A73">
        <w:rPr>
          <w:rFonts w:ascii="Univers" w:eastAsia="Times New Roman" w:hAnsi="Univers" w:cs="Arial"/>
          <w:iCs/>
          <w:sz w:val="28"/>
          <w:szCs w:val="28"/>
          <w:lang w:eastAsia="es-MX"/>
        </w:rPr>
        <w:t xml:space="preserve">bajo el </w:t>
      </w:r>
      <w:r w:rsidRPr="00821A73">
        <w:rPr>
          <w:rFonts w:ascii="Univers" w:eastAsia="Times New Roman" w:hAnsi="Univers" w:cs="Arial"/>
          <w:sz w:val="28"/>
          <w:szCs w:val="28"/>
          <w:lang w:eastAsia="es-MX"/>
        </w:rPr>
        <w:t>rubro “</w:t>
      </w:r>
      <w:r w:rsidRPr="00821A73">
        <w:rPr>
          <w:rFonts w:ascii="Univers" w:eastAsia="Times New Roman" w:hAnsi="Univers" w:cs="Arial"/>
          <w:b/>
          <w:bCs/>
          <w:sz w:val="28"/>
          <w:szCs w:val="28"/>
          <w:lang w:eastAsia="es-MX"/>
        </w:rPr>
        <w:t xml:space="preserve">JUICIO </w:t>
      </w:r>
      <w:r w:rsidRPr="00821A73">
        <w:rPr>
          <w:rFonts w:ascii="Univers" w:eastAsia="Times New Roman" w:hAnsi="Univers" w:cs="Arial"/>
          <w:b/>
          <w:bCs/>
          <w:sz w:val="28"/>
          <w:szCs w:val="28"/>
          <w:lang w:eastAsia="es-MX"/>
        </w:rPr>
        <w:lastRenderedPageBreak/>
        <w:t>PARA LA PROTECCIÓN DE LOS DERECHOS POLÍTICO-ELECTORALES DEL CIUDADANO. REQUISITOS PARA SU PROCEDENCIA”</w:t>
      </w:r>
      <w:r w:rsidRPr="00821A73">
        <w:rPr>
          <w:rFonts w:ascii="Univers" w:eastAsia="Times New Roman" w:hAnsi="Univers" w:cs="Arial"/>
          <w:sz w:val="28"/>
          <w:szCs w:val="28"/>
          <w:lang w:eastAsia="es-MX"/>
        </w:rPr>
        <w:t>.</w:t>
      </w:r>
    </w:p>
    <w:p w14:paraId="4295A3A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Respecto al primer elemento en cuestión, debe decirse que nadie les niega la calidad de ciudadanos a los </w:t>
      </w:r>
      <w:proofErr w:type="spellStart"/>
      <w:r w:rsidRPr="00821A73">
        <w:rPr>
          <w:rFonts w:ascii="Univers" w:eastAsia="Times New Roman" w:hAnsi="Univers" w:cs="Arial"/>
          <w:sz w:val="28"/>
          <w:szCs w:val="28"/>
          <w:lang w:eastAsia="es-MX"/>
        </w:rPr>
        <w:t>incoantes</w:t>
      </w:r>
      <w:proofErr w:type="spellEnd"/>
      <w:r w:rsidRPr="00821A73">
        <w:rPr>
          <w:rFonts w:ascii="Univers" w:eastAsia="Times New Roman" w:hAnsi="Univers"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01B461C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relación con lo anterior, debe desestimarse el planteamiento formulado por el Instituto electoral local, quien aduce que los ciudadanos no acreditaron su calidad de integrantes del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porque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afirme lo contrario corresponde aportar los medios de prueba atinentes (y no sólo oponer </w:t>
      </w:r>
      <w:r w:rsidRPr="00821A73">
        <w:rPr>
          <w:rFonts w:ascii="Univers" w:eastAsia="Times New Roman" w:hAnsi="Univers" w:cs="Arial"/>
          <w:sz w:val="28"/>
          <w:szCs w:val="28"/>
          <w:lang w:eastAsia="es-MX"/>
        </w:rPr>
        <w:lastRenderedPageBreak/>
        <w:t>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001747B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w:t>
      </w:r>
      <w:proofErr w:type="spellStart"/>
      <w:r w:rsidRPr="00821A73">
        <w:rPr>
          <w:rFonts w:ascii="Univers" w:eastAsia="Times New Roman" w:hAnsi="Univers" w:cs="Arial"/>
          <w:sz w:val="28"/>
          <w:szCs w:val="28"/>
          <w:lang w:eastAsia="es-MX"/>
        </w:rPr>
        <w:t>mas</w:t>
      </w:r>
      <w:proofErr w:type="spellEnd"/>
      <w:r w:rsidRPr="00821A73">
        <w:rPr>
          <w:rFonts w:ascii="Univers" w:eastAsia="Times New Roman" w:hAnsi="Univers" w:cs="Arial"/>
          <w:sz w:val="28"/>
          <w:szCs w:val="28"/>
          <w:lang w:eastAsia="es-MX"/>
        </w:rPr>
        <w:t xml:space="preserve"> allá de que se ostenten con la calidad de </w:t>
      </w:r>
      <w:r w:rsidRPr="00821A73">
        <w:rPr>
          <w:rFonts w:ascii="Univers" w:eastAsia="Times New Roman" w:hAnsi="Univers" w:cs="Arial"/>
          <w:i/>
          <w:sz w:val="28"/>
          <w:szCs w:val="28"/>
          <w:lang w:eastAsia="es-MX"/>
        </w:rPr>
        <w:t>“Comisión de Ciudadanos para el Restablecimiento de los Poderes Municipales”</w:t>
      </w:r>
      <w:r w:rsidRPr="00821A73">
        <w:rPr>
          <w:rFonts w:ascii="Univers" w:eastAsia="Times New Roman" w:hAnsi="Univers" w:cs="Arial"/>
          <w:sz w:val="28"/>
          <w:szCs w:val="28"/>
          <w:lang w:eastAsia="es-MX"/>
        </w:rPr>
        <w:t>, ello no significa que no concurran con la de ciudadanos en lo individual para ejercer su derecho de acción, al aducir que fue violentado un derecho político-electoral.</w:t>
      </w:r>
    </w:p>
    <w:p w14:paraId="1827E59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821A73">
        <w:rPr>
          <w:rFonts w:ascii="Univers" w:eastAsia="Times New Roman" w:hAnsi="Univers" w:cs="Arial"/>
          <w:sz w:val="28"/>
          <w:szCs w:val="28"/>
          <w:lang w:eastAsia="es-MX"/>
        </w:rPr>
        <w:t>promovente</w:t>
      </w:r>
      <w:proofErr w:type="spellEnd"/>
      <w:r w:rsidRPr="00821A73">
        <w:rPr>
          <w:rFonts w:ascii="Univers" w:eastAsia="Times New Roman" w:hAnsi="Univers" w:cs="Arial"/>
          <w:sz w:val="28"/>
          <w:szCs w:val="28"/>
          <w:lang w:eastAsia="es-MX"/>
        </w:rPr>
        <w:t>, independientemente de que en el fallo que se llegue a emitir se puedan estimar fundadas o infundadas tales alegaciones.</w:t>
      </w:r>
    </w:p>
    <w:p w14:paraId="4D9FD11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la especie, tal requisito se colma al señalar los actores que se les ha violentado su derecho a votar y ser votados, dado que desde el año dos mil dos,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no se han elegido democráticamente sus concejales.</w:t>
      </w:r>
    </w:p>
    <w:p w14:paraId="0724C57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 xml:space="preserve">Y 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cuentan con interés jurídico para incoar el presente medio impugnativo.</w:t>
      </w:r>
    </w:p>
    <w:p w14:paraId="28B85C9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43C5F2F0"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b/>
          <w:sz w:val="28"/>
          <w:szCs w:val="28"/>
          <w:lang w:eastAsia="es-MX"/>
        </w:rPr>
        <w:t>QUINTO. Estudio de fondo.</w:t>
      </w:r>
      <w:r w:rsidRPr="00821A73">
        <w:rPr>
          <w:rFonts w:ascii="Univers" w:eastAsia="Times New Roman" w:hAnsi="Univers"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1C05BD5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Sostienen los </w:t>
      </w:r>
      <w:proofErr w:type="spellStart"/>
      <w:r w:rsidRPr="00821A73">
        <w:rPr>
          <w:rFonts w:ascii="Univers" w:eastAsia="Times New Roman" w:hAnsi="Univers" w:cs="Arial"/>
          <w:sz w:val="28"/>
          <w:szCs w:val="28"/>
          <w:lang w:eastAsia="es-MX"/>
        </w:rPr>
        <w:t>promoventes</w:t>
      </w:r>
      <w:proofErr w:type="spellEnd"/>
      <w:r w:rsidRPr="00821A73">
        <w:rPr>
          <w:rFonts w:ascii="Univers" w:eastAsia="Times New Roman" w:hAnsi="Univers" w:cs="Arial"/>
          <w:sz w:val="28"/>
          <w:szCs w:val="28"/>
          <w:lang w:eastAsia="es-MX"/>
        </w:rPr>
        <w:t xml:space="preserve"> que, desde el año dos mil dos, en el municipio de </w:t>
      </w:r>
      <w:proofErr w:type="spellStart"/>
      <w:r w:rsidRPr="00821A73">
        <w:rPr>
          <w:rFonts w:ascii="Univers" w:eastAsia="Times New Roman" w:hAnsi="Univers" w:cs="Arial"/>
          <w:sz w:val="28"/>
          <w:szCs w:val="28"/>
          <w:lang w:eastAsia="es-MX"/>
        </w:rPr>
        <w:t>Taneteze</w:t>
      </w:r>
      <w:proofErr w:type="spellEnd"/>
      <w:r w:rsidRPr="00821A73">
        <w:rPr>
          <w:rFonts w:ascii="Univers" w:eastAsia="Times New Roman" w:hAnsi="Univers" w:cs="Arial"/>
          <w:sz w:val="28"/>
          <w:szCs w:val="28"/>
          <w:lang w:eastAsia="es-MX"/>
        </w:rPr>
        <w:t xml:space="preserve"> de Zaragoza, no se elige democráticamente a sus autoridades, pese a que han realizado múltiples gestiones ante instancias locales y federales.</w:t>
      </w:r>
    </w:p>
    <w:p w14:paraId="233DE93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192862F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3D6A1106"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tales condiciones, lo procedente será analizar el contenido del decreto de ratificación número 365 por parte de </w:t>
      </w:r>
      <w:proofErr w:type="spellStart"/>
      <w:r w:rsidRPr="00821A73">
        <w:rPr>
          <w:rFonts w:ascii="Univers" w:eastAsia="Times New Roman" w:hAnsi="Univers" w:cs="Arial"/>
          <w:sz w:val="28"/>
          <w:szCs w:val="28"/>
          <w:lang w:eastAsia="es-MX"/>
        </w:rPr>
        <w:t>de</w:t>
      </w:r>
      <w:proofErr w:type="spellEnd"/>
      <w:r w:rsidRPr="00821A73">
        <w:rPr>
          <w:rFonts w:ascii="Univers" w:eastAsia="Times New Roman" w:hAnsi="Univers" w:cs="Arial"/>
          <w:sz w:val="28"/>
          <w:szCs w:val="28"/>
          <w:lang w:eastAsia="es-MX"/>
        </w:rPr>
        <w:t xml:space="preserve"> la Quincuagésima Novena Legislatura del Estado de Oaxaca, a efecto de valorar si se encuentra debidamente sustentado.</w:t>
      </w:r>
    </w:p>
    <w:p w14:paraId="291BE4D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El decreto impugnado es del tenor siguiente:</w:t>
      </w:r>
    </w:p>
    <w:p w14:paraId="2E275896" w14:textId="77777777" w:rsidR="00821A73" w:rsidRPr="00821A73" w:rsidRDefault="00821A73" w:rsidP="00821A73">
      <w:pPr>
        <w:spacing w:after="0" w:line="240" w:lineRule="auto"/>
        <w:ind w:right="686"/>
        <w:jc w:val="both"/>
        <w:rPr>
          <w:rFonts w:ascii="Univers" w:eastAsia="Times New Roman" w:hAnsi="Univers" w:cs="Tahoma"/>
          <w:b/>
          <w:sz w:val="24"/>
          <w:szCs w:val="24"/>
          <w:lang w:eastAsia="es-MX"/>
        </w:rPr>
      </w:pPr>
      <w:r w:rsidRPr="00821A73">
        <w:rPr>
          <w:rFonts w:ascii="Univers" w:eastAsia="Times New Roman" w:hAnsi="Univers" w:cs="Tahoma"/>
          <w:b/>
          <w:sz w:val="24"/>
          <w:szCs w:val="24"/>
          <w:lang w:eastAsia="es-MX"/>
        </w:rPr>
        <w:t>“LA QUINCUAGESIMA NOVENA LEGISLATURA CONSTITUCIONAL DEL ESTADO LIBRE Y SOBERANO DE OAXACA, ERIGIDA EN COLEGIO ELECTORAL.</w:t>
      </w:r>
    </w:p>
    <w:p w14:paraId="367E40B8" w14:textId="77777777" w:rsidR="00821A73" w:rsidRPr="00821A73" w:rsidRDefault="00821A73" w:rsidP="00821A73">
      <w:pPr>
        <w:spacing w:after="0" w:line="240" w:lineRule="auto"/>
        <w:ind w:right="686"/>
        <w:rPr>
          <w:rFonts w:ascii="Univers" w:eastAsia="Times New Roman" w:hAnsi="Univers" w:cs="Tahoma"/>
          <w:sz w:val="24"/>
          <w:szCs w:val="24"/>
          <w:lang w:eastAsia="es-MX"/>
        </w:rPr>
      </w:pPr>
      <w:r w:rsidRPr="00821A73">
        <w:rPr>
          <w:rFonts w:ascii="Univers" w:eastAsia="Times New Roman" w:hAnsi="Univers" w:cs="Tahoma"/>
          <w:sz w:val="24"/>
          <w:szCs w:val="24"/>
          <w:lang w:eastAsia="es-MX"/>
        </w:rPr>
        <w:t>DECRETO No 365.</w:t>
      </w:r>
    </w:p>
    <w:p w14:paraId="24859E99" w14:textId="77777777" w:rsidR="00821A73" w:rsidRPr="00821A73" w:rsidRDefault="00821A73" w:rsidP="00821A73">
      <w:pPr>
        <w:spacing w:after="0" w:line="240" w:lineRule="auto"/>
        <w:ind w:right="686"/>
        <w:jc w:val="center"/>
        <w:rPr>
          <w:rFonts w:ascii="Univers" w:eastAsia="Times New Roman" w:hAnsi="Univers" w:cs="Tahoma"/>
          <w:b/>
          <w:sz w:val="24"/>
          <w:szCs w:val="24"/>
          <w:lang w:eastAsia="es-MX"/>
        </w:rPr>
      </w:pPr>
      <w:r w:rsidRPr="00821A73">
        <w:rPr>
          <w:rFonts w:ascii="Univers" w:eastAsia="Times New Roman" w:hAnsi="Univers" w:cs="Tahoma"/>
          <w:b/>
          <w:sz w:val="24"/>
          <w:szCs w:val="24"/>
          <w:lang w:eastAsia="es-MX"/>
        </w:rPr>
        <w:t>DECRETA:</w:t>
      </w:r>
    </w:p>
    <w:p w14:paraId="35221F8F" w14:textId="77777777" w:rsidR="00821A73" w:rsidRPr="00821A73" w:rsidRDefault="00821A73" w:rsidP="00821A73">
      <w:pPr>
        <w:spacing w:after="0" w:line="240" w:lineRule="auto"/>
        <w:ind w:right="686"/>
        <w:jc w:val="both"/>
        <w:rPr>
          <w:rFonts w:ascii="Univers" w:eastAsia="Times New Roman" w:hAnsi="Univers" w:cs="Tahoma"/>
          <w:sz w:val="24"/>
          <w:szCs w:val="24"/>
          <w:lang w:eastAsia="es-MX"/>
        </w:rPr>
      </w:pPr>
      <w:r w:rsidRPr="00821A73">
        <w:rPr>
          <w:rFonts w:ascii="Univers" w:eastAsia="Times New Roman" w:hAnsi="Univers" w:cs="Tahoma"/>
          <w:b/>
          <w:sz w:val="24"/>
          <w:szCs w:val="24"/>
          <w:lang w:eastAsia="es-MX"/>
        </w:rPr>
        <w:t>ARTÍCULO ÚNICO.-</w:t>
      </w:r>
      <w:r w:rsidRPr="00821A73">
        <w:rPr>
          <w:rFonts w:ascii="Univers" w:eastAsia="Times New Roman" w:hAnsi="Univers" w:cs="Tahoma"/>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821A73">
        <w:rPr>
          <w:rFonts w:ascii="Univers" w:eastAsia="Times New Roman" w:hAnsi="Univers" w:cs="Tahoma"/>
          <w:b/>
          <w:sz w:val="24"/>
          <w:szCs w:val="24"/>
          <w:lang w:eastAsia="es-MX"/>
        </w:rPr>
        <w:t>TANETZE DE ZARAGOZA</w:t>
      </w:r>
      <w:r w:rsidRPr="00821A73">
        <w:rPr>
          <w:rFonts w:ascii="Univers" w:eastAsia="Times New Roman" w:hAnsi="Univers" w:cs="Tahoma"/>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w:t>
      </w:r>
      <w:r w:rsidRPr="00821A73">
        <w:rPr>
          <w:rFonts w:ascii="Univers" w:eastAsia="Times New Roman" w:hAnsi="Univers" w:cs="Tahoma"/>
          <w:sz w:val="24"/>
          <w:szCs w:val="24"/>
          <w:lang w:eastAsia="es-MX"/>
        </w:rPr>
        <w:lastRenderedPageBreak/>
        <w:t xml:space="preserve">Ley Municipal para el </w:t>
      </w:r>
      <w:proofErr w:type="spellStart"/>
      <w:r w:rsidRPr="00821A73">
        <w:rPr>
          <w:rFonts w:ascii="Univers" w:eastAsia="Times New Roman" w:hAnsi="Univers" w:cs="Tahoma"/>
          <w:sz w:val="24"/>
          <w:szCs w:val="24"/>
          <w:lang w:eastAsia="es-MX"/>
        </w:rPr>
        <w:t>Estadote</w:t>
      </w:r>
      <w:proofErr w:type="spellEnd"/>
      <w:r w:rsidRPr="00821A73">
        <w:rPr>
          <w:rFonts w:ascii="Univers" w:eastAsia="Times New Roman" w:hAnsi="Univers" w:cs="Tahoma"/>
          <w:sz w:val="24"/>
          <w:szCs w:val="24"/>
          <w:lang w:eastAsia="es-MX"/>
        </w:rPr>
        <w:t xml:space="preserve"> Oaxaca, por ponerse en peligro la paz pública, la estabilidad de las instituciones, se autoriza al Titular del Poder Ejecutivo para que nombre a un nuevo representante que se haga cargo del gobierno  municipal, hasta en tanto existan  las condiciones para nombrar  a un Consejo Municipal, en términos de los artículos 59 fracción XIII y 79 fracción XV de la Constitución Política del Estado.</w:t>
      </w:r>
    </w:p>
    <w:p w14:paraId="792191D4" w14:textId="77777777" w:rsidR="00821A73" w:rsidRPr="00821A73" w:rsidRDefault="00821A73" w:rsidP="00821A73">
      <w:pPr>
        <w:spacing w:after="0" w:line="240" w:lineRule="auto"/>
        <w:ind w:right="686"/>
        <w:jc w:val="center"/>
        <w:rPr>
          <w:rFonts w:ascii="Univers" w:eastAsia="Times New Roman" w:hAnsi="Univers" w:cs="Tahoma"/>
          <w:b/>
          <w:sz w:val="24"/>
          <w:szCs w:val="24"/>
          <w:lang w:eastAsia="es-MX"/>
        </w:rPr>
      </w:pPr>
      <w:r w:rsidRPr="00821A73">
        <w:rPr>
          <w:rFonts w:ascii="Univers" w:eastAsia="Times New Roman" w:hAnsi="Univers" w:cs="Tahoma"/>
          <w:b/>
          <w:sz w:val="24"/>
          <w:szCs w:val="24"/>
          <w:lang w:eastAsia="es-MX"/>
        </w:rPr>
        <w:t>TRANSITORIOS:</w:t>
      </w:r>
    </w:p>
    <w:p w14:paraId="17E46CE7" w14:textId="77777777" w:rsidR="00821A73" w:rsidRPr="00821A73" w:rsidRDefault="00821A73" w:rsidP="00821A73">
      <w:pPr>
        <w:spacing w:after="0" w:line="240" w:lineRule="auto"/>
        <w:ind w:right="686"/>
        <w:jc w:val="both"/>
        <w:rPr>
          <w:rFonts w:ascii="Univers" w:eastAsia="Times New Roman" w:hAnsi="Univers" w:cs="Tahoma"/>
          <w:sz w:val="24"/>
          <w:szCs w:val="24"/>
          <w:lang w:eastAsia="es-MX"/>
        </w:rPr>
      </w:pPr>
      <w:r w:rsidRPr="00821A73">
        <w:rPr>
          <w:rFonts w:ascii="Univers" w:eastAsia="Times New Roman" w:hAnsi="Univers" w:cs="Tahoma"/>
          <w:b/>
          <w:sz w:val="24"/>
          <w:szCs w:val="24"/>
          <w:lang w:eastAsia="es-MX"/>
        </w:rPr>
        <w:t xml:space="preserve">PRIMERO.- </w:t>
      </w:r>
      <w:r w:rsidRPr="00821A73">
        <w:rPr>
          <w:rFonts w:ascii="Univers" w:eastAsia="Times New Roman" w:hAnsi="Univers" w:cs="Tahoma"/>
          <w:sz w:val="24"/>
          <w:szCs w:val="24"/>
          <w:lang w:eastAsia="es-MX"/>
        </w:rPr>
        <w:t>El presente Decreto entrara en vigor el día 1º de enero de 2007.</w:t>
      </w:r>
    </w:p>
    <w:p w14:paraId="31328933" w14:textId="77777777" w:rsidR="00821A73" w:rsidRPr="00821A73" w:rsidRDefault="00821A73" w:rsidP="00821A73">
      <w:pPr>
        <w:spacing w:after="0" w:line="240" w:lineRule="auto"/>
        <w:ind w:right="686"/>
        <w:jc w:val="both"/>
        <w:rPr>
          <w:rFonts w:ascii="Univers" w:eastAsia="Times New Roman" w:hAnsi="Univers" w:cs="Tahoma"/>
          <w:sz w:val="24"/>
          <w:szCs w:val="24"/>
          <w:lang w:eastAsia="es-MX"/>
        </w:rPr>
      </w:pPr>
      <w:r w:rsidRPr="00821A73">
        <w:rPr>
          <w:rFonts w:ascii="Univers" w:eastAsia="Times New Roman" w:hAnsi="Univers" w:cs="Tahoma"/>
          <w:sz w:val="24"/>
          <w:szCs w:val="24"/>
          <w:lang w:eastAsia="es-MX"/>
        </w:rPr>
        <w:t>Publíquese en el Periódico del Gobierno del Estado.</w:t>
      </w:r>
    </w:p>
    <w:p w14:paraId="7AC6349A" w14:textId="77777777" w:rsidR="00821A73" w:rsidRPr="00821A73" w:rsidRDefault="00821A73" w:rsidP="00821A73">
      <w:pPr>
        <w:spacing w:after="0" w:line="240" w:lineRule="auto"/>
        <w:ind w:right="686"/>
        <w:jc w:val="both"/>
        <w:rPr>
          <w:rFonts w:ascii="Univers" w:eastAsia="Times New Roman" w:hAnsi="Univers" w:cs="Tahoma"/>
          <w:sz w:val="24"/>
          <w:szCs w:val="24"/>
          <w:lang w:eastAsia="es-MX"/>
        </w:rPr>
      </w:pPr>
      <w:r w:rsidRPr="00821A73">
        <w:rPr>
          <w:rFonts w:ascii="Univers" w:eastAsia="Times New Roman" w:hAnsi="Univers" w:cs="Tahoma"/>
          <w:b/>
          <w:sz w:val="24"/>
          <w:szCs w:val="24"/>
          <w:lang w:eastAsia="es-MX"/>
        </w:rPr>
        <w:t xml:space="preserve">SEGUNDO.- </w:t>
      </w:r>
      <w:r w:rsidRPr="00821A73">
        <w:rPr>
          <w:rFonts w:ascii="Univers" w:eastAsia="Times New Roman" w:hAnsi="Univers" w:cs="Tahoma"/>
          <w:sz w:val="24"/>
          <w:szCs w:val="24"/>
          <w:lang w:eastAsia="es-MX"/>
        </w:rPr>
        <w:t xml:space="preserve">Comuníquese esta determinación al Poder Ejecutivo del Estado, para los efectos del cumplimiento al presente Decreto.  </w:t>
      </w:r>
    </w:p>
    <w:p w14:paraId="20DCF84D" w14:textId="77777777" w:rsidR="00821A73" w:rsidRPr="00821A73" w:rsidRDefault="00821A73" w:rsidP="00821A73">
      <w:pPr>
        <w:spacing w:after="0" w:line="240" w:lineRule="auto"/>
        <w:ind w:right="686"/>
        <w:jc w:val="both"/>
        <w:rPr>
          <w:rFonts w:ascii="Univers" w:eastAsia="Times New Roman" w:hAnsi="Univers" w:cs="Tahoma"/>
          <w:sz w:val="24"/>
          <w:szCs w:val="24"/>
          <w:lang w:eastAsia="es-MX"/>
        </w:rPr>
      </w:pPr>
      <w:r w:rsidRPr="00821A73">
        <w:rPr>
          <w:rFonts w:ascii="Univers" w:eastAsia="Times New Roman" w:hAnsi="Univers" w:cs="Tahoma"/>
          <w:b/>
          <w:sz w:val="24"/>
          <w:szCs w:val="24"/>
          <w:lang w:eastAsia="es-MX"/>
        </w:rPr>
        <w:t xml:space="preserve">TERCERO.- </w:t>
      </w:r>
      <w:r w:rsidRPr="00821A73">
        <w:rPr>
          <w:rFonts w:ascii="Univers" w:eastAsia="Times New Roman" w:hAnsi="Univers" w:cs="Tahoma"/>
          <w:sz w:val="24"/>
          <w:szCs w:val="24"/>
          <w:lang w:eastAsia="es-MX"/>
        </w:rPr>
        <w:t>Comuníquese esta determinación al Instituto Estatal Electoral, para los efectos constitucionales y legales”.</w:t>
      </w:r>
    </w:p>
    <w:p w14:paraId="582E5B4B"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0571245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Arial"/>
          <w:sz w:val="28"/>
          <w:szCs w:val="28"/>
          <w:lang w:eastAsia="es-MX"/>
        </w:rPr>
        <w:t xml:space="preserve">Esta Sala Superior en forma reiterada ha sostenido que la </w:t>
      </w:r>
      <w:proofErr w:type="spellStart"/>
      <w:r w:rsidRPr="00821A73">
        <w:rPr>
          <w:rFonts w:ascii="Univers" w:eastAsia="Times New Roman" w:hAnsi="Univers" w:cs="Arial"/>
          <w:sz w:val="28"/>
          <w:szCs w:val="28"/>
          <w:lang w:eastAsia="es-MX"/>
        </w:rPr>
        <w:t>fundamentacion</w:t>
      </w:r>
      <w:proofErr w:type="spellEnd"/>
      <w:r w:rsidRPr="00821A73">
        <w:rPr>
          <w:rFonts w:ascii="Univers" w:eastAsia="Times New Roman" w:hAnsi="Univers" w:cs="Arial"/>
          <w:sz w:val="28"/>
          <w:szCs w:val="28"/>
          <w:lang w:eastAsia="es-MX"/>
        </w:rPr>
        <w:t xml:space="preserve"> y motivación con que </w:t>
      </w:r>
      <w:r w:rsidRPr="00821A73">
        <w:rPr>
          <w:rFonts w:ascii="Univers" w:eastAsia="Times New Roman" w:hAnsi="Univers" w:cs="Times New Roman"/>
          <w:sz w:val="28"/>
          <w:szCs w:val="28"/>
          <w:lang w:eastAsia="es-MX"/>
        </w:rPr>
        <w:t xml:space="preserve">debe contar todo acto de autoridad que cause molestias, debe encontrarse sustentada en lo preceptuado por el artículo 16 de la Constitución Política de los Estados Unidos Mexicanos. </w:t>
      </w:r>
    </w:p>
    <w:p w14:paraId="608CCEA3"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14E02EA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776AF55D" w14:textId="77777777" w:rsidR="00821A73" w:rsidRPr="00821A73" w:rsidRDefault="00821A73" w:rsidP="00821A73">
      <w:pPr>
        <w:spacing w:before="100" w:beforeAutospacing="1" w:after="100" w:afterAutospacing="1" w:line="360" w:lineRule="auto"/>
        <w:jc w:val="both"/>
        <w:rPr>
          <w:rFonts w:ascii="Univers" w:eastAsia="Times New Roman" w:hAnsi="Univers" w:cs="Arial"/>
          <w:i/>
          <w:sz w:val="28"/>
          <w:szCs w:val="28"/>
          <w:u w:val="single"/>
          <w:lang w:eastAsia="es-MX"/>
        </w:rPr>
      </w:pPr>
      <w:r w:rsidRPr="00821A73">
        <w:rPr>
          <w:rFonts w:ascii="Univers" w:eastAsia="Times New Roman" w:hAnsi="Univers"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5D53E72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val="es-ES_tradnl" w:eastAsia="es-ES"/>
        </w:rPr>
      </w:pPr>
      <w:r w:rsidRPr="00821A73">
        <w:rPr>
          <w:rFonts w:ascii="Univers" w:eastAsia="Times New Roman" w:hAnsi="Univers"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 </w:t>
      </w:r>
    </w:p>
    <w:p w14:paraId="76D85C85"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ES"/>
        </w:rPr>
      </w:pPr>
      <w:r w:rsidRPr="00821A73">
        <w:rPr>
          <w:rFonts w:ascii="Univers" w:eastAsia="Times New Roman" w:hAnsi="Univers" w:cs="Times New Roman"/>
          <w:sz w:val="28"/>
          <w:szCs w:val="28"/>
          <w:lang w:val="es-ES_tradnl" w:eastAsia="es-ES"/>
        </w:rPr>
        <w:lastRenderedPageBreak/>
        <w:t xml:space="preserve">Lo que antecede encuentra su sustento en la Tesis Aislada publicada en el Semanario Judicial de la Federación y su Gaceta, en el Tomo XXIII, febrero de 2006, página 1816, del rubro siguiente: </w:t>
      </w:r>
      <w:r w:rsidRPr="00821A73">
        <w:rPr>
          <w:rFonts w:ascii="Univers" w:eastAsia="Times New Roman" w:hAnsi="Univers" w:cs="Times New Roman"/>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821A73">
        <w:rPr>
          <w:rFonts w:ascii="Univers" w:eastAsia="Times New Roman" w:hAnsi="Univers" w:cs="Times New Roman"/>
          <w:sz w:val="28"/>
          <w:szCs w:val="28"/>
          <w:lang w:val="es-ES_tradnl" w:eastAsia="es-ES"/>
        </w:rPr>
        <w:t xml:space="preserve"> </w:t>
      </w:r>
    </w:p>
    <w:p w14:paraId="65625CD7"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val="es-ES_tradnl" w:eastAsia="es-MX"/>
        </w:rPr>
        <w:t>L</w:t>
      </w:r>
      <w:r w:rsidRPr="00821A73">
        <w:rPr>
          <w:rFonts w:ascii="Univers" w:eastAsia="Times New Roman" w:hAnsi="Univers"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09908E22"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t xml:space="preserve">Es decir, al provenir el acto impugnado de un órgano legislativo, se podría dilucidar en un primer momento que la </w:t>
      </w:r>
      <w:r w:rsidRPr="00821A73">
        <w:rPr>
          <w:rFonts w:ascii="Univers" w:eastAsia="Times New Roman" w:hAnsi="Univers" w:cs="Arial"/>
          <w:sz w:val="28"/>
          <w:szCs w:val="28"/>
          <w:lang w:eastAsia="es-MX"/>
        </w:rPr>
        <w:t xml:space="preserve">obligación de fundar y motivar se satisface de manera distinta, </w:t>
      </w:r>
      <w:r w:rsidRPr="00821A73">
        <w:rPr>
          <w:rFonts w:ascii="Univers" w:eastAsia="Times New Roman" w:hAnsi="Univers" w:cs="Times New Roman"/>
          <w:sz w:val="28"/>
          <w:szCs w:val="28"/>
          <w:lang w:eastAsia="es-MX"/>
        </w:rPr>
        <w:t xml:space="preserve">por el </w:t>
      </w:r>
      <w:r w:rsidRPr="00821A73">
        <w:rPr>
          <w:rFonts w:ascii="Univers" w:eastAsia="Times New Roman" w:hAnsi="Univers" w:cs="Arial"/>
          <w:sz w:val="28"/>
          <w:szCs w:val="28"/>
          <w:lang w:eastAsia="es-MX"/>
        </w:rPr>
        <w:t xml:space="preserve">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establecer la falta </w:t>
      </w:r>
      <w:r w:rsidRPr="00821A73">
        <w:rPr>
          <w:rFonts w:ascii="Univers" w:eastAsia="Times New Roman" w:hAnsi="Univers" w:cs="Arial"/>
          <w:sz w:val="28"/>
          <w:szCs w:val="28"/>
          <w:lang w:eastAsia="es-MX"/>
        </w:rPr>
        <w:lastRenderedPageBreak/>
        <w:t xml:space="preserve">de condiciones necesarias para renovar concejales al ayuntamiento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09A962A8"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423A724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En el caso, el Decreto 365 adolece de la debida fundamentación y motivación, en atención a siguiente:</w:t>
      </w:r>
    </w:p>
    <w:p w14:paraId="573E6D20" w14:textId="77777777" w:rsidR="00821A73" w:rsidRPr="00821A73" w:rsidRDefault="00821A73" w:rsidP="00821A73">
      <w:pPr>
        <w:spacing w:before="100" w:beforeAutospacing="1" w:after="100" w:afterAutospacing="1" w:line="360" w:lineRule="auto"/>
        <w:jc w:val="both"/>
        <w:rPr>
          <w:rFonts w:ascii="Univers" w:eastAsia="Times New Roman" w:hAnsi="Univers" w:cs="Tahoma"/>
          <w:sz w:val="28"/>
          <w:szCs w:val="28"/>
          <w:lang w:eastAsia="es-MX"/>
        </w:rPr>
      </w:pPr>
      <w:r w:rsidRPr="00821A73">
        <w:rPr>
          <w:rFonts w:ascii="Univers" w:eastAsia="Times New Roman" w:hAnsi="Univers" w:cs="Arial"/>
          <w:sz w:val="28"/>
          <w:szCs w:val="28"/>
          <w:lang w:eastAsia="es-MX"/>
        </w:rPr>
        <w:t xml:space="preserve">En su artículo único, el Congreso local ratifica el acuerdo del Consejo General del Instituto Electoral del Estado de Oaxaca, sin hacer mención </w:t>
      </w:r>
      <w:r w:rsidRPr="00821A73">
        <w:rPr>
          <w:rFonts w:ascii="Univers" w:eastAsia="Times New Roman" w:hAnsi="Univers" w:cs="Arial"/>
          <w:sz w:val="28"/>
          <w:szCs w:val="28"/>
          <w:lang w:eastAsia="es-MX"/>
        </w:rPr>
        <w:lastRenderedPageBreak/>
        <w:t xml:space="preserve">de las normas que lo facultan para ello, ni las circunstancias o motivos específicos que, en su concepto, justifiquen tal proceder ya que sólo se limita a referir los artículos </w:t>
      </w:r>
      <w:r w:rsidRPr="00821A73">
        <w:rPr>
          <w:rFonts w:ascii="Univers" w:eastAsia="Times New Roman" w:hAnsi="Univers" w:cs="Tahoma"/>
          <w:sz w:val="28"/>
          <w:szCs w:val="28"/>
          <w:lang w:eastAsia="es-MX"/>
        </w:rPr>
        <w:t>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10ED36F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w:t>
      </w:r>
      <w:proofErr w:type="spellStart"/>
      <w:r w:rsidRPr="00821A73">
        <w:rPr>
          <w:rFonts w:ascii="Univers" w:eastAsia="Times New Roman" w:hAnsi="Univers" w:cs="Arial"/>
          <w:sz w:val="28"/>
          <w:szCs w:val="28"/>
          <w:lang w:eastAsia="es-MX"/>
        </w:rPr>
        <w:t>el porqué</w:t>
      </w:r>
      <w:proofErr w:type="spellEnd"/>
      <w:r w:rsidRPr="00821A73">
        <w:rPr>
          <w:rFonts w:ascii="Univers" w:eastAsia="Times New Roman" w:hAnsi="Univers" w:cs="Arial"/>
          <w:sz w:val="28"/>
          <w:szCs w:val="28"/>
          <w:lang w:eastAsia="es-MX"/>
        </w:rPr>
        <w:t xml:space="preserve"> se pone en peligro la paz pública y la estabilidad de las instituciones, ni con base en qué se acreditaron esos supuestos en el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w:t>
      </w:r>
    </w:p>
    <w:p w14:paraId="7762B9D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De igual forma, se limita a ratificar el contenido del acuerdo, sin cerciorarse de que el mismo se encontrara dictado con apego a la legalidad, esto es, no se cercioró que dicha determinación a su vez, carecía de la debida fundamentación y motivación.</w:t>
      </w:r>
    </w:p>
    <w:p w14:paraId="2180163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lastRenderedPageBreak/>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49E217B9"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Ahora bien, el acuerdo del Consejo General del Instituto Estatal Electoral, tiene lo siguiente:</w:t>
      </w:r>
    </w:p>
    <w:p w14:paraId="01B4EDD3"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t>Para su aprobación</w:t>
      </w:r>
      <w:r w:rsidRPr="00821A73">
        <w:rPr>
          <w:rFonts w:ascii="Univers" w:eastAsia="Times New Roman" w:hAnsi="Univers" w:cs="Arial"/>
          <w:sz w:val="28"/>
          <w:szCs w:val="28"/>
          <w:lang w:eastAsia="es-MX"/>
        </w:rPr>
        <w:t xml:space="preserve">, se emitió un informe por parte del Director de Elecciones por Usos y Costumbres del Instituto Estatal Electoral de Oaxaca, el cual obra en copia certificada en autos a foja 140, mismo que pertenece al expediente 541/III/UC/06 del señalado instituto, respecto al municipio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el cual acompañó en copia certificada en su informe justificado el Congreso local.</w:t>
      </w:r>
    </w:p>
    <w:p w14:paraId="1514746C"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En dicho informe se refiere, que el veintiuno de febrero de año próximo pasado, el citado funcionario electoral realizó una solicitud al administrador del municipio de referencia, a fin de que informara por escrito, los detalles de hora, lugar y fecha en que se realizaría la asamblea general comunitaria con el efecto de elegir concejales al ayuntamiento para el periodo de dos mil siete.</w:t>
      </w:r>
    </w:p>
    <w:p w14:paraId="4CC312A0" w14:textId="77777777" w:rsidR="00821A73" w:rsidRPr="00821A73" w:rsidRDefault="00821A73" w:rsidP="00821A73">
      <w:pPr>
        <w:spacing w:before="100" w:beforeAutospacing="1" w:after="100" w:afterAutospacing="1" w:line="360" w:lineRule="auto"/>
        <w:jc w:val="both"/>
        <w:rPr>
          <w:rFonts w:ascii="Univers" w:eastAsia="Times New Roman" w:hAnsi="Univers" w:cs="Arial"/>
          <w:i/>
          <w:sz w:val="28"/>
          <w:szCs w:val="28"/>
          <w:lang w:eastAsia="es-MX"/>
        </w:rPr>
      </w:pPr>
      <w:r w:rsidRPr="00821A73">
        <w:rPr>
          <w:rFonts w:ascii="Univers" w:eastAsia="Times New Roman" w:hAnsi="Univers" w:cs="Arial"/>
          <w:sz w:val="28"/>
          <w:szCs w:val="28"/>
          <w:lang w:eastAsia="es-MX"/>
        </w:rPr>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w:t>
      </w:r>
      <w:r w:rsidRPr="00821A73">
        <w:rPr>
          <w:rFonts w:ascii="Univers" w:eastAsia="Times New Roman" w:hAnsi="Univers" w:cs="Arial"/>
          <w:sz w:val="28"/>
          <w:szCs w:val="28"/>
          <w:lang w:eastAsia="es-MX"/>
        </w:rPr>
        <w:lastRenderedPageBreak/>
        <w:t xml:space="preserve">dos mil seis, donde dicho administrador informó al respecto, que: </w:t>
      </w:r>
      <w:r w:rsidRPr="00821A73">
        <w:rPr>
          <w:rFonts w:ascii="Univers" w:eastAsia="Times New Roman" w:hAnsi="Univers"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72AE683A"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En el primero de los oficios relatados, el administrador municipal señaló, entre otras cosas, que existía un rompimiento entre diversos grupos del municipio, uno al que refiere como “Comisión para el Bienestar del Pueblo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27E16CB0"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En su segundo oficio, el administrador municipal, señala a diversos grupos como los causantes del “</w:t>
      </w:r>
      <w:r w:rsidRPr="00821A73">
        <w:rPr>
          <w:rFonts w:ascii="Univers" w:eastAsia="Times New Roman" w:hAnsi="Univers" w:cs="Arial"/>
          <w:i/>
          <w:sz w:val="28"/>
          <w:szCs w:val="28"/>
          <w:lang w:eastAsia="es-MX"/>
        </w:rPr>
        <w:t>rompimiento del tejido social”</w:t>
      </w:r>
      <w:r w:rsidRPr="00821A73">
        <w:rPr>
          <w:rFonts w:ascii="Univers" w:eastAsia="Times New Roman" w:hAnsi="Univers" w:cs="Arial"/>
          <w:sz w:val="28"/>
          <w:szCs w:val="28"/>
          <w:lang w:eastAsia="es-MX"/>
        </w:rPr>
        <w:t xml:space="preserve">, 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concluyendo en su oficio, que dada la situación política, no existían las </w:t>
      </w:r>
      <w:r w:rsidRPr="00821A73">
        <w:rPr>
          <w:rFonts w:ascii="Univers" w:eastAsia="Times New Roman" w:hAnsi="Univers" w:cs="Arial"/>
          <w:sz w:val="28"/>
          <w:szCs w:val="28"/>
          <w:lang w:eastAsia="es-MX"/>
        </w:rPr>
        <w:lastRenderedPageBreak/>
        <w:t>condiciones necesarias para llevar a cabo elecciones de autoridades municipales.</w:t>
      </w:r>
    </w:p>
    <w:p w14:paraId="0E1359E8" w14:textId="77777777" w:rsidR="00821A73" w:rsidRPr="00821A73" w:rsidRDefault="00821A73" w:rsidP="00821A73">
      <w:pPr>
        <w:spacing w:before="100" w:beforeAutospacing="1" w:after="100" w:afterAutospacing="1" w:line="360" w:lineRule="auto"/>
        <w:jc w:val="both"/>
        <w:rPr>
          <w:rFonts w:ascii="Univers" w:eastAsia="Times New Roman" w:hAnsi="Univers" w:cs="Arial"/>
          <w:i/>
          <w:sz w:val="28"/>
          <w:szCs w:val="28"/>
          <w:lang w:eastAsia="es-MX"/>
        </w:rPr>
      </w:pPr>
      <w:r w:rsidRPr="00821A73">
        <w:rPr>
          <w:rFonts w:ascii="Univers" w:eastAsia="Times New Roman" w:hAnsi="Univers" w:cs="Times New Roman"/>
          <w:sz w:val="28"/>
          <w:szCs w:val="28"/>
          <w:lang w:eastAsia="es-MX"/>
        </w:rPr>
        <w:t xml:space="preserve">De lo visto, con base en los dos oficios remitidos por el administrador municipal, el Director de Elecciones por Usos y Costumbres, emitió su </w:t>
      </w:r>
      <w:r w:rsidRPr="00821A73">
        <w:rPr>
          <w:rFonts w:ascii="Univers" w:eastAsia="Times New Roman" w:hAnsi="Univers" w:cs="Times New Roman"/>
          <w:i/>
          <w:sz w:val="28"/>
          <w:szCs w:val="28"/>
          <w:lang w:eastAsia="es-MX"/>
        </w:rPr>
        <w:t xml:space="preserve">“INFORME DE </w:t>
      </w:r>
      <w:r w:rsidRPr="00821A73">
        <w:rPr>
          <w:rFonts w:ascii="Univers" w:eastAsia="Times New Roman" w:hAnsi="Univers" w:cs="Arial"/>
          <w:i/>
          <w:sz w:val="28"/>
          <w:szCs w:val="28"/>
          <w:lang w:eastAsia="es-MX"/>
        </w:rPr>
        <w:t>ACTIVIDADES DESARROLLADAS EN EL MUNICIPIO DE TANETZE DE ZARAGOZA, VILLA ALTA, OAX., QUE DE ACUERDO A SUS TRADICIONES Y PRACTICAS DEMOCRÁTICAS ELIGE A SUS CONCEJALES CON DURACIÓN EN EL CARGO DE UN AÑO”</w:t>
      </w:r>
      <w:r w:rsidRPr="00821A73">
        <w:rPr>
          <w:rFonts w:ascii="Univers" w:eastAsia="Times New Roman" w:hAnsi="Univers" w:cs="Arial"/>
          <w:sz w:val="28"/>
          <w:szCs w:val="28"/>
          <w:lang w:eastAsia="es-MX"/>
        </w:rPr>
        <w:t>, los cuales no se pueden considerar suficientes para tal efecto.</w:t>
      </w:r>
      <w:r w:rsidRPr="00821A73">
        <w:rPr>
          <w:rFonts w:ascii="Univers" w:eastAsia="Times New Roman" w:hAnsi="Univers" w:cs="Arial"/>
          <w:i/>
          <w:sz w:val="28"/>
          <w:szCs w:val="28"/>
          <w:lang w:eastAsia="es-MX"/>
        </w:rPr>
        <w:t xml:space="preserve"> </w:t>
      </w:r>
    </w:p>
    <w:p w14:paraId="176CD514"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453711CB"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Posteriormente y siguiendo el curso que en el tiempo tomaron los hechos, y con base en el citado informe, el Consejo General del Instituto Estatal Electoral, emitió el </w:t>
      </w:r>
      <w:proofErr w:type="spellStart"/>
      <w:r w:rsidRPr="00821A73">
        <w:rPr>
          <w:rFonts w:ascii="Univers" w:eastAsia="Times New Roman" w:hAnsi="Univers" w:cs="Times New Roman"/>
          <w:sz w:val="28"/>
          <w:szCs w:val="28"/>
          <w:lang w:eastAsia="es-MX"/>
        </w:rPr>
        <w:t>multimencionado</w:t>
      </w:r>
      <w:proofErr w:type="spellEnd"/>
      <w:r w:rsidRPr="00821A73">
        <w:rPr>
          <w:rFonts w:ascii="Univers" w:eastAsia="Times New Roman" w:hAnsi="Univers" w:cs="Times New Roman"/>
          <w:sz w:val="28"/>
          <w:szCs w:val="28"/>
          <w:lang w:eastAsia="es-MX"/>
        </w:rPr>
        <w:t xml:space="preserve"> acuerdo, que a la letra dice: </w:t>
      </w:r>
    </w:p>
    <w:p w14:paraId="6CB2750E" w14:textId="77777777" w:rsidR="00821A73" w:rsidRPr="00821A73" w:rsidRDefault="00821A73" w:rsidP="00821A73">
      <w:pPr>
        <w:spacing w:after="0" w:line="240" w:lineRule="auto"/>
        <w:ind w:right="686"/>
        <w:jc w:val="center"/>
        <w:rPr>
          <w:rFonts w:ascii="Univers" w:eastAsia="Times New Roman" w:hAnsi="Univers" w:cs="Arial"/>
          <w:i/>
          <w:sz w:val="24"/>
          <w:szCs w:val="24"/>
          <w:lang w:eastAsia="es-MX"/>
        </w:rPr>
      </w:pPr>
      <w:r w:rsidRPr="00821A73">
        <w:rPr>
          <w:rFonts w:ascii="Univers" w:eastAsia="Times New Roman" w:hAnsi="Univers" w:cs="Times New Roman"/>
          <w:i/>
          <w:sz w:val="24"/>
          <w:szCs w:val="24"/>
          <w:lang w:eastAsia="es-MX"/>
        </w:rPr>
        <w:t>“</w:t>
      </w:r>
      <w:r w:rsidRPr="00821A73">
        <w:rPr>
          <w:rFonts w:ascii="Univers" w:eastAsia="Times New Roman" w:hAnsi="Univers" w:cs="Arial"/>
          <w:i/>
          <w:sz w:val="24"/>
          <w:szCs w:val="24"/>
          <w:lang w:eastAsia="es-MX"/>
        </w:rPr>
        <w:t>“…ANTECEDENTES</w:t>
      </w:r>
    </w:p>
    <w:p w14:paraId="154191E6" w14:textId="77777777" w:rsidR="00821A73" w:rsidRPr="00821A73" w:rsidRDefault="00821A73" w:rsidP="00821A73">
      <w:pPr>
        <w:numPr>
          <w:ilvl w:val="0"/>
          <w:numId w:val="3"/>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0F86E91E" w14:textId="77777777" w:rsidR="00821A73" w:rsidRPr="00821A73" w:rsidRDefault="00821A73" w:rsidP="00821A73">
      <w:pPr>
        <w:numPr>
          <w:ilvl w:val="0"/>
          <w:numId w:val="3"/>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lastRenderedPageBreak/>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45A9DF17" w14:textId="77777777" w:rsidR="00821A73" w:rsidRPr="00821A73" w:rsidRDefault="00821A73" w:rsidP="00821A73">
      <w:pPr>
        <w:numPr>
          <w:ilvl w:val="0"/>
          <w:numId w:val="3"/>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20E0623A" w14:textId="77777777" w:rsidR="00821A73" w:rsidRPr="00821A73" w:rsidRDefault="00821A73" w:rsidP="00821A73">
      <w:pPr>
        <w:numPr>
          <w:ilvl w:val="0"/>
          <w:numId w:val="3"/>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5B2521FC" w14:textId="77777777" w:rsidR="00821A73" w:rsidRPr="00821A73" w:rsidRDefault="00821A73" w:rsidP="00821A73">
      <w:pPr>
        <w:spacing w:after="0" w:line="240" w:lineRule="auto"/>
        <w:ind w:right="686"/>
        <w:jc w:val="center"/>
        <w:rPr>
          <w:rFonts w:ascii="Univers" w:eastAsia="Times New Roman" w:hAnsi="Univers" w:cs="Arial"/>
          <w:b/>
          <w:i/>
          <w:sz w:val="24"/>
          <w:szCs w:val="24"/>
          <w:lang w:val="pt-BR" w:eastAsia="es-MX"/>
        </w:rPr>
      </w:pPr>
      <w:r w:rsidRPr="00821A73">
        <w:rPr>
          <w:rFonts w:ascii="Univers" w:eastAsia="Times New Roman" w:hAnsi="Univers" w:cs="Arial"/>
          <w:b/>
          <w:i/>
          <w:sz w:val="24"/>
          <w:szCs w:val="24"/>
          <w:lang w:val="pt-BR" w:eastAsia="es-MX"/>
        </w:rPr>
        <w:t>C O N S I D E R A N D O:</w:t>
      </w:r>
    </w:p>
    <w:p w14:paraId="3A95B55C" w14:textId="77777777" w:rsidR="00821A73" w:rsidRPr="00821A73" w:rsidRDefault="00821A73" w:rsidP="00821A73">
      <w:pPr>
        <w:numPr>
          <w:ilvl w:val="0"/>
          <w:numId w:val="4"/>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QUE EN CUMPLIMIENTO A LO DISPUESTO POR EL ARTICULO 25, PENULTIMO PARRAFO, DE LA CONSTITUCION POLITICA DEL ESTADO LIBRE Y SOBERANO DE OAXACA, Y 62, DEL CODIGO DE 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1C5B6B15" w14:textId="77777777" w:rsidR="00821A73" w:rsidRPr="00821A73" w:rsidRDefault="00821A73" w:rsidP="00821A73">
      <w:pPr>
        <w:numPr>
          <w:ilvl w:val="0"/>
          <w:numId w:val="4"/>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 xml:space="preserve">QUE CONFORME A LO DISPUESTO POR EL ARTICULO 125, DEL CODIGO DE INSTITUCIONES POLITICAS Y PROCEDIMIENTOS ELECTORALES DE OAXACA, EL CONSEJO GENERAL DEL INSTITUTO ESTATAL ELECTORAL DE OAXACA, ES COMPETENTE </w:t>
      </w:r>
      <w:r w:rsidRPr="00821A73">
        <w:rPr>
          <w:rFonts w:ascii="Univers" w:eastAsia="Times New Roman" w:hAnsi="Univers" w:cs="Arial"/>
          <w:i/>
          <w:sz w:val="24"/>
          <w:szCs w:val="24"/>
          <w:lang w:eastAsia="es-MX"/>
        </w:rPr>
        <w:lastRenderedPageBreak/>
        <w:t>PARA CONOCER Y RESOLVER SOBRE LOS CASOS DE CONTROVERSIAS QUE SURJAN RESPECTO DE LA RENOVACIÓN DE AYUNTAMIENTOS BAJO LAS NORMAS DE DERECHO CONSUETUDINARIO.</w:t>
      </w:r>
    </w:p>
    <w:p w14:paraId="7A27C43D" w14:textId="77777777" w:rsidR="00821A73" w:rsidRPr="00821A73" w:rsidRDefault="00821A73" w:rsidP="00821A73">
      <w:pPr>
        <w:numPr>
          <w:ilvl w:val="0"/>
          <w:numId w:val="4"/>
        </w:numPr>
        <w:spacing w:after="0" w:line="240" w:lineRule="auto"/>
        <w:ind w:left="540"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62A06087" w14:textId="77777777" w:rsidR="00821A73" w:rsidRPr="00821A73" w:rsidRDefault="00821A73" w:rsidP="00821A73">
      <w:pPr>
        <w:spacing w:after="0" w:line="240" w:lineRule="auto"/>
        <w:ind w:right="686"/>
        <w:jc w:val="both"/>
        <w:rPr>
          <w:rFonts w:ascii="Univers" w:eastAsia="Times New Roman" w:hAnsi="Univers" w:cs="Arial"/>
          <w:i/>
          <w:sz w:val="24"/>
          <w:szCs w:val="24"/>
          <w:lang w:eastAsia="es-MX"/>
        </w:rPr>
      </w:pPr>
      <w:r w:rsidRPr="00821A73">
        <w:rPr>
          <w:rFonts w:ascii="Univers" w:eastAsia="Times New Roman" w:hAnsi="Univers"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3DA40B5C" w14:textId="77777777" w:rsidR="00821A73" w:rsidRPr="00821A73" w:rsidRDefault="00821A73" w:rsidP="00821A73">
      <w:pPr>
        <w:spacing w:after="0" w:line="240" w:lineRule="auto"/>
        <w:ind w:right="686"/>
        <w:jc w:val="center"/>
        <w:rPr>
          <w:rFonts w:ascii="Univers" w:eastAsia="Times New Roman" w:hAnsi="Univers" w:cs="Arial"/>
          <w:b/>
          <w:i/>
          <w:sz w:val="24"/>
          <w:szCs w:val="24"/>
          <w:lang w:val="pt-BR" w:eastAsia="es-MX"/>
        </w:rPr>
      </w:pPr>
      <w:r w:rsidRPr="00821A73">
        <w:rPr>
          <w:rFonts w:ascii="Univers" w:eastAsia="Times New Roman" w:hAnsi="Univers" w:cs="Arial"/>
          <w:b/>
          <w:i/>
          <w:sz w:val="24"/>
          <w:szCs w:val="24"/>
          <w:lang w:val="pt-BR" w:eastAsia="es-MX"/>
        </w:rPr>
        <w:t>A C U E R D A:</w:t>
      </w:r>
    </w:p>
    <w:p w14:paraId="5954ACF9" w14:textId="77777777" w:rsidR="00821A73" w:rsidRPr="00821A73" w:rsidRDefault="00821A73" w:rsidP="00821A73">
      <w:pPr>
        <w:spacing w:after="0" w:line="240" w:lineRule="auto"/>
        <w:ind w:right="686"/>
        <w:jc w:val="both"/>
        <w:rPr>
          <w:rFonts w:ascii="Univers" w:eastAsia="Times New Roman" w:hAnsi="Univers" w:cs="Arial"/>
          <w:i/>
          <w:sz w:val="24"/>
          <w:szCs w:val="24"/>
          <w:lang w:eastAsia="es-MX"/>
        </w:rPr>
      </w:pPr>
      <w:r w:rsidRPr="00821A73">
        <w:rPr>
          <w:rFonts w:ascii="Univers" w:eastAsia="Times New Roman" w:hAnsi="Univers" w:cs="Arial"/>
          <w:b/>
          <w:i/>
          <w:sz w:val="24"/>
          <w:szCs w:val="24"/>
          <w:lang w:val="pt-BR" w:eastAsia="es-MX"/>
        </w:rPr>
        <w:t>PRIMERO.</w:t>
      </w:r>
      <w:r w:rsidRPr="00821A73">
        <w:rPr>
          <w:rFonts w:ascii="Univers" w:eastAsia="Times New Roman" w:hAnsi="Univers" w:cs="Arial"/>
          <w:i/>
          <w:sz w:val="24"/>
          <w:szCs w:val="24"/>
          <w:lang w:val="pt-BR" w:eastAsia="es-MX"/>
        </w:rPr>
        <w:t xml:space="preserve"> </w:t>
      </w:r>
      <w:r w:rsidRPr="00821A73">
        <w:rPr>
          <w:rFonts w:ascii="Univers" w:eastAsia="Times New Roman" w:hAnsi="Univers" w:cs="Arial"/>
          <w:i/>
          <w:sz w:val="24"/>
          <w:szCs w:val="24"/>
          <w:lang w:eastAsia="es-MX"/>
        </w:rPr>
        <w:t>SE DECLARA QUE EN EL MUNICIPIO DE TANETZE DE ZARAGOZA, OAXACA, PERTENECIENTE AL III DISTRITO ELECTORAL, NO EXISTEN LAS CONDICIONES NECESARIAS PARA LLEVAR  A CABO LA ELECCION DE CONSEJALES AL AYUNTAMIENTO, BAJO LAS NORMAS DE DERECHO CONSUETUDINARIO.</w:t>
      </w:r>
    </w:p>
    <w:p w14:paraId="207CC385" w14:textId="77777777" w:rsidR="00821A73" w:rsidRPr="00821A73" w:rsidRDefault="00821A73" w:rsidP="00821A73">
      <w:pPr>
        <w:spacing w:after="0" w:line="240" w:lineRule="auto"/>
        <w:ind w:right="686"/>
        <w:jc w:val="both"/>
        <w:rPr>
          <w:rFonts w:ascii="Univers" w:eastAsia="Times New Roman" w:hAnsi="Univers" w:cs="Arial"/>
          <w:i/>
          <w:sz w:val="24"/>
          <w:szCs w:val="24"/>
          <w:lang w:eastAsia="es-MX"/>
        </w:rPr>
      </w:pPr>
      <w:r w:rsidRPr="00821A73">
        <w:rPr>
          <w:rFonts w:ascii="Univers" w:eastAsia="Times New Roman" w:hAnsi="Univers" w:cs="Arial"/>
          <w:b/>
          <w:i/>
          <w:sz w:val="24"/>
          <w:szCs w:val="24"/>
          <w:lang w:eastAsia="es-MX"/>
        </w:rPr>
        <w:t>SEGUNDO.</w:t>
      </w:r>
      <w:r w:rsidRPr="00821A73">
        <w:rPr>
          <w:rFonts w:ascii="Univers" w:eastAsia="Times New Roman" w:hAnsi="Univers" w:cs="Arial"/>
          <w:i/>
          <w:sz w:val="24"/>
          <w:szCs w:val="24"/>
          <w:lang w:eastAsia="es-MX"/>
        </w:rPr>
        <w:t xml:space="preserve"> PARA LOS EFECTOS LEGALES A QUE HAYA LUGAR, NOTIFIQUESE EL PRESENTE ACUERDO AL HONORABLE CONGRESO DEL ESTADO DE OAXACA.</w:t>
      </w:r>
    </w:p>
    <w:p w14:paraId="6D6590D7" w14:textId="77777777" w:rsidR="00821A73" w:rsidRPr="00821A73" w:rsidRDefault="00821A73" w:rsidP="00821A73">
      <w:pPr>
        <w:spacing w:after="0" w:line="240" w:lineRule="auto"/>
        <w:ind w:right="686"/>
        <w:jc w:val="both"/>
        <w:rPr>
          <w:rFonts w:ascii="Univers" w:eastAsia="Times New Roman" w:hAnsi="Univers" w:cs="Times New Roman"/>
          <w:i/>
          <w:sz w:val="24"/>
          <w:szCs w:val="24"/>
          <w:lang w:eastAsia="es-MX"/>
        </w:rPr>
      </w:pPr>
      <w:r w:rsidRPr="00821A73">
        <w:rPr>
          <w:rFonts w:ascii="Univers" w:eastAsia="Times New Roman" w:hAnsi="Univers" w:cs="Times New Roman"/>
          <w:b/>
          <w:i/>
          <w:sz w:val="24"/>
          <w:szCs w:val="24"/>
          <w:lang w:eastAsia="es-MX"/>
        </w:rPr>
        <w:t>TERCERO.</w:t>
      </w:r>
      <w:r w:rsidRPr="00821A73">
        <w:rPr>
          <w:rFonts w:ascii="Univers" w:eastAsia="Times New Roman" w:hAnsi="Univers" w:cs="Times New Roman"/>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6C728BE7" w14:textId="77777777" w:rsidR="00821A73" w:rsidRPr="00821A73" w:rsidRDefault="00821A73" w:rsidP="00821A73">
      <w:pPr>
        <w:spacing w:after="0" w:line="240" w:lineRule="auto"/>
        <w:ind w:right="686"/>
        <w:jc w:val="both"/>
        <w:rPr>
          <w:rFonts w:ascii="Univers" w:eastAsia="Times New Roman" w:hAnsi="Univers" w:cs="Arial"/>
          <w:i/>
          <w:sz w:val="16"/>
          <w:szCs w:val="16"/>
          <w:lang w:eastAsia="es-MX"/>
        </w:rPr>
      </w:pPr>
    </w:p>
    <w:p w14:paraId="016E0A3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w:t>
      </w:r>
      <w:r w:rsidRPr="00821A73">
        <w:rPr>
          <w:rFonts w:ascii="Univers" w:eastAsia="Times New Roman" w:hAnsi="Univers" w:cs="Times New Roman"/>
          <w:sz w:val="28"/>
          <w:szCs w:val="28"/>
          <w:lang w:eastAsia="es-MX"/>
        </w:rPr>
        <w:lastRenderedPageBreak/>
        <w:t>y 125  del Código de Procedimientos Electorales del mismo estado, como fundamento del mismo acuerdo.</w:t>
      </w:r>
    </w:p>
    <w:p w14:paraId="758BA098" w14:textId="77777777" w:rsidR="00821A73" w:rsidRPr="00821A73" w:rsidRDefault="00821A73" w:rsidP="00821A73">
      <w:pPr>
        <w:spacing w:before="100" w:beforeAutospacing="1" w:after="100" w:afterAutospacing="1" w:line="360" w:lineRule="auto"/>
        <w:jc w:val="both"/>
        <w:rPr>
          <w:rFonts w:ascii="CG Times" w:eastAsia="Times New Roman" w:hAnsi="CG Times" w:cs="Times New Roman"/>
          <w:sz w:val="24"/>
          <w:szCs w:val="24"/>
          <w:lang w:eastAsia="es-MX"/>
        </w:rPr>
      </w:pPr>
      <w:r w:rsidRPr="00821A73">
        <w:rPr>
          <w:rFonts w:ascii="Univers" w:eastAsia="Times New Roman" w:hAnsi="Univers" w:cs="Times New Roman"/>
          <w:sz w:val="28"/>
          <w:szCs w:val="28"/>
          <w:lang w:eastAsia="es-MX"/>
        </w:rPr>
        <w:t xml:space="preserve">Por lo que hace al primero de los artículos mencionados debe decirse que no es aplicable al caso, ya que en </w:t>
      </w:r>
      <w:proofErr w:type="spellStart"/>
      <w:r w:rsidRPr="00821A73">
        <w:rPr>
          <w:rFonts w:ascii="Univers" w:eastAsia="Times New Roman" w:hAnsi="Univers" w:cs="Times New Roman"/>
          <w:sz w:val="28"/>
          <w:szCs w:val="28"/>
          <w:lang w:eastAsia="es-MX"/>
        </w:rPr>
        <w:t>el</w:t>
      </w:r>
      <w:proofErr w:type="spellEnd"/>
      <w:r w:rsidRPr="00821A73">
        <w:rPr>
          <w:rFonts w:ascii="Univers" w:eastAsia="Times New Roman" w:hAnsi="Univers" w:cs="Times New Roman"/>
          <w:sz w:val="28"/>
          <w:szCs w:val="28"/>
          <w:lang w:eastAsia="es-MX"/>
        </w:rPr>
        <w:t xml:space="preserve"> se refiere a lo relativo al tribunal electoral local, y respecto a </w:t>
      </w:r>
      <w:proofErr w:type="spellStart"/>
      <w:r w:rsidRPr="00821A73">
        <w:rPr>
          <w:rFonts w:ascii="Univers" w:eastAsia="Times New Roman" w:hAnsi="Univers" w:cs="Times New Roman"/>
          <w:sz w:val="28"/>
          <w:szCs w:val="28"/>
          <w:lang w:eastAsia="es-MX"/>
        </w:rPr>
        <w:t>lo</w:t>
      </w:r>
      <w:proofErr w:type="spellEnd"/>
      <w:r w:rsidRPr="00821A73">
        <w:rPr>
          <w:rFonts w:ascii="Univers" w:eastAsia="Times New Roman" w:hAnsi="Univers" w:cs="Times New Roman"/>
          <w:sz w:val="28"/>
          <w:szCs w:val="28"/>
          <w:lang w:eastAsia="es-MX"/>
        </w:rPr>
        <w:t xml:space="preserve">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821A73">
        <w:rPr>
          <w:rFonts w:ascii="CG Times" w:eastAsia="Times New Roman" w:hAnsi="CG Times" w:cs="Times New Roman"/>
          <w:sz w:val="24"/>
          <w:szCs w:val="24"/>
          <w:lang w:eastAsia="es-MX"/>
        </w:rPr>
        <w:t xml:space="preserve">. </w:t>
      </w:r>
    </w:p>
    <w:p w14:paraId="089CF0A4"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En el considerando tercero del acuerdo se señala que de conformidad con lo expuesto en el capítulo de antecedentes y en relación con los oficios del administrador municipal, se advertía la falta de condiciones necesarias para establecer las bases mínimas tendientes a la realización de la elección de concejales, por lo que a fin de garantizar la estabilidad política y la paz social del municipio, lo conducente era emitir la declaratoria correspondiente y remitir al Congreso Local el expediente respectivo.</w:t>
      </w:r>
    </w:p>
    <w:p w14:paraId="07C8878B"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De ahí es claro que el acuerdo en cuestión, se basa únicamente en los antecedentes derivados de los señalados oficios.</w:t>
      </w:r>
    </w:p>
    <w:p w14:paraId="3304894F"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Esta Sala Superior estima que, resulta insuficiente para motivar el acuerdo en comento que se tome como base una apreciación subjetiva </w:t>
      </w:r>
      <w:r w:rsidRPr="00821A73">
        <w:rPr>
          <w:rFonts w:ascii="Univers" w:eastAsia="Times New Roman" w:hAnsi="Univers" w:cs="Times New Roman"/>
          <w:sz w:val="28"/>
          <w:szCs w:val="28"/>
          <w:lang w:eastAsia="es-MX"/>
        </w:rPr>
        <w:lastRenderedPageBreak/>
        <w:t>del administrador municipal del municipio de mérito, la cual no se encuentra sustentada por medio de convicción real alguno.</w:t>
      </w:r>
    </w:p>
    <w:p w14:paraId="50145CD0"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no existen condiciones para celebrar condiciones, máxime si se estima el hecho no controvertido, de que en dicha comunidad no se ha elegido a los concejales municipales desde el año dos mil dos.  </w:t>
      </w:r>
    </w:p>
    <w:p w14:paraId="38396B7C"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b/>
        <w:t xml:space="preserve">Por el contrario, el instituto local, está obligado a allegarse de </w:t>
      </w:r>
      <w:proofErr w:type="spellStart"/>
      <w:r w:rsidRPr="00821A73">
        <w:rPr>
          <w:rFonts w:ascii="Univers" w:eastAsia="Times New Roman" w:hAnsi="Univers" w:cs="Times New Roman"/>
          <w:sz w:val="28"/>
          <w:szCs w:val="28"/>
          <w:lang w:eastAsia="es-MX"/>
        </w:rPr>
        <w:t>mas</w:t>
      </w:r>
      <w:proofErr w:type="spellEnd"/>
      <w:r w:rsidRPr="00821A73">
        <w:rPr>
          <w:rFonts w:ascii="Univers" w:eastAsia="Times New Roman" w:hAnsi="Univers" w:cs="Times New Roman"/>
          <w:sz w:val="28"/>
          <w:szCs w:val="28"/>
          <w:lang w:eastAsia="es-MX"/>
        </w:rPr>
        <w:t xml:space="preserve"> elementos para sustentar su declaración, por ejemplo, investigar </w:t>
      </w:r>
      <w:r w:rsidRPr="00821A73">
        <w:rPr>
          <w:rFonts w:ascii="Univers" w:eastAsia="Times New Roman" w:hAnsi="Univers" w:cs="Times New Roman"/>
          <w:i/>
          <w:sz w:val="28"/>
          <w:szCs w:val="28"/>
          <w:lang w:eastAsia="es-MX"/>
        </w:rPr>
        <w:t>in situ</w:t>
      </w:r>
      <w:r w:rsidRPr="00821A73">
        <w:rPr>
          <w:rFonts w:ascii="Univers" w:eastAsia="Times New Roman" w:hAnsi="Univers" w:cs="Times New Roman"/>
          <w:sz w:val="28"/>
          <w:szCs w:val="28"/>
          <w:lang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0DDD384F"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b/>
        <w:t xml:space="preserve">Ello en virtud de que, resulta completamente ajeno al sistema de usos y costumbres, que rige la vida de la comunidad indígena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la situación que en forma prolongada, casi ordinaria, posee una autoridad, cuya designación no es el resultado de la elección  por la propia comunidad, y que como ha quedado señalado, </w:t>
      </w:r>
      <w:r w:rsidRPr="00821A73">
        <w:rPr>
          <w:rFonts w:ascii="Univers" w:eastAsia="Times New Roman" w:hAnsi="Univers" w:cs="Times New Roman"/>
          <w:sz w:val="28"/>
          <w:szCs w:val="28"/>
          <w:lang w:eastAsia="es-MX"/>
        </w:rPr>
        <w:lastRenderedPageBreak/>
        <w:t>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7AC5F461"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821A73">
        <w:rPr>
          <w:rFonts w:ascii="Univers" w:eastAsia="Times New Roman" w:hAnsi="Univers" w:cs="Times New Roman"/>
          <w:sz w:val="28"/>
          <w:szCs w:val="28"/>
          <w:lang w:val="es-ES_tradnl" w:eastAsia="es-MX"/>
        </w:rPr>
        <w:t>principios de certeza, legalidad, independencia, imparcialidad y objetividad, asimismo esta compelido a dar vigencia a la prescripción constitucional de que las elecciones deben de gozar de un carácter de renovación periódica en los órganos de elección popular, a través de la voluntad del pueblo reflejada por medio del sufragio.</w:t>
      </w:r>
    </w:p>
    <w:p w14:paraId="173D2A99"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 como lo establece el artículo 116 constitucional, párrafo segundo, fracción IV, inciso b).</w:t>
      </w:r>
    </w:p>
    <w:p w14:paraId="2097DEB7"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lastRenderedPageBreak/>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7D47CF9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w:t>
      </w:r>
      <w:proofErr w:type="spellStart"/>
      <w:r w:rsidRPr="00821A73">
        <w:rPr>
          <w:rFonts w:ascii="Univers" w:eastAsia="Times New Roman" w:hAnsi="Univers" w:cs="Times New Roman"/>
          <w:sz w:val="28"/>
          <w:szCs w:val="28"/>
          <w:lang w:val="es-ES_tradnl" w:eastAsia="es-MX"/>
        </w:rPr>
        <w:t>Tanetze</w:t>
      </w:r>
      <w:proofErr w:type="spellEnd"/>
      <w:r w:rsidRPr="00821A73">
        <w:rPr>
          <w:rFonts w:ascii="Univers" w:eastAsia="Times New Roman" w:hAnsi="Univers" w:cs="Times New Roman"/>
          <w:sz w:val="28"/>
          <w:szCs w:val="28"/>
          <w:lang w:val="es-ES_tradnl" w:eastAsia="es-MX"/>
        </w:rPr>
        <w:t xml:space="preserve"> de Zaragoza, sus habitantes pudieran elegir a los concejales al ayuntamiento municipal respectivo, de conformidad con el sistema de usos y costumbres.</w:t>
      </w:r>
    </w:p>
    <w:p w14:paraId="46F4E8FE"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3C9B3735"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 xml:space="preserve">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w:t>
      </w:r>
      <w:r w:rsidRPr="00821A73">
        <w:rPr>
          <w:rFonts w:ascii="Univers" w:eastAsia="Times New Roman" w:hAnsi="Univers" w:cs="Times New Roman"/>
          <w:sz w:val="28"/>
          <w:szCs w:val="28"/>
          <w:lang w:val="es-ES_tradnl" w:eastAsia="es-MX"/>
        </w:rPr>
        <w:lastRenderedPageBreak/>
        <w:t xml:space="preserve">adecuadamente con sus fines, máxime el hecho no controvertido, de que en dicha comunidad no han contado con elección por el sistema de usos y costumbres desde el año dos mil dos, es decir, resulta un hecho grave el que los ciudadanos de </w:t>
      </w:r>
      <w:proofErr w:type="spellStart"/>
      <w:r w:rsidRPr="00821A73">
        <w:rPr>
          <w:rFonts w:ascii="Univers" w:eastAsia="Times New Roman" w:hAnsi="Univers" w:cs="Times New Roman"/>
          <w:sz w:val="28"/>
          <w:szCs w:val="28"/>
          <w:lang w:val="es-ES_tradnl" w:eastAsia="es-MX"/>
        </w:rPr>
        <w:t>Tanetze</w:t>
      </w:r>
      <w:proofErr w:type="spellEnd"/>
      <w:r w:rsidRPr="00821A73">
        <w:rPr>
          <w:rFonts w:ascii="Univers" w:eastAsia="Times New Roman" w:hAnsi="Univers" w:cs="Times New Roman"/>
          <w:sz w:val="28"/>
          <w:szCs w:val="28"/>
          <w:lang w:val="es-ES_tradnl" w:eastAsia="es-MX"/>
        </w:rPr>
        <w:t xml:space="preserve"> de Zaragoza, no tengan la posibilidad cierta de poder elegir a sus representantes municipales.</w:t>
      </w:r>
    </w:p>
    <w:p w14:paraId="29A1CB6A"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3F056F35"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821A73">
        <w:rPr>
          <w:rFonts w:ascii="Univers" w:eastAsia="Times New Roman" w:hAnsi="Univers" w:cs="Arial"/>
          <w:sz w:val="28"/>
          <w:szCs w:val="28"/>
          <w:lang w:eastAsia="es-MX"/>
        </w:rPr>
        <w:t xml:space="preserve">conocerá en su oportunidad los casos de controversias que surjan respecto de la renovación de ayuntamientos bajo las normas de derecho consuetudinario, es la de buscar la conciliación entre las partes en conflicto. </w:t>
      </w:r>
    </w:p>
    <w:p w14:paraId="4E882BF4"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Arial"/>
          <w:sz w:val="28"/>
          <w:szCs w:val="28"/>
          <w:lang w:eastAsia="es-MX"/>
        </w:rPr>
        <w:t xml:space="preserve">Es decir, </w:t>
      </w:r>
      <w:r w:rsidRPr="00821A73">
        <w:rPr>
          <w:rFonts w:ascii="Univers" w:eastAsia="Times New Roman" w:hAnsi="Univers" w:cs="Times New Roman"/>
          <w:sz w:val="28"/>
          <w:szCs w:val="28"/>
          <w:lang w:val="es-ES_tradnl" w:eastAsia="es-MX"/>
        </w:rPr>
        <w:t xml:space="preserve">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w:t>
      </w:r>
      <w:r w:rsidRPr="00821A73">
        <w:rPr>
          <w:rFonts w:ascii="Univers" w:eastAsia="Times New Roman" w:hAnsi="Univers" w:cs="Times New Roman"/>
          <w:sz w:val="28"/>
          <w:szCs w:val="28"/>
          <w:lang w:val="es-ES_tradnl" w:eastAsia="es-MX"/>
        </w:rPr>
        <w:lastRenderedPageBreak/>
        <w:t xml:space="preserve">flagrante violación, o por otro lado en vista de circunstancias graves o que salgan de las atribuciones compelidas al mismo instituto, dar parte a las autoridades competentes con el efecto de que se pueda, si fuera el caso, volver a la paz </w:t>
      </w:r>
      <w:proofErr w:type="spellStart"/>
      <w:r w:rsidRPr="00821A73">
        <w:rPr>
          <w:rFonts w:ascii="Univers" w:eastAsia="Times New Roman" w:hAnsi="Univers" w:cs="Times New Roman"/>
          <w:sz w:val="28"/>
          <w:szCs w:val="28"/>
          <w:lang w:val="es-ES_tradnl" w:eastAsia="es-MX"/>
        </w:rPr>
        <w:t>publica</w:t>
      </w:r>
      <w:proofErr w:type="spellEnd"/>
      <w:r w:rsidRPr="00821A73">
        <w:rPr>
          <w:rFonts w:ascii="Univers" w:eastAsia="Times New Roman" w:hAnsi="Univers" w:cs="Times New Roman"/>
          <w:sz w:val="28"/>
          <w:szCs w:val="28"/>
          <w:lang w:val="es-ES_tradnl" w:eastAsia="es-MX"/>
        </w:rPr>
        <w:t>.</w:t>
      </w:r>
    </w:p>
    <w:p w14:paraId="590B1877" w14:textId="77777777" w:rsidR="00821A73" w:rsidRPr="00821A73" w:rsidRDefault="00821A73" w:rsidP="00821A73">
      <w:pPr>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proofErr w:type="spellStart"/>
      <w:r w:rsidRPr="00821A73">
        <w:rPr>
          <w:rFonts w:ascii="Univers" w:eastAsia="Times New Roman" w:hAnsi="Univers" w:cs="Arial"/>
          <w:sz w:val="28"/>
          <w:szCs w:val="28"/>
          <w:lang w:eastAsia="es-MX"/>
        </w:rPr>
        <w:t>Mas</w:t>
      </w:r>
      <w:proofErr w:type="spellEnd"/>
      <w:r w:rsidRPr="00821A73">
        <w:rPr>
          <w:rFonts w:ascii="Univers" w:eastAsia="Times New Roman" w:hAnsi="Univers" w:cs="Arial"/>
          <w:sz w:val="28"/>
          <w:szCs w:val="28"/>
          <w:lang w:eastAsia="es-MX"/>
        </w:rPr>
        <w:t xml:space="preserve"> aún, el Consejo General del instituto local electoral, con el fin de determinar la falta de condiciones para la celebración de comicios bajo las normas del derecho consuetudinario, no tomó en consideración la opinión de los habitantes de </w:t>
      </w:r>
      <w:proofErr w:type="spellStart"/>
      <w:r w:rsidRPr="00821A73">
        <w:rPr>
          <w:rFonts w:ascii="Univers" w:eastAsia="Times New Roman" w:hAnsi="Univers" w:cs="Arial"/>
          <w:sz w:val="28"/>
          <w:szCs w:val="28"/>
          <w:lang w:eastAsia="es-MX"/>
        </w:rPr>
        <w:t>Tanetze</w:t>
      </w:r>
      <w:proofErr w:type="spellEnd"/>
      <w:r w:rsidRPr="00821A73">
        <w:rPr>
          <w:rFonts w:ascii="Univers" w:eastAsia="Times New Roman" w:hAnsi="Univers" w:cs="Arial"/>
          <w:sz w:val="28"/>
          <w:szCs w:val="28"/>
          <w:lang w:eastAsia="es-MX"/>
        </w:rPr>
        <w:t xml:space="preserve"> de Zaragoza, cuestión a la cual estaba obligado, en atención al artículo 6, numeral 1, inciso a), del </w:t>
      </w:r>
      <w:r w:rsidRPr="00821A73">
        <w:rPr>
          <w:rFonts w:ascii="Univers" w:eastAsia="Times New Roman" w:hAnsi="Univers" w:cs="Garamond"/>
          <w:bCs/>
          <w:sz w:val="28"/>
          <w:szCs w:val="28"/>
          <w:lang w:eastAsia="es-MX"/>
        </w:rPr>
        <w:t xml:space="preserve">Convenio 169 de la Organización Internacional del Trabajo sobre Pueblos Indígenas y Tribales en Países Independientes, del cual México forma parte, que a la letra señala: </w:t>
      </w:r>
    </w:p>
    <w:p w14:paraId="19B66B7E" w14:textId="77777777" w:rsidR="00821A73" w:rsidRPr="00821A73" w:rsidRDefault="00821A73" w:rsidP="00821A73">
      <w:pPr>
        <w:autoSpaceDE w:val="0"/>
        <w:autoSpaceDN w:val="0"/>
        <w:adjustRightInd w:val="0"/>
        <w:spacing w:before="100" w:beforeAutospacing="1" w:after="100" w:afterAutospacing="1" w:line="360" w:lineRule="auto"/>
        <w:ind w:right="609"/>
        <w:jc w:val="both"/>
        <w:rPr>
          <w:rFonts w:ascii="Univers" w:eastAsia="Times New Roman" w:hAnsi="Univers" w:cs="Garamond"/>
          <w:i/>
          <w:sz w:val="24"/>
          <w:szCs w:val="24"/>
          <w:lang w:eastAsia="es-MX"/>
        </w:rPr>
      </w:pPr>
      <w:r w:rsidRPr="00821A73">
        <w:rPr>
          <w:rFonts w:ascii="Univers" w:eastAsia="Times New Roman" w:hAnsi="Univers" w:cs="Garamond"/>
          <w:bCs/>
          <w:i/>
          <w:sz w:val="24"/>
          <w:szCs w:val="24"/>
          <w:lang w:eastAsia="es-MX"/>
        </w:rPr>
        <w:t>“1</w:t>
      </w:r>
      <w:r w:rsidRPr="00821A73">
        <w:rPr>
          <w:rFonts w:ascii="Univers" w:eastAsia="Times New Roman" w:hAnsi="Univers" w:cs="Garamond"/>
          <w:b/>
          <w:bCs/>
          <w:i/>
          <w:sz w:val="24"/>
          <w:szCs w:val="24"/>
          <w:lang w:eastAsia="es-MX"/>
        </w:rPr>
        <w:t xml:space="preserve">. </w:t>
      </w:r>
      <w:r w:rsidRPr="00821A73">
        <w:rPr>
          <w:rFonts w:ascii="Univers" w:eastAsia="Times New Roman" w:hAnsi="Univers" w:cs="Garamond"/>
          <w:i/>
          <w:sz w:val="24"/>
          <w:szCs w:val="24"/>
          <w:lang w:eastAsia="es-MX"/>
        </w:rPr>
        <w:t xml:space="preserve">Al aplicar las disposiciones del presente Convenio, los gobiernos deberán: </w:t>
      </w:r>
      <w:r w:rsidRPr="00821A73">
        <w:rPr>
          <w:rFonts w:ascii="Univers" w:eastAsia="Times New Roman" w:hAnsi="Univers" w:cs="Garamond"/>
          <w:i/>
          <w:iCs/>
          <w:sz w:val="24"/>
          <w:szCs w:val="24"/>
          <w:lang w:eastAsia="es-MX"/>
        </w:rPr>
        <w:t>a</w:t>
      </w:r>
      <w:r w:rsidRPr="00821A73">
        <w:rPr>
          <w:rFonts w:ascii="Univers" w:eastAsia="Times New Roman" w:hAnsi="Univers" w:cs="Garamond"/>
          <w:i/>
          <w:sz w:val="24"/>
          <w:szCs w:val="24"/>
          <w:lang w:eastAsia="es-MX"/>
        </w:rPr>
        <w:t>) consultar a los pueblos interesados, mediante procedimientos apropiados y en particular a través de sus instituciones representativas, cada vez que se prevean medidas legislativas o administrativas susceptibles de afectarles directamente;”.</w:t>
      </w:r>
    </w:p>
    <w:p w14:paraId="06468796" w14:textId="77777777" w:rsidR="00821A73" w:rsidRPr="00821A73" w:rsidRDefault="00821A73" w:rsidP="00821A73">
      <w:pPr>
        <w:spacing w:before="100" w:beforeAutospacing="1" w:after="100" w:afterAutospacing="1" w:line="360" w:lineRule="auto"/>
        <w:jc w:val="both"/>
        <w:rPr>
          <w:rFonts w:ascii="Univers" w:eastAsia="Times New Roman" w:hAnsi="Univers" w:cs="Arial"/>
          <w:bCs/>
          <w:sz w:val="28"/>
          <w:szCs w:val="28"/>
          <w:lang w:eastAsia="es-MX"/>
        </w:rPr>
      </w:pPr>
      <w:r w:rsidRPr="00821A73">
        <w:rPr>
          <w:rFonts w:ascii="Univers" w:eastAsia="Times New Roman" w:hAnsi="Univers" w:cs="Arial"/>
          <w:bCs/>
          <w:sz w:val="28"/>
          <w:szCs w:val="28"/>
          <w:lang w:eastAsia="es-MX"/>
        </w:rPr>
        <w:t xml:space="preserve">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w:t>
      </w:r>
      <w:r w:rsidRPr="00821A73">
        <w:rPr>
          <w:rFonts w:ascii="Univers" w:eastAsia="Times New Roman" w:hAnsi="Univers" w:cs="Arial"/>
          <w:bCs/>
          <w:sz w:val="28"/>
          <w:szCs w:val="28"/>
          <w:lang w:eastAsia="es-MX"/>
        </w:rPr>
        <w:lastRenderedPageBreak/>
        <w:t>con el fin de que, de ser el caso, puedan oponerse a través de los medios jurídicos que se encuentren a su disposición.</w:t>
      </w:r>
    </w:p>
    <w:p w14:paraId="5ACC2B8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t>Por lo que debe tenerse en cuenta</w:t>
      </w:r>
      <w:r w:rsidRPr="00821A73">
        <w:rPr>
          <w:rFonts w:ascii="Univers" w:eastAsia="Times New Roman" w:hAnsi="Univers" w:cs="Arial"/>
          <w:sz w:val="28"/>
          <w:szCs w:val="28"/>
          <w:lang w:eastAsia="es-MX"/>
        </w:rPr>
        <w:t xml:space="preserve">, que un acto adolece de una indebida </w:t>
      </w:r>
      <w:bookmarkStart w:id="2" w:name="LPHit3"/>
      <w:bookmarkEnd w:id="2"/>
      <w:r w:rsidRPr="00821A73">
        <w:rPr>
          <w:rFonts w:ascii="Univers" w:eastAsia="Times New Roman" w:hAnsi="Univers" w:cs="Arial"/>
          <w:sz w:val="28"/>
          <w:szCs w:val="28"/>
          <w:lang w:eastAsia="es-MX"/>
        </w:rPr>
        <w:t xml:space="preserve">fundamentación y </w:t>
      </w:r>
      <w:bookmarkStart w:id="3" w:name="LPHit4"/>
      <w:bookmarkEnd w:id="3"/>
      <w:r w:rsidRPr="00821A73">
        <w:rPr>
          <w:rFonts w:ascii="Univers" w:eastAsia="Times New Roman" w:hAnsi="Univers"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821A73">
        <w:rPr>
          <w:rFonts w:ascii="Univers" w:eastAsia="Times New Roman" w:hAnsi="Univers" w:cs="Arial"/>
          <w:sz w:val="28"/>
          <w:szCs w:val="28"/>
          <w:lang w:eastAsia="es-MX"/>
        </w:rPr>
        <w:t xml:space="preserve">motivación jurídicamente válida de un acto o resolución de una autoridad el que se base en otro que, a su vez, adolece de inconstitucionalidad o ilegalidad. </w:t>
      </w:r>
    </w:p>
    <w:p w14:paraId="65AFCAEA"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Arial"/>
          <w:sz w:val="28"/>
          <w:szCs w:val="28"/>
          <w:lang w:eastAsia="es-MX"/>
        </w:rPr>
        <w:t xml:space="preserve">Cuestión que como se ha sustentado, se da en el presente caso, por lo que  debe arribarse a la conclusión que existe una relación causal, jurídicamente entendida como motivo determinante, cuando el posterior acto tiene su </w:t>
      </w:r>
      <w:bookmarkStart w:id="5" w:name="LPHit6"/>
      <w:bookmarkEnd w:id="5"/>
      <w:r w:rsidRPr="00821A73">
        <w:rPr>
          <w:rFonts w:ascii="Univers" w:eastAsia="Times New Roman" w:hAnsi="Univers"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2408552A" w14:textId="77777777" w:rsidR="00821A73" w:rsidRPr="00821A73" w:rsidRDefault="00821A73" w:rsidP="00821A73">
      <w:pPr>
        <w:spacing w:before="100" w:beforeAutospacing="1" w:after="100" w:afterAutospacing="1" w:line="360" w:lineRule="auto"/>
        <w:jc w:val="both"/>
        <w:rPr>
          <w:rFonts w:ascii="Univers" w:eastAsia="Times New Roman" w:hAnsi="Univers" w:cs="Arial"/>
          <w:b/>
          <w:bCs/>
          <w:sz w:val="28"/>
          <w:szCs w:val="28"/>
          <w:lang w:eastAsia="es-MX"/>
        </w:rPr>
      </w:pPr>
      <w:r w:rsidRPr="00821A73">
        <w:rPr>
          <w:rFonts w:ascii="Univers" w:eastAsia="Times New Roman" w:hAnsi="Univers" w:cs="Times New Roman"/>
          <w:sz w:val="28"/>
          <w:szCs w:val="28"/>
          <w:lang w:eastAsia="es-MX"/>
        </w:rPr>
        <w:t xml:space="preserve">Lo anterior encuentra sustento en la tesis relevante </w:t>
      </w:r>
      <w:r w:rsidRPr="00821A73">
        <w:rPr>
          <w:rFonts w:ascii="Univers" w:eastAsia="Times New Roman" w:hAnsi="Univers" w:cs="Times New Roman"/>
          <w:bCs/>
          <w:sz w:val="28"/>
          <w:szCs w:val="28"/>
          <w:lang w:eastAsia="es-MX"/>
        </w:rPr>
        <w:t>S3EL 077/2002</w:t>
      </w:r>
      <w:r w:rsidRPr="00821A73">
        <w:rPr>
          <w:rFonts w:ascii="Univers" w:eastAsia="Times New Roman" w:hAnsi="Univers" w:cs="Times New Roman"/>
          <w:sz w:val="28"/>
          <w:szCs w:val="28"/>
          <w:lang w:eastAsia="es-MX"/>
        </w:rPr>
        <w:t xml:space="preserve">, consultable en la página 596 de la </w:t>
      </w:r>
      <w:r w:rsidRPr="00821A73">
        <w:rPr>
          <w:rFonts w:ascii="Univers" w:eastAsia="Times New Roman" w:hAnsi="Univers" w:cs="Times New Roman"/>
          <w:i/>
          <w:iCs/>
          <w:sz w:val="28"/>
          <w:szCs w:val="28"/>
          <w:lang w:eastAsia="es-MX"/>
        </w:rPr>
        <w:t xml:space="preserve">Compilación Oficial de Jurisprudencia y Tesis Relevantes 1997-2005, </w:t>
      </w:r>
      <w:r w:rsidRPr="00821A73">
        <w:rPr>
          <w:rFonts w:ascii="Univers" w:eastAsia="Times New Roman" w:hAnsi="Univers" w:cs="Times New Roman"/>
          <w:iCs/>
          <w:sz w:val="28"/>
          <w:szCs w:val="28"/>
          <w:lang w:eastAsia="es-MX"/>
        </w:rPr>
        <w:t xml:space="preserve">bajo el </w:t>
      </w:r>
      <w:r w:rsidRPr="00821A73">
        <w:rPr>
          <w:rFonts w:ascii="Univers" w:eastAsia="Times New Roman" w:hAnsi="Univers" w:cs="Times New Roman"/>
          <w:sz w:val="28"/>
          <w:szCs w:val="28"/>
          <w:lang w:eastAsia="es-MX"/>
        </w:rPr>
        <w:t>rubro: “</w:t>
      </w:r>
      <w:r w:rsidRPr="00821A73">
        <w:rPr>
          <w:rFonts w:ascii="Univers" w:eastAsia="Times New Roman" w:hAnsi="Univers" w:cs="Arial"/>
          <w:b/>
          <w:bCs/>
          <w:sz w:val="28"/>
          <w:szCs w:val="28"/>
          <w:lang w:eastAsia="es-MX"/>
        </w:rPr>
        <w:t xml:space="preserve">FUNDAMENTACIÓN Y </w:t>
      </w:r>
      <w:bookmarkStart w:id="6" w:name="LPHit2"/>
      <w:bookmarkEnd w:id="6"/>
      <w:r w:rsidRPr="00821A73">
        <w:rPr>
          <w:rFonts w:ascii="Univers" w:eastAsia="Times New Roman" w:hAnsi="Univers" w:cs="Arial"/>
          <w:b/>
          <w:bCs/>
          <w:sz w:val="28"/>
          <w:szCs w:val="28"/>
          <w:lang w:eastAsia="es-MX"/>
        </w:rPr>
        <w:t>MOTIVACIÓN INDEBIDA. LA TIENEN LOS ACTOS QUE DERIVAN DIRECTA E INMEDIATAMENTE DE UN ACTO U OMISIÓN QUE, A SU VEZ, ADOLECE DE INCONS</w:t>
      </w:r>
      <w:r w:rsidRPr="00821A73">
        <w:rPr>
          <w:rFonts w:ascii="Univers" w:eastAsia="Times New Roman" w:hAnsi="Univers" w:cs="Arial"/>
          <w:b/>
          <w:bCs/>
          <w:sz w:val="28"/>
          <w:szCs w:val="28"/>
          <w:lang w:eastAsia="es-MX"/>
        </w:rPr>
        <w:softHyphen/>
        <w:t xml:space="preserve">TITUCIONALIDAD O ILEGALIDAD”. </w:t>
      </w:r>
    </w:p>
    <w:p w14:paraId="6EB80425"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Es decir, al tener su motivación el decreto legislativo en comento, de un acto que como se ha demostrado carece de la debida fundamentación y motivación, la consecuencia deberá ser por tanto ilegal.</w:t>
      </w:r>
    </w:p>
    <w:p w14:paraId="2484021E"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En virtud de lo anterior, resulta claro que el Decreto 365 emitido por la Quincuagésima Novena Legislatura, impugnado por medio del presente juicio para la protección de los derechos político-electorales, adolece de la debida fundamentación  y motivación.</w:t>
      </w:r>
    </w:p>
    <w:p w14:paraId="77520A58" w14:textId="77777777" w:rsidR="00821A73" w:rsidRPr="00821A73" w:rsidRDefault="00821A73" w:rsidP="00821A73">
      <w:pPr>
        <w:widowControl w:val="0"/>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val="es-ES_tradnl" w:eastAsia="es-MX"/>
        </w:rPr>
        <w:t xml:space="preserve">Así las cosas y siendo esta Sala Superior, la autoridad jurisdiccional competente en la materia, a la cual le queda compelida la obligación de establecer debidamente el orden constitucional violado en casos determinados y restituir a los </w:t>
      </w:r>
      <w:proofErr w:type="spellStart"/>
      <w:r w:rsidRPr="00821A73">
        <w:rPr>
          <w:rFonts w:ascii="Univers" w:eastAsia="Times New Roman" w:hAnsi="Univers" w:cs="Arial"/>
          <w:sz w:val="28"/>
          <w:szCs w:val="28"/>
          <w:lang w:val="es-ES_tradnl" w:eastAsia="es-MX"/>
        </w:rPr>
        <w:t>incoantes</w:t>
      </w:r>
      <w:proofErr w:type="spellEnd"/>
      <w:r w:rsidRPr="00821A73">
        <w:rPr>
          <w:rFonts w:ascii="Univers" w:eastAsia="Times New Roman" w:hAnsi="Univers" w:cs="Arial"/>
          <w:sz w:val="28"/>
          <w:szCs w:val="28"/>
          <w:lang w:val="es-ES_tradnl" w:eastAsia="es-MX"/>
        </w:rPr>
        <w:t xml:space="preserve">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821A73">
        <w:rPr>
          <w:rFonts w:ascii="Univers" w:eastAsia="Times New Roman" w:hAnsi="Univers"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821A73">
        <w:rPr>
          <w:rFonts w:ascii="Univers" w:eastAsia="Times New Roman" w:hAnsi="Univers" w:cs="Arial"/>
          <w:i/>
          <w:sz w:val="28"/>
          <w:szCs w:val="28"/>
          <w:lang w:eastAsia="es-MX"/>
        </w:rPr>
        <w:t>Periódico Oficial del Estado de Oaxaca</w:t>
      </w:r>
      <w:r w:rsidRPr="00821A73">
        <w:rPr>
          <w:rFonts w:ascii="Univers" w:eastAsia="Times New Roman" w:hAnsi="Univers"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2163BCD2" w14:textId="77777777" w:rsidR="00821A73" w:rsidRPr="00821A73" w:rsidRDefault="00821A73" w:rsidP="00821A73">
      <w:pPr>
        <w:widowControl w:val="0"/>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 xml:space="preserve">Esto es así, en el entendido de que la designación a que se hace referencia en el artículo único de dicho decretó, respecto a la autorización de designar un nuevo representante que se haga cargo del </w:t>
      </w:r>
      <w:r w:rsidRPr="00821A73">
        <w:rPr>
          <w:rFonts w:ascii="Univers" w:eastAsia="Times New Roman" w:hAnsi="Univers" w:cs="Arial"/>
          <w:sz w:val="28"/>
          <w:szCs w:val="28"/>
          <w:lang w:eastAsia="es-MX"/>
        </w:rPr>
        <w:lastRenderedPageBreak/>
        <w:t>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y Soberano de Oaxaca, y 6, párrafo 3, de la Ley General del Sistema de Medios de Impugnación en Materia Electoral.</w:t>
      </w:r>
    </w:p>
    <w:p w14:paraId="0A4F78AB"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25D4EA53"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w:t>
      </w:r>
      <w:r w:rsidRPr="00821A73">
        <w:rPr>
          <w:rFonts w:ascii="Univers" w:eastAsia="Times New Roman" w:hAnsi="Univers" w:cs="Times New Roman"/>
          <w:sz w:val="28"/>
          <w:szCs w:val="28"/>
          <w:lang w:eastAsia="es-MX"/>
        </w:rPr>
        <w:lastRenderedPageBreak/>
        <w:t xml:space="preserve">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 lo que se deberá materializar en un acuerdo que dicte dentro del término concedido. </w:t>
      </w:r>
    </w:p>
    <w:p w14:paraId="742E4073" w14:textId="77777777" w:rsidR="00821A73" w:rsidRPr="00821A73" w:rsidRDefault="00821A73" w:rsidP="00821A73">
      <w:pPr>
        <w:keepNext/>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cualquier tipo de </w:t>
      </w:r>
      <w:proofErr w:type="spellStart"/>
      <w:r w:rsidRPr="00821A73">
        <w:rPr>
          <w:rFonts w:ascii="Univers" w:eastAsia="Times New Roman" w:hAnsi="Univers" w:cs="Times New Roman"/>
          <w:sz w:val="28"/>
          <w:szCs w:val="28"/>
          <w:lang w:eastAsia="es-MX"/>
        </w:rPr>
        <w:t>desordenes</w:t>
      </w:r>
      <w:proofErr w:type="spellEnd"/>
      <w:r w:rsidRPr="00821A73">
        <w:rPr>
          <w:rFonts w:ascii="Univers" w:eastAsia="Times New Roman" w:hAnsi="Univers" w:cs="Times New Roman"/>
          <w:sz w:val="28"/>
          <w:szCs w:val="28"/>
          <w:lang w:eastAsia="es-MX"/>
        </w:rPr>
        <w:t xml:space="preserve"> sociales al seno del municipio de </w:t>
      </w:r>
      <w:proofErr w:type="spellStart"/>
      <w:r w:rsidRPr="00821A73">
        <w:rPr>
          <w:rFonts w:ascii="Univers" w:eastAsia="Times New Roman" w:hAnsi="Univers" w:cs="Times New Roman"/>
          <w:sz w:val="28"/>
          <w:szCs w:val="28"/>
          <w:lang w:eastAsia="es-MX"/>
        </w:rPr>
        <w:t>Tanetze</w:t>
      </w:r>
      <w:proofErr w:type="spellEnd"/>
      <w:r w:rsidRPr="00821A73">
        <w:rPr>
          <w:rFonts w:ascii="Univers" w:eastAsia="Times New Roman" w:hAnsi="Univers" w:cs="Times New Roman"/>
          <w:sz w:val="28"/>
          <w:szCs w:val="28"/>
          <w:lang w:eastAsia="es-MX"/>
        </w:rPr>
        <w:t xml:space="preserve"> de Zaragoza.</w:t>
      </w:r>
    </w:p>
    <w:p w14:paraId="2D6B74DD"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Asimismo la referida autoridad electoral deberá remitir de inmediato a la Quincuagésima Novena Legislatura del Estado de 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0E6F0A25"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sz w:val="28"/>
          <w:szCs w:val="28"/>
          <w:lang w:val="es-ES_tradnl" w:eastAsia="es-MX"/>
        </w:rPr>
        <w:t xml:space="preserve">Las autoridades señalas, deberán remitir a esta Sala Superior copia certificada de las constancias relativas que demuestren el cumplimiento dado a la presente ejecutoria, en un plazo de cinco días hábiles </w:t>
      </w:r>
      <w:r w:rsidRPr="00821A73">
        <w:rPr>
          <w:rFonts w:ascii="Univers" w:eastAsia="Times New Roman" w:hAnsi="Univers" w:cs="Times New Roman"/>
          <w:sz w:val="28"/>
          <w:szCs w:val="28"/>
          <w:lang w:val="es-ES_tradnl" w:eastAsia="es-MX"/>
        </w:rPr>
        <w:lastRenderedPageBreak/>
        <w:t>contados, a partir del momento en que emitan las respectivas resoluciones.</w:t>
      </w:r>
    </w:p>
    <w:p w14:paraId="54E4E856"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Times New Roman"/>
          <w:sz w:val="28"/>
          <w:szCs w:val="28"/>
          <w:lang w:eastAsia="es-MX"/>
        </w:rPr>
        <w:t>Todo esto</w:t>
      </w:r>
      <w:r w:rsidRPr="00821A73">
        <w:rPr>
          <w:rFonts w:ascii="Univers" w:eastAsia="Times New Roman" w:hAnsi="Univers" w:cs="Arial"/>
          <w:sz w:val="28"/>
          <w:szCs w:val="28"/>
          <w:lang w:eastAsia="es-MX"/>
        </w:rPr>
        <w:t xml:space="preserve">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6CB1FC3D"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03269791" w14:textId="77777777" w:rsidR="00821A73" w:rsidRPr="00821A73" w:rsidRDefault="00821A73" w:rsidP="00821A73">
      <w:pPr>
        <w:tabs>
          <w:tab w:val="left" w:pos="-720"/>
        </w:tabs>
        <w:adjustRightInd w:val="0"/>
        <w:spacing w:before="100" w:beforeAutospacing="1" w:after="100" w:afterAutospacing="1" w:line="36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R E S U E L V E</w:t>
      </w:r>
    </w:p>
    <w:p w14:paraId="7A913C43"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b/>
          <w:sz w:val="28"/>
          <w:szCs w:val="28"/>
          <w:lang w:val="pt-BR" w:eastAsia="es-MX"/>
        </w:rPr>
        <w:t xml:space="preserve">PRIMERO. </w:t>
      </w:r>
      <w:r w:rsidRPr="00821A73">
        <w:rPr>
          <w:rFonts w:ascii="Univers" w:eastAsia="Times New Roman" w:hAnsi="Univers" w:cs="Times New Roman"/>
          <w:sz w:val="28"/>
          <w:szCs w:val="28"/>
          <w:lang w:val="es-ES_tradnl" w:eastAsia="es-MX"/>
        </w:rPr>
        <w:t>Se</w:t>
      </w:r>
      <w:r w:rsidRPr="00821A73">
        <w:rPr>
          <w:rFonts w:ascii="Univers" w:eastAsia="Times New Roman" w:hAnsi="Univers" w:cs="Times New Roman"/>
          <w:b/>
          <w:sz w:val="28"/>
          <w:szCs w:val="28"/>
          <w:lang w:val="es-ES_tradnl" w:eastAsia="es-MX"/>
        </w:rPr>
        <w:t xml:space="preserve"> REVOCA</w:t>
      </w:r>
      <w:r w:rsidRPr="00821A73">
        <w:rPr>
          <w:rFonts w:ascii="Univers" w:eastAsia="Times New Roman" w:hAnsi="Univers" w:cs="Times New Roman"/>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30C1C516"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b/>
          <w:sz w:val="28"/>
          <w:szCs w:val="28"/>
          <w:lang w:val="es-ES_tradnl" w:eastAsia="es-MX"/>
        </w:rPr>
        <w:t>SEGUNDO.</w:t>
      </w:r>
      <w:r w:rsidRPr="00821A73">
        <w:rPr>
          <w:rFonts w:ascii="Univers" w:eastAsia="Times New Roman" w:hAnsi="Univers" w:cs="Times New Roman"/>
          <w:sz w:val="28"/>
          <w:szCs w:val="28"/>
          <w:lang w:val="es-ES_tradnl" w:eastAsia="es-MX"/>
        </w:rPr>
        <w:t xml:space="preserve"> Se </w:t>
      </w:r>
      <w:r w:rsidRPr="00821A73">
        <w:rPr>
          <w:rFonts w:ascii="Univers" w:eastAsia="Times New Roman" w:hAnsi="Univers" w:cs="Times New Roman"/>
          <w:b/>
          <w:sz w:val="28"/>
          <w:szCs w:val="28"/>
          <w:lang w:val="es-ES_tradnl" w:eastAsia="es-MX"/>
        </w:rPr>
        <w:t xml:space="preserve">ORDENA </w:t>
      </w:r>
      <w:r w:rsidRPr="00821A73">
        <w:rPr>
          <w:rFonts w:ascii="Univers" w:eastAsia="Times New Roman" w:hAnsi="Univers" w:cs="Times New Roman"/>
          <w:sz w:val="28"/>
          <w:szCs w:val="28"/>
          <w:lang w:val="es-ES_tradnl" w:eastAsia="es-MX"/>
        </w:rPr>
        <w:t xml:space="preserve">a la Quincuagésima Novena Legislatura del Congreso del Estado Libre y Soberano de Oaxaca emita una nuevo </w:t>
      </w:r>
      <w:r w:rsidRPr="00821A73">
        <w:rPr>
          <w:rFonts w:ascii="Univers" w:eastAsia="Times New Roman" w:hAnsi="Univers" w:cs="Times New Roman"/>
          <w:sz w:val="28"/>
          <w:szCs w:val="28"/>
          <w:lang w:val="es-ES_tradnl" w:eastAsia="es-MX"/>
        </w:rPr>
        <w:lastRenderedPageBreak/>
        <w:t>decreto debidamente fundado y motivado, en los términos precisados en la parte final del Considerando Quinto de la presente sentencia.</w:t>
      </w:r>
    </w:p>
    <w:p w14:paraId="14B2B962"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b/>
          <w:sz w:val="28"/>
          <w:szCs w:val="28"/>
          <w:lang w:val="es-ES_tradnl" w:eastAsia="es-MX"/>
        </w:rPr>
        <w:t>TERCERO.</w:t>
      </w:r>
      <w:r w:rsidRPr="00821A73">
        <w:rPr>
          <w:rFonts w:ascii="Univers" w:eastAsia="Times New Roman" w:hAnsi="Univers" w:cs="Times New Roman"/>
          <w:sz w:val="28"/>
          <w:szCs w:val="28"/>
          <w:lang w:val="es-ES_tradnl" w:eastAsia="es-MX"/>
        </w:rPr>
        <w:t xml:space="preserve"> Se </w:t>
      </w:r>
      <w:r w:rsidRPr="00821A73">
        <w:rPr>
          <w:rFonts w:ascii="Univers" w:eastAsia="Times New Roman" w:hAnsi="Univers" w:cs="Times New Roman"/>
          <w:b/>
          <w:sz w:val="28"/>
          <w:szCs w:val="28"/>
          <w:lang w:val="es-ES_tradnl" w:eastAsia="es-MX"/>
        </w:rPr>
        <w:t>ORDENA</w:t>
      </w:r>
      <w:r w:rsidRPr="00821A73">
        <w:rPr>
          <w:rFonts w:ascii="Univers" w:eastAsia="Times New Roman" w:hAnsi="Univers" w:cs="Times New Roman"/>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w:t>
      </w:r>
      <w:proofErr w:type="spellStart"/>
      <w:r w:rsidRPr="00821A73">
        <w:rPr>
          <w:rFonts w:ascii="Univers" w:eastAsia="Times New Roman" w:hAnsi="Univers" w:cs="Times New Roman"/>
          <w:sz w:val="28"/>
          <w:szCs w:val="28"/>
          <w:lang w:val="es-ES_tradnl" w:eastAsia="es-MX"/>
        </w:rPr>
        <w:t>Tanetze</w:t>
      </w:r>
      <w:proofErr w:type="spellEnd"/>
      <w:r w:rsidRPr="00821A73">
        <w:rPr>
          <w:rFonts w:ascii="Univers" w:eastAsia="Times New Roman" w:hAnsi="Univers" w:cs="Times New Roman"/>
          <w:sz w:val="28"/>
          <w:szCs w:val="28"/>
          <w:lang w:val="es-ES_tradnl" w:eastAsia="es-MX"/>
        </w:rPr>
        <w:t xml:space="preserve"> de Zaragoza, Oaxaca, por las razones y fundamentos que se precisan en el Considerando Quinto de esta sentencia. </w:t>
      </w:r>
    </w:p>
    <w:p w14:paraId="277E96A8"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821A73">
        <w:rPr>
          <w:rFonts w:ascii="Univers" w:eastAsia="Times New Roman" w:hAnsi="Univers" w:cs="Times New Roman"/>
          <w:b/>
          <w:sz w:val="28"/>
          <w:szCs w:val="28"/>
          <w:lang w:val="es-ES_tradnl" w:eastAsia="es-MX"/>
        </w:rPr>
        <w:t>CUARTO.</w:t>
      </w:r>
      <w:r w:rsidRPr="00821A73">
        <w:rPr>
          <w:rFonts w:ascii="Univers" w:eastAsia="Times New Roman" w:hAnsi="Univers" w:cs="Times New Roman"/>
          <w:sz w:val="28"/>
          <w:szCs w:val="28"/>
          <w:lang w:val="es-ES_tradnl" w:eastAsia="es-MX"/>
        </w:rPr>
        <w:t xml:space="preserve"> Se concede a la Quincuagésima Novena Legislatura del Congreso del Estado Libre y Soberano de Oaxaca y al Consejo General 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3E666B65" w14:textId="77777777" w:rsidR="00821A73" w:rsidRPr="00821A73" w:rsidRDefault="00821A73" w:rsidP="00821A73">
      <w:pPr>
        <w:tabs>
          <w:tab w:val="left" w:pos="-720"/>
        </w:tabs>
        <w:adjustRightInd w:val="0"/>
        <w:spacing w:before="100" w:beforeAutospacing="1" w:after="100" w:afterAutospacing="1" w:line="360" w:lineRule="auto"/>
        <w:jc w:val="both"/>
        <w:rPr>
          <w:rFonts w:ascii="Univers" w:eastAsia="Times New Roman" w:hAnsi="Univers" w:cs="Arial"/>
          <w:sz w:val="28"/>
          <w:szCs w:val="28"/>
          <w:u w:val="single"/>
          <w:lang w:eastAsia="es-MX"/>
        </w:rPr>
      </w:pPr>
      <w:r w:rsidRPr="00821A73">
        <w:rPr>
          <w:rFonts w:ascii="Univers" w:eastAsia="Times New Roman" w:hAnsi="Univers" w:cs="Arial"/>
          <w:b/>
          <w:bCs/>
          <w:sz w:val="28"/>
          <w:szCs w:val="28"/>
          <w:lang w:eastAsia="es-MX"/>
        </w:rPr>
        <w:t xml:space="preserve">NOTIFÍQUESE. Personalmente </w:t>
      </w:r>
      <w:r w:rsidRPr="00821A73">
        <w:rPr>
          <w:rFonts w:ascii="Univers" w:eastAsia="Times New Roman" w:hAnsi="Univers" w:cs="Arial"/>
          <w:bCs/>
          <w:sz w:val="28"/>
          <w:szCs w:val="28"/>
          <w:lang w:eastAsia="es-MX"/>
        </w:rPr>
        <w:t xml:space="preserve">a los comparecientes, en el domicilio señalado para tal efecto, a los demás interesados </w:t>
      </w:r>
      <w:r w:rsidRPr="00821A73">
        <w:rPr>
          <w:rFonts w:ascii="Univers" w:eastAsia="Times New Roman" w:hAnsi="Univers" w:cs="Arial"/>
          <w:b/>
          <w:bCs/>
          <w:sz w:val="28"/>
          <w:szCs w:val="28"/>
          <w:lang w:eastAsia="es-MX"/>
        </w:rPr>
        <w:t>por estrados</w:t>
      </w:r>
      <w:r w:rsidRPr="00821A73">
        <w:rPr>
          <w:rFonts w:ascii="Univers" w:eastAsia="Times New Roman" w:hAnsi="Univers" w:cs="Arial"/>
          <w:bCs/>
          <w:sz w:val="28"/>
          <w:szCs w:val="28"/>
          <w:lang w:eastAsia="es-MX"/>
        </w:rPr>
        <w:t xml:space="preserve">, y </w:t>
      </w:r>
      <w:r w:rsidRPr="00821A73">
        <w:rPr>
          <w:rFonts w:ascii="Univers" w:eastAsia="Times New Roman" w:hAnsi="Univers" w:cs="Arial"/>
          <w:b/>
          <w:bCs/>
          <w:sz w:val="28"/>
          <w:szCs w:val="28"/>
          <w:lang w:eastAsia="es-MX"/>
        </w:rPr>
        <w:t>por oficio,</w:t>
      </w:r>
      <w:r w:rsidRPr="00821A73">
        <w:rPr>
          <w:rFonts w:ascii="Univers" w:eastAsia="Times New Roman" w:hAnsi="Univers"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7A32DCA7" w14:textId="77777777" w:rsidR="00821A73" w:rsidRPr="00821A73" w:rsidRDefault="00821A73" w:rsidP="00821A73">
      <w:pPr>
        <w:spacing w:before="100" w:beforeAutospacing="1" w:after="100" w:afterAutospacing="1" w:line="360" w:lineRule="auto"/>
        <w:jc w:val="both"/>
        <w:rPr>
          <w:rFonts w:ascii="Univers" w:eastAsia="Times New Roman" w:hAnsi="Univers" w:cs="Arial"/>
          <w:sz w:val="28"/>
          <w:szCs w:val="28"/>
          <w:lang w:eastAsia="es-MX"/>
        </w:rPr>
      </w:pPr>
      <w:r w:rsidRPr="00821A73">
        <w:rPr>
          <w:rFonts w:ascii="Univers" w:eastAsia="Times New Roman" w:hAnsi="Univers" w:cs="Arial"/>
          <w:sz w:val="28"/>
          <w:szCs w:val="28"/>
          <w:lang w:eastAsia="es-MX"/>
        </w:rPr>
        <w:t>Hecho lo anterior, remítase el expediente al archivo jurisdiccional, como asunto concluido.</w:t>
      </w:r>
    </w:p>
    <w:p w14:paraId="0C47E024" w14:textId="77777777" w:rsidR="00821A73" w:rsidRPr="00821A73" w:rsidRDefault="00821A73" w:rsidP="00821A73">
      <w:pPr>
        <w:spacing w:before="100" w:beforeAutospacing="1" w:after="100" w:afterAutospacing="1" w:line="360" w:lineRule="auto"/>
        <w:jc w:val="both"/>
        <w:rPr>
          <w:rFonts w:ascii="Univers" w:eastAsia="Times New Roman" w:hAnsi="Univers" w:cs="Times New Roman"/>
          <w:sz w:val="28"/>
          <w:szCs w:val="28"/>
          <w:lang w:eastAsia="es-MX"/>
        </w:rPr>
      </w:pPr>
      <w:r w:rsidRPr="00821A73">
        <w:rPr>
          <w:rFonts w:ascii="Univers" w:eastAsia="Times New Roman" w:hAnsi="Univers" w:cs="Times New Roman"/>
          <w:sz w:val="28"/>
          <w:szCs w:val="28"/>
          <w:lang w:eastAsia="es-MX"/>
        </w:rPr>
        <w:lastRenderedPageBreak/>
        <w:t>Así lo acordaron, por unanimidad de votos, los Magistrados que integran la Sala Superior del Tribunal Electoral del Poder Judicial de la Federación. La Secretaria General de Acuerdos, autoriza y da fe.</w:t>
      </w:r>
    </w:p>
    <w:p w14:paraId="3C6E8717" w14:textId="77777777" w:rsidR="00821A73" w:rsidRPr="00821A73" w:rsidRDefault="00821A73" w:rsidP="00821A73">
      <w:pPr>
        <w:widowControl w:val="0"/>
        <w:autoSpaceDE w:val="0"/>
        <w:autoSpaceDN w:val="0"/>
        <w:adjustRightInd w:val="0"/>
        <w:spacing w:after="0" w:line="240" w:lineRule="auto"/>
        <w:rPr>
          <w:rFonts w:ascii="Arial" w:eastAsia="Times New Roman" w:hAnsi="Arial" w:cs="Arial"/>
          <w:sz w:val="10"/>
          <w:szCs w:val="10"/>
          <w:lang w:eastAsia="es-MX"/>
        </w:rPr>
      </w:pPr>
    </w:p>
    <w:p w14:paraId="7741582A" w14:textId="77777777" w:rsidR="00821A73" w:rsidRPr="00821A73" w:rsidRDefault="00821A73" w:rsidP="00821A73">
      <w:pPr>
        <w:spacing w:after="0" w:line="240" w:lineRule="auto"/>
        <w:jc w:val="center"/>
        <w:rPr>
          <w:rFonts w:ascii="Univers" w:eastAsia="Times New Roman" w:hAnsi="Univers" w:cs="Arial"/>
          <w:b/>
          <w:bCs/>
          <w:sz w:val="28"/>
          <w:szCs w:val="28"/>
          <w:lang w:eastAsia="es-MX"/>
        </w:rPr>
      </w:pPr>
      <w:r w:rsidRPr="00821A73">
        <w:rPr>
          <w:rFonts w:ascii="Univers" w:eastAsia="Times New Roman" w:hAnsi="Univers" w:cs="Arial"/>
          <w:b/>
          <w:bCs/>
          <w:sz w:val="28"/>
          <w:szCs w:val="28"/>
          <w:lang w:eastAsia="es-MX"/>
        </w:rPr>
        <w:t>MAGISTRADO PRESIDENTE</w:t>
      </w:r>
    </w:p>
    <w:p w14:paraId="20E04928"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57634DC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17ABF216"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FLAVIO GALVÁN RIVERA</w:t>
      </w:r>
    </w:p>
    <w:p w14:paraId="3A72F635"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675C1C47"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53B5C581"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821A73" w:rsidRPr="00821A73" w14:paraId="167A39CA" w14:textId="77777777" w:rsidTr="005F71EE">
        <w:trPr>
          <w:jc w:val="center"/>
        </w:trPr>
        <w:tc>
          <w:tcPr>
            <w:tcW w:w="4064" w:type="dxa"/>
          </w:tcPr>
          <w:p w14:paraId="7F66CD6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MAGISTRADA</w:t>
            </w:r>
          </w:p>
          <w:p w14:paraId="25E33666"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18AAA745"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65DFCF17"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MARÍA DEL CARMEN ALANIS FIGUEROA</w:t>
            </w:r>
          </w:p>
        </w:tc>
        <w:tc>
          <w:tcPr>
            <w:tcW w:w="4065" w:type="dxa"/>
          </w:tcPr>
          <w:p w14:paraId="56189B11"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MAGISTRADO</w:t>
            </w:r>
          </w:p>
          <w:p w14:paraId="0901C2BB"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23983476"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21215302"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CONSTANCIO CARRASCO DAZA</w:t>
            </w:r>
          </w:p>
        </w:tc>
      </w:tr>
      <w:tr w:rsidR="00821A73" w:rsidRPr="00821A73" w14:paraId="45B02533" w14:textId="77777777" w:rsidTr="005F71EE">
        <w:trPr>
          <w:jc w:val="center"/>
        </w:trPr>
        <w:tc>
          <w:tcPr>
            <w:tcW w:w="4064" w:type="dxa"/>
          </w:tcPr>
          <w:p w14:paraId="6A07A77D"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42B14D96"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26FA51E7"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6C24DFA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MAGISTRADO</w:t>
            </w:r>
          </w:p>
          <w:p w14:paraId="5DA540F1"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27B942C8"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0943B55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MANUEL GONZÁLEZ OROPEZA</w:t>
            </w:r>
          </w:p>
        </w:tc>
        <w:tc>
          <w:tcPr>
            <w:tcW w:w="4065" w:type="dxa"/>
          </w:tcPr>
          <w:p w14:paraId="0590BDC6"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1CCD0F60" w14:textId="77777777" w:rsidR="00821A73" w:rsidRPr="00821A73" w:rsidRDefault="00821A73" w:rsidP="00821A73">
            <w:pPr>
              <w:widowControl w:val="0"/>
              <w:spacing w:after="0" w:line="240" w:lineRule="auto"/>
              <w:rPr>
                <w:rFonts w:ascii="Univers" w:eastAsia="Times New Roman" w:hAnsi="Univers" w:cs="Times New Roman"/>
                <w:b/>
                <w:sz w:val="28"/>
                <w:szCs w:val="28"/>
                <w:lang w:val="pt-BR" w:eastAsia="es-MX"/>
              </w:rPr>
            </w:pPr>
          </w:p>
          <w:p w14:paraId="01D3A36E" w14:textId="77777777" w:rsidR="00821A73" w:rsidRPr="00821A73" w:rsidRDefault="00821A73" w:rsidP="00821A73">
            <w:pPr>
              <w:widowControl w:val="0"/>
              <w:spacing w:after="0" w:line="240" w:lineRule="auto"/>
              <w:rPr>
                <w:rFonts w:ascii="Univers" w:eastAsia="Times New Roman" w:hAnsi="Univers" w:cs="Times New Roman"/>
                <w:b/>
                <w:sz w:val="28"/>
                <w:szCs w:val="28"/>
                <w:lang w:val="pt-BR" w:eastAsia="es-MX"/>
              </w:rPr>
            </w:pPr>
          </w:p>
          <w:p w14:paraId="2F31665D"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MAGISTRADO</w:t>
            </w:r>
          </w:p>
          <w:p w14:paraId="1530C87E"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0B8857ED"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08A1E3E3"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JOSÉ ALEJANDRO LUNA RAMOS</w:t>
            </w:r>
          </w:p>
        </w:tc>
      </w:tr>
      <w:tr w:rsidR="00821A73" w:rsidRPr="00821A73" w14:paraId="2E0C2BD4" w14:textId="77777777" w:rsidTr="005F71EE">
        <w:trPr>
          <w:jc w:val="center"/>
        </w:trPr>
        <w:tc>
          <w:tcPr>
            <w:tcW w:w="4064" w:type="dxa"/>
          </w:tcPr>
          <w:p w14:paraId="118FF60A"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5ADE8F4F"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272CB3F3" w14:textId="77777777" w:rsidR="00821A73" w:rsidRPr="00821A73" w:rsidRDefault="00821A73" w:rsidP="00821A73">
            <w:pPr>
              <w:widowControl w:val="0"/>
              <w:spacing w:after="0" w:line="240" w:lineRule="auto"/>
              <w:rPr>
                <w:rFonts w:ascii="Univers" w:eastAsia="Times New Roman" w:hAnsi="Univers" w:cs="Times New Roman"/>
                <w:b/>
                <w:sz w:val="28"/>
                <w:szCs w:val="28"/>
                <w:lang w:val="pt-BR" w:eastAsia="es-MX"/>
              </w:rPr>
            </w:pPr>
          </w:p>
          <w:p w14:paraId="79003A7B"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MAGISTRADO</w:t>
            </w:r>
          </w:p>
          <w:p w14:paraId="18D06C4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0ED6D9B4"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636A962C"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SALVADOR OLIMPO NAVA GOMAR</w:t>
            </w:r>
          </w:p>
        </w:tc>
        <w:tc>
          <w:tcPr>
            <w:tcW w:w="4065" w:type="dxa"/>
          </w:tcPr>
          <w:p w14:paraId="0B0FF047"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7D81828B" w14:textId="77777777" w:rsidR="00821A73" w:rsidRPr="00821A73" w:rsidRDefault="00821A73" w:rsidP="00821A73">
            <w:pPr>
              <w:widowControl w:val="0"/>
              <w:spacing w:after="0" w:line="240" w:lineRule="auto"/>
              <w:rPr>
                <w:rFonts w:ascii="Univers" w:eastAsia="Times New Roman" w:hAnsi="Univers" w:cs="Times New Roman"/>
                <w:b/>
                <w:sz w:val="28"/>
                <w:szCs w:val="28"/>
                <w:lang w:val="pt-BR" w:eastAsia="es-MX"/>
              </w:rPr>
            </w:pPr>
          </w:p>
          <w:p w14:paraId="6C7A1BE2" w14:textId="77777777" w:rsidR="00821A73" w:rsidRPr="00821A73" w:rsidRDefault="00821A73" w:rsidP="00821A73">
            <w:pPr>
              <w:widowControl w:val="0"/>
              <w:spacing w:after="0" w:line="240" w:lineRule="auto"/>
              <w:rPr>
                <w:rFonts w:ascii="Univers" w:eastAsia="Times New Roman" w:hAnsi="Univers" w:cs="Times New Roman"/>
                <w:b/>
                <w:sz w:val="28"/>
                <w:szCs w:val="28"/>
                <w:lang w:val="pt-BR" w:eastAsia="es-MX"/>
              </w:rPr>
            </w:pPr>
          </w:p>
          <w:p w14:paraId="238CA404"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MAGISTRADO</w:t>
            </w:r>
          </w:p>
          <w:p w14:paraId="657CEB1E"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0454CA8C"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43EB1EDF"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r w:rsidRPr="00821A73">
              <w:rPr>
                <w:rFonts w:ascii="Univers" w:eastAsia="Times New Roman" w:hAnsi="Univers" w:cs="Times New Roman"/>
                <w:b/>
                <w:sz w:val="28"/>
                <w:szCs w:val="28"/>
                <w:lang w:val="pt-BR" w:eastAsia="es-MX"/>
              </w:rPr>
              <w:t>PEDRO ESTEBAN PENAGOS LÓPEZ</w:t>
            </w:r>
          </w:p>
        </w:tc>
      </w:tr>
    </w:tbl>
    <w:p w14:paraId="23FA1D30"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4D3E849E"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val="pt-BR" w:eastAsia="es-MX"/>
        </w:rPr>
      </w:pPr>
    </w:p>
    <w:p w14:paraId="7272747E" w14:textId="77777777" w:rsidR="00821A73" w:rsidRPr="00821A73" w:rsidRDefault="00821A73" w:rsidP="00821A73">
      <w:pPr>
        <w:widowControl w:val="0"/>
        <w:spacing w:after="0" w:line="240" w:lineRule="auto"/>
        <w:jc w:val="center"/>
        <w:rPr>
          <w:rFonts w:ascii="Univers" w:eastAsia="Times New Roman" w:hAnsi="Univers" w:cs="Times New Roman"/>
          <w:b/>
          <w:sz w:val="16"/>
          <w:szCs w:val="16"/>
          <w:lang w:val="pt-BR" w:eastAsia="es-MX"/>
        </w:rPr>
      </w:pPr>
    </w:p>
    <w:p w14:paraId="2BEBF079"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SECRETARIA GENERAL DE ACUERDOS</w:t>
      </w:r>
    </w:p>
    <w:p w14:paraId="15751E9D"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4924198B"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p>
    <w:p w14:paraId="08F4BF4B" w14:textId="77777777" w:rsidR="00821A73" w:rsidRPr="00821A73" w:rsidRDefault="00821A73" w:rsidP="00821A73">
      <w:pPr>
        <w:widowControl w:val="0"/>
        <w:spacing w:after="0" w:line="240" w:lineRule="auto"/>
        <w:jc w:val="center"/>
        <w:rPr>
          <w:rFonts w:ascii="Univers" w:eastAsia="Times New Roman" w:hAnsi="Univers" w:cs="Times New Roman"/>
          <w:b/>
          <w:sz w:val="28"/>
          <w:szCs w:val="28"/>
          <w:lang w:eastAsia="es-MX"/>
        </w:rPr>
      </w:pPr>
      <w:r w:rsidRPr="00821A73">
        <w:rPr>
          <w:rFonts w:ascii="Univers" w:eastAsia="Times New Roman" w:hAnsi="Univers" w:cs="Times New Roman"/>
          <w:b/>
          <w:sz w:val="28"/>
          <w:szCs w:val="28"/>
          <w:lang w:eastAsia="es-MX"/>
        </w:rPr>
        <w:t>SILVIA GABRIELA ORTIZ RASCÓN</w:t>
      </w:r>
    </w:p>
    <w:p w14:paraId="3F983888" w14:textId="77777777" w:rsidR="009227B2" w:rsidRPr="009227B2" w:rsidRDefault="009227B2" w:rsidP="009227B2">
      <w:pPr>
        <w:rPr>
          <w:lang w:eastAsia="es-MX"/>
        </w:rPr>
      </w:pPr>
    </w:p>
    <w:p w14:paraId="05EEF172" w14:textId="3AB1543E" w:rsidR="009227B2" w:rsidRDefault="009227B2" w:rsidP="009227B2">
      <w:pPr>
        <w:rPr>
          <w:lang w:eastAsia="es-MX"/>
        </w:rPr>
      </w:pPr>
    </w:p>
    <w:p w14:paraId="3FF9A058" w14:textId="12854360" w:rsidR="009227B2" w:rsidRDefault="009227B2" w:rsidP="009227B2">
      <w:pPr>
        <w:rPr>
          <w:lang w:eastAsia="es-MX"/>
        </w:rPr>
      </w:pPr>
    </w:p>
    <w:p w14:paraId="1D766F87" w14:textId="63A1439D" w:rsidR="0036167B" w:rsidRDefault="0036167B" w:rsidP="009227B2">
      <w:pPr>
        <w:rPr>
          <w:lang w:eastAsia="es-MX"/>
        </w:rPr>
      </w:pPr>
    </w:p>
    <w:p w14:paraId="3CABD95E" w14:textId="27BEC43D" w:rsidR="0036167B" w:rsidRDefault="0036167B" w:rsidP="009227B2">
      <w:pPr>
        <w:rPr>
          <w:lang w:eastAsia="es-MX"/>
        </w:rPr>
      </w:pPr>
    </w:p>
    <w:p w14:paraId="5C7B30E0" w14:textId="7D0EDD9C" w:rsidR="0036167B" w:rsidRDefault="0036167B" w:rsidP="009227B2">
      <w:pPr>
        <w:rPr>
          <w:lang w:eastAsia="es-MX"/>
        </w:rPr>
      </w:pPr>
    </w:p>
    <w:p w14:paraId="3E589A84" w14:textId="682C82B5" w:rsidR="0036167B" w:rsidRDefault="0036167B" w:rsidP="009227B2">
      <w:pPr>
        <w:rPr>
          <w:lang w:eastAsia="es-MX"/>
        </w:rPr>
      </w:pPr>
    </w:p>
    <w:p w14:paraId="0E9F41E8" w14:textId="77777777" w:rsidR="0036167B" w:rsidRPr="009227B2" w:rsidRDefault="0036167B" w:rsidP="009227B2">
      <w:pPr>
        <w:rPr>
          <w:lang w:eastAsia="es-MX"/>
        </w:rPr>
      </w:pPr>
    </w:p>
    <w:p w14:paraId="0CB692B7" w14:textId="58554922" w:rsidR="009227B2" w:rsidRDefault="009227B2" w:rsidP="009227B2">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0" w:tgtFrame="_blank" w:history="1">
        <w:r w:rsidRPr="005C617F">
          <w:rPr>
            <w:rFonts w:ascii="Arial" w:eastAsia="Times New Roman" w:hAnsi="Arial" w:cs="Arial"/>
            <w:b/>
            <w:bCs/>
            <w:color w:val="C00000"/>
            <w:sz w:val="28"/>
            <w:szCs w:val="28"/>
            <w:lang w:eastAsia="es-MX"/>
          </w:rPr>
          <w:t>SUP-JDC-2568/2007</w:t>
        </w:r>
      </w:hyperlink>
    </w:p>
    <w:p w14:paraId="5AE37C6F" w14:textId="77777777" w:rsidR="009227B2" w:rsidRPr="009227B2" w:rsidRDefault="009227B2" w:rsidP="009227B2">
      <w:pPr>
        <w:rPr>
          <w:lang w:eastAsia="es-MX"/>
        </w:rPr>
      </w:pPr>
    </w:p>
    <w:p w14:paraId="391B2498" w14:textId="0EB02731" w:rsidR="009227B2" w:rsidRDefault="009227B2" w:rsidP="009227B2">
      <w:pPr>
        <w:rPr>
          <w:lang w:eastAsia="es-MX"/>
        </w:rPr>
      </w:pPr>
    </w:p>
    <w:tbl>
      <w:tblPr>
        <w:tblW w:w="4860" w:type="dxa"/>
        <w:jc w:val="right"/>
        <w:tblCellSpacing w:w="0" w:type="dxa"/>
        <w:tblCellMar>
          <w:top w:w="60" w:type="dxa"/>
          <w:left w:w="60" w:type="dxa"/>
          <w:bottom w:w="60" w:type="dxa"/>
          <w:right w:w="60" w:type="dxa"/>
        </w:tblCellMar>
        <w:tblLook w:val="0000" w:firstRow="0" w:lastRow="0" w:firstColumn="0" w:lastColumn="0" w:noHBand="0" w:noVBand="0"/>
      </w:tblPr>
      <w:tblGrid>
        <w:gridCol w:w="4860"/>
      </w:tblGrid>
      <w:tr w:rsidR="0036167B" w:rsidRPr="0036167B" w14:paraId="6E7ECD87" w14:textId="77777777" w:rsidTr="005F71EE">
        <w:trPr>
          <w:trHeight w:val="4800"/>
          <w:tblCellSpacing w:w="0" w:type="dxa"/>
          <w:jc w:val="right"/>
        </w:trPr>
        <w:tc>
          <w:tcPr>
            <w:tcW w:w="4860" w:type="dxa"/>
          </w:tcPr>
          <w:p w14:paraId="620F5345"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JUICIO PARA LA PROTECCIÓN DE LOS DERECHOS POLÍTICO-ELECTORALES DEL CIUDADANO</w:t>
            </w:r>
          </w:p>
          <w:p w14:paraId="00FA7B0D"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EXPEDIENTE: SUP-JDC-2568/2007</w:t>
            </w:r>
          </w:p>
          <w:p w14:paraId="244F544D"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ACTORES: JAVIER FELIPE ORTÍZ GARCÍA Y OTROS.</w:t>
            </w:r>
          </w:p>
          <w:p w14:paraId="1261D8C1"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AUTORIDADES RESPONSABLES: INSTITUTO ESTATAL ELECTORAL  Y CÁMARA DE DIPUTADOS DEL ESTADO DE OAXACA</w:t>
            </w:r>
          </w:p>
          <w:p w14:paraId="4EC52DBB"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TERCEROS INTERESADOS: FLORENCIO SORIANO RÍOS Y OTROS</w:t>
            </w:r>
          </w:p>
          <w:p w14:paraId="7D78374F"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PONENTE: CONSTANCIO CARRASCO DAZA</w:t>
            </w:r>
          </w:p>
          <w:p w14:paraId="07EEC817" w14:textId="77777777" w:rsidR="0036167B" w:rsidRPr="0036167B" w:rsidRDefault="0036167B" w:rsidP="0036167B">
            <w:pPr>
              <w:spacing w:before="100" w:beforeAutospacing="1" w:after="100" w:afterAutospacing="1" w:line="24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SECRETARIO: JOSÉ LUIS CEBALLOS DAZA</w:t>
            </w:r>
          </w:p>
        </w:tc>
      </w:tr>
    </w:tbl>
    <w:p w14:paraId="119FB692"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 xml:space="preserve">México, Distrito Federal, a veintiocho de diciembre de dos mil siete. </w:t>
      </w:r>
    </w:p>
    <w:p w14:paraId="372BC2B3"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tab/>
        <w:t>VISTOS</w:t>
      </w:r>
      <w:r w:rsidRPr="0036167B">
        <w:rPr>
          <w:rFonts w:ascii="Arial" w:eastAsia="Times New Roman" w:hAnsi="Arial" w:cs="Arial"/>
          <w:sz w:val="28"/>
          <w:szCs w:val="28"/>
          <w:lang w:val="es-ES" w:eastAsia="es-ES"/>
        </w:rPr>
        <w:t xml:space="preserve"> para resolver los autos del expediente SUP-JDC-2568/2007, relativo al juicio para la protección de los derechos político-electorales del ciudadano, promovido por Javier Felipe Ortiz García, Adelfo Cándido Soriano Ortiz, Jaime Bernardino Ortiz Aragón, Fidencio </w:t>
      </w:r>
      <w:proofErr w:type="spellStart"/>
      <w:r w:rsidRPr="0036167B">
        <w:rPr>
          <w:rFonts w:ascii="Arial" w:eastAsia="Times New Roman" w:hAnsi="Arial" w:cs="Arial"/>
          <w:sz w:val="28"/>
          <w:szCs w:val="28"/>
          <w:lang w:val="es-ES" w:eastAsia="es-ES"/>
        </w:rPr>
        <w:t>Arellanes</w:t>
      </w:r>
      <w:proofErr w:type="spellEnd"/>
      <w:r w:rsidRPr="0036167B">
        <w:rPr>
          <w:rFonts w:ascii="Arial" w:eastAsia="Times New Roman" w:hAnsi="Arial" w:cs="Arial"/>
          <w:sz w:val="28"/>
          <w:szCs w:val="28"/>
          <w:lang w:val="es-ES" w:eastAsia="es-ES"/>
        </w:rPr>
        <w:t xml:space="preserve"> Pérez, Froilán Soriano </w:t>
      </w:r>
      <w:proofErr w:type="spellStart"/>
      <w:r w:rsidRPr="0036167B">
        <w:rPr>
          <w:rFonts w:ascii="Arial" w:eastAsia="Times New Roman" w:hAnsi="Arial" w:cs="Arial"/>
          <w:sz w:val="28"/>
          <w:szCs w:val="28"/>
          <w:lang w:val="es-ES" w:eastAsia="es-ES"/>
        </w:rPr>
        <w:t>Soriano</w:t>
      </w:r>
      <w:proofErr w:type="spellEnd"/>
      <w:r w:rsidRPr="0036167B">
        <w:rPr>
          <w:rFonts w:ascii="Arial" w:eastAsia="Times New Roman" w:hAnsi="Arial" w:cs="Arial"/>
          <w:sz w:val="28"/>
          <w:szCs w:val="28"/>
          <w:lang w:val="es-ES" w:eastAsia="es-ES"/>
        </w:rPr>
        <w:t xml:space="preserve">, Pedro Hernández Soriano, Isaías Soriano Ventura, Orlando Omar Pérez Soriano, Mario García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Joel Cortés Ríos, Gaudencio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Bravo y Francisco Reyes Jiménez, contra el decreto número 7, de la Sexagésima Legislatura del Congreso del Estado de Oaxaca, mediante el cual, declaró constitucional y calificó como legalmente válida la elección de concejales por el régimen de normas de derecho consuetudinario, del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así como la entrega de constancias de mayoría y validez a quienes fueron electos el siete de octubre de dos mil siete; y</w:t>
      </w:r>
    </w:p>
    <w:p w14:paraId="24D927B1" w14:textId="77777777" w:rsidR="0036167B" w:rsidRPr="0036167B" w:rsidRDefault="0036167B" w:rsidP="0036167B">
      <w:pPr>
        <w:spacing w:before="480" w:after="100" w:afterAutospacing="1" w:line="480" w:lineRule="auto"/>
        <w:jc w:val="center"/>
        <w:rPr>
          <w:rFonts w:ascii="Arial" w:eastAsia="Times New Roman" w:hAnsi="Arial" w:cs="Arial"/>
          <w:b/>
          <w:bCs/>
          <w:sz w:val="28"/>
          <w:szCs w:val="28"/>
          <w:lang w:val="pt-BR" w:eastAsia="es-ES"/>
        </w:rPr>
      </w:pPr>
      <w:bookmarkStart w:id="7" w:name="resultando"/>
      <w:r w:rsidRPr="0036167B">
        <w:rPr>
          <w:rFonts w:ascii="Arial" w:eastAsia="Times New Roman" w:hAnsi="Arial" w:cs="Arial"/>
          <w:b/>
          <w:bCs/>
          <w:sz w:val="28"/>
          <w:szCs w:val="28"/>
          <w:lang w:val="pt-BR" w:eastAsia="es-ES"/>
        </w:rPr>
        <w:t>R E S U L T A N D O:</w:t>
      </w:r>
      <w:bookmarkEnd w:id="7"/>
    </w:p>
    <w:p w14:paraId="39D482E6"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b/>
          <w:bCs/>
          <w:sz w:val="28"/>
          <w:szCs w:val="28"/>
          <w:lang w:val="pt-BR" w:eastAsia="es-ES"/>
        </w:rPr>
        <w:lastRenderedPageBreak/>
        <w:tab/>
      </w:r>
      <w:r w:rsidRPr="0036167B">
        <w:rPr>
          <w:rFonts w:ascii="Arial" w:eastAsia="Times New Roman" w:hAnsi="Arial" w:cs="Arial"/>
          <w:b/>
          <w:bCs/>
          <w:sz w:val="28"/>
          <w:szCs w:val="28"/>
          <w:lang w:val="es-ES" w:eastAsia="es-ES"/>
        </w:rPr>
        <w:t>I.</w:t>
      </w:r>
      <w:r w:rsidRPr="0036167B">
        <w:rPr>
          <w:rFonts w:ascii="Arial" w:eastAsia="Times New Roman" w:hAnsi="Arial" w:cs="Arial"/>
          <w:sz w:val="28"/>
          <w:szCs w:val="28"/>
          <w:lang w:val="es-ES" w:eastAsia="es-ES"/>
        </w:rPr>
        <w:t xml:space="preserve"> </w:t>
      </w:r>
      <w:r w:rsidRPr="0036167B">
        <w:rPr>
          <w:rFonts w:ascii="Arial" w:eastAsia="Times New Roman" w:hAnsi="Arial" w:cs="Arial"/>
          <w:b/>
          <w:sz w:val="28"/>
          <w:szCs w:val="28"/>
          <w:lang w:val="es-ES" w:eastAsia="es-ES"/>
        </w:rPr>
        <w:t xml:space="preserve">Decreto para convocar a elecciones. </w:t>
      </w:r>
      <w:r w:rsidRPr="0036167B">
        <w:rPr>
          <w:rFonts w:ascii="Arial" w:eastAsia="Times New Roman" w:hAnsi="Arial" w:cs="Arial"/>
          <w:sz w:val="28"/>
          <w:szCs w:val="28"/>
          <w:lang w:val="es-ES" w:eastAsia="es-ES"/>
        </w:rPr>
        <w:t xml:space="preserve">La Sexagésima Legislatura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consuetudinario podrían celebrar sus elecciones en la fecha, hora y lugar que estimaren las propias comunidades, pero debiendo tomar posesión quienes resultasen electos, </w:t>
      </w:r>
      <w:r w:rsidRPr="0036167B">
        <w:rPr>
          <w:rFonts w:ascii="Arial" w:eastAsia="Times New Roman" w:hAnsi="Arial" w:cs="Arial"/>
          <w:b/>
          <w:sz w:val="28"/>
          <w:szCs w:val="28"/>
          <w:lang w:val="es-ES" w:eastAsia="es-ES"/>
        </w:rPr>
        <w:t>el uno de enero de dos mil ocho.</w:t>
      </w:r>
    </w:p>
    <w:p w14:paraId="28AE83FA"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sz w:val="28"/>
          <w:szCs w:val="28"/>
          <w:lang w:val="es-ES" w:eastAsia="es-ES"/>
        </w:rPr>
        <w:tab/>
        <w:t>II. Asamblea general comunitaria.</w:t>
      </w:r>
      <w:r w:rsidRPr="0036167B">
        <w:rPr>
          <w:rFonts w:ascii="Arial" w:eastAsia="Times New Roman" w:hAnsi="Arial" w:cs="Arial"/>
          <w:sz w:val="28"/>
          <w:szCs w:val="28"/>
          <w:lang w:val="es-ES" w:eastAsia="es-ES"/>
        </w:rPr>
        <w:t xml:space="preserve"> El siete de noviembre de dos mil siete, tuvo verificativo asamblea general convocada por las autoridades municipales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xml:space="preserve"> Oaxaca.</w:t>
      </w:r>
    </w:p>
    <w:p w14:paraId="4A09E02B"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En dicha asamblea se eligieron para ocupar cargos dentro del citado municipio, a las siguientes personas: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36167B" w:rsidRPr="0036167B" w14:paraId="17D675B4" w14:textId="77777777" w:rsidTr="005F71EE">
        <w:tc>
          <w:tcPr>
            <w:tcW w:w="4064" w:type="dxa"/>
            <w:shd w:val="clear" w:color="auto" w:fill="E6E6E6"/>
          </w:tcPr>
          <w:p w14:paraId="77E99CFF" w14:textId="77777777" w:rsidR="0036167B" w:rsidRPr="0036167B" w:rsidRDefault="0036167B" w:rsidP="0036167B">
            <w:pPr>
              <w:spacing w:before="100" w:beforeAutospacing="1" w:after="100" w:afterAutospacing="1" w:line="480" w:lineRule="auto"/>
              <w:jc w:val="center"/>
              <w:rPr>
                <w:rFonts w:ascii="Arial" w:eastAsia="Times New Roman" w:hAnsi="Arial" w:cs="Arial"/>
                <w:b/>
                <w:sz w:val="28"/>
                <w:szCs w:val="28"/>
                <w:lang w:val="es-ES" w:eastAsia="es-ES"/>
              </w:rPr>
            </w:pPr>
            <w:r w:rsidRPr="0036167B">
              <w:rPr>
                <w:rFonts w:ascii="Arial" w:eastAsia="Times New Roman" w:hAnsi="Arial" w:cs="Arial"/>
                <w:b/>
                <w:sz w:val="28"/>
                <w:szCs w:val="28"/>
                <w:lang w:val="es-ES" w:eastAsia="es-ES"/>
              </w:rPr>
              <w:t>Nombre</w:t>
            </w:r>
          </w:p>
        </w:tc>
        <w:tc>
          <w:tcPr>
            <w:tcW w:w="4065" w:type="dxa"/>
            <w:shd w:val="clear" w:color="auto" w:fill="E6E6E6"/>
          </w:tcPr>
          <w:p w14:paraId="5838D87F" w14:textId="77777777" w:rsidR="0036167B" w:rsidRPr="0036167B" w:rsidRDefault="0036167B" w:rsidP="0036167B">
            <w:pPr>
              <w:spacing w:before="100" w:beforeAutospacing="1" w:after="100" w:afterAutospacing="1" w:line="480" w:lineRule="auto"/>
              <w:jc w:val="center"/>
              <w:rPr>
                <w:rFonts w:ascii="Arial" w:eastAsia="Times New Roman" w:hAnsi="Arial" w:cs="Arial"/>
                <w:b/>
                <w:sz w:val="28"/>
                <w:szCs w:val="28"/>
                <w:lang w:val="es-ES" w:eastAsia="es-ES"/>
              </w:rPr>
            </w:pPr>
            <w:r w:rsidRPr="0036167B">
              <w:rPr>
                <w:rFonts w:ascii="Arial" w:eastAsia="Times New Roman" w:hAnsi="Arial" w:cs="Arial"/>
                <w:b/>
                <w:sz w:val="28"/>
                <w:szCs w:val="28"/>
                <w:lang w:val="es-ES" w:eastAsia="es-ES"/>
              </w:rPr>
              <w:t>Cargo</w:t>
            </w:r>
          </w:p>
        </w:tc>
      </w:tr>
      <w:tr w:rsidR="0036167B" w:rsidRPr="0036167B" w14:paraId="69023881" w14:textId="77777777" w:rsidTr="005F71EE">
        <w:tc>
          <w:tcPr>
            <w:tcW w:w="4064" w:type="dxa"/>
            <w:shd w:val="clear" w:color="auto" w:fill="auto"/>
          </w:tcPr>
          <w:p w14:paraId="196E2DA5"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Florencio Soriano </w:t>
            </w:r>
            <w:proofErr w:type="spellStart"/>
            <w:r w:rsidRPr="0036167B">
              <w:rPr>
                <w:rFonts w:ascii="Arial" w:eastAsia="Times New Roman" w:hAnsi="Arial" w:cs="Arial"/>
                <w:sz w:val="28"/>
                <w:szCs w:val="28"/>
                <w:lang w:val="es-ES" w:eastAsia="es-ES"/>
              </w:rPr>
              <w:t>Rios</w:t>
            </w:r>
            <w:proofErr w:type="spellEnd"/>
          </w:p>
        </w:tc>
        <w:tc>
          <w:tcPr>
            <w:tcW w:w="4065" w:type="dxa"/>
            <w:shd w:val="clear" w:color="auto" w:fill="auto"/>
          </w:tcPr>
          <w:p w14:paraId="32D9CFB6"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Presidente Municipal</w:t>
            </w:r>
          </w:p>
        </w:tc>
      </w:tr>
      <w:tr w:rsidR="0036167B" w:rsidRPr="0036167B" w14:paraId="03BCAAD0" w14:textId="77777777" w:rsidTr="005F71EE">
        <w:tc>
          <w:tcPr>
            <w:tcW w:w="4064" w:type="dxa"/>
            <w:shd w:val="clear" w:color="auto" w:fill="auto"/>
          </w:tcPr>
          <w:p w14:paraId="153EA055"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José Ventura Juárez</w:t>
            </w:r>
          </w:p>
        </w:tc>
        <w:tc>
          <w:tcPr>
            <w:tcW w:w="4065" w:type="dxa"/>
            <w:shd w:val="clear" w:color="auto" w:fill="auto"/>
          </w:tcPr>
          <w:p w14:paraId="1E998CD6"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Presidente Municipal</w:t>
            </w:r>
          </w:p>
        </w:tc>
      </w:tr>
      <w:tr w:rsidR="0036167B" w:rsidRPr="0036167B" w14:paraId="6E203BB8" w14:textId="77777777" w:rsidTr="005F71EE">
        <w:tc>
          <w:tcPr>
            <w:tcW w:w="4064" w:type="dxa"/>
            <w:shd w:val="clear" w:color="auto" w:fill="auto"/>
          </w:tcPr>
          <w:p w14:paraId="77F1A275"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proofErr w:type="spellStart"/>
            <w:r w:rsidRPr="0036167B">
              <w:rPr>
                <w:rFonts w:ascii="Arial" w:eastAsia="Times New Roman" w:hAnsi="Arial" w:cs="Arial"/>
                <w:sz w:val="28"/>
                <w:szCs w:val="28"/>
                <w:lang w:val="es-ES" w:eastAsia="es-ES"/>
              </w:rPr>
              <w:lastRenderedPageBreak/>
              <w:t>Grimoaldo</w:t>
            </w:r>
            <w:proofErr w:type="spellEnd"/>
            <w:r w:rsidRPr="0036167B">
              <w:rPr>
                <w:rFonts w:ascii="Arial" w:eastAsia="Times New Roman" w:hAnsi="Arial" w:cs="Arial"/>
                <w:sz w:val="28"/>
                <w:szCs w:val="28"/>
                <w:lang w:val="es-ES" w:eastAsia="es-ES"/>
              </w:rPr>
              <w:t xml:space="preserve"> Raúl Cortés Martínez</w:t>
            </w:r>
          </w:p>
        </w:tc>
        <w:tc>
          <w:tcPr>
            <w:tcW w:w="4065" w:type="dxa"/>
            <w:shd w:val="clear" w:color="auto" w:fill="auto"/>
          </w:tcPr>
          <w:p w14:paraId="0BF26BDA"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Síndico Municipal</w:t>
            </w:r>
          </w:p>
        </w:tc>
      </w:tr>
      <w:tr w:rsidR="0036167B" w:rsidRPr="0036167B" w14:paraId="3C00AAB0" w14:textId="77777777" w:rsidTr="005F71EE">
        <w:tc>
          <w:tcPr>
            <w:tcW w:w="4064" w:type="dxa"/>
            <w:shd w:val="clear" w:color="auto" w:fill="auto"/>
          </w:tcPr>
          <w:p w14:paraId="65A00484"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Benjamín Elorza Ramírez</w:t>
            </w:r>
          </w:p>
        </w:tc>
        <w:tc>
          <w:tcPr>
            <w:tcW w:w="4065" w:type="dxa"/>
            <w:shd w:val="clear" w:color="auto" w:fill="auto"/>
          </w:tcPr>
          <w:p w14:paraId="46DA33C3"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Síndico Municipal</w:t>
            </w:r>
          </w:p>
        </w:tc>
      </w:tr>
      <w:tr w:rsidR="0036167B" w:rsidRPr="0036167B" w14:paraId="39554A07" w14:textId="77777777" w:rsidTr="005F71EE">
        <w:tc>
          <w:tcPr>
            <w:tcW w:w="4064" w:type="dxa"/>
            <w:shd w:val="clear" w:color="auto" w:fill="auto"/>
          </w:tcPr>
          <w:p w14:paraId="00A0FC88"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Benito Adán Reyes Jiménez</w:t>
            </w:r>
          </w:p>
        </w:tc>
        <w:tc>
          <w:tcPr>
            <w:tcW w:w="4065" w:type="dxa"/>
            <w:shd w:val="clear" w:color="auto" w:fill="auto"/>
          </w:tcPr>
          <w:p w14:paraId="3B0491AC"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Hacienda</w:t>
            </w:r>
          </w:p>
        </w:tc>
      </w:tr>
      <w:tr w:rsidR="0036167B" w:rsidRPr="0036167B" w14:paraId="0FA11693" w14:textId="77777777" w:rsidTr="005F71EE">
        <w:tc>
          <w:tcPr>
            <w:tcW w:w="4064" w:type="dxa"/>
            <w:shd w:val="clear" w:color="auto" w:fill="auto"/>
          </w:tcPr>
          <w:p w14:paraId="1805CBFB"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Francisco Bravo Reyes</w:t>
            </w:r>
          </w:p>
        </w:tc>
        <w:tc>
          <w:tcPr>
            <w:tcW w:w="4065" w:type="dxa"/>
            <w:shd w:val="clear" w:color="auto" w:fill="auto"/>
          </w:tcPr>
          <w:p w14:paraId="316F2311"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regidor de Hacienda</w:t>
            </w:r>
          </w:p>
        </w:tc>
      </w:tr>
      <w:tr w:rsidR="0036167B" w:rsidRPr="0036167B" w14:paraId="01A6FB3F" w14:textId="77777777" w:rsidTr="005F71EE">
        <w:tc>
          <w:tcPr>
            <w:tcW w:w="4064" w:type="dxa"/>
            <w:shd w:val="clear" w:color="auto" w:fill="auto"/>
          </w:tcPr>
          <w:p w14:paraId="31EBBF40"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Gaudencio Cortés </w:t>
            </w:r>
            <w:proofErr w:type="spellStart"/>
            <w:r w:rsidRPr="0036167B">
              <w:rPr>
                <w:rFonts w:ascii="Arial" w:eastAsia="Times New Roman" w:hAnsi="Arial" w:cs="Arial"/>
                <w:sz w:val="28"/>
                <w:szCs w:val="28"/>
                <w:lang w:val="es-ES" w:eastAsia="es-ES"/>
              </w:rPr>
              <w:t>Rios</w:t>
            </w:r>
            <w:proofErr w:type="spellEnd"/>
          </w:p>
        </w:tc>
        <w:tc>
          <w:tcPr>
            <w:tcW w:w="4065" w:type="dxa"/>
            <w:shd w:val="clear" w:color="auto" w:fill="auto"/>
          </w:tcPr>
          <w:p w14:paraId="3C14B66B"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Obras</w:t>
            </w:r>
          </w:p>
        </w:tc>
      </w:tr>
      <w:tr w:rsidR="0036167B" w:rsidRPr="0036167B" w14:paraId="043D9BE5" w14:textId="77777777" w:rsidTr="005F71EE">
        <w:tc>
          <w:tcPr>
            <w:tcW w:w="4064" w:type="dxa"/>
            <w:shd w:val="clear" w:color="auto" w:fill="auto"/>
          </w:tcPr>
          <w:p w14:paraId="7E01413A"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Arturo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Martínez</w:t>
            </w:r>
          </w:p>
        </w:tc>
        <w:tc>
          <w:tcPr>
            <w:tcW w:w="4065" w:type="dxa"/>
            <w:shd w:val="clear" w:color="auto" w:fill="auto"/>
          </w:tcPr>
          <w:p w14:paraId="113047C2"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pt-BR" w:eastAsia="es-ES"/>
              </w:rPr>
            </w:pPr>
            <w:r w:rsidRPr="0036167B">
              <w:rPr>
                <w:rFonts w:ascii="Arial" w:eastAsia="Times New Roman" w:hAnsi="Arial" w:cs="Arial"/>
                <w:sz w:val="28"/>
                <w:szCs w:val="28"/>
                <w:lang w:val="pt-BR" w:eastAsia="es-ES"/>
              </w:rPr>
              <w:t xml:space="preserve">Suplente de </w:t>
            </w:r>
            <w:proofErr w:type="spellStart"/>
            <w:r w:rsidRPr="0036167B">
              <w:rPr>
                <w:rFonts w:ascii="Arial" w:eastAsia="Times New Roman" w:hAnsi="Arial" w:cs="Arial"/>
                <w:sz w:val="28"/>
                <w:szCs w:val="28"/>
                <w:lang w:val="pt-BR" w:eastAsia="es-ES"/>
              </w:rPr>
              <w:t>Regidor</w:t>
            </w:r>
            <w:proofErr w:type="spellEnd"/>
            <w:r w:rsidRPr="0036167B">
              <w:rPr>
                <w:rFonts w:ascii="Arial" w:eastAsia="Times New Roman" w:hAnsi="Arial" w:cs="Arial"/>
                <w:sz w:val="28"/>
                <w:szCs w:val="28"/>
                <w:lang w:val="pt-BR" w:eastAsia="es-ES"/>
              </w:rPr>
              <w:t xml:space="preserve"> de Obras</w:t>
            </w:r>
          </w:p>
        </w:tc>
      </w:tr>
      <w:tr w:rsidR="0036167B" w:rsidRPr="0036167B" w14:paraId="4F416DF8" w14:textId="77777777" w:rsidTr="005F71EE">
        <w:tc>
          <w:tcPr>
            <w:tcW w:w="4064" w:type="dxa"/>
            <w:shd w:val="clear" w:color="auto" w:fill="auto"/>
          </w:tcPr>
          <w:p w14:paraId="4A925F6E"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Jerónimo Juárez Soriano</w:t>
            </w:r>
          </w:p>
        </w:tc>
        <w:tc>
          <w:tcPr>
            <w:tcW w:w="4065" w:type="dxa"/>
            <w:shd w:val="clear" w:color="auto" w:fill="auto"/>
          </w:tcPr>
          <w:p w14:paraId="6C63E47D"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Policía</w:t>
            </w:r>
          </w:p>
        </w:tc>
      </w:tr>
      <w:tr w:rsidR="0036167B" w:rsidRPr="0036167B" w14:paraId="68C2DA67" w14:textId="77777777" w:rsidTr="005F71EE">
        <w:tc>
          <w:tcPr>
            <w:tcW w:w="4064" w:type="dxa"/>
            <w:shd w:val="clear" w:color="auto" w:fill="auto"/>
          </w:tcPr>
          <w:p w14:paraId="1C24A5ED"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Rodolfo Cortés </w:t>
            </w:r>
            <w:proofErr w:type="spellStart"/>
            <w:r w:rsidRPr="0036167B">
              <w:rPr>
                <w:rFonts w:ascii="Arial" w:eastAsia="Times New Roman" w:hAnsi="Arial" w:cs="Arial"/>
                <w:sz w:val="28"/>
                <w:szCs w:val="28"/>
                <w:lang w:val="es-ES" w:eastAsia="es-ES"/>
              </w:rPr>
              <w:t>Rios</w:t>
            </w:r>
            <w:proofErr w:type="spellEnd"/>
          </w:p>
        </w:tc>
        <w:tc>
          <w:tcPr>
            <w:tcW w:w="4065" w:type="dxa"/>
            <w:shd w:val="clear" w:color="auto" w:fill="auto"/>
          </w:tcPr>
          <w:p w14:paraId="44FE3EFA"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Regidor de Policía</w:t>
            </w:r>
          </w:p>
        </w:tc>
      </w:tr>
      <w:tr w:rsidR="0036167B" w:rsidRPr="0036167B" w14:paraId="17E21F0B" w14:textId="77777777" w:rsidTr="005F71EE">
        <w:tc>
          <w:tcPr>
            <w:tcW w:w="4064" w:type="dxa"/>
            <w:shd w:val="clear" w:color="auto" w:fill="auto"/>
          </w:tcPr>
          <w:p w14:paraId="16419C9A"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Pánfilo Hilario Vásquez Santana</w:t>
            </w:r>
          </w:p>
        </w:tc>
        <w:tc>
          <w:tcPr>
            <w:tcW w:w="4065" w:type="dxa"/>
            <w:shd w:val="clear" w:color="auto" w:fill="auto"/>
          </w:tcPr>
          <w:p w14:paraId="6E218B19"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Salud</w:t>
            </w:r>
          </w:p>
        </w:tc>
      </w:tr>
      <w:tr w:rsidR="0036167B" w:rsidRPr="0036167B" w14:paraId="4DAAAA41" w14:textId="77777777" w:rsidTr="005F71EE">
        <w:tc>
          <w:tcPr>
            <w:tcW w:w="4064" w:type="dxa"/>
            <w:shd w:val="clear" w:color="auto" w:fill="auto"/>
          </w:tcPr>
          <w:p w14:paraId="58CD9E45"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Fernando García Soriano</w:t>
            </w:r>
          </w:p>
        </w:tc>
        <w:tc>
          <w:tcPr>
            <w:tcW w:w="4065" w:type="dxa"/>
            <w:shd w:val="clear" w:color="auto" w:fill="auto"/>
          </w:tcPr>
          <w:p w14:paraId="633D9C86"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Regidor de Salud</w:t>
            </w:r>
          </w:p>
        </w:tc>
      </w:tr>
      <w:tr w:rsidR="0036167B" w:rsidRPr="0036167B" w14:paraId="6F72F2C7" w14:textId="77777777" w:rsidTr="005F71EE">
        <w:tc>
          <w:tcPr>
            <w:tcW w:w="4064" w:type="dxa"/>
            <w:shd w:val="clear" w:color="auto" w:fill="auto"/>
          </w:tcPr>
          <w:p w14:paraId="275256D5"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Juvencio Martínez Soriano</w:t>
            </w:r>
          </w:p>
        </w:tc>
        <w:tc>
          <w:tcPr>
            <w:tcW w:w="4065" w:type="dxa"/>
            <w:shd w:val="clear" w:color="auto" w:fill="auto"/>
          </w:tcPr>
          <w:p w14:paraId="1CD9ED57"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Educación</w:t>
            </w:r>
          </w:p>
        </w:tc>
      </w:tr>
      <w:tr w:rsidR="0036167B" w:rsidRPr="0036167B" w14:paraId="1929AF8B" w14:textId="77777777" w:rsidTr="005F71EE">
        <w:tc>
          <w:tcPr>
            <w:tcW w:w="4064" w:type="dxa"/>
            <w:shd w:val="clear" w:color="auto" w:fill="auto"/>
          </w:tcPr>
          <w:p w14:paraId="27D8A3C5"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Lucio Felipe soriano García</w:t>
            </w:r>
          </w:p>
        </w:tc>
        <w:tc>
          <w:tcPr>
            <w:tcW w:w="4065" w:type="dxa"/>
            <w:shd w:val="clear" w:color="auto" w:fill="auto"/>
          </w:tcPr>
          <w:p w14:paraId="3D0F9090"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Regidor de Educación</w:t>
            </w:r>
          </w:p>
        </w:tc>
      </w:tr>
      <w:tr w:rsidR="0036167B" w:rsidRPr="0036167B" w14:paraId="7B9052F8" w14:textId="77777777" w:rsidTr="005F71EE">
        <w:tc>
          <w:tcPr>
            <w:tcW w:w="4064" w:type="dxa"/>
            <w:shd w:val="clear" w:color="auto" w:fill="auto"/>
          </w:tcPr>
          <w:p w14:paraId="6F40290E"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Herminio </w:t>
            </w:r>
            <w:proofErr w:type="spellStart"/>
            <w:r w:rsidRPr="0036167B">
              <w:rPr>
                <w:rFonts w:ascii="Arial" w:eastAsia="Times New Roman" w:hAnsi="Arial" w:cs="Arial"/>
                <w:sz w:val="28"/>
                <w:szCs w:val="28"/>
                <w:lang w:val="es-ES" w:eastAsia="es-ES"/>
              </w:rPr>
              <w:t>Rios</w:t>
            </w:r>
            <w:proofErr w:type="spellEnd"/>
          </w:p>
        </w:tc>
        <w:tc>
          <w:tcPr>
            <w:tcW w:w="4065" w:type="dxa"/>
            <w:shd w:val="clear" w:color="auto" w:fill="auto"/>
          </w:tcPr>
          <w:p w14:paraId="0B73FBD2"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Ecología</w:t>
            </w:r>
          </w:p>
        </w:tc>
      </w:tr>
      <w:tr w:rsidR="0036167B" w:rsidRPr="0036167B" w14:paraId="2F794C28" w14:textId="77777777" w:rsidTr="005F71EE">
        <w:tc>
          <w:tcPr>
            <w:tcW w:w="4064" w:type="dxa"/>
            <w:shd w:val="clear" w:color="auto" w:fill="auto"/>
          </w:tcPr>
          <w:p w14:paraId="6ACBF053"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Eugenio Cruz García</w:t>
            </w:r>
          </w:p>
        </w:tc>
        <w:tc>
          <w:tcPr>
            <w:tcW w:w="4065" w:type="dxa"/>
            <w:shd w:val="clear" w:color="auto" w:fill="auto"/>
          </w:tcPr>
          <w:p w14:paraId="2CCF8049"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Suplente de Regidor de Ecología</w:t>
            </w:r>
          </w:p>
        </w:tc>
      </w:tr>
      <w:tr w:rsidR="0036167B" w:rsidRPr="0036167B" w14:paraId="6E9F1443" w14:textId="77777777" w:rsidTr="005F71EE">
        <w:tc>
          <w:tcPr>
            <w:tcW w:w="4064" w:type="dxa"/>
            <w:shd w:val="clear" w:color="auto" w:fill="auto"/>
          </w:tcPr>
          <w:p w14:paraId="5B6B79FD"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Rubén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Martínez</w:t>
            </w:r>
          </w:p>
        </w:tc>
        <w:tc>
          <w:tcPr>
            <w:tcW w:w="4065" w:type="dxa"/>
            <w:shd w:val="clear" w:color="auto" w:fill="auto"/>
          </w:tcPr>
          <w:p w14:paraId="4533C87C"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Regidor de Deportes</w:t>
            </w:r>
          </w:p>
        </w:tc>
      </w:tr>
      <w:tr w:rsidR="0036167B" w:rsidRPr="0036167B" w14:paraId="56D6EECE" w14:textId="77777777" w:rsidTr="005F71EE">
        <w:tc>
          <w:tcPr>
            <w:tcW w:w="4064" w:type="dxa"/>
            <w:shd w:val="clear" w:color="auto" w:fill="auto"/>
          </w:tcPr>
          <w:p w14:paraId="67D938A9" w14:textId="77777777" w:rsidR="0036167B" w:rsidRPr="0036167B" w:rsidRDefault="0036167B" w:rsidP="0036167B">
            <w:pPr>
              <w:spacing w:before="100" w:beforeAutospacing="1" w:after="100" w:afterAutospacing="1" w:line="480" w:lineRule="auto"/>
              <w:jc w:val="center"/>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Cándido Soriano Cruz</w:t>
            </w:r>
          </w:p>
        </w:tc>
        <w:tc>
          <w:tcPr>
            <w:tcW w:w="4065" w:type="dxa"/>
            <w:shd w:val="clear" w:color="auto" w:fill="auto"/>
          </w:tcPr>
          <w:p w14:paraId="135FA202" w14:textId="77777777" w:rsidR="0036167B" w:rsidRPr="0036167B" w:rsidRDefault="0036167B" w:rsidP="0036167B">
            <w:pPr>
              <w:spacing w:before="100" w:beforeAutospacing="1" w:after="100" w:afterAutospacing="1" w:line="240" w:lineRule="auto"/>
              <w:jc w:val="center"/>
              <w:rPr>
                <w:rFonts w:ascii="Arial" w:eastAsia="Times New Roman" w:hAnsi="Arial" w:cs="Arial"/>
                <w:sz w:val="28"/>
                <w:szCs w:val="28"/>
                <w:lang w:val="pt-BR" w:eastAsia="es-ES"/>
              </w:rPr>
            </w:pPr>
            <w:r w:rsidRPr="0036167B">
              <w:rPr>
                <w:rFonts w:ascii="Arial" w:eastAsia="Times New Roman" w:hAnsi="Arial" w:cs="Arial"/>
                <w:sz w:val="28"/>
                <w:szCs w:val="28"/>
                <w:lang w:val="pt-BR" w:eastAsia="es-ES"/>
              </w:rPr>
              <w:t xml:space="preserve">Suplente de </w:t>
            </w:r>
            <w:proofErr w:type="spellStart"/>
            <w:r w:rsidRPr="0036167B">
              <w:rPr>
                <w:rFonts w:ascii="Arial" w:eastAsia="Times New Roman" w:hAnsi="Arial" w:cs="Arial"/>
                <w:sz w:val="28"/>
                <w:szCs w:val="28"/>
                <w:lang w:val="pt-BR" w:eastAsia="es-ES"/>
              </w:rPr>
              <w:t>Regidor</w:t>
            </w:r>
            <w:proofErr w:type="spellEnd"/>
            <w:r w:rsidRPr="0036167B">
              <w:rPr>
                <w:rFonts w:ascii="Arial" w:eastAsia="Times New Roman" w:hAnsi="Arial" w:cs="Arial"/>
                <w:sz w:val="28"/>
                <w:szCs w:val="28"/>
                <w:lang w:val="pt-BR" w:eastAsia="es-ES"/>
              </w:rPr>
              <w:t xml:space="preserve"> de Deportes</w:t>
            </w:r>
          </w:p>
        </w:tc>
      </w:tr>
    </w:tbl>
    <w:p w14:paraId="0E944B00"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pt-BR" w:eastAsia="es-ES"/>
        </w:rPr>
        <w:tab/>
      </w:r>
      <w:r w:rsidRPr="0036167B">
        <w:rPr>
          <w:rFonts w:ascii="Arial" w:eastAsia="Times New Roman" w:hAnsi="Arial" w:cs="Arial"/>
          <w:b/>
          <w:sz w:val="28"/>
          <w:szCs w:val="28"/>
          <w:lang w:val="es-ES" w:eastAsia="es-ES"/>
        </w:rPr>
        <w:t xml:space="preserve">III. Declaración de validez de la elección de concejales municipales efectuada por el Consejo General del Instituto Electora de Oaxaca. </w:t>
      </w:r>
      <w:r w:rsidRPr="0036167B">
        <w:rPr>
          <w:rFonts w:ascii="Arial" w:eastAsia="Times New Roman" w:hAnsi="Arial" w:cs="Arial"/>
          <w:sz w:val="28"/>
          <w:szCs w:val="28"/>
          <w:lang w:val="es-ES" w:eastAsia="es-ES"/>
        </w:rPr>
        <w:t xml:space="preserve">El seis de noviembre de dos mil siete, el Consejo del </w:t>
      </w:r>
      <w:r w:rsidRPr="0036167B">
        <w:rPr>
          <w:rFonts w:ascii="Arial" w:eastAsia="Times New Roman" w:hAnsi="Arial" w:cs="Arial"/>
          <w:sz w:val="28"/>
          <w:szCs w:val="28"/>
          <w:lang w:val="es-ES" w:eastAsia="es-ES"/>
        </w:rPr>
        <w:lastRenderedPageBreak/>
        <w:t xml:space="preserve">Instituto Electoral de Oaxaca, emitió acuerdo por el que declaró la validez, entre otros, del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y ordenó la expedición de las constancias de mayoría y validez respectivas.</w:t>
      </w:r>
    </w:p>
    <w:p w14:paraId="6A0E03A2" w14:textId="77777777" w:rsidR="0036167B" w:rsidRPr="0036167B" w:rsidRDefault="0036167B" w:rsidP="0036167B">
      <w:pPr>
        <w:spacing w:before="480" w:after="100" w:afterAutospacing="1" w:line="480" w:lineRule="auto"/>
        <w:ind w:firstLine="708"/>
        <w:jc w:val="both"/>
        <w:rPr>
          <w:rFonts w:ascii="Arial" w:eastAsia="Times New Roman" w:hAnsi="Arial" w:cs="Arial"/>
          <w:sz w:val="28"/>
          <w:szCs w:val="28"/>
          <w:lang w:val="es-ES" w:eastAsia="es-ES"/>
        </w:rPr>
      </w:pPr>
      <w:r w:rsidRPr="0036167B">
        <w:rPr>
          <w:rFonts w:ascii="Arial" w:eastAsia="Times New Roman" w:hAnsi="Arial" w:cs="Arial"/>
          <w:b/>
          <w:sz w:val="28"/>
          <w:szCs w:val="28"/>
          <w:lang w:val="es-ES" w:eastAsia="es-ES"/>
        </w:rPr>
        <w:t xml:space="preserve">IV. Validación de la elección de concejales municipales. </w:t>
      </w:r>
      <w:r w:rsidRPr="0036167B">
        <w:rPr>
          <w:rFonts w:ascii="Arial" w:eastAsia="Times New Roman" w:hAnsi="Arial" w:cs="Arial"/>
          <w:sz w:val="28"/>
          <w:szCs w:val="28"/>
          <w:lang w:val="es-ES" w:eastAsia="es-ES"/>
        </w:rPr>
        <w:t>El once de diciembre de dos mil siete, la Sexagésima Legislatura Constitucional, por decreto número 7, declaró constitucionales y calificó legalmente válidas las elecciones celebradas en ciento ochenta y cuatro municipios del Estado.</w:t>
      </w:r>
    </w:p>
    <w:p w14:paraId="36AE466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En cuanto al Ayuntamiento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xml:space="preserve">, Oaxaca, se validó y ratificó la elección de concejales </w:t>
      </w:r>
      <w:r w:rsidRPr="0036167B">
        <w:rPr>
          <w:rFonts w:ascii="Arial" w:eastAsia="Times New Roman" w:hAnsi="Arial" w:cs="Arial"/>
          <w:b/>
          <w:sz w:val="28"/>
          <w:szCs w:val="28"/>
          <w:lang w:val="es-ES" w:eastAsia="es-ES"/>
        </w:rPr>
        <w:t>de siete de octubre de dos mil siete</w:t>
      </w:r>
      <w:r w:rsidRPr="0036167B">
        <w:rPr>
          <w:rFonts w:ascii="Arial" w:eastAsia="Times New Roman" w:hAnsi="Arial" w:cs="Arial"/>
          <w:sz w:val="28"/>
          <w:szCs w:val="28"/>
          <w:lang w:val="es-ES" w:eastAsia="es-ES"/>
        </w:rPr>
        <w:t>.</w:t>
      </w:r>
    </w:p>
    <w:p w14:paraId="56CEB9A0"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r>
      <w:r w:rsidRPr="0036167B">
        <w:rPr>
          <w:rFonts w:ascii="Arial" w:eastAsia="Times New Roman" w:hAnsi="Arial" w:cs="Arial"/>
          <w:b/>
          <w:sz w:val="28"/>
          <w:szCs w:val="28"/>
          <w:lang w:val="es-ES" w:eastAsia="es-ES"/>
        </w:rPr>
        <w:t xml:space="preserve">V. Juicio para la protección de los derechos político-electorales del ciudadano. </w:t>
      </w:r>
      <w:r w:rsidRPr="0036167B">
        <w:rPr>
          <w:rFonts w:ascii="Arial" w:eastAsia="Times New Roman" w:hAnsi="Arial" w:cs="Arial"/>
          <w:sz w:val="28"/>
          <w:szCs w:val="28"/>
          <w:lang w:val="es-ES" w:eastAsia="es-ES"/>
        </w:rPr>
        <w:t xml:space="preserve">El diecisiete de diciembre de dos mil siete, Javier Felipe Ortiz García, Adelfo Cándido Soriano Ortiz, Jaime Bernardino Ortiz Aragón, Fidencio </w:t>
      </w:r>
      <w:proofErr w:type="spellStart"/>
      <w:r w:rsidRPr="0036167B">
        <w:rPr>
          <w:rFonts w:ascii="Arial" w:eastAsia="Times New Roman" w:hAnsi="Arial" w:cs="Arial"/>
          <w:sz w:val="28"/>
          <w:szCs w:val="28"/>
          <w:lang w:val="es-ES" w:eastAsia="es-ES"/>
        </w:rPr>
        <w:t>Arellanes</w:t>
      </w:r>
      <w:proofErr w:type="spellEnd"/>
      <w:r w:rsidRPr="0036167B">
        <w:rPr>
          <w:rFonts w:ascii="Arial" w:eastAsia="Times New Roman" w:hAnsi="Arial" w:cs="Arial"/>
          <w:sz w:val="28"/>
          <w:szCs w:val="28"/>
          <w:lang w:val="es-ES" w:eastAsia="es-ES"/>
        </w:rPr>
        <w:t xml:space="preserve"> Pérez, Froilán Soriano </w:t>
      </w:r>
      <w:proofErr w:type="spellStart"/>
      <w:r w:rsidRPr="0036167B">
        <w:rPr>
          <w:rFonts w:ascii="Arial" w:eastAsia="Times New Roman" w:hAnsi="Arial" w:cs="Arial"/>
          <w:sz w:val="28"/>
          <w:szCs w:val="28"/>
          <w:lang w:val="es-ES" w:eastAsia="es-ES"/>
        </w:rPr>
        <w:t>Soriano</w:t>
      </w:r>
      <w:proofErr w:type="spellEnd"/>
      <w:r w:rsidRPr="0036167B">
        <w:rPr>
          <w:rFonts w:ascii="Arial" w:eastAsia="Times New Roman" w:hAnsi="Arial" w:cs="Arial"/>
          <w:sz w:val="28"/>
          <w:szCs w:val="28"/>
          <w:lang w:val="es-ES" w:eastAsia="es-ES"/>
        </w:rPr>
        <w:t xml:space="preserve">, Pedro Hernández Soriano, Isaías Soriano Ventura, Orlando Omar Pérez Soriano, Mario García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Joel Cortés Ríos, Gaudencio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Bravo y Francisco Reyes Jiménez, promovieron juicio para la </w:t>
      </w:r>
      <w:r w:rsidRPr="0036167B">
        <w:rPr>
          <w:rFonts w:ascii="Arial" w:eastAsia="Times New Roman" w:hAnsi="Arial" w:cs="Arial"/>
          <w:sz w:val="28"/>
          <w:szCs w:val="28"/>
          <w:lang w:val="es-ES" w:eastAsia="es-ES"/>
        </w:rPr>
        <w:lastRenderedPageBreak/>
        <w:t>protección de los derechos político-electorales del ciudadano contra la resolución precisada en el punto que antecede.</w:t>
      </w:r>
    </w:p>
    <w:p w14:paraId="53B4066A" w14:textId="77777777" w:rsidR="0036167B" w:rsidRPr="0036167B" w:rsidRDefault="0036167B" w:rsidP="0036167B">
      <w:pPr>
        <w:spacing w:before="480" w:after="100" w:afterAutospacing="1" w:line="48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ab/>
        <w:t xml:space="preserve">VI. Terceros interesados. </w:t>
      </w:r>
      <w:r w:rsidRPr="0036167B">
        <w:rPr>
          <w:rFonts w:ascii="Arial" w:eastAsia="Times New Roman" w:hAnsi="Arial" w:cs="Arial"/>
          <w:bCs/>
          <w:sz w:val="28"/>
          <w:szCs w:val="28"/>
          <w:lang w:val="es-ES" w:eastAsia="es-ES"/>
        </w:rPr>
        <w:t xml:space="preserve">El veintiuno de diciembre de dos mil siete, se apersonaron Florencio Soriano Ríos, </w:t>
      </w:r>
      <w:proofErr w:type="spellStart"/>
      <w:r w:rsidRPr="0036167B">
        <w:rPr>
          <w:rFonts w:ascii="Arial" w:eastAsia="Times New Roman" w:hAnsi="Arial" w:cs="Arial"/>
          <w:bCs/>
          <w:sz w:val="28"/>
          <w:szCs w:val="28"/>
          <w:lang w:val="es-ES" w:eastAsia="es-ES"/>
        </w:rPr>
        <w:t>Grimaldo</w:t>
      </w:r>
      <w:proofErr w:type="spellEnd"/>
      <w:r w:rsidRPr="0036167B">
        <w:rPr>
          <w:rFonts w:ascii="Arial" w:eastAsia="Times New Roman" w:hAnsi="Arial" w:cs="Arial"/>
          <w:bCs/>
          <w:sz w:val="28"/>
          <w:szCs w:val="28"/>
          <w:lang w:val="es-ES" w:eastAsia="es-ES"/>
        </w:rPr>
        <w:t xml:space="preserve"> R. Cortés Martínez, Benito Adán Reyes Jiménez, Gaudencio Cortés Ríos, Jerónimo Juárez Soriano, Pánfilo Hilario Vásquez Santana, Juvencio Martínez Soriano, Herminio Ríos, Rubén </w:t>
      </w:r>
      <w:proofErr w:type="spellStart"/>
      <w:r w:rsidRPr="0036167B">
        <w:rPr>
          <w:rFonts w:ascii="Arial" w:eastAsia="Times New Roman" w:hAnsi="Arial" w:cs="Arial"/>
          <w:bCs/>
          <w:sz w:val="28"/>
          <w:szCs w:val="28"/>
          <w:lang w:val="es-ES" w:eastAsia="es-ES"/>
        </w:rPr>
        <w:t>Gopar</w:t>
      </w:r>
      <w:proofErr w:type="spellEnd"/>
      <w:r w:rsidRPr="0036167B">
        <w:rPr>
          <w:rFonts w:ascii="Arial" w:eastAsia="Times New Roman" w:hAnsi="Arial" w:cs="Arial"/>
          <w:bCs/>
          <w:sz w:val="28"/>
          <w:szCs w:val="28"/>
          <w:lang w:val="es-ES" w:eastAsia="es-ES"/>
        </w:rPr>
        <w:t xml:space="preserve"> Martínez, José Ventura Juárez, Benjamín Elorza Ramírez, Francisco Bravo Reyes, Arturo </w:t>
      </w:r>
      <w:proofErr w:type="spellStart"/>
      <w:r w:rsidRPr="0036167B">
        <w:rPr>
          <w:rFonts w:ascii="Arial" w:eastAsia="Times New Roman" w:hAnsi="Arial" w:cs="Arial"/>
          <w:bCs/>
          <w:sz w:val="28"/>
          <w:szCs w:val="28"/>
          <w:lang w:val="es-ES" w:eastAsia="es-ES"/>
        </w:rPr>
        <w:t>Gopar</w:t>
      </w:r>
      <w:proofErr w:type="spellEnd"/>
      <w:r w:rsidRPr="0036167B">
        <w:rPr>
          <w:rFonts w:ascii="Arial" w:eastAsia="Times New Roman" w:hAnsi="Arial" w:cs="Arial"/>
          <w:bCs/>
          <w:sz w:val="28"/>
          <w:szCs w:val="28"/>
          <w:lang w:val="es-ES" w:eastAsia="es-ES"/>
        </w:rPr>
        <w:t xml:space="preserve"> Martínez, Rodolfo Cortés </w:t>
      </w:r>
      <w:proofErr w:type="spellStart"/>
      <w:r w:rsidRPr="0036167B">
        <w:rPr>
          <w:rFonts w:ascii="Arial" w:eastAsia="Times New Roman" w:hAnsi="Arial" w:cs="Arial"/>
          <w:bCs/>
          <w:sz w:val="28"/>
          <w:szCs w:val="28"/>
          <w:lang w:val="es-ES" w:eastAsia="es-ES"/>
        </w:rPr>
        <w:t>Rios</w:t>
      </w:r>
      <w:proofErr w:type="spellEnd"/>
      <w:r w:rsidRPr="0036167B">
        <w:rPr>
          <w:rFonts w:ascii="Arial" w:eastAsia="Times New Roman" w:hAnsi="Arial" w:cs="Arial"/>
          <w:bCs/>
          <w:sz w:val="28"/>
          <w:szCs w:val="28"/>
          <w:lang w:val="es-ES" w:eastAsia="es-ES"/>
        </w:rPr>
        <w:t>, Fernando García Soriano, Lucio Felipe Soriano García, Eugenio Cruz García y Cándido Soriano Cruz, quienes se ostentaron como terceros interesados, y manifestaron lo que su derecho convino.</w:t>
      </w:r>
    </w:p>
    <w:p w14:paraId="3C6701CD"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tab/>
        <w:t xml:space="preserve">VII. Substanciación del juicio. </w:t>
      </w:r>
      <w:r w:rsidRPr="0036167B">
        <w:rPr>
          <w:rFonts w:ascii="Arial" w:eastAsia="Times New Roman" w:hAnsi="Arial" w:cs="Arial"/>
          <w:sz w:val="28"/>
          <w:szCs w:val="28"/>
          <w:lang w:val="es-ES" w:eastAsia="es-ES"/>
        </w:rPr>
        <w:t>Recibidas que fueron las constancias, el veinte del mismo mes y año, la Magistrada Presidenta del Tribunal Electoral del Poder Judicial de la Federación acordó integrar el expediente SUP-JDC-2568/2007, así como turnarlo a la ponencia del Magistrado Constancio Carrasco Daza.</w:t>
      </w:r>
    </w:p>
    <w:p w14:paraId="56BCE186"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lastRenderedPageBreak/>
        <w:tab/>
      </w:r>
      <w:bookmarkStart w:id="8" w:name="considerando"/>
      <w:r w:rsidRPr="0036167B">
        <w:rPr>
          <w:rFonts w:ascii="Arial" w:eastAsia="Times New Roman" w:hAnsi="Arial" w:cs="Arial"/>
          <w:b/>
          <w:sz w:val="28"/>
          <w:szCs w:val="28"/>
          <w:lang w:val="es-ES" w:eastAsia="es-ES"/>
        </w:rPr>
        <w:t xml:space="preserve">VIII. Cierre de instrucción. </w:t>
      </w:r>
      <w:r w:rsidRPr="0036167B">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2724B988" w14:textId="77777777" w:rsidR="0036167B" w:rsidRPr="0036167B" w:rsidRDefault="0036167B" w:rsidP="0036167B">
      <w:pPr>
        <w:spacing w:before="100" w:beforeAutospacing="1" w:after="100" w:afterAutospacing="1" w:line="480" w:lineRule="auto"/>
        <w:jc w:val="center"/>
        <w:rPr>
          <w:rFonts w:ascii="Arial" w:eastAsia="Times New Roman" w:hAnsi="Arial" w:cs="Arial"/>
          <w:b/>
          <w:bCs/>
          <w:sz w:val="28"/>
          <w:szCs w:val="28"/>
          <w:lang w:val="pt-BR" w:eastAsia="es-ES"/>
        </w:rPr>
      </w:pPr>
    </w:p>
    <w:p w14:paraId="46EE66CE" w14:textId="77777777" w:rsidR="0036167B" w:rsidRPr="0036167B" w:rsidRDefault="0036167B" w:rsidP="0036167B">
      <w:pPr>
        <w:spacing w:before="480" w:after="100" w:afterAutospacing="1" w:line="480" w:lineRule="auto"/>
        <w:jc w:val="center"/>
        <w:rPr>
          <w:rFonts w:ascii="Arial" w:eastAsia="Times New Roman" w:hAnsi="Arial" w:cs="Arial"/>
          <w:b/>
          <w:bCs/>
          <w:sz w:val="28"/>
          <w:szCs w:val="28"/>
          <w:lang w:val="pt-BR" w:eastAsia="es-ES"/>
        </w:rPr>
      </w:pPr>
      <w:r w:rsidRPr="0036167B">
        <w:rPr>
          <w:rFonts w:ascii="Arial" w:eastAsia="Times New Roman" w:hAnsi="Arial" w:cs="Arial"/>
          <w:b/>
          <w:bCs/>
          <w:sz w:val="28"/>
          <w:szCs w:val="28"/>
          <w:lang w:val="pt-BR" w:eastAsia="es-ES"/>
        </w:rPr>
        <w:t>C O N S I D E R A N D O:</w:t>
      </w:r>
      <w:bookmarkEnd w:id="8"/>
    </w:p>
    <w:p w14:paraId="42EAC2DB"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pt-BR" w:eastAsia="es-ES"/>
        </w:rPr>
        <w:tab/>
      </w:r>
      <w:r w:rsidRPr="0036167B">
        <w:rPr>
          <w:rFonts w:ascii="Arial" w:eastAsia="Times New Roman" w:hAnsi="Arial" w:cs="Arial"/>
          <w:b/>
          <w:bCs/>
          <w:sz w:val="28"/>
          <w:szCs w:val="28"/>
          <w:lang w:val="es-ES" w:eastAsia="es-ES"/>
        </w:rPr>
        <w:t>PRIMERO. Jurisdicción y Competencia.</w:t>
      </w:r>
      <w:r w:rsidRPr="0036167B">
        <w:rPr>
          <w:rFonts w:ascii="Arial" w:eastAsia="Times New Roman" w:hAnsi="Arial" w:cs="Arial"/>
          <w:sz w:val="28"/>
          <w:szCs w:val="28"/>
          <w:lang w:val="es-ES" w:eastAsia="es-ES"/>
        </w:rPr>
        <w:t xml:space="preserve"> Esta Sala Superior del Tribunal Electoral del Poder Judicial de la Federación es competente para conocer y resolver el presente juicio para la protección de los derechos político-electorales del ciudadano, de conformidad con lo dispuesto en los artículos 99, fracción V, de la Constitución Política de los Estados Unidos Mexicanos; 184, 186, fracción III, inciso c), 189, fracción I, inciso f), y 199, fracciones II, III y VI, de la Ley Orgánica del Poder Judicial de la Federación, así como 83, párrafo 1, inciso b), de la Ley General del Sistema de Medios de Impugnación en Materia Electoral, por haber sido promovido por ciudadanos, que controvierten un acto proveniente de un ente formalmente legislativo, en ejercicio de </w:t>
      </w:r>
      <w:r w:rsidRPr="0036167B">
        <w:rPr>
          <w:rFonts w:ascii="Arial" w:eastAsia="Times New Roman" w:hAnsi="Arial" w:cs="Arial"/>
          <w:sz w:val="28"/>
          <w:szCs w:val="28"/>
          <w:lang w:val="es-ES" w:eastAsia="es-ES"/>
        </w:rPr>
        <w:lastRenderedPageBreak/>
        <w:t xml:space="preserve">funciones materialmente administrativas, por estar erigido como colegio electoral; determinación que es susceptible de ser combatida en la presente vía, dada la potestad que asiste a esta Sala Superior de reparar el orden constitucional a efecto de restituir a los </w:t>
      </w:r>
      <w:proofErr w:type="spellStart"/>
      <w:r w:rsidRPr="0036167B">
        <w:rPr>
          <w:rFonts w:ascii="Arial" w:eastAsia="Times New Roman" w:hAnsi="Arial" w:cs="Arial"/>
          <w:sz w:val="28"/>
          <w:szCs w:val="28"/>
          <w:lang w:val="es-ES" w:eastAsia="es-ES"/>
        </w:rPr>
        <w:t>promoventes</w:t>
      </w:r>
      <w:proofErr w:type="spellEnd"/>
      <w:r w:rsidRPr="0036167B">
        <w:rPr>
          <w:rFonts w:ascii="Arial" w:eastAsia="Times New Roman" w:hAnsi="Arial" w:cs="Arial"/>
          <w:sz w:val="28"/>
          <w:szCs w:val="28"/>
          <w:lang w:val="es-ES" w:eastAsia="es-ES"/>
        </w:rPr>
        <w:t xml:space="preserve"> en el uso y goce de sus derechos político-electorales que aleguen violados.</w:t>
      </w:r>
    </w:p>
    <w:p w14:paraId="4342131E" w14:textId="77777777" w:rsidR="0036167B" w:rsidRPr="0036167B" w:rsidRDefault="0036167B" w:rsidP="0036167B">
      <w:pPr>
        <w:spacing w:before="480" w:after="100" w:afterAutospacing="1" w:line="480" w:lineRule="auto"/>
        <w:jc w:val="both"/>
        <w:rPr>
          <w:rFonts w:ascii="Arial" w:eastAsia="Times New Roman" w:hAnsi="Arial" w:cs="Arial"/>
          <w:b/>
          <w:i/>
          <w:sz w:val="28"/>
          <w:szCs w:val="28"/>
          <w:lang w:val="es-ES" w:eastAsia="es-ES"/>
        </w:rPr>
      </w:pPr>
      <w:r w:rsidRPr="0036167B">
        <w:rPr>
          <w:rFonts w:ascii="Arial" w:eastAsia="Times New Roman" w:hAnsi="Arial" w:cs="Arial"/>
          <w:sz w:val="28"/>
          <w:szCs w:val="28"/>
          <w:lang w:val="es-ES" w:eastAsia="es-ES"/>
        </w:rPr>
        <w:tab/>
        <w:t xml:space="preserve">Sirve de apoyo la tesis aislada S3EL 144/2002, de la Tercera Época, consultable en la Compilación Oficial de Jurisprudencia y Tesis Relevantes 1997-2005, páginas 961-962, cuyo rubro es el siguiente: </w:t>
      </w:r>
      <w:r w:rsidRPr="0036167B">
        <w:rPr>
          <w:rFonts w:ascii="Arial" w:eastAsia="Times New Roman" w:hAnsi="Arial" w:cs="Arial"/>
          <w:b/>
          <w:sz w:val="28"/>
          <w:szCs w:val="28"/>
          <w:lang w:val="es-ES" w:eastAsia="es-ES"/>
        </w:rPr>
        <w:t>“USOS Y COSTUMBRES INDÍGENAS. EFECTOS DE LAS SENTENCIAS DICTADAS POR EL TRIBUNAL ELECTORAL DEL PODER JUDICIAL DE LA FEDERACIÓN, CUANDO SE TRATA DE ACTOS MATERIALMENTE ADMINISTRATIVOS DE CARÁCTER ELECTORAL DE UN CONGRESO ESTATAL”</w:t>
      </w:r>
    </w:p>
    <w:p w14:paraId="58E42B48" w14:textId="77777777" w:rsidR="0036167B" w:rsidRPr="0036167B" w:rsidRDefault="0036167B" w:rsidP="0036167B">
      <w:pPr>
        <w:spacing w:before="480" w:after="100" w:afterAutospacing="1" w:line="480" w:lineRule="auto"/>
        <w:jc w:val="both"/>
        <w:rPr>
          <w:rFonts w:ascii="Arial" w:eastAsia="Times New Roman" w:hAnsi="Arial" w:cs="Arial"/>
          <w:b/>
          <w:bCs/>
          <w:sz w:val="28"/>
          <w:szCs w:val="28"/>
          <w:lang w:val="es-ES" w:eastAsia="es-ES"/>
        </w:rPr>
      </w:pPr>
      <w:r w:rsidRPr="0036167B">
        <w:rPr>
          <w:rFonts w:ascii="Arial" w:eastAsia="Times New Roman" w:hAnsi="Arial" w:cs="Arial"/>
          <w:b/>
          <w:bCs/>
          <w:sz w:val="28"/>
          <w:szCs w:val="28"/>
          <w:lang w:val="es-ES" w:eastAsia="es-ES"/>
        </w:rPr>
        <w:tab/>
        <w:t xml:space="preserve">SEGUNDO. Causas de improcedencia invocadas por la autoridad responsable. </w:t>
      </w:r>
    </w:p>
    <w:p w14:paraId="445D4AA3"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Cs/>
          <w:sz w:val="28"/>
          <w:szCs w:val="28"/>
          <w:lang w:val="es-ES" w:eastAsia="es-ES"/>
        </w:rPr>
        <w:tab/>
      </w:r>
      <w:r w:rsidRPr="0036167B">
        <w:rPr>
          <w:rFonts w:ascii="Arial" w:eastAsia="Times New Roman" w:hAnsi="Arial" w:cs="Arial"/>
          <w:b/>
          <w:bCs/>
          <w:sz w:val="28"/>
          <w:szCs w:val="28"/>
          <w:lang w:val="es-ES" w:eastAsia="es-ES"/>
        </w:rPr>
        <w:t xml:space="preserve">I. Falta de legitimación. </w:t>
      </w:r>
      <w:r w:rsidRPr="0036167B">
        <w:rPr>
          <w:rFonts w:ascii="Arial" w:eastAsia="Times New Roman" w:hAnsi="Arial" w:cs="Arial"/>
          <w:bCs/>
          <w:sz w:val="28"/>
          <w:szCs w:val="28"/>
          <w:lang w:val="es-ES" w:eastAsia="es-ES"/>
        </w:rPr>
        <w:t xml:space="preserve">La autoridad responsable sostiene que si bien los actores promueven su demanda en forma conjunta, no </w:t>
      </w:r>
      <w:r w:rsidRPr="0036167B">
        <w:rPr>
          <w:rFonts w:ascii="Arial" w:eastAsia="Times New Roman" w:hAnsi="Arial" w:cs="Arial"/>
          <w:bCs/>
          <w:sz w:val="28"/>
          <w:szCs w:val="28"/>
          <w:lang w:val="es-ES" w:eastAsia="es-ES"/>
        </w:rPr>
        <w:lastRenderedPageBreak/>
        <w:t xml:space="preserve">acompañan al escrito de demanda algún documento que acredite su calidad específica de ciudadanos del municipio de San Nicolás, </w:t>
      </w:r>
      <w:proofErr w:type="spellStart"/>
      <w:r w:rsidRPr="0036167B">
        <w:rPr>
          <w:rFonts w:ascii="Arial" w:eastAsia="Times New Roman" w:hAnsi="Arial" w:cs="Arial"/>
          <w:bCs/>
          <w:sz w:val="28"/>
          <w:szCs w:val="28"/>
          <w:lang w:val="es-ES" w:eastAsia="es-ES"/>
        </w:rPr>
        <w:t>Miahuatlán</w:t>
      </w:r>
      <w:proofErr w:type="spellEnd"/>
      <w:r w:rsidRPr="0036167B">
        <w:rPr>
          <w:rFonts w:ascii="Arial" w:eastAsia="Times New Roman" w:hAnsi="Arial" w:cs="Arial"/>
          <w:bCs/>
          <w:sz w:val="28"/>
          <w:szCs w:val="28"/>
          <w:lang w:val="es-ES" w:eastAsia="es-ES"/>
        </w:rPr>
        <w:t>, Oaxaca, ni como ciudadanos de esa entidad federativa.</w:t>
      </w:r>
    </w:p>
    <w:p w14:paraId="4A05351E"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w:t>
      </w:r>
      <w:proofErr w:type="spellStart"/>
      <w:r w:rsidRPr="0036167B">
        <w:rPr>
          <w:rFonts w:ascii="Arial" w:eastAsia="Times New Roman" w:hAnsi="Arial" w:cs="Arial"/>
          <w:bCs/>
          <w:sz w:val="28"/>
          <w:szCs w:val="28"/>
          <w:lang w:val="es-ES" w:eastAsia="es-ES"/>
        </w:rPr>
        <w:t>inejercitabilidad</w:t>
      </w:r>
      <w:proofErr w:type="spellEnd"/>
      <w:r w:rsidRPr="0036167B">
        <w:rPr>
          <w:rFonts w:ascii="Arial" w:eastAsia="Times New Roman" w:hAnsi="Arial" w:cs="Arial"/>
          <w:bCs/>
          <w:sz w:val="28"/>
          <w:szCs w:val="28"/>
          <w:lang w:val="es-ES" w:eastAsia="es-ES"/>
        </w:rPr>
        <w:t xml:space="preserve"> prevista por el artículo 10, incisos b) y c), con relación al numeral 12, inciso a), de la Ley General del Sistema de Medios de Impugnación en Materia Electoral. </w:t>
      </w:r>
    </w:p>
    <w:p w14:paraId="44D39AF0"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Cs/>
          <w:sz w:val="28"/>
          <w:szCs w:val="28"/>
          <w:lang w:val="es-ES" w:eastAsia="es-ES"/>
        </w:rPr>
        <w:tab/>
        <w:t>Para dar respuesta al anterior planteamiento de improcedencia, es conveniente tomar en consideración lo siguiente:</w:t>
      </w:r>
    </w:p>
    <w:p w14:paraId="04EBB74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Cs/>
          <w:sz w:val="28"/>
          <w:szCs w:val="28"/>
          <w:lang w:val="es-ES" w:eastAsia="es-ES"/>
        </w:rPr>
        <w:tab/>
      </w:r>
      <w:r w:rsidRPr="0036167B">
        <w:rPr>
          <w:rFonts w:ascii="Arial" w:eastAsia="Times New Roman" w:hAnsi="Arial" w:cs="Arial"/>
          <w:sz w:val="28"/>
          <w:szCs w:val="28"/>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36167B">
        <w:rPr>
          <w:rFonts w:ascii="Arial" w:eastAsia="Times New Roman" w:hAnsi="Arial" w:cs="Arial"/>
          <w:iCs/>
          <w:sz w:val="28"/>
          <w:szCs w:val="28"/>
          <w:lang w:val="es-ES" w:eastAsia="es-ES"/>
        </w:rPr>
        <w:t>Convenio Sobre Pueblos Indígenas y Tribales, 1989</w:t>
      </w:r>
      <w:r w:rsidRPr="0036167B">
        <w:rPr>
          <w:rFonts w:ascii="Arial" w:eastAsia="Times New Roman" w:hAnsi="Arial" w:cs="Arial"/>
          <w:sz w:val="28"/>
          <w:szCs w:val="28"/>
          <w:lang w:val="es-ES" w:eastAsia="es-ES"/>
        </w:rPr>
        <w:t>, y 1°, apartado 1 de la Convención Americana sobre Derechos Humanos conduce a sostener, que en los juicios para la protección de los derechos político-</w:t>
      </w:r>
      <w:r w:rsidRPr="0036167B">
        <w:rPr>
          <w:rFonts w:ascii="Arial" w:eastAsia="Times New Roman" w:hAnsi="Arial" w:cs="Arial"/>
          <w:sz w:val="28"/>
          <w:szCs w:val="28"/>
          <w:lang w:val="es-ES" w:eastAsia="es-ES"/>
        </w:rPr>
        <w:lastRenderedPageBreak/>
        <w:t>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la Sala Superior del Tribunal Electoral del Poder Judicial de la Federación tiene la posibilidad no solamente de suplir la deficiencia en los motivos de inconformidad, en términos del artículo 23, apartado 1 de la Ley General del Sistema de Medios de Impugnación en Materia Electoral, sino de corregir, inclusive, cualquier tipo de defecto o insuficiencia del escrito o de la presentación de la demanda, a fin de privilegiar el acceso a la justicia que debe asistir a tales grupos o comunidades.</w:t>
      </w:r>
    </w:p>
    <w:p w14:paraId="61E2698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45F6E789"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la </w:t>
      </w:r>
      <w:r w:rsidRPr="0036167B">
        <w:rPr>
          <w:rFonts w:ascii="Arial" w:eastAsia="Times New Roman" w:hAnsi="Arial" w:cs="Arial"/>
          <w:sz w:val="27"/>
          <w:szCs w:val="27"/>
          <w:lang w:val="es-ES" w:eastAsia="es-ES"/>
        </w:rPr>
        <w:t>Constitución Política de los Estados Unidos Mexicanos.</w:t>
      </w:r>
    </w:p>
    <w:p w14:paraId="2C1D52E7"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La garantía individual en comento constituye un derecho público subjetivo, íntimamente vinculado con la prohibición constitucional de “</w:t>
      </w:r>
      <w:proofErr w:type="spellStart"/>
      <w:r w:rsidRPr="0036167B">
        <w:rPr>
          <w:rFonts w:ascii="Arial" w:eastAsia="Times New Roman" w:hAnsi="Arial" w:cs="Arial"/>
          <w:sz w:val="28"/>
          <w:szCs w:val="28"/>
          <w:lang w:val="es-ES" w:eastAsia="es-ES"/>
        </w:rPr>
        <w:t>autotutela</w:t>
      </w:r>
      <w:proofErr w:type="spellEnd"/>
      <w:r w:rsidRPr="0036167B">
        <w:rPr>
          <w:rFonts w:ascii="Arial" w:eastAsia="Times New Roman" w:hAnsi="Arial" w:cs="Arial"/>
          <w:sz w:val="28"/>
          <w:szCs w:val="28"/>
          <w:lang w:val="es-ES" w:eastAsia="es-ES"/>
        </w:rPr>
        <w:t xml:space="preserve">” contenida en el mismo precepto </w:t>
      </w:r>
      <w:r w:rsidRPr="0036167B">
        <w:rPr>
          <w:rFonts w:ascii="Arial" w:eastAsia="Times New Roman" w:hAnsi="Arial" w:cs="Arial"/>
          <w:i/>
          <w:iCs/>
          <w:sz w:val="28"/>
          <w:szCs w:val="28"/>
          <w:lang w:val="es-ES" w:eastAsia="es-ES"/>
        </w:rPr>
        <w:t>("Ninguna persona podrá hacerse justicia por sí misma, ni ejercer violencia para defender su derecho"</w:t>
      </w:r>
      <w:r w:rsidRPr="0036167B">
        <w:rPr>
          <w:rFonts w:ascii="Arial" w:eastAsia="Times New Roman" w:hAnsi="Arial" w:cs="Arial"/>
          <w:sz w:val="28"/>
          <w:szCs w:val="28"/>
          <w:lang w:val="es-ES" w:eastAsia="es-ES"/>
        </w:rPr>
        <w:t>).</w:t>
      </w:r>
    </w:p>
    <w:p w14:paraId="7C02437A"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36167B">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7DE39E2C"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2037EBC2"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1C5C2900"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169DAF55"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w:t>
      </w:r>
      <w:r w:rsidRPr="0036167B">
        <w:rPr>
          <w:rFonts w:ascii="Arial" w:eastAsia="Times New Roman" w:hAnsi="Arial" w:cs="Arial"/>
          <w:sz w:val="28"/>
          <w:szCs w:val="28"/>
          <w:lang w:val="es-ES" w:eastAsia="es-ES"/>
        </w:rPr>
        <w:lastRenderedPageBreak/>
        <w:t xml:space="preserve">de grupos o comunidades que se encuentren comprendidos dentro del régimen de derecho consuetudinario, ya que interpretar en estos casos los requisitos de </w:t>
      </w:r>
      <w:proofErr w:type="spellStart"/>
      <w:r w:rsidRPr="0036167B">
        <w:rPr>
          <w:rFonts w:ascii="Arial" w:eastAsia="Times New Roman" w:hAnsi="Arial" w:cs="Arial"/>
          <w:sz w:val="28"/>
          <w:szCs w:val="28"/>
          <w:lang w:val="es-ES" w:eastAsia="es-ES"/>
        </w:rPr>
        <w:t>procedibilidad</w:t>
      </w:r>
      <w:proofErr w:type="spellEnd"/>
      <w:r w:rsidRPr="0036167B">
        <w:rPr>
          <w:rFonts w:ascii="Arial" w:eastAsia="Times New Roman" w:hAnsi="Arial" w:cs="Arial"/>
          <w:sz w:val="28"/>
          <w:szCs w:val="28"/>
          <w:lang w:val="es-ES" w:eastAsia="es-ES"/>
        </w:rPr>
        <w:t xml:space="preserve"> en forma irrestricta o absoluta, puede eventualmente, hacer nugatorio el ejercicio de los derechos que asisten a esos grupos o comunidades. </w:t>
      </w:r>
    </w:p>
    <w:p w14:paraId="3A5C0A8C"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w:t>
      </w:r>
      <w:proofErr w:type="spellStart"/>
      <w:r w:rsidRPr="0036167B">
        <w:rPr>
          <w:rFonts w:ascii="Arial" w:eastAsia="Times New Roman" w:hAnsi="Arial" w:cs="Arial"/>
          <w:sz w:val="28"/>
          <w:szCs w:val="28"/>
          <w:lang w:val="es-ES" w:eastAsia="es-ES"/>
        </w:rPr>
        <w:t>legimitación</w:t>
      </w:r>
      <w:proofErr w:type="spellEnd"/>
      <w:r w:rsidRPr="0036167B">
        <w:rPr>
          <w:rFonts w:ascii="Arial" w:eastAsia="Times New Roman" w:hAnsi="Arial" w:cs="Arial"/>
          <w:sz w:val="28"/>
          <w:szCs w:val="28"/>
          <w:lang w:val="es-ES" w:eastAsia="es-ES"/>
        </w:rPr>
        <w:t xml:space="preserve"> de las partes en el proceso, debe efectuarse mediante un examen libre, abierto y comprensivo de las particularidades que revisten esos grupos o comunidades, sin incurrir en exigencias o rigorismos excesivos.</w:t>
      </w:r>
    </w:p>
    <w:p w14:paraId="780D7F50"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Al efecto, sirve de apoyo la tesis IX/2007, emitida por la actual integración de la Sala Superior, que derivó del juicio para la protección de los derechos político-electorales 11/2007, promovido por Joel Cruz Chávez contra actos de la Quincuagésima Novena Legislatura del Estado de Oaxaca, cuyo rubro y texto son los siguientes:</w:t>
      </w:r>
    </w:p>
    <w:p w14:paraId="38DA13D4" w14:textId="77777777" w:rsidR="0036167B" w:rsidRPr="0036167B" w:rsidRDefault="0036167B" w:rsidP="0036167B">
      <w:pPr>
        <w:spacing w:before="360" w:after="100" w:afterAutospacing="1" w:line="240" w:lineRule="auto"/>
        <w:ind w:left="902" w:right="1690"/>
        <w:jc w:val="both"/>
        <w:rPr>
          <w:rFonts w:ascii="Arial" w:eastAsia="Times New Roman" w:hAnsi="Arial" w:cs="Arial"/>
          <w:sz w:val="24"/>
          <w:szCs w:val="24"/>
          <w:lang w:val="es-ES" w:eastAsia="es-ES"/>
        </w:rPr>
      </w:pPr>
      <w:r w:rsidRPr="0036167B">
        <w:rPr>
          <w:rFonts w:ascii="Arial" w:eastAsia="Times New Roman" w:hAnsi="Arial" w:cs="Arial"/>
          <w:b/>
          <w:bCs/>
          <w:sz w:val="24"/>
          <w:szCs w:val="24"/>
          <w:lang w:val="es-ES" w:eastAsia="es-ES"/>
        </w:rPr>
        <w:t>COMUNIDADES INDÍGENAS, SUPLENCIA DE LA QUEJA TOTAL EN LOS JUICIOS ELECTORALES PROMOVIDOS POR SUS INTEGRANTES.—</w:t>
      </w:r>
      <w:r w:rsidRPr="0036167B">
        <w:rPr>
          <w:rFonts w:ascii="Arial" w:eastAsia="Times New Roman" w:hAnsi="Arial" w:cs="Arial"/>
          <w:sz w:val="24"/>
          <w:szCs w:val="24"/>
          <w:lang w:val="es-ES" w:eastAsia="es-ES"/>
        </w:rPr>
        <w:t xml:space="preserve">La interpretación sistemática y funcional de los artículos 2, apartado A, fracción VIII, 17 y 133 de la Constitución </w:t>
      </w:r>
      <w:r w:rsidRPr="0036167B">
        <w:rPr>
          <w:rFonts w:ascii="Arial" w:eastAsia="Times New Roman" w:hAnsi="Arial" w:cs="Arial"/>
          <w:sz w:val="24"/>
          <w:szCs w:val="24"/>
          <w:lang w:val="es-ES" w:eastAsia="es-ES"/>
        </w:rPr>
        <w:lastRenderedPageBreak/>
        <w:t>Política de los Estados Unidos Mexicanos; 2, 4, 9, 14 y 15 de la Ley Federal para Prevenir y Eliminar la Discriminación; 2, 4, apartado 1, y 12 del Convenio 169 de la Organización Internacional del Trabajo Sobre Pueblo</w:t>
      </w:r>
      <w:bookmarkStart w:id="9" w:name="LPHit7"/>
      <w:bookmarkEnd w:id="9"/>
      <w:r w:rsidRPr="0036167B">
        <w:rPr>
          <w:rFonts w:ascii="Arial" w:eastAsia="Times New Roman" w:hAnsi="Arial" w:cs="Arial"/>
          <w:sz w:val="24"/>
          <w:szCs w:val="24"/>
          <w:lang w:val="es-ES" w:eastAsia="es-ES"/>
        </w:rPr>
        <w:t>s indígenas y Tribales en Países Independientes; 1, apartado 1, de la Convención Americana sobre Derechos Humanos, conduce a sostener que en lo</w:t>
      </w:r>
      <w:bookmarkStart w:id="10" w:name="LPHit8"/>
      <w:bookmarkEnd w:id="10"/>
      <w:r w:rsidRPr="0036167B">
        <w:rPr>
          <w:rFonts w:ascii="Arial" w:eastAsia="Times New Roman" w:hAnsi="Arial" w:cs="Arial"/>
          <w:sz w:val="24"/>
          <w:szCs w:val="24"/>
          <w:lang w:val="es-ES" w:eastAsia="es-ES"/>
        </w:rPr>
        <w:t>s juicios para la protección de los derechos político</w:t>
      </w:r>
      <w:bookmarkStart w:id="11" w:name="LPHit9"/>
      <w:bookmarkEnd w:id="11"/>
      <w:r w:rsidRPr="0036167B">
        <w:rPr>
          <w:rFonts w:ascii="Arial" w:eastAsia="Times New Roman" w:hAnsi="Arial" w:cs="Arial"/>
          <w:sz w:val="24"/>
          <w:szCs w:val="24"/>
          <w:lang w:val="es-ES" w:eastAsia="es-ES"/>
        </w:rPr>
        <w:t>-electorales del ciudadano promovidos por integrantes d</w:t>
      </w:r>
      <w:bookmarkStart w:id="12" w:name="LPHit10"/>
      <w:bookmarkEnd w:id="12"/>
      <w:r w:rsidRPr="0036167B">
        <w:rPr>
          <w:rFonts w:ascii="Arial" w:eastAsia="Times New Roman" w:hAnsi="Arial" w:cs="Arial"/>
          <w:sz w:val="24"/>
          <w:szCs w:val="24"/>
          <w:lang w:val="es-ES" w:eastAsia="es-ES"/>
        </w:rPr>
        <w:t>e comunidades o pueblo</w:t>
      </w:r>
      <w:bookmarkStart w:id="13" w:name="LPHit11"/>
      <w:bookmarkEnd w:id="13"/>
      <w:r w:rsidRPr="0036167B">
        <w:rPr>
          <w:rFonts w:ascii="Arial" w:eastAsia="Times New Roman" w:hAnsi="Arial" w:cs="Arial"/>
          <w:sz w:val="24"/>
          <w:szCs w:val="24"/>
          <w:lang w:val="es-ES" w:eastAsia="es-ES"/>
        </w:rPr>
        <w:t xml:space="preserve">s indígenas en los que se plantee la infracción a las prerrogativas ciudadanas tuteladas por este medio de control constitucional, el menoscabo o enervación de la autonomía política con que cuentan dichos pueblos </w:t>
      </w:r>
      <w:bookmarkStart w:id="14" w:name="LPHit12"/>
      <w:bookmarkEnd w:id="14"/>
      <w:r w:rsidRPr="0036167B">
        <w:rPr>
          <w:rFonts w:ascii="Arial" w:eastAsia="Times New Roman" w:hAnsi="Arial" w:cs="Arial"/>
          <w:sz w:val="24"/>
          <w:szCs w:val="24"/>
          <w:lang w:val="es-ES" w:eastAsia="es-ES"/>
        </w:rPr>
        <w:t>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w:t>
      </w:r>
      <w:bookmarkStart w:id="15" w:name="LPHit13"/>
      <w:bookmarkEnd w:id="15"/>
      <w:r w:rsidRPr="0036167B">
        <w:rPr>
          <w:rFonts w:ascii="Arial" w:eastAsia="Times New Roman" w:hAnsi="Arial" w:cs="Arial"/>
          <w:sz w:val="24"/>
          <w:szCs w:val="24"/>
          <w:lang w:val="es-ES" w:eastAsia="es-ES"/>
        </w:rPr>
        <w:t xml:space="preserve">a suplencia deficiente, entraña un espíritu garantista y por tanto </w:t>
      </w:r>
      <w:proofErr w:type="spellStart"/>
      <w:r w:rsidRPr="0036167B">
        <w:rPr>
          <w:rFonts w:ascii="Arial" w:eastAsia="Times New Roman" w:hAnsi="Arial" w:cs="Arial"/>
          <w:sz w:val="24"/>
          <w:szCs w:val="24"/>
          <w:lang w:val="es-ES" w:eastAsia="es-ES"/>
        </w:rPr>
        <w:t>antiformalista</w:t>
      </w:r>
      <w:proofErr w:type="spellEnd"/>
      <w:r w:rsidRPr="0036167B">
        <w:rPr>
          <w:rFonts w:ascii="Arial" w:eastAsia="Times New Roman" w:hAnsi="Arial" w:cs="Arial"/>
          <w:sz w:val="24"/>
          <w:szCs w:val="24"/>
          <w:lang w:val="es-ES" w:eastAsia="es-ES"/>
        </w:rPr>
        <w:t xml:space="preserve">, tendente a equilibrar las desventajas procesales en que se encuentran los integrantes de pueblos </w:t>
      </w:r>
      <w:bookmarkStart w:id="16" w:name="LPHit14"/>
      <w:bookmarkStart w:id="17" w:name="LPHit15"/>
      <w:bookmarkEnd w:id="16"/>
      <w:bookmarkEnd w:id="17"/>
      <w:r w:rsidRPr="0036167B">
        <w:rPr>
          <w:rFonts w:ascii="Arial" w:eastAsia="Times New Roman" w:hAnsi="Arial" w:cs="Arial"/>
          <w:sz w:val="24"/>
          <w:szCs w:val="24"/>
          <w:lang w:val="es-ES" w:eastAsia="es-ES"/>
        </w:rPr>
        <w:t>y comunidades indígenas con motivo de circunstancias culturales, económicas y sociales desfavorables.</w:t>
      </w:r>
    </w:p>
    <w:p w14:paraId="213777EC"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
          <w:sz w:val="28"/>
          <w:szCs w:val="28"/>
          <w:lang w:val="es-ES" w:eastAsia="es-ES"/>
        </w:rPr>
        <w:lastRenderedPageBreak/>
        <w:tab/>
      </w:r>
      <w:r w:rsidRPr="0036167B">
        <w:rPr>
          <w:rFonts w:ascii="Arial" w:eastAsia="Times New Roman" w:hAnsi="Arial" w:cs="Arial"/>
          <w:sz w:val="28"/>
          <w:szCs w:val="28"/>
          <w:lang w:val="es-ES" w:eastAsia="es-ES"/>
        </w:rPr>
        <w:t xml:space="preserve">Así como la jurisprudencia </w:t>
      </w:r>
      <w:r w:rsidRPr="0036167B">
        <w:rPr>
          <w:rFonts w:ascii="Arial" w:eastAsia="Times New Roman" w:hAnsi="Arial" w:cs="Arial"/>
          <w:bCs/>
          <w:sz w:val="28"/>
          <w:szCs w:val="28"/>
          <w:lang w:eastAsia="es-ES"/>
        </w:rPr>
        <w:t xml:space="preserve">S3EL 047/2002, visible en la </w:t>
      </w:r>
      <w:r w:rsidRPr="0036167B">
        <w:rPr>
          <w:rFonts w:ascii="Arial" w:eastAsia="MS Mincho" w:hAnsi="Arial" w:cs="Arial"/>
          <w:sz w:val="28"/>
          <w:szCs w:val="28"/>
          <w:lang w:eastAsia="es-ES"/>
        </w:rPr>
        <w:t>Compilación Oficial de Jurisprudencia y Tesis Relevantes 1997-2005, páginas 839-840, que literalmente señalan:</w:t>
      </w:r>
    </w:p>
    <w:p w14:paraId="68004C48" w14:textId="77777777" w:rsidR="0036167B" w:rsidRPr="0036167B" w:rsidRDefault="0036167B" w:rsidP="0036167B">
      <w:pPr>
        <w:pBdr>
          <w:bottom w:val="single" w:sz="6" w:space="1" w:color="auto"/>
        </w:pBdr>
        <w:spacing w:after="0" w:line="240" w:lineRule="auto"/>
        <w:ind w:left="900" w:right="1689"/>
        <w:jc w:val="center"/>
        <w:rPr>
          <w:rFonts w:ascii="Arial" w:eastAsia="Times New Roman" w:hAnsi="Arial" w:cs="Arial"/>
          <w:vanish/>
          <w:sz w:val="24"/>
          <w:szCs w:val="24"/>
          <w:lang w:val="es-ES" w:eastAsia="es-ES"/>
        </w:rPr>
      </w:pPr>
      <w:r w:rsidRPr="0036167B">
        <w:rPr>
          <w:rFonts w:ascii="Arial" w:eastAsia="Times New Roman" w:hAnsi="Arial" w:cs="Arial"/>
          <w:vanish/>
          <w:sz w:val="24"/>
          <w:szCs w:val="24"/>
          <w:lang w:val="es-ES" w:eastAsia="es-ES"/>
        </w:rPr>
        <w:t>Principio del formulario</w:t>
      </w:r>
    </w:p>
    <w:p w14:paraId="6E7B6528" w14:textId="77777777" w:rsidR="0036167B" w:rsidRPr="0036167B" w:rsidRDefault="0036167B" w:rsidP="0036167B">
      <w:pPr>
        <w:spacing w:before="360" w:after="100" w:afterAutospacing="1" w:line="240" w:lineRule="auto"/>
        <w:ind w:left="902" w:right="1690"/>
        <w:jc w:val="both"/>
        <w:rPr>
          <w:rFonts w:ascii="Arial" w:eastAsia="Times New Roman" w:hAnsi="Arial" w:cs="Arial"/>
          <w:sz w:val="24"/>
          <w:szCs w:val="24"/>
          <w:lang w:eastAsia="es-ES"/>
        </w:rPr>
      </w:pPr>
      <w:r w:rsidRPr="0036167B">
        <w:rPr>
          <w:rFonts w:ascii="Arial" w:eastAsia="Times New Roman" w:hAnsi="Arial" w:cs="Arial"/>
          <w:b/>
          <w:bCs/>
          <w:sz w:val="24"/>
          <w:szCs w:val="24"/>
          <w:lang w:eastAsia="es-ES"/>
        </w:rPr>
        <w:t>PUEBLOS Y COMUNIDADES INDÍGENAS. LA INTERPRETACIÓN DE LAS NORMAS PROCESALES DEBE HACERSE DE LA FORMA QUE LES SEA MÁS FAVORABLE—</w:t>
      </w:r>
      <w:r w:rsidRPr="0036167B">
        <w:rPr>
          <w:rFonts w:ascii="Arial" w:eastAsia="Times New Roman" w:hAnsi="Arial" w:cs="Arial"/>
          <w:sz w:val="24"/>
          <w:szCs w:val="24"/>
          <w:lang w:eastAsia="es-ES"/>
        </w:rPr>
        <w:t>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0EE4AB2B"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De ahí que en el caso concreto, la legitimación de Javier Felipe Ortiz García, Adelfo Cándido Soriano Ortiz, Jaime Bernardino Ortiz Aragón, Fidencio </w:t>
      </w:r>
      <w:proofErr w:type="spellStart"/>
      <w:r w:rsidRPr="0036167B">
        <w:rPr>
          <w:rFonts w:ascii="Arial" w:eastAsia="Times New Roman" w:hAnsi="Arial" w:cs="Arial"/>
          <w:sz w:val="28"/>
          <w:szCs w:val="28"/>
          <w:lang w:val="es-ES" w:eastAsia="es-ES"/>
        </w:rPr>
        <w:t>Arellanes</w:t>
      </w:r>
      <w:proofErr w:type="spellEnd"/>
      <w:r w:rsidRPr="0036167B">
        <w:rPr>
          <w:rFonts w:ascii="Arial" w:eastAsia="Times New Roman" w:hAnsi="Arial" w:cs="Arial"/>
          <w:sz w:val="28"/>
          <w:szCs w:val="28"/>
          <w:lang w:val="es-ES" w:eastAsia="es-ES"/>
        </w:rPr>
        <w:t xml:space="preserve"> Pérez, Froilán Soriano </w:t>
      </w:r>
      <w:proofErr w:type="spellStart"/>
      <w:r w:rsidRPr="0036167B">
        <w:rPr>
          <w:rFonts w:ascii="Arial" w:eastAsia="Times New Roman" w:hAnsi="Arial" w:cs="Arial"/>
          <w:sz w:val="28"/>
          <w:szCs w:val="28"/>
          <w:lang w:val="es-ES" w:eastAsia="es-ES"/>
        </w:rPr>
        <w:t>Soriano</w:t>
      </w:r>
      <w:proofErr w:type="spellEnd"/>
      <w:r w:rsidRPr="0036167B">
        <w:rPr>
          <w:rFonts w:ascii="Arial" w:eastAsia="Times New Roman" w:hAnsi="Arial" w:cs="Arial"/>
          <w:sz w:val="28"/>
          <w:szCs w:val="28"/>
          <w:lang w:val="es-ES" w:eastAsia="es-ES"/>
        </w:rPr>
        <w:t xml:space="preserve">, Pedro </w:t>
      </w:r>
      <w:r w:rsidRPr="0036167B">
        <w:rPr>
          <w:rFonts w:ascii="Arial" w:eastAsia="Times New Roman" w:hAnsi="Arial" w:cs="Arial"/>
          <w:sz w:val="28"/>
          <w:szCs w:val="28"/>
          <w:lang w:val="es-ES" w:eastAsia="es-ES"/>
        </w:rPr>
        <w:lastRenderedPageBreak/>
        <w:t xml:space="preserve">Hernández Soriano, Isaías Soriano Ventura, Orlando Omar Pérez Soriano, Mario García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Joel Cortés Ríos, Gaudencio </w:t>
      </w:r>
      <w:proofErr w:type="spellStart"/>
      <w:r w:rsidRPr="0036167B">
        <w:rPr>
          <w:rFonts w:ascii="Arial" w:eastAsia="Times New Roman" w:hAnsi="Arial" w:cs="Arial"/>
          <w:sz w:val="28"/>
          <w:szCs w:val="28"/>
          <w:lang w:val="es-ES" w:eastAsia="es-ES"/>
        </w:rPr>
        <w:t>Gopar</w:t>
      </w:r>
      <w:proofErr w:type="spellEnd"/>
      <w:r w:rsidRPr="0036167B">
        <w:rPr>
          <w:rFonts w:ascii="Arial" w:eastAsia="Times New Roman" w:hAnsi="Arial" w:cs="Arial"/>
          <w:sz w:val="28"/>
          <w:szCs w:val="28"/>
          <w:lang w:val="es-ES" w:eastAsia="es-ES"/>
        </w:rPr>
        <w:t xml:space="preserve"> Bravo y Francisco Reyes Jiménez, </w:t>
      </w:r>
      <w:r w:rsidRPr="0036167B">
        <w:rPr>
          <w:rFonts w:ascii="Arial" w:eastAsia="Times New Roman" w:hAnsi="Arial" w:cs="Arial"/>
          <w:b/>
          <w:sz w:val="28"/>
          <w:szCs w:val="28"/>
          <w:lang w:val="es-ES" w:eastAsia="es-ES"/>
        </w:rPr>
        <w:t xml:space="preserve">se estime suficientemente acreditada </w:t>
      </w:r>
      <w:r w:rsidRPr="0036167B">
        <w:rPr>
          <w:rFonts w:ascii="Arial" w:eastAsia="Times New Roman" w:hAnsi="Arial" w:cs="Arial"/>
          <w:sz w:val="28"/>
          <w:szCs w:val="28"/>
          <w:lang w:val="es-ES" w:eastAsia="es-ES"/>
        </w:rPr>
        <w:t xml:space="preserve">con el escrito de diez de octubre de dos mil siete, presentado ante el Instituto Estatal Electoral de Oaxaca, así como el de veintiuno de noviembre del propio año, ante la Cámara de Diputados en esa entidad federativa, en los que se evidencia que los hoy actores son precisamente las personas que durante la tramitación de la controversia surgida con motivo de la elección municipal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han instado ante las autoridades mencionadas para hacer valer diversas irregularidades acaecidas en el desarrollo de la elección, ostentándose como integrantes de la planilla número 2, opositora a la que fue electa, la cual fue validada tanto por el instituto electoral como por el órgano legislativo precitados.</w:t>
      </w:r>
    </w:p>
    <w:p w14:paraId="7587390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Esa intervención como impugnantes en el desarrollo de la controversia de mérito, es suficiente para demostrar su legitimación para acudir al presente medio impugnativo, de acuerdo a la valoración probatoria que se ha explicado tratándose de esos grupos o comunidades</w:t>
      </w:r>
    </w:p>
    <w:p w14:paraId="5FA2D7E4"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sz w:val="28"/>
          <w:szCs w:val="28"/>
          <w:lang w:val="es-ES" w:eastAsia="es-ES"/>
        </w:rPr>
        <w:lastRenderedPageBreak/>
        <w:t xml:space="preserve"> </w:t>
      </w:r>
      <w:r w:rsidRPr="0036167B">
        <w:rPr>
          <w:rFonts w:ascii="Arial" w:eastAsia="Times New Roman" w:hAnsi="Arial" w:cs="Arial"/>
          <w:sz w:val="28"/>
          <w:szCs w:val="28"/>
          <w:lang w:val="es-ES" w:eastAsia="es-ES"/>
        </w:rPr>
        <w:tab/>
      </w:r>
      <w:r w:rsidRPr="0036167B">
        <w:rPr>
          <w:rFonts w:ascii="Arial" w:eastAsia="Times New Roman" w:hAnsi="Arial" w:cs="Arial"/>
          <w:b/>
          <w:sz w:val="28"/>
          <w:szCs w:val="28"/>
          <w:lang w:val="es-ES" w:eastAsia="es-ES"/>
        </w:rPr>
        <w:t>II. No actualización de los supuestos previstos por los artículos 79 y 80 de la Ley del Sistema de Medios de Impugnación en Materia Electoral.</w:t>
      </w:r>
    </w:p>
    <w:p w14:paraId="054141D7" w14:textId="77777777" w:rsidR="0036167B" w:rsidRPr="0036167B" w:rsidRDefault="0036167B" w:rsidP="0036167B">
      <w:pPr>
        <w:spacing w:before="480" w:after="100" w:afterAutospacing="1" w:line="480" w:lineRule="auto"/>
        <w:jc w:val="both"/>
        <w:rPr>
          <w:rFonts w:ascii="Arial" w:eastAsia="Times New Roman" w:hAnsi="Arial" w:cs="Arial"/>
          <w:i/>
          <w:sz w:val="28"/>
          <w:szCs w:val="28"/>
          <w:lang w:val="es-ES" w:eastAsia="es-ES"/>
        </w:rPr>
      </w:pPr>
      <w:r w:rsidRPr="0036167B">
        <w:rPr>
          <w:rFonts w:ascii="Arial" w:eastAsia="Times New Roman" w:hAnsi="Arial" w:cs="Arial"/>
          <w:b/>
          <w:sz w:val="28"/>
          <w:szCs w:val="28"/>
          <w:lang w:val="es-ES" w:eastAsia="es-ES"/>
        </w:rPr>
        <w:tab/>
      </w:r>
      <w:r w:rsidRPr="0036167B">
        <w:rPr>
          <w:rFonts w:ascii="Arial" w:eastAsia="Times New Roman" w:hAnsi="Arial" w:cs="Arial"/>
          <w:sz w:val="28"/>
          <w:szCs w:val="28"/>
          <w:lang w:val="es-ES" w:eastAsia="es-ES"/>
        </w:rPr>
        <w:t>La autoridad responsable aduce también que no se actualiza alguno de los supuestos por los preceptos 79 y 80 de la Ley General del Sistema de Medios de Impugnación en Materia Electoral, porque en el caso: “</w:t>
      </w:r>
      <w:r w:rsidRPr="0036167B">
        <w:rPr>
          <w:rFonts w:ascii="Arial" w:eastAsia="Times New Roman" w:hAnsi="Arial" w:cs="Arial"/>
          <w:i/>
          <w:sz w:val="28"/>
          <w:szCs w:val="28"/>
          <w:lang w:val="es-ES" w:eastAsia="es-ES"/>
        </w:rPr>
        <w:t>no existe demanda por ausencia del documento que exige la Ley Electoral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338779D2"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sz w:val="28"/>
          <w:szCs w:val="28"/>
          <w:lang w:val="es-ES" w:eastAsia="es-ES"/>
        </w:rPr>
        <w:tab/>
      </w:r>
      <w:r w:rsidRPr="0036167B">
        <w:rPr>
          <w:rFonts w:ascii="Arial" w:eastAsia="Times New Roman" w:hAnsi="Arial" w:cs="Arial"/>
          <w:sz w:val="28"/>
          <w:szCs w:val="28"/>
          <w:lang w:val="es-ES" w:eastAsia="es-ES"/>
        </w:rPr>
        <w:t xml:space="preserve">Con independencia de que la </w:t>
      </w:r>
      <w:proofErr w:type="spellStart"/>
      <w:r w:rsidRPr="0036167B">
        <w:rPr>
          <w:rFonts w:ascii="Arial" w:eastAsia="Times New Roman" w:hAnsi="Arial" w:cs="Arial"/>
          <w:sz w:val="28"/>
          <w:szCs w:val="28"/>
          <w:lang w:val="es-ES" w:eastAsia="es-ES"/>
        </w:rPr>
        <w:t>procedibilidad</w:t>
      </w:r>
      <w:proofErr w:type="spellEnd"/>
      <w:r w:rsidRPr="0036167B">
        <w:rPr>
          <w:rFonts w:ascii="Arial" w:eastAsia="Times New Roman" w:hAnsi="Arial" w:cs="Arial"/>
          <w:sz w:val="28"/>
          <w:szCs w:val="28"/>
          <w:lang w:val="es-ES" w:eastAsia="es-ES"/>
        </w:rPr>
        <w:t xml:space="preserve">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36167B">
        <w:rPr>
          <w:rFonts w:ascii="Arial" w:eastAsia="Times New Roman" w:hAnsi="Arial" w:cs="Arial"/>
          <w:b/>
          <w:sz w:val="28"/>
          <w:szCs w:val="28"/>
          <w:lang w:val="es-ES" w:eastAsia="es-ES"/>
        </w:rPr>
        <w:t xml:space="preserve">ser votado, </w:t>
      </w:r>
      <w:r w:rsidRPr="0036167B">
        <w:rPr>
          <w:rFonts w:ascii="Arial" w:eastAsia="Times New Roman" w:hAnsi="Arial" w:cs="Arial"/>
          <w:sz w:val="28"/>
          <w:szCs w:val="28"/>
          <w:lang w:val="es-ES" w:eastAsia="es-ES"/>
        </w:rPr>
        <w:t xml:space="preserve">lo cierto es que en el caso concreto, tal como se señaló en el primer considerando de la presente resolución, los </w:t>
      </w:r>
      <w:proofErr w:type="spellStart"/>
      <w:r w:rsidRPr="0036167B">
        <w:rPr>
          <w:rFonts w:ascii="Arial" w:eastAsia="Times New Roman" w:hAnsi="Arial" w:cs="Arial"/>
          <w:sz w:val="28"/>
          <w:szCs w:val="28"/>
          <w:lang w:val="es-ES" w:eastAsia="es-ES"/>
        </w:rPr>
        <w:t>enjuiciantes</w:t>
      </w:r>
      <w:proofErr w:type="spellEnd"/>
      <w:r w:rsidRPr="0036167B">
        <w:rPr>
          <w:rFonts w:ascii="Arial" w:eastAsia="Times New Roman" w:hAnsi="Arial" w:cs="Arial"/>
          <w:sz w:val="28"/>
          <w:szCs w:val="28"/>
          <w:lang w:val="es-ES" w:eastAsia="es-ES"/>
        </w:rPr>
        <w:t xml:space="preserve"> combaten </w:t>
      </w:r>
      <w:r w:rsidRPr="0036167B">
        <w:rPr>
          <w:rFonts w:ascii="Arial" w:eastAsia="Times New Roman" w:hAnsi="Arial" w:cs="Arial"/>
          <w:sz w:val="28"/>
          <w:szCs w:val="28"/>
          <w:lang w:val="es-ES" w:eastAsia="es-ES"/>
        </w:rPr>
        <w:lastRenderedPageBreak/>
        <w:t>como acto destacado, un acto de validación y ratificación efectuado por un órgano formalmente legislativo, pero erigido como Colegio Electoral en términos de los artículos 77, fracción IV y 78, de la Ley Orgánica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que corresponde a esta Sala Superior del Tribunal Electoral del Poder Judicial de la Federación en esta clase de asuntos, que le permite examinar actos provenientes de la Cámara de Diputados del Estado de Oaxaca como el que se analiza, toda vez que tienen la característica de que determinan el resultado de las elecciones verificadas conforme a las normas de derecho consuetudinario.</w:t>
      </w:r>
    </w:p>
    <w:p w14:paraId="6F594746"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r>
      <w:r w:rsidRPr="0036167B">
        <w:rPr>
          <w:rFonts w:ascii="Arial" w:eastAsia="Times New Roman" w:hAnsi="Arial" w:cs="Arial"/>
          <w:b/>
          <w:sz w:val="28"/>
          <w:szCs w:val="28"/>
          <w:lang w:val="es-ES" w:eastAsia="es-ES"/>
        </w:rPr>
        <w:t xml:space="preserve">III. Extemporaneidad de la demanda. </w:t>
      </w:r>
      <w:r w:rsidRPr="0036167B">
        <w:rPr>
          <w:rFonts w:ascii="Arial" w:eastAsia="Times New Roman" w:hAnsi="Arial" w:cs="Arial"/>
          <w:sz w:val="28"/>
          <w:szCs w:val="28"/>
          <w:lang w:val="es-ES" w:eastAsia="es-ES"/>
        </w:rPr>
        <w:t xml:space="preserve">Exponen los terceros interesados que el acto que se impugna de manera destacada, data del once de diciembre de dos mil siete y consiste en el decreto emitido por el Congreso del Estado erigido en Colegio Electoral para validar la elección municipal en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w:t>
      </w:r>
    </w:p>
    <w:p w14:paraId="4F104E67"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Manifiestan que como los impetrantes no señalan en ninguna parte de su escrito, la fecha en que tuvieron conocimiento del acto impugnado, debe entenderse que fue desde el once de diciembre de dos mil siete cuando tuvieron conocimiento de él, y por ende, afirman que el plazo a que se refiere el artículo 8° de la Ley del Sistema de Medios de Impugnación en Materia Electoral feneció el quince siguiente, por lo que si la demanda se presentó el diecisiete de diciembre, es inconcuso que se promovió extemporáneamente.</w:t>
      </w:r>
    </w:p>
    <w:p w14:paraId="3F9C9691"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sz w:val="28"/>
          <w:szCs w:val="28"/>
          <w:lang w:val="es-ES" w:eastAsia="es-ES"/>
        </w:rPr>
        <w:tab/>
        <w:t xml:space="preserve">La causa de improcedencia que se analiza es </w:t>
      </w:r>
      <w:r w:rsidRPr="0036167B">
        <w:rPr>
          <w:rFonts w:ascii="Arial" w:eastAsia="Times New Roman" w:hAnsi="Arial" w:cs="Arial"/>
          <w:b/>
          <w:sz w:val="28"/>
          <w:szCs w:val="28"/>
          <w:lang w:val="es-ES" w:eastAsia="es-ES"/>
        </w:rPr>
        <w:t>infundada.</w:t>
      </w:r>
    </w:p>
    <w:p w14:paraId="754907A6"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De la lectura minuciosa del escrito de demanda no se aprecia que los actores, en algún momento hayan reconocido que conocieron el acto impugnado desde el once de diciembre de dos mil siete, como lo sostiene la parte tercero interesada.</w:t>
      </w:r>
    </w:p>
    <w:p w14:paraId="0DB7566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Esta Sala Superior ha estimado que cuando no se tiene certeza plena del momento en que la parte </w:t>
      </w:r>
      <w:proofErr w:type="spellStart"/>
      <w:r w:rsidRPr="0036167B">
        <w:rPr>
          <w:rFonts w:ascii="Arial" w:eastAsia="Times New Roman" w:hAnsi="Arial" w:cs="Arial"/>
          <w:sz w:val="28"/>
          <w:szCs w:val="28"/>
          <w:lang w:val="es-ES" w:eastAsia="es-ES"/>
        </w:rPr>
        <w:t>enjuiciante</w:t>
      </w:r>
      <w:proofErr w:type="spellEnd"/>
      <w:r w:rsidRPr="0036167B">
        <w:rPr>
          <w:rFonts w:ascii="Arial" w:eastAsia="Times New Roman" w:hAnsi="Arial" w:cs="Arial"/>
          <w:sz w:val="28"/>
          <w:szCs w:val="28"/>
          <w:lang w:val="es-ES" w:eastAsia="es-ES"/>
        </w:rPr>
        <w:t xml:space="preserve"> conoció el acto reclamado, debe considerarse que lo hizo, el propio día de la presentación de la demanda.</w:t>
      </w:r>
    </w:p>
    <w:p w14:paraId="4D79907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Tal consideración obedece a la necesidad de que las causas de improcedencia del juicio se demuestren fehacientemente.</w:t>
      </w:r>
    </w:p>
    <w:p w14:paraId="4BA72AA6" w14:textId="77777777" w:rsidR="0036167B" w:rsidRPr="0036167B" w:rsidRDefault="0036167B" w:rsidP="0036167B">
      <w:pPr>
        <w:spacing w:before="480" w:after="0" w:line="480" w:lineRule="auto"/>
        <w:jc w:val="both"/>
        <w:rPr>
          <w:rFonts w:ascii="Arial" w:eastAsia="Times New Roman" w:hAnsi="Arial" w:cs="Arial"/>
          <w:b/>
          <w:bCs/>
          <w:sz w:val="28"/>
          <w:szCs w:val="28"/>
          <w:lang w:val="es-ES" w:eastAsia="es-ES"/>
        </w:rPr>
      </w:pPr>
      <w:r w:rsidRPr="0036167B">
        <w:rPr>
          <w:rFonts w:ascii="Times New Roman" w:eastAsia="Times New Roman" w:hAnsi="Times New Roman" w:cs="Arial"/>
          <w:sz w:val="28"/>
          <w:szCs w:val="24"/>
          <w:lang w:val="es-ES" w:eastAsia="es-ES"/>
        </w:rPr>
        <w:tab/>
      </w:r>
      <w:r w:rsidRPr="0036167B">
        <w:rPr>
          <w:rFonts w:ascii="Arial" w:eastAsia="Times New Roman" w:hAnsi="Arial" w:cs="Arial"/>
          <w:sz w:val="28"/>
          <w:szCs w:val="28"/>
          <w:lang w:val="es-ES" w:eastAsia="es-ES"/>
        </w:rPr>
        <w:t xml:space="preserve">Sirve de apoyo la tesis relevante </w:t>
      </w:r>
      <w:r w:rsidRPr="0036167B">
        <w:rPr>
          <w:rFonts w:ascii="Arial" w:eastAsia="Times New Roman" w:hAnsi="Arial" w:cs="Arial"/>
          <w:bCs/>
          <w:sz w:val="28"/>
          <w:szCs w:val="28"/>
          <w:lang w:eastAsia="es-MX"/>
        </w:rPr>
        <w:t xml:space="preserve">S3ELJ 08/2001, consultable en la </w:t>
      </w:r>
      <w:r w:rsidRPr="0036167B">
        <w:rPr>
          <w:rFonts w:ascii="Arial" w:eastAsia="Times New Roman" w:hAnsi="Arial" w:cs="Arial"/>
          <w:sz w:val="28"/>
          <w:szCs w:val="28"/>
          <w:lang w:eastAsia="es-ES"/>
        </w:rPr>
        <w:t>Compilación Oficial de Jurisprudencia y Tesis Relevantes 1997-2005, páginas 62 y 63, cuyo rubro y texto son del tenor siguiente:</w:t>
      </w:r>
    </w:p>
    <w:p w14:paraId="671BF5D9" w14:textId="77777777" w:rsidR="0036167B" w:rsidRPr="0036167B" w:rsidRDefault="0036167B" w:rsidP="0036167B">
      <w:pPr>
        <w:tabs>
          <w:tab w:val="left" w:pos="-720"/>
        </w:tabs>
        <w:adjustRightInd w:val="0"/>
        <w:spacing w:before="360" w:after="100" w:afterAutospacing="1" w:line="240" w:lineRule="auto"/>
        <w:ind w:left="902" w:right="1690"/>
        <w:jc w:val="both"/>
        <w:rPr>
          <w:rFonts w:ascii="Times New Roman" w:eastAsia="Times New Roman" w:hAnsi="Times New Roman" w:cs="Times New Roman"/>
          <w:sz w:val="24"/>
          <w:szCs w:val="24"/>
          <w:lang w:val="es-ES" w:eastAsia="es-ES"/>
        </w:rPr>
      </w:pPr>
      <w:r w:rsidRPr="0036167B">
        <w:rPr>
          <w:rFonts w:ascii="Arial" w:eastAsia="Times New Roman" w:hAnsi="Arial" w:cs="Arial"/>
          <w:b/>
          <w:bCs/>
          <w:sz w:val="24"/>
          <w:szCs w:val="24"/>
          <w:lang w:eastAsia="es-ES"/>
        </w:rPr>
        <w:t>CONOCIMIENTO DEL ACTO IMPUGNADO. SE CONSIDERA A PARTIR DE LA PRESENTACIÓN DE LA DEMANDA SALVO PRUEBA PLENA EN CONTRARIO.—</w:t>
      </w:r>
      <w:r w:rsidRPr="0036167B">
        <w:rPr>
          <w:rFonts w:ascii="Arial" w:eastAsia="Times New Roman" w:hAnsi="Arial" w:cs="Arial"/>
          <w:sz w:val="24"/>
          <w:szCs w:val="24"/>
          <w:lang w:eastAsia="es-ES"/>
        </w:rPr>
        <w:t xml:space="preserve">La correcta aplicación del contenido del artículo 17 constitucional, en relación con lo dispuesto en los artículos 9o., párrafo 3; 10, a contrario sentido y 16, párrafo 1, de la Ley General del Sistema de Medios de Impugnación en Materia Electoral, lleva a determinar que cuando no existe certidumbre sobre la fecha en que el </w:t>
      </w:r>
      <w:proofErr w:type="spellStart"/>
      <w:r w:rsidRPr="0036167B">
        <w:rPr>
          <w:rFonts w:ascii="Arial" w:eastAsia="Times New Roman" w:hAnsi="Arial" w:cs="Arial"/>
          <w:sz w:val="24"/>
          <w:szCs w:val="24"/>
          <w:lang w:eastAsia="es-ES"/>
        </w:rPr>
        <w:t>promovente</w:t>
      </w:r>
      <w:proofErr w:type="spellEnd"/>
      <w:r w:rsidRPr="0036167B">
        <w:rPr>
          <w:rFonts w:ascii="Arial" w:eastAsia="Times New Roman" w:hAnsi="Arial" w:cs="Arial"/>
          <w:sz w:val="24"/>
          <w:szCs w:val="24"/>
          <w:lang w:eastAsia="es-ES"/>
        </w:rPr>
        <w:t xml:space="preserv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w:t>
      </w:r>
      <w:proofErr w:type="spellStart"/>
      <w:r w:rsidRPr="0036167B">
        <w:rPr>
          <w:rFonts w:ascii="Arial" w:eastAsia="Times New Roman" w:hAnsi="Arial" w:cs="Arial"/>
          <w:sz w:val="24"/>
          <w:szCs w:val="24"/>
          <w:lang w:eastAsia="es-ES"/>
        </w:rPr>
        <w:t>desechamiento</w:t>
      </w:r>
      <w:proofErr w:type="spellEnd"/>
      <w:r w:rsidRPr="0036167B">
        <w:rPr>
          <w:rFonts w:ascii="Arial" w:eastAsia="Times New Roman" w:hAnsi="Arial" w:cs="Arial"/>
          <w:sz w:val="24"/>
          <w:szCs w:val="24"/>
          <w:lang w:eastAsia="es-ES"/>
        </w:rPr>
        <w:t xml:space="preserve">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 </w:t>
      </w:r>
    </w:p>
    <w:p w14:paraId="36B373FA" w14:textId="77777777" w:rsidR="0036167B" w:rsidRPr="0036167B" w:rsidRDefault="0036167B" w:rsidP="0036167B">
      <w:pPr>
        <w:pBdr>
          <w:top w:val="single" w:sz="6" w:space="1" w:color="auto"/>
        </w:pBdr>
        <w:spacing w:after="0" w:line="240" w:lineRule="auto"/>
        <w:jc w:val="center"/>
        <w:rPr>
          <w:rFonts w:ascii="Arial" w:eastAsia="Times New Roman" w:hAnsi="Arial" w:cs="Arial"/>
          <w:vanish/>
          <w:sz w:val="16"/>
          <w:szCs w:val="16"/>
          <w:lang w:val="es-ES" w:eastAsia="es-ES"/>
        </w:rPr>
      </w:pPr>
      <w:r w:rsidRPr="0036167B">
        <w:rPr>
          <w:rFonts w:ascii="Arial" w:eastAsia="Times New Roman" w:hAnsi="Arial" w:cs="Arial"/>
          <w:vanish/>
          <w:sz w:val="16"/>
          <w:szCs w:val="16"/>
          <w:lang w:val="es-ES" w:eastAsia="es-ES"/>
        </w:rPr>
        <w:t>Final del formulario</w:t>
      </w:r>
    </w:p>
    <w:p w14:paraId="1D75181D"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
          <w:bCs/>
          <w:sz w:val="28"/>
          <w:szCs w:val="28"/>
          <w:lang w:val="es-ES" w:eastAsia="es-ES"/>
        </w:rPr>
        <w:tab/>
      </w:r>
      <w:r w:rsidRPr="0036167B">
        <w:rPr>
          <w:rFonts w:ascii="Arial" w:eastAsia="Times New Roman" w:hAnsi="Arial" w:cs="Arial"/>
          <w:bCs/>
          <w:sz w:val="28"/>
          <w:szCs w:val="28"/>
          <w:lang w:val="es-ES" w:eastAsia="es-ES"/>
        </w:rPr>
        <w:t xml:space="preserve">Por tanto, es indudable que en el caso, debe estimarse que el acto fue conocido desde el diecisiete de diciembre de dos mil siete, y aun cuando pudiera pensarse que el momento del conocimiento se dio el </w:t>
      </w:r>
      <w:r w:rsidRPr="0036167B">
        <w:rPr>
          <w:rFonts w:ascii="Arial" w:eastAsia="Times New Roman" w:hAnsi="Arial" w:cs="Arial"/>
          <w:bCs/>
          <w:sz w:val="28"/>
          <w:szCs w:val="28"/>
          <w:lang w:val="es-ES" w:eastAsia="es-ES"/>
        </w:rPr>
        <w:lastRenderedPageBreak/>
        <w:t>día de la publicación en el periódico oficial del Estado (quince de diciembre del año en curso) igualmente la demanda se habría presentado en forma oportuna.</w:t>
      </w:r>
    </w:p>
    <w:p w14:paraId="302ABF4B" w14:textId="77777777" w:rsidR="0036167B" w:rsidRPr="0036167B" w:rsidRDefault="0036167B" w:rsidP="0036167B">
      <w:pPr>
        <w:spacing w:before="480" w:after="100" w:afterAutospacing="1" w:line="480" w:lineRule="auto"/>
        <w:jc w:val="both"/>
        <w:rPr>
          <w:rFonts w:ascii="Arial" w:eastAsia="Times New Roman" w:hAnsi="Arial" w:cs="Arial"/>
          <w:bCs/>
          <w:sz w:val="28"/>
          <w:szCs w:val="28"/>
          <w:lang w:val="es-ES" w:eastAsia="es-ES"/>
        </w:rPr>
      </w:pPr>
      <w:r w:rsidRPr="0036167B">
        <w:rPr>
          <w:rFonts w:ascii="Arial" w:eastAsia="Times New Roman" w:hAnsi="Arial" w:cs="Arial"/>
          <w:bCs/>
          <w:sz w:val="28"/>
          <w:szCs w:val="28"/>
          <w:lang w:val="es-ES" w:eastAsia="es-ES"/>
        </w:rPr>
        <w:tab/>
        <w:t>Al no advertirse la actualización de alguna otra causa de improcedencia, se procede al estudio de fondo del asunto.</w:t>
      </w:r>
    </w:p>
    <w:p w14:paraId="72F960E8"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tab/>
        <w:t xml:space="preserve">TERCERO. </w:t>
      </w:r>
      <w:r w:rsidRPr="0036167B">
        <w:rPr>
          <w:rFonts w:ascii="Arial" w:eastAsia="Times New Roman" w:hAnsi="Arial" w:cs="Arial"/>
          <w:b/>
          <w:sz w:val="28"/>
          <w:szCs w:val="28"/>
          <w:lang w:val="es-ES" w:eastAsia="es-ES"/>
        </w:rPr>
        <w:t xml:space="preserve">Omisión atribuida al Colegio Electoral </w:t>
      </w:r>
      <w:r w:rsidRPr="0036167B">
        <w:rPr>
          <w:rFonts w:ascii="Arial" w:eastAsia="Times New Roman" w:hAnsi="Arial" w:cs="Arial"/>
          <w:sz w:val="28"/>
          <w:szCs w:val="28"/>
          <w:lang w:val="es-ES" w:eastAsia="es-ES"/>
        </w:rPr>
        <w:t>Como cuestión preliminar, debe analizarse el agravio en que los actores, exponen que la Cámara de Diputados omitió estudiar el escrito de veintiuno de noviembre de dos mil siete.</w:t>
      </w:r>
    </w:p>
    <w:p w14:paraId="64079B1E"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Señalan que al desatender dicha interpelación, el Colegio Electoral alteró el orden constitucional y legal que rige el sistema de usos y costumbres, por no hacer lo que la Constitución y la Ley le obliga.</w:t>
      </w:r>
    </w:p>
    <w:p w14:paraId="12D6AB0A"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Añaden que se vulneró en su perjuicio la garantía de legalidad electoral contenida en el artículo 41 de la Carta Magna, porque se les coartó el acceso al sistema de medios de impugnación en los términos fijados por la Constitución y por la ley.</w:t>
      </w:r>
    </w:p>
    <w:p w14:paraId="506C49A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A su vez, sostienen que se pasó por alto que dada la naturaleza y función de los derechos reconocidos a las colectividades indígenas y a sus miembros, por la Constitución Federal, esa clase de derechos implican necesariamente la posibilidad de que los grupos o comunidades indígenas puedan acceder en plenitud a los tribunales de justicia.</w:t>
      </w:r>
    </w:p>
    <w:p w14:paraId="6551FC75"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Para efectuar un estudio adecuado del agravio enunciado con anterioridad, debe partirse de la base de que los actores se duelen fundamentalmente de que la Cámara de Diputados incurrió en una actitud omisa o de abstención, consistente en no dar curso ni pronunciarse respecto del escrito que formularon, de veintiuno de noviembre de dos mil siete.</w:t>
      </w:r>
    </w:p>
    <w:p w14:paraId="154EF337" w14:textId="77777777" w:rsidR="0036167B" w:rsidRPr="0036167B" w:rsidRDefault="0036167B" w:rsidP="0036167B">
      <w:pPr>
        <w:spacing w:before="100" w:beforeAutospacing="1"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En el libelo aludido señalaron lo siguiente:</w:t>
      </w:r>
    </w:p>
    <w:p w14:paraId="10D54F3D"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 xml:space="preserve">Como primer punto de inconstitucionalidad e ilegalidad del procedimiento seguido por el Consejo General del Instituto Estatal Electoral de Oaxaca, señalo la omisión en que incurrió cuando se abstuvo de conocer y resolver de acuerdo con las normas del derecho consuetudinario respecto de la impugnación planteada por los suscritos y otros ciudadanos; la abstención en cuanto a que antes de emitir la resolución de validez debió buscar la conciliación entre las partes, con lo cual violó en nuestro perjuicio y del sistema de usos y costumbres el contenido de los artículos 2,° párrafo tercero, en relación al 16, ambos de la Constitución del Estado en relación con el 125 del CIPPEO, en virtud de que dejó de hacer lo que </w:t>
      </w:r>
      <w:r w:rsidRPr="0036167B">
        <w:rPr>
          <w:rFonts w:ascii="Arial" w:eastAsia="Times New Roman" w:hAnsi="Arial" w:cs="Arial"/>
          <w:sz w:val="24"/>
          <w:szCs w:val="24"/>
          <w:lang w:val="es-ES" w:eastAsia="es-ES"/>
        </w:rPr>
        <w:lastRenderedPageBreak/>
        <w:t>la ley le ordena y, consecuentemente, nos dejó en estado de indefensión mediante dichas acciones que son evidentes, pues no agotó el procedimiento de conciliación, a pesar de las evidencias e inconformidad planteadas, por lo que esta H. Legislatura en cumplimiento de lo dispuesto por el artículo 122 del mismo ordenamiento deberá declarar que no ratifica la validez de la elección y dictará las providencias necesarias para establecer las bases de un procedimiento cierto, preciso y que no sea violatorio de los usos y costumbres y de la ley.</w:t>
      </w:r>
    </w:p>
    <w:p w14:paraId="624D8ADC"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Independientemente de lo anterior, y de las violaciones que deberá analizar esta Legislatura, en relación con la omisión del Consejo General del Instituto, señalamos las siguientes violaciones substanciales al procedimiento:</w:t>
      </w:r>
    </w:p>
    <w:p w14:paraId="53D5007F"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1. En el acuerdo del Ayuntamiento de fecha 22 de abril de 2007, no se determinó que la Asamblea General Comunitaria del Municipio mencionada decidiera libremente la integración del órgano encargado de nombrar a la nueva autoridad, con base a su tradición o previo acuerdo o consenso de sus integrantes; lo anterior tomando en consideración que el artículo 116 del CIPPEO establece este requisito como parte substancial del procedimiento legal de elección y solo prevé que la autoridad municipal podrá quedar integrada al órgano electoral, es decir, que es una posibilidad, pero no puede asumir el carácter de órgano a electoral por sí sólo y ello no fue motivo del acuerdo del Ayuntamiento como se desprende de su contenido.</w:t>
      </w:r>
    </w:p>
    <w:p w14:paraId="2D80FB87"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 xml:space="preserve">2. No se cumplió con lo dispuesto por el </w:t>
      </w:r>
      <w:proofErr w:type="spellStart"/>
      <w:r w:rsidRPr="0036167B">
        <w:rPr>
          <w:rFonts w:ascii="Arial" w:eastAsia="Times New Roman" w:hAnsi="Arial" w:cs="Arial"/>
          <w:sz w:val="24"/>
          <w:szCs w:val="24"/>
          <w:lang w:val="es-ES" w:eastAsia="es-ES"/>
        </w:rPr>
        <w:t>articulo</w:t>
      </w:r>
      <w:proofErr w:type="spellEnd"/>
      <w:r w:rsidRPr="0036167B">
        <w:rPr>
          <w:rFonts w:ascii="Arial" w:eastAsia="Times New Roman" w:hAnsi="Arial" w:cs="Arial"/>
          <w:sz w:val="24"/>
          <w:szCs w:val="24"/>
          <w:lang w:val="es-ES" w:eastAsia="es-ES"/>
        </w:rPr>
        <w:t xml:space="preserve"> 116 del CIPPEO porque la Asamblea Comunitaria no integró el órgano encargado de nombrar a la nueva autoridad con base a su tradición o previo acuerdo o consenso de sus integrantes, pues se concretó únicamente a nombra una mesa de debates para que presidiera la asamblea pero no con el carácter de encargado de nombrar a la nueva autoridad. Consecuentemente no se satisfizo el requisito procedimental del artículo 116 del CIPPEO.</w:t>
      </w:r>
    </w:p>
    <w:p w14:paraId="483E3964"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 xml:space="preserve">3. En el acuerdo del Ayuntamiento, la asamblea comunitaria no se celebró con respeto al horario fijado como lo mandata el punto 2 del artículo 117 del CIPPEO. El Ayuntamiento acordó que la sesión se celebraría a las 10:00 horas del día 7 de octubre del presente año; en el acta se asentó que la </w:t>
      </w:r>
      <w:r w:rsidRPr="0036167B">
        <w:rPr>
          <w:rFonts w:ascii="Arial" w:eastAsia="Times New Roman" w:hAnsi="Arial" w:cs="Arial"/>
          <w:sz w:val="24"/>
          <w:szCs w:val="24"/>
          <w:lang w:val="es-ES" w:eastAsia="es-ES"/>
        </w:rPr>
        <w:lastRenderedPageBreak/>
        <w:t xml:space="preserve">asamblea se inició </w:t>
      </w:r>
      <w:proofErr w:type="spellStart"/>
      <w:r w:rsidRPr="0036167B">
        <w:rPr>
          <w:rFonts w:ascii="Arial" w:eastAsia="Times New Roman" w:hAnsi="Arial" w:cs="Arial"/>
          <w:sz w:val="24"/>
          <w:szCs w:val="24"/>
          <w:lang w:val="es-ES" w:eastAsia="es-ES"/>
        </w:rPr>
        <w:t>alas</w:t>
      </w:r>
      <w:proofErr w:type="spellEnd"/>
      <w:r w:rsidRPr="0036167B">
        <w:rPr>
          <w:rFonts w:ascii="Arial" w:eastAsia="Times New Roman" w:hAnsi="Arial" w:cs="Arial"/>
          <w:sz w:val="24"/>
          <w:szCs w:val="24"/>
          <w:lang w:val="es-ES" w:eastAsia="es-ES"/>
        </w:rPr>
        <w:t xml:space="preserve"> 10:30 horas, por lo que no se respetó el acuerdo emitido.</w:t>
      </w:r>
    </w:p>
    <w:p w14:paraId="162C98E2" w14:textId="77777777" w:rsidR="0036167B" w:rsidRPr="0036167B" w:rsidRDefault="0036167B" w:rsidP="0036167B">
      <w:pPr>
        <w:spacing w:before="360" w:after="0" w:line="240" w:lineRule="auto"/>
        <w:ind w:left="1134" w:right="1134"/>
        <w:jc w:val="both"/>
        <w:rPr>
          <w:rFonts w:ascii="Arial" w:eastAsia="Times New Roman" w:hAnsi="Arial" w:cs="Arial"/>
          <w:b/>
          <w:sz w:val="24"/>
          <w:szCs w:val="24"/>
          <w:lang w:val="es-ES" w:eastAsia="es-ES"/>
        </w:rPr>
      </w:pPr>
      <w:r w:rsidRPr="0036167B">
        <w:rPr>
          <w:rFonts w:ascii="Arial" w:eastAsia="Times New Roman" w:hAnsi="Arial" w:cs="Arial"/>
          <w:sz w:val="24"/>
          <w:szCs w:val="24"/>
          <w:lang w:val="es-ES" w:eastAsia="es-ES"/>
        </w:rPr>
        <w:t>4. Al final de la elección se levantó un acta que no fue firmada por los integrantes del órgano que presidió el procedimiento de elección</w:t>
      </w:r>
      <w:r w:rsidRPr="0036167B">
        <w:rPr>
          <w:rFonts w:ascii="Arial" w:eastAsia="Times New Roman" w:hAnsi="Arial" w:cs="Arial"/>
          <w:b/>
          <w:sz w:val="24"/>
          <w:szCs w:val="24"/>
          <w:lang w:val="es-ES" w:eastAsia="es-ES"/>
        </w:rPr>
        <w:t>, pues como ha quedado indicado, únicamente se nombró una mesa de debates, pero no fue el encargado de nombrar a la nueva autoridad.</w:t>
      </w:r>
    </w:p>
    <w:p w14:paraId="47F1CAA0"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5. La imprecisión e incertidumbre que se deriva del contenido del acto, evidencia una clara violación al conjunto de disposiciones legales que han sido transcritas y que rigen el procedimiento que debe seguir la asamblea comunitaria, pues no está definido el procedimiento y las formas generales para el desarrollo de la elección, se declara ganadora a una planilla 1 en el informe que se da al Consejo y, en el acta de la asamblea, no se asienta cuántas planillas contendieron ni quiénes fueron sus integrantes, ni siquiera se advierte, cómo se llevó a cabo la votación pues el texto del acta no permite con claridad señalar cómo se llevó a cabo, ni siquiera cómo se efectuó el cómputo, ni</w:t>
      </w:r>
      <w:r w:rsidRPr="0036167B">
        <w:rPr>
          <w:rFonts w:ascii="Arial" w:eastAsia="Times New Roman" w:hAnsi="Arial" w:cs="Arial"/>
          <w:b/>
          <w:sz w:val="24"/>
          <w:szCs w:val="24"/>
          <w:lang w:val="es-ES" w:eastAsia="es-ES"/>
        </w:rPr>
        <w:t xml:space="preserve"> </w:t>
      </w:r>
      <w:r w:rsidRPr="0036167B">
        <w:rPr>
          <w:rFonts w:ascii="Arial" w:eastAsia="Times New Roman" w:hAnsi="Arial" w:cs="Arial"/>
          <w:sz w:val="24"/>
          <w:szCs w:val="24"/>
          <w:lang w:val="es-ES" w:eastAsia="es-ES"/>
        </w:rPr>
        <w:t xml:space="preserve">qué listas firmaron con su nombre los asambleístas, pues incluso, en las que se anexaron, no solo aparecen firmas sino huellas digitales, lo cual no se hizo contar y, por lo tanto hace incierta la legítima participación de los miembros de la comunidad, lo cual se constata del párrafo que transcribimos del acta levantada en esa fecha, que dice: </w:t>
      </w:r>
      <w:r w:rsidRPr="0036167B">
        <w:rPr>
          <w:rFonts w:ascii="Arial" w:eastAsia="Times New Roman" w:hAnsi="Arial" w:cs="Arial"/>
          <w:i/>
          <w:sz w:val="24"/>
          <w:szCs w:val="24"/>
          <w:lang w:val="es-ES" w:eastAsia="es-ES"/>
        </w:rPr>
        <w:t>"En seguida se dio inicio a la elección mediante la propuesta de planillas, emitiendo su voto los asambleístas, escribiendo su nombre y estampando su firma en las listas respectivas para el caso, por el candidato de su preferencia, una vez realizado el cómputo de los votos emitidos el Ayuntamiento de este lugar, que fungirá durante el periodo constitucional del 2008 al 2010, quedó integrado con los siguientes ciudadanos electos....".</w:t>
      </w:r>
      <w:r w:rsidRPr="0036167B">
        <w:rPr>
          <w:rFonts w:ascii="Arial" w:eastAsia="Times New Roman" w:hAnsi="Arial" w:cs="Arial"/>
          <w:sz w:val="24"/>
          <w:szCs w:val="24"/>
          <w:lang w:val="es-ES" w:eastAsia="es-ES"/>
        </w:rPr>
        <w:t xml:space="preserve"> Con ello como claramente se advierte, no se dio cumplimiento a los puntos 1 y 3 del artículo 117 del CIPPEO, porque no se fijaron, ni consecuentemente se observaron las disposiciones definidas por la comunidad en las formas y procedimientos generales para el desarrollo de la elección, dado que no se expresa cuántas planillas propusieron ni quienes eran sus integrantes, tampoco cómo emitieron su voto los asambleístas ni como se computaron los votos de aquellos que no firman unas listas sino imprimen huellas; tampoco cómo determinaron cuál era el candidato de su preferencias si no se sabe </w:t>
      </w:r>
      <w:proofErr w:type="spellStart"/>
      <w:r w:rsidRPr="0036167B">
        <w:rPr>
          <w:rFonts w:ascii="Arial" w:eastAsia="Times New Roman" w:hAnsi="Arial" w:cs="Arial"/>
          <w:sz w:val="24"/>
          <w:szCs w:val="24"/>
          <w:lang w:val="es-ES" w:eastAsia="es-ES"/>
        </w:rPr>
        <w:t>quienes</w:t>
      </w:r>
      <w:proofErr w:type="spellEnd"/>
      <w:r w:rsidRPr="0036167B">
        <w:rPr>
          <w:rFonts w:ascii="Arial" w:eastAsia="Times New Roman" w:hAnsi="Arial" w:cs="Arial"/>
          <w:sz w:val="24"/>
          <w:szCs w:val="24"/>
          <w:lang w:val="es-ES" w:eastAsia="es-ES"/>
        </w:rPr>
        <w:t xml:space="preserve"> compitieron; tampoco cómo se realizó el cómputo ni mucho menos cuáles fueron los resultados, pues únicamente concluyó con la expresión general </w:t>
      </w:r>
      <w:r w:rsidRPr="0036167B">
        <w:rPr>
          <w:rFonts w:ascii="Arial" w:eastAsia="Times New Roman" w:hAnsi="Arial" w:cs="Arial"/>
          <w:i/>
          <w:sz w:val="24"/>
          <w:szCs w:val="24"/>
          <w:lang w:val="es-ES" w:eastAsia="es-ES"/>
        </w:rPr>
        <w:t xml:space="preserve">"una vez </w:t>
      </w:r>
      <w:r w:rsidRPr="0036167B">
        <w:rPr>
          <w:rFonts w:ascii="Arial" w:eastAsia="Times New Roman" w:hAnsi="Arial" w:cs="Arial"/>
          <w:i/>
          <w:sz w:val="24"/>
          <w:szCs w:val="24"/>
          <w:lang w:val="es-ES" w:eastAsia="es-ES"/>
        </w:rPr>
        <w:lastRenderedPageBreak/>
        <w:t xml:space="preserve">realizado el cómputo de los votos emitidos el Ayuntamiento de este lugar, que fungirá una vez realizado el cómputo de los votos emitidos el Ayuntamiento de este lugar, que fungirá durante el periodo constitucional del 2008 al 2010, quedó integrado con los siguiente ciudadanos electos:...", </w:t>
      </w:r>
      <w:r w:rsidRPr="0036167B">
        <w:rPr>
          <w:rFonts w:ascii="Arial" w:eastAsia="Times New Roman" w:hAnsi="Arial" w:cs="Arial"/>
          <w:sz w:val="24"/>
          <w:szCs w:val="24"/>
          <w:lang w:val="es-ES" w:eastAsia="es-ES"/>
        </w:rPr>
        <w:t xml:space="preserve">no expresa un resultado en el acta de la asamblea comunitaria en la que no se hace mención de incidente alguno y por otra parte, la diversa acta levantada supuestamente en esa misma fecha a las 02:34 horas, carece de validez y de certidumbre pues no contiene computo alguno sobre contabilidad, sino un resultado que ya no deriva de la asamblea comunitaria que se inició a las 10:30 horas y terminó a las 15:00 horas, luego entonces, el contenido de la diversa acta mencionada, no puede dar certeza a resultados que no derivan de la misma y ni siquiera </w:t>
      </w:r>
      <w:proofErr w:type="spellStart"/>
      <w:r w:rsidRPr="0036167B">
        <w:rPr>
          <w:rFonts w:ascii="Arial" w:eastAsia="Times New Roman" w:hAnsi="Arial" w:cs="Arial"/>
          <w:sz w:val="24"/>
          <w:szCs w:val="24"/>
          <w:lang w:val="es-ES" w:eastAsia="es-ES"/>
        </w:rPr>
        <w:t>esta</w:t>
      </w:r>
      <w:proofErr w:type="spellEnd"/>
      <w:r w:rsidRPr="0036167B">
        <w:rPr>
          <w:rFonts w:ascii="Arial" w:eastAsia="Times New Roman" w:hAnsi="Arial" w:cs="Arial"/>
          <w:sz w:val="24"/>
          <w:szCs w:val="24"/>
          <w:lang w:val="es-ES" w:eastAsia="es-ES"/>
        </w:rPr>
        <w:t xml:space="preserve"> suscrita por la llamada mesa de debates, </w:t>
      </w:r>
      <w:proofErr w:type="spellStart"/>
      <w:r w:rsidRPr="0036167B">
        <w:rPr>
          <w:rFonts w:ascii="Arial" w:eastAsia="Times New Roman" w:hAnsi="Arial" w:cs="Arial"/>
          <w:sz w:val="24"/>
          <w:szCs w:val="24"/>
          <w:lang w:val="es-ES" w:eastAsia="es-ES"/>
        </w:rPr>
        <w:t>amen</w:t>
      </w:r>
      <w:proofErr w:type="spellEnd"/>
      <w:r w:rsidRPr="0036167B">
        <w:rPr>
          <w:rFonts w:ascii="Arial" w:eastAsia="Times New Roman" w:hAnsi="Arial" w:cs="Arial"/>
          <w:sz w:val="24"/>
          <w:szCs w:val="24"/>
          <w:lang w:val="es-ES" w:eastAsia="es-ES"/>
        </w:rPr>
        <w:t xml:space="preserve"> de que por su temporalidad, implica un agregado artificialmente hecho por el Ayuntamiento sin facultades para ello, todo lo cual implica la violación a lo dispuesta en las fracciones del precepto mencionado.</w:t>
      </w:r>
    </w:p>
    <w:p w14:paraId="21F742A1"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6. A todo ello, se suman las siguientes violaciones que no fueron analizadas por el Consejo General del Instituto y que desde luego reproducimos en todos sus términos para su análisis por esta Legislatura.- (Transcribe).</w:t>
      </w:r>
    </w:p>
    <w:p w14:paraId="25C3E08C"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 xml:space="preserve">En consecuencia, la autoridad electoral y la municipal del lugar, violaron el principio de legalidad a que se refiere el artículo 2° de la Constitución del Estado, porque dejaron de hacer en los términos expresados, lo que la ley mandata que hagan. Por lo que se afectó substancialmente el procedimiento que fue determinante para el resultado, porque impide llegar a la certeza del resultado que valida el Consejo General del Instituto, sin haber dado respuesta a las impugnaciones planteadas, ni agotado el procedimiento de conciliación, </w:t>
      </w:r>
      <w:proofErr w:type="spellStart"/>
      <w:r w:rsidRPr="0036167B">
        <w:rPr>
          <w:rFonts w:ascii="Arial" w:eastAsia="Times New Roman" w:hAnsi="Arial" w:cs="Arial"/>
          <w:sz w:val="24"/>
          <w:szCs w:val="24"/>
          <w:lang w:val="es-ES" w:eastAsia="es-ES"/>
        </w:rPr>
        <w:t>amen</w:t>
      </w:r>
      <w:proofErr w:type="spellEnd"/>
      <w:r w:rsidRPr="0036167B">
        <w:rPr>
          <w:rFonts w:ascii="Arial" w:eastAsia="Times New Roman" w:hAnsi="Arial" w:cs="Arial"/>
          <w:sz w:val="24"/>
          <w:szCs w:val="24"/>
          <w:lang w:val="es-ES" w:eastAsia="es-ES"/>
        </w:rPr>
        <w:t xml:space="preserve"> de las violaciones precisadas en el cuerpo de este escrito, por lo que esta legislatura deberá hacer la declaratoria correspondiente de invalidez de la elección comunitaria celebrada, tomando como base esencialmente que la asamblea comunitaria no hizo constar en su acta, el resultado del </w:t>
      </w:r>
      <w:proofErr w:type="spellStart"/>
      <w:r w:rsidRPr="0036167B">
        <w:rPr>
          <w:rFonts w:ascii="Arial" w:eastAsia="Times New Roman" w:hAnsi="Arial" w:cs="Arial"/>
          <w:sz w:val="24"/>
          <w:szCs w:val="24"/>
          <w:lang w:val="es-ES" w:eastAsia="es-ES"/>
        </w:rPr>
        <w:t>computo</w:t>
      </w:r>
      <w:proofErr w:type="spellEnd"/>
      <w:r w:rsidRPr="0036167B">
        <w:rPr>
          <w:rFonts w:ascii="Arial" w:eastAsia="Times New Roman" w:hAnsi="Arial" w:cs="Arial"/>
          <w:sz w:val="24"/>
          <w:szCs w:val="24"/>
          <w:lang w:val="es-ES" w:eastAsia="es-ES"/>
        </w:rPr>
        <w:t xml:space="preserve"> ni el procedimiento seguido y que la diversa acta mencionada, fue levantada por la autoridad municipal que carece de facultades para hacerlo ni </w:t>
      </w:r>
      <w:proofErr w:type="spellStart"/>
      <w:r w:rsidRPr="0036167B">
        <w:rPr>
          <w:rFonts w:ascii="Arial" w:eastAsia="Times New Roman" w:hAnsi="Arial" w:cs="Arial"/>
          <w:sz w:val="24"/>
          <w:szCs w:val="24"/>
          <w:lang w:val="es-ES" w:eastAsia="es-ES"/>
        </w:rPr>
        <w:t>esta</w:t>
      </w:r>
      <w:proofErr w:type="spellEnd"/>
      <w:r w:rsidRPr="0036167B">
        <w:rPr>
          <w:rFonts w:ascii="Arial" w:eastAsia="Times New Roman" w:hAnsi="Arial" w:cs="Arial"/>
          <w:sz w:val="24"/>
          <w:szCs w:val="24"/>
          <w:lang w:val="es-ES" w:eastAsia="es-ES"/>
        </w:rPr>
        <w:t xml:space="preserve"> legitimada por los usos y costumbres de la autoridad de que se trata.</w:t>
      </w:r>
    </w:p>
    <w:p w14:paraId="668A2E54"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lastRenderedPageBreak/>
        <w:t>Solicitamos se recabe del Consejo General del Instituto, para el caso de que nos las envíe con el expediente relativo, los escritos de impugnación presentados.</w:t>
      </w:r>
    </w:p>
    <w:p w14:paraId="5E2033B1"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Suscriben este documento que hacen suyo en su integridad, además de los que aparecen en el proemio de este ocurso, los ciudadanos cuyos nombre y firmas aparecen anexas a este documento y de quienes se acompaña copia simple de su credencial de elector.</w:t>
      </w:r>
    </w:p>
    <w:p w14:paraId="146BEBB7" w14:textId="77777777" w:rsidR="0036167B" w:rsidRPr="0036167B" w:rsidRDefault="0036167B" w:rsidP="0036167B">
      <w:pPr>
        <w:spacing w:before="360" w:after="0" w:line="240" w:lineRule="auto"/>
        <w:ind w:left="1134" w:right="1134"/>
        <w:jc w:val="both"/>
        <w:rPr>
          <w:rFonts w:ascii="Arial" w:eastAsia="Times New Roman" w:hAnsi="Arial" w:cs="Arial"/>
          <w:sz w:val="24"/>
          <w:szCs w:val="24"/>
          <w:lang w:val="es-ES" w:eastAsia="es-ES"/>
        </w:rPr>
      </w:pPr>
      <w:r w:rsidRPr="0036167B">
        <w:rPr>
          <w:rFonts w:ascii="Arial" w:eastAsia="Times New Roman" w:hAnsi="Arial" w:cs="Arial"/>
          <w:sz w:val="24"/>
          <w:szCs w:val="24"/>
          <w:lang w:val="es-ES" w:eastAsia="es-ES"/>
        </w:rPr>
        <w:t xml:space="preserve">Señalamos para recibir notificaciones el domicilio ubicado en la calle Diagonal de Margaritas número 121, colonia Reforma en esta Ciudad, autorizamos para tal efecto a los señores licenciados Jorge Eduardo Franco Jiménez, Edna Georgina Franco Vargas, Graciela Ramírez Luna, Alfredo Rene Vásquez Soriano, así como a los pasantes en derecho Nicolás </w:t>
      </w:r>
      <w:proofErr w:type="spellStart"/>
      <w:r w:rsidRPr="0036167B">
        <w:rPr>
          <w:rFonts w:ascii="Arial" w:eastAsia="Times New Roman" w:hAnsi="Arial" w:cs="Arial"/>
          <w:sz w:val="24"/>
          <w:szCs w:val="24"/>
          <w:lang w:val="es-ES" w:eastAsia="es-ES"/>
        </w:rPr>
        <w:t>Gopar</w:t>
      </w:r>
      <w:proofErr w:type="spellEnd"/>
      <w:r w:rsidRPr="0036167B">
        <w:rPr>
          <w:rFonts w:ascii="Arial" w:eastAsia="Times New Roman" w:hAnsi="Arial" w:cs="Arial"/>
          <w:sz w:val="24"/>
          <w:szCs w:val="24"/>
          <w:lang w:val="es-ES" w:eastAsia="es-ES"/>
        </w:rPr>
        <w:t xml:space="preserve"> Cortés, Viridiana Jurado Hernández, </w:t>
      </w:r>
      <w:proofErr w:type="spellStart"/>
      <w:r w:rsidRPr="0036167B">
        <w:rPr>
          <w:rFonts w:ascii="Arial" w:eastAsia="Times New Roman" w:hAnsi="Arial" w:cs="Arial"/>
          <w:sz w:val="24"/>
          <w:szCs w:val="24"/>
          <w:lang w:val="es-ES" w:eastAsia="es-ES"/>
        </w:rPr>
        <w:t>Samantha</w:t>
      </w:r>
      <w:proofErr w:type="spellEnd"/>
      <w:r w:rsidRPr="0036167B">
        <w:rPr>
          <w:rFonts w:ascii="Arial" w:eastAsia="Times New Roman" w:hAnsi="Arial" w:cs="Arial"/>
          <w:sz w:val="24"/>
          <w:szCs w:val="24"/>
          <w:lang w:val="es-ES" w:eastAsia="es-ES"/>
        </w:rPr>
        <w:t xml:space="preserve"> Ramos Ortega y Roberto Arturo García López.</w:t>
      </w:r>
    </w:p>
    <w:p w14:paraId="0B3E79DD"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Del ejercicio comparativo de lo que plantearon los actores en el escrito señalado y de lo que resolvió la Cámara de Diputados en la resolución que de ella se impugna, se advierte que es acertado lo que afirman los </w:t>
      </w:r>
      <w:proofErr w:type="spellStart"/>
      <w:r w:rsidRPr="0036167B">
        <w:rPr>
          <w:rFonts w:ascii="Arial" w:eastAsia="Times New Roman" w:hAnsi="Arial" w:cs="Arial"/>
          <w:sz w:val="28"/>
          <w:szCs w:val="28"/>
          <w:lang w:val="es-ES" w:eastAsia="es-ES"/>
        </w:rPr>
        <w:t>enjuiciantes</w:t>
      </w:r>
      <w:proofErr w:type="spellEnd"/>
      <w:r w:rsidRPr="0036167B">
        <w:rPr>
          <w:rFonts w:ascii="Arial" w:eastAsia="Times New Roman" w:hAnsi="Arial" w:cs="Arial"/>
          <w:sz w:val="28"/>
          <w:szCs w:val="28"/>
          <w:lang w:val="es-ES" w:eastAsia="es-ES"/>
        </w:rPr>
        <w:t>, en el sentido de que dicha autoridad fue omisa en pronunciarse respecto de los planteamientos sometidos a su consideración.</w:t>
      </w:r>
    </w:p>
    <w:p w14:paraId="76D5D778"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Times New Roman" w:eastAsia="Times New Roman" w:hAnsi="Times New Roman" w:cs="Times New Roman"/>
          <w:sz w:val="24"/>
          <w:szCs w:val="24"/>
          <w:lang w:val="es-ES" w:eastAsia="es-ES"/>
        </w:rPr>
        <w:tab/>
      </w:r>
      <w:r w:rsidRPr="0036167B">
        <w:rPr>
          <w:rFonts w:ascii="Arial" w:eastAsia="Times New Roman" w:hAnsi="Arial" w:cs="Arial"/>
          <w:sz w:val="28"/>
          <w:szCs w:val="28"/>
          <w:lang w:val="es-ES" w:eastAsia="es-ES"/>
        </w:rPr>
        <w:t>Es así, porque en efecto, nada dijo con relación a los siguientes puntos de inconformidad planteados en el escrito en comento:</w:t>
      </w:r>
    </w:p>
    <w:p w14:paraId="04B7FBAD" w14:textId="77777777" w:rsidR="0036167B" w:rsidRPr="0036167B" w:rsidRDefault="0036167B" w:rsidP="0036167B">
      <w:pPr>
        <w:numPr>
          <w:ilvl w:val="0"/>
          <w:numId w:val="9"/>
        </w:num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b/>
          <w:sz w:val="28"/>
          <w:szCs w:val="28"/>
          <w:lang w:val="es-ES" w:eastAsia="es-ES"/>
        </w:rPr>
        <w:t>La falta de conciliación entre las partes atribuida a la autoridad electoral.</w:t>
      </w:r>
    </w:p>
    <w:p w14:paraId="213ED0AD" w14:textId="77777777" w:rsidR="0036167B" w:rsidRPr="0036167B" w:rsidRDefault="0036167B" w:rsidP="0036167B">
      <w:pPr>
        <w:numPr>
          <w:ilvl w:val="0"/>
          <w:numId w:val="9"/>
        </w:num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 xml:space="preserve"> La indebida integración del órgano encargado de dirigir la asamblea de elección.</w:t>
      </w:r>
    </w:p>
    <w:p w14:paraId="01D83280" w14:textId="77777777" w:rsidR="0036167B" w:rsidRPr="0036167B" w:rsidRDefault="0036167B" w:rsidP="0036167B">
      <w:pPr>
        <w:numPr>
          <w:ilvl w:val="0"/>
          <w:numId w:val="9"/>
        </w:num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 El hecho de que se nombró una mesa de debates para presidir la asamblea, así como que ésta se inició media hora después de lo programado en el acuerdo de veintidós de abril del año en curso.</w:t>
      </w:r>
    </w:p>
    <w:p w14:paraId="5E160E12" w14:textId="77777777" w:rsidR="0036167B" w:rsidRPr="0036167B" w:rsidRDefault="0036167B" w:rsidP="0036167B">
      <w:pPr>
        <w:numPr>
          <w:ilvl w:val="0"/>
          <w:numId w:val="9"/>
        </w:num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 La circunstancia de que no se precisaron los integrantes de la asamblea, la forma en que se llevó a cabo, el cómputo realizado, las personas que firmaron en la lista, las planillas que participaron en la elección y en general, diversas irregularidades formales en la celebración de la citada asamblea.</w:t>
      </w:r>
    </w:p>
    <w:p w14:paraId="0F26C3E0"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Cobra singular importancia el primero de los aspectos desatendidos por el Colegio Electoral, atinente a que la determinación del Instituto Estatal Electoral no fue precedida de una conciliación entre las partes, en los términos a que se refiere el artículo 125, del Código de Instituciones Políticas y Procedimientos Electorales de Oaxaca. </w:t>
      </w:r>
    </w:p>
    <w:p w14:paraId="5D35321A"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ab/>
        <w:t>Ante la falta de respuesta expresa a ese punto de disenso, esta Sala Superior, con fundamento en lo dispuesto por el artículo 6°, párrafo 3, de la Ley del Sistema de Medios de Impugnación efectúa el pronunciamiento siguiente:</w:t>
      </w:r>
    </w:p>
    <w:p w14:paraId="5CD00575"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El agravio en mención es </w:t>
      </w:r>
      <w:r w:rsidRPr="0036167B">
        <w:rPr>
          <w:rFonts w:ascii="Arial" w:eastAsia="Times New Roman" w:hAnsi="Arial" w:cs="Arial"/>
          <w:b/>
          <w:sz w:val="28"/>
          <w:szCs w:val="28"/>
          <w:lang w:val="es-ES" w:eastAsia="es-ES"/>
        </w:rPr>
        <w:t xml:space="preserve">fundado </w:t>
      </w:r>
      <w:r w:rsidRPr="0036167B">
        <w:rPr>
          <w:rFonts w:ascii="Arial" w:eastAsia="Times New Roman" w:hAnsi="Arial" w:cs="Arial"/>
          <w:sz w:val="28"/>
          <w:szCs w:val="28"/>
          <w:lang w:val="es-ES" w:eastAsia="es-ES"/>
        </w:rPr>
        <w:t xml:space="preserve">y suficiente para ordenar reponer el trámite atinente a la celebración de la asamblea municipal para la elección de Ayuntamiento de San Nicolás, </w:t>
      </w:r>
      <w:proofErr w:type="spellStart"/>
      <w:r w:rsidRPr="0036167B">
        <w:rPr>
          <w:rFonts w:ascii="Arial" w:eastAsia="Times New Roman" w:hAnsi="Arial" w:cs="Arial"/>
          <w:sz w:val="28"/>
          <w:szCs w:val="28"/>
          <w:lang w:val="es-ES" w:eastAsia="es-ES"/>
        </w:rPr>
        <w:t>Mihuatlán</w:t>
      </w:r>
      <w:proofErr w:type="spellEnd"/>
      <w:r w:rsidRPr="0036167B">
        <w:rPr>
          <w:rFonts w:ascii="Arial" w:eastAsia="Times New Roman" w:hAnsi="Arial" w:cs="Arial"/>
          <w:sz w:val="28"/>
          <w:szCs w:val="28"/>
          <w:lang w:val="es-ES" w:eastAsia="es-ES"/>
        </w:rPr>
        <w:t xml:space="preserve"> Oaxaca, la cual, se desahogó bajo el régimen de derecho consuetudinario.</w:t>
      </w:r>
    </w:p>
    <w:p w14:paraId="336E369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sz w:val="28"/>
          <w:szCs w:val="28"/>
          <w:lang w:val="es-ES" w:eastAsia="es-ES"/>
        </w:rPr>
        <w:tab/>
      </w:r>
      <w:r w:rsidRPr="0036167B">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26302315"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1FBE9E45" w14:textId="77777777" w:rsidR="0036167B" w:rsidRPr="0036167B" w:rsidRDefault="0036167B" w:rsidP="0036167B">
      <w:pPr>
        <w:spacing w:before="480" w:after="100" w:afterAutospacing="1" w:line="480" w:lineRule="auto"/>
        <w:jc w:val="both"/>
        <w:rPr>
          <w:rFonts w:ascii="Arial" w:eastAsia="Times New Roman" w:hAnsi="Arial" w:cs="Arial"/>
          <w:sz w:val="27"/>
          <w:szCs w:val="27"/>
          <w:lang w:val="es-ES" w:eastAsia="es-ES"/>
        </w:rPr>
      </w:pPr>
      <w:r w:rsidRPr="0036167B">
        <w:rPr>
          <w:rFonts w:ascii="Arial" w:eastAsia="Times New Roman" w:hAnsi="Arial" w:cs="Arial"/>
          <w:sz w:val="28"/>
          <w:szCs w:val="28"/>
          <w:lang w:val="es-ES" w:eastAsia="es-ES"/>
        </w:rPr>
        <w:tab/>
        <w:t xml:space="preserve">La necesidad de desahogar una etapa conciliatoria, </w:t>
      </w:r>
      <w:r w:rsidRPr="0036167B">
        <w:rPr>
          <w:rFonts w:ascii="Arial" w:eastAsia="Times New Roman" w:hAnsi="Arial" w:cs="Arial"/>
          <w:b/>
          <w:sz w:val="28"/>
          <w:szCs w:val="28"/>
          <w:lang w:val="es-ES" w:eastAsia="es-ES"/>
        </w:rPr>
        <w:t xml:space="preserve">previa a cualquier resolución, </w:t>
      </w:r>
      <w:r w:rsidRPr="0036167B">
        <w:rPr>
          <w:rFonts w:ascii="Arial" w:eastAsia="Times New Roman" w:hAnsi="Arial" w:cs="Arial"/>
          <w:sz w:val="28"/>
          <w:szCs w:val="28"/>
          <w:lang w:val="es-ES" w:eastAsia="es-ES"/>
        </w:rPr>
        <w:t xml:space="preserve">constituye una obligación instrumental que tiene </w:t>
      </w:r>
      <w:r w:rsidRPr="0036167B">
        <w:rPr>
          <w:rFonts w:ascii="Arial" w:eastAsia="Times New Roman" w:hAnsi="Arial" w:cs="Arial"/>
          <w:sz w:val="28"/>
          <w:szCs w:val="28"/>
          <w:lang w:val="es-ES" w:eastAsia="es-ES"/>
        </w:rPr>
        <w:lastRenderedPageBreak/>
        <w:t>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6ECA7509"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El postulado antes mencionado es reiterado en la normativa del Estado de Oaxaca, al preverse que: </w:t>
      </w:r>
    </w:p>
    <w:p w14:paraId="67F8CE68"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a) El Estado adopta la forma de gobierno republicano, para su régimen interior.</w:t>
      </w:r>
    </w:p>
    <w:p w14:paraId="4F135A99"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 b) Los ayuntamientos son asambleas electas mediante sufragio, y </w:t>
      </w:r>
    </w:p>
    <w:p w14:paraId="34879239"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w:t>
      </w:r>
      <w:r w:rsidRPr="0036167B">
        <w:rPr>
          <w:rFonts w:ascii="Arial" w:eastAsia="Times New Roman" w:hAnsi="Arial" w:cs="Arial"/>
          <w:sz w:val="28"/>
          <w:szCs w:val="28"/>
          <w:lang w:val="es-ES" w:eastAsia="es-ES"/>
        </w:rPr>
        <w:lastRenderedPageBreak/>
        <w:t>primero y tercero, de la Constitución local, y 3°, 17, 20, 22, 23, 24 y 124 del código electoral local).</w:t>
      </w:r>
    </w:p>
    <w:p w14:paraId="50016B19"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El Instituto Estatal Electoral es un ente que goza de autonomía técnica y operativa, pero al estar integrado al poder público, </w:t>
      </w:r>
      <w:r w:rsidRPr="0036167B">
        <w:rPr>
          <w:rFonts w:ascii="Arial" w:eastAsia="Times New Roman" w:hAnsi="Arial" w:cs="Arial"/>
          <w:b/>
          <w:sz w:val="28"/>
          <w:szCs w:val="28"/>
          <w:u w:val="single"/>
          <w:lang w:val="es-ES" w:eastAsia="es-ES"/>
        </w:rPr>
        <w:t>sólo puede hacer lo que la ley le autoriza, e inevitablemente, debe proceder como le ordena la ley,</w:t>
      </w:r>
      <w:r w:rsidRPr="0036167B">
        <w:rPr>
          <w:rFonts w:ascii="Arial" w:eastAsia="Times New Roman" w:hAnsi="Arial" w:cs="Arial"/>
          <w:sz w:val="28"/>
          <w:szCs w:val="28"/>
          <w:lang w:val="es-ES" w:eastAsia="es-ES"/>
        </w:rPr>
        <w:t xml:space="preserve"> en términos de lo prescrito en los artículos 16, párrafo primero, y 116, párrafo segundo, fracción IV, inciso b), de la Constitución federal, y 2° de la constitución local.</w:t>
      </w:r>
    </w:p>
    <w:p w14:paraId="6176887A"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1B5EADD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así como </w:t>
      </w:r>
      <w:r w:rsidRPr="0036167B">
        <w:rPr>
          <w:rFonts w:ascii="Arial" w:eastAsia="Times New Roman" w:hAnsi="Arial" w:cs="Arial"/>
          <w:sz w:val="28"/>
          <w:szCs w:val="28"/>
          <w:lang w:val="es-ES" w:eastAsia="es-ES"/>
        </w:rPr>
        <w:lastRenderedPageBreak/>
        <w:t xml:space="preserve">proteger las tradiciones y prácticas democráticas de las comunidades indígenas, las cuales hasta ahora, se han utilizado para la elección de sus Ayuntamientos, por tanto, no puede tenerse como ajustado a la Constitución Federal ni a la Constitución local, el proceder del Instituto Estatal Electoral de Oaxaca, que no ha dispuesto ni provisto lo suficiente, razonable y necesario para dar vigencia al derecho político de todas las comunidades que integran 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xml:space="preserve"> Oaxaca, para elegir a los concejales al ayuntamiento municipal respectivo, de acuerdo con sus usos y costumbres.</w:t>
      </w:r>
    </w:p>
    <w:p w14:paraId="1A3F5B03"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La autoridad electoral en cuestión, es el órgano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0B933006"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Lo anterior es así, sin perjuicio de que, en el artículo 115 del Código de Instituciones Políticas y Procedimientos Electorales de Oaxaca, se establece que a las autoridades competentes del municipio </w:t>
      </w:r>
      <w:r w:rsidRPr="0036167B">
        <w:rPr>
          <w:rFonts w:ascii="Arial" w:eastAsia="Times New Roman" w:hAnsi="Arial" w:cs="Arial"/>
          <w:sz w:val="28"/>
          <w:szCs w:val="28"/>
          <w:lang w:val="es-ES" w:eastAsia="es-ES"/>
        </w:rPr>
        <w:lastRenderedPageBreak/>
        <w:t>encargadas de la renovación de los ayuntamientos en la comunidad, les corresponde informar oportunamente y por escrito al Instituto Estatal Electoral de la fecha, hora y lugar de la celebración del acto de renovación de concejales del ayuntamiento.</w:t>
      </w:r>
    </w:p>
    <w:p w14:paraId="28A616EB"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Empero, esta última disposición no constituye razón suficiente para liberar al instituto de las obligaciones dirigidas a dar efectividad al ejercicio de derechos político electorales de los ciudadanos, incluidos los integrantes de una comunidad indígena.</w:t>
      </w:r>
    </w:p>
    <w:p w14:paraId="06CA0CD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105A606E"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lastRenderedPageBreak/>
        <w:tab/>
      </w:r>
      <w:r w:rsidRPr="0036167B">
        <w:rPr>
          <w:rFonts w:ascii="Arial" w:eastAsia="Times New Roman" w:hAnsi="Arial" w:cs="Arial"/>
          <w:sz w:val="28"/>
          <w:szCs w:val="28"/>
          <w:lang w:val="es-ES" w:eastAsia="es-ES"/>
        </w:rPr>
        <w:t xml:space="preserve">Es decir, la mencionada autoridad debió disponer lo necesario, suficiente y razonable, a fin de que, de acuerdo con las tradiciones y prácticas democráticas de la comunidad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xml:space="preserve"> Oaxaca se diera plena vigencia al derecho de votar de todos los ciudadanos que la integran.</w:t>
      </w:r>
    </w:p>
    <w:p w14:paraId="76321FC5"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debió realizar lo necesario para que se efectuaran pláticas de conciliación entre los diversos grupos, comunidades, agencias o núcleos que conforman la municipalidad en cuestión, y, en todo caso, si persistían los puntos de disenso entre los mismos, realizar </w:t>
      </w:r>
      <w:r w:rsidRPr="0036167B">
        <w:rPr>
          <w:rFonts w:ascii="Arial" w:eastAsia="Times New Roman" w:hAnsi="Arial" w:cs="Arial"/>
          <w:b/>
          <w:sz w:val="28"/>
          <w:szCs w:val="28"/>
          <w:lang w:val="es-ES" w:eastAsia="es-ES"/>
        </w:rPr>
        <w:t>una consulta a la comunidad</w:t>
      </w:r>
      <w:r w:rsidRPr="0036167B">
        <w:rPr>
          <w:rFonts w:ascii="Arial" w:eastAsia="Times New Roman" w:hAnsi="Arial" w:cs="Arial"/>
          <w:sz w:val="28"/>
          <w:szCs w:val="28"/>
          <w:lang w:val="es-ES" w:eastAsia="es-ES"/>
        </w:rPr>
        <w:t>, para que en su oportunidad, que el propio Consejo General resolviera lo conducente.</w:t>
      </w:r>
    </w:p>
    <w:p w14:paraId="7BF9B12A"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Así, esta Sala Superior, de conformidad con lo dispuesto por el artículo 99, párrafo segundo, fracción V, de la Constitución Federal, debe reparar el orden constitucional violado en esos casos </w:t>
      </w:r>
      <w:r w:rsidRPr="0036167B">
        <w:rPr>
          <w:rFonts w:ascii="Arial" w:eastAsia="Times New Roman" w:hAnsi="Arial" w:cs="Arial"/>
          <w:sz w:val="28"/>
          <w:szCs w:val="28"/>
          <w:lang w:val="es-ES" w:eastAsia="es-ES"/>
        </w:rPr>
        <w:lastRenderedPageBreak/>
        <w:t xml:space="preserve">determinados y restituir a los </w:t>
      </w:r>
      <w:proofErr w:type="spellStart"/>
      <w:r w:rsidRPr="0036167B">
        <w:rPr>
          <w:rFonts w:ascii="Arial" w:eastAsia="Times New Roman" w:hAnsi="Arial" w:cs="Arial"/>
          <w:sz w:val="28"/>
          <w:szCs w:val="28"/>
          <w:lang w:val="es-ES" w:eastAsia="es-ES"/>
        </w:rPr>
        <w:t>promoventes</w:t>
      </w:r>
      <w:proofErr w:type="spellEnd"/>
      <w:r w:rsidRPr="0036167B">
        <w:rPr>
          <w:rFonts w:ascii="Arial" w:eastAsia="Times New Roman" w:hAnsi="Arial" w:cs="Arial"/>
          <w:sz w:val="28"/>
          <w:szCs w:val="28"/>
          <w:lang w:val="es-ES" w:eastAsia="es-ES"/>
        </w:rPr>
        <w:t xml:space="preserve">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y 17 de la propia Constitución Federal, a los integrantes de los pueblos indígenas </w:t>
      </w:r>
      <w:r w:rsidRPr="0036167B">
        <w:rPr>
          <w:rFonts w:ascii="Arial" w:eastAsia="Times New Roman" w:hAnsi="Arial" w:cs="Arial"/>
          <w:b/>
          <w:bCs/>
          <w:sz w:val="28"/>
          <w:szCs w:val="28"/>
          <w:lang w:val="es-ES" w:eastAsia="es-ES"/>
        </w:rPr>
        <w:t>"el efectivo acceso a la jurisdicción del Estado"</w:t>
      </w:r>
      <w:r w:rsidRPr="0036167B">
        <w:rPr>
          <w:rFonts w:ascii="Arial" w:eastAsia="Times New Roman" w:hAnsi="Arial" w:cs="Arial"/>
          <w:sz w:val="28"/>
          <w:szCs w:val="28"/>
          <w:lang w:val="es-ES" w:eastAsia="es-ES"/>
        </w:rPr>
        <w:t>.</w:t>
      </w:r>
    </w:p>
    <w:p w14:paraId="350E87FA"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b/>
          <w:sz w:val="28"/>
          <w:szCs w:val="28"/>
          <w:lang w:val="es-ES" w:eastAsia="es-ES"/>
        </w:rPr>
        <w:tab/>
        <w:t xml:space="preserve">No es obstáculo para analizar la inconstitucionalidad y legalidad del decreto número 7, publicado en el Periódico Oficial, órgano del Gobierno del Estado Libre y Soberano de Oaxaca, únicamente en lo que corresponde a la elección de Ayuntamiento en el municipio de San Nicolás </w:t>
      </w:r>
      <w:proofErr w:type="spellStart"/>
      <w:r w:rsidRPr="0036167B">
        <w:rPr>
          <w:rFonts w:ascii="Arial" w:eastAsia="Times New Roman" w:hAnsi="Arial" w:cs="Arial"/>
          <w:b/>
          <w:sz w:val="28"/>
          <w:szCs w:val="28"/>
          <w:lang w:val="es-ES" w:eastAsia="es-ES"/>
        </w:rPr>
        <w:t>Miahuatlán</w:t>
      </w:r>
      <w:proofErr w:type="spellEnd"/>
      <w:r w:rsidRPr="0036167B">
        <w:rPr>
          <w:rFonts w:ascii="Arial" w:eastAsia="Times New Roman" w:hAnsi="Arial" w:cs="Arial"/>
          <w:b/>
          <w:sz w:val="28"/>
          <w:szCs w:val="28"/>
          <w:lang w:val="es-ES" w:eastAsia="es-ES"/>
        </w:rPr>
        <w:t>, Oaxaca, porque si este medio está dirigido a permitir el</w:t>
      </w:r>
      <w:r w:rsidRPr="0036167B">
        <w:rPr>
          <w:rFonts w:ascii="Arial" w:eastAsia="Times New Roman" w:hAnsi="Arial" w:cs="Arial"/>
          <w:sz w:val="28"/>
          <w:szCs w:val="28"/>
          <w:lang w:val="es-ES" w:eastAsia="es-ES"/>
        </w:rPr>
        <w:t xml:space="preserve"> </w:t>
      </w:r>
      <w:r w:rsidRPr="0036167B">
        <w:rPr>
          <w:rFonts w:ascii="Arial" w:eastAsia="Times New Roman" w:hAnsi="Arial" w:cs="Arial"/>
          <w:b/>
          <w:sz w:val="28"/>
          <w:szCs w:val="28"/>
          <w:lang w:val="es-ES" w:eastAsia="es-ES"/>
        </w:rPr>
        <w:t xml:space="preserve">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w:t>
      </w:r>
      <w:r w:rsidRPr="0036167B">
        <w:rPr>
          <w:rFonts w:ascii="Arial" w:eastAsia="Times New Roman" w:hAnsi="Arial" w:cs="Arial"/>
          <w:b/>
          <w:sz w:val="28"/>
          <w:szCs w:val="28"/>
          <w:lang w:val="es-ES" w:eastAsia="es-ES"/>
        </w:rPr>
        <w:lastRenderedPageBreak/>
        <w:t>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09835512"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w:t>
      </w:r>
      <w:r w:rsidRPr="0036167B">
        <w:rPr>
          <w:rFonts w:ascii="Arial" w:eastAsia="Times New Roman" w:hAnsi="Arial" w:cs="Arial"/>
          <w:sz w:val="28"/>
          <w:szCs w:val="28"/>
          <w:lang w:val="es-ES" w:eastAsia="es-ES"/>
        </w:rPr>
        <w:lastRenderedPageBreak/>
        <w:t>c), de la Ley general del Sistema de Medios de Impugnación en Materia Electoral.</w:t>
      </w:r>
    </w:p>
    <w:p w14:paraId="0E633F73"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De ese modo, en términos de lo dispuesto en los artículos 99, fracción V, de la Constitución federal, así como 84, párrafo 1, inciso b), </w:t>
      </w:r>
      <w:r w:rsidRPr="0036167B">
        <w:rPr>
          <w:rFonts w:ascii="Arial" w:eastAsia="Times New Roman" w:hAnsi="Arial" w:cs="Arial"/>
          <w:i/>
          <w:iCs/>
          <w:sz w:val="28"/>
          <w:szCs w:val="28"/>
          <w:lang w:val="es-ES" w:eastAsia="es-ES"/>
        </w:rPr>
        <w:t>in fine</w:t>
      </w:r>
      <w:r w:rsidRPr="0036167B">
        <w:rPr>
          <w:rFonts w:ascii="Arial" w:eastAsia="Times New Roman" w:hAnsi="Arial" w:cs="Arial"/>
          <w:sz w:val="28"/>
          <w:szCs w:val="28"/>
          <w:lang w:val="es-ES" w:eastAsia="es-ES"/>
        </w:rPr>
        <w:t xml:space="preserve">, de la Ley General del Sistema de Medios de Impugnación en Materia Electoral, esta Sala Superior considera que debe disponerse en este juicio lo necesario para restituir a los </w:t>
      </w:r>
      <w:proofErr w:type="spellStart"/>
      <w:r w:rsidRPr="0036167B">
        <w:rPr>
          <w:rFonts w:ascii="Arial" w:eastAsia="Times New Roman" w:hAnsi="Arial" w:cs="Arial"/>
          <w:sz w:val="28"/>
          <w:szCs w:val="28"/>
          <w:lang w:val="es-ES" w:eastAsia="es-ES"/>
        </w:rPr>
        <w:t>promoventes</w:t>
      </w:r>
      <w:proofErr w:type="spellEnd"/>
      <w:r w:rsidRPr="0036167B">
        <w:rPr>
          <w:rFonts w:ascii="Arial" w:eastAsia="Times New Roman" w:hAnsi="Arial" w:cs="Arial"/>
          <w:sz w:val="28"/>
          <w:szCs w:val="28"/>
          <w:lang w:val="es-ES" w:eastAsia="es-ES"/>
        </w:rPr>
        <w:t xml:space="preserve"> en el uso y goce del derecho político-electoral que le haya sido violado, por lo que si en el caso, el Colegio Electoral del Estado de Oaxaca emitió determinación de validez, </w:t>
      </w:r>
      <w:r w:rsidRPr="0036167B">
        <w:rPr>
          <w:rFonts w:ascii="Arial" w:eastAsia="Times New Roman" w:hAnsi="Arial" w:cs="Arial"/>
          <w:b/>
          <w:sz w:val="28"/>
          <w:szCs w:val="28"/>
          <w:lang w:val="es-ES" w:eastAsia="es-ES"/>
        </w:rPr>
        <w:t xml:space="preserve">sin haber verificado que el Instituto hubiese celebrado una de las etapas indispensables que debe darse antes de la emisión de cualquier resolución, </w:t>
      </w:r>
      <w:r w:rsidRPr="0036167B">
        <w:rPr>
          <w:rFonts w:ascii="Arial" w:eastAsia="Times New Roman" w:hAnsi="Arial" w:cs="Arial"/>
          <w:sz w:val="28"/>
          <w:szCs w:val="28"/>
          <w:lang w:val="es-ES" w:eastAsia="es-ES"/>
        </w:rPr>
        <w:t>es inconcuso que al asistirles la razón a los ahora actores, esta Sala, en ejercicio de sus atribuciones, debe proveer lo necesario a efecto de reparar dicha violación.</w:t>
      </w:r>
    </w:p>
    <w:p w14:paraId="1085E331"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sz w:val="28"/>
          <w:szCs w:val="28"/>
          <w:lang w:val="es-ES" w:eastAsia="es-ES"/>
        </w:rPr>
        <w:t xml:space="preserve">En razón de lo anterior, esta Sala Superior estima que debe ordenarse al Consejo General del Instituto Estatal Electoral que, en términos de lo previsto en los artículos 16, párrafo segundo; 25, párrafo decimoquinto y 29, párrafo segundo, de la Constitución Política del Estado Libre y Soberano de Oaxaca, y 18, 22, 23, 24, párrafo 1, 109, </w:t>
      </w:r>
      <w:r w:rsidRPr="0036167B">
        <w:rPr>
          <w:rFonts w:ascii="Arial" w:eastAsia="Times New Roman" w:hAnsi="Arial" w:cs="Arial"/>
          <w:sz w:val="28"/>
          <w:szCs w:val="28"/>
          <w:lang w:val="es-ES" w:eastAsia="es-ES"/>
        </w:rPr>
        <w:lastRenderedPageBreak/>
        <w:t xml:space="preserve">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Oaxaca.</w:t>
      </w:r>
    </w:p>
    <w:p w14:paraId="7B697C0E" w14:textId="77777777" w:rsidR="0036167B" w:rsidRPr="0036167B" w:rsidRDefault="0036167B" w:rsidP="0036167B">
      <w:pPr>
        <w:spacing w:before="48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sz w:val="28"/>
          <w:szCs w:val="28"/>
          <w:lang w:val="es-ES" w:eastAsia="es-ES"/>
        </w:rPr>
        <w:tab/>
      </w:r>
      <w:r w:rsidRPr="0036167B">
        <w:rPr>
          <w:rFonts w:ascii="Arial" w:eastAsia="Times New Roman" w:hAnsi="Arial" w:cs="Arial"/>
          <w:b/>
          <w:sz w:val="28"/>
          <w:szCs w:val="28"/>
          <w:lang w:val="es-ES" w:eastAsia="es-ES"/>
        </w:rPr>
        <w:t xml:space="preserve">Asimismo, se estima que debe quedar sin efectos el Decreto número 7, del Congreso del Estado Libre y Soberano de Oaxaca, publicado el quince de diciembre de dos mil siete, en el Periódico Oficial del Estado de Oaxaca, por lo que se refiere al municipio de San Nicolás, </w:t>
      </w:r>
      <w:proofErr w:type="spellStart"/>
      <w:r w:rsidRPr="0036167B">
        <w:rPr>
          <w:rFonts w:ascii="Arial" w:eastAsia="Times New Roman" w:hAnsi="Arial" w:cs="Arial"/>
          <w:b/>
          <w:sz w:val="28"/>
          <w:szCs w:val="28"/>
          <w:lang w:val="es-ES" w:eastAsia="es-ES"/>
        </w:rPr>
        <w:t>Miahuatlán</w:t>
      </w:r>
      <w:proofErr w:type="spellEnd"/>
      <w:r w:rsidRPr="0036167B">
        <w:rPr>
          <w:rFonts w:ascii="Arial" w:eastAsia="Times New Roman" w:hAnsi="Arial" w:cs="Arial"/>
          <w:b/>
          <w:sz w:val="28"/>
          <w:szCs w:val="28"/>
          <w:lang w:val="es-ES" w:eastAsia="es-ES"/>
        </w:rPr>
        <w:t>, Oaxaca.</w:t>
      </w:r>
    </w:p>
    <w:p w14:paraId="18C91A3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36167B">
        <w:rPr>
          <w:rFonts w:ascii="Arial" w:eastAsia="Times New Roman" w:hAnsi="Arial" w:cs="Arial"/>
          <w:b/>
          <w:sz w:val="28"/>
          <w:szCs w:val="28"/>
          <w:lang w:val="es-ES" w:eastAsia="es-ES"/>
        </w:rPr>
        <w:t>sesenta días</w:t>
      </w:r>
      <w:r w:rsidRPr="0036167B">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debiendo remitir </w:t>
      </w:r>
      <w:r w:rsidRPr="0036167B">
        <w:rPr>
          <w:rFonts w:ascii="Arial" w:eastAsia="Times New Roman" w:hAnsi="Arial" w:cs="Arial"/>
          <w:b/>
          <w:sz w:val="28"/>
          <w:szCs w:val="28"/>
          <w:lang w:val="es-ES" w:eastAsia="es-ES"/>
        </w:rPr>
        <w:t xml:space="preserve">en el orden en que se desahoguen, las distintas etapas del proceso de elección para concejales del municipio de San Nicolás </w:t>
      </w:r>
      <w:proofErr w:type="spellStart"/>
      <w:r w:rsidRPr="0036167B">
        <w:rPr>
          <w:rFonts w:ascii="Arial" w:eastAsia="Times New Roman" w:hAnsi="Arial" w:cs="Arial"/>
          <w:b/>
          <w:sz w:val="28"/>
          <w:szCs w:val="28"/>
          <w:lang w:val="es-ES" w:eastAsia="es-ES"/>
        </w:rPr>
        <w:t>Mihuatlán</w:t>
      </w:r>
      <w:proofErr w:type="spellEnd"/>
      <w:r w:rsidRPr="0036167B">
        <w:rPr>
          <w:rFonts w:ascii="Arial" w:eastAsia="Times New Roman" w:hAnsi="Arial" w:cs="Arial"/>
          <w:b/>
          <w:sz w:val="28"/>
          <w:szCs w:val="28"/>
          <w:lang w:val="es-ES" w:eastAsia="es-ES"/>
        </w:rPr>
        <w:t xml:space="preserve">, Oaxaca, </w:t>
      </w:r>
      <w:r w:rsidRPr="0036167B">
        <w:rPr>
          <w:rFonts w:ascii="Arial" w:eastAsia="Times New Roman" w:hAnsi="Arial" w:cs="Arial"/>
          <w:sz w:val="28"/>
          <w:szCs w:val="28"/>
          <w:lang w:val="es-ES" w:eastAsia="es-ES"/>
        </w:rPr>
        <w:t xml:space="preserve">copia certificada de las constancias o actuaciones que demuestren el cumplimiento que se dé </w:t>
      </w:r>
      <w:r w:rsidRPr="0036167B">
        <w:rPr>
          <w:rFonts w:ascii="Arial" w:eastAsia="Times New Roman" w:hAnsi="Arial" w:cs="Arial"/>
          <w:sz w:val="28"/>
          <w:szCs w:val="28"/>
          <w:lang w:val="es-ES" w:eastAsia="es-ES"/>
        </w:rPr>
        <w:lastRenderedPageBreak/>
        <w:t>a la ejecutoria, así como cada uno de los actos que se desplieguen para lograrlo.</w:t>
      </w:r>
    </w:p>
    <w:p w14:paraId="75FEECC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Lo expuesto sin perjuicio que el Congreso del Estado de Oaxaca, ejerza la facultad de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4FCE1E07"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En vista de lo resuelto en la presente ejecutoria, deviene innecesario el examen de los restantes motivos de inconformidad que exponen los actores.  </w:t>
      </w:r>
    </w:p>
    <w:p w14:paraId="3162D214"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 xml:space="preserve"> En mérito de lo anterior, al haberse promovido el presente medio de impugnación por doce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w:t>
      </w:r>
      <w:r w:rsidRPr="0036167B">
        <w:rPr>
          <w:rFonts w:ascii="Arial" w:eastAsia="Times New Roman" w:hAnsi="Arial" w:cs="Arial"/>
          <w:sz w:val="28"/>
          <w:szCs w:val="28"/>
          <w:lang w:val="es-ES" w:eastAsia="es-ES"/>
        </w:rPr>
        <w:lastRenderedPageBreak/>
        <w:t>notificada, en forma personal, la determinación anteriormente alcanzada, recayendo dicho nombramiento en el ciudadano Javier Felipe Ortiz García, por ser quien aparece en primer lugar en el escrito de demanda.</w:t>
      </w:r>
    </w:p>
    <w:p w14:paraId="37221372" w14:textId="77777777" w:rsidR="0036167B" w:rsidRPr="0036167B" w:rsidRDefault="0036167B" w:rsidP="0036167B">
      <w:pPr>
        <w:spacing w:before="48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Dado el sentido de la presente ejecutoria, deviene innecesario el estudio de los restantes motivos de inconformidad que formulan los accionantes.</w:t>
      </w:r>
    </w:p>
    <w:p w14:paraId="3150CF83"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b/>
          <w:sz w:val="28"/>
          <w:szCs w:val="28"/>
          <w:lang w:val="es-ES" w:eastAsia="es-ES"/>
        </w:rPr>
        <w:t xml:space="preserve">CUARTO. Amonestación al Instituto Estatal Electoral de Oaxaca. </w:t>
      </w:r>
      <w:r w:rsidRPr="0036167B">
        <w:rPr>
          <w:rFonts w:ascii="Arial" w:eastAsia="Times New Roman" w:hAnsi="Arial" w:cs="Arial"/>
          <w:sz w:val="28"/>
          <w:szCs w:val="28"/>
          <w:lang w:val="es-ES" w:eastAsia="es-ES"/>
        </w:rPr>
        <w:t>El sentido de la presente determinación no impide que esta Sala Superior ejerza la potestad que le confiere el artículo 32, párrafo 1, de la Ley del Sistema de Medios de Impugnación en Materia Electoral.</w:t>
      </w:r>
    </w:p>
    <w:p w14:paraId="043598EE"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Del análisis precedente, se advierte que en efecto, el Instituto Estatal Electoral al conocer la controversia suscitada con motivo de la renovación de ayuntamientos bajo las normas de derecho consuetudinario del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Oaxaca, infringió las formalidades esenciales a que estaba obligado, de acuerdo a las atribuciones que le corresponden, por razón de su competencia.</w:t>
      </w:r>
    </w:p>
    <w:p w14:paraId="173888C1"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 xml:space="preserve">Es así, porque por una parte, no proveyó lo necesario ni se condujo de tal manera que propiciara verdaderamente una conciliación entre los grupos integrantes de dicha municipalidad, ni menos </w:t>
      </w:r>
      <w:proofErr w:type="spellStart"/>
      <w:r w:rsidRPr="0036167B">
        <w:rPr>
          <w:rFonts w:ascii="Arial" w:eastAsia="Times New Roman" w:hAnsi="Arial" w:cs="Arial"/>
          <w:sz w:val="28"/>
          <w:szCs w:val="28"/>
          <w:lang w:val="es-ES" w:eastAsia="es-ES"/>
        </w:rPr>
        <w:t>aun</w:t>
      </w:r>
      <w:proofErr w:type="spellEnd"/>
      <w:r w:rsidRPr="0036167B">
        <w:rPr>
          <w:rFonts w:ascii="Arial" w:eastAsia="Times New Roman" w:hAnsi="Arial" w:cs="Arial"/>
          <w:sz w:val="28"/>
          <w:szCs w:val="28"/>
          <w:lang w:val="es-ES" w:eastAsia="es-ES"/>
        </w:rPr>
        <w:t>,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6EE3009E"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un número razonable de pláticas de conciliación, o que de alguna manera se satisfaga esa finalidad de conciliación entre las partes, a fin de que sólo en el caso de que subsistan los puntos de disenso, se lleve a cabo una consulta a la comunidad.</w:t>
      </w:r>
    </w:p>
    <w:p w14:paraId="159BA98F"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El imperativo precisado con anterioridad, se ha estimado inexcusable para la autoridad electoral a efecto de alcanzar los </w:t>
      </w:r>
      <w:r w:rsidRPr="0036167B">
        <w:rPr>
          <w:rFonts w:ascii="Arial" w:eastAsia="Times New Roman" w:hAnsi="Arial" w:cs="Arial"/>
          <w:sz w:val="28"/>
          <w:szCs w:val="28"/>
          <w:lang w:val="es-ES" w:eastAsia="es-ES"/>
        </w:rPr>
        <w:lastRenderedPageBreak/>
        <w:t>principios de objetividad, certeza, legalidad y profesionalismo en la materia electoral, motivo por el cual, es una obligación instrumental ineludible, dirigida a proteger y promover el uso y desarrollo de los usos y costumbres, así como las formas específicas de la organización de esos grupos o comunidades.</w:t>
      </w:r>
    </w:p>
    <w:p w14:paraId="0FC485AE" w14:textId="77777777" w:rsidR="0036167B" w:rsidRPr="0036167B" w:rsidRDefault="0036167B" w:rsidP="0036167B">
      <w:pPr>
        <w:spacing w:before="480"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párrafos primero, tercero y cuarto de la Constitución Política del Estado de Oaxaca, estaba indudablemente obligado a proveer lo necesario para su consecución.</w:t>
      </w:r>
    </w:p>
    <w:p w14:paraId="01491691" w14:textId="77777777" w:rsidR="0036167B" w:rsidRPr="0036167B" w:rsidRDefault="0036167B" w:rsidP="0036167B">
      <w:pPr>
        <w:spacing w:before="480" w:after="100" w:afterAutospacing="1" w:line="480" w:lineRule="auto"/>
        <w:jc w:val="both"/>
        <w:rPr>
          <w:rFonts w:ascii="Arial" w:eastAsia="MS Mincho" w:hAnsi="Arial" w:cs="Arial"/>
          <w:sz w:val="28"/>
          <w:szCs w:val="28"/>
          <w:lang w:eastAsia="es-ES"/>
        </w:rPr>
      </w:pPr>
      <w:r w:rsidRPr="0036167B">
        <w:rPr>
          <w:rFonts w:ascii="Times New Roman" w:eastAsia="Times New Roman" w:hAnsi="Times New Roman" w:cs="Times New Roman"/>
          <w:sz w:val="28"/>
          <w:szCs w:val="28"/>
          <w:lang w:val="es-ES" w:eastAsia="es-ES"/>
        </w:rPr>
        <w:tab/>
      </w:r>
      <w:r w:rsidRPr="0036167B">
        <w:rPr>
          <w:rFonts w:ascii="Arial" w:eastAsia="Times New Roman" w:hAnsi="Arial" w:cs="Arial"/>
          <w:sz w:val="28"/>
          <w:szCs w:val="28"/>
          <w:lang w:val="es-ES" w:eastAsia="es-ES"/>
        </w:rPr>
        <w:t xml:space="preserve">Sirve de apoyo la </w:t>
      </w:r>
      <w:r w:rsidRPr="0036167B">
        <w:rPr>
          <w:rFonts w:ascii="Arial" w:eastAsia="Times New Roman" w:hAnsi="Arial" w:cs="Arial"/>
          <w:sz w:val="28"/>
          <w:szCs w:val="28"/>
          <w:lang w:eastAsia="es-ES"/>
        </w:rPr>
        <w:t xml:space="preserve">tesis relevante S3EL 143/2002, apreciable en la </w:t>
      </w:r>
      <w:r w:rsidRPr="0036167B">
        <w:rPr>
          <w:rFonts w:ascii="Arial" w:eastAsia="MS Mincho" w:hAnsi="Arial" w:cs="Arial"/>
          <w:sz w:val="28"/>
          <w:szCs w:val="28"/>
          <w:lang w:eastAsia="es-ES"/>
        </w:rPr>
        <w:t>Compilación Oficial de Jurisprudencia y Tesis Relevantes 1997-2005, páginas 957-959, que dispone:</w:t>
      </w:r>
    </w:p>
    <w:p w14:paraId="6BF36E8C" w14:textId="77777777" w:rsidR="0036167B" w:rsidRPr="0036167B" w:rsidRDefault="0036167B" w:rsidP="0036167B">
      <w:pPr>
        <w:spacing w:before="360" w:after="100" w:afterAutospacing="1" w:line="240" w:lineRule="auto"/>
        <w:ind w:left="902" w:right="1690"/>
        <w:jc w:val="both"/>
        <w:rPr>
          <w:rFonts w:ascii="Arial" w:eastAsia="Times New Roman" w:hAnsi="Arial" w:cs="Arial"/>
          <w:sz w:val="28"/>
          <w:szCs w:val="28"/>
          <w:lang w:val="es-ES" w:eastAsia="es-ES"/>
        </w:rPr>
      </w:pPr>
      <w:r w:rsidRPr="0036167B">
        <w:rPr>
          <w:rFonts w:ascii="Arial" w:eastAsia="MS Mincho" w:hAnsi="Arial" w:cs="Arial"/>
          <w:b/>
          <w:sz w:val="24"/>
          <w:szCs w:val="24"/>
          <w:lang w:eastAsia="es-ES"/>
        </w:rPr>
        <w:t>USOS Y COSTUMBRES INDÍGENAS.</w:t>
      </w:r>
      <w:r w:rsidRPr="0036167B">
        <w:rPr>
          <w:rFonts w:ascii="Arial" w:eastAsia="Times New Roman" w:hAnsi="Arial" w:cs="Arial"/>
          <w:b/>
          <w:sz w:val="24"/>
          <w:szCs w:val="24"/>
          <w:lang w:eastAsia="es-ES"/>
        </w:rPr>
        <w:t xml:space="preserve"> ATRIBUCIONES DEL CONSEJO GENERAL DEL INSTITUTO ESTATAL </w:t>
      </w:r>
      <w:r w:rsidRPr="0036167B">
        <w:rPr>
          <w:rFonts w:ascii="Arial" w:eastAsia="Times New Roman" w:hAnsi="Arial" w:cs="Arial"/>
          <w:b/>
          <w:sz w:val="24"/>
          <w:szCs w:val="24"/>
          <w:lang w:eastAsia="es-ES"/>
        </w:rPr>
        <w:lastRenderedPageBreak/>
        <w:t>ELECTORAL DE OAXACA EN LAS ELECCIONES—</w:t>
      </w:r>
      <w:r w:rsidRPr="0036167B">
        <w:rPr>
          <w:rFonts w:ascii="Arial" w:eastAsia="Times New Roman" w:hAnsi="Arial" w:cs="Arial"/>
          <w:sz w:val="24"/>
          <w:szCs w:val="24"/>
          <w:lang w:eastAsia="es-ES"/>
        </w:rPr>
        <w:t xml:space="preserve">De acuerdo con lo dispuesto en los artículos 22, 23 y 125 del Código de Instituciones Políticas y Procedimientos Electorales de Oaxaca, el Instituto Estatal Electoral,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w:t>
      </w:r>
      <w:proofErr w:type="spellStart"/>
      <w:r w:rsidRPr="0036167B">
        <w:rPr>
          <w:rFonts w:ascii="Arial" w:eastAsia="Times New Roman" w:hAnsi="Arial" w:cs="Arial"/>
          <w:sz w:val="24"/>
          <w:szCs w:val="24"/>
          <w:lang w:eastAsia="es-ES"/>
        </w:rPr>
        <w:t>autocompositivos</w:t>
      </w:r>
      <w:proofErr w:type="spellEnd"/>
      <w:r w:rsidRPr="0036167B">
        <w:rPr>
          <w:rFonts w:ascii="Arial" w:eastAsia="Times New Roman" w:hAnsi="Arial" w:cs="Arial"/>
          <w:sz w:val="24"/>
          <w:szCs w:val="24"/>
          <w:lang w:eastAsia="es-ES"/>
        </w:rPr>
        <w:t xml:space="preserve"> se acuda al expediente </w:t>
      </w:r>
      <w:proofErr w:type="spellStart"/>
      <w:r w:rsidRPr="0036167B">
        <w:rPr>
          <w:rFonts w:ascii="Arial" w:eastAsia="Times New Roman" w:hAnsi="Arial" w:cs="Arial"/>
          <w:sz w:val="24"/>
          <w:szCs w:val="24"/>
          <w:lang w:eastAsia="es-ES"/>
        </w:rPr>
        <w:t>heterocompositivo</w:t>
      </w:r>
      <w:proofErr w:type="spellEnd"/>
      <w:r w:rsidRPr="0036167B">
        <w:rPr>
          <w:rFonts w:ascii="Arial" w:eastAsia="Times New Roman" w:hAnsi="Arial" w:cs="Arial"/>
          <w:sz w:val="24"/>
          <w:szCs w:val="24"/>
          <w:lang w:eastAsia="es-ES"/>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w:t>
      </w:r>
      <w:r w:rsidRPr="0036167B">
        <w:rPr>
          <w:rFonts w:ascii="Arial" w:eastAsia="Times New Roman" w:hAnsi="Arial" w:cs="Arial"/>
          <w:sz w:val="24"/>
          <w:szCs w:val="24"/>
          <w:lang w:eastAsia="es-ES"/>
        </w:rPr>
        <w:lastRenderedPageBreak/>
        <w:t>y se reitera en los artículos 29, párrafo primero y 98, párrafos primero y tercero de la Constitución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74E4E1B3" w14:textId="77777777" w:rsidR="0036167B" w:rsidRPr="0036167B" w:rsidRDefault="0036167B" w:rsidP="0036167B">
      <w:pPr>
        <w:spacing w:before="100" w:beforeAutospacing="1"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lastRenderedPageBreak/>
        <w:t>Tampoco se aprecia que haya procedido adecuadamente, con respecto al escrito que le fue presentado diez de octubre de dos mil siete, pues no hizo pronunciamiento al respecto, lo cual, sin lugar a dudas, dejó a los actores en estado de indefensión, al no proveer al respecto, no obstante que en él, se hacían valer diversas irregularidades relacionadas con la asamblea municipal de siete de octubre del presente año.</w:t>
      </w:r>
    </w:p>
    <w:p w14:paraId="0BB38A8A" w14:textId="77777777" w:rsidR="0036167B" w:rsidRPr="0036167B" w:rsidRDefault="0036167B" w:rsidP="0036167B">
      <w:pPr>
        <w:spacing w:before="100" w:beforeAutospacing="1" w:after="100" w:afterAutospacing="1" w:line="480" w:lineRule="auto"/>
        <w:ind w:firstLine="900"/>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 xml:space="preserve">Consecuentemente, con el fin de evitar la repetición del mencionado proceder </w:t>
      </w:r>
      <w:proofErr w:type="spellStart"/>
      <w:r w:rsidRPr="0036167B">
        <w:rPr>
          <w:rFonts w:ascii="Arial" w:eastAsia="Times New Roman" w:hAnsi="Arial" w:cs="Arial"/>
          <w:sz w:val="28"/>
          <w:szCs w:val="28"/>
          <w:lang w:val="es-ES" w:eastAsia="es-ES"/>
        </w:rPr>
        <w:t>omisivo</w:t>
      </w:r>
      <w:proofErr w:type="spellEnd"/>
      <w:r w:rsidRPr="0036167B">
        <w:rPr>
          <w:rFonts w:ascii="Arial" w:eastAsia="Times New Roman" w:hAnsi="Arial" w:cs="Arial"/>
          <w:sz w:val="28"/>
          <w:szCs w:val="28"/>
          <w:lang w:val="es-ES" w:eastAsia="es-ES"/>
        </w:rPr>
        <w:t xml:space="preserve">, que atentó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del Código de Instituciones Políticas y Procedimientos Electorales de Oaxaca y a su vez, para que provea respecto de todas y cada una de las promociones que le sean promovidas, en su caso, pronunciándose respecto de la procedencia o no de los medios impugnativos que le sean interpuestos, y emitiendo una resolución al respecto debidamente fundada y </w:t>
      </w:r>
      <w:r w:rsidRPr="0036167B">
        <w:rPr>
          <w:rFonts w:ascii="Arial" w:eastAsia="Times New Roman" w:hAnsi="Arial" w:cs="Arial"/>
          <w:sz w:val="28"/>
          <w:szCs w:val="28"/>
          <w:lang w:val="es-ES" w:eastAsia="es-ES"/>
        </w:rPr>
        <w:lastRenderedPageBreak/>
        <w:t>motivada, en la que respete las formalidades esenciales del procedimiento.</w:t>
      </w:r>
    </w:p>
    <w:p w14:paraId="01D68303" w14:textId="77777777" w:rsidR="0036167B" w:rsidRPr="0036167B" w:rsidRDefault="0036167B" w:rsidP="0036167B">
      <w:pPr>
        <w:spacing w:before="100" w:beforeAutospacing="1" w:after="100" w:afterAutospacing="1" w:line="240" w:lineRule="auto"/>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Por lo anteriormente expuesto y fundado, se</w:t>
      </w:r>
    </w:p>
    <w:p w14:paraId="1D6CCA61" w14:textId="77777777" w:rsidR="0036167B" w:rsidRPr="0036167B" w:rsidRDefault="0036167B" w:rsidP="0036167B">
      <w:pPr>
        <w:spacing w:before="360" w:after="100" w:afterAutospacing="1" w:line="240" w:lineRule="auto"/>
        <w:jc w:val="center"/>
        <w:rPr>
          <w:rFonts w:ascii="Arial" w:eastAsia="Times New Roman" w:hAnsi="Arial" w:cs="Arial"/>
          <w:b/>
          <w:bCs/>
          <w:sz w:val="28"/>
          <w:szCs w:val="28"/>
          <w:lang w:val="pt-BR" w:eastAsia="es-ES"/>
        </w:rPr>
      </w:pPr>
      <w:bookmarkStart w:id="18" w:name="resuelve"/>
      <w:r w:rsidRPr="0036167B">
        <w:rPr>
          <w:rFonts w:ascii="Arial" w:eastAsia="Times New Roman" w:hAnsi="Arial" w:cs="Arial"/>
          <w:b/>
          <w:bCs/>
          <w:sz w:val="28"/>
          <w:szCs w:val="28"/>
          <w:lang w:val="pt-BR" w:eastAsia="es-ES"/>
        </w:rPr>
        <w:t>R E S U E L V E</w:t>
      </w:r>
      <w:bookmarkEnd w:id="18"/>
      <w:r w:rsidRPr="0036167B">
        <w:rPr>
          <w:rFonts w:ascii="Arial" w:eastAsia="Times New Roman" w:hAnsi="Arial" w:cs="Arial"/>
          <w:b/>
          <w:bCs/>
          <w:sz w:val="28"/>
          <w:szCs w:val="28"/>
          <w:lang w:val="pt-BR" w:eastAsia="es-ES"/>
        </w:rPr>
        <w:t>:</w:t>
      </w:r>
    </w:p>
    <w:p w14:paraId="719CBF3C" w14:textId="77777777" w:rsidR="0036167B" w:rsidRPr="0036167B" w:rsidRDefault="0036167B" w:rsidP="0036167B">
      <w:pPr>
        <w:spacing w:before="36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pt-BR" w:eastAsia="es-ES"/>
        </w:rPr>
        <w:tab/>
        <w:t xml:space="preserve">PRIMERO.- </w:t>
      </w:r>
      <w:r w:rsidRPr="0036167B">
        <w:rPr>
          <w:rFonts w:ascii="Arial" w:eastAsia="Times New Roman" w:hAnsi="Arial" w:cs="Arial"/>
          <w:sz w:val="28"/>
          <w:szCs w:val="28"/>
          <w:lang w:val="es-ES" w:eastAsia="es-ES"/>
        </w:rPr>
        <w:t xml:space="preserve">Quedan sin efecto, tanto el acuerdo de seis de noviembre de dos mil siete, emitido por el Consejo General del Instituto Estatal Electoral del Estado de Oaxaca, como el Decreto número 7, del Congreso del Estado Libre y Soberano de Oaxaca, publicado el quince de diciembre de dos mil siete, en el Periódico Oficial del Estado de Oaxaca, por lo que se refiere al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Oaxaca.</w:t>
      </w:r>
    </w:p>
    <w:p w14:paraId="25614308" w14:textId="77777777" w:rsidR="0036167B" w:rsidRPr="0036167B" w:rsidRDefault="0036167B" w:rsidP="0036167B">
      <w:pPr>
        <w:spacing w:before="360" w:after="100" w:afterAutospacing="1" w:line="480" w:lineRule="auto"/>
        <w:jc w:val="both"/>
        <w:rPr>
          <w:rFonts w:ascii="Arial" w:eastAsia="Times New Roman" w:hAnsi="Arial" w:cs="Arial"/>
          <w:b/>
          <w:sz w:val="28"/>
          <w:szCs w:val="28"/>
          <w:lang w:val="es-ES" w:eastAsia="es-ES"/>
        </w:rPr>
      </w:pPr>
      <w:r w:rsidRPr="0036167B">
        <w:rPr>
          <w:rFonts w:ascii="Arial" w:eastAsia="Times New Roman" w:hAnsi="Arial" w:cs="Arial"/>
          <w:b/>
          <w:sz w:val="28"/>
          <w:szCs w:val="28"/>
          <w:lang w:val="es-ES" w:eastAsia="es-ES"/>
        </w:rPr>
        <w:tab/>
        <w:t xml:space="preserve">SEGUNDO.- </w:t>
      </w:r>
      <w:r w:rsidRPr="0036167B">
        <w:rPr>
          <w:rFonts w:ascii="Arial" w:eastAsia="Times New Roman" w:hAnsi="Arial" w:cs="Arial"/>
          <w:sz w:val="28"/>
          <w:szCs w:val="28"/>
          <w:lang w:val="es-ES" w:eastAsia="es-ES"/>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San Nicolás </w:t>
      </w:r>
      <w:proofErr w:type="spellStart"/>
      <w:r w:rsidRPr="0036167B">
        <w:rPr>
          <w:rFonts w:ascii="Arial" w:eastAsia="Times New Roman" w:hAnsi="Arial" w:cs="Arial"/>
          <w:sz w:val="28"/>
          <w:szCs w:val="28"/>
          <w:lang w:val="es-ES" w:eastAsia="es-ES"/>
        </w:rPr>
        <w:t>MIahuatlán</w:t>
      </w:r>
      <w:proofErr w:type="spellEnd"/>
      <w:r w:rsidRPr="0036167B">
        <w:rPr>
          <w:rFonts w:ascii="Arial" w:eastAsia="Times New Roman" w:hAnsi="Arial" w:cs="Arial"/>
          <w:sz w:val="28"/>
          <w:szCs w:val="28"/>
          <w:lang w:val="es-ES" w:eastAsia="es-ES"/>
        </w:rPr>
        <w:t>, Oaxaca por las razones y fundamentos que se precisan en el considerando tercero de esta sentencia.</w:t>
      </w:r>
    </w:p>
    <w:p w14:paraId="1F55427B" w14:textId="77777777" w:rsidR="0036167B" w:rsidRPr="0036167B" w:rsidRDefault="0036167B" w:rsidP="0036167B">
      <w:pPr>
        <w:spacing w:before="36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lastRenderedPageBreak/>
        <w:tab/>
        <w:t>TERCERO.</w:t>
      </w:r>
      <w:r w:rsidRPr="0036167B">
        <w:rPr>
          <w:rFonts w:ascii="Arial" w:eastAsia="Times New Roman" w:hAnsi="Arial" w:cs="Arial"/>
          <w:sz w:val="28"/>
          <w:szCs w:val="28"/>
          <w:lang w:val="es-ES" w:eastAsia="es-ES"/>
        </w:rPr>
        <w:t xml:space="preserve"> Se concede un plazo de </w:t>
      </w:r>
      <w:r w:rsidRPr="0036167B">
        <w:rPr>
          <w:rFonts w:ascii="Arial" w:eastAsia="Times New Roman" w:hAnsi="Arial" w:cs="Arial"/>
          <w:b/>
          <w:sz w:val="28"/>
          <w:szCs w:val="28"/>
          <w:lang w:val="es-ES" w:eastAsia="es-ES"/>
        </w:rPr>
        <w:t xml:space="preserve">sesenta días </w:t>
      </w:r>
      <w:r w:rsidRPr="0036167B">
        <w:rPr>
          <w:rFonts w:ascii="Arial" w:eastAsia="Times New Roman" w:hAnsi="Arial" w:cs="Arial"/>
          <w:sz w:val="28"/>
          <w:szCs w:val="28"/>
          <w:lang w:val="es-ES" w:eastAsia="es-ES"/>
        </w:rPr>
        <w:t>contados desde la notificación de la presente sentencia, para que el Consejo General del Instituto Estatal Electoral de Oaxaca dé cumplimiento a lo previsto en la presente ejecutoria.</w:t>
      </w:r>
    </w:p>
    <w:p w14:paraId="24E4217B" w14:textId="77777777" w:rsidR="0036167B" w:rsidRPr="0036167B" w:rsidRDefault="0036167B" w:rsidP="0036167B">
      <w:pPr>
        <w:spacing w:before="360" w:after="100" w:afterAutospacing="1" w:line="480" w:lineRule="auto"/>
        <w:jc w:val="both"/>
        <w:rPr>
          <w:rFonts w:ascii="Arial" w:eastAsia="Times New Roman" w:hAnsi="Arial" w:cs="Arial"/>
          <w:sz w:val="27"/>
          <w:szCs w:val="27"/>
          <w:lang w:val="es-ES" w:eastAsia="es-ES"/>
        </w:rPr>
      </w:pPr>
      <w:r w:rsidRPr="0036167B">
        <w:rPr>
          <w:rFonts w:ascii="Arial" w:eastAsia="Times New Roman" w:hAnsi="Arial" w:cs="Arial"/>
          <w:sz w:val="27"/>
          <w:szCs w:val="27"/>
          <w:lang w:val="es-ES" w:eastAsia="es-ES"/>
        </w:rPr>
        <w:tab/>
      </w:r>
      <w:r w:rsidRPr="0036167B">
        <w:rPr>
          <w:rFonts w:ascii="Arial" w:eastAsia="Times New Roman" w:hAnsi="Arial" w:cs="Arial"/>
          <w:b/>
          <w:sz w:val="27"/>
          <w:szCs w:val="27"/>
          <w:lang w:val="es-ES" w:eastAsia="es-ES"/>
        </w:rPr>
        <w:t>CUARTO</w:t>
      </w:r>
      <w:r w:rsidRPr="0036167B">
        <w:rPr>
          <w:rFonts w:ascii="Arial" w:eastAsia="Times New Roman" w:hAnsi="Arial" w:cs="Arial"/>
          <w:b/>
          <w:sz w:val="28"/>
          <w:szCs w:val="28"/>
          <w:lang w:val="es-ES" w:eastAsia="es-ES"/>
        </w:rPr>
        <w:t xml:space="preserve">.- </w:t>
      </w:r>
      <w:r w:rsidRPr="0036167B">
        <w:rPr>
          <w:rFonts w:ascii="Arial" w:eastAsia="Times New Roman" w:hAnsi="Arial" w:cs="Arial"/>
          <w:sz w:val="28"/>
          <w:szCs w:val="28"/>
          <w:lang w:val="es-ES" w:eastAsia="es-ES"/>
        </w:rPr>
        <w:t>Se amonesta al Instituto Estatal Electoral en términos de lo dispuesto en el último considerando de la presente ejecutoria.</w:t>
      </w:r>
    </w:p>
    <w:p w14:paraId="5EE53962" w14:textId="77777777" w:rsidR="0036167B" w:rsidRPr="0036167B" w:rsidRDefault="0036167B" w:rsidP="0036167B">
      <w:pPr>
        <w:spacing w:before="36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b/>
          <w:bCs/>
          <w:sz w:val="28"/>
          <w:szCs w:val="28"/>
          <w:lang w:val="es-ES" w:eastAsia="es-ES"/>
        </w:rPr>
        <w:tab/>
        <w:t>NOTIFÍQUESE</w:t>
      </w:r>
      <w:r w:rsidRPr="0036167B">
        <w:rPr>
          <w:rFonts w:ascii="Arial" w:eastAsia="Times New Roman" w:hAnsi="Arial" w:cs="Arial"/>
          <w:sz w:val="28"/>
          <w:szCs w:val="28"/>
          <w:lang w:val="es-ES" w:eastAsia="es-ES"/>
        </w:rPr>
        <w:t xml:space="preserve"> </w:t>
      </w:r>
      <w:r w:rsidRPr="0036167B">
        <w:rPr>
          <w:rFonts w:ascii="Arial" w:eastAsia="Times New Roman" w:hAnsi="Arial" w:cs="Arial"/>
          <w:b/>
          <w:bCs/>
          <w:sz w:val="28"/>
          <w:szCs w:val="28"/>
          <w:lang w:val="es-ES" w:eastAsia="es-ES"/>
        </w:rPr>
        <w:t xml:space="preserve">personalmente </w:t>
      </w:r>
      <w:r w:rsidRPr="0036167B">
        <w:rPr>
          <w:rFonts w:ascii="Arial" w:eastAsia="Times New Roman" w:hAnsi="Arial" w:cs="Arial"/>
          <w:sz w:val="28"/>
          <w:szCs w:val="28"/>
          <w:lang w:val="es-ES" w:eastAsia="es-ES"/>
        </w:rPr>
        <w:t>a los actores y a los terceros interesados en el domicilio señalado en autos;</w:t>
      </w:r>
      <w:r w:rsidRPr="0036167B">
        <w:rPr>
          <w:rFonts w:ascii="Arial" w:eastAsia="Times New Roman" w:hAnsi="Arial" w:cs="Arial"/>
          <w:b/>
          <w:sz w:val="28"/>
          <w:szCs w:val="28"/>
          <w:lang w:val="es-ES" w:eastAsia="es-ES"/>
        </w:rPr>
        <w:t xml:space="preserve"> por</w:t>
      </w:r>
      <w:r w:rsidRPr="0036167B">
        <w:rPr>
          <w:rFonts w:ascii="Arial" w:eastAsia="Times New Roman" w:hAnsi="Arial" w:cs="Arial"/>
          <w:sz w:val="28"/>
          <w:szCs w:val="28"/>
          <w:lang w:val="es-ES" w:eastAsia="es-ES"/>
        </w:rPr>
        <w:t xml:space="preserve"> </w:t>
      </w:r>
      <w:r w:rsidRPr="0036167B">
        <w:rPr>
          <w:rFonts w:ascii="Arial" w:eastAsia="Times New Roman" w:hAnsi="Arial" w:cs="Arial"/>
          <w:b/>
          <w:bCs/>
          <w:sz w:val="28"/>
          <w:szCs w:val="28"/>
          <w:lang w:val="es-ES" w:eastAsia="es-ES"/>
        </w:rPr>
        <w:t>oficio</w:t>
      </w:r>
      <w:r w:rsidRPr="0036167B">
        <w:rPr>
          <w:rFonts w:ascii="Arial" w:eastAsia="Times New Roman" w:hAnsi="Arial" w:cs="Arial"/>
          <w:b/>
          <w:sz w:val="28"/>
          <w:szCs w:val="28"/>
          <w:lang w:val="es-ES" w:eastAsia="es-ES"/>
        </w:rPr>
        <w:t xml:space="preserve"> </w:t>
      </w:r>
      <w:r w:rsidRPr="0036167B">
        <w:rPr>
          <w:rFonts w:ascii="Arial" w:eastAsia="Times New Roman" w:hAnsi="Arial" w:cs="Arial"/>
          <w:sz w:val="28"/>
          <w:szCs w:val="28"/>
          <w:lang w:val="es-ES" w:eastAsia="es-ES"/>
        </w:rPr>
        <w:t>acompañado con copia certificada de la presente resolución y</w:t>
      </w:r>
      <w:r w:rsidRPr="0036167B">
        <w:rPr>
          <w:rFonts w:ascii="Arial" w:eastAsia="Times New Roman" w:hAnsi="Arial" w:cs="Arial"/>
          <w:b/>
          <w:sz w:val="28"/>
          <w:szCs w:val="28"/>
          <w:lang w:val="es-ES" w:eastAsia="es-ES"/>
        </w:rPr>
        <w:t xml:space="preserve"> vía fax</w:t>
      </w:r>
      <w:r w:rsidRPr="0036167B">
        <w:rPr>
          <w:rFonts w:ascii="Arial" w:eastAsia="Times New Roman" w:hAnsi="Arial" w:cs="Arial"/>
          <w:sz w:val="28"/>
          <w:szCs w:val="28"/>
          <w:lang w:val="es-ES" w:eastAsia="es-ES"/>
        </w:rPr>
        <w:t xml:space="preserve"> los puntos resolutivos al Instituto Estatal Electoral y al Congreso del Estado de Oaxaca; y </w:t>
      </w:r>
      <w:r w:rsidRPr="0036167B">
        <w:rPr>
          <w:rFonts w:ascii="Arial" w:eastAsia="Times New Roman" w:hAnsi="Arial" w:cs="Arial"/>
          <w:b/>
          <w:bCs/>
          <w:sz w:val="28"/>
          <w:szCs w:val="28"/>
          <w:lang w:val="es-ES" w:eastAsia="es-ES"/>
        </w:rPr>
        <w:t>por</w:t>
      </w:r>
      <w:r w:rsidRPr="0036167B">
        <w:rPr>
          <w:rFonts w:ascii="Arial" w:eastAsia="Times New Roman" w:hAnsi="Arial" w:cs="Arial"/>
          <w:sz w:val="28"/>
          <w:szCs w:val="28"/>
          <w:lang w:val="es-ES" w:eastAsia="es-ES"/>
        </w:rPr>
        <w:t xml:space="preserve"> </w:t>
      </w:r>
      <w:r w:rsidRPr="0036167B">
        <w:rPr>
          <w:rFonts w:ascii="Arial" w:eastAsia="Times New Roman" w:hAnsi="Arial" w:cs="Arial"/>
          <w:b/>
          <w:bCs/>
          <w:sz w:val="28"/>
          <w:szCs w:val="28"/>
          <w:lang w:val="es-ES" w:eastAsia="es-ES"/>
        </w:rPr>
        <w:t>estrados</w:t>
      </w:r>
      <w:r w:rsidRPr="0036167B">
        <w:rPr>
          <w:rFonts w:ascii="Arial" w:eastAsia="Times New Roman" w:hAnsi="Arial" w:cs="Arial"/>
          <w:sz w:val="28"/>
          <w:szCs w:val="28"/>
          <w:lang w:val="es-ES" w:eastAsia="es-ES"/>
        </w:rPr>
        <w:t xml:space="preserve"> a los demás interesados, acorde a lo dispuesto por los artículos 26, 27, 28 y 84, párrafo 2, de la Ley General del Sistema de Medios de Impugnación en Materia Electoral.</w:t>
      </w:r>
    </w:p>
    <w:p w14:paraId="1AD74C4E" w14:textId="77777777" w:rsidR="0036167B" w:rsidRPr="0036167B" w:rsidRDefault="0036167B" w:rsidP="0036167B">
      <w:pPr>
        <w:spacing w:before="360" w:after="100" w:afterAutospacing="1" w:line="480" w:lineRule="auto"/>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50970ECC" w14:textId="77777777" w:rsidR="0036167B" w:rsidRPr="0036167B" w:rsidRDefault="0036167B" w:rsidP="0036167B">
      <w:pPr>
        <w:spacing w:before="360" w:after="0" w:line="480" w:lineRule="auto"/>
        <w:ind w:firstLine="709"/>
        <w:jc w:val="both"/>
        <w:rPr>
          <w:rFonts w:ascii="Arial" w:eastAsia="Times New Roman" w:hAnsi="Arial" w:cs="Arial"/>
          <w:sz w:val="28"/>
          <w:szCs w:val="28"/>
          <w:lang w:val="es-ES" w:eastAsia="es-ES"/>
        </w:rPr>
      </w:pPr>
      <w:r w:rsidRPr="0036167B">
        <w:rPr>
          <w:rFonts w:ascii="Arial" w:eastAsia="Times New Roman" w:hAnsi="Arial" w:cs="Arial"/>
          <w:sz w:val="28"/>
          <w:szCs w:val="28"/>
          <w:lang w:val="es-ES" w:eastAsia="es-ES"/>
        </w:rPr>
        <w:t>Así lo resolvieron, por unanimidad</w:t>
      </w:r>
      <w:r w:rsidRPr="0036167B">
        <w:rPr>
          <w:rFonts w:ascii="Arial" w:eastAsia="Times New Roman" w:hAnsi="Arial" w:cs="Arial"/>
          <w:b/>
          <w:bCs/>
          <w:sz w:val="28"/>
          <w:szCs w:val="28"/>
          <w:lang w:val="es-ES" w:eastAsia="es-ES"/>
        </w:rPr>
        <w:t xml:space="preserve"> </w:t>
      </w:r>
      <w:r w:rsidRPr="0036167B">
        <w:rPr>
          <w:rFonts w:ascii="Arial" w:eastAsia="Times New Roman" w:hAnsi="Arial" w:cs="Arial"/>
          <w:sz w:val="28"/>
          <w:szCs w:val="28"/>
          <w:lang w:val="es-ES" w:eastAsia="es-ES"/>
        </w:rPr>
        <w:t xml:space="preserve">de votos, los Magistrados que integran la Sala Superior del Tribunal Electoral del Poder Judicial de la </w:t>
      </w:r>
      <w:r w:rsidRPr="0036167B">
        <w:rPr>
          <w:rFonts w:ascii="Arial" w:eastAsia="Times New Roman" w:hAnsi="Arial" w:cs="Arial"/>
          <w:sz w:val="28"/>
          <w:szCs w:val="28"/>
          <w:lang w:val="es-ES" w:eastAsia="es-ES"/>
        </w:rPr>
        <w:lastRenderedPageBreak/>
        <w:t xml:space="preserve">Federación, en ausencia de los Magistrados José Alejandro Luna Ramos y Salvador Olimpo Nava </w:t>
      </w:r>
      <w:proofErr w:type="spellStart"/>
      <w:r w:rsidRPr="0036167B">
        <w:rPr>
          <w:rFonts w:ascii="Arial" w:eastAsia="Times New Roman" w:hAnsi="Arial" w:cs="Arial"/>
          <w:sz w:val="28"/>
          <w:szCs w:val="28"/>
          <w:lang w:val="es-ES" w:eastAsia="es-ES"/>
        </w:rPr>
        <w:t>Gomar</w:t>
      </w:r>
      <w:proofErr w:type="spellEnd"/>
      <w:r w:rsidRPr="0036167B">
        <w:rPr>
          <w:rFonts w:ascii="Arial" w:eastAsia="Times New Roman" w:hAnsi="Arial" w:cs="Arial"/>
          <w:bCs/>
          <w:sz w:val="28"/>
          <w:szCs w:val="28"/>
          <w:lang w:val="es-ES" w:eastAsia="es-ES"/>
        </w:rPr>
        <w:t>,</w:t>
      </w:r>
      <w:r w:rsidRPr="0036167B">
        <w:rPr>
          <w:rFonts w:ascii="Arial" w:eastAsia="Times New Roman" w:hAnsi="Arial" w:cs="Arial"/>
          <w:sz w:val="28"/>
          <w:szCs w:val="28"/>
          <w:lang w:val="es-ES" w:eastAsia="es-ES"/>
        </w:rPr>
        <w:t xml:space="preserve"> ante el Secretario General de Acuerdos, que autoriza y da fe.</w:t>
      </w:r>
    </w:p>
    <w:p w14:paraId="4E1F865E" w14:textId="77777777" w:rsidR="0036167B" w:rsidRPr="0036167B" w:rsidRDefault="0036167B" w:rsidP="0036167B">
      <w:pPr>
        <w:spacing w:before="360" w:after="0" w:line="480" w:lineRule="auto"/>
        <w:ind w:firstLine="709"/>
        <w:jc w:val="both"/>
        <w:rPr>
          <w:rFonts w:ascii="Arial" w:eastAsia="Times New Roman" w:hAnsi="Arial" w:cs="Arial"/>
          <w:sz w:val="28"/>
          <w:szCs w:val="28"/>
          <w:lang w:val="es-ES" w:eastAsia="es-ES"/>
        </w:rPr>
      </w:pPr>
    </w:p>
    <w:p w14:paraId="2A72B152" w14:textId="77777777" w:rsidR="0036167B" w:rsidRPr="0036167B" w:rsidRDefault="0036167B" w:rsidP="0036167B">
      <w:pPr>
        <w:spacing w:after="0" w:line="480" w:lineRule="auto"/>
        <w:ind w:firstLine="709"/>
        <w:jc w:val="both"/>
        <w:rPr>
          <w:rFonts w:ascii="Times New Roman" w:eastAsia="Times New Roman" w:hAnsi="Times New Roman" w:cs="Times New Roman"/>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3916"/>
        <w:gridCol w:w="3960"/>
        <w:gridCol w:w="95"/>
      </w:tblGrid>
      <w:tr w:rsidR="0036167B" w:rsidRPr="0036167B" w14:paraId="3FE14278" w14:textId="77777777" w:rsidTr="005F71EE">
        <w:trPr>
          <w:cantSplit/>
          <w:jc w:val="center"/>
        </w:trPr>
        <w:tc>
          <w:tcPr>
            <w:tcW w:w="8041" w:type="dxa"/>
            <w:gridSpan w:val="4"/>
            <w:tcBorders>
              <w:top w:val="nil"/>
              <w:left w:val="nil"/>
              <w:bottom w:val="nil"/>
              <w:right w:val="nil"/>
            </w:tcBorders>
          </w:tcPr>
          <w:p w14:paraId="0D096338"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MAGISTRADA PRESIDENTA</w:t>
            </w:r>
          </w:p>
          <w:p w14:paraId="3C30194F"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1C47CDDC"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09B12274"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6B837216"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CBCADCE"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D647C65" w14:textId="77777777" w:rsidR="0036167B" w:rsidRPr="0036167B" w:rsidRDefault="0036167B" w:rsidP="0036167B">
            <w:pPr>
              <w:spacing w:after="0" w:line="240" w:lineRule="auto"/>
              <w:jc w:val="center"/>
              <w:rPr>
                <w:rFonts w:ascii="Arial" w:eastAsia="Times New Roman" w:hAnsi="Arial" w:cs="Arial"/>
                <w:b/>
                <w:bCs/>
                <w:sz w:val="26"/>
                <w:szCs w:val="26"/>
                <w:lang w:val="es-ES" w:eastAsia="es-ES"/>
              </w:rPr>
            </w:pPr>
            <w:r w:rsidRPr="0036167B">
              <w:rPr>
                <w:rFonts w:ascii="Arial" w:eastAsia="Times New Roman" w:hAnsi="Arial" w:cs="Arial"/>
                <w:b/>
                <w:bCs/>
                <w:sz w:val="26"/>
                <w:szCs w:val="26"/>
                <w:lang w:val="es-ES" w:eastAsia="es-ES"/>
              </w:rPr>
              <w:t>MARÍA DEL CARMEN ALANIS FIGUEROA</w:t>
            </w:r>
          </w:p>
          <w:p w14:paraId="7305103F"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44D2DC2"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tc>
      </w:tr>
      <w:tr w:rsidR="0036167B" w:rsidRPr="0036167B" w14:paraId="2594B929" w14:textId="77777777" w:rsidTr="005F71EE">
        <w:trPr>
          <w:jc w:val="center"/>
        </w:trPr>
        <w:tc>
          <w:tcPr>
            <w:tcW w:w="3986" w:type="dxa"/>
            <w:gridSpan w:val="2"/>
            <w:tcBorders>
              <w:top w:val="nil"/>
              <w:left w:val="nil"/>
              <w:bottom w:val="nil"/>
              <w:right w:val="nil"/>
            </w:tcBorders>
          </w:tcPr>
          <w:p w14:paraId="3FBFCB03"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3BDC0EA0"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MAGISTRADO</w:t>
            </w:r>
          </w:p>
          <w:p w14:paraId="0429F67B"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8E184CE"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EB0AE8C"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3B25174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18FB30FA"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7792980C" w14:textId="77777777" w:rsidR="0036167B" w:rsidRPr="0036167B" w:rsidRDefault="0036167B" w:rsidP="0036167B">
            <w:pPr>
              <w:spacing w:after="0" w:line="240" w:lineRule="auto"/>
              <w:jc w:val="center"/>
              <w:rPr>
                <w:rFonts w:ascii="Arial" w:eastAsia="Times New Roman" w:hAnsi="Arial" w:cs="Arial"/>
                <w:b/>
                <w:bCs/>
                <w:sz w:val="26"/>
                <w:szCs w:val="26"/>
                <w:lang w:val="es-ES" w:eastAsia="es-ES"/>
              </w:rPr>
            </w:pPr>
            <w:r w:rsidRPr="0036167B">
              <w:rPr>
                <w:rFonts w:ascii="Arial" w:eastAsia="Times New Roman" w:hAnsi="Arial" w:cs="Arial"/>
                <w:b/>
                <w:bCs/>
                <w:sz w:val="26"/>
                <w:szCs w:val="26"/>
                <w:lang w:val="es-ES" w:eastAsia="es-ES"/>
              </w:rPr>
              <w:t>CONSTANCIO CARRASCO DAZA</w:t>
            </w:r>
          </w:p>
          <w:p w14:paraId="4DDFEB2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24D65D4"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0E483901"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03BF9DAE"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6910C62B"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MAGISTRADO</w:t>
            </w:r>
          </w:p>
          <w:p w14:paraId="438F550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6CBE05F2"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0F7004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ED2D59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695929B1"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1CA166B6"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FLAVIO GALVÁN RIVERA</w:t>
            </w:r>
          </w:p>
          <w:p w14:paraId="76EE0DCF"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tc>
      </w:tr>
      <w:tr w:rsidR="0036167B" w:rsidRPr="0036167B" w14:paraId="1903B892" w14:textId="77777777" w:rsidTr="005F71EE">
        <w:trPr>
          <w:jc w:val="center"/>
        </w:trPr>
        <w:tc>
          <w:tcPr>
            <w:tcW w:w="3986" w:type="dxa"/>
            <w:gridSpan w:val="2"/>
            <w:tcBorders>
              <w:top w:val="nil"/>
              <w:left w:val="nil"/>
              <w:bottom w:val="nil"/>
              <w:right w:val="nil"/>
            </w:tcBorders>
          </w:tcPr>
          <w:p w14:paraId="55901037"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MAGISTRADO</w:t>
            </w:r>
          </w:p>
          <w:p w14:paraId="12CB0246"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1122E750"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03109E2A"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F906A48"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24A0866"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7D312364"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MANUEL GONZÁLEZ OROPEZA</w:t>
            </w:r>
          </w:p>
          <w:p w14:paraId="6127BA92"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4C2D6DFF"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MAGISTRADO</w:t>
            </w:r>
          </w:p>
          <w:p w14:paraId="05E1AC41"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3D99DA35"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254FD9E"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192727D"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0A3EE1F5"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296F1E7D"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t>PEDRO ESTEBAN PENAGOS LÓPEZ</w:t>
            </w:r>
          </w:p>
          <w:p w14:paraId="26F17AE0"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tc>
      </w:tr>
      <w:tr w:rsidR="0036167B" w:rsidRPr="0036167B" w14:paraId="5EF6D4D3" w14:textId="77777777" w:rsidTr="005F71EE">
        <w:trPr>
          <w:gridBefore w:val="1"/>
          <w:gridAfter w:val="1"/>
          <w:wBefore w:w="70" w:type="dxa"/>
          <w:wAfter w:w="95" w:type="dxa"/>
          <w:cantSplit/>
          <w:jc w:val="center"/>
        </w:trPr>
        <w:tc>
          <w:tcPr>
            <w:tcW w:w="7876" w:type="dxa"/>
            <w:gridSpan w:val="2"/>
            <w:tcBorders>
              <w:top w:val="nil"/>
              <w:left w:val="nil"/>
              <w:bottom w:val="nil"/>
              <w:right w:val="nil"/>
            </w:tcBorders>
          </w:tcPr>
          <w:p w14:paraId="3ECC80AC"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Times New Roman"/>
                <w:b/>
                <w:bCs/>
                <w:sz w:val="26"/>
                <w:szCs w:val="26"/>
                <w:lang w:val="es-ES" w:eastAsia="es-ES"/>
              </w:rPr>
              <w:lastRenderedPageBreak/>
              <w:t>SECRETARIO GENERAL DE ACUERDOS</w:t>
            </w:r>
          </w:p>
          <w:p w14:paraId="467112D6"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7AEC791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5CEEC0B9"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4E6450CC"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797C88E8"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p>
          <w:p w14:paraId="399D3494" w14:textId="77777777" w:rsidR="0036167B" w:rsidRPr="0036167B" w:rsidRDefault="0036167B" w:rsidP="0036167B">
            <w:pPr>
              <w:spacing w:after="0" w:line="240" w:lineRule="auto"/>
              <w:jc w:val="center"/>
              <w:rPr>
                <w:rFonts w:ascii="Arial" w:eastAsia="Times New Roman" w:hAnsi="Arial" w:cs="Times New Roman"/>
                <w:b/>
                <w:bCs/>
                <w:sz w:val="26"/>
                <w:szCs w:val="26"/>
                <w:lang w:val="es-ES" w:eastAsia="es-ES"/>
              </w:rPr>
            </w:pPr>
            <w:r w:rsidRPr="0036167B">
              <w:rPr>
                <w:rFonts w:ascii="Arial" w:eastAsia="Times New Roman" w:hAnsi="Arial" w:cs="Arial"/>
                <w:b/>
                <w:bCs/>
                <w:sz w:val="26"/>
                <w:szCs w:val="26"/>
                <w:lang w:val="es-ES" w:eastAsia="es-ES"/>
              </w:rPr>
              <w:t>MARCO ANTONIO ZAVALA ARREDONDO</w:t>
            </w:r>
          </w:p>
        </w:tc>
      </w:tr>
    </w:tbl>
    <w:p w14:paraId="3E4F924C" w14:textId="77777777" w:rsidR="0036167B" w:rsidRPr="0036167B" w:rsidRDefault="0036167B" w:rsidP="0036167B">
      <w:pPr>
        <w:spacing w:before="100" w:beforeAutospacing="1" w:after="100" w:afterAutospacing="1" w:line="480" w:lineRule="auto"/>
        <w:jc w:val="both"/>
        <w:rPr>
          <w:rFonts w:ascii="Times New Roman" w:eastAsia="Times New Roman" w:hAnsi="Times New Roman" w:cs="Times New Roman"/>
          <w:sz w:val="24"/>
          <w:szCs w:val="24"/>
          <w:lang w:val="es-ES" w:eastAsia="es-ES"/>
        </w:rPr>
      </w:pPr>
    </w:p>
    <w:p w14:paraId="7ACA2923" w14:textId="77777777" w:rsidR="009227B2" w:rsidRPr="009227B2" w:rsidRDefault="009227B2" w:rsidP="009227B2">
      <w:pPr>
        <w:rPr>
          <w:lang w:eastAsia="es-MX"/>
        </w:rPr>
      </w:pPr>
    </w:p>
    <w:p w14:paraId="79F061C4" w14:textId="3899281D" w:rsidR="009227B2" w:rsidRDefault="009227B2" w:rsidP="009227B2">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1" w:tgtFrame="_blank" w:history="1">
        <w:r w:rsidRPr="005C617F">
          <w:rPr>
            <w:rFonts w:ascii="Arial" w:eastAsia="Times New Roman" w:hAnsi="Arial" w:cs="Arial"/>
            <w:b/>
            <w:bCs/>
            <w:color w:val="C00000"/>
            <w:sz w:val="28"/>
            <w:szCs w:val="28"/>
            <w:lang w:eastAsia="es-MX"/>
          </w:rPr>
          <w:t>SUP-JDC-2569/2007</w:t>
        </w:r>
      </w:hyperlink>
    </w:p>
    <w:p w14:paraId="66A4B8E0" w14:textId="136169E5" w:rsidR="009227B2" w:rsidRDefault="009227B2" w:rsidP="009227B2">
      <w:pPr>
        <w:rPr>
          <w:lang w:eastAsia="es-MX"/>
        </w:rPr>
      </w:pPr>
    </w:p>
    <w:p w14:paraId="1B2839B4" w14:textId="77777777" w:rsidR="00E478A7" w:rsidRDefault="00E478A7" w:rsidP="009227B2">
      <w:pPr>
        <w:rPr>
          <w:lang w:eastAsia="es-MX"/>
        </w:rPr>
      </w:pPr>
    </w:p>
    <w:p w14:paraId="573C8F87"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r w:rsidRPr="00E478A7">
        <w:rPr>
          <w:rFonts w:ascii="Arial" w:eastAsia="Times New Roman" w:hAnsi="Arial" w:cs="Arial"/>
          <w:b/>
          <w:caps/>
          <w:sz w:val="28"/>
          <w:szCs w:val="24"/>
          <w:lang w:val="es-ES" w:eastAsia="es-ES"/>
        </w:rPr>
        <w:t xml:space="preserve">JUICIO PARA </w:t>
      </w:r>
      <w:smartTag w:uri="urn:schemas-microsoft-com:office:smarttags" w:element="PersonName">
        <w:smartTagPr>
          <w:attr w:name="ProductID" w:val="LA PROTECCIￓN DE"/>
        </w:smartTagPr>
        <w:r w:rsidRPr="00E478A7">
          <w:rPr>
            <w:rFonts w:ascii="Arial" w:eastAsia="Times New Roman" w:hAnsi="Arial" w:cs="Arial"/>
            <w:b/>
            <w:caps/>
            <w:sz w:val="28"/>
            <w:szCs w:val="24"/>
            <w:lang w:val="es-ES" w:eastAsia="es-ES"/>
          </w:rPr>
          <w:t>LA PROTECCIÓN DE</w:t>
        </w:r>
      </w:smartTag>
      <w:r w:rsidRPr="00E478A7">
        <w:rPr>
          <w:rFonts w:ascii="Arial" w:eastAsia="Times New Roman" w:hAnsi="Arial" w:cs="Arial"/>
          <w:b/>
          <w:caps/>
          <w:sz w:val="28"/>
          <w:szCs w:val="24"/>
          <w:lang w:val="es-ES" w:eastAsia="es-ES"/>
        </w:rPr>
        <w:t xml:space="preserve"> LOS DERECHOS POLÍTICO-ELECTORALES DEL CIUDADANO</w:t>
      </w:r>
    </w:p>
    <w:p w14:paraId="495B1718"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p>
    <w:p w14:paraId="4691C085"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r w:rsidRPr="00E478A7">
        <w:rPr>
          <w:rFonts w:ascii="Arial" w:eastAsia="Times New Roman" w:hAnsi="Arial" w:cs="Arial"/>
          <w:b/>
          <w:caps/>
          <w:sz w:val="28"/>
          <w:szCs w:val="24"/>
          <w:lang w:val="es-ES" w:eastAsia="es-ES"/>
        </w:rPr>
        <w:t>EXPEDIENTE: SUP-JDC-2569/2007</w:t>
      </w:r>
    </w:p>
    <w:p w14:paraId="60938F1F"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p>
    <w:p w14:paraId="17E68C2E"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r w:rsidRPr="00E478A7">
        <w:rPr>
          <w:rFonts w:ascii="Arial" w:eastAsia="Times New Roman" w:hAnsi="Arial" w:cs="Arial"/>
          <w:b/>
          <w:caps/>
          <w:sz w:val="28"/>
          <w:szCs w:val="24"/>
          <w:lang w:val="es-ES" w:eastAsia="es-ES"/>
        </w:rPr>
        <w:t>ACTORES: EPIFANIA QUIROGA PALACIOS y otros</w:t>
      </w:r>
    </w:p>
    <w:p w14:paraId="029C741E"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p>
    <w:p w14:paraId="471F473D"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r w:rsidRPr="00E478A7">
        <w:rPr>
          <w:rFonts w:ascii="Arial" w:eastAsia="Times New Roman" w:hAnsi="Arial" w:cs="Arial"/>
          <w:b/>
          <w:caps/>
          <w:sz w:val="28"/>
          <w:szCs w:val="24"/>
          <w:lang w:val="es-ES" w:eastAsia="es-ES"/>
        </w:rPr>
        <w:t xml:space="preserve">AUTORIDADES RESPONSABLES: </w:t>
      </w:r>
      <w:r w:rsidRPr="00E478A7">
        <w:rPr>
          <w:rFonts w:ascii="Arial" w:eastAsia="Times New Roman" w:hAnsi="Arial" w:cs="Arial"/>
          <w:b/>
          <w:caps/>
          <w:sz w:val="28"/>
          <w:szCs w:val="28"/>
          <w:lang w:val="es-ES" w:eastAsia="es-ES"/>
        </w:rPr>
        <w:t>Sexagésima Legislatura Constitucional del Estado Libre y Soberano de Oaxaca, erigida en Colegio Electoral Y OTRA.</w:t>
      </w:r>
    </w:p>
    <w:p w14:paraId="15FCCCAD" w14:textId="77777777" w:rsidR="00E478A7" w:rsidRPr="00E478A7" w:rsidRDefault="00E478A7" w:rsidP="00E478A7">
      <w:pPr>
        <w:spacing w:after="0" w:line="240" w:lineRule="auto"/>
        <w:ind w:left="3119"/>
        <w:jc w:val="both"/>
        <w:rPr>
          <w:rFonts w:ascii="Arial" w:eastAsia="Times New Roman" w:hAnsi="Arial" w:cs="Arial"/>
          <w:b/>
          <w:caps/>
          <w:sz w:val="28"/>
          <w:szCs w:val="24"/>
          <w:lang w:val="es-ES" w:eastAsia="es-ES"/>
        </w:rPr>
      </w:pPr>
    </w:p>
    <w:p w14:paraId="1E44C757" w14:textId="77777777" w:rsidR="00E478A7" w:rsidRPr="00E478A7" w:rsidRDefault="00E478A7" w:rsidP="00E478A7">
      <w:pPr>
        <w:spacing w:after="0" w:line="240" w:lineRule="auto"/>
        <w:ind w:left="3119"/>
        <w:jc w:val="both"/>
        <w:rPr>
          <w:rFonts w:ascii="Arial" w:eastAsia="Times New Roman" w:hAnsi="Arial" w:cs="Arial"/>
          <w:b/>
          <w:caps/>
          <w:sz w:val="28"/>
          <w:szCs w:val="24"/>
          <w:lang w:eastAsia="es-ES"/>
        </w:rPr>
      </w:pPr>
      <w:r w:rsidRPr="00E478A7">
        <w:rPr>
          <w:rFonts w:ascii="Arial" w:eastAsia="Times New Roman" w:hAnsi="Arial" w:cs="Arial"/>
          <w:b/>
          <w:caps/>
          <w:sz w:val="28"/>
          <w:szCs w:val="24"/>
          <w:lang w:eastAsia="es-ES"/>
        </w:rPr>
        <w:t>MAGISTRADO PONENTE: FLAVIO GALVÁN RIVERA</w:t>
      </w:r>
    </w:p>
    <w:p w14:paraId="4FA01AD0" w14:textId="77777777" w:rsidR="00E478A7" w:rsidRPr="00E478A7" w:rsidRDefault="00E478A7" w:rsidP="00E478A7">
      <w:pPr>
        <w:spacing w:after="0" w:line="240" w:lineRule="auto"/>
        <w:ind w:left="3119"/>
        <w:jc w:val="both"/>
        <w:rPr>
          <w:rFonts w:ascii="Arial" w:eastAsia="Times New Roman" w:hAnsi="Arial" w:cs="Arial"/>
          <w:b/>
          <w:caps/>
          <w:sz w:val="28"/>
          <w:szCs w:val="24"/>
          <w:lang w:eastAsia="es-ES"/>
        </w:rPr>
      </w:pPr>
    </w:p>
    <w:p w14:paraId="4C317EF8" w14:textId="77777777" w:rsidR="00E478A7" w:rsidRPr="00E478A7" w:rsidRDefault="00E478A7" w:rsidP="00E478A7">
      <w:pPr>
        <w:spacing w:after="0" w:line="240" w:lineRule="auto"/>
        <w:ind w:left="3119"/>
        <w:jc w:val="both"/>
        <w:rPr>
          <w:rFonts w:ascii="Arial" w:eastAsia="Times New Roman" w:hAnsi="Arial" w:cs="Arial"/>
          <w:b/>
          <w:caps/>
          <w:sz w:val="28"/>
          <w:szCs w:val="24"/>
          <w:lang w:eastAsia="es-ES"/>
        </w:rPr>
      </w:pPr>
      <w:r w:rsidRPr="00E478A7">
        <w:rPr>
          <w:rFonts w:ascii="Arial" w:eastAsia="Times New Roman" w:hAnsi="Arial" w:cs="Arial"/>
          <w:b/>
          <w:caps/>
          <w:sz w:val="28"/>
          <w:szCs w:val="24"/>
          <w:lang w:eastAsia="es-ES"/>
        </w:rPr>
        <w:t>SECRETARIO: GENARO ESCOBAR AMBRIZ</w:t>
      </w:r>
    </w:p>
    <w:p w14:paraId="21E0CF08" w14:textId="77777777" w:rsidR="00E478A7" w:rsidRPr="00E478A7" w:rsidRDefault="00E478A7" w:rsidP="00E478A7">
      <w:pPr>
        <w:spacing w:after="0" w:line="240" w:lineRule="auto"/>
        <w:ind w:left="3119"/>
        <w:jc w:val="both"/>
        <w:rPr>
          <w:rFonts w:ascii="Times New Roman" w:eastAsia="Times New Roman" w:hAnsi="Times New Roman" w:cs="Times New Roman"/>
          <w:b/>
          <w:caps/>
          <w:sz w:val="28"/>
          <w:szCs w:val="24"/>
          <w:lang w:eastAsia="es-ES"/>
        </w:rPr>
      </w:pPr>
    </w:p>
    <w:p w14:paraId="48731EB4" w14:textId="77777777" w:rsidR="00E478A7" w:rsidRPr="00E478A7" w:rsidRDefault="00E478A7" w:rsidP="00E478A7">
      <w:pPr>
        <w:spacing w:after="0" w:line="240" w:lineRule="auto"/>
        <w:ind w:left="3119"/>
        <w:jc w:val="both"/>
        <w:rPr>
          <w:rFonts w:ascii="Times New Roman" w:eastAsia="Times New Roman" w:hAnsi="Times New Roman" w:cs="Times New Roman"/>
          <w:b/>
          <w:caps/>
          <w:sz w:val="28"/>
          <w:szCs w:val="24"/>
          <w:lang w:eastAsia="es-ES"/>
        </w:rPr>
      </w:pPr>
    </w:p>
    <w:p w14:paraId="036DAD18" w14:textId="77777777" w:rsidR="00E478A7" w:rsidRPr="00E478A7" w:rsidRDefault="00E478A7" w:rsidP="00E478A7">
      <w:pPr>
        <w:spacing w:after="0" w:line="384" w:lineRule="auto"/>
        <w:ind w:firstLine="709"/>
        <w:jc w:val="both"/>
        <w:rPr>
          <w:rFonts w:ascii="Arial" w:eastAsia="Times New Roman" w:hAnsi="Arial" w:cs="Arial"/>
          <w:sz w:val="28"/>
          <w:szCs w:val="24"/>
          <w:lang w:val="es-ES" w:eastAsia="es-ES"/>
        </w:rPr>
      </w:pPr>
      <w:r w:rsidRPr="00E478A7">
        <w:rPr>
          <w:rFonts w:ascii="Arial" w:eastAsia="Times New Roman" w:hAnsi="Arial" w:cs="Arial"/>
          <w:sz w:val="28"/>
          <w:szCs w:val="24"/>
          <w:lang w:val="es-ES" w:eastAsia="es-ES"/>
        </w:rPr>
        <w:t>México, Distrito Federal, a veintiocho de diciembre de dos mil siete.</w:t>
      </w:r>
    </w:p>
    <w:p w14:paraId="2196330F" w14:textId="77777777" w:rsidR="00E478A7" w:rsidRPr="00E478A7" w:rsidRDefault="00E478A7" w:rsidP="00E478A7">
      <w:pPr>
        <w:spacing w:after="0" w:line="384" w:lineRule="auto"/>
        <w:ind w:firstLine="709"/>
        <w:jc w:val="both"/>
        <w:rPr>
          <w:rFonts w:ascii="Arial" w:eastAsia="Times New Roman" w:hAnsi="Arial" w:cs="Arial"/>
          <w:sz w:val="28"/>
          <w:szCs w:val="24"/>
          <w:lang w:val="es-ES" w:eastAsia="es-ES"/>
        </w:rPr>
      </w:pPr>
    </w:p>
    <w:p w14:paraId="1A3188EA"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VISTOS</w:t>
      </w:r>
      <w:r w:rsidRPr="00E478A7">
        <w:rPr>
          <w:rFonts w:ascii="Arial" w:eastAsia="Times New Roman" w:hAnsi="Arial" w:cs="Arial"/>
          <w:sz w:val="28"/>
          <w:szCs w:val="28"/>
          <w:lang w:eastAsia="es-MX"/>
        </w:rPr>
        <w:t xml:space="preserve"> para resolver los autos del juicio para la protección de los derechos político-electorales del ciudadano, identificado con la clave </w:t>
      </w:r>
      <w:r w:rsidRPr="00E478A7">
        <w:rPr>
          <w:rFonts w:ascii="Arial" w:eastAsia="Times New Roman" w:hAnsi="Arial" w:cs="Arial"/>
          <w:b/>
          <w:bCs/>
          <w:sz w:val="28"/>
          <w:szCs w:val="28"/>
          <w:lang w:eastAsia="es-MX"/>
        </w:rPr>
        <w:t xml:space="preserve">SUP-JDC-2569/2007, </w:t>
      </w:r>
      <w:r w:rsidRPr="00E478A7">
        <w:rPr>
          <w:rFonts w:ascii="Arial" w:eastAsia="Times New Roman" w:hAnsi="Arial" w:cs="Arial"/>
          <w:sz w:val="28"/>
          <w:szCs w:val="28"/>
          <w:lang w:eastAsia="es-MX"/>
        </w:rPr>
        <w:t xml:space="preserve">promovido por </w:t>
      </w:r>
      <w:proofErr w:type="spellStart"/>
      <w:r w:rsidRPr="00E478A7">
        <w:rPr>
          <w:rFonts w:ascii="Arial" w:eastAsia="Times New Roman" w:hAnsi="Arial" w:cs="Arial"/>
          <w:sz w:val="28"/>
          <w:szCs w:val="28"/>
          <w:lang w:eastAsia="es-MX"/>
        </w:rPr>
        <w:t>Epifania</w:t>
      </w:r>
      <w:proofErr w:type="spellEnd"/>
      <w:r w:rsidRPr="00E478A7">
        <w:rPr>
          <w:rFonts w:ascii="Arial" w:eastAsia="Times New Roman" w:hAnsi="Arial" w:cs="Arial"/>
          <w:sz w:val="28"/>
          <w:szCs w:val="28"/>
          <w:lang w:eastAsia="es-MX"/>
        </w:rPr>
        <w:t xml:space="preserve"> Quiroga Palacios y otros mil sesenta y siete impugnantes, por su propio derecho, en contra de la Sexagésima Legislatura Constitucional del Estado Libre y Soberano de Oaxaca, erigida en Colegio Electoral, a fin de impugnar el Decreto número siete de fecha once de diciembre de dos mil siete, la publicación del mismo en el</w:t>
      </w:r>
      <w:r w:rsidRPr="00E478A7">
        <w:rPr>
          <w:rFonts w:ascii="Arial" w:eastAsia="Times New Roman" w:hAnsi="Arial" w:cs="Arial"/>
          <w:bCs/>
          <w:sz w:val="28"/>
          <w:szCs w:val="28"/>
          <w:lang w:eastAsia="es-MX"/>
        </w:rPr>
        <w:t xml:space="preserve"> Periódico Oficial, Órgano del Gobierno del Estado Libre y Soberano de Oaxaca</w:t>
      </w:r>
      <w:r w:rsidRPr="00E478A7">
        <w:rPr>
          <w:rFonts w:ascii="Arial" w:eastAsia="Times New Roman" w:hAnsi="Arial" w:cs="Arial"/>
          <w:sz w:val="28"/>
          <w:szCs w:val="28"/>
          <w:lang w:eastAsia="es-MX"/>
        </w:rPr>
        <w:t xml:space="preserve">, así como el acuerdo de fecha veintinueve de noviembre del año en curso, emitido por el Consejo General del Instituto Estatal Electoral de la mencionada entidad federativa, por el que se declara la validez de la elección de ayuntamiento de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Oaxaca, y</w:t>
      </w:r>
    </w:p>
    <w:p w14:paraId="795E30E7"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2D86FB17" w14:textId="77777777" w:rsidR="00E478A7" w:rsidRPr="00E478A7" w:rsidRDefault="00E478A7" w:rsidP="00E478A7">
      <w:pPr>
        <w:spacing w:after="0" w:line="360" w:lineRule="auto"/>
        <w:jc w:val="center"/>
        <w:rPr>
          <w:rFonts w:ascii="Arial" w:eastAsia="Times New Roman" w:hAnsi="Arial" w:cs="Arial"/>
          <w:b/>
          <w:bCs/>
          <w:sz w:val="28"/>
          <w:szCs w:val="28"/>
          <w:lang w:val="pt-BR" w:eastAsia="es-MX"/>
        </w:rPr>
      </w:pPr>
      <w:r w:rsidRPr="00E478A7">
        <w:rPr>
          <w:rFonts w:ascii="Arial" w:eastAsia="Times New Roman" w:hAnsi="Arial" w:cs="Arial"/>
          <w:b/>
          <w:bCs/>
          <w:sz w:val="28"/>
          <w:szCs w:val="28"/>
          <w:lang w:val="pt-BR" w:eastAsia="es-MX"/>
        </w:rPr>
        <w:t>R E S U L T A N D O :</w:t>
      </w:r>
    </w:p>
    <w:p w14:paraId="2E5B6DDC" w14:textId="77777777" w:rsidR="00E478A7" w:rsidRPr="00E478A7" w:rsidRDefault="00E478A7" w:rsidP="00E478A7">
      <w:pPr>
        <w:spacing w:after="0" w:line="360" w:lineRule="auto"/>
        <w:jc w:val="center"/>
        <w:rPr>
          <w:rFonts w:ascii="Arial" w:eastAsia="Times New Roman" w:hAnsi="Arial" w:cs="Arial"/>
          <w:b/>
          <w:bCs/>
          <w:sz w:val="28"/>
          <w:szCs w:val="28"/>
          <w:lang w:val="pt-BR" w:eastAsia="es-MX"/>
        </w:rPr>
      </w:pPr>
    </w:p>
    <w:p w14:paraId="049255DC"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I. Antecedentes.</w:t>
      </w:r>
      <w:r w:rsidRPr="00E478A7">
        <w:rPr>
          <w:rFonts w:ascii="Arial" w:eastAsia="Times New Roman" w:hAnsi="Arial" w:cs="Arial"/>
          <w:sz w:val="28"/>
          <w:szCs w:val="28"/>
          <w:lang w:eastAsia="es-MX"/>
        </w:rPr>
        <w:t xml:space="preserve"> De las constancias que obran en autos, se desprenden los siguientes antecedentes:</w:t>
      </w:r>
    </w:p>
    <w:p w14:paraId="7CF49097"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4D5BEF7C"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 xml:space="preserve">a). Procedimiento Electoral. </w:t>
      </w:r>
      <w:r w:rsidRPr="00E478A7">
        <w:rPr>
          <w:rFonts w:ascii="Arial" w:eastAsia="Times New Roman" w:hAnsi="Arial" w:cs="Arial"/>
          <w:sz w:val="28"/>
          <w:szCs w:val="28"/>
          <w:lang w:eastAsia="es-MX"/>
        </w:rPr>
        <w:t xml:space="preserve">El trece de enero de dos mil siete, el Consejo General del Instituto Estatal Electoral de Oaxaca dictó el acuerdo en que precisó los municipios que renovarían a sus concejales bajo el régimen de Derecho consuetudinario, entre los cuales, incluyó a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w:t>
      </w:r>
    </w:p>
    <w:p w14:paraId="5AFF40FC"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0D6CF4B1"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lastRenderedPageBreak/>
        <w:t xml:space="preserve">b). Asamblea General Comunitaria. </w:t>
      </w:r>
      <w:r w:rsidRPr="00E478A7">
        <w:rPr>
          <w:rFonts w:ascii="Arial" w:eastAsia="Times New Roman" w:hAnsi="Arial" w:cs="Arial"/>
          <w:sz w:val="28"/>
          <w:szCs w:val="28"/>
          <w:lang w:eastAsia="es-MX"/>
        </w:rPr>
        <w:t xml:space="preserve">El dieciocho de noviembre del año en curso, se celebró la Asamblea General Comunitaria para la renovación de concejales en el Ayuntamiento de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Oaxaca.</w:t>
      </w:r>
    </w:p>
    <w:p w14:paraId="27F3E86B"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53281A9A"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 xml:space="preserve">c). Declaración de validez de las elecciones. </w:t>
      </w:r>
      <w:r w:rsidRPr="00E478A7">
        <w:rPr>
          <w:rFonts w:ascii="Arial" w:eastAsia="Times New Roman" w:hAnsi="Arial" w:cs="Arial"/>
          <w:sz w:val="28"/>
          <w:szCs w:val="28"/>
          <w:lang w:eastAsia="es-MX"/>
        </w:rPr>
        <w:t xml:space="preserve">El veintinueve de noviembre del año en curso, el Consejo General del Instituto Estatal Electoral de Oaxaca, emitió el acuerdo en que declaró válidas las asambleas de elección de concejales a los ayuntamientos, celebradas bajo el régimen de Derecho Consuetudinario, en diversos municipios, entre ellos,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w:t>
      </w:r>
    </w:p>
    <w:p w14:paraId="44915598"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168D8548"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sz w:val="28"/>
          <w:szCs w:val="28"/>
          <w:lang w:eastAsia="es-MX"/>
        </w:rPr>
        <w:t xml:space="preserve">d). Calificación de la elección de </w:t>
      </w:r>
      <w:proofErr w:type="spellStart"/>
      <w:r w:rsidRPr="00E478A7">
        <w:rPr>
          <w:rFonts w:ascii="Arial" w:eastAsia="Times New Roman" w:hAnsi="Arial" w:cs="Arial"/>
          <w:b/>
          <w:sz w:val="28"/>
          <w:szCs w:val="28"/>
          <w:lang w:eastAsia="es-MX"/>
        </w:rPr>
        <w:t>consejales</w:t>
      </w:r>
      <w:proofErr w:type="spellEnd"/>
      <w:r w:rsidRPr="00E478A7">
        <w:rPr>
          <w:rFonts w:ascii="Arial" w:eastAsia="Times New Roman" w:hAnsi="Arial" w:cs="Arial"/>
          <w:b/>
          <w:sz w:val="28"/>
          <w:szCs w:val="28"/>
          <w:lang w:eastAsia="es-MX"/>
        </w:rPr>
        <w:t xml:space="preserve"> municipales. </w:t>
      </w:r>
      <w:r w:rsidRPr="00E478A7">
        <w:rPr>
          <w:rFonts w:ascii="Arial" w:eastAsia="Times New Roman" w:hAnsi="Arial" w:cs="Arial"/>
          <w:sz w:val="28"/>
          <w:szCs w:val="28"/>
          <w:lang w:eastAsia="es-MX"/>
        </w:rPr>
        <w:t xml:space="preserve">El once de diciembre del año en curso, la Sexagésima Legislatura Constitucional del Estado de Oaxaca, erigida en Colegio Electoral, emitió el Decreto número Siete, mediante el cual declaró constitucionales y ratificó la declaración de validez, entre otras, de la elección de concejales al ayuntamiento del mencionado municipio. </w:t>
      </w:r>
    </w:p>
    <w:p w14:paraId="4E3EE58F"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5DF986F3" w14:textId="77777777" w:rsidR="00E478A7" w:rsidRPr="00E478A7" w:rsidRDefault="00E478A7" w:rsidP="00E478A7">
      <w:pPr>
        <w:spacing w:after="0" w:line="360" w:lineRule="auto"/>
        <w:ind w:firstLine="540"/>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Tal dictamen fue publicado</w:t>
      </w:r>
      <w:r w:rsidRPr="00E478A7">
        <w:rPr>
          <w:rFonts w:ascii="Times New Roman" w:eastAsia="Times New Roman" w:hAnsi="Times New Roman" w:cs="Times New Roman"/>
          <w:sz w:val="24"/>
          <w:szCs w:val="24"/>
          <w:lang w:eastAsia="es-MX"/>
        </w:rPr>
        <w:t xml:space="preserve"> </w:t>
      </w:r>
      <w:r w:rsidRPr="00E478A7">
        <w:rPr>
          <w:rFonts w:ascii="Arial" w:eastAsia="Times New Roman" w:hAnsi="Arial" w:cs="Arial"/>
          <w:bCs/>
          <w:sz w:val="28"/>
          <w:szCs w:val="28"/>
          <w:lang w:eastAsia="es-MX"/>
        </w:rPr>
        <w:t>en el Periódico Oficial, Órgano del Gobierno del Estado Libre y Soberano de Oaxaca, el día quince de diciembre de dos mil siete.</w:t>
      </w:r>
    </w:p>
    <w:p w14:paraId="48BAF69D" w14:textId="77777777" w:rsidR="00E478A7" w:rsidRPr="00E478A7" w:rsidRDefault="00E478A7" w:rsidP="00E478A7">
      <w:pPr>
        <w:spacing w:after="0" w:line="360" w:lineRule="auto"/>
        <w:ind w:firstLine="540"/>
        <w:jc w:val="both"/>
        <w:rPr>
          <w:rFonts w:ascii="Arial" w:eastAsia="Times New Roman" w:hAnsi="Arial" w:cs="Arial"/>
          <w:b/>
          <w:bCs/>
          <w:sz w:val="28"/>
          <w:szCs w:val="28"/>
          <w:lang w:eastAsia="es-MX"/>
        </w:rPr>
      </w:pPr>
    </w:p>
    <w:p w14:paraId="4793B2D0"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 xml:space="preserve">II. Juicio para la protección de los derechos político-electorales del ciudadano. </w:t>
      </w:r>
      <w:r w:rsidRPr="00E478A7">
        <w:rPr>
          <w:rFonts w:ascii="Arial" w:eastAsia="Times New Roman" w:hAnsi="Arial" w:cs="Arial"/>
          <w:sz w:val="28"/>
          <w:szCs w:val="28"/>
          <w:lang w:eastAsia="es-MX"/>
        </w:rPr>
        <w:t xml:space="preserve">El veinte de diciembre </w:t>
      </w:r>
      <w:proofErr w:type="spellStart"/>
      <w:r w:rsidRPr="00E478A7">
        <w:rPr>
          <w:rFonts w:ascii="Arial" w:eastAsia="Times New Roman" w:hAnsi="Arial" w:cs="Arial"/>
          <w:sz w:val="28"/>
          <w:szCs w:val="28"/>
          <w:lang w:eastAsia="es-MX"/>
        </w:rPr>
        <w:t>del</w:t>
      </w:r>
      <w:proofErr w:type="spellEnd"/>
      <w:r w:rsidRPr="00E478A7">
        <w:rPr>
          <w:rFonts w:ascii="Arial" w:eastAsia="Times New Roman" w:hAnsi="Arial" w:cs="Arial"/>
          <w:sz w:val="28"/>
          <w:szCs w:val="28"/>
          <w:lang w:eastAsia="es-MX"/>
        </w:rPr>
        <w:t xml:space="preserve"> este año, </w:t>
      </w:r>
      <w:proofErr w:type="spellStart"/>
      <w:r w:rsidRPr="00E478A7">
        <w:rPr>
          <w:rFonts w:ascii="Arial" w:eastAsia="Times New Roman" w:hAnsi="Arial" w:cs="Arial"/>
          <w:sz w:val="28"/>
          <w:szCs w:val="28"/>
          <w:lang w:eastAsia="es-MX"/>
        </w:rPr>
        <w:t>Epifania</w:t>
      </w:r>
      <w:proofErr w:type="spellEnd"/>
      <w:r w:rsidRPr="00E478A7">
        <w:rPr>
          <w:rFonts w:ascii="Arial" w:eastAsia="Times New Roman" w:hAnsi="Arial" w:cs="Arial"/>
          <w:sz w:val="28"/>
          <w:szCs w:val="28"/>
          <w:lang w:eastAsia="es-MX"/>
        </w:rPr>
        <w:t xml:space="preserve"> Quiroga Palacios y otros mil sesenta y siete ciudadanos, ante el Consejo General del Instituto Estatal Electoral de Oaxaca, promovieron juicio para la </w:t>
      </w:r>
      <w:r w:rsidRPr="00E478A7">
        <w:rPr>
          <w:rFonts w:ascii="Arial" w:eastAsia="Times New Roman" w:hAnsi="Arial" w:cs="Arial"/>
          <w:sz w:val="28"/>
          <w:szCs w:val="28"/>
          <w:lang w:eastAsia="es-MX"/>
        </w:rPr>
        <w:lastRenderedPageBreak/>
        <w:t xml:space="preserve">protección de los derechos político-electorales del ciudadano, a fin de impugnar el Decreto número siete de fecha once de diciembre de dos mil siete, emitido por la Sexagésima Legislatura Constitucional del Estado Libre y Soberano de Oaxaca, erigida en Colegio Electoral; la publicación del mismo en el </w:t>
      </w:r>
      <w:r w:rsidRPr="00E478A7">
        <w:rPr>
          <w:rFonts w:ascii="Arial" w:eastAsia="Times New Roman" w:hAnsi="Arial" w:cs="Arial"/>
          <w:bCs/>
          <w:sz w:val="28"/>
          <w:szCs w:val="28"/>
          <w:lang w:eastAsia="es-MX"/>
        </w:rPr>
        <w:t>Periódico Oficial, Órgano del Gobierno del Estado Libre y Soberano de Oaxaca</w:t>
      </w:r>
      <w:r w:rsidRPr="00E478A7">
        <w:rPr>
          <w:rFonts w:ascii="Arial" w:eastAsia="Times New Roman" w:hAnsi="Arial" w:cs="Arial"/>
          <w:sz w:val="28"/>
          <w:szCs w:val="28"/>
          <w:lang w:eastAsia="es-MX"/>
        </w:rPr>
        <w:t xml:space="preserve">, así como el acuerdo de fecha veintinueve de noviembre del año en curso, emitido por el citado Consejo General por el que se declara la validez de la elección en el municipio de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w:t>
      </w:r>
    </w:p>
    <w:p w14:paraId="083F9DDF"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0B98325B" w14:textId="77777777" w:rsidR="00E478A7" w:rsidRPr="00E478A7" w:rsidRDefault="00E478A7" w:rsidP="00E478A7">
      <w:pPr>
        <w:spacing w:after="0" w:line="360" w:lineRule="auto"/>
        <w:ind w:firstLine="539"/>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III. Recepción del expediente en Sala Superior. </w:t>
      </w:r>
      <w:r w:rsidRPr="00E478A7">
        <w:rPr>
          <w:rFonts w:ascii="Arial" w:eastAsia="Times New Roman" w:hAnsi="Arial" w:cs="Arial"/>
          <w:bCs/>
          <w:sz w:val="28"/>
          <w:szCs w:val="28"/>
          <w:lang w:eastAsia="es-MX"/>
        </w:rPr>
        <w:t xml:space="preserve">El veintiséis de diciembre de dos mil siete, en la Oficialía de Partes de esta Sala Superior se recibió la demanda del juicio para </w:t>
      </w:r>
      <w:r w:rsidRPr="00E478A7">
        <w:rPr>
          <w:rFonts w:ascii="Arial" w:eastAsia="Times New Roman" w:hAnsi="Arial" w:cs="Arial"/>
          <w:sz w:val="28"/>
          <w:szCs w:val="28"/>
          <w:lang w:eastAsia="es-MX"/>
        </w:rPr>
        <w:t>la</w:t>
      </w:r>
      <w:r w:rsidRPr="00E478A7">
        <w:rPr>
          <w:rFonts w:ascii="Arial" w:eastAsia="Times New Roman" w:hAnsi="Arial" w:cs="Arial"/>
          <w:bCs/>
          <w:sz w:val="28"/>
          <w:szCs w:val="28"/>
          <w:lang w:eastAsia="es-MX"/>
        </w:rPr>
        <w:t xml:space="preserve"> protección de los derechos político-electorales del ciudadano, con sus anexos, así como el informe circunstanciado, rendido por el Presidente de la Gran Comisión del Honorable Congreso del Estado de Oaxaca.</w:t>
      </w:r>
    </w:p>
    <w:p w14:paraId="68D08554" w14:textId="77777777" w:rsidR="00E478A7" w:rsidRPr="00E478A7" w:rsidRDefault="00E478A7" w:rsidP="00E478A7">
      <w:pPr>
        <w:spacing w:after="0" w:line="360" w:lineRule="auto"/>
        <w:ind w:firstLine="539"/>
        <w:jc w:val="both"/>
        <w:rPr>
          <w:rFonts w:ascii="Arial" w:eastAsia="Times New Roman" w:hAnsi="Arial" w:cs="Arial"/>
          <w:b/>
          <w:bCs/>
          <w:sz w:val="28"/>
          <w:szCs w:val="28"/>
          <w:lang w:eastAsia="es-MX"/>
        </w:rPr>
      </w:pPr>
    </w:p>
    <w:p w14:paraId="2297D12B"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IV. Turno.</w:t>
      </w:r>
      <w:r w:rsidRPr="00E478A7">
        <w:rPr>
          <w:rFonts w:ascii="Arial" w:eastAsia="Times New Roman" w:hAnsi="Arial" w:cs="Arial"/>
          <w:sz w:val="28"/>
          <w:szCs w:val="28"/>
          <w:lang w:eastAsia="es-MX"/>
        </w:rPr>
        <w:t xml:space="preserve"> Mediante proveído de veintiséis de diciembre de dos mil siete, la Magistrada Presidenta de </w:t>
      </w:r>
      <w:smartTag w:uri="urn:schemas-microsoft-com:office:smarttags" w:element="PersonName">
        <w:smartTagPr>
          <w:attr w:name="ProductID" w:val="la Sala Superior"/>
        </w:smartTagPr>
        <w:r w:rsidRPr="00E478A7">
          <w:rPr>
            <w:rFonts w:ascii="Arial" w:eastAsia="Times New Roman" w:hAnsi="Arial" w:cs="Arial"/>
            <w:sz w:val="28"/>
            <w:szCs w:val="28"/>
            <w:lang w:eastAsia="es-MX"/>
          </w:rPr>
          <w:t>la Sala Superior</w:t>
        </w:r>
      </w:smartTag>
      <w:r w:rsidRPr="00E478A7">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E478A7">
          <w:rPr>
            <w:rFonts w:ascii="Arial" w:eastAsia="Times New Roman" w:hAnsi="Arial" w:cs="Arial"/>
            <w:sz w:val="28"/>
            <w:szCs w:val="28"/>
            <w:lang w:eastAsia="es-MX"/>
          </w:rPr>
          <w:t>la Federación</w:t>
        </w:r>
      </w:smartTag>
      <w:r w:rsidRPr="00E478A7">
        <w:rPr>
          <w:rFonts w:ascii="Arial" w:eastAsia="Times New Roman" w:hAnsi="Arial" w:cs="Arial"/>
          <w:sz w:val="28"/>
          <w:szCs w:val="28"/>
          <w:lang w:eastAsia="es-MX"/>
        </w:rPr>
        <w:t xml:space="preserve">, acordó integrar el expediente </w:t>
      </w:r>
      <w:r w:rsidRPr="00E478A7">
        <w:rPr>
          <w:rFonts w:ascii="Arial" w:eastAsia="Times New Roman" w:hAnsi="Arial" w:cs="Arial"/>
          <w:b/>
          <w:sz w:val="28"/>
          <w:szCs w:val="28"/>
          <w:lang w:eastAsia="es-MX"/>
        </w:rPr>
        <w:t>SUP-JDC-2569/2007</w:t>
      </w:r>
      <w:r w:rsidRPr="00E478A7">
        <w:rPr>
          <w:rFonts w:ascii="Arial" w:eastAsia="Times New Roman" w:hAnsi="Arial" w:cs="Arial"/>
          <w:sz w:val="28"/>
          <w:szCs w:val="28"/>
          <w:lang w:eastAsia="es-MX"/>
        </w:rPr>
        <w:t xml:space="preserve"> y turnarlo a la Ponencia del Magistrado Flavio Galván Rivera, para los efectos previstos en el artículo 19 de la Ley General del Sistema de Medios de Impugnación en Materia Electoral.</w:t>
      </w:r>
    </w:p>
    <w:p w14:paraId="35401672"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76A9D340" w14:textId="77777777" w:rsidR="00E478A7" w:rsidRPr="00E478A7" w:rsidRDefault="00E478A7" w:rsidP="00E478A7">
      <w:pPr>
        <w:spacing w:after="0" w:line="360" w:lineRule="auto"/>
        <w:ind w:firstLine="539"/>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V.</w:t>
      </w:r>
      <w:r w:rsidRPr="00E478A7">
        <w:rPr>
          <w:rFonts w:ascii="Arial" w:eastAsia="Times New Roman" w:hAnsi="Arial" w:cs="Arial"/>
          <w:sz w:val="28"/>
          <w:szCs w:val="28"/>
          <w:lang w:eastAsia="es-MX"/>
        </w:rPr>
        <w:t xml:space="preserve"> </w:t>
      </w:r>
      <w:r w:rsidRPr="00E478A7">
        <w:rPr>
          <w:rFonts w:ascii="Arial" w:eastAsia="Times New Roman" w:hAnsi="Arial" w:cs="Arial"/>
          <w:b/>
          <w:bCs/>
          <w:sz w:val="28"/>
          <w:szCs w:val="28"/>
          <w:lang w:eastAsia="es-MX"/>
        </w:rPr>
        <w:t xml:space="preserve">Radicación y requerimiento. </w:t>
      </w:r>
      <w:r w:rsidRPr="00E478A7">
        <w:rPr>
          <w:rFonts w:ascii="Arial" w:eastAsia="Times New Roman" w:hAnsi="Arial" w:cs="Arial"/>
          <w:bCs/>
          <w:sz w:val="28"/>
          <w:szCs w:val="28"/>
          <w:lang w:eastAsia="es-MX"/>
        </w:rPr>
        <w:t xml:space="preserve">Por acuerdo de veintisiete de diciembre de dos mil siete, el Magistrado Instructor acordó la radicación del juicio para la protección de los derechos político-electorales del </w:t>
      </w:r>
      <w:r w:rsidRPr="00E478A7">
        <w:rPr>
          <w:rFonts w:ascii="Arial" w:eastAsia="Times New Roman" w:hAnsi="Arial" w:cs="Arial"/>
          <w:bCs/>
          <w:sz w:val="28"/>
          <w:szCs w:val="28"/>
          <w:lang w:eastAsia="es-MX"/>
        </w:rPr>
        <w:lastRenderedPageBreak/>
        <w:t xml:space="preserve">ciudadano indicado al rubro y, requirió a los </w:t>
      </w:r>
      <w:proofErr w:type="spellStart"/>
      <w:r w:rsidRPr="00E478A7">
        <w:rPr>
          <w:rFonts w:ascii="Arial" w:eastAsia="Times New Roman" w:hAnsi="Arial" w:cs="Arial"/>
          <w:bCs/>
          <w:sz w:val="28"/>
          <w:szCs w:val="28"/>
          <w:lang w:eastAsia="es-MX"/>
        </w:rPr>
        <w:t>promoventes</w:t>
      </w:r>
      <w:proofErr w:type="spellEnd"/>
      <w:r w:rsidRPr="00E478A7">
        <w:rPr>
          <w:rFonts w:ascii="Arial" w:eastAsia="Times New Roman" w:hAnsi="Arial" w:cs="Arial"/>
          <w:bCs/>
          <w:sz w:val="28"/>
          <w:szCs w:val="28"/>
          <w:lang w:eastAsia="es-MX"/>
        </w:rPr>
        <w:t>,</w:t>
      </w:r>
      <w:r w:rsidRPr="00E478A7">
        <w:rPr>
          <w:rFonts w:ascii="Times New Roman" w:eastAsia="Times New Roman" w:hAnsi="Times New Roman" w:cs="Times New Roman"/>
          <w:sz w:val="24"/>
          <w:szCs w:val="24"/>
          <w:lang w:eastAsia="es-MX"/>
        </w:rPr>
        <w:t xml:space="preserve"> </w:t>
      </w:r>
      <w:r w:rsidRPr="00E478A7">
        <w:rPr>
          <w:rFonts w:ascii="Arial" w:eastAsia="Times New Roman" w:hAnsi="Arial" w:cs="Arial"/>
          <w:bCs/>
          <w:sz w:val="28"/>
          <w:szCs w:val="28"/>
          <w:lang w:eastAsia="es-MX"/>
        </w:rPr>
        <w:t>al Tribunal Estatal Electoral de Oaxaca, por conducto del Magistrado Presidente así como, a los Presidentes del Consejo General del Instituto Estatal Electoral y de la Gran Comisión del Honorable Congreso, ambos del Estado de Oaxaca, remitieran diversa documentación a fin de lograr la debida integración del expediente respectivo.</w:t>
      </w:r>
    </w:p>
    <w:p w14:paraId="6C1A3529" w14:textId="77777777" w:rsidR="00E478A7" w:rsidRPr="00E478A7" w:rsidRDefault="00E478A7" w:rsidP="00E478A7">
      <w:pPr>
        <w:spacing w:after="0" w:line="360" w:lineRule="auto"/>
        <w:ind w:firstLine="539"/>
        <w:jc w:val="both"/>
        <w:rPr>
          <w:rFonts w:ascii="Arial" w:eastAsia="Times New Roman" w:hAnsi="Arial" w:cs="Arial"/>
          <w:b/>
          <w:bCs/>
          <w:sz w:val="28"/>
          <w:szCs w:val="28"/>
          <w:lang w:eastAsia="es-MX"/>
        </w:rPr>
      </w:pPr>
    </w:p>
    <w:p w14:paraId="447649ED"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sz w:val="28"/>
          <w:szCs w:val="28"/>
          <w:lang w:eastAsia="es-MX"/>
        </w:rPr>
        <w:t>VI. Admisión de demanda y cumplimiento.</w:t>
      </w:r>
      <w:r w:rsidRPr="00E478A7">
        <w:rPr>
          <w:rFonts w:ascii="Arial" w:eastAsia="Times New Roman" w:hAnsi="Arial" w:cs="Arial"/>
          <w:sz w:val="28"/>
          <w:szCs w:val="28"/>
          <w:lang w:eastAsia="es-MX"/>
        </w:rPr>
        <w:t xml:space="preserve"> En proveído de veintisiete de diciembre de dos mil siete, el Magistrado Instructor admitió a trámite la demanda del juicio de referencia y tuvo por cumplido el requerimiento realizado a los</w:t>
      </w:r>
      <w:r w:rsidRPr="00E478A7">
        <w:rPr>
          <w:rFonts w:ascii="Arial" w:eastAsia="Times New Roman" w:hAnsi="Arial" w:cs="Arial"/>
          <w:bCs/>
          <w:sz w:val="28"/>
          <w:szCs w:val="28"/>
          <w:lang w:eastAsia="es-MX"/>
        </w:rPr>
        <w:t xml:space="preserve"> Presidentes del Consejo General del Instituto Estatal Electoral y de la Gran Comisión del Honorable Congreso, ambos del Estado de Oaxaca</w:t>
      </w:r>
      <w:r w:rsidRPr="00E478A7">
        <w:rPr>
          <w:rFonts w:ascii="Arial" w:eastAsia="Times New Roman" w:hAnsi="Arial" w:cs="Arial"/>
          <w:sz w:val="28"/>
          <w:szCs w:val="28"/>
          <w:lang w:eastAsia="es-MX"/>
        </w:rPr>
        <w:t>.</w:t>
      </w:r>
    </w:p>
    <w:p w14:paraId="08FECF76"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3269847C"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r w:rsidRPr="00E478A7">
        <w:rPr>
          <w:rFonts w:ascii="Arial" w:eastAsia="Times New Roman" w:hAnsi="Arial" w:cs="Arial"/>
          <w:b/>
          <w:sz w:val="28"/>
          <w:szCs w:val="28"/>
          <w:lang w:eastAsia="es-MX"/>
        </w:rPr>
        <w:t xml:space="preserve">VII. Cumplimiento y cierre de instrucción. </w:t>
      </w:r>
      <w:r w:rsidRPr="00E478A7">
        <w:rPr>
          <w:rFonts w:ascii="Arial" w:eastAsia="Times New Roman" w:hAnsi="Arial" w:cs="Arial"/>
          <w:sz w:val="28"/>
          <w:szCs w:val="28"/>
          <w:lang w:eastAsia="es-MX"/>
        </w:rPr>
        <w:t xml:space="preserve">Por acuerdo de veintiocho de diciembre de dos mil siete, se tuvo por cumplido el requerimiento que se efectúo tanto a los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xml:space="preserve"> como al Presidente del Tribunal Estatal Electoral de Oaxaca y, por no existir diligencia alguna pendiente de desahogar, se declaró cerrada la instrucción, con lo cual el asunto quedó en estado de resolución, ordenando formular el respectivo proyecto de sentencia.</w:t>
      </w:r>
    </w:p>
    <w:p w14:paraId="150C5FBE" w14:textId="77777777" w:rsidR="00E478A7" w:rsidRPr="00E478A7" w:rsidRDefault="00E478A7" w:rsidP="00E478A7">
      <w:pPr>
        <w:spacing w:after="0" w:line="360" w:lineRule="auto"/>
        <w:ind w:firstLine="539"/>
        <w:jc w:val="both"/>
        <w:rPr>
          <w:rFonts w:ascii="Arial" w:eastAsia="Times New Roman" w:hAnsi="Arial" w:cs="Arial"/>
          <w:sz w:val="28"/>
          <w:szCs w:val="28"/>
          <w:lang w:eastAsia="es-MX"/>
        </w:rPr>
      </w:pPr>
    </w:p>
    <w:p w14:paraId="16C1B592" w14:textId="77777777" w:rsidR="00E478A7" w:rsidRPr="00E478A7" w:rsidRDefault="00E478A7" w:rsidP="00E478A7">
      <w:pPr>
        <w:spacing w:after="0" w:line="360" w:lineRule="auto"/>
        <w:jc w:val="center"/>
        <w:rPr>
          <w:rFonts w:ascii="Arial" w:eastAsia="Times New Roman" w:hAnsi="Arial" w:cs="Arial"/>
          <w:b/>
          <w:bCs/>
          <w:sz w:val="28"/>
          <w:szCs w:val="28"/>
          <w:lang w:val="pt-BR" w:eastAsia="es-MX"/>
        </w:rPr>
      </w:pPr>
      <w:r w:rsidRPr="00E478A7">
        <w:rPr>
          <w:rFonts w:ascii="Arial" w:eastAsia="Times New Roman" w:hAnsi="Arial" w:cs="Arial"/>
          <w:b/>
          <w:bCs/>
          <w:sz w:val="28"/>
          <w:szCs w:val="28"/>
          <w:lang w:val="pt-BR" w:eastAsia="es-MX"/>
        </w:rPr>
        <w:t>C O N S I D E R A N D O :</w:t>
      </w:r>
    </w:p>
    <w:p w14:paraId="205F68B3" w14:textId="77777777" w:rsidR="00E478A7" w:rsidRPr="00E478A7" w:rsidRDefault="00E478A7" w:rsidP="00E478A7">
      <w:pPr>
        <w:spacing w:after="0" w:line="360" w:lineRule="auto"/>
        <w:jc w:val="center"/>
        <w:rPr>
          <w:rFonts w:ascii="Arial" w:eastAsia="Times New Roman" w:hAnsi="Arial" w:cs="Arial"/>
          <w:b/>
          <w:bCs/>
          <w:sz w:val="28"/>
          <w:szCs w:val="28"/>
          <w:lang w:val="pt-BR" w:eastAsia="es-MX"/>
        </w:rPr>
      </w:pPr>
    </w:p>
    <w:p w14:paraId="0740598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PRIMERO.</w:t>
      </w:r>
      <w:r w:rsidRPr="00E478A7">
        <w:rPr>
          <w:rFonts w:ascii="Arial" w:eastAsia="Times New Roman" w:hAnsi="Arial" w:cs="Arial"/>
          <w:sz w:val="28"/>
          <w:szCs w:val="28"/>
          <w:lang w:eastAsia="es-MX"/>
        </w:rPr>
        <w:t xml:space="preserve"> </w:t>
      </w:r>
      <w:r w:rsidRPr="00E478A7">
        <w:rPr>
          <w:rFonts w:ascii="Arial" w:eastAsia="Times New Roman" w:hAnsi="Arial" w:cs="Arial"/>
          <w:b/>
          <w:sz w:val="28"/>
          <w:szCs w:val="28"/>
          <w:lang w:eastAsia="es-MX"/>
        </w:rPr>
        <w:t>Competencia.</w:t>
      </w:r>
      <w:r w:rsidRPr="00E478A7">
        <w:rPr>
          <w:rFonts w:ascii="Arial" w:eastAsia="Times New Roman" w:hAnsi="Arial" w:cs="Arial"/>
          <w:sz w:val="28"/>
          <w:szCs w:val="28"/>
          <w:lang w:eastAsia="es-MX"/>
        </w:rPr>
        <w:t xml:space="preserve"> Esta Sala Superior del Tribunal Electoral del Poder Judicial de </w:t>
      </w:r>
      <w:smartTag w:uri="urn:schemas-microsoft-com:office:smarttags" w:element="PersonName">
        <w:smartTagPr>
          <w:attr w:name="ProductID" w:val="la Federaci￳n"/>
        </w:smartTagPr>
        <w:r w:rsidRPr="00E478A7">
          <w:rPr>
            <w:rFonts w:ascii="Arial" w:eastAsia="Times New Roman" w:hAnsi="Arial" w:cs="Arial"/>
            <w:sz w:val="28"/>
            <w:szCs w:val="28"/>
            <w:lang w:eastAsia="es-MX"/>
          </w:rPr>
          <w:t>la Federación</w:t>
        </w:r>
      </w:smartTag>
      <w:r w:rsidRPr="00E478A7">
        <w:rPr>
          <w:rFonts w:ascii="Arial" w:eastAsia="Times New Roman" w:hAnsi="Arial" w:cs="Arial"/>
          <w:sz w:val="28"/>
          <w:szCs w:val="28"/>
          <w:lang w:eastAsia="es-MX"/>
        </w:rPr>
        <w:t xml:space="preserve"> es competente para conocer y resolver el juicio identificado al rubro, con fundamento en lo </w:t>
      </w:r>
      <w:r w:rsidRPr="00E478A7">
        <w:rPr>
          <w:rFonts w:ascii="Arial" w:eastAsia="Times New Roman" w:hAnsi="Arial" w:cs="Arial"/>
          <w:sz w:val="28"/>
          <w:szCs w:val="28"/>
          <w:lang w:eastAsia="es-MX"/>
        </w:rPr>
        <w:lastRenderedPageBreak/>
        <w:t xml:space="preserve">dispuesto por los artículos 41, párrafo segundo, base VI, 99, párrafo cuarto, fracción V, de </w:t>
      </w:r>
      <w:smartTag w:uri="urn:schemas-microsoft-com:office:smarttags" w:element="PersonName">
        <w:smartTagPr>
          <w:attr w:name="ProductID" w:val="la Constituci￳n Pol￭tica"/>
        </w:smartTagPr>
        <w:r w:rsidRPr="00E478A7">
          <w:rPr>
            <w:rFonts w:ascii="Arial" w:eastAsia="Times New Roman" w:hAnsi="Arial" w:cs="Arial"/>
            <w:sz w:val="28"/>
            <w:szCs w:val="28"/>
            <w:lang w:eastAsia="es-MX"/>
          </w:rPr>
          <w:t>la Constitución Política</w:t>
        </w:r>
      </w:smartTag>
      <w:r w:rsidRPr="00E478A7">
        <w:rPr>
          <w:rFonts w:ascii="Arial" w:eastAsia="Times New Roman" w:hAnsi="Arial" w:cs="Arial"/>
          <w:sz w:val="28"/>
          <w:szCs w:val="28"/>
          <w:lang w:eastAsia="es-MX"/>
        </w:rPr>
        <w:t xml:space="preserve"> de los Estados Unidos Mexicanos; 186, fracción III, inciso c), y 189, fracción I, inciso f), de </w:t>
      </w:r>
      <w:smartTag w:uri="urn:schemas-microsoft-com:office:smarttags" w:element="PersonName">
        <w:smartTagPr>
          <w:attr w:name="ProductID" w:val="la Ley Org￡nica"/>
        </w:smartTagPr>
        <w:r w:rsidRPr="00E478A7">
          <w:rPr>
            <w:rFonts w:ascii="Arial" w:eastAsia="Times New Roman" w:hAnsi="Arial" w:cs="Arial"/>
            <w:sz w:val="28"/>
            <w:szCs w:val="28"/>
            <w:lang w:eastAsia="es-MX"/>
          </w:rPr>
          <w:t>la Ley Orgánica</w:t>
        </w:r>
      </w:smartTag>
      <w:r w:rsidRPr="00E478A7">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Federaci￳n"/>
        </w:smartTagPr>
        <w:r w:rsidRPr="00E478A7">
          <w:rPr>
            <w:rFonts w:ascii="Arial" w:eastAsia="Times New Roman" w:hAnsi="Arial" w:cs="Arial"/>
            <w:sz w:val="28"/>
            <w:szCs w:val="28"/>
            <w:lang w:eastAsia="es-MX"/>
          </w:rPr>
          <w:t>la Federación</w:t>
        </w:r>
      </w:smartTag>
      <w:r w:rsidRPr="00E478A7">
        <w:rPr>
          <w:rFonts w:ascii="Arial" w:eastAsia="Times New Roman" w:hAnsi="Arial" w:cs="Arial"/>
          <w:sz w:val="28"/>
          <w:szCs w:val="28"/>
          <w:lang w:eastAsia="es-MX"/>
        </w:rPr>
        <w:t xml:space="preserve">; y 79 y 83, párrafo 1, inciso b), de </w:t>
      </w:r>
      <w:smartTag w:uri="urn:schemas-microsoft-com:office:smarttags" w:element="PersonName">
        <w:smartTagPr>
          <w:attr w:name="ProductID" w:val="la Ley General"/>
        </w:smartTagPr>
        <w:r w:rsidRPr="00E478A7">
          <w:rPr>
            <w:rFonts w:ascii="Arial" w:eastAsia="Times New Roman" w:hAnsi="Arial" w:cs="Arial"/>
            <w:sz w:val="28"/>
            <w:szCs w:val="28"/>
            <w:lang w:eastAsia="es-MX"/>
          </w:rPr>
          <w:t>la Ley General</w:t>
        </w:r>
      </w:smartTag>
      <w:r w:rsidRPr="00E478A7">
        <w:rPr>
          <w:rFonts w:ascii="Arial" w:eastAsia="Times New Roman" w:hAnsi="Arial" w:cs="Arial"/>
          <w:sz w:val="28"/>
          <w:szCs w:val="28"/>
          <w:lang w:eastAsia="es-MX"/>
        </w:rPr>
        <w:t xml:space="preserve"> del Sistema de Medios de Impugnación en Materia Electoral, al tratarse de un juicio para la protección de los derechos político-electorales del ciudadano, en el cual se plantea la conculcación del derecho de votar y ser votado.</w:t>
      </w:r>
    </w:p>
    <w:p w14:paraId="4AB70986"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6AF53B16"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b/>
          <w:sz w:val="28"/>
          <w:szCs w:val="28"/>
          <w:lang w:val="es-ES" w:eastAsia="es-ES"/>
        </w:rPr>
        <w:t xml:space="preserve">SEGUNDO. </w:t>
      </w:r>
      <w:r w:rsidRPr="00E478A7">
        <w:rPr>
          <w:rFonts w:ascii="Arial" w:eastAsia="Times New Roman" w:hAnsi="Arial" w:cs="Arial"/>
          <w:b/>
          <w:bCs/>
          <w:sz w:val="28"/>
          <w:szCs w:val="28"/>
          <w:lang w:val="es-ES" w:eastAsia="es-ES"/>
        </w:rPr>
        <w:t xml:space="preserve">Causal de improcedencia advertida por esta Sala Superior. </w:t>
      </w:r>
      <w:r w:rsidRPr="00E478A7">
        <w:rPr>
          <w:rFonts w:ascii="Arial" w:eastAsia="Times New Roman" w:hAnsi="Arial" w:cs="Arial"/>
          <w:bCs/>
          <w:sz w:val="28"/>
          <w:szCs w:val="28"/>
          <w:lang w:val="es-ES" w:eastAsia="es-ES"/>
        </w:rPr>
        <w:t>E</w:t>
      </w:r>
      <w:r w:rsidRPr="00E478A7">
        <w:rPr>
          <w:rFonts w:ascii="Arial" w:eastAsia="Times New Roman" w:hAnsi="Arial" w:cs="Arial"/>
          <w:sz w:val="28"/>
          <w:szCs w:val="28"/>
          <w:lang w:val="es-ES" w:eastAsia="es-ES"/>
        </w:rPr>
        <w:t xml:space="preserve">sta Sala Superior advierte que con relación a </w:t>
      </w:r>
      <w:r w:rsidRPr="00E478A7">
        <w:rPr>
          <w:rFonts w:ascii="Arial" w:eastAsia="Times New Roman" w:hAnsi="Arial" w:cs="Arial"/>
          <w:sz w:val="28"/>
          <w:szCs w:val="28"/>
          <w:lang w:eastAsia="es-ES"/>
        </w:rPr>
        <w:t xml:space="preserve">Ofelia Ortega Flores, Fernando Palacios </w:t>
      </w:r>
      <w:proofErr w:type="spellStart"/>
      <w:r w:rsidRPr="00E478A7">
        <w:rPr>
          <w:rFonts w:ascii="Arial" w:eastAsia="Times New Roman" w:hAnsi="Arial" w:cs="Arial"/>
          <w:sz w:val="28"/>
          <w:szCs w:val="28"/>
          <w:lang w:eastAsia="es-ES"/>
        </w:rPr>
        <w:t>Cházares</w:t>
      </w:r>
      <w:proofErr w:type="spellEnd"/>
      <w:r w:rsidRPr="00E478A7">
        <w:rPr>
          <w:rFonts w:ascii="Arial" w:eastAsia="Times New Roman" w:hAnsi="Arial" w:cs="Arial"/>
          <w:sz w:val="28"/>
          <w:szCs w:val="28"/>
          <w:lang w:eastAsia="es-ES"/>
        </w:rPr>
        <w:t xml:space="preserve">, Felipe Palacios </w:t>
      </w:r>
      <w:proofErr w:type="spellStart"/>
      <w:r w:rsidRPr="00E478A7">
        <w:rPr>
          <w:rFonts w:ascii="Arial" w:eastAsia="Times New Roman" w:hAnsi="Arial" w:cs="Arial"/>
          <w:sz w:val="28"/>
          <w:szCs w:val="28"/>
          <w:lang w:eastAsia="es-ES"/>
        </w:rPr>
        <w:t>Cházares</w:t>
      </w:r>
      <w:proofErr w:type="spellEnd"/>
      <w:r w:rsidRPr="00E478A7">
        <w:rPr>
          <w:rFonts w:ascii="Arial" w:eastAsia="Times New Roman" w:hAnsi="Arial" w:cs="Arial"/>
          <w:sz w:val="28"/>
          <w:szCs w:val="28"/>
          <w:lang w:eastAsia="es-ES"/>
        </w:rPr>
        <w:t xml:space="preserve">, </w:t>
      </w:r>
      <w:r w:rsidRPr="00E478A7">
        <w:rPr>
          <w:rFonts w:ascii="Arial" w:eastAsia="Times New Roman" w:hAnsi="Arial" w:cs="Arial"/>
          <w:sz w:val="28"/>
          <w:szCs w:val="28"/>
          <w:lang w:val="es-ES" w:eastAsia="es-ES"/>
        </w:rPr>
        <w:t xml:space="preserve">Ignacio Palacios García, Francisca Carrera Barbosa, Javier Carrera Álvarez, Elvira Varela Zárate, Moisés Romero Estrada, José Cortés, José Gómez Pérez y Catarina </w:t>
      </w:r>
      <w:proofErr w:type="spellStart"/>
      <w:r w:rsidRPr="00E478A7">
        <w:rPr>
          <w:rFonts w:ascii="Arial" w:eastAsia="Times New Roman" w:hAnsi="Arial" w:cs="Arial"/>
          <w:sz w:val="28"/>
          <w:szCs w:val="28"/>
          <w:lang w:val="es-ES" w:eastAsia="es-ES"/>
        </w:rPr>
        <w:t>Cházares</w:t>
      </w:r>
      <w:proofErr w:type="spellEnd"/>
      <w:r w:rsidRPr="00E478A7">
        <w:rPr>
          <w:rFonts w:ascii="Arial" w:eastAsia="Times New Roman" w:hAnsi="Arial" w:cs="Arial"/>
          <w:sz w:val="28"/>
          <w:szCs w:val="28"/>
          <w:lang w:val="es-ES" w:eastAsia="es-ES"/>
        </w:rPr>
        <w:t xml:space="preserve"> </w:t>
      </w:r>
      <w:proofErr w:type="spellStart"/>
      <w:r w:rsidRPr="00E478A7">
        <w:rPr>
          <w:rFonts w:ascii="Arial" w:eastAsia="Times New Roman" w:hAnsi="Arial" w:cs="Arial"/>
          <w:sz w:val="28"/>
          <w:szCs w:val="28"/>
          <w:lang w:val="es-ES" w:eastAsia="es-ES"/>
        </w:rPr>
        <w:t>Cabanzo</w:t>
      </w:r>
      <w:proofErr w:type="spellEnd"/>
      <w:r w:rsidRPr="00E478A7">
        <w:rPr>
          <w:rFonts w:ascii="Arial" w:eastAsia="Times New Roman" w:hAnsi="Arial" w:cs="Arial"/>
          <w:sz w:val="28"/>
          <w:szCs w:val="28"/>
          <w:lang w:val="es-ES" w:eastAsia="es-ES"/>
        </w:rPr>
        <w:t xml:space="preserve">, se actualiza la prevista en el artículo 9, párrafo 1, inciso g), y párrafo 3, de la Ley General del Sistema de Medios de Impugnación en Materia Electoral, en virtud de que, en la demanda de juicio para la protección de los derechos político-electorales del ciudadano bajo estudio, se incumple el requisito de hacer constar la firma autógrafa de los </w:t>
      </w:r>
      <w:proofErr w:type="spellStart"/>
      <w:r w:rsidRPr="00E478A7">
        <w:rPr>
          <w:rFonts w:ascii="Arial" w:eastAsia="Times New Roman" w:hAnsi="Arial" w:cs="Arial"/>
          <w:sz w:val="28"/>
          <w:szCs w:val="28"/>
          <w:lang w:val="es-ES" w:eastAsia="es-ES"/>
        </w:rPr>
        <w:t>enjuiciantes</w:t>
      </w:r>
      <w:proofErr w:type="spellEnd"/>
      <w:r w:rsidRPr="00E478A7">
        <w:rPr>
          <w:rFonts w:ascii="Arial" w:eastAsia="Times New Roman" w:hAnsi="Arial" w:cs="Arial"/>
          <w:sz w:val="28"/>
          <w:szCs w:val="28"/>
          <w:lang w:val="es-ES" w:eastAsia="es-ES"/>
        </w:rPr>
        <w:t xml:space="preserve"> o en su caso, estampar su huella digital.</w:t>
      </w:r>
    </w:p>
    <w:p w14:paraId="5CE899ED" w14:textId="77777777" w:rsidR="00E478A7" w:rsidRPr="00E478A7" w:rsidRDefault="00E478A7" w:rsidP="00E478A7">
      <w:pPr>
        <w:spacing w:before="480" w:after="48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De acuerdo con lo dispuesto por el mencionado artículo 9, párrafo 1, inciso g), de la Ley General del Sistema de Medios de Impugnación en Materia Electoral, los medios de impugnación, incluido, evidentemente, el juicio para la protección de los derechos político-electorales del ciudadano, se deben presentar por escrito y cumplir, </w:t>
      </w:r>
      <w:r w:rsidRPr="00E478A7">
        <w:rPr>
          <w:rFonts w:ascii="Arial" w:eastAsia="Times New Roman" w:hAnsi="Arial" w:cs="Arial"/>
          <w:sz w:val="28"/>
          <w:szCs w:val="28"/>
          <w:lang w:eastAsia="es-MX"/>
        </w:rPr>
        <w:lastRenderedPageBreak/>
        <w:t xml:space="preserve">entre otros requisitos, con el de hacer constar el nombre y </w:t>
      </w:r>
      <w:r w:rsidRPr="00E478A7">
        <w:rPr>
          <w:rFonts w:ascii="Arial" w:eastAsia="Times New Roman" w:hAnsi="Arial" w:cs="Arial"/>
          <w:bCs/>
          <w:sz w:val="28"/>
          <w:szCs w:val="28"/>
          <w:lang w:eastAsia="es-MX"/>
        </w:rPr>
        <w:t xml:space="preserve">la firma autógrafa del </w:t>
      </w:r>
      <w:proofErr w:type="spellStart"/>
      <w:r w:rsidRPr="00E478A7">
        <w:rPr>
          <w:rFonts w:ascii="Arial" w:eastAsia="Times New Roman" w:hAnsi="Arial" w:cs="Arial"/>
          <w:bCs/>
          <w:sz w:val="28"/>
          <w:szCs w:val="28"/>
          <w:lang w:eastAsia="es-MX"/>
        </w:rPr>
        <w:t>promovente</w:t>
      </w:r>
      <w:proofErr w:type="spellEnd"/>
      <w:r w:rsidRPr="00E478A7">
        <w:rPr>
          <w:rFonts w:ascii="Arial" w:eastAsia="Times New Roman" w:hAnsi="Arial" w:cs="Arial"/>
          <w:sz w:val="28"/>
          <w:szCs w:val="28"/>
          <w:lang w:eastAsia="es-MX"/>
        </w:rPr>
        <w:t>.</w:t>
      </w:r>
    </w:p>
    <w:p w14:paraId="6265F854" w14:textId="77777777" w:rsidR="00E478A7" w:rsidRPr="00E478A7" w:rsidRDefault="00E478A7" w:rsidP="00E478A7">
      <w:pPr>
        <w:spacing w:before="480" w:after="48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A su vez, en el párrafo 3 del mismo precepto legal se ordena que, cuando el medio de impugnación incumpla alguno de los requisitos previstos en el citado inciso g) del párrafo 1 de tal artículo 9, se debe desechar de plano, en relación con lo anterior el artículo 11, párrafo 1, inciso c) de la Ley General del Sistema de Medios de Impugnación en Materia Electoral prevé que cuando se haya admitido el medio de impugnación y sobrevenga una causa de improcedencia, procederá el sobreseimiento.</w:t>
      </w:r>
    </w:p>
    <w:p w14:paraId="7CF4A98B" w14:textId="77777777" w:rsidR="00E478A7" w:rsidRPr="00E478A7" w:rsidRDefault="00E478A7" w:rsidP="00E478A7">
      <w:pPr>
        <w:spacing w:before="480" w:after="48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En el caso en estudio, como se observa de manera notoria e indubitable el escrito inicial de demanda no se encuentra firmado, ni tampoco está estampado algún otro signo quede </w:t>
      </w:r>
      <w:proofErr w:type="spellStart"/>
      <w:r w:rsidRPr="00E478A7">
        <w:rPr>
          <w:rFonts w:ascii="Arial" w:eastAsia="Times New Roman" w:hAnsi="Arial" w:cs="Arial"/>
          <w:sz w:val="28"/>
          <w:szCs w:val="28"/>
          <w:lang w:eastAsia="es-MX"/>
        </w:rPr>
        <w:t>autencidad</w:t>
      </w:r>
      <w:proofErr w:type="spellEnd"/>
      <w:r w:rsidRPr="00E478A7">
        <w:rPr>
          <w:rFonts w:ascii="Arial" w:eastAsia="Times New Roman" w:hAnsi="Arial" w:cs="Arial"/>
          <w:sz w:val="28"/>
          <w:szCs w:val="28"/>
          <w:lang w:eastAsia="es-MX"/>
        </w:rPr>
        <w:t xml:space="preserve"> al escrito,  por los demandantes Ofelia Ortega Flores, Fernando Palacios </w:t>
      </w:r>
      <w:proofErr w:type="spellStart"/>
      <w:r w:rsidRPr="00E478A7">
        <w:rPr>
          <w:rFonts w:ascii="Arial" w:eastAsia="Times New Roman" w:hAnsi="Arial" w:cs="Arial"/>
          <w:sz w:val="28"/>
          <w:szCs w:val="28"/>
          <w:lang w:eastAsia="es-MX"/>
        </w:rPr>
        <w:t>Cházares</w:t>
      </w:r>
      <w:proofErr w:type="spellEnd"/>
      <w:r w:rsidRPr="00E478A7">
        <w:rPr>
          <w:rFonts w:ascii="Arial" w:eastAsia="Times New Roman" w:hAnsi="Arial" w:cs="Arial"/>
          <w:sz w:val="28"/>
          <w:szCs w:val="28"/>
          <w:lang w:eastAsia="es-MX"/>
        </w:rPr>
        <w:t xml:space="preserve">, Felipe Palacios </w:t>
      </w:r>
      <w:proofErr w:type="spellStart"/>
      <w:r w:rsidRPr="00E478A7">
        <w:rPr>
          <w:rFonts w:ascii="Arial" w:eastAsia="Times New Roman" w:hAnsi="Arial" w:cs="Arial"/>
          <w:sz w:val="28"/>
          <w:szCs w:val="28"/>
          <w:lang w:eastAsia="es-MX"/>
        </w:rPr>
        <w:t>Cházares</w:t>
      </w:r>
      <w:proofErr w:type="spellEnd"/>
      <w:r w:rsidRPr="00E478A7">
        <w:rPr>
          <w:rFonts w:ascii="Arial" w:eastAsia="Times New Roman" w:hAnsi="Arial" w:cs="Arial"/>
          <w:sz w:val="28"/>
          <w:szCs w:val="28"/>
          <w:lang w:eastAsia="es-MX"/>
        </w:rPr>
        <w:t xml:space="preserve">, Ignacio Palacios García, Francisca Carrera Barbosa, Javier Carrera Álvarez, Elvira Varela Zárate, Moisés Romero Estrada, José Cortés, José Gómez Pérez y Catarina </w:t>
      </w:r>
      <w:proofErr w:type="spellStart"/>
      <w:r w:rsidRPr="00E478A7">
        <w:rPr>
          <w:rFonts w:ascii="Arial" w:eastAsia="Times New Roman" w:hAnsi="Arial" w:cs="Arial"/>
          <w:sz w:val="28"/>
          <w:szCs w:val="28"/>
          <w:lang w:eastAsia="es-MX"/>
        </w:rPr>
        <w:t>Cházares</w:t>
      </w:r>
      <w:proofErr w:type="spellEnd"/>
      <w:r w:rsidRPr="00E478A7">
        <w:rPr>
          <w:rFonts w:ascii="Arial" w:eastAsia="Times New Roman" w:hAnsi="Arial" w:cs="Arial"/>
          <w:sz w:val="28"/>
          <w:szCs w:val="28"/>
          <w:lang w:eastAsia="es-MX"/>
        </w:rPr>
        <w:t xml:space="preserve"> </w:t>
      </w:r>
      <w:proofErr w:type="spellStart"/>
      <w:r w:rsidRPr="00E478A7">
        <w:rPr>
          <w:rFonts w:ascii="Arial" w:eastAsia="Times New Roman" w:hAnsi="Arial" w:cs="Arial"/>
          <w:sz w:val="28"/>
          <w:szCs w:val="28"/>
          <w:lang w:eastAsia="es-MX"/>
        </w:rPr>
        <w:t>Cabanzo</w:t>
      </w:r>
      <w:proofErr w:type="spellEnd"/>
      <w:r w:rsidRPr="00E478A7">
        <w:rPr>
          <w:rFonts w:ascii="Arial" w:eastAsia="Times New Roman" w:hAnsi="Arial" w:cs="Arial"/>
          <w:sz w:val="28"/>
          <w:szCs w:val="28"/>
          <w:lang w:eastAsia="es-MX"/>
        </w:rPr>
        <w:t>.</w:t>
      </w:r>
    </w:p>
    <w:p w14:paraId="51194370"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En consecuencia, esta Sala Superior considera que, con referencia a los citados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xml:space="preserve">, se actualiza la inobservancia del invocado requisito legal de </w:t>
      </w:r>
      <w:proofErr w:type="spellStart"/>
      <w:r w:rsidRPr="00E478A7">
        <w:rPr>
          <w:rFonts w:ascii="Arial" w:eastAsia="Times New Roman" w:hAnsi="Arial" w:cs="Arial"/>
          <w:sz w:val="28"/>
          <w:szCs w:val="28"/>
          <w:lang w:eastAsia="es-MX"/>
        </w:rPr>
        <w:t>procedibilidad</w:t>
      </w:r>
      <w:proofErr w:type="spellEnd"/>
      <w:r w:rsidRPr="00E478A7">
        <w:rPr>
          <w:rFonts w:ascii="Arial" w:eastAsia="Times New Roman" w:hAnsi="Arial" w:cs="Arial"/>
          <w:sz w:val="28"/>
          <w:szCs w:val="28"/>
          <w:lang w:eastAsia="es-MX"/>
        </w:rPr>
        <w:t xml:space="preserve"> que deben reunir los medios de impugnación, consistente, como se precisó en líneas anteriores, en que en el escrito, a través del cual promuevan se debe hacer constar la firma autógrafa del accionante, o en su caso, cualquier otro signo.</w:t>
      </w:r>
    </w:p>
    <w:p w14:paraId="513D08F6"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2D8DA713"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Como lo ha resuelto este órgano jurisdiccional federal, un presupuesto procesal de los medios de impugnación consiste en la prueba del acto jurídico unilateral con el cual se acredita el ejercicio del derecho de acción impugnativa electoral.</w:t>
      </w:r>
    </w:p>
    <w:p w14:paraId="2E4F5859"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34FD1D02"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La firma autógrafa del actor en la demanda es, por regla, la forma apta para acreditar este requisito, porque el triple objeto de la firma autógrafa consiste en identificar a quien emite o suscribe un documento; en vincular al autor con el hecho jurídico </w:t>
      </w:r>
      <w:r w:rsidRPr="00E478A7">
        <w:rPr>
          <w:rFonts w:ascii="Arial" w:eastAsia="Times New Roman" w:hAnsi="Arial" w:cs="Arial"/>
          <w:i/>
          <w:iCs/>
          <w:sz w:val="28"/>
          <w:szCs w:val="28"/>
          <w:lang w:eastAsia="es-MX"/>
        </w:rPr>
        <w:t>lato sensu</w:t>
      </w:r>
      <w:r w:rsidRPr="00E478A7">
        <w:rPr>
          <w:rFonts w:ascii="Arial" w:eastAsia="Times New Roman" w:hAnsi="Arial" w:cs="Arial"/>
          <w:sz w:val="28"/>
          <w:szCs w:val="28"/>
          <w:lang w:eastAsia="es-MX"/>
        </w:rPr>
        <w:t xml:space="preserve"> contenido en el documento y, en dar autenticidad al escrito respectivo.</w:t>
      </w:r>
    </w:p>
    <w:p w14:paraId="6D4EA4EC"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7D19F1B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Por tanto, la falta de firma autógrafa o de cualquier otro signo que de autenticidad al escrito de demanda respectivo, como puede ser la huella digital, genera la duda de la existencia del acto jurídico unilateral a través del cual se ejerce el derecho de acción, situación que determina la ausencia de un presupuesto necesario para constituir la correspondiente relación jurídica procesal.</w:t>
      </w:r>
    </w:p>
    <w:p w14:paraId="675AB63F"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E0E74B7" w14:textId="77777777" w:rsidR="00E478A7" w:rsidRPr="00E478A7" w:rsidRDefault="00E478A7" w:rsidP="00E478A7">
      <w:pPr>
        <w:spacing w:after="0" w:line="360" w:lineRule="auto"/>
        <w:ind w:firstLine="708"/>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 xml:space="preserve">Conforme con lo anterior, es evidente que en este particular se concreta la causal de notoria improcedencia y consecuente </w:t>
      </w:r>
      <w:proofErr w:type="spellStart"/>
      <w:r w:rsidRPr="00E478A7">
        <w:rPr>
          <w:rFonts w:ascii="Arial" w:eastAsia="Times New Roman" w:hAnsi="Arial" w:cs="Arial"/>
          <w:sz w:val="28"/>
          <w:szCs w:val="28"/>
          <w:lang w:val="es-ES" w:eastAsia="es-ES"/>
        </w:rPr>
        <w:t>desechamiento</w:t>
      </w:r>
      <w:proofErr w:type="spellEnd"/>
      <w:r w:rsidRPr="00E478A7">
        <w:rPr>
          <w:rFonts w:ascii="Arial" w:eastAsia="Times New Roman" w:hAnsi="Arial" w:cs="Arial"/>
          <w:sz w:val="28"/>
          <w:szCs w:val="28"/>
          <w:lang w:val="es-ES" w:eastAsia="es-ES"/>
        </w:rPr>
        <w:t xml:space="preserve"> de plano de la respectiva demanda, prevista en el artículo 9, párrafo 1, inciso g), y párrafo 3, relacionado con el 11, párrafo 1, inciso c), de la Ley General del Sistema de Medios de Impugnación en Materia Electoral, por lo que respecta a </w:t>
      </w:r>
      <w:r w:rsidRPr="00E478A7">
        <w:rPr>
          <w:rFonts w:ascii="Arial" w:eastAsia="Times New Roman" w:hAnsi="Arial" w:cs="Arial"/>
          <w:sz w:val="28"/>
          <w:szCs w:val="28"/>
          <w:lang w:eastAsia="es-ES"/>
        </w:rPr>
        <w:t xml:space="preserve">Ofelia Ortega Flores, Fernando Palacios </w:t>
      </w:r>
      <w:proofErr w:type="spellStart"/>
      <w:r w:rsidRPr="00E478A7">
        <w:rPr>
          <w:rFonts w:ascii="Arial" w:eastAsia="Times New Roman" w:hAnsi="Arial" w:cs="Arial"/>
          <w:sz w:val="28"/>
          <w:szCs w:val="28"/>
          <w:lang w:eastAsia="es-ES"/>
        </w:rPr>
        <w:t>Cházares</w:t>
      </w:r>
      <w:proofErr w:type="spellEnd"/>
      <w:r w:rsidRPr="00E478A7">
        <w:rPr>
          <w:rFonts w:ascii="Arial" w:eastAsia="Times New Roman" w:hAnsi="Arial" w:cs="Arial"/>
          <w:sz w:val="28"/>
          <w:szCs w:val="28"/>
          <w:lang w:eastAsia="es-ES"/>
        </w:rPr>
        <w:t xml:space="preserve">, Felipe Palacios </w:t>
      </w:r>
      <w:proofErr w:type="spellStart"/>
      <w:r w:rsidRPr="00E478A7">
        <w:rPr>
          <w:rFonts w:ascii="Arial" w:eastAsia="Times New Roman" w:hAnsi="Arial" w:cs="Arial"/>
          <w:sz w:val="28"/>
          <w:szCs w:val="28"/>
          <w:lang w:eastAsia="es-ES"/>
        </w:rPr>
        <w:t>Cházares</w:t>
      </w:r>
      <w:proofErr w:type="spellEnd"/>
      <w:r w:rsidRPr="00E478A7">
        <w:rPr>
          <w:rFonts w:ascii="Arial" w:eastAsia="Times New Roman" w:hAnsi="Arial" w:cs="Arial"/>
          <w:sz w:val="28"/>
          <w:szCs w:val="28"/>
          <w:lang w:eastAsia="es-ES"/>
        </w:rPr>
        <w:t xml:space="preserve">, </w:t>
      </w:r>
      <w:r w:rsidRPr="00E478A7">
        <w:rPr>
          <w:rFonts w:ascii="Arial" w:eastAsia="Times New Roman" w:hAnsi="Arial" w:cs="Arial"/>
          <w:sz w:val="28"/>
          <w:szCs w:val="28"/>
          <w:lang w:val="es-ES" w:eastAsia="es-ES"/>
        </w:rPr>
        <w:t xml:space="preserve">Ignacio Palacios García, Francisca Carrera Barbosa, Javier Carrera Álvarez, </w:t>
      </w:r>
      <w:r w:rsidRPr="00E478A7">
        <w:rPr>
          <w:rFonts w:ascii="Arial" w:eastAsia="Times New Roman" w:hAnsi="Arial" w:cs="Arial"/>
          <w:sz w:val="28"/>
          <w:szCs w:val="28"/>
          <w:lang w:val="es-ES" w:eastAsia="es-ES"/>
        </w:rPr>
        <w:lastRenderedPageBreak/>
        <w:t xml:space="preserve">Elvira Varela Zárate, Moisés Romero Estrada, José Cortés, José Gómez Pérez y Catarina </w:t>
      </w:r>
      <w:proofErr w:type="spellStart"/>
      <w:r w:rsidRPr="00E478A7">
        <w:rPr>
          <w:rFonts w:ascii="Arial" w:eastAsia="Times New Roman" w:hAnsi="Arial" w:cs="Arial"/>
          <w:sz w:val="28"/>
          <w:szCs w:val="28"/>
          <w:lang w:val="es-ES" w:eastAsia="es-ES"/>
        </w:rPr>
        <w:t>Cházares</w:t>
      </w:r>
      <w:proofErr w:type="spellEnd"/>
      <w:r w:rsidRPr="00E478A7">
        <w:rPr>
          <w:rFonts w:ascii="Arial" w:eastAsia="Times New Roman" w:hAnsi="Arial" w:cs="Arial"/>
          <w:sz w:val="28"/>
          <w:szCs w:val="28"/>
          <w:lang w:val="es-ES" w:eastAsia="es-ES"/>
        </w:rPr>
        <w:t xml:space="preserve"> </w:t>
      </w:r>
      <w:proofErr w:type="spellStart"/>
      <w:r w:rsidRPr="00E478A7">
        <w:rPr>
          <w:rFonts w:ascii="Arial" w:eastAsia="Times New Roman" w:hAnsi="Arial" w:cs="Arial"/>
          <w:sz w:val="28"/>
          <w:szCs w:val="28"/>
          <w:lang w:val="es-ES" w:eastAsia="es-ES"/>
        </w:rPr>
        <w:t>Cabanzo</w:t>
      </w:r>
      <w:proofErr w:type="spellEnd"/>
      <w:r w:rsidRPr="00E478A7">
        <w:rPr>
          <w:rFonts w:ascii="Arial" w:eastAsia="Times New Roman" w:hAnsi="Arial" w:cs="Arial"/>
          <w:sz w:val="28"/>
          <w:szCs w:val="28"/>
          <w:lang w:val="es-ES" w:eastAsia="es-ES"/>
        </w:rPr>
        <w:t>, en virtud de que, como se ha analizado, no se hizo constar su firma autógrafa o huella digital en el escrito de demanda respectivo, motivo por el cual se debe sobreseer la demanda de juicio para la protección de los derechos político-electorales del ciudadano, única y exclusivamente respecto de los citados ciudadanos.</w:t>
      </w:r>
    </w:p>
    <w:p w14:paraId="2BA0648D" w14:textId="77777777" w:rsidR="00E478A7" w:rsidRPr="00E478A7" w:rsidRDefault="00E478A7" w:rsidP="00E478A7">
      <w:pPr>
        <w:spacing w:before="480" w:after="480" w:line="360" w:lineRule="auto"/>
        <w:ind w:firstLine="70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 xml:space="preserve">TERCERO. </w:t>
      </w:r>
      <w:r w:rsidRPr="00E478A7">
        <w:rPr>
          <w:rFonts w:ascii="Arial" w:eastAsia="Times New Roman" w:hAnsi="Arial" w:cs="Arial"/>
          <w:b/>
          <w:sz w:val="28"/>
          <w:szCs w:val="28"/>
          <w:lang w:eastAsia="es-MX"/>
        </w:rPr>
        <w:t>Causales de improcedencia hechas valer por la autoridad responsable.</w:t>
      </w:r>
      <w:r w:rsidRPr="00E478A7">
        <w:rPr>
          <w:rFonts w:ascii="Arial" w:eastAsia="Times New Roman" w:hAnsi="Arial" w:cs="Arial"/>
          <w:sz w:val="28"/>
          <w:szCs w:val="28"/>
          <w:lang w:eastAsia="es-MX"/>
        </w:rPr>
        <w:t xml:space="preserve"> El Presidente de la Gran Comisión del Congreso del Estado de Oaxaca, al rendir su informe circunstanciado aduce que la demanda debe ser desechada de plano, porque se actualizan las causales de improcedencia consienten en:</w:t>
      </w:r>
    </w:p>
    <w:p w14:paraId="433E476B"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b/>
          <w:bCs/>
          <w:sz w:val="27"/>
          <w:szCs w:val="27"/>
          <w:lang w:eastAsia="es-MX"/>
        </w:rPr>
        <w:t xml:space="preserve">– </w:t>
      </w:r>
      <w:r w:rsidRPr="00E478A7">
        <w:rPr>
          <w:rFonts w:ascii="Arial" w:eastAsia="Times New Roman" w:hAnsi="Arial" w:cs="Arial"/>
          <w:b/>
          <w:bCs/>
          <w:sz w:val="28"/>
          <w:szCs w:val="28"/>
          <w:lang w:eastAsia="es-MX"/>
        </w:rPr>
        <w:t xml:space="preserve">Falta de legitimación. </w:t>
      </w:r>
      <w:r w:rsidRPr="00E478A7">
        <w:rPr>
          <w:rFonts w:ascii="Arial" w:eastAsia="Times New Roman" w:hAnsi="Arial" w:cs="Arial"/>
          <w:sz w:val="28"/>
          <w:szCs w:val="28"/>
          <w:lang w:eastAsia="es-MX"/>
        </w:rPr>
        <w:t xml:space="preserve">Los demandantes no acreditan ser originarios ni vecinos del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por lo que en términos del artículo 10, párrafo 1, inciso c), de la Ley General del Sistema de Medios de Impugnación en Materia Electoral, desde la perspectiva de la autoridad responsable carecen de legitimación para promover el medio de impugnación que se resuelve.</w:t>
      </w:r>
    </w:p>
    <w:p w14:paraId="4746B7AD"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7F013F96"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A juicio de esta Sala Superior la alegación resulta</w:t>
      </w:r>
      <w:r w:rsidRPr="00E478A7">
        <w:rPr>
          <w:rFonts w:ascii="Arial" w:eastAsia="Times New Roman" w:hAnsi="Arial" w:cs="Arial"/>
          <w:b/>
          <w:bCs/>
          <w:sz w:val="28"/>
          <w:szCs w:val="28"/>
          <w:lang w:eastAsia="es-MX"/>
        </w:rPr>
        <w:t xml:space="preserve"> infundada</w:t>
      </w:r>
      <w:r w:rsidRPr="00E478A7">
        <w:rPr>
          <w:rFonts w:ascii="Arial" w:eastAsia="Times New Roman" w:hAnsi="Arial" w:cs="Arial"/>
          <w:sz w:val="28"/>
          <w:szCs w:val="28"/>
          <w:lang w:eastAsia="es-MX"/>
        </w:rPr>
        <w:t>.</w:t>
      </w:r>
    </w:p>
    <w:p w14:paraId="6DF1523A"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5DEC7B4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Conforme, al artículo 2, párrafo segundo, de la Constitución Política de los Estados Unidos Mexicanos, la conciencia de la identidad indígena debe ser criterio fundamental para determinar a quiénes se aplican las disposiciones indígenas. </w:t>
      </w:r>
    </w:p>
    <w:p w14:paraId="5441FE2D"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02C0E4B6"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Por lo que, basta que un ciudadano viva o conviva en alguna comunidad que se rija por usos y costumbres para estimar que tiene la calidad de indígena.</w:t>
      </w:r>
    </w:p>
    <w:p w14:paraId="3D12BDDC"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30A6D0E"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En el caso, la presunción antes referida opera por lo que hace a los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xml:space="preserve"> de este medio de impugnación, ya que, promueven como ciudadanos que habitan en la comunidad de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Oaxaca, para impugnar la elección de ayuntamiento por el régimen de Derecho Consuetudinario, por lo que si la autoridad responsable controvierte la calidad de los demandantes, es evidente que le corresponde la carga de desvirtuar la citada presunción, circunstancia que, en la especie, no acontece puesto que de las constancias que obran en el expediente indicado al rubro, no se advierte elemento de prueba que permita arribar a la conclusión de que los ahora accionantes no sean ciudadanos.</w:t>
      </w:r>
    </w:p>
    <w:p w14:paraId="12066B2F"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B4AAD4A"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Aunado a que, al ser una elección que se rige por el Derecho Consuetudinario, no es indispensable que los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xml:space="preserve"> demuestren ser habitantes de una determinada comunidad, ya que ello deriva de la vivencia y convivencia en la población, y no se requiere de otros elementos de prueba para comprobarlo; de ahí lo infundado del alegato que se examina.</w:t>
      </w:r>
    </w:p>
    <w:p w14:paraId="1AE6A0BD"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CB1369F"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b/>
          <w:sz w:val="28"/>
          <w:szCs w:val="28"/>
          <w:lang w:eastAsia="es-MX"/>
        </w:rPr>
        <w:t xml:space="preserve">– El medio de impugnación no se promovió de forma individual. </w:t>
      </w:r>
      <w:r w:rsidRPr="00E478A7">
        <w:rPr>
          <w:rFonts w:ascii="Arial" w:eastAsia="Times New Roman" w:hAnsi="Arial" w:cs="Arial"/>
          <w:sz w:val="28"/>
          <w:szCs w:val="28"/>
          <w:lang w:eastAsia="es-MX"/>
        </w:rPr>
        <w:t xml:space="preserve">En primer lugar, se aduce como causal de improcedencia el hecho de que los hoy actores promovieron este juicio para la protección </w:t>
      </w:r>
      <w:r w:rsidRPr="00E478A7">
        <w:rPr>
          <w:rFonts w:ascii="Arial" w:eastAsia="Times New Roman" w:hAnsi="Arial" w:cs="Arial"/>
          <w:sz w:val="28"/>
          <w:szCs w:val="28"/>
          <w:lang w:eastAsia="es-MX"/>
        </w:rPr>
        <w:lastRenderedPageBreak/>
        <w:t>de los derechos político-electorales en forma conjunta, y no en forma individual, lo anterior, en contravención a lo dispuesto por el artículo 79 de la Ley General del Sistema de Medios de Impugnación en Materia Electoral.</w:t>
      </w:r>
    </w:p>
    <w:p w14:paraId="558941EF"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0DB3554E"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A juicio de esta Sala Superior, es </w:t>
      </w:r>
      <w:r w:rsidRPr="00E478A7">
        <w:rPr>
          <w:rFonts w:ascii="Arial" w:eastAsia="Times New Roman" w:hAnsi="Arial" w:cs="Arial"/>
          <w:b/>
          <w:bCs/>
          <w:sz w:val="28"/>
          <w:szCs w:val="28"/>
          <w:lang w:eastAsia="es-MX"/>
        </w:rPr>
        <w:t>infundada</w:t>
      </w:r>
      <w:r w:rsidRPr="00E478A7">
        <w:rPr>
          <w:rFonts w:ascii="Arial" w:eastAsia="Times New Roman" w:hAnsi="Arial" w:cs="Arial"/>
          <w:sz w:val="28"/>
          <w:szCs w:val="28"/>
          <w:lang w:eastAsia="es-MX"/>
        </w:rPr>
        <w:t xml:space="preserve"> la causal de improcedencia, en virtud de lo siguiente:</w:t>
      </w:r>
    </w:p>
    <w:p w14:paraId="33DC3EE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23659B7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De una interpretación sistemática y funcional de los artículos 79 y 80 de la Ley General del Sistema de Medios de Impugnación en Materia Electoral, se advierte que el requisito de </w:t>
      </w:r>
      <w:proofErr w:type="spellStart"/>
      <w:r w:rsidRPr="00E478A7">
        <w:rPr>
          <w:rFonts w:ascii="Arial" w:eastAsia="Times New Roman" w:hAnsi="Arial" w:cs="Arial"/>
          <w:sz w:val="28"/>
          <w:szCs w:val="28"/>
          <w:lang w:eastAsia="es-MX"/>
        </w:rPr>
        <w:t>procedibilidad</w:t>
      </w:r>
      <w:proofErr w:type="spellEnd"/>
      <w:r w:rsidRPr="00E478A7">
        <w:rPr>
          <w:rFonts w:ascii="Arial" w:eastAsia="Times New Roman" w:hAnsi="Arial" w:cs="Arial"/>
          <w:sz w:val="28"/>
          <w:szCs w:val="28"/>
          <w:lang w:eastAsia="es-MX"/>
        </w:rPr>
        <w:t xml:space="preserve"> relativo a que el juicio para la protección de los derechos político-electorales del ciudadano, sólo procederá cuando el ciudadano </w:t>
      </w:r>
      <w:r w:rsidRPr="00E478A7">
        <w:rPr>
          <w:rFonts w:ascii="Arial" w:eastAsia="Times New Roman" w:hAnsi="Arial" w:cs="Arial"/>
          <w:b/>
          <w:bCs/>
          <w:sz w:val="28"/>
          <w:szCs w:val="28"/>
          <w:lang w:eastAsia="es-MX"/>
        </w:rPr>
        <w:t xml:space="preserve">por sí mismo y en forma individual </w:t>
      </w:r>
      <w:r w:rsidRPr="00E478A7">
        <w:rPr>
          <w:rFonts w:ascii="Arial" w:eastAsia="Times New Roman" w:hAnsi="Arial" w:cs="Arial"/>
          <w:sz w:val="28"/>
          <w:szCs w:val="28"/>
          <w:lang w:eastAsia="es-MX"/>
        </w:rPr>
        <w:t>haga valer presuntas violaciones a sus derechos político-electorales, se refiere a que el ciudadano, no podrá promover juicio mediante representante o mandatario, es decir, no se admite en el mismo, representación, mandato o gestión de negocios alguna, por lo que la promoción se debe hacer directamente por el ciudadano que se ve afectado en sus derechos político-electorales.</w:t>
      </w:r>
    </w:p>
    <w:p w14:paraId="0C0976D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622053A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En el caso que se analiza, el hecho de que los demandantes promuevan este juicio en un solo escrito de demanda, de manera alguna actualiza la causal de improcedencia invocada por el Presidente de la Gran Comisión del Congreso del Estado de Oaxaca, ya que los ciudadanos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xml:space="preserve">, comparecen por sí mismos y por su propio derecho, sólo que aduciendo exactamente los mismos motivos de inconformidad, por lo que, atendiendo a una posible economía procesal </w:t>
      </w:r>
      <w:r w:rsidRPr="00E478A7">
        <w:rPr>
          <w:rFonts w:ascii="Arial" w:eastAsia="Times New Roman" w:hAnsi="Arial" w:cs="Arial"/>
          <w:sz w:val="28"/>
          <w:szCs w:val="28"/>
          <w:lang w:eastAsia="es-MX"/>
        </w:rPr>
        <w:lastRenderedPageBreak/>
        <w:t xml:space="preserve">prefirieron suscribir el mismo escrito de demanda, en lugar de presentar mil sesenta y nueve escritos con agravios idénticos, razón por la cual se debe concluir que, los hoy </w:t>
      </w:r>
      <w:proofErr w:type="spellStart"/>
      <w:r w:rsidRPr="00E478A7">
        <w:rPr>
          <w:rFonts w:ascii="Arial" w:eastAsia="Times New Roman" w:hAnsi="Arial" w:cs="Arial"/>
          <w:sz w:val="28"/>
          <w:szCs w:val="28"/>
          <w:lang w:eastAsia="es-MX"/>
        </w:rPr>
        <w:t>incoantes</w:t>
      </w:r>
      <w:proofErr w:type="spellEnd"/>
      <w:r w:rsidRPr="00E478A7">
        <w:rPr>
          <w:rFonts w:ascii="Arial" w:eastAsia="Times New Roman" w:hAnsi="Arial" w:cs="Arial"/>
          <w:sz w:val="28"/>
          <w:szCs w:val="28"/>
          <w:lang w:eastAsia="es-MX"/>
        </w:rPr>
        <w:t xml:space="preserve"> –coincidiendo en los términos del escrito de demanda- promueven este juicio de manera individual, por sí mismos y no mediante terceros que se ostenten como representantes, autorizados, apoderados o mandatarios de éstos, lo que se corrobora al final del escrito de demanda con la firma de los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 colmando con ello el requisito que se análisis.</w:t>
      </w:r>
    </w:p>
    <w:p w14:paraId="0D35B65D"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60A1C3F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Lo anterior se sustenta en la tesis de jurisprudencia S3ELJ 04/2005, emitida por esta Sala Superior, publicada en las páginas ciento cincuenta y ocho a ciento cincuenta y nueve de la Compilación Oficial Jurisprudencia y Tesis Relevantes 1997-2005, Volumen “Jurisprudencia”, que literalmente señala:</w:t>
      </w:r>
    </w:p>
    <w:p w14:paraId="38E7745B"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2267A58C" w14:textId="77777777" w:rsidR="00E478A7" w:rsidRPr="00E478A7" w:rsidRDefault="00E478A7" w:rsidP="00E478A7">
      <w:pPr>
        <w:spacing w:after="0" w:line="360" w:lineRule="auto"/>
        <w:ind w:left="567" w:right="567" w:firstLine="709"/>
        <w:jc w:val="both"/>
        <w:rPr>
          <w:rFonts w:ascii="Arial" w:eastAsia="Times New Roman" w:hAnsi="Arial" w:cs="Times New Roman"/>
          <w:sz w:val="24"/>
          <w:szCs w:val="24"/>
          <w:lang w:val="es-ES" w:eastAsia="es-ES"/>
        </w:rPr>
      </w:pPr>
      <w:r w:rsidRPr="00E478A7">
        <w:rPr>
          <w:rFonts w:ascii="Arial" w:eastAsia="Times New Roman" w:hAnsi="Arial" w:cs="Times New Roman"/>
          <w:b/>
          <w:sz w:val="24"/>
          <w:szCs w:val="24"/>
          <w:lang w:val="es-ES" w:eastAsia="es-ES"/>
        </w:rPr>
        <w:t>JUICIO PARA LA PROTECCIÓN DE LOS DERECHOS POLÍTICO-ELECTORALES DEL CIUDADANO. ES PROCEDENTE CUANDO DIVERSOS ACTORES RECLAMEN SENDAS PRETENSIONES EN UNA MISMA DEMANDA</w:t>
      </w:r>
      <w:r w:rsidRPr="00E478A7">
        <w:rPr>
          <w:rFonts w:ascii="Arial" w:eastAsia="Times New Roman" w:hAnsi="Arial" w:cs="Times New Roman"/>
          <w:sz w:val="24"/>
          <w:szCs w:val="24"/>
          <w:lang w:val="es-ES" w:eastAsia="es-ES"/>
        </w:rPr>
        <w:t xml:space="preserve">. Del contenido de los artículos 79 y 80 de la Ley General del Sistema de Medios de Impugnación en Materia Electoral se advierte que la exigencia relativa a que los ciudadanos promuevan el juicio de protección de los derechos político-electorales por sí mismos, determina que los actores no pueden ejercer la acción a través de un representante, apoderado, autorizado o personero en general, sino que lo tienen que hacer de manera personalísima, suscribiendo la demanda de propia mano, con su firma, así como las demás promociones que presenten en el juicio, actuando directamente en las diligencias a que puedan o deban comparecer durante el procedimiento; en tanto que la expresión en forma individual </w:t>
      </w:r>
      <w:r w:rsidRPr="00E478A7">
        <w:rPr>
          <w:rFonts w:ascii="Arial" w:eastAsia="Times New Roman" w:hAnsi="Arial" w:cs="Times New Roman"/>
          <w:sz w:val="24"/>
          <w:szCs w:val="24"/>
          <w:lang w:val="es-ES" w:eastAsia="es-ES"/>
        </w:rPr>
        <w:lastRenderedPageBreak/>
        <w:t>significa que los derechos político-electorales que defiendan, sean los que les corresponden como personas físicas en calidad de ciudadanos, y no los de entidades jurídicas colectivas de cualquier índole, de las que formen parte. Por tanto, ninguna de esas expresiones excluye la posibilidad de la acumulación de pretensiones individuales en una misma demanda, esto es, que diversos ciudadanos inicien un juicio mediante la suscripción de un solo escrito inicial, con sendas pretensiones de ser restituidos singularmente en el propio derecho individual, ya que en esta hipótesis, cada uno de los actores es un ciudadano mexicano, que promueve por sí mismo, dado que nadie lo representa, y lo hacen en forma individual, en cuanto defienden su propio derecho, como personas físicas en calidad de ciudadanos, y no los derechos de personas jurídicas o corporaciones de las que formen parte.</w:t>
      </w:r>
    </w:p>
    <w:p w14:paraId="7D46A13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9A354AF" w14:textId="77777777" w:rsidR="00E478A7" w:rsidRPr="00E478A7" w:rsidRDefault="00E478A7" w:rsidP="00E478A7">
      <w:pPr>
        <w:spacing w:after="0" w:line="360" w:lineRule="auto"/>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ab/>
        <w:t xml:space="preserve">– No existe violación a derechos político-electorales. </w:t>
      </w:r>
      <w:r w:rsidRPr="00E478A7">
        <w:rPr>
          <w:rFonts w:ascii="Arial" w:eastAsia="Times New Roman" w:hAnsi="Arial" w:cs="Arial"/>
          <w:bCs/>
          <w:sz w:val="28"/>
          <w:szCs w:val="28"/>
          <w:lang w:eastAsia="es-MX"/>
        </w:rPr>
        <w:t>Manifiesta la autoridad responsable que el acto controvertido no afecta ninguno de los derechos político-electorales tutelados en el artículo 80 de la Ley General del Sistema de Medios de Impugnación en Materia Electoral, por lo que el juicio al rubro indicado, resulta improcedente.</w:t>
      </w:r>
    </w:p>
    <w:p w14:paraId="29F47CBE" w14:textId="77777777" w:rsidR="00E478A7" w:rsidRPr="00E478A7" w:rsidRDefault="00E478A7" w:rsidP="00E478A7">
      <w:pPr>
        <w:spacing w:after="0" w:line="360" w:lineRule="auto"/>
        <w:jc w:val="both"/>
        <w:rPr>
          <w:rFonts w:ascii="Arial" w:eastAsia="Times New Roman" w:hAnsi="Arial" w:cs="Arial"/>
          <w:bCs/>
          <w:sz w:val="28"/>
          <w:szCs w:val="28"/>
          <w:lang w:eastAsia="es-MX"/>
        </w:rPr>
      </w:pPr>
    </w:p>
    <w:p w14:paraId="23623D39"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Esta Sala Superior considera que la alegación hecha valer por la responsable es </w:t>
      </w:r>
      <w:r w:rsidRPr="00E478A7">
        <w:rPr>
          <w:rFonts w:ascii="Arial" w:eastAsia="Times New Roman" w:hAnsi="Arial" w:cs="Arial"/>
          <w:b/>
          <w:bCs/>
          <w:sz w:val="28"/>
          <w:szCs w:val="28"/>
          <w:lang w:eastAsia="es-MX"/>
        </w:rPr>
        <w:t>infundada</w:t>
      </w:r>
      <w:r w:rsidRPr="00E478A7">
        <w:rPr>
          <w:rFonts w:ascii="Arial" w:eastAsia="Times New Roman" w:hAnsi="Arial" w:cs="Arial"/>
          <w:sz w:val="28"/>
          <w:szCs w:val="28"/>
          <w:lang w:eastAsia="es-MX"/>
        </w:rPr>
        <w:t xml:space="preserve">, en razón de que, en conformidad con el artículo 79 de la Ley General del Sistema de Medios de Impugnación en Materia Electoral, el juicio para la protección de los derechos político-electorales del ciudadano procederá cuando el ciudadano por sí mismo y en forma individual, haga valer presuntas violaciones a sus derechos de votar y ser votado en las elecciones populares, de asociarse individual y libremente para tomar parte en forma pacífica en los asuntos políticos y de afiliarse libre e individualmente a los partidos políticos, sin </w:t>
      </w:r>
      <w:r w:rsidRPr="00E478A7">
        <w:rPr>
          <w:rFonts w:ascii="Arial" w:eastAsia="Times New Roman" w:hAnsi="Arial" w:cs="Arial"/>
          <w:sz w:val="28"/>
          <w:szCs w:val="28"/>
          <w:lang w:eastAsia="es-MX"/>
        </w:rPr>
        <w:lastRenderedPageBreak/>
        <w:t>que sea necesaria la actualización de uno de los supuestos del artículo 80, párrafo 1, del citado ordenamiento.</w:t>
      </w:r>
    </w:p>
    <w:p w14:paraId="0AD37007"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6C7D787C"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Acorde con lo anterior, y en conformidad con la tesis de jurisprudencia S3ELJ02/2000, emitida por esta Sala Superior, consultable en la Compilación Oficial</w:t>
      </w:r>
      <w:r w:rsidRPr="00E478A7">
        <w:rPr>
          <w:rFonts w:ascii="Arial" w:eastAsia="Times New Roman" w:hAnsi="Arial" w:cs="Arial"/>
          <w:i/>
          <w:iCs/>
          <w:sz w:val="28"/>
          <w:szCs w:val="28"/>
          <w:lang w:eastAsia="es-MX"/>
        </w:rPr>
        <w:t xml:space="preserve"> </w:t>
      </w:r>
      <w:r w:rsidRPr="00E478A7">
        <w:rPr>
          <w:rFonts w:ascii="Arial" w:eastAsia="Times New Roman" w:hAnsi="Arial" w:cs="Arial"/>
          <w:iCs/>
          <w:sz w:val="28"/>
          <w:szCs w:val="28"/>
          <w:lang w:eastAsia="es-MX"/>
        </w:rPr>
        <w:t>Jurisprudencia y Tesis Relevantes 1997-2005</w:t>
      </w:r>
      <w:r w:rsidRPr="00E478A7">
        <w:rPr>
          <w:rFonts w:ascii="Arial" w:eastAsia="Times New Roman" w:hAnsi="Arial" w:cs="Arial"/>
          <w:sz w:val="28"/>
          <w:szCs w:val="28"/>
          <w:lang w:eastAsia="es-MX"/>
        </w:rPr>
        <w:t>, volumen “Jurisprudencia”, visible en las páginas ciento sesenta y seis a ciento sesenta y ocho, con el rubro: “</w:t>
      </w:r>
      <w:r w:rsidRPr="00E478A7">
        <w:rPr>
          <w:rFonts w:ascii="Arial" w:eastAsia="Times New Roman" w:hAnsi="Arial" w:cs="Arial"/>
          <w:b/>
          <w:bCs/>
          <w:sz w:val="24"/>
          <w:szCs w:val="24"/>
          <w:lang w:eastAsia="es-MX"/>
        </w:rPr>
        <w:t>JUICIO PARA LA PROTECCIÓN DE LOS DERECHOS POLÍTICO-ELECTORALES DEL CIUDADANO. REQUISITOS PARA SU PROCEDENCIA</w:t>
      </w:r>
      <w:r w:rsidRPr="00E478A7">
        <w:rPr>
          <w:rFonts w:ascii="Arial" w:eastAsia="Times New Roman" w:hAnsi="Arial" w:cs="Arial"/>
          <w:sz w:val="28"/>
          <w:szCs w:val="28"/>
          <w:lang w:eastAsia="es-MX"/>
        </w:rPr>
        <w:t xml:space="preserve">”, para la procedencia del juicio se requiere la concurrencia de los elementos siguientes: a) que el </w:t>
      </w:r>
      <w:proofErr w:type="spellStart"/>
      <w:r w:rsidRPr="00E478A7">
        <w:rPr>
          <w:rFonts w:ascii="Arial" w:eastAsia="Times New Roman" w:hAnsi="Arial" w:cs="Arial"/>
          <w:sz w:val="28"/>
          <w:szCs w:val="28"/>
          <w:lang w:eastAsia="es-MX"/>
        </w:rPr>
        <w:t>promovente</w:t>
      </w:r>
      <w:proofErr w:type="spellEnd"/>
      <w:r w:rsidRPr="00E478A7">
        <w:rPr>
          <w:rFonts w:ascii="Arial" w:eastAsia="Times New Roman" w:hAnsi="Arial" w:cs="Arial"/>
          <w:sz w:val="28"/>
          <w:szCs w:val="28"/>
          <w:lang w:eastAsia="es-MX"/>
        </w:rPr>
        <w:t xml:space="preserve"> sea un ciudadano mexicano; b) que este ciudadano promueva por sí mismo y en forma individual, y c)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248412E0"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79D4EF8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Los primeros dos elementos no requieren mayor explicación, ya que en párrafos precedentes fueron motivo de análisis. Respecto al último cabe destacar que, de conformidad con el texto del precepto en comento, para tenerlo por satisfecho, es suficiente con que en la demanda se aduzca que con el acto o resolución combatido se cometieron violaciones a alguno o varios de los derechos políticos mencionados, en perjuicio del </w:t>
      </w:r>
      <w:proofErr w:type="spellStart"/>
      <w:r w:rsidRPr="00E478A7">
        <w:rPr>
          <w:rFonts w:ascii="Arial" w:eastAsia="Times New Roman" w:hAnsi="Arial" w:cs="Arial"/>
          <w:sz w:val="28"/>
          <w:szCs w:val="28"/>
          <w:lang w:eastAsia="es-MX"/>
        </w:rPr>
        <w:t>promovente</w:t>
      </w:r>
      <w:proofErr w:type="spellEnd"/>
      <w:r w:rsidRPr="00E478A7">
        <w:rPr>
          <w:rFonts w:ascii="Arial" w:eastAsia="Times New Roman" w:hAnsi="Arial" w:cs="Arial"/>
          <w:sz w:val="28"/>
          <w:szCs w:val="28"/>
          <w:lang w:eastAsia="es-MX"/>
        </w:rPr>
        <w:t xml:space="preserve">, independientemente de que en el fallo que se llegue a emitir se puedan estimar fundadas o infundadas tales alegaciones; es decir, el elemento en comento es de </w:t>
      </w:r>
      <w:r w:rsidRPr="00E478A7">
        <w:rPr>
          <w:rFonts w:ascii="Arial" w:eastAsia="Times New Roman" w:hAnsi="Arial" w:cs="Arial"/>
          <w:sz w:val="28"/>
          <w:szCs w:val="28"/>
          <w:lang w:eastAsia="es-MX"/>
        </w:rPr>
        <w:lastRenderedPageBreak/>
        <w:t xml:space="preserve">carácter formal y tiene como objeto determinar la </w:t>
      </w:r>
      <w:proofErr w:type="spellStart"/>
      <w:r w:rsidRPr="00E478A7">
        <w:rPr>
          <w:rFonts w:ascii="Arial" w:eastAsia="Times New Roman" w:hAnsi="Arial" w:cs="Arial"/>
          <w:sz w:val="28"/>
          <w:szCs w:val="28"/>
          <w:lang w:eastAsia="es-MX"/>
        </w:rPr>
        <w:t>procedibilidad</w:t>
      </w:r>
      <w:proofErr w:type="spellEnd"/>
      <w:r w:rsidRPr="00E478A7">
        <w:rPr>
          <w:rFonts w:ascii="Arial" w:eastAsia="Times New Roman" w:hAnsi="Arial" w:cs="Arial"/>
          <w:sz w:val="28"/>
          <w:szCs w:val="28"/>
          <w:lang w:eastAsia="es-MX"/>
        </w:rPr>
        <w:t xml:space="preserve"> del juicio, en atención a que la única materia de que se puede ocupar el juzgador en él consiste en dilucidar si los actos combatidos conculcan o no los derechos político mencionados, y si el </w:t>
      </w:r>
      <w:proofErr w:type="spellStart"/>
      <w:r w:rsidRPr="00E478A7">
        <w:rPr>
          <w:rFonts w:ascii="Arial" w:eastAsia="Times New Roman" w:hAnsi="Arial" w:cs="Arial"/>
          <w:sz w:val="28"/>
          <w:szCs w:val="28"/>
          <w:lang w:eastAsia="es-MX"/>
        </w:rPr>
        <w:t>promovente</w:t>
      </w:r>
      <w:proofErr w:type="spellEnd"/>
      <w:r w:rsidRPr="00E478A7">
        <w:rPr>
          <w:rFonts w:ascii="Arial" w:eastAsia="Times New Roman" w:hAnsi="Arial" w:cs="Arial"/>
          <w:sz w:val="28"/>
          <w:szCs w:val="28"/>
          <w:lang w:eastAsia="es-MX"/>
        </w:rPr>
        <w:t xml:space="preserve"> no estimara que se infringen ese tipo de prerrogativas, la demanda carecería de objeto en esta vía.</w:t>
      </w:r>
    </w:p>
    <w:p w14:paraId="78F59A7A"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01344085"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 xml:space="preserve">Así, en el juicio que se analiza, los demandantes aducen que se viola su derecho político-electoral de votar y ser votados, establecido en el artículo 35, fracciones I y II, de la Constitución Política de los Estados Unidos Mexicanos, ya que, aducen los impetrantes, debido a diversos actos de intimación ocurridos durante el procedimiento de elección de concejales del Municipio de </w:t>
      </w:r>
      <w:proofErr w:type="spellStart"/>
      <w:r w:rsidRPr="00E478A7">
        <w:rPr>
          <w:rFonts w:ascii="Arial" w:eastAsia="Times New Roman" w:hAnsi="Arial" w:cs="Arial"/>
          <w:sz w:val="28"/>
          <w:szCs w:val="28"/>
          <w:lang w:eastAsia="es-MX"/>
        </w:rPr>
        <w:t>Eloxochitlán</w:t>
      </w:r>
      <w:proofErr w:type="spellEnd"/>
      <w:r w:rsidRPr="00E478A7">
        <w:rPr>
          <w:rFonts w:ascii="Arial" w:eastAsia="Times New Roman" w:hAnsi="Arial" w:cs="Arial"/>
          <w:sz w:val="28"/>
          <w:szCs w:val="28"/>
          <w:lang w:eastAsia="es-MX"/>
        </w:rPr>
        <w:t xml:space="preserve"> de Flores Magón, </w:t>
      </w:r>
      <w:proofErr w:type="spellStart"/>
      <w:r w:rsidRPr="00E478A7">
        <w:rPr>
          <w:rFonts w:ascii="Arial" w:eastAsia="Times New Roman" w:hAnsi="Arial" w:cs="Arial"/>
          <w:sz w:val="28"/>
          <w:szCs w:val="28"/>
          <w:lang w:eastAsia="es-MX"/>
        </w:rPr>
        <w:t>Teotitlán</w:t>
      </w:r>
      <w:proofErr w:type="spellEnd"/>
      <w:r w:rsidRPr="00E478A7">
        <w:rPr>
          <w:rFonts w:ascii="Arial" w:eastAsia="Times New Roman" w:hAnsi="Arial" w:cs="Arial"/>
          <w:sz w:val="28"/>
          <w:szCs w:val="28"/>
          <w:lang w:eastAsia="es-MX"/>
        </w:rPr>
        <w:t xml:space="preserve"> de Flores Magón, Oaxaca, se les impidió votar y ser tomados en cuenta como aspirantes a concejales.</w:t>
      </w:r>
    </w:p>
    <w:p w14:paraId="4C9BEE1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5096536" w14:textId="77777777" w:rsidR="00E478A7" w:rsidRPr="00E478A7" w:rsidRDefault="00E478A7" w:rsidP="00E478A7">
      <w:pPr>
        <w:spacing w:after="0" w:line="360" w:lineRule="auto"/>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ab/>
        <w:t xml:space="preserve">De lo anterior, resulta incuestionable que en el juicio al rubro citado, se surte el requisito de </w:t>
      </w:r>
      <w:proofErr w:type="spellStart"/>
      <w:r w:rsidRPr="00E478A7">
        <w:rPr>
          <w:rFonts w:ascii="Arial" w:eastAsia="Times New Roman" w:hAnsi="Arial" w:cs="Arial"/>
          <w:sz w:val="28"/>
          <w:szCs w:val="28"/>
          <w:lang w:eastAsia="es-MX"/>
        </w:rPr>
        <w:t>procedibilidad</w:t>
      </w:r>
      <w:proofErr w:type="spellEnd"/>
      <w:r w:rsidRPr="00E478A7">
        <w:rPr>
          <w:rFonts w:ascii="Arial" w:eastAsia="Times New Roman" w:hAnsi="Arial" w:cs="Arial"/>
          <w:sz w:val="28"/>
          <w:szCs w:val="28"/>
          <w:lang w:eastAsia="es-MX"/>
        </w:rPr>
        <w:t xml:space="preserve"> bajo estudio, en tanto que, los </w:t>
      </w:r>
      <w:proofErr w:type="spellStart"/>
      <w:r w:rsidRPr="00E478A7">
        <w:rPr>
          <w:rFonts w:ascii="Arial" w:eastAsia="Times New Roman" w:hAnsi="Arial" w:cs="Arial"/>
          <w:sz w:val="28"/>
          <w:szCs w:val="28"/>
          <w:lang w:eastAsia="es-MX"/>
        </w:rPr>
        <w:t>enjuiciantes</w:t>
      </w:r>
      <w:proofErr w:type="spellEnd"/>
      <w:r w:rsidRPr="00E478A7">
        <w:rPr>
          <w:rFonts w:ascii="Arial" w:eastAsia="Times New Roman" w:hAnsi="Arial" w:cs="Arial"/>
          <w:sz w:val="28"/>
          <w:szCs w:val="28"/>
          <w:lang w:eastAsia="es-MX"/>
        </w:rPr>
        <w:t xml:space="preserve"> argumentan hechos que pueden constituir una violación sus derechos político-electores de votar y ser votados, cuestión diferente es el que los conceptos de agravios sean fundados o no, ya que ello se deriva del estudio de fondo. </w:t>
      </w:r>
    </w:p>
    <w:p w14:paraId="247C95CC" w14:textId="77777777" w:rsidR="00E478A7" w:rsidRPr="00E478A7" w:rsidRDefault="00E478A7" w:rsidP="00E478A7">
      <w:pPr>
        <w:spacing w:after="0" w:line="360" w:lineRule="auto"/>
        <w:jc w:val="both"/>
        <w:rPr>
          <w:rFonts w:ascii="Arial" w:eastAsia="Times New Roman" w:hAnsi="Arial" w:cs="Arial"/>
          <w:sz w:val="28"/>
          <w:szCs w:val="28"/>
          <w:lang w:eastAsia="es-MX"/>
        </w:rPr>
      </w:pPr>
    </w:p>
    <w:p w14:paraId="5A8B6A08"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b/>
          <w:sz w:val="28"/>
          <w:szCs w:val="28"/>
          <w:lang w:val="es-ES" w:eastAsia="es-ES"/>
        </w:rPr>
        <w:t>– Presentación extemporánea de la demanda.</w:t>
      </w:r>
      <w:r w:rsidRPr="00E478A7">
        <w:rPr>
          <w:rFonts w:ascii="Arial" w:eastAsia="Times New Roman" w:hAnsi="Arial" w:cs="Arial"/>
          <w:sz w:val="28"/>
          <w:szCs w:val="28"/>
          <w:lang w:val="es-ES" w:eastAsia="es-ES"/>
        </w:rPr>
        <w:t xml:space="preserve"> La autoridad responsable, señala que la demanda de juicio para la protección de los derechos político-electorales del ciudadano al rubro indicado, fue presentada fuera del plazo legal establecido en el artículo 8 de </w:t>
      </w:r>
      <w:smartTag w:uri="urn:schemas-microsoft-com:office:smarttags" w:element="PersonName">
        <w:smartTagPr>
          <w:attr w:name="ProductID" w:val="la Ley General"/>
        </w:smartTagPr>
        <w:r w:rsidRPr="00E478A7">
          <w:rPr>
            <w:rFonts w:ascii="Arial" w:eastAsia="Times New Roman" w:hAnsi="Arial" w:cs="Arial"/>
            <w:sz w:val="28"/>
            <w:szCs w:val="28"/>
            <w:lang w:val="es-ES" w:eastAsia="es-ES"/>
          </w:rPr>
          <w:t xml:space="preserve">la Ley </w:t>
        </w:r>
        <w:r w:rsidRPr="00E478A7">
          <w:rPr>
            <w:rFonts w:ascii="Arial" w:eastAsia="Times New Roman" w:hAnsi="Arial" w:cs="Arial"/>
            <w:sz w:val="28"/>
            <w:szCs w:val="28"/>
            <w:lang w:val="es-ES" w:eastAsia="es-ES"/>
          </w:rPr>
          <w:lastRenderedPageBreak/>
          <w:t>General</w:t>
        </w:r>
      </w:smartTag>
      <w:r w:rsidRPr="00E478A7">
        <w:rPr>
          <w:rFonts w:ascii="Arial" w:eastAsia="Times New Roman" w:hAnsi="Arial" w:cs="Arial"/>
          <w:sz w:val="28"/>
          <w:szCs w:val="28"/>
          <w:lang w:val="es-ES" w:eastAsia="es-ES"/>
        </w:rPr>
        <w:t xml:space="preserve"> del Sistema de Medios de Impugnación en Materia Electoral, por lo cual se debe desechar de plano la demanda.</w:t>
      </w:r>
    </w:p>
    <w:p w14:paraId="316F9437"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2095DD9F"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 xml:space="preserve">A juicio de esta Sala Superior, es </w:t>
      </w:r>
      <w:r w:rsidRPr="00E478A7">
        <w:rPr>
          <w:rFonts w:ascii="Arial" w:eastAsia="Times New Roman" w:hAnsi="Arial" w:cs="Arial"/>
          <w:b/>
          <w:bCs/>
          <w:sz w:val="28"/>
          <w:szCs w:val="28"/>
          <w:lang w:val="es-ES" w:eastAsia="es-ES"/>
        </w:rPr>
        <w:t>infundada</w:t>
      </w:r>
      <w:r w:rsidRPr="00E478A7">
        <w:rPr>
          <w:rFonts w:ascii="Arial" w:eastAsia="Times New Roman" w:hAnsi="Arial" w:cs="Arial"/>
          <w:sz w:val="28"/>
          <w:szCs w:val="28"/>
          <w:lang w:val="es-ES" w:eastAsia="es-ES"/>
        </w:rPr>
        <w:t xml:space="preserve"> la causal de improcedencia bajo análisis, por lo siguiente:</w:t>
      </w:r>
    </w:p>
    <w:p w14:paraId="3063D5DC"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01101C23"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 xml:space="preserve">Del examen del escrito de demanda de los accionantes y del informe circunstanciado rendido por la responsable, se advierte que el acto reclamado es el Decreto Número Siete, de fecha once de diciembre de dos mil siete, publicado el día quince de diciembre en el Periódico Oficial, </w:t>
      </w:r>
      <w:r w:rsidRPr="00E478A7">
        <w:rPr>
          <w:rFonts w:ascii="Arial" w:eastAsia="Times New Roman" w:hAnsi="Arial" w:cs="Arial"/>
          <w:bCs/>
          <w:sz w:val="28"/>
          <w:szCs w:val="28"/>
          <w:lang w:val="es-ES" w:eastAsia="es-ES"/>
        </w:rPr>
        <w:t xml:space="preserve">Órgano del Gobierno del Estado Libre y Soberano de Oaxaca, en tanto que </w:t>
      </w:r>
      <w:r w:rsidRPr="00E478A7">
        <w:rPr>
          <w:rFonts w:ascii="Arial" w:eastAsia="Times New Roman" w:hAnsi="Arial" w:cs="Arial"/>
          <w:sz w:val="28"/>
          <w:szCs w:val="28"/>
          <w:lang w:val="es-ES" w:eastAsia="es-ES"/>
        </w:rPr>
        <w:t>la demanda fue presenta el día veinte de diciembre del año en curso.</w:t>
      </w:r>
    </w:p>
    <w:p w14:paraId="62141B91"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38727400"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El artículo 275 del Código de Instituciones Políticas y Procedimientos Electorales de Oaxaca establece que:</w:t>
      </w:r>
    </w:p>
    <w:p w14:paraId="19D8FFA4"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34D3EFAD" w14:textId="77777777" w:rsidR="00E478A7" w:rsidRPr="00E478A7" w:rsidRDefault="00E478A7" w:rsidP="00E478A7">
      <w:pPr>
        <w:spacing w:after="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 xml:space="preserve">Artículo 275.- No requerirán de notificación personal y </w:t>
      </w:r>
      <w:r w:rsidRPr="00E478A7">
        <w:rPr>
          <w:rFonts w:ascii="Arial" w:eastAsia="Times New Roman" w:hAnsi="Arial" w:cs="Arial"/>
          <w:b/>
          <w:sz w:val="24"/>
          <w:szCs w:val="24"/>
          <w:lang w:val="es-ES" w:eastAsia="es-ES"/>
        </w:rPr>
        <w:t>surtirán sus efectos al día siguiente de su publicación</w:t>
      </w:r>
      <w:r w:rsidRPr="00E478A7">
        <w:rPr>
          <w:rFonts w:ascii="Arial" w:eastAsia="Times New Roman" w:hAnsi="Arial" w:cs="Arial"/>
          <w:sz w:val="24"/>
          <w:szCs w:val="24"/>
          <w:lang w:val="es-ES" w:eastAsia="es-ES"/>
        </w:rPr>
        <w:t xml:space="preserve"> o fijación, </w:t>
      </w:r>
      <w:r w:rsidRPr="00E478A7">
        <w:rPr>
          <w:rFonts w:ascii="Arial" w:eastAsia="Times New Roman" w:hAnsi="Arial" w:cs="Arial"/>
          <w:b/>
          <w:sz w:val="24"/>
          <w:szCs w:val="24"/>
          <w:lang w:val="es-ES" w:eastAsia="es-ES"/>
        </w:rPr>
        <w:t>los actos o resoluciones que se hagan públicos a través del Periódico Oficial</w:t>
      </w:r>
      <w:r w:rsidRPr="00E478A7">
        <w:rPr>
          <w:rFonts w:ascii="Arial" w:eastAsia="Times New Roman" w:hAnsi="Arial" w:cs="Arial"/>
          <w:sz w:val="24"/>
          <w:szCs w:val="24"/>
          <w:lang w:val="es-ES" w:eastAsia="es-ES"/>
        </w:rPr>
        <w:t xml:space="preserve"> o de los diarios o periódicos de circulación estatal o mediante la fijación de cédulas en los estrados de los órganos del Instituto y del Tribunal, o en los lugares públicos, en los términos de este Código.</w:t>
      </w:r>
    </w:p>
    <w:p w14:paraId="419E830F" w14:textId="77777777" w:rsidR="00E478A7" w:rsidRPr="00E478A7" w:rsidRDefault="00E478A7" w:rsidP="00E478A7">
      <w:pPr>
        <w:spacing w:after="0" w:line="240" w:lineRule="auto"/>
        <w:ind w:left="567" w:right="567" w:firstLine="709"/>
        <w:jc w:val="both"/>
        <w:rPr>
          <w:rFonts w:ascii="Arial" w:eastAsia="Times New Roman" w:hAnsi="Arial" w:cs="Arial"/>
          <w:sz w:val="28"/>
          <w:szCs w:val="28"/>
          <w:lang w:val="es-ES" w:eastAsia="es-ES"/>
        </w:rPr>
      </w:pPr>
    </w:p>
    <w:p w14:paraId="7916ADAA"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 xml:space="preserve">De lo anterior se desprende que el acto reclamado fue publicado el día quince de diciembre de este año, pero surtió sus efectos, el inmediato día dieciséis, por lo que el plazo de cuatro días para presentar la demanda respectiva, transcurrió del diecisiete al veinte de diciembre del año en curso, por lo que, si la demanda se presentó el veinte de </w:t>
      </w:r>
      <w:r w:rsidRPr="00E478A7">
        <w:rPr>
          <w:rFonts w:ascii="Arial" w:eastAsia="Times New Roman" w:hAnsi="Arial" w:cs="Arial"/>
          <w:sz w:val="28"/>
          <w:szCs w:val="28"/>
          <w:lang w:val="es-ES" w:eastAsia="es-ES"/>
        </w:rPr>
        <w:lastRenderedPageBreak/>
        <w:t>diciembre del año en curso ante la autoridad responsable, es incuestionable que la promoción del juicio al rubro citado, fue oportuna.</w:t>
      </w:r>
    </w:p>
    <w:p w14:paraId="76113D14"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0E611EE1"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t>En tal virtud, se debe considerar que la promoción del medio de impugnación fue presentada en tiempo, en términos de lo establecido en el artículo 8, de la Ley General del Sistema de Medios de Impugnación en Materia Electoral.</w:t>
      </w:r>
    </w:p>
    <w:p w14:paraId="3EEA65E5"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p>
    <w:p w14:paraId="4153D8F5" w14:textId="77777777" w:rsidR="00E478A7" w:rsidRPr="00E478A7" w:rsidRDefault="00E478A7" w:rsidP="00E478A7">
      <w:pPr>
        <w:spacing w:after="0" w:line="360" w:lineRule="auto"/>
        <w:ind w:firstLine="567"/>
        <w:jc w:val="both"/>
        <w:rPr>
          <w:rFonts w:ascii="Arial" w:eastAsia="Times New Roman" w:hAnsi="Arial" w:cs="Arial"/>
          <w:sz w:val="28"/>
          <w:szCs w:val="28"/>
          <w:lang w:eastAsia="es-MX"/>
        </w:rPr>
      </w:pPr>
      <w:r w:rsidRPr="00E478A7">
        <w:rPr>
          <w:rFonts w:ascii="Arial" w:eastAsia="Times New Roman" w:hAnsi="Arial" w:cs="Arial"/>
          <w:b/>
          <w:sz w:val="28"/>
          <w:szCs w:val="28"/>
          <w:lang w:eastAsia="es-MX"/>
        </w:rPr>
        <w:t>CUARTO.</w:t>
      </w:r>
      <w:r w:rsidRPr="00E478A7">
        <w:rPr>
          <w:rFonts w:ascii="Arial" w:eastAsia="Times New Roman" w:hAnsi="Arial" w:cs="Arial"/>
          <w:b/>
          <w:bCs/>
          <w:sz w:val="28"/>
          <w:szCs w:val="28"/>
          <w:lang w:eastAsia="es-MX"/>
        </w:rPr>
        <w:t xml:space="preserve"> Agravios. </w:t>
      </w:r>
      <w:r w:rsidRPr="00E478A7">
        <w:rPr>
          <w:rFonts w:ascii="Arial" w:eastAsia="Times New Roman" w:hAnsi="Arial" w:cs="Arial"/>
          <w:sz w:val="28"/>
          <w:szCs w:val="28"/>
          <w:lang w:eastAsia="es-MX"/>
        </w:rPr>
        <w:t>En el capítulo de agravios de su escrito de demanda, los demandantes señalan los siguientes agravios:</w:t>
      </w:r>
    </w:p>
    <w:p w14:paraId="48B715E1" w14:textId="77777777" w:rsidR="00E478A7" w:rsidRPr="00E478A7" w:rsidRDefault="00E478A7" w:rsidP="00E478A7">
      <w:pPr>
        <w:spacing w:after="0" w:line="360" w:lineRule="auto"/>
        <w:ind w:firstLine="567"/>
        <w:jc w:val="both"/>
        <w:rPr>
          <w:rFonts w:ascii="Arial" w:eastAsia="Times New Roman" w:hAnsi="Arial" w:cs="Arial"/>
          <w:sz w:val="28"/>
          <w:szCs w:val="28"/>
          <w:lang w:val="es-ES" w:eastAsia="es-MX"/>
        </w:rPr>
      </w:pPr>
    </w:p>
    <w:p w14:paraId="32CF41A4" w14:textId="77777777" w:rsidR="00E478A7" w:rsidRPr="00E478A7" w:rsidRDefault="00E478A7" w:rsidP="00E478A7">
      <w:pPr>
        <w:spacing w:after="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b/>
          <w:sz w:val="24"/>
          <w:szCs w:val="24"/>
          <w:lang w:val="es-ES" w:eastAsia="es-ES"/>
        </w:rPr>
        <w:t xml:space="preserve">PRIMERO.- </w:t>
      </w:r>
      <w:r w:rsidRPr="00E478A7">
        <w:rPr>
          <w:rFonts w:ascii="Arial" w:eastAsia="Times New Roman" w:hAnsi="Arial" w:cs="Arial"/>
          <w:sz w:val="24"/>
          <w:szCs w:val="24"/>
          <w:lang w:val="es-ES" w:eastAsia="es-ES"/>
        </w:rPr>
        <w:t>La validación de las situaciones anómalas en la referida asamblea, entre ellas, la violación a nuestros derechos políticos-electorales de votar y ser votados y la votación a favor de la supuesta planilla ganadora, viola en nuestro perjuicio lo dispuesto por los artículos 35, Fracción II, y 115 de la Constitución Política de los Estados Unidos Mexicanos, en relación con lo dispuesto por el 25 y 113, Fracción I de la Constitución Política del Estado Libre y Soberano de Oaxaca.</w:t>
      </w:r>
    </w:p>
    <w:p w14:paraId="5415EF71"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En virtud de que violan nuestros derechos de votar y ser votados, ya que no nos permitieron votar ni ser considerados para aspirar a los cargos de los concejales del ayuntamiento de nuestra comunidad, excluyéndonos sin razón alguna ni mandato de autoridad competente de la votación, tal y como se ha argumentado y demostrado en el capítulo de hechos del presente recurso.</w:t>
      </w:r>
    </w:p>
    <w:p w14:paraId="688FAB19"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b/>
          <w:sz w:val="24"/>
          <w:szCs w:val="24"/>
          <w:lang w:val="es-ES" w:eastAsia="es-ES"/>
        </w:rPr>
        <w:t>SEGUNDO.-</w:t>
      </w:r>
      <w:r w:rsidRPr="00E478A7">
        <w:rPr>
          <w:rFonts w:ascii="Arial" w:eastAsia="Times New Roman" w:hAnsi="Arial" w:cs="Arial"/>
          <w:sz w:val="24"/>
          <w:szCs w:val="24"/>
          <w:lang w:val="es-ES" w:eastAsia="es-ES"/>
        </w:rPr>
        <w:t xml:space="preserve"> Asimismo, los actos que impugnamos violan flagrantemente nuestros derechos, Político-Electorales. La anterior interpretación es el resultado de lo que dispone el artículo 2° de la Ley General del Sistema de Medios de Impugnación en Materia Electoral que establece: “Para la resolución de los medios de impugnación previstos en esta Ley, las normas se interpretaran conforme a los criterios gramatical, sistemático y funcional; a falta de disposición expresa, se aplicarán los Principios Generales del Derecho”.</w:t>
      </w:r>
    </w:p>
    <w:p w14:paraId="6AA3D13F"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Por lo anterior, resulta evidente la violación por parte de la autoridad responsable a nuestros Derecho Político-Electorales de votar y acceder a dichos cargos de nuestra comunidad, pues no nos toma en cuenta en nuestra calidad específica de ciudadano.</w:t>
      </w:r>
    </w:p>
    <w:p w14:paraId="299F3EB2"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p>
    <w:p w14:paraId="5D350037"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val="es-ES" w:eastAsia="es-ES"/>
        </w:rPr>
        <w:lastRenderedPageBreak/>
        <w:t xml:space="preserve">De la lectura íntegra del escrito de demanda se desprende que los </w:t>
      </w:r>
      <w:proofErr w:type="spellStart"/>
      <w:r w:rsidRPr="00E478A7">
        <w:rPr>
          <w:rFonts w:ascii="Arial" w:eastAsia="Times New Roman" w:hAnsi="Arial" w:cs="Arial"/>
          <w:sz w:val="28"/>
          <w:szCs w:val="28"/>
          <w:lang w:val="es-ES" w:eastAsia="es-ES"/>
        </w:rPr>
        <w:t>enjuiciantes</w:t>
      </w:r>
      <w:proofErr w:type="spellEnd"/>
      <w:r w:rsidRPr="00E478A7">
        <w:rPr>
          <w:rFonts w:ascii="Arial" w:eastAsia="Times New Roman" w:hAnsi="Arial" w:cs="Arial"/>
          <w:sz w:val="28"/>
          <w:szCs w:val="28"/>
          <w:lang w:val="es-ES" w:eastAsia="es-ES"/>
        </w:rPr>
        <w:t xml:space="preserve"> en el capítulo de hechos formulan manifestaciones que se pueden considerar como agravios, de modo que, atendiendo a la jurisprudencia J.2/98, sustentada por esta Sala Superior, consultable en las páginas veintidós a veintitrés, de la Compilación Oficial Jurisprudencia y Tesis Relevantes 1997-200</w:t>
      </w:r>
      <w:r w:rsidRPr="00E478A7">
        <w:rPr>
          <w:rFonts w:ascii="Arial" w:eastAsia="Times New Roman" w:hAnsi="Arial" w:cs="Arial"/>
          <w:i/>
          <w:sz w:val="28"/>
          <w:szCs w:val="28"/>
          <w:lang w:val="es-ES" w:eastAsia="es-ES"/>
        </w:rPr>
        <w:t>5</w:t>
      </w:r>
      <w:r w:rsidRPr="00E478A7">
        <w:rPr>
          <w:rFonts w:ascii="Arial" w:eastAsia="Times New Roman" w:hAnsi="Arial" w:cs="Arial"/>
          <w:sz w:val="28"/>
          <w:szCs w:val="28"/>
          <w:lang w:val="es-ES" w:eastAsia="es-ES"/>
        </w:rPr>
        <w:t xml:space="preserve">, tomo “Jurisprudencia”, con el rubro: </w:t>
      </w:r>
      <w:r w:rsidRPr="00E478A7">
        <w:rPr>
          <w:rFonts w:ascii="Arial" w:eastAsia="Times New Roman" w:hAnsi="Arial" w:cs="Arial"/>
          <w:b/>
          <w:bCs/>
          <w:sz w:val="28"/>
          <w:szCs w:val="28"/>
          <w:lang w:val="es-ES" w:eastAsia="es-ES"/>
        </w:rPr>
        <w:t>“AGRAVIOS, PUEDEN ENCONTRARSE EN CUALQUIER PARTE DEL ESCRITO INICIAL</w:t>
      </w:r>
      <w:r w:rsidRPr="00E478A7">
        <w:rPr>
          <w:rFonts w:ascii="Arial" w:eastAsia="Times New Roman" w:hAnsi="Arial" w:cs="Arial"/>
          <w:bCs/>
          <w:sz w:val="28"/>
          <w:szCs w:val="28"/>
          <w:lang w:val="es-ES" w:eastAsia="es-ES"/>
        </w:rPr>
        <w:t>”</w:t>
      </w:r>
      <w:r w:rsidRPr="00E478A7">
        <w:rPr>
          <w:rFonts w:ascii="Arial" w:eastAsia="Times New Roman" w:hAnsi="Arial" w:cs="Arial"/>
          <w:b/>
          <w:sz w:val="28"/>
          <w:szCs w:val="28"/>
          <w:lang w:val="es-ES" w:eastAsia="es-ES"/>
        </w:rPr>
        <w:t xml:space="preserve">, </w:t>
      </w:r>
      <w:r w:rsidRPr="00E478A7">
        <w:rPr>
          <w:rFonts w:ascii="Arial" w:eastAsia="Times New Roman" w:hAnsi="Arial" w:cs="Arial"/>
          <w:sz w:val="28"/>
          <w:szCs w:val="28"/>
          <w:lang w:val="es-ES" w:eastAsia="es-ES"/>
        </w:rPr>
        <w:t xml:space="preserve">en el sentido de que tal ocurso constituye una unidad indisoluble, es decir, un todo, en virtud de lo cual, se debe estudiar la totalidad de argumentos expuestos por los </w:t>
      </w:r>
      <w:proofErr w:type="spellStart"/>
      <w:r w:rsidRPr="00E478A7">
        <w:rPr>
          <w:rFonts w:ascii="Arial" w:eastAsia="Times New Roman" w:hAnsi="Arial" w:cs="Arial"/>
          <w:sz w:val="28"/>
          <w:szCs w:val="28"/>
          <w:lang w:val="es-ES" w:eastAsia="es-ES"/>
        </w:rPr>
        <w:t>incoantes</w:t>
      </w:r>
      <w:proofErr w:type="spellEnd"/>
      <w:r w:rsidRPr="00E478A7">
        <w:rPr>
          <w:rFonts w:ascii="Arial" w:eastAsia="Times New Roman" w:hAnsi="Arial" w:cs="Arial"/>
          <w:sz w:val="28"/>
          <w:szCs w:val="28"/>
          <w:lang w:val="es-ES" w:eastAsia="es-ES"/>
        </w:rPr>
        <w:t xml:space="preserve">, con objeto de advertir los conceptos de agravio que les causan los actos controvertidos, se transcriben:  </w:t>
      </w:r>
    </w:p>
    <w:p w14:paraId="555617BE" w14:textId="77777777" w:rsidR="00E478A7" w:rsidRPr="00E478A7" w:rsidRDefault="00E478A7" w:rsidP="00E478A7">
      <w:pPr>
        <w:spacing w:after="0" w:line="240" w:lineRule="auto"/>
        <w:ind w:left="567" w:right="567" w:firstLine="709"/>
        <w:jc w:val="both"/>
        <w:rPr>
          <w:rFonts w:ascii="Arial" w:eastAsia="Times New Roman" w:hAnsi="Arial" w:cs="Arial"/>
          <w:sz w:val="24"/>
          <w:szCs w:val="24"/>
          <w:lang w:val="es-ES" w:eastAsia="es-ES"/>
        </w:rPr>
      </w:pPr>
    </w:p>
    <w:p w14:paraId="62D9C517" w14:textId="77777777" w:rsidR="00E478A7" w:rsidRPr="00E478A7" w:rsidRDefault="00E478A7" w:rsidP="00E478A7">
      <w:pPr>
        <w:spacing w:after="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b/>
          <w:sz w:val="24"/>
          <w:szCs w:val="24"/>
          <w:lang w:val="es-ES" w:eastAsia="es-ES"/>
        </w:rPr>
        <w:t>1.-</w:t>
      </w:r>
      <w:r w:rsidRPr="00E478A7">
        <w:rPr>
          <w:rFonts w:ascii="Arial" w:eastAsia="Times New Roman" w:hAnsi="Arial" w:cs="Arial"/>
          <w:sz w:val="24"/>
          <w:szCs w:val="24"/>
          <w:lang w:val="es-ES" w:eastAsia="es-ES"/>
        </w:rPr>
        <w:t xml:space="preserve"> El día 18 de noviembre del 2007, se convocaron para las elecciones a elegir concejales 2008-2010.</w:t>
      </w:r>
    </w:p>
    <w:p w14:paraId="576AE0DD" w14:textId="77777777" w:rsidR="00E478A7" w:rsidRPr="00E478A7" w:rsidRDefault="00E478A7" w:rsidP="00E478A7">
      <w:pPr>
        <w:spacing w:after="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 xml:space="preserve">Las autoridades municipales como es costumbre llamaron con un día de anticipación mediante la concha y el aparato de sonido a los ciudadanos del municipio de la cabecera y de las agencias municipales para participar en la elección de concejales 2008-02010, convocándose en la cancha de usos múltiples de la cabecera municipal, el domingo por la mañana un grupo de personas encabezadas por los Señores HECTOR ARTURO y SILVERIO de apellidos GALLARDO BETANZOS, organizados con un grupo de chavos-bandas intimidaron a la población cerrando los principales accesos de la misma para obligar a los ciudadanos a concentrase en una bodega de la Unión de comunidades Campesinas Marginadas (UCOCAM, A.C.) donde desde muy temprano se prepararon alimentos y despensas para coaccionar su voto, a las 12 p.m. después de la misa dominical del día 18 de Noviembre, las autoridades se instalaron para iniciar la elección multicitada, en ese momento un contingente de campesinos que salieron de dicha bodega se encaminaron a la cancha citada donde fueron instalados en </w:t>
      </w:r>
      <w:proofErr w:type="spellStart"/>
      <w:r w:rsidRPr="00E478A7">
        <w:rPr>
          <w:rFonts w:ascii="Arial" w:eastAsia="Times New Roman" w:hAnsi="Arial" w:cs="Arial"/>
          <w:sz w:val="24"/>
          <w:szCs w:val="24"/>
          <w:lang w:val="es-ES" w:eastAsia="es-ES"/>
        </w:rPr>
        <w:t>un</w:t>
      </w:r>
      <w:proofErr w:type="spellEnd"/>
      <w:r w:rsidRPr="00E478A7">
        <w:rPr>
          <w:rFonts w:ascii="Arial" w:eastAsia="Times New Roman" w:hAnsi="Arial" w:cs="Arial"/>
          <w:sz w:val="24"/>
          <w:szCs w:val="24"/>
          <w:lang w:val="es-ES" w:eastAsia="es-ES"/>
        </w:rPr>
        <w:t xml:space="preserve"> de los extremos de la cancha siempre custodiados por este grupo vándalos ELADIO ROSETE GUERRERO, FLOREN CIA ROMERO, EUGENIO ROMERO, BRAUKLIO CERQUEDA, JOSÉ ANTONIO MARTÍNEZ, ARMANDO MARTÍNEZ y sujetos que no son de la población y que por lo mismo no los identificamos por sus nombres, entre ellos se encontraban niños y Ciudadanos del municipio de Santa María </w:t>
      </w:r>
      <w:proofErr w:type="spellStart"/>
      <w:r w:rsidRPr="00E478A7">
        <w:rPr>
          <w:rFonts w:ascii="Arial" w:eastAsia="Times New Roman" w:hAnsi="Arial" w:cs="Arial"/>
          <w:sz w:val="24"/>
          <w:szCs w:val="24"/>
          <w:lang w:val="es-ES" w:eastAsia="es-ES"/>
        </w:rPr>
        <w:t>Chilchotla</w:t>
      </w:r>
      <w:proofErr w:type="spellEnd"/>
      <w:r w:rsidRPr="00E478A7">
        <w:rPr>
          <w:rFonts w:ascii="Arial" w:eastAsia="Times New Roman" w:hAnsi="Arial" w:cs="Arial"/>
          <w:sz w:val="24"/>
          <w:szCs w:val="24"/>
          <w:lang w:val="es-ES" w:eastAsia="es-ES"/>
        </w:rPr>
        <w:t xml:space="preserve">, este grupo impulsado por los hermanos GALLARDIO BETANZOS, exigieron de </w:t>
      </w:r>
      <w:r w:rsidRPr="00E478A7">
        <w:rPr>
          <w:rFonts w:ascii="Arial" w:eastAsia="Times New Roman" w:hAnsi="Arial" w:cs="Arial"/>
          <w:sz w:val="24"/>
          <w:szCs w:val="24"/>
          <w:lang w:val="es-ES" w:eastAsia="es-ES"/>
        </w:rPr>
        <w:lastRenderedPageBreak/>
        <w:t xml:space="preserve">inmediato la instalación de la asamblea sin que se permitiera a los ancianos participar, como es costumbre en el inicio de cada asamblea por el ritmo que impusieron a la asamblea no se permitió el pase de lista y de inmediato de procedió a la instalación de la mesa de los debates, desde un principio se notó que más de 20 personas con disposición a la violencia acordonaron a este contingente haciéndole señas levantando la mano para votar o cuando no votar obligándolos de esta manera, más tarde en la elección para presidente municipal este grupo que nunca permitió un conteo transparente, pues iban una y otra vez inflando los números de las filas que impusieron finalmente a su candidato, es este punto, el resto de los Ciudadanos estuvieron en desacuerdo y con el fin de evitar el desprendimiento de la violencia, las autoridades municipales actuales, invitaron a formar una comisión para acordar un cabildo integrado de tres grupos que participaron, como se mencionó el grupo ganador para Presidente Municipal nunca aceptó la petición del resto de los ciudadanos por lo que, el presidente de la mesa decidió por </w:t>
      </w:r>
      <w:proofErr w:type="spellStart"/>
      <w:r w:rsidRPr="00E478A7">
        <w:rPr>
          <w:rFonts w:ascii="Arial" w:eastAsia="Times New Roman" w:hAnsi="Arial" w:cs="Arial"/>
          <w:sz w:val="24"/>
          <w:szCs w:val="24"/>
          <w:lang w:val="es-ES" w:eastAsia="es-ES"/>
        </w:rPr>
        <w:t>si</w:t>
      </w:r>
      <w:proofErr w:type="spellEnd"/>
      <w:r w:rsidRPr="00E478A7">
        <w:rPr>
          <w:rFonts w:ascii="Arial" w:eastAsia="Times New Roman" w:hAnsi="Arial" w:cs="Arial"/>
          <w:sz w:val="24"/>
          <w:szCs w:val="24"/>
          <w:lang w:val="es-ES" w:eastAsia="es-ES"/>
        </w:rPr>
        <w:t xml:space="preserve"> mismo una planilla que este grupo ya tenía preparada y la sometió a votación, declarándola ganadora por mayoría, se hace notar que nunca los escrutadores realizaron su cometido y no se llevó la votación de la elección de cada </w:t>
      </w:r>
      <w:proofErr w:type="spellStart"/>
      <w:r w:rsidRPr="00E478A7">
        <w:rPr>
          <w:rFonts w:ascii="Arial" w:eastAsia="Times New Roman" w:hAnsi="Arial" w:cs="Arial"/>
          <w:sz w:val="24"/>
          <w:szCs w:val="24"/>
          <w:lang w:val="es-ES" w:eastAsia="es-ES"/>
        </w:rPr>
        <w:t>unos</w:t>
      </w:r>
      <w:proofErr w:type="spellEnd"/>
      <w:r w:rsidRPr="00E478A7">
        <w:rPr>
          <w:rFonts w:ascii="Arial" w:eastAsia="Times New Roman" w:hAnsi="Arial" w:cs="Arial"/>
          <w:sz w:val="24"/>
          <w:szCs w:val="24"/>
          <w:lang w:val="es-ES" w:eastAsia="es-ES"/>
        </w:rPr>
        <w:t xml:space="preserve"> de los concejales, en virtud de la imposición de esta planilla, por lo que acta de asamblea no refleja el número de votos que haya ganado cada uno de los concejales electos de la misma planilla. En seguida de igual manera en la misma acta no se registró ni el número de votos de la llamada mayoría ni el número de votos de los inconformes de esta planilla, de esta manera se demuestra claramente la imposición al no considerar los derechos ciudadanos de nosotros los que acudimos a esta autoridad electoral.</w:t>
      </w:r>
    </w:p>
    <w:p w14:paraId="3A417280"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Cabe hacer notar que mediante fax, de fecha 16 de noviembre (Se anexa documento) se envió al IEE un comunicado y que mediante llamada telefónica el presidente Municipal invito a la Institución (Dirección de usos y Costumbres del propio IEE) para que enviara un funcionario que diera fe y legalidad del acto, pero nunca se presentó, por razones desconocidas o mejor dicho por permitir que las cosas se hicieran a modo, de igual forma el delegado de gobierno, como siempre lo ha hecho, no se presentó a pesar de haber sido convocado a diferencia de otros municipios donde sí estuvo presente, incluso, presidiendo la segunda vuelta en el municipio de Santa María la Asunción, de igual manera se envió un documento al ING. JOAQUÍN RODRÍGUEZ PALACIOS, Subsecretario de Gobierno, solicitándole para que la DGSP, Policía preventiva, hiciera acto de presencia y resguardar dicha asamblea.</w:t>
      </w:r>
    </w:p>
    <w:p w14:paraId="7BD267C5"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Incluso no firmó el presidente municipal constitucional el acta correspondiente.</w:t>
      </w:r>
    </w:p>
    <w:p w14:paraId="51E3F783"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sz w:val="24"/>
          <w:szCs w:val="24"/>
          <w:lang w:val="es-ES" w:eastAsia="es-ES"/>
        </w:rPr>
        <w:t xml:space="preserve">Se hace constar, que posterior a la supuesta elección, con fechas 20 y 27 de noviembre se enviaron escritos de inconformidad dirigidos al </w:t>
      </w:r>
      <w:r w:rsidRPr="00E478A7">
        <w:rPr>
          <w:rFonts w:ascii="Arial" w:eastAsia="Times New Roman" w:hAnsi="Arial" w:cs="Arial"/>
          <w:sz w:val="24"/>
          <w:szCs w:val="24"/>
          <w:lang w:val="es-ES" w:eastAsia="es-ES"/>
        </w:rPr>
        <w:lastRenderedPageBreak/>
        <w:t>C. JOSÉ LUIS ECHEVERRÍA MORALES, Consejero Presidente del IEE en el estado, mismos que acompañamos al presente memorial como anexos uno y dos.</w:t>
      </w:r>
    </w:p>
    <w:p w14:paraId="319B3BAD" w14:textId="77777777" w:rsidR="00E478A7" w:rsidRPr="00E478A7" w:rsidRDefault="00E478A7" w:rsidP="00E478A7">
      <w:pPr>
        <w:spacing w:before="120" w:after="120" w:line="240" w:lineRule="auto"/>
        <w:ind w:left="567" w:right="567" w:firstLine="709"/>
        <w:jc w:val="both"/>
        <w:rPr>
          <w:rFonts w:ascii="Arial" w:eastAsia="Times New Roman" w:hAnsi="Arial" w:cs="Arial"/>
          <w:sz w:val="24"/>
          <w:szCs w:val="24"/>
          <w:lang w:val="es-ES" w:eastAsia="es-ES"/>
        </w:rPr>
      </w:pPr>
      <w:r w:rsidRPr="00E478A7">
        <w:rPr>
          <w:rFonts w:ascii="Arial" w:eastAsia="Times New Roman" w:hAnsi="Arial" w:cs="Arial"/>
          <w:b/>
          <w:sz w:val="24"/>
          <w:szCs w:val="24"/>
          <w:lang w:val="es-ES" w:eastAsia="es-ES"/>
        </w:rPr>
        <w:t>2.-</w:t>
      </w:r>
      <w:r w:rsidRPr="00E478A7">
        <w:rPr>
          <w:rFonts w:ascii="Arial" w:eastAsia="Times New Roman" w:hAnsi="Arial" w:cs="Arial"/>
          <w:sz w:val="24"/>
          <w:szCs w:val="24"/>
          <w:lang w:val="es-ES" w:eastAsia="es-ES"/>
        </w:rPr>
        <w:t xml:space="preserve"> De lo anterior, se advierten múltiples irregularidades al procedimiento acostumbrado según nuestras prácticas democráticas, pues en la supuesta acta de elección de referencia no aparece el pase de lista de los asistentes a la asamblea ni se asienta con claridad el procedimiento realizado para integrar la mesa de debates, así como tampoco se anexan las firmas de las personas que asistimos a dicha asamblea y, por tanto, no se acredita en forma alguna las circunstancias de tiempo, modo y lugar, que demuestren plenamente la legalidad y legitimidad según nuestras costumbres de esa elección que hoy impugnamos, ni la autenticidad de la votación que supuestamente se obtuvo, pero sí en cambio se demuestra, fehaciente e indubitablemente, que la asamblea que hoy impugnamos no cumple con los procedimientos y prácticas democráticas de nuestra comunidad, pues no satisface en forma alguna con los requisitos establecidos en el libro cuarto, del Código de Instituciones Políticas y Procedimientos Electorales de Oaxaca.</w:t>
      </w:r>
    </w:p>
    <w:p w14:paraId="2B4D2295"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p>
    <w:p w14:paraId="49347396"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QUINTO.</w:t>
      </w:r>
      <w:r w:rsidRPr="00E478A7">
        <w:rPr>
          <w:rFonts w:ascii="Times New Roman" w:eastAsia="Times New Roman" w:hAnsi="Times New Roman" w:cs="Times New Roman"/>
          <w:sz w:val="24"/>
          <w:szCs w:val="24"/>
          <w:lang w:eastAsia="es-MX"/>
        </w:rPr>
        <w:t xml:space="preserve"> </w:t>
      </w:r>
      <w:r w:rsidRPr="00E478A7">
        <w:rPr>
          <w:rFonts w:ascii="Arial" w:eastAsia="Times New Roman" w:hAnsi="Arial" w:cs="Arial"/>
          <w:b/>
          <w:bCs/>
          <w:sz w:val="28"/>
          <w:szCs w:val="28"/>
          <w:lang w:eastAsia="es-MX"/>
        </w:rPr>
        <w:t xml:space="preserve">Estudio de fondo. </w:t>
      </w:r>
      <w:r w:rsidRPr="00E478A7">
        <w:rPr>
          <w:rFonts w:ascii="Arial" w:eastAsia="Times New Roman" w:hAnsi="Arial" w:cs="Arial"/>
          <w:bCs/>
          <w:sz w:val="28"/>
          <w:szCs w:val="28"/>
          <w:lang w:eastAsia="es-MX"/>
        </w:rPr>
        <w:t>De forma previa al estudio de los agravios, es menester precisar lo siguiente:</w:t>
      </w:r>
    </w:p>
    <w:p w14:paraId="7C4329F0"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37ACE455"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Sobre Pueblos Indígenas y Tribales, 1989, y 1, apartado 1, de la Convención Americana sobre Derechos Humanos, permite a esta Sala Superior del Tribunal Electoral del Poder Judicial de la Federación a concluir que, en la resolución de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w:t>
      </w:r>
      <w:r w:rsidRPr="00E478A7">
        <w:rPr>
          <w:rFonts w:ascii="Arial" w:eastAsia="Times New Roman" w:hAnsi="Arial" w:cs="Arial"/>
          <w:bCs/>
          <w:sz w:val="28"/>
          <w:szCs w:val="28"/>
          <w:lang w:eastAsia="es-MX"/>
        </w:rPr>
        <w:lastRenderedPageBreak/>
        <w:t>para el ejercicio de sus formas propias de gobierno en el marco del Ayuntamiento, conforme sus tradiciones y normas internas, no sólo se debe suplir la deficiencia en la queja en los términos del artículo 23, apartado 1 de la Ley General del Sistema de Medios de Impugnación en Materia Electoral, sino que, como medida tuitiva especial, igualmente se debe suplir cualquier tipo de insuficiencia advertida por el juzgador en el escrito de demanda, de tal suerte que se pueda apreciar, con base en las constancias existentes en autos o las que en su caso sean requeridas, el acto que realmente cause un perjuicio a la parte demandada, aun cuando ese acto no haya sido impugnado en forma explícita, y por obrar en consecuencia, sin más limitación que el respeto a los principios de congruencia y de contradicción, esto es, sin apartarse de la violación a los derechos político-electorales tutelados a través de esta clase de juicios y siempre dando oportunidad de defensa al órgano o autoridad que aparezca en realidad como responsable de la lesión jurídica advertida.</w:t>
      </w:r>
    </w:p>
    <w:p w14:paraId="7EC06C5D"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370A23A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Ello es así, porque una suplencia amplia como la que se propone permite al juzgador examinar de manera integral y congruente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E478A7">
        <w:rPr>
          <w:rFonts w:ascii="Arial" w:eastAsia="Times New Roman" w:hAnsi="Arial" w:cs="Arial"/>
          <w:bCs/>
          <w:sz w:val="28"/>
          <w:szCs w:val="28"/>
          <w:lang w:eastAsia="es-MX"/>
        </w:rPr>
        <w:t>promoventes</w:t>
      </w:r>
      <w:proofErr w:type="spellEnd"/>
      <w:r w:rsidRPr="00E478A7">
        <w:rPr>
          <w:rFonts w:ascii="Arial" w:eastAsia="Times New Roman" w:hAnsi="Arial" w:cs="Arial"/>
          <w:bCs/>
          <w:sz w:val="28"/>
          <w:szCs w:val="28"/>
          <w:lang w:eastAsia="es-MX"/>
        </w:rPr>
        <w:t xml:space="preserve">, que responden en buena medida a la precaria situación económica,  social y cultural en que están los </w:t>
      </w:r>
      <w:r w:rsidRPr="00E478A7">
        <w:rPr>
          <w:rFonts w:ascii="Arial" w:eastAsia="Times New Roman" w:hAnsi="Arial" w:cs="Arial"/>
          <w:bCs/>
          <w:sz w:val="28"/>
          <w:szCs w:val="28"/>
          <w:lang w:eastAsia="es-MX"/>
        </w:rPr>
        <w:lastRenderedPageBreak/>
        <w:t>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B0748F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0185F5A9"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r w:rsidRPr="00E478A7">
        <w:rPr>
          <w:rFonts w:ascii="Arial" w:eastAsia="Times New Roman" w:hAnsi="Arial" w:cs="Arial"/>
          <w:bCs/>
          <w:sz w:val="28"/>
          <w:szCs w:val="28"/>
          <w:lang w:eastAsia="es-MX"/>
        </w:rPr>
        <w:t xml:space="preserve">Este criterio encuentra apoyo en la tesis relevante IX/2007, sustentada por esta Sala Superior, consultable en la página electrónica de este Tribunal Electoral: http://www.trife.org.mx/siscon/gateway.dll?f=templates&amp;fn=default.htm, </w:t>
      </w:r>
      <w:r w:rsidRPr="00E478A7">
        <w:rPr>
          <w:rFonts w:ascii="Arial" w:eastAsia="Times New Roman" w:hAnsi="Arial" w:cs="Arial"/>
          <w:sz w:val="28"/>
          <w:szCs w:val="28"/>
          <w:lang w:eastAsia="es-MX"/>
        </w:rPr>
        <w:t>que literalmente señala</w:t>
      </w:r>
      <w:r w:rsidRPr="00E478A7">
        <w:rPr>
          <w:rFonts w:ascii="Arial" w:eastAsia="Times New Roman" w:hAnsi="Arial" w:cs="Arial"/>
          <w:bCs/>
          <w:sz w:val="28"/>
          <w:szCs w:val="28"/>
          <w:lang w:eastAsia="es-MX"/>
        </w:rPr>
        <w:t>:</w:t>
      </w:r>
      <w:r w:rsidRPr="00E478A7">
        <w:rPr>
          <w:rFonts w:ascii="Arial" w:eastAsia="Times New Roman" w:hAnsi="Arial" w:cs="Arial"/>
          <w:b/>
          <w:bCs/>
          <w:sz w:val="28"/>
          <w:szCs w:val="28"/>
          <w:lang w:eastAsia="es-MX"/>
        </w:rPr>
        <w:t xml:space="preserve"> </w:t>
      </w:r>
    </w:p>
    <w:p w14:paraId="0B2DF90A"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p>
    <w:p w14:paraId="7DB7A14A" w14:textId="77777777" w:rsidR="00E478A7" w:rsidRPr="00E478A7" w:rsidRDefault="00E478A7" w:rsidP="00E478A7">
      <w:pPr>
        <w:spacing w:after="0" w:line="360" w:lineRule="auto"/>
        <w:ind w:left="567" w:right="567" w:firstLine="709"/>
        <w:jc w:val="both"/>
        <w:rPr>
          <w:rFonts w:ascii="Arial" w:eastAsia="Times New Roman" w:hAnsi="Arial" w:cs="Arial"/>
          <w:bCs/>
          <w:sz w:val="28"/>
          <w:szCs w:val="28"/>
          <w:lang w:eastAsia="es-MX"/>
        </w:rPr>
      </w:pPr>
      <w:r w:rsidRPr="00E478A7">
        <w:rPr>
          <w:rFonts w:ascii="Arial" w:eastAsia="Times New Roman" w:hAnsi="Arial" w:cs="Arial"/>
          <w:b/>
          <w:bCs/>
          <w:szCs w:val="28"/>
          <w:lang w:eastAsia="es-MX"/>
        </w:rPr>
        <w:t>COMUNIDADES INDÍGENAS. SUPLENCIA DE LA QUEJA TOTAL EN LOS JUICIOS ELECTORALES PROMOVIDOS POR SUS INTEGRANTES</w:t>
      </w:r>
      <w:r w:rsidRPr="00E478A7">
        <w:rPr>
          <w:rFonts w:ascii="Arial" w:eastAsia="Times New Roman" w:hAnsi="Arial" w:cs="Arial"/>
          <w:b/>
          <w:bCs/>
          <w:sz w:val="24"/>
          <w:szCs w:val="28"/>
          <w:lang w:eastAsia="es-MX"/>
        </w:rPr>
        <w:t>.</w:t>
      </w:r>
      <w:r w:rsidRPr="00E478A7">
        <w:rPr>
          <w:rFonts w:ascii="Times New Roman" w:eastAsia="Times New Roman" w:hAnsi="Times New Roman" w:cs="Times New Roman"/>
          <w:szCs w:val="24"/>
          <w:lang w:eastAsia="es-MX"/>
        </w:rPr>
        <w:t xml:space="preserve"> </w:t>
      </w:r>
      <w:r w:rsidRPr="00E478A7">
        <w:rPr>
          <w:rFonts w:ascii="Arial" w:eastAsia="Times New Roman" w:hAnsi="Arial" w:cs="Arial"/>
          <w:bCs/>
          <w:sz w:val="24"/>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w:t>
      </w:r>
      <w:r w:rsidRPr="00E478A7">
        <w:rPr>
          <w:rFonts w:ascii="Arial" w:eastAsia="Times New Roman" w:hAnsi="Arial" w:cs="Arial"/>
          <w:bCs/>
          <w:sz w:val="24"/>
          <w:szCs w:val="28"/>
          <w:lang w:eastAsia="es-MX"/>
        </w:rPr>
        <w:lastRenderedPageBreak/>
        <w:t xml:space="preserve">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w:t>
      </w:r>
      <w:proofErr w:type="spellStart"/>
      <w:r w:rsidRPr="00E478A7">
        <w:rPr>
          <w:rFonts w:ascii="Arial" w:eastAsia="Times New Roman" w:hAnsi="Arial" w:cs="Arial"/>
          <w:bCs/>
          <w:sz w:val="24"/>
          <w:szCs w:val="28"/>
          <w:lang w:eastAsia="es-MX"/>
        </w:rPr>
        <w:t>antiformalista</w:t>
      </w:r>
      <w:proofErr w:type="spellEnd"/>
      <w:r w:rsidRPr="00E478A7">
        <w:rPr>
          <w:rFonts w:ascii="Arial" w:eastAsia="Times New Roman" w:hAnsi="Arial" w:cs="Arial"/>
          <w:bCs/>
          <w:sz w:val="24"/>
          <w:szCs w:val="28"/>
          <w:lang w:eastAsia="es-MX"/>
        </w:rPr>
        <w:t>, tendente a equilibrar las desventajas procesales en que se encuentran los integrantes de pueblos y comunidades indígenas, con motivo de circunstancias culturales, económicas y sociales desfavorables</w:t>
      </w:r>
      <w:r w:rsidRPr="00E478A7">
        <w:rPr>
          <w:rFonts w:ascii="Arial" w:eastAsia="Times New Roman" w:hAnsi="Arial" w:cs="Arial"/>
          <w:bCs/>
          <w:sz w:val="28"/>
          <w:szCs w:val="28"/>
          <w:lang w:eastAsia="es-MX"/>
        </w:rPr>
        <w:t>.</w:t>
      </w:r>
    </w:p>
    <w:p w14:paraId="08B3831E" w14:textId="77777777" w:rsidR="00E478A7" w:rsidRPr="00E478A7" w:rsidRDefault="00E478A7" w:rsidP="00E478A7">
      <w:pPr>
        <w:spacing w:after="0" w:line="360" w:lineRule="auto"/>
        <w:ind w:firstLine="709"/>
        <w:jc w:val="both"/>
        <w:rPr>
          <w:rFonts w:ascii="Arial" w:eastAsia="Times New Roman" w:hAnsi="Arial" w:cs="Arial"/>
          <w:b/>
          <w:bCs/>
          <w:sz w:val="28"/>
          <w:szCs w:val="28"/>
          <w:lang w:eastAsia="es-MX"/>
        </w:rPr>
      </w:pPr>
    </w:p>
    <w:p w14:paraId="69B9CF11"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De acuerdo con lo anterior, en la especie, esta Sala Superior, al resolver el juicio en que se actúa, tomará en consideración la revisión total y exhaustiva de las diversas etapas del procedimiento electoral llevado a cabo para renovar las autoridades municipales del </w:t>
      </w:r>
      <w:r w:rsidRPr="00E478A7">
        <w:rPr>
          <w:rFonts w:ascii="Arial" w:eastAsia="Times New Roman" w:hAnsi="Arial" w:cs="Arial"/>
          <w:bCs/>
          <w:sz w:val="28"/>
          <w:szCs w:val="28"/>
          <w:lang w:eastAsia="es-MX"/>
        </w:rPr>
        <w:lastRenderedPageBreak/>
        <w:t xml:space="preserve">Ayuntamiento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 bajo las normas de Derecho Consuetudinario, a fin de determinar la legalidad y constitucionalidad de los actos de las autoridades impugnados por los </w:t>
      </w:r>
      <w:proofErr w:type="spellStart"/>
      <w:r w:rsidRPr="00E478A7">
        <w:rPr>
          <w:rFonts w:ascii="Arial" w:eastAsia="Times New Roman" w:hAnsi="Arial" w:cs="Arial"/>
          <w:bCs/>
          <w:sz w:val="28"/>
          <w:szCs w:val="28"/>
          <w:lang w:eastAsia="es-MX"/>
        </w:rPr>
        <w:t>incoantes</w:t>
      </w:r>
      <w:proofErr w:type="spellEnd"/>
      <w:r w:rsidRPr="00E478A7">
        <w:rPr>
          <w:rFonts w:ascii="Arial" w:eastAsia="Times New Roman" w:hAnsi="Arial" w:cs="Arial"/>
          <w:bCs/>
          <w:sz w:val="28"/>
          <w:szCs w:val="28"/>
          <w:lang w:eastAsia="es-MX"/>
        </w:rPr>
        <w:t>.</w:t>
      </w:r>
    </w:p>
    <w:p w14:paraId="1849AFB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DE6F8F0"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En primer lugar, se debe examinar la instrumentación seguida por el Instituto Estatal Electoral en Oaxaca, en la controversia surgida para la renovación del ayuntamiento del citado municipio.</w:t>
      </w:r>
    </w:p>
    <w:p w14:paraId="00E8F9E4"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04C7461F"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Los demandantes exponen que mediante escritos de fechas veinte y veintisiete de noviembre de dos mil siete, que denominaron “inconformidad”, dirigidos al Consejero Presidente del Instituto Estatal Electoral de la mencionada entidad federativa, pusieron de manifiesto las irregularidades acontecidas el día de la asamblea comunitaria que impidieron que los accionantes fueran votados en la asamblea o ejercieran su derecho de votar, sin que el citado órgano electoral administrativo haya realizado alguna manifestación o agotara previamente todos los mecanismos necesarios para que se llevara a cabo una avenencia entre los habitantes del municipio, lo cual violó el procedimiento acostumbrado en sus </w:t>
      </w:r>
      <w:proofErr w:type="spellStart"/>
      <w:r w:rsidRPr="00E478A7">
        <w:rPr>
          <w:rFonts w:ascii="Arial" w:eastAsia="Times New Roman" w:hAnsi="Arial" w:cs="Arial"/>
          <w:bCs/>
          <w:sz w:val="28"/>
          <w:szCs w:val="28"/>
          <w:lang w:eastAsia="es-MX"/>
        </w:rPr>
        <w:t>practicas</w:t>
      </w:r>
      <w:proofErr w:type="spellEnd"/>
      <w:r w:rsidRPr="00E478A7">
        <w:rPr>
          <w:rFonts w:ascii="Arial" w:eastAsia="Times New Roman" w:hAnsi="Arial" w:cs="Arial"/>
          <w:bCs/>
          <w:sz w:val="28"/>
          <w:szCs w:val="28"/>
          <w:lang w:eastAsia="es-MX"/>
        </w:rPr>
        <w:t xml:space="preserve"> democráticas.</w:t>
      </w:r>
    </w:p>
    <w:p w14:paraId="6BD9BFC5"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B9EC9D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El concepto de agravio antes enunciado es </w:t>
      </w:r>
      <w:r w:rsidRPr="00E478A7">
        <w:rPr>
          <w:rFonts w:ascii="Arial" w:eastAsia="Times New Roman" w:hAnsi="Arial" w:cs="Arial"/>
          <w:b/>
          <w:bCs/>
          <w:sz w:val="28"/>
          <w:szCs w:val="28"/>
          <w:lang w:eastAsia="es-MX"/>
        </w:rPr>
        <w:t xml:space="preserve">fundado </w:t>
      </w:r>
      <w:r w:rsidRPr="00E478A7">
        <w:rPr>
          <w:rFonts w:ascii="Arial" w:eastAsia="Times New Roman" w:hAnsi="Arial" w:cs="Arial"/>
          <w:bCs/>
          <w:sz w:val="28"/>
          <w:szCs w:val="28"/>
          <w:lang w:eastAsia="es-MX"/>
        </w:rPr>
        <w:t xml:space="preserve">y suficiente para ordenar reponer el procedimiento seguido en la controversia relativa a la elección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w:t>
      </w:r>
    </w:p>
    <w:p w14:paraId="35B2B6B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24177FDD"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lastRenderedPageBreak/>
        <w:t>En efecto, del análisis de las constancias que obran en el expediente, se observa que no obstante que el Presidente Municipal, los regidores de obras, educación, salud y hacienda, dirigieron dos escritos de fechas veinte y veintisiete de noviembre de dos mil siete, que denominaron “inconformidad” al Presidente del Instituto Estatal Electoral en Oaxaca, a fin de hacerle saber las diversas irregularidades que acontecieron el día dieciocho de noviembre de dos mil siete, fecha en que se celebró la asamblea comunitaria para elegir al ayuntamiento, y que les impidió participar en forma activa en la elección de esa municipalidad, la autoridad electoral administrativa ni siquiera en el acuerdo de fecha de veintinueve de noviembre de este año, por el que se declaró la validez de las elecciones celebradas en diversos municipios del Estado de Oaxaca, que electoralmente se rigen bajo normas de Derecho Consuetudinario, se pronunció al respecto.</w:t>
      </w:r>
    </w:p>
    <w:p w14:paraId="349119C7"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3D96AEA0"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Para ilustrar sobre la magnitud que implica la omisión o abstención en que incurrió el Instituto Estatal Electoral es conveniente tomar en cuenta lo siguiente:</w:t>
      </w:r>
    </w:p>
    <w:p w14:paraId="58B606F7"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A361F93"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Los principios de objetividad, certeza, legalidad y profesionalismo que rigen el universo de la materia electoral, imponen sobre la autoridad responsable una carga o imperativo que no admitía excusa alguna para eludir su observancia.</w:t>
      </w:r>
    </w:p>
    <w:p w14:paraId="69662F2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02CDD5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La necesidad de desahogar una etapa conciliatoria,  previa a cualquier resolución, constituye una obligación instrumental que tiene por objeto, dar vigencia a la prescripción constitucional de todo Estado </w:t>
      </w:r>
      <w:r w:rsidRPr="00E478A7">
        <w:rPr>
          <w:rFonts w:ascii="Arial" w:eastAsia="Times New Roman" w:hAnsi="Arial" w:cs="Arial"/>
          <w:bCs/>
          <w:sz w:val="28"/>
          <w:szCs w:val="28"/>
          <w:lang w:eastAsia="es-MX"/>
        </w:rPr>
        <w:lastRenderedPageBreak/>
        <w:t>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24332B98"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A1C1E6A"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El postulado antes mencionado es reiterado en la normativa del Estado de Oaxaca, al preverse que: </w:t>
      </w:r>
    </w:p>
    <w:p w14:paraId="03C7AB3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DFF32BF"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a) El Estado adopta la forma de gobierno republicano, para su régimen interior.</w:t>
      </w:r>
    </w:p>
    <w:p w14:paraId="624A88D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6070E743"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 b) Los ayuntamientos son asambleas electas mediante sufragio, y </w:t>
      </w:r>
    </w:p>
    <w:p w14:paraId="6664EDE6"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4907745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c) Los concejales que los integren duran en su encargo tres años, incluidos los electos por el sistema de usos y costumbres, ya que, aunque desempeñarán el cargo durante el tiempo que sus tradiciones y prácticas democráticas determinen, tal nombramiento no podrá exceder de tres años (artículos 29, párrafo primero, y 98, párrafos primero y tercero, de la Constitución local, y 3, 17, 20, 22, 23, 24 y 124 del código electoral local).</w:t>
      </w:r>
    </w:p>
    <w:p w14:paraId="3E07C52A"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4B23AAA2"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El Instituto Estatal Electoral es un ente que goza de autonomía técnica y operativa, pero al estar integrado al poder público, </w:t>
      </w:r>
      <w:r w:rsidRPr="00E478A7">
        <w:rPr>
          <w:rFonts w:ascii="Arial" w:eastAsia="Times New Roman" w:hAnsi="Arial" w:cs="Arial"/>
          <w:bCs/>
          <w:sz w:val="28"/>
          <w:szCs w:val="28"/>
          <w:u w:val="single"/>
          <w:lang w:eastAsia="es-MX"/>
        </w:rPr>
        <w:t>sólo puede hacer lo que la ley le autoriza, e inevitablemente, debe proceder como le ordena la ley</w:t>
      </w:r>
      <w:r w:rsidRPr="00E478A7">
        <w:rPr>
          <w:rFonts w:ascii="Arial" w:eastAsia="Times New Roman" w:hAnsi="Arial" w:cs="Arial"/>
          <w:bCs/>
          <w:sz w:val="28"/>
          <w:szCs w:val="28"/>
          <w:lang w:eastAsia="es-MX"/>
        </w:rPr>
        <w:t xml:space="preserve">, en términos de lo prescrito en los artículos 16, párrafo </w:t>
      </w:r>
      <w:r w:rsidRPr="00E478A7">
        <w:rPr>
          <w:rFonts w:ascii="Arial" w:eastAsia="Times New Roman" w:hAnsi="Arial" w:cs="Arial"/>
          <w:bCs/>
          <w:sz w:val="28"/>
          <w:szCs w:val="28"/>
          <w:lang w:eastAsia="es-MX"/>
        </w:rPr>
        <w:lastRenderedPageBreak/>
        <w:t>primero, y 116, párrafo segundo, fracción IV, inciso b), de la Constitución Federal, y 2° de la Constitución local.</w:t>
      </w:r>
    </w:p>
    <w:p w14:paraId="3255E28B"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23E0B23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u w:val="single"/>
          <w:lang w:eastAsia="es-MX"/>
        </w:rPr>
        <w:t>Constitucionalmente se ha establecido que, a través de la ley, se protegerá y promoverá el desarrollo de los usos y costumbres, así como las formas específicas de organización social de los pueblos indígenas</w:t>
      </w:r>
      <w:r w:rsidRPr="00E478A7">
        <w:rPr>
          <w:rFonts w:ascii="Arial" w:eastAsia="Times New Roman" w:hAnsi="Arial" w:cs="Arial"/>
          <w:bCs/>
          <w:sz w:val="28"/>
          <w:szCs w:val="28"/>
          <w:lang w:eastAsia="es-MX"/>
        </w:rPr>
        <w:t xml:space="preserve"> (artículo 2, párrafo tercero de la Constitución Federal).</w:t>
      </w:r>
    </w:p>
    <w:p w14:paraId="7E226310"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083F50A8"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se puede tener como ajustado a la Constitución Federal ni a la Constitución local, el proceder del Instituto Estatal Electoral de Oaxaca, que no ha dispuesto ni provisto lo suficiente, razonable y necesario para dar vigencia al derecho político-electoral de todas las comunidades que integran el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 para elegir a los concejales al ayuntamiento municipal respectivo, de acuerdo con sus usos y costumbres.</w:t>
      </w:r>
    </w:p>
    <w:p w14:paraId="0005E99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7DE008CB"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La autoridad administrativa electoral, es en quien se delega la función estatal de organizar y desarrollar los actos de interés público </w:t>
      </w:r>
      <w:r w:rsidRPr="00E478A7">
        <w:rPr>
          <w:rFonts w:ascii="Arial" w:eastAsia="Times New Roman" w:hAnsi="Arial" w:cs="Arial"/>
          <w:bCs/>
          <w:sz w:val="28"/>
          <w:szCs w:val="28"/>
          <w:lang w:eastAsia="es-MX"/>
        </w:rPr>
        <w:lastRenderedPageBreak/>
        <w:t xml:space="preserve">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16BE4F02"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DE9B95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w:t>
      </w:r>
    </w:p>
    <w:p w14:paraId="2A7858F6"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65F98FB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Tal obligación que impone la normativa electoral a las autoridades competentes no solamente se circunscribe a la de comunicar al Instituto Estatal Electoral de Oaxaca, cuando tendrá verificativo la asamblea comunitaria donde elegirán a los miembros de ayuntamiento, sino que también </w:t>
      </w:r>
      <w:proofErr w:type="spellStart"/>
      <w:r w:rsidRPr="00E478A7">
        <w:rPr>
          <w:rFonts w:ascii="Arial" w:eastAsia="Times New Roman" w:hAnsi="Arial" w:cs="Arial"/>
          <w:bCs/>
          <w:sz w:val="28"/>
          <w:szCs w:val="28"/>
          <w:lang w:eastAsia="es-MX"/>
        </w:rPr>
        <w:t>esta</w:t>
      </w:r>
      <w:proofErr w:type="spellEnd"/>
      <w:r w:rsidRPr="00E478A7">
        <w:rPr>
          <w:rFonts w:ascii="Arial" w:eastAsia="Times New Roman" w:hAnsi="Arial" w:cs="Arial"/>
          <w:bCs/>
          <w:sz w:val="28"/>
          <w:szCs w:val="28"/>
          <w:lang w:eastAsia="es-MX"/>
        </w:rPr>
        <w:t xml:space="preserve"> encaminada a que esa autoridad informe si en la elección sucedieron hechos irregulares que impidieron el libre ejercicio del derecho político-electoral de votar y ser votado. </w:t>
      </w:r>
    </w:p>
    <w:p w14:paraId="320C0C3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33E846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Ahora bien, el Instituto Estatal Electoral, en ejercicio de las facultades que le concede la Constitución local y el Código Electoral, entre otros, tiene: a) Contribuir al desarrollo de la vida democrática; b) Asegurar a los ciudadanos del ejercicio de los derechos político-electorales, y c) Garantizar la celebración periódica y pacífica de las </w:t>
      </w:r>
      <w:r w:rsidRPr="00E478A7">
        <w:rPr>
          <w:rFonts w:ascii="Arial" w:eastAsia="Times New Roman" w:hAnsi="Arial" w:cs="Arial"/>
          <w:bCs/>
          <w:sz w:val="28"/>
          <w:szCs w:val="28"/>
          <w:lang w:eastAsia="es-MX"/>
        </w:rPr>
        <w:lastRenderedPageBreak/>
        <w:t>elecciones para renovar a los integrantes de los ayuntamientos, como se prescribe en el artículo 58, párrafo 1, incisos a), d) y e), del Código de Instituciones Políticas y Procedimientos Electorales de Oaxaca, por lo que pesa una mayor exigencia sobre ese órgano electoral y de esa manera, no es admisible actitud alguna que implique el desconocimiento o desatención al respeto de tales derechos.</w:t>
      </w:r>
    </w:p>
    <w:p w14:paraId="606A7A7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6FE954FD"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En el caso, el Instituto Estatal Electoral debió realizar una conciliación entre las partes en conflicto, y en caso de ser necesario efectuar consultas a la comunidad, porque entre sus atribuciones, tiene la de conocer y resolver los casos de controversias que surjan respecto de la renovación de ayuntamientos bajo las normas de derecho consuetudinario (en términos de lo preceptuado en el artículo 125 del código de la materia).</w:t>
      </w:r>
    </w:p>
    <w:p w14:paraId="656E505D"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40DF3B3"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Es decir, la mencionada autoridad electoral tuvo que haber dispuesto lo necesario, suficiente y razonable, a fin de que, de acuerdo con las tradiciones y prácticas democráticas de la comunidad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 se diera plena vigencia al derecho de votar  y ser votados de todos los ciudadanos que la integran.</w:t>
      </w:r>
    </w:p>
    <w:p w14:paraId="364AF3CB"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74777D72"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Así, resulta claro que el Consejo General del Instituto Estatal Electoral de Oaxaca debió hacer un uso pertinente y constante de las atribuciones que a su cargo prevén el artículo 125 del código electoral local y, atendiendo a las finalidades de que se establecen en el numeral 58 de ese mismo ordenamiento jurídico, por lo que tuvo que efectuar </w:t>
      </w:r>
      <w:r w:rsidRPr="00E478A7">
        <w:rPr>
          <w:rFonts w:ascii="Arial" w:eastAsia="Times New Roman" w:hAnsi="Arial" w:cs="Arial"/>
          <w:bCs/>
          <w:sz w:val="28"/>
          <w:szCs w:val="28"/>
          <w:lang w:eastAsia="es-MX"/>
        </w:rPr>
        <w:lastRenderedPageBreak/>
        <w:t xml:space="preserve">consultas en la comunidad, y en caso de ser necesario, convocar a las partes para alcanzar una conciliación entre los integrantes de las agencias municipales, núcleos y de la cabecera municipal y, en todo caso, si persistían los puntos de disenso entre los mismos, realizar </w:t>
      </w:r>
      <w:r w:rsidRPr="00E478A7">
        <w:rPr>
          <w:rFonts w:ascii="Arial" w:eastAsia="Times New Roman" w:hAnsi="Arial" w:cs="Arial"/>
          <w:b/>
          <w:bCs/>
          <w:sz w:val="28"/>
          <w:szCs w:val="28"/>
          <w:lang w:eastAsia="es-MX"/>
        </w:rPr>
        <w:t>una consulta a la comunidad</w:t>
      </w:r>
      <w:r w:rsidRPr="00E478A7">
        <w:rPr>
          <w:rFonts w:ascii="Arial" w:eastAsia="Times New Roman" w:hAnsi="Arial" w:cs="Arial"/>
          <w:bCs/>
          <w:sz w:val="28"/>
          <w:szCs w:val="28"/>
          <w:lang w:eastAsia="es-MX"/>
        </w:rPr>
        <w:t xml:space="preserve"> y, en su oportunidad, que el propio Consejo General resolviera lo conducente.</w:t>
      </w:r>
    </w:p>
    <w:p w14:paraId="2714824A"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8D71EBB" w14:textId="77777777" w:rsidR="00E478A7" w:rsidRPr="00E478A7" w:rsidRDefault="00E478A7" w:rsidP="00E478A7">
      <w:pPr>
        <w:tabs>
          <w:tab w:val="left" w:pos="6720"/>
        </w:tabs>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De ahí que, esta Sala Superior, de conformidad con lo dispuesto por el artículo 99, párrafo segundo, fracción V, de la Constitución Federal, debe reparar el orden constitucional violado en esos casos determinados y restituir a los </w:t>
      </w:r>
      <w:proofErr w:type="spellStart"/>
      <w:r w:rsidRPr="00E478A7">
        <w:rPr>
          <w:rFonts w:ascii="Arial" w:eastAsia="Times New Roman" w:hAnsi="Arial" w:cs="Arial"/>
          <w:bCs/>
          <w:sz w:val="28"/>
          <w:szCs w:val="28"/>
          <w:lang w:eastAsia="es-MX"/>
        </w:rPr>
        <w:t>promoventes</w:t>
      </w:r>
      <w:proofErr w:type="spellEnd"/>
      <w:r w:rsidRPr="00E478A7">
        <w:rPr>
          <w:rFonts w:ascii="Arial" w:eastAsia="Times New Roman" w:hAnsi="Arial" w:cs="Arial"/>
          <w:bCs/>
          <w:sz w:val="28"/>
          <w:szCs w:val="28"/>
          <w:lang w:eastAsia="es-MX"/>
        </w:rPr>
        <w:t xml:space="preserve"> en el uso y goce del derecho político-electoral violado, con independencia de los actos o resoluciones que se deban ordenar, modificar, revocar o dejar sin efectos, como consecuencia de la sentencia y en plenitud de jurisdicción a fin de garantizar, en términos de lo preceptuado en el artículo 4°, párrafo primero, y 17 de la propia Constitución Federal, a los integrantes de los pueblos indígenas “</w:t>
      </w:r>
      <w:r w:rsidRPr="00E478A7">
        <w:rPr>
          <w:rFonts w:ascii="Arial" w:eastAsia="Times New Roman" w:hAnsi="Arial" w:cs="Arial"/>
          <w:b/>
          <w:bCs/>
          <w:sz w:val="28"/>
          <w:szCs w:val="28"/>
          <w:lang w:eastAsia="es-MX"/>
        </w:rPr>
        <w:t>el efectivo acceso a la jurisdicción del Estado</w:t>
      </w:r>
      <w:r w:rsidRPr="00E478A7">
        <w:rPr>
          <w:rFonts w:ascii="Arial" w:eastAsia="Times New Roman" w:hAnsi="Arial" w:cs="Arial"/>
          <w:bCs/>
          <w:sz w:val="28"/>
          <w:szCs w:val="28"/>
          <w:lang w:eastAsia="es-MX"/>
        </w:rPr>
        <w:t>”.</w:t>
      </w:r>
    </w:p>
    <w:p w14:paraId="4FC2E192" w14:textId="77777777" w:rsidR="00E478A7" w:rsidRPr="00E478A7" w:rsidRDefault="00E478A7" w:rsidP="00E478A7">
      <w:pPr>
        <w:spacing w:after="0" w:line="360" w:lineRule="auto"/>
        <w:ind w:firstLine="708"/>
        <w:jc w:val="both"/>
        <w:rPr>
          <w:rFonts w:ascii="Arial" w:eastAsia="Times New Roman" w:hAnsi="Arial" w:cs="Arial"/>
          <w:bCs/>
          <w:sz w:val="28"/>
          <w:szCs w:val="28"/>
          <w:highlight w:val="cyan"/>
          <w:lang w:eastAsia="es-MX"/>
        </w:rPr>
      </w:pPr>
    </w:p>
    <w:p w14:paraId="02547EA0"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No es obstáculo para analizar la constitucionalidad y legalidad del Decreto número 7, publicado en el Periódico Oficial, Órgano del Gobierno del Estado Libre y Soberano de Oaxaca,  únicamente en lo que corresponde a la elección de ayuntamiento en el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provenga de un Congreso Estatal, porque si este medio está dirigido a permitir el control de la constitucionalidad de actos y resoluciones que violen los derechos político-electorales del ciudadano, cabe tener en cuenta, que ni en la Constitución Federal –artículo 99, párrafo cuarto, fracción I–, </w:t>
      </w:r>
      <w:r w:rsidRPr="00E478A7">
        <w:rPr>
          <w:rFonts w:ascii="Arial" w:eastAsia="Times New Roman" w:hAnsi="Arial" w:cs="Arial"/>
          <w:bCs/>
          <w:sz w:val="28"/>
          <w:szCs w:val="28"/>
          <w:lang w:eastAsia="es-MX"/>
        </w:rPr>
        <w:lastRenderedPageBreak/>
        <w:t>como tampoco en la Ley General del Sistema de Medios de Impugnación en Materia Electoral, se establece que estén excluidos los actos de esos órganos legislativos, máxime si, como ocurre en este caso, esos actos no tienen el alcance de una ley –abstracción, heteronomía, generalidad e impersonalidad–. Es decir, no cabe admitir que esos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w:t>
      </w:r>
      <w:r w:rsidRPr="00E478A7">
        <w:rPr>
          <w:rFonts w:ascii="Arial" w:eastAsia="Times New Roman" w:hAnsi="Arial" w:cs="Arial"/>
          <w:bCs/>
          <w:i/>
          <w:sz w:val="28"/>
          <w:szCs w:val="28"/>
          <w:lang w:eastAsia="es-MX"/>
        </w:rPr>
        <w:t>actos y resoluciones que violen los derechos político-electorales de los ciudadanos de votar, ser votado y de afiliación</w:t>
      </w:r>
      <w:r w:rsidRPr="00E478A7">
        <w:rPr>
          <w:rFonts w:ascii="Arial" w:eastAsia="Times New Roman" w:hAnsi="Arial" w:cs="Arial"/>
          <w:bCs/>
          <w:sz w:val="28"/>
          <w:szCs w:val="28"/>
          <w:lang w:eastAsia="es-MX"/>
        </w:rPr>
        <w:t>…”, sin que se establezca una particular naturaleza del órgano del que provengan.</w:t>
      </w:r>
    </w:p>
    <w:p w14:paraId="7E8A78C4"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214803B3"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Por tanto, se debe entender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62C2A43F"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6023E3E5"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lastRenderedPageBreak/>
        <w:t xml:space="preserve">De ese modo, en términos de lo dispuesto en los artículos 99, fracción V, de la Constitución Federal, así como 84, párrafo 1, inciso b), in fine, de la Ley General del Sistema de Medios de Impugnación en Materia Electoral, esta Sala Superior considera que se debe disponer en este juicio lo necesario para restituir a los </w:t>
      </w:r>
      <w:proofErr w:type="spellStart"/>
      <w:r w:rsidRPr="00E478A7">
        <w:rPr>
          <w:rFonts w:ascii="Arial" w:eastAsia="Times New Roman" w:hAnsi="Arial" w:cs="Arial"/>
          <w:bCs/>
          <w:sz w:val="28"/>
          <w:szCs w:val="28"/>
          <w:lang w:eastAsia="es-MX"/>
        </w:rPr>
        <w:t>promoventes</w:t>
      </w:r>
      <w:proofErr w:type="spellEnd"/>
      <w:r w:rsidRPr="00E478A7">
        <w:rPr>
          <w:rFonts w:ascii="Arial" w:eastAsia="Times New Roman" w:hAnsi="Arial" w:cs="Arial"/>
          <w:bCs/>
          <w:sz w:val="28"/>
          <w:szCs w:val="28"/>
          <w:lang w:eastAsia="es-MX"/>
        </w:rPr>
        <w:t xml:space="preserve"> en el uso y goce del derecho político-electoral que le haya sido violado, por lo que </w:t>
      </w:r>
      <w:proofErr w:type="spellStart"/>
      <w:r w:rsidRPr="00E478A7">
        <w:rPr>
          <w:rFonts w:ascii="Arial" w:eastAsia="Times New Roman" w:hAnsi="Arial" w:cs="Arial"/>
          <w:bCs/>
          <w:sz w:val="28"/>
          <w:szCs w:val="28"/>
          <w:lang w:eastAsia="es-MX"/>
        </w:rPr>
        <w:t>si</w:t>
      </w:r>
      <w:proofErr w:type="spellEnd"/>
      <w:r w:rsidRPr="00E478A7">
        <w:rPr>
          <w:rFonts w:ascii="Arial" w:eastAsia="Times New Roman" w:hAnsi="Arial" w:cs="Arial"/>
          <w:bCs/>
          <w:sz w:val="28"/>
          <w:szCs w:val="28"/>
          <w:lang w:eastAsia="es-MX"/>
        </w:rPr>
        <w:t xml:space="preserve">, en el caso, el Colegio Electoral del Estado de Oaxaca emitió determinación de validez, sin verificar que el Instituto Estatal Electoral haya celebrado las respectivas etapas, y que los ciudadanos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hubiesen ejercido su derecho constitucional al voto y ser votados, es inconcuso que al asistirles la razón a los ahora </w:t>
      </w:r>
      <w:proofErr w:type="spellStart"/>
      <w:r w:rsidRPr="00E478A7">
        <w:rPr>
          <w:rFonts w:ascii="Arial" w:eastAsia="Times New Roman" w:hAnsi="Arial" w:cs="Arial"/>
          <w:bCs/>
          <w:sz w:val="28"/>
          <w:szCs w:val="28"/>
          <w:lang w:eastAsia="es-MX"/>
        </w:rPr>
        <w:t>incoantes</w:t>
      </w:r>
      <w:proofErr w:type="spellEnd"/>
      <w:r w:rsidRPr="00E478A7">
        <w:rPr>
          <w:rFonts w:ascii="Arial" w:eastAsia="Times New Roman" w:hAnsi="Arial" w:cs="Arial"/>
          <w:bCs/>
          <w:sz w:val="28"/>
          <w:szCs w:val="28"/>
          <w:lang w:eastAsia="es-MX"/>
        </w:rPr>
        <w:t>, esta Sala, en ejercicio de sus atribuciones, debe proveer lo necesario a efecto de reparar esa violación.</w:t>
      </w:r>
    </w:p>
    <w:p w14:paraId="5BEAAE5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552E495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En razón de lo anterior, este órgano jurisdiccional estima que debe quedar sin efecto, tanto el Decreto número siete, del Congreso del Estado Libre y Soberano de Oaxaca, publicado el quince de diciembre, en el Periódico Oficial del Estado de Oaxaca, como </w:t>
      </w:r>
      <w:r w:rsidRPr="00E478A7">
        <w:rPr>
          <w:rFonts w:ascii="Arial" w:eastAsia="Times New Roman" w:hAnsi="Arial" w:cs="Arial"/>
          <w:sz w:val="28"/>
          <w:szCs w:val="28"/>
          <w:lang w:eastAsia="es-MX"/>
        </w:rPr>
        <w:t>el acuerdo de fecha veintinueve de noviembre de dos mil siete, emitido por el Consejo General del Instituto Estatal Electoral del Estado de Oaxaca</w:t>
      </w:r>
      <w:r w:rsidRPr="00E478A7">
        <w:rPr>
          <w:rFonts w:ascii="Arial" w:eastAsia="Times New Roman" w:hAnsi="Arial" w:cs="Arial"/>
          <w:bCs/>
          <w:sz w:val="28"/>
          <w:szCs w:val="28"/>
          <w:lang w:eastAsia="es-MX"/>
        </w:rPr>
        <w:t>, por lo que se refiere al citado municipio.</w:t>
      </w:r>
    </w:p>
    <w:p w14:paraId="6BC1833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79D40702"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Por tanto, se debe ordenar al Consejo General del Instituto Estatal Electoral que, en términos de lo previsto en los artículos 16, párrafo segundo; 25, párrafo décimo quinto y 29, párrafo segundo, de la Constitución Política del Estado Libre y Soberano de Oaxaca, y 18, 22, 23, 24, párrafo 1, 109, 115, 120, 121, y 125 del Código de Instituciones </w:t>
      </w:r>
      <w:r w:rsidRPr="00E478A7">
        <w:rPr>
          <w:rFonts w:ascii="Arial" w:eastAsia="Times New Roman" w:hAnsi="Arial" w:cs="Arial"/>
          <w:bCs/>
          <w:sz w:val="28"/>
          <w:szCs w:val="28"/>
          <w:lang w:eastAsia="es-MX"/>
        </w:rPr>
        <w:lastRenderedPageBreak/>
        <w:t xml:space="preserve">Políticas y Procedimientos Electorales de Oaxaca, disponga lo necesario, suficiente y razonable para que, mediante la conciliación pertinente, consultas requeridas y resoluciones correspondientes, se realicen elecciones extraordinarias de concejales en el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w:t>
      </w:r>
    </w:p>
    <w:p w14:paraId="561DC7B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4F84B324"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En ese orden, con fundamento en lo dispuesto en el artículo 22 del código electoral local, se debe conceder un plazo de </w:t>
      </w:r>
      <w:r w:rsidRPr="00E478A7">
        <w:rPr>
          <w:rFonts w:ascii="Arial" w:eastAsia="Times New Roman" w:hAnsi="Arial" w:cs="Arial"/>
          <w:b/>
          <w:bCs/>
          <w:sz w:val="28"/>
          <w:szCs w:val="28"/>
          <w:lang w:eastAsia="es-MX"/>
        </w:rPr>
        <w:t>sesenta días</w:t>
      </w:r>
      <w:r w:rsidRPr="00E478A7">
        <w:rPr>
          <w:rFonts w:ascii="Arial" w:eastAsia="Times New Roman" w:hAnsi="Arial" w:cs="Arial"/>
          <w:bCs/>
          <w:sz w:val="28"/>
          <w:szCs w:val="28"/>
          <w:lang w:eastAsia="es-MX"/>
        </w:rPr>
        <w:t xml:space="preserve"> contados desde la notificación de esta sentencia, para que el Instituto Estatal Electoral de Oaxaca dé cumplimiento a lo que aquí se resuelve, debiendo remitir en el orden en que se desahoguen las distintas etapas del procedimiento de elección para concejales en el citado municipio, copia certificada de las constancias o actuaciones que demuestren el cumplimiento que dé a la ejecutoria, así como cada uno de los actos que se desplieguen para lograrlo.</w:t>
      </w:r>
    </w:p>
    <w:p w14:paraId="30D9543B"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1C812158"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Lo expuesto sin perjuicio de que el Congreso del Estado de Oaxaca, ejerza  la facultad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20E8F28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23AC07EC"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Dado el sentido de esta ejecutoria, deviene innecesario el examen de los restantes motivos de inconformidad que exponen los </w:t>
      </w:r>
      <w:proofErr w:type="spellStart"/>
      <w:r w:rsidRPr="00E478A7">
        <w:rPr>
          <w:rFonts w:ascii="Arial" w:eastAsia="Times New Roman" w:hAnsi="Arial" w:cs="Arial"/>
          <w:bCs/>
          <w:sz w:val="28"/>
          <w:szCs w:val="28"/>
          <w:lang w:eastAsia="es-MX"/>
        </w:rPr>
        <w:t>enjuiciantes</w:t>
      </w:r>
      <w:proofErr w:type="spellEnd"/>
      <w:r w:rsidRPr="00E478A7">
        <w:rPr>
          <w:rFonts w:ascii="Arial" w:eastAsia="Times New Roman" w:hAnsi="Arial" w:cs="Arial"/>
          <w:bCs/>
          <w:sz w:val="28"/>
          <w:szCs w:val="28"/>
          <w:lang w:eastAsia="es-MX"/>
        </w:rPr>
        <w:t>.</w:t>
      </w:r>
    </w:p>
    <w:p w14:paraId="19B8A009"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 </w:t>
      </w:r>
    </w:p>
    <w:p w14:paraId="5AE02EB1"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lastRenderedPageBreak/>
        <w:t xml:space="preserve">En mérito de lo anterior, al haberse promovido este medio de impugnación por mil sesenta y ocho personas, se hace necesario, por razones de economía procesal, que este órgano jurisdiccional federal, con fundamento en lo dispuesto en el artículo 26, párrafo tercero, en relación con el diverso 2, ambos de la Ley General del Sistema de Medios de Impugnación en Materia Electoral, designe entre las personas que comparecen a juicio a un representante común a efecto de que les sea notificada, en forma personal, la determinación anteriormente alcanzada, recayendo ese nombramiento en la ciudadana </w:t>
      </w:r>
      <w:proofErr w:type="spellStart"/>
      <w:r w:rsidRPr="00E478A7">
        <w:rPr>
          <w:rFonts w:ascii="Arial" w:eastAsia="Times New Roman" w:hAnsi="Arial" w:cs="Arial"/>
          <w:bCs/>
          <w:sz w:val="28"/>
          <w:szCs w:val="28"/>
          <w:lang w:eastAsia="es-MX"/>
        </w:rPr>
        <w:t>Epifania</w:t>
      </w:r>
      <w:proofErr w:type="spellEnd"/>
      <w:r w:rsidRPr="00E478A7">
        <w:rPr>
          <w:rFonts w:ascii="Arial" w:eastAsia="Times New Roman" w:hAnsi="Arial" w:cs="Arial"/>
          <w:bCs/>
          <w:sz w:val="28"/>
          <w:szCs w:val="28"/>
          <w:lang w:eastAsia="es-MX"/>
        </w:rPr>
        <w:t xml:space="preserve"> Quiroga Palacios, por ser quien aparece en primer lugar en el escrito de demanda.</w:t>
      </w:r>
    </w:p>
    <w:p w14:paraId="656C29B2"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01887300"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SEXTO. Imposición de Sanción al Instituto Estatal Electoral de Oaxaca. </w:t>
      </w:r>
      <w:r w:rsidRPr="00E478A7">
        <w:rPr>
          <w:rFonts w:ascii="Arial" w:eastAsia="Times New Roman" w:hAnsi="Arial" w:cs="Arial"/>
          <w:bCs/>
          <w:sz w:val="28"/>
          <w:szCs w:val="28"/>
          <w:lang w:eastAsia="es-MX"/>
        </w:rPr>
        <w:t>El sentido de esta determinación no impide que esta Sala Superior ejerza la potestad que le confiere el artículo 32, párrafo 1, de la Ley del Sistema de Medios de Impugnación en Materia Electoral.</w:t>
      </w:r>
    </w:p>
    <w:p w14:paraId="6AB0789A"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0F0F8F3B"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Del análisis precedente se advierte que, en efecto, el Instituto Estatal Electoral al conocer la controversia suscitada con motivo de la renovación de integrantes del ayuntamiento bajo las normas de Derecho Consuetudinario del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 infringió las formalidades esenciales a que estaba obligado, de acuerdo a las atribuciones que le corresponden, por razón de su competencia.</w:t>
      </w:r>
    </w:p>
    <w:p w14:paraId="62F67CDC"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2520E721"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Es así, porque no proveyó lo necesario ni se condujo de tal manera que propiciara verdaderamente una conciliación entre los </w:t>
      </w:r>
      <w:r w:rsidRPr="00E478A7">
        <w:rPr>
          <w:rFonts w:ascii="Arial" w:eastAsia="Times New Roman" w:hAnsi="Arial" w:cs="Arial"/>
          <w:bCs/>
          <w:sz w:val="28"/>
          <w:szCs w:val="28"/>
          <w:lang w:eastAsia="es-MX"/>
        </w:rPr>
        <w:lastRenderedPageBreak/>
        <w:t>habitantes del municipio, ni menos aún, procedió a realizar la consulta a la comunidad en los términos del artículo 125 del Código de Instituciones Políticas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7A4FA358"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5C3A5650"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Conforme al precepto legal citado, tal órgano electoral administrativo debió realizar actos tendientes a alcanzar un arreglo conciliatorio, sin embargo, no lo hizo así, a pesar de que el presidente municipal y otros regidores del Ayuntamiento, mediante escritos presentados en diversas fechas, manifestaron al Presidente del Instituto Estatal Electoral de Oaxaca, el día de la asamblea comunitaria sucedieron diversas irregularidades. </w:t>
      </w:r>
    </w:p>
    <w:p w14:paraId="450E11E8"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47D1B8C3"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Esta Sala Superior ha determinado que para cumplir el mandamiento atinente, el Instituto Estatal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53A9F59E"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3A409400"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El imperativo precisado con anterioridad, se ha estimado inexcusable para la autoridad electoral a efecto de alcanzar los </w:t>
      </w:r>
      <w:r w:rsidRPr="00E478A7">
        <w:rPr>
          <w:rFonts w:ascii="Arial" w:eastAsia="Times New Roman" w:hAnsi="Arial" w:cs="Arial"/>
          <w:bCs/>
          <w:sz w:val="28"/>
          <w:szCs w:val="28"/>
          <w:lang w:eastAsia="es-MX"/>
        </w:rPr>
        <w:lastRenderedPageBreak/>
        <w:t>principios de objetividad, certeza, legalidad y profesionalismo en la materia electoral, motivo por el cual, es una obligación instrumental ineludible, dirigida a proteger y promover el uso y desarrollo de los usos y costumbres, así como las formas específicas de la organización de esos grupos o comunidades.</w:t>
      </w:r>
    </w:p>
    <w:p w14:paraId="5A7AA987"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p>
    <w:p w14:paraId="2EC67E9B"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 primero, bases A y C, de la Constitución Política del Estado de Oaxaca, estaba indudablemente obligado a proveer lo necesario para su consecución.</w:t>
      </w:r>
    </w:p>
    <w:p w14:paraId="0FF3BCA1"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p>
    <w:p w14:paraId="1498286F"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Lo anterior se sustenta en la tesis de jurisprudencia S3ELJ 143/2002, emitida por esta Sala Superior, publicada en las páginas novecientas cincuenta siete a novecientas cincuenta y nueve de la Compilación Oficial Jurisprudencia y Tesis Relevantes 1997-2005, volumen “Jurisprudencia”, que literalmente señala:</w:t>
      </w:r>
    </w:p>
    <w:p w14:paraId="2C53E9CA"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2A3CBE74" w14:textId="77777777" w:rsidR="00E478A7" w:rsidRPr="00E478A7" w:rsidRDefault="00E478A7" w:rsidP="00E478A7">
      <w:pPr>
        <w:spacing w:after="0" w:line="240" w:lineRule="auto"/>
        <w:ind w:left="567" w:right="567" w:firstLine="709"/>
        <w:jc w:val="both"/>
        <w:rPr>
          <w:rFonts w:ascii="Arial" w:eastAsia="Times New Roman" w:hAnsi="Arial" w:cs="Arial"/>
          <w:bCs/>
          <w:sz w:val="24"/>
          <w:szCs w:val="24"/>
          <w:lang w:eastAsia="es-MX"/>
        </w:rPr>
      </w:pPr>
      <w:r w:rsidRPr="00E478A7">
        <w:rPr>
          <w:rFonts w:ascii="Arial" w:eastAsia="Times New Roman" w:hAnsi="Arial" w:cs="Arial"/>
          <w:b/>
          <w:bCs/>
          <w:sz w:val="24"/>
          <w:szCs w:val="24"/>
          <w:lang w:eastAsia="es-MX"/>
        </w:rPr>
        <w:t xml:space="preserve">USOS Y COSTUMBRES INDÍGENAS. ATRIBUCIONES DEL CONSEJO GENERAL DEL INSTITUTO ESTATAL ELECTORAL DE OAXACA EN LAS ELECCIONES. </w:t>
      </w:r>
      <w:r w:rsidRPr="00E478A7">
        <w:rPr>
          <w:rFonts w:ascii="Arial" w:eastAsia="Times New Roman" w:hAnsi="Arial" w:cs="Arial"/>
          <w:bCs/>
          <w:sz w:val="24"/>
          <w:szCs w:val="24"/>
          <w:lang w:eastAsia="es-MX"/>
        </w:rPr>
        <w:t xml:space="preserve">De acuerdo con lo dispuesto en los artículos 22, 23 y 125 del Código de Instituciones Políticas y Procedimientos Electorales de Oaxaca, el Instituto Estatal Electoral, cuando se declaren nulas las elecciones de ayuntamientos, debe sujetar las elecciones extraordinarias que celebre a lo dispuesto en el propio código electoral local, así como a lo que el mismo instituto disponga en </w:t>
      </w:r>
      <w:r w:rsidRPr="00E478A7">
        <w:rPr>
          <w:rFonts w:ascii="Arial" w:eastAsia="Times New Roman" w:hAnsi="Arial" w:cs="Arial"/>
          <w:bCs/>
          <w:sz w:val="24"/>
          <w:szCs w:val="24"/>
          <w:lang w:eastAsia="es-MX"/>
        </w:rPr>
        <w:lastRenderedPageBreak/>
        <w:t xml:space="preserve">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w:t>
      </w:r>
      <w:proofErr w:type="spellStart"/>
      <w:r w:rsidRPr="00E478A7">
        <w:rPr>
          <w:rFonts w:ascii="Arial" w:eastAsia="Times New Roman" w:hAnsi="Arial" w:cs="Arial"/>
          <w:bCs/>
          <w:sz w:val="24"/>
          <w:szCs w:val="24"/>
          <w:lang w:eastAsia="es-MX"/>
        </w:rPr>
        <w:t>autocompositivos</w:t>
      </w:r>
      <w:proofErr w:type="spellEnd"/>
      <w:r w:rsidRPr="00E478A7">
        <w:rPr>
          <w:rFonts w:ascii="Arial" w:eastAsia="Times New Roman" w:hAnsi="Arial" w:cs="Arial"/>
          <w:bCs/>
          <w:sz w:val="24"/>
          <w:szCs w:val="24"/>
          <w:lang w:eastAsia="es-MX"/>
        </w:rPr>
        <w:t xml:space="preserve"> se acuda al expediente </w:t>
      </w:r>
      <w:proofErr w:type="spellStart"/>
      <w:r w:rsidRPr="00E478A7">
        <w:rPr>
          <w:rFonts w:ascii="Arial" w:eastAsia="Times New Roman" w:hAnsi="Arial" w:cs="Arial"/>
          <w:bCs/>
          <w:sz w:val="24"/>
          <w:szCs w:val="24"/>
          <w:lang w:eastAsia="es-MX"/>
        </w:rPr>
        <w:t>heterocompositivo</w:t>
      </w:r>
      <w:proofErr w:type="spellEnd"/>
      <w:r w:rsidRPr="00E478A7">
        <w:rPr>
          <w:rFonts w:ascii="Arial" w:eastAsia="Times New Roman" w:hAnsi="Arial" w:cs="Arial"/>
          <w:bCs/>
          <w:sz w:val="24"/>
          <w:szCs w:val="24"/>
          <w:lang w:eastAsia="es-MX"/>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w:t>
      </w:r>
      <w:r w:rsidRPr="00E478A7">
        <w:rPr>
          <w:rFonts w:ascii="Arial" w:eastAsia="Times New Roman" w:hAnsi="Arial" w:cs="Arial"/>
          <w:bCs/>
          <w:sz w:val="24"/>
          <w:szCs w:val="24"/>
          <w:lang w:eastAsia="es-MX"/>
        </w:rPr>
        <w:lastRenderedPageBreak/>
        <w:t>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77633A55" w14:textId="77777777" w:rsidR="00E478A7" w:rsidRPr="00E478A7" w:rsidRDefault="00E478A7" w:rsidP="00E478A7">
      <w:pPr>
        <w:spacing w:after="0" w:line="240" w:lineRule="auto"/>
        <w:ind w:left="567" w:right="567" w:firstLine="709"/>
        <w:jc w:val="both"/>
        <w:rPr>
          <w:rFonts w:ascii="Arial" w:eastAsia="Times New Roman" w:hAnsi="Arial" w:cs="Arial"/>
          <w:bCs/>
          <w:sz w:val="28"/>
          <w:szCs w:val="28"/>
          <w:lang w:eastAsia="es-MX"/>
        </w:rPr>
      </w:pPr>
    </w:p>
    <w:p w14:paraId="34C1D90C" w14:textId="77777777" w:rsidR="00E478A7" w:rsidRPr="00E478A7" w:rsidRDefault="00E478A7" w:rsidP="00E478A7">
      <w:pPr>
        <w:spacing w:after="0" w:line="360" w:lineRule="auto"/>
        <w:ind w:firstLine="709"/>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En consecuencia, con el fin de evitar la repetición del mencionado proceder </w:t>
      </w:r>
      <w:proofErr w:type="spellStart"/>
      <w:r w:rsidRPr="00E478A7">
        <w:rPr>
          <w:rFonts w:ascii="Arial" w:eastAsia="Times New Roman" w:hAnsi="Arial" w:cs="Arial"/>
          <w:bCs/>
          <w:sz w:val="28"/>
          <w:szCs w:val="28"/>
          <w:lang w:eastAsia="es-MX"/>
        </w:rPr>
        <w:t>omisivo</w:t>
      </w:r>
      <w:proofErr w:type="spellEnd"/>
      <w:r w:rsidRPr="00E478A7">
        <w:rPr>
          <w:rFonts w:ascii="Arial" w:eastAsia="Times New Roman" w:hAnsi="Arial" w:cs="Arial"/>
          <w:bCs/>
          <w:sz w:val="28"/>
          <w:szCs w:val="28"/>
          <w:lang w:eastAsia="es-MX"/>
        </w:rPr>
        <w:t xml:space="preserve">, que atenta contra la adecuada defensa y salvaguarda de los derechos de los grupos y comunidades afectos al régimen de derecho consuetudinario (usos y costumbres) </w:t>
      </w:r>
      <w:r w:rsidRPr="00E478A7">
        <w:rPr>
          <w:rFonts w:ascii="Arial" w:eastAsia="Times New Roman" w:hAnsi="Arial" w:cs="Arial"/>
          <w:b/>
          <w:bCs/>
          <w:sz w:val="28"/>
          <w:szCs w:val="28"/>
          <w:lang w:eastAsia="es-MX"/>
        </w:rPr>
        <w:t>se hace una amonestación a la citada autoridad</w:t>
      </w:r>
      <w:r w:rsidRPr="00E478A7">
        <w:rPr>
          <w:rFonts w:ascii="Arial" w:eastAsia="Times New Roman" w:hAnsi="Arial" w:cs="Arial"/>
          <w:bCs/>
          <w:sz w:val="28"/>
          <w:szCs w:val="28"/>
          <w:lang w:eastAsia="es-MX"/>
        </w:rPr>
        <w:t xml:space="preserve"> para que en lo sucesivo, actúe con celeridad y tenacidad, a efecto de que se desahogue oportunamente la etapa conciliatoria a que se refiere el artículo 125 el Código de Instituciones Políticas y Procedimientos Electorales de Oaxaca.</w:t>
      </w:r>
    </w:p>
    <w:p w14:paraId="0BB0791B"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p>
    <w:p w14:paraId="0C22A8D3"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Cs/>
          <w:sz w:val="28"/>
          <w:szCs w:val="28"/>
          <w:lang w:eastAsia="es-MX"/>
        </w:rPr>
        <w:t xml:space="preserve">Por lo anteriormente expuesto y fundado se </w:t>
      </w:r>
    </w:p>
    <w:p w14:paraId="28B359FB"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p>
    <w:p w14:paraId="038FB5EC" w14:textId="77777777" w:rsidR="00E478A7" w:rsidRPr="00E478A7" w:rsidRDefault="00E478A7" w:rsidP="00E478A7">
      <w:pPr>
        <w:spacing w:after="0" w:line="360" w:lineRule="auto"/>
        <w:ind w:firstLine="708"/>
        <w:jc w:val="center"/>
        <w:rPr>
          <w:rFonts w:ascii="Arial" w:eastAsia="Times New Roman" w:hAnsi="Arial" w:cs="Arial"/>
          <w:b/>
          <w:bCs/>
          <w:sz w:val="28"/>
          <w:szCs w:val="28"/>
          <w:lang w:eastAsia="es-MX"/>
        </w:rPr>
      </w:pPr>
      <w:r w:rsidRPr="00E478A7">
        <w:rPr>
          <w:rFonts w:ascii="Arial" w:eastAsia="Times New Roman" w:hAnsi="Arial" w:cs="Arial"/>
          <w:b/>
          <w:bCs/>
          <w:sz w:val="28"/>
          <w:szCs w:val="28"/>
          <w:lang w:eastAsia="es-MX"/>
        </w:rPr>
        <w:t>R E S U E L V E</w:t>
      </w:r>
    </w:p>
    <w:p w14:paraId="3B42DA01" w14:textId="77777777" w:rsidR="00E478A7" w:rsidRPr="00E478A7" w:rsidRDefault="00E478A7" w:rsidP="00E478A7">
      <w:pPr>
        <w:spacing w:after="0" w:line="360" w:lineRule="auto"/>
        <w:ind w:firstLine="708"/>
        <w:jc w:val="both"/>
        <w:rPr>
          <w:rFonts w:ascii="Arial" w:eastAsia="Times New Roman" w:hAnsi="Arial" w:cs="Arial"/>
          <w:b/>
          <w:bCs/>
          <w:sz w:val="16"/>
          <w:szCs w:val="16"/>
          <w:lang w:eastAsia="es-MX"/>
        </w:rPr>
      </w:pPr>
      <w:r w:rsidRPr="00E478A7">
        <w:rPr>
          <w:rFonts w:ascii="Arial" w:eastAsia="Times New Roman" w:hAnsi="Arial" w:cs="Arial"/>
          <w:b/>
          <w:bCs/>
          <w:sz w:val="28"/>
          <w:szCs w:val="28"/>
          <w:lang w:eastAsia="es-MX"/>
        </w:rPr>
        <w:tab/>
      </w:r>
    </w:p>
    <w:p w14:paraId="0EB225D8"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lastRenderedPageBreak/>
        <w:t xml:space="preserve">PRIMERO. </w:t>
      </w:r>
      <w:r w:rsidRPr="00E478A7">
        <w:rPr>
          <w:rFonts w:ascii="Arial" w:eastAsia="Times New Roman" w:hAnsi="Arial" w:cs="Arial"/>
          <w:bCs/>
          <w:sz w:val="28"/>
          <w:szCs w:val="28"/>
          <w:lang w:eastAsia="es-MX"/>
        </w:rPr>
        <w:t xml:space="preserve">Se sobresee en el juicio por lo que hace a Ofelia Ortega Flores, Fernando Palacios </w:t>
      </w:r>
      <w:proofErr w:type="spellStart"/>
      <w:r w:rsidRPr="00E478A7">
        <w:rPr>
          <w:rFonts w:ascii="Arial" w:eastAsia="Times New Roman" w:hAnsi="Arial" w:cs="Arial"/>
          <w:bCs/>
          <w:sz w:val="28"/>
          <w:szCs w:val="28"/>
          <w:lang w:eastAsia="es-MX"/>
        </w:rPr>
        <w:t>Cházares</w:t>
      </w:r>
      <w:proofErr w:type="spellEnd"/>
      <w:r w:rsidRPr="00E478A7">
        <w:rPr>
          <w:rFonts w:ascii="Arial" w:eastAsia="Times New Roman" w:hAnsi="Arial" w:cs="Arial"/>
          <w:bCs/>
          <w:sz w:val="28"/>
          <w:szCs w:val="28"/>
          <w:lang w:eastAsia="es-MX"/>
        </w:rPr>
        <w:t xml:space="preserve">, Felipe Palacios </w:t>
      </w:r>
      <w:proofErr w:type="spellStart"/>
      <w:r w:rsidRPr="00E478A7">
        <w:rPr>
          <w:rFonts w:ascii="Arial" w:eastAsia="Times New Roman" w:hAnsi="Arial" w:cs="Arial"/>
          <w:bCs/>
          <w:sz w:val="28"/>
          <w:szCs w:val="28"/>
          <w:lang w:eastAsia="es-MX"/>
        </w:rPr>
        <w:t>Cházares</w:t>
      </w:r>
      <w:proofErr w:type="spellEnd"/>
      <w:r w:rsidRPr="00E478A7">
        <w:rPr>
          <w:rFonts w:ascii="Arial" w:eastAsia="Times New Roman" w:hAnsi="Arial" w:cs="Arial"/>
          <w:bCs/>
          <w:sz w:val="28"/>
          <w:szCs w:val="28"/>
          <w:lang w:eastAsia="es-MX"/>
        </w:rPr>
        <w:t xml:space="preserve">, Ignacio Palacios García, Francisca Carrera Barbosa,  Javier Carrera Álvarez,  Elvira Varela Zárate,  Moisés Romero Estrada,  José Cortés, José Gómez Pérez y  Catarina </w:t>
      </w:r>
      <w:proofErr w:type="spellStart"/>
      <w:r w:rsidRPr="00E478A7">
        <w:rPr>
          <w:rFonts w:ascii="Arial" w:eastAsia="Times New Roman" w:hAnsi="Arial" w:cs="Arial"/>
          <w:bCs/>
          <w:sz w:val="28"/>
          <w:szCs w:val="28"/>
          <w:lang w:eastAsia="es-MX"/>
        </w:rPr>
        <w:t>Cházares</w:t>
      </w:r>
      <w:proofErr w:type="spellEnd"/>
      <w:r w:rsidRPr="00E478A7">
        <w:rPr>
          <w:rFonts w:ascii="Arial" w:eastAsia="Times New Roman" w:hAnsi="Arial" w:cs="Arial"/>
          <w:bCs/>
          <w:sz w:val="28"/>
          <w:szCs w:val="28"/>
          <w:lang w:eastAsia="es-MX"/>
        </w:rPr>
        <w:t xml:space="preserve"> </w:t>
      </w:r>
      <w:proofErr w:type="spellStart"/>
      <w:r w:rsidRPr="00E478A7">
        <w:rPr>
          <w:rFonts w:ascii="Arial" w:eastAsia="Times New Roman" w:hAnsi="Arial" w:cs="Arial"/>
          <w:bCs/>
          <w:sz w:val="28"/>
          <w:szCs w:val="28"/>
          <w:lang w:eastAsia="es-MX"/>
        </w:rPr>
        <w:t>Cabanzo</w:t>
      </w:r>
      <w:proofErr w:type="spellEnd"/>
      <w:r w:rsidRPr="00E478A7">
        <w:rPr>
          <w:rFonts w:ascii="Arial" w:eastAsia="Times New Roman" w:hAnsi="Arial" w:cs="Arial"/>
          <w:bCs/>
          <w:sz w:val="28"/>
          <w:szCs w:val="28"/>
          <w:lang w:eastAsia="es-MX"/>
        </w:rPr>
        <w:t>, en términos del considerando segundo de esta ejecutoria.</w:t>
      </w:r>
    </w:p>
    <w:p w14:paraId="63627BE6"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r w:rsidRPr="00E478A7">
        <w:rPr>
          <w:rFonts w:ascii="Arial" w:eastAsia="Times New Roman" w:hAnsi="Arial" w:cs="Arial"/>
          <w:b/>
          <w:bCs/>
          <w:sz w:val="28"/>
          <w:szCs w:val="28"/>
          <w:lang w:eastAsia="es-MX"/>
        </w:rPr>
        <w:t xml:space="preserve">  </w:t>
      </w:r>
    </w:p>
    <w:p w14:paraId="54381BBE"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SEGUNDO. </w:t>
      </w:r>
      <w:r w:rsidRPr="00E478A7">
        <w:rPr>
          <w:rFonts w:ascii="Arial" w:eastAsia="Times New Roman" w:hAnsi="Arial" w:cs="Arial"/>
          <w:bCs/>
          <w:sz w:val="28"/>
          <w:szCs w:val="28"/>
          <w:lang w:eastAsia="es-MX"/>
        </w:rPr>
        <w:t xml:space="preserve">Queda sin efecto, tanto el Decreto número siete del Honorable Congreso del Estado Libre y Soberano de Oaxaca, publicado el quince de diciembre de dos mil siete, en el Periódico Oficial del Estado de Oaxaca como </w:t>
      </w:r>
      <w:r w:rsidRPr="00E478A7">
        <w:rPr>
          <w:rFonts w:ascii="Arial" w:eastAsia="Times New Roman" w:hAnsi="Arial" w:cs="Arial"/>
          <w:sz w:val="28"/>
          <w:szCs w:val="28"/>
          <w:lang w:eastAsia="es-MX"/>
        </w:rPr>
        <w:t>el acuerdo de fecha veintinueve de noviembre de dos mil siete, emitido por el Consejo General del Instituto Estatal Electoral de la citada entidad federativa</w:t>
      </w:r>
      <w:r w:rsidRPr="00E478A7">
        <w:rPr>
          <w:rFonts w:ascii="Arial" w:eastAsia="Times New Roman" w:hAnsi="Arial" w:cs="Arial"/>
          <w:bCs/>
          <w:sz w:val="28"/>
          <w:szCs w:val="28"/>
          <w:lang w:eastAsia="es-MX"/>
        </w:rPr>
        <w:t xml:space="preserve">, por lo que se refiere al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en los términos expresados en el considerando quinto de este fallo.</w:t>
      </w:r>
    </w:p>
    <w:p w14:paraId="078D252A"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p>
    <w:p w14:paraId="4CD76744"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TERCERO. </w:t>
      </w:r>
      <w:r w:rsidRPr="00E478A7">
        <w:rPr>
          <w:rFonts w:ascii="Arial" w:eastAsia="Times New Roman" w:hAnsi="Arial" w:cs="Arial"/>
          <w:bCs/>
          <w:sz w:val="28"/>
          <w:szCs w:val="28"/>
          <w:lang w:eastAsia="es-MX"/>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w:t>
      </w:r>
      <w:proofErr w:type="spellStart"/>
      <w:r w:rsidRPr="00E478A7">
        <w:rPr>
          <w:rFonts w:ascii="Arial" w:eastAsia="Times New Roman" w:hAnsi="Arial" w:cs="Arial"/>
          <w:bCs/>
          <w:sz w:val="28"/>
          <w:szCs w:val="28"/>
          <w:lang w:eastAsia="es-MX"/>
        </w:rPr>
        <w:t>Eloxochitlán</w:t>
      </w:r>
      <w:proofErr w:type="spellEnd"/>
      <w:r w:rsidRPr="00E478A7">
        <w:rPr>
          <w:rFonts w:ascii="Arial" w:eastAsia="Times New Roman" w:hAnsi="Arial" w:cs="Arial"/>
          <w:bCs/>
          <w:sz w:val="28"/>
          <w:szCs w:val="28"/>
          <w:lang w:eastAsia="es-MX"/>
        </w:rPr>
        <w:t xml:space="preserve"> de Flores Magón, </w:t>
      </w:r>
      <w:proofErr w:type="spellStart"/>
      <w:r w:rsidRPr="00E478A7">
        <w:rPr>
          <w:rFonts w:ascii="Arial" w:eastAsia="Times New Roman" w:hAnsi="Arial" w:cs="Arial"/>
          <w:bCs/>
          <w:sz w:val="28"/>
          <w:szCs w:val="28"/>
          <w:lang w:eastAsia="es-MX"/>
        </w:rPr>
        <w:t>Teotitlán</w:t>
      </w:r>
      <w:proofErr w:type="spellEnd"/>
      <w:r w:rsidRPr="00E478A7">
        <w:rPr>
          <w:rFonts w:ascii="Arial" w:eastAsia="Times New Roman" w:hAnsi="Arial" w:cs="Arial"/>
          <w:bCs/>
          <w:sz w:val="28"/>
          <w:szCs w:val="28"/>
          <w:lang w:eastAsia="es-MX"/>
        </w:rPr>
        <w:t xml:space="preserve"> de Flores Magón, Oaxaca, por las razones y fundamentos que se precisan en el considerando quinto de esta sentencia.</w:t>
      </w:r>
    </w:p>
    <w:p w14:paraId="7EA17F94" w14:textId="77777777" w:rsidR="00E478A7" w:rsidRPr="00E478A7" w:rsidRDefault="00E478A7" w:rsidP="00E478A7">
      <w:pPr>
        <w:spacing w:after="0" w:line="360" w:lineRule="auto"/>
        <w:ind w:firstLine="708"/>
        <w:jc w:val="both"/>
        <w:rPr>
          <w:rFonts w:ascii="Arial" w:eastAsia="Times New Roman" w:hAnsi="Arial" w:cs="Arial"/>
          <w:b/>
          <w:bCs/>
          <w:sz w:val="16"/>
          <w:szCs w:val="16"/>
          <w:lang w:eastAsia="es-MX"/>
        </w:rPr>
      </w:pPr>
    </w:p>
    <w:p w14:paraId="14A855D7"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CUARTO. </w:t>
      </w:r>
      <w:r w:rsidRPr="00E478A7">
        <w:rPr>
          <w:rFonts w:ascii="Arial" w:eastAsia="Times New Roman" w:hAnsi="Arial" w:cs="Arial"/>
          <w:bCs/>
          <w:sz w:val="28"/>
          <w:szCs w:val="28"/>
          <w:lang w:eastAsia="es-MX"/>
        </w:rPr>
        <w:t xml:space="preserve">Se concede un plazo de sesenta días contados desde la notificación de esta sentencia, para que el Consejo General del </w:t>
      </w:r>
      <w:r w:rsidRPr="00E478A7">
        <w:rPr>
          <w:rFonts w:ascii="Arial" w:eastAsia="Times New Roman" w:hAnsi="Arial" w:cs="Arial"/>
          <w:bCs/>
          <w:sz w:val="28"/>
          <w:szCs w:val="28"/>
          <w:lang w:eastAsia="es-MX"/>
        </w:rPr>
        <w:lastRenderedPageBreak/>
        <w:t>Instituto Estatal Electoral de Oaxaca dé cumplimiento a lo previsto el considerando quinto de esta sentencia.</w:t>
      </w:r>
    </w:p>
    <w:p w14:paraId="18F1E35D" w14:textId="77777777" w:rsidR="00E478A7" w:rsidRPr="00E478A7" w:rsidRDefault="00E478A7" w:rsidP="00E478A7">
      <w:pPr>
        <w:spacing w:after="0" w:line="360" w:lineRule="auto"/>
        <w:ind w:firstLine="708"/>
        <w:jc w:val="both"/>
        <w:rPr>
          <w:rFonts w:ascii="Arial" w:eastAsia="Times New Roman" w:hAnsi="Arial" w:cs="Arial"/>
          <w:b/>
          <w:bCs/>
          <w:sz w:val="28"/>
          <w:szCs w:val="28"/>
          <w:lang w:eastAsia="es-MX"/>
        </w:rPr>
      </w:pPr>
    </w:p>
    <w:p w14:paraId="12AC1A7D" w14:textId="77777777" w:rsidR="00E478A7" w:rsidRPr="00E478A7" w:rsidRDefault="00E478A7" w:rsidP="00E478A7">
      <w:pPr>
        <w:spacing w:after="0" w:line="360" w:lineRule="auto"/>
        <w:ind w:firstLine="708"/>
        <w:jc w:val="both"/>
        <w:rPr>
          <w:rFonts w:ascii="Arial" w:eastAsia="Times New Roman" w:hAnsi="Arial" w:cs="Arial"/>
          <w:bCs/>
          <w:sz w:val="28"/>
          <w:szCs w:val="28"/>
          <w:lang w:eastAsia="es-MX"/>
        </w:rPr>
      </w:pPr>
      <w:r w:rsidRPr="00E478A7">
        <w:rPr>
          <w:rFonts w:ascii="Arial" w:eastAsia="Times New Roman" w:hAnsi="Arial" w:cs="Arial"/>
          <w:b/>
          <w:bCs/>
          <w:sz w:val="28"/>
          <w:szCs w:val="28"/>
          <w:lang w:eastAsia="es-MX"/>
        </w:rPr>
        <w:t xml:space="preserve">QUINTO. </w:t>
      </w:r>
      <w:r w:rsidRPr="00E478A7">
        <w:rPr>
          <w:rFonts w:ascii="Arial" w:eastAsia="Times New Roman" w:hAnsi="Arial" w:cs="Arial"/>
          <w:bCs/>
          <w:sz w:val="28"/>
          <w:szCs w:val="28"/>
          <w:lang w:eastAsia="es-MX"/>
        </w:rPr>
        <w:t>Se amonesta al Instituto Estatal Electoral en términos de lo dispuesto en el considerando sexto de esta ejecutoria.</w:t>
      </w:r>
    </w:p>
    <w:p w14:paraId="6F80ED9F" w14:textId="77777777" w:rsidR="00E478A7" w:rsidRPr="00E478A7" w:rsidRDefault="00E478A7" w:rsidP="00E478A7">
      <w:pPr>
        <w:spacing w:after="0" w:line="360" w:lineRule="auto"/>
        <w:ind w:firstLine="708"/>
        <w:jc w:val="both"/>
        <w:rPr>
          <w:rFonts w:ascii="Arial" w:eastAsia="Times New Roman" w:hAnsi="Arial" w:cs="Arial"/>
          <w:bCs/>
          <w:sz w:val="16"/>
          <w:szCs w:val="16"/>
          <w:lang w:eastAsia="es-MX"/>
        </w:rPr>
      </w:pPr>
    </w:p>
    <w:p w14:paraId="4028E027" w14:textId="77777777" w:rsidR="00E478A7" w:rsidRPr="00E478A7" w:rsidRDefault="00E478A7" w:rsidP="00E478A7">
      <w:pPr>
        <w:spacing w:after="0" w:line="360" w:lineRule="auto"/>
        <w:jc w:val="both"/>
        <w:rPr>
          <w:rFonts w:ascii="Arial" w:eastAsia="Times New Roman" w:hAnsi="Arial" w:cs="Arial"/>
          <w:b/>
          <w:bCs/>
          <w:sz w:val="16"/>
          <w:szCs w:val="16"/>
          <w:lang w:eastAsia="es-MX"/>
        </w:rPr>
      </w:pPr>
    </w:p>
    <w:p w14:paraId="7B2C0784" w14:textId="77777777" w:rsidR="00E478A7" w:rsidRPr="00E478A7" w:rsidRDefault="00E478A7" w:rsidP="00E478A7">
      <w:pPr>
        <w:spacing w:after="0" w:line="360" w:lineRule="auto"/>
        <w:ind w:firstLine="709"/>
        <w:jc w:val="both"/>
        <w:rPr>
          <w:rFonts w:ascii="Arial" w:eastAsia="Times New Roman" w:hAnsi="Arial" w:cs="Arial"/>
          <w:sz w:val="28"/>
          <w:szCs w:val="28"/>
          <w:lang w:eastAsia="es-MX"/>
        </w:rPr>
      </w:pPr>
      <w:r w:rsidRPr="00E478A7">
        <w:rPr>
          <w:rFonts w:ascii="Arial" w:eastAsia="Times New Roman" w:hAnsi="Arial" w:cs="Arial"/>
          <w:b/>
          <w:bCs/>
          <w:sz w:val="28"/>
          <w:szCs w:val="28"/>
          <w:lang w:eastAsia="es-MX"/>
        </w:rPr>
        <w:t xml:space="preserve">NOTIFÍQUESE por correo certificado </w:t>
      </w:r>
      <w:r w:rsidRPr="00E478A7">
        <w:rPr>
          <w:rFonts w:ascii="Arial" w:eastAsia="Times New Roman" w:hAnsi="Arial" w:cs="Arial"/>
          <w:bCs/>
          <w:sz w:val="28"/>
          <w:szCs w:val="28"/>
          <w:lang w:eastAsia="es-MX"/>
        </w:rPr>
        <w:t>a</w:t>
      </w:r>
      <w:r w:rsidRPr="00E478A7">
        <w:rPr>
          <w:rFonts w:ascii="Arial" w:eastAsia="Times New Roman" w:hAnsi="Arial" w:cs="Arial"/>
          <w:b/>
          <w:bCs/>
          <w:sz w:val="28"/>
          <w:szCs w:val="28"/>
          <w:lang w:eastAsia="es-MX"/>
        </w:rPr>
        <w:t xml:space="preserve"> </w:t>
      </w:r>
      <w:r w:rsidRPr="00E478A7">
        <w:rPr>
          <w:rFonts w:ascii="Arial" w:eastAsia="Times New Roman" w:hAnsi="Arial" w:cs="Arial"/>
          <w:sz w:val="28"/>
          <w:szCs w:val="28"/>
          <w:lang w:eastAsia="es-MX"/>
        </w:rPr>
        <w:t xml:space="preserve">la representante común designada en la parte final del considerando quinto de esta ejecutoria, para que por su conducto notifique al resto de los </w:t>
      </w:r>
      <w:proofErr w:type="spellStart"/>
      <w:r w:rsidRPr="00E478A7">
        <w:rPr>
          <w:rFonts w:ascii="Arial" w:eastAsia="Times New Roman" w:hAnsi="Arial" w:cs="Arial"/>
          <w:sz w:val="28"/>
          <w:szCs w:val="28"/>
          <w:lang w:eastAsia="es-MX"/>
        </w:rPr>
        <w:t>promoventes</w:t>
      </w:r>
      <w:proofErr w:type="spellEnd"/>
      <w:r w:rsidRPr="00E478A7">
        <w:rPr>
          <w:rFonts w:ascii="Arial" w:eastAsia="Times New Roman" w:hAnsi="Arial" w:cs="Arial"/>
          <w:sz w:val="28"/>
          <w:szCs w:val="28"/>
          <w:lang w:eastAsia="es-MX"/>
        </w:rPr>
        <w:t>;</w:t>
      </w:r>
      <w:r w:rsidRPr="00E478A7">
        <w:rPr>
          <w:rFonts w:ascii="Arial" w:eastAsia="Times New Roman" w:hAnsi="Arial" w:cs="Arial"/>
          <w:b/>
          <w:bCs/>
          <w:sz w:val="28"/>
          <w:szCs w:val="28"/>
          <w:lang w:eastAsia="es-MX"/>
        </w:rPr>
        <w:t xml:space="preserve"> </w:t>
      </w:r>
      <w:r w:rsidRPr="00E478A7">
        <w:rPr>
          <w:rFonts w:ascii="Arial" w:eastAsia="Times New Roman" w:hAnsi="Arial" w:cs="Arial"/>
          <w:sz w:val="28"/>
          <w:szCs w:val="28"/>
          <w:lang w:eastAsia="es-MX"/>
        </w:rPr>
        <w:t>a las autoridades responsables,</w:t>
      </w:r>
      <w:r w:rsidRPr="00E478A7">
        <w:rPr>
          <w:rFonts w:ascii="Arial" w:eastAsia="Times New Roman" w:hAnsi="Arial" w:cs="Arial"/>
          <w:bCs/>
          <w:sz w:val="28"/>
          <w:szCs w:val="28"/>
          <w:lang w:eastAsia="es-MX"/>
        </w:rPr>
        <w:t xml:space="preserve"> </w:t>
      </w:r>
      <w:r w:rsidRPr="00E478A7">
        <w:rPr>
          <w:rFonts w:ascii="Arial" w:eastAsia="Times New Roman" w:hAnsi="Arial" w:cs="Arial"/>
          <w:b/>
          <w:bCs/>
          <w:sz w:val="28"/>
          <w:szCs w:val="28"/>
          <w:lang w:eastAsia="es-MX"/>
        </w:rPr>
        <w:t>por fax,</w:t>
      </w:r>
      <w:r w:rsidRPr="00E478A7">
        <w:rPr>
          <w:rFonts w:ascii="Arial" w:eastAsia="Times New Roman" w:hAnsi="Arial" w:cs="Arial"/>
          <w:bCs/>
          <w:sz w:val="28"/>
          <w:szCs w:val="28"/>
          <w:lang w:eastAsia="es-MX"/>
        </w:rPr>
        <w:t xml:space="preserve"> los puntos resolutivos de esta sentencia,</w:t>
      </w:r>
      <w:r w:rsidRPr="00E478A7">
        <w:rPr>
          <w:rFonts w:ascii="Arial" w:eastAsia="Times New Roman" w:hAnsi="Arial" w:cs="Arial"/>
          <w:b/>
          <w:bCs/>
          <w:sz w:val="28"/>
          <w:szCs w:val="28"/>
          <w:lang w:eastAsia="es-MX"/>
        </w:rPr>
        <w:t xml:space="preserve"> </w:t>
      </w:r>
      <w:r w:rsidRPr="00E478A7">
        <w:rPr>
          <w:rFonts w:ascii="Arial" w:eastAsia="Times New Roman" w:hAnsi="Arial" w:cs="Arial"/>
          <w:bCs/>
          <w:sz w:val="28"/>
          <w:szCs w:val="28"/>
          <w:lang w:eastAsia="es-MX"/>
        </w:rPr>
        <w:t>así como,</w:t>
      </w:r>
      <w:r w:rsidRPr="00E478A7">
        <w:rPr>
          <w:rFonts w:ascii="Arial" w:eastAsia="Times New Roman" w:hAnsi="Arial" w:cs="Arial"/>
          <w:b/>
          <w:bCs/>
          <w:sz w:val="28"/>
          <w:szCs w:val="28"/>
          <w:lang w:eastAsia="es-MX"/>
        </w:rPr>
        <w:t xml:space="preserve"> por oficio</w:t>
      </w:r>
      <w:r w:rsidRPr="00E478A7">
        <w:rPr>
          <w:rFonts w:ascii="Arial" w:eastAsia="Times New Roman" w:hAnsi="Arial" w:cs="Arial"/>
          <w:sz w:val="28"/>
          <w:szCs w:val="28"/>
          <w:lang w:eastAsia="es-MX"/>
        </w:rPr>
        <w:t xml:space="preserve"> con copia certificada de esta ejecutoria y, por </w:t>
      </w:r>
      <w:r w:rsidRPr="00E478A7">
        <w:rPr>
          <w:rFonts w:ascii="Arial" w:eastAsia="Times New Roman" w:hAnsi="Arial" w:cs="Arial"/>
          <w:b/>
          <w:bCs/>
          <w:sz w:val="28"/>
          <w:szCs w:val="28"/>
          <w:lang w:eastAsia="es-MX"/>
        </w:rPr>
        <w:t>estrados,</w:t>
      </w:r>
      <w:r w:rsidRPr="00E478A7">
        <w:rPr>
          <w:rFonts w:ascii="Arial" w:eastAsia="Times New Roman" w:hAnsi="Arial" w:cs="Arial"/>
          <w:sz w:val="28"/>
          <w:szCs w:val="28"/>
          <w:lang w:eastAsia="es-MX"/>
        </w:rPr>
        <w:t xml:space="preserve"> a los demás interesados. Lo anterior, con fundamento en los artículos 26, 28, 29 y 84, párrafo 2, incisos a) y b), de </w:t>
      </w:r>
      <w:smartTag w:uri="urn:schemas-microsoft-com:office:smarttags" w:element="PersonName">
        <w:smartTagPr>
          <w:attr w:name="ProductID" w:val="la Ley General"/>
        </w:smartTagPr>
        <w:r w:rsidRPr="00E478A7">
          <w:rPr>
            <w:rFonts w:ascii="Arial" w:eastAsia="Times New Roman" w:hAnsi="Arial" w:cs="Arial"/>
            <w:sz w:val="28"/>
            <w:szCs w:val="28"/>
            <w:lang w:eastAsia="es-MX"/>
          </w:rPr>
          <w:t>la Ley General</w:t>
        </w:r>
      </w:smartTag>
      <w:r w:rsidRPr="00E478A7">
        <w:rPr>
          <w:rFonts w:ascii="Arial" w:eastAsia="Times New Roman" w:hAnsi="Arial" w:cs="Arial"/>
          <w:sz w:val="28"/>
          <w:szCs w:val="28"/>
          <w:lang w:eastAsia="es-MX"/>
        </w:rPr>
        <w:t xml:space="preserve"> del Sistema de Medios de Impugnación en Materia Electoral.</w:t>
      </w:r>
    </w:p>
    <w:p w14:paraId="63293A81" w14:textId="77777777" w:rsidR="00E478A7" w:rsidRPr="00E478A7" w:rsidRDefault="00E478A7" w:rsidP="00E478A7">
      <w:pPr>
        <w:spacing w:after="0" w:line="360" w:lineRule="auto"/>
        <w:ind w:firstLine="708"/>
        <w:jc w:val="both"/>
        <w:rPr>
          <w:rFonts w:ascii="Arial" w:eastAsia="Times New Roman" w:hAnsi="Arial" w:cs="Arial"/>
          <w:sz w:val="16"/>
          <w:szCs w:val="16"/>
          <w:lang w:eastAsia="es-MX"/>
        </w:rPr>
      </w:pPr>
    </w:p>
    <w:p w14:paraId="3FB641E7" w14:textId="77777777" w:rsidR="00E478A7" w:rsidRPr="00E478A7" w:rsidRDefault="00E478A7" w:rsidP="00E478A7">
      <w:pPr>
        <w:spacing w:after="0" w:line="360" w:lineRule="auto"/>
        <w:ind w:firstLine="708"/>
        <w:jc w:val="both"/>
        <w:rPr>
          <w:rFonts w:ascii="Arial" w:eastAsia="Times New Roman" w:hAnsi="Arial" w:cs="Arial"/>
          <w:sz w:val="28"/>
          <w:szCs w:val="28"/>
          <w:lang w:eastAsia="es-MX"/>
        </w:rPr>
      </w:pPr>
      <w:r w:rsidRPr="00E478A7">
        <w:rPr>
          <w:rFonts w:ascii="Arial" w:eastAsia="Times New Roman" w:hAnsi="Arial" w:cs="Arial"/>
          <w:sz w:val="28"/>
          <w:szCs w:val="28"/>
          <w:lang w:eastAsia="es-MX"/>
        </w:rPr>
        <w:t>En su oportunidad, devuélvanse los documentos atinentes y remítase el expediente al Archivo Jurisdiccional de este Tribunal, como asunto concluido.</w:t>
      </w:r>
    </w:p>
    <w:p w14:paraId="4E0B08FE" w14:textId="77777777" w:rsidR="00E478A7" w:rsidRPr="00E478A7" w:rsidRDefault="00E478A7" w:rsidP="00E478A7">
      <w:pPr>
        <w:spacing w:after="0" w:line="360" w:lineRule="auto"/>
        <w:ind w:firstLine="708"/>
        <w:jc w:val="both"/>
        <w:rPr>
          <w:rFonts w:ascii="Arial" w:eastAsia="Times New Roman" w:hAnsi="Arial" w:cs="Arial"/>
          <w:sz w:val="16"/>
          <w:szCs w:val="16"/>
          <w:lang w:eastAsia="es-MX"/>
        </w:rPr>
      </w:pPr>
    </w:p>
    <w:p w14:paraId="1864DC75" w14:textId="77777777" w:rsidR="00E478A7" w:rsidRPr="00E478A7" w:rsidRDefault="00E478A7" w:rsidP="00E478A7">
      <w:pPr>
        <w:spacing w:after="0" w:line="360" w:lineRule="auto"/>
        <w:ind w:firstLine="709"/>
        <w:jc w:val="both"/>
        <w:rPr>
          <w:rFonts w:ascii="Arial" w:eastAsia="Times New Roman" w:hAnsi="Arial" w:cs="Arial"/>
          <w:sz w:val="28"/>
          <w:szCs w:val="28"/>
          <w:lang w:val="es-ES" w:eastAsia="es-ES"/>
        </w:rPr>
      </w:pPr>
      <w:r w:rsidRPr="00E478A7">
        <w:rPr>
          <w:rFonts w:ascii="Arial" w:eastAsia="Times New Roman" w:hAnsi="Arial" w:cs="Arial"/>
          <w:sz w:val="28"/>
          <w:szCs w:val="28"/>
          <w:lang w:eastAsia="es-MX"/>
        </w:rPr>
        <w:t>Así, por unanimidad de votos, lo resolvieron y firmaron los señores Magistrados quienes integran la Sala Superior del Tribunal Electoral del Poder Judicial de la Federación. Ausentes los Magistrados José Alejandro Luna Ramos y Salvador Olimpo Nava</w:t>
      </w:r>
      <w:r w:rsidRPr="00E478A7">
        <w:rPr>
          <w:rFonts w:ascii="Arial" w:eastAsia="Times New Roman" w:hAnsi="Arial" w:cs="Arial"/>
          <w:sz w:val="28"/>
          <w:szCs w:val="28"/>
          <w:lang w:val="es-ES" w:eastAsia="es-ES"/>
        </w:rPr>
        <w:t xml:space="preserve"> </w:t>
      </w:r>
      <w:proofErr w:type="spellStart"/>
      <w:r w:rsidRPr="00E478A7">
        <w:rPr>
          <w:rFonts w:ascii="Arial" w:eastAsia="Times New Roman" w:hAnsi="Arial" w:cs="Arial"/>
          <w:sz w:val="28"/>
          <w:szCs w:val="28"/>
          <w:lang w:val="es-ES" w:eastAsia="es-ES"/>
        </w:rPr>
        <w:t>Gomar</w:t>
      </w:r>
      <w:proofErr w:type="spellEnd"/>
      <w:r w:rsidRPr="00E478A7">
        <w:rPr>
          <w:rFonts w:ascii="Arial" w:eastAsia="Times New Roman" w:hAnsi="Arial" w:cs="Arial"/>
          <w:sz w:val="28"/>
          <w:szCs w:val="28"/>
          <w:lang w:val="es-ES" w:eastAsia="es-ES"/>
        </w:rPr>
        <w:t xml:space="preserve">. El Secretario General de Acuerdos autoriza y da fe. </w:t>
      </w:r>
    </w:p>
    <w:p w14:paraId="706A225B" w14:textId="77777777" w:rsidR="00E478A7" w:rsidRPr="00E478A7" w:rsidRDefault="00E478A7" w:rsidP="00E478A7">
      <w:pPr>
        <w:spacing w:after="0" w:line="360" w:lineRule="auto"/>
        <w:ind w:firstLine="709"/>
        <w:jc w:val="both"/>
        <w:rPr>
          <w:rFonts w:ascii="Arial" w:eastAsia="Times New Roman" w:hAnsi="Arial" w:cs="Arial"/>
          <w:sz w:val="12"/>
          <w:szCs w:val="12"/>
          <w:lang w:val="es-ES" w:eastAsia="es-ES"/>
        </w:rPr>
      </w:pPr>
    </w:p>
    <w:p w14:paraId="32B5038E"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pt-BR" w:eastAsia="es-ES"/>
        </w:rPr>
      </w:pPr>
      <w:r w:rsidRPr="00E478A7">
        <w:rPr>
          <w:rFonts w:ascii="Arial" w:eastAsia="Times New Roman" w:hAnsi="Arial" w:cs="Arial"/>
          <w:b/>
          <w:sz w:val="28"/>
          <w:szCs w:val="28"/>
          <w:lang w:val="pt-BR" w:eastAsia="es-ES"/>
        </w:rPr>
        <w:t>MAGISTRADA PRESIDENTA</w:t>
      </w:r>
    </w:p>
    <w:p w14:paraId="65563A39" w14:textId="77777777" w:rsidR="00E478A7" w:rsidRPr="00E478A7" w:rsidRDefault="00E478A7" w:rsidP="00E478A7">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38047C2B" w14:textId="77777777" w:rsidR="00E478A7" w:rsidRPr="00E478A7" w:rsidRDefault="00E478A7" w:rsidP="00E478A7">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1F1C40D6" w14:textId="77777777" w:rsidR="00E478A7" w:rsidRPr="00E478A7" w:rsidRDefault="00E478A7" w:rsidP="00E478A7">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19F00299"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pt-BR" w:eastAsia="es-ES"/>
        </w:rPr>
      </w:pPr>
      <w:r w:rsidRPr="00E478A7">
        <w:rPr>
          <w:rFonts w:ascii="Arial" w:eastAsia="Times New Roman" w:hAnsi="Arial" w:cs="Arial"/>
          <w:b/>
          <w:sz w:val="28"/>
          <w:szCs w:val="28"/>
          <w:lang w:val="pt-BR" w:eastAsia="es-ES"/>
        </w:rPr>
        <w:lastRenderedPageBreak/>
        <w:t>MARIA DEL CARMEN ALANIS FIGUEROA</w:t>
      </w:r>
    </w:p>
    <w:p w14:paraId="27A06B8B"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pt-BR" w:eastAsia="es-ES"/>
        </w:rPr>
      </w:pPr>
    </w:p>
    <w:tbl>
      <w:tblPr>
        <w:tblW w:w="80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
        <w:gridCol w:w="3921"/>
        <w:gridCol w:w="4080"/>
        <w:gridCol w:w="46"/>
      </w:tblGrid>
      <w:tr w:rsidR="00E478A7" w:rsidRPr="00E478A7" w14:paraId="78A62822" w14:textId="77777777" w:rsidTr="005F71EE">
        <w:trPr>
          <w:gridAfter w:val="1"/>
          <w:wAfter w:w="46" w:type="dxa"/>
          <w:trHeight w:val="538"/>
        </w:trPr>
        <w:tc>
          <w:tcPr>
            <w:tcW w:w="3960" w:type="dxa"/>
            <w:gridSpan w:val="2"/>
            <w:tcBorders>
              <w:top w:val="nil"/>
              <w:left w:val="nil"/>
              <w:bottom w:val="nil"/>
              <w:right w:val="nil"/>
            </w:tcBorders>
          </w:tcPr>
          <w:p w14:paraId="504A83AB"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55AA1E99"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MAGISTRADO</w:t>
            </w:r>
          </w:p>
          <w:p w14:paraId="7A64A780"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027AC421"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3AC2C562"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5D1B1E90"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CONSTANCIO CARRASCO DAZA</w:t>
            </w:r>
          </w:p>
          <w:p w14:paraId="7470629C" w14:textId="77777777" w:rsidR="00E478A7" w:rsidRPr="00E478A7" w:rsidRDefault="00E478A7" w:rsidP="00E478A7">
            <w:pPr>
              <w:tabs>
                <w:tab w:val="left" w:pos="0"/>
              </w:tabs>
              <w:suppressAutoHyphens/>
              <w:spacing w:after="0" w:line="240" w:lineRule="auto"/>
              <w:rPr>
                <w:rFonts w:ascii="Arial" w:eastAsia="Times New Roman" w:hAnsi="Arial" w:cs="Arial"/>
                <w:b/>
                <w:sz w:val="28"/>
                <w:szCs w:val="28"/>
                <w:lang w:val="es-ES" w:eastAsia="es-ES"/>
              </w:rPr>
            </w:pPr>
          </w:p>
        </w:tc>
        <w:tc>
          <w:tcPr>
            <w:tcW w:w="4080" w:type="dxa"/>
            <w:tcBorders>
              <w:top w:val="nil"/>
              <w:left w:val="nil"/>
              <w:bottom w:val="nil"/>
              <w:right w:val="nil"/>
            </w:tcBorders>
          </w:tcPr>
          <w:p w14:paraId="1683F4E2"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es-ES" w:eastAsia="es-ES"/>
              </w:rPr>
            </w:pPr>
          </w:p>
          <w:p w14:paraId="5F563F77"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MAGISTRADO</w:t>
            </w:r>
          </w:p>
          <w:p w14:paraId="0ACDAF5F" w14:textId="77777777" w:rsidR="00E478A7" w:rsidRPr="00E478A7" w:rsidRDefault="00E478A7" w:rsidP="00E478A7">
            <w:pPr>
              <w:tabs>
                <w:tab w:val="center" w:pos="3995"/>
              </w:tabs>
              <w:suppressAutoHyphens/>
              <w:spacing w:after="0" w:line="240" w:lineRule="auto"/>
              <w:rPr>
                <w:rFonts w:ascii="Arial" w:eastAsia="Times New Roman" w:hAnsi="Arial" w:cs="Arial"/>
                <w:b/>
                <w:sz w:val="28"/>
                <w:szCs w:val="28"/>
                <w:lang w:val="es-ES" w:eastAsia="es-ES"/>
              </w:rPr>
            </w:pPr>
          </w:p>
          <w:p w14:paraId="0FCD7BA6" w14:textId="77777777" w:rsidR="00E478A7" w:rsidRPr="00E478A7" w:rsidRDefault="00E478A7" w:rsidP="00E478A7">
            <w:pPr>
              <w:tabs>
                <w:tab w:val="center" w:pos="3995"/>
              </w:tabs>
              <w:suppressAutoHyphens/>
              <w:spacing w:after="0" w:line="240" w:lineRule="auto"/>
              <w:rPr>
                <w:rFonts w:ascii="Arial" w:eastAsia="Times New Roman" w:hAnsi="Arial" w:cs="Arial"/>
                <w:b/>
                <w:sz w:val="28"/>
                <w:szCs w:val="28"/>
                <w:lang w:val="es-ES" w:eastAsia="es-ES"/>
              </w:rPr>
            </w:pPr>
          </w:p>
          <w:p w14:paraId="590D4241" w14:textId="77777777" w:rsidR="00E478A7" w:rsidRPr="00E478A7" w:rsidRDefault="00E478A7" w:rsidP="00E478A7">
            <w:pPr>
              <w:tabs>
                <w:tab w:val="center" w:pos="3995"/>
              </w:tabs>
              <w:suppressAutoHyphens/>
              <w:spacing w:after="0" w:line="240" w:lineRule="auto"/>
              <w:rPr>
                <w:rFonts w:ascii="Arial" w:eastAsia="Times New Roman" w:hAnsi="Arial" w:cs="Arial"/>
                <w:b/>
                <w:sz w:val="28"/>
                <w:szCs w:val="28"/>
                <w:lang w:val="es-ES" w:eastAsia="es-ES"/>
              </w:rPr>
            </w:pPr>
          </w:p>
          <w:p w14:paraId="6CB3A53B"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FLAVIO GALVÁN RIVERA</w:t>
            </w:r>
          </w:p>
          <w:p w14:paraId="42D6BEAC" w14:textId="77777777" w:rsidR="00E478A7" w:rsidRPr="00E478A7" w:rsidRDefault="00E478A7" w:rsidP="00E478A7">
            <w:pPr>
              <w:spacing w:after="0" w:line="240" w:lineRule="auto"/>
              <w:jc w:val="center"/>
              <w:rPr>
                <w:rFonts w:ascii="Arial" w:eastAsia="Times New Roman" w:hAnsi="Arial" w:cs="Arial"/>
                <w:b/>
                <w:sz w:val="28"/>
                <w:szCs w:val="28"/>
                <w:lang w:val="es-ES" w:eastAsia="es-ES"/>
              </w:rPr>
            </w:pPr>
          </w:p>
          <w:p w14:paraId="435D983D" w14:textId="77777777" w:rsidR="00E478A7" w:rsidRPr="00E478A7" w:rsidRDefault="00E478A7" w:rsidP="00E478A7">
            <w:pPr>
              <w:spacing w:after="0" w:line="240" w:lineRule="auto"/>
              <w:rPr>
                <w:rFonts w:ascii="Arial" w:eastAsia="Times New Roman" w:hAnsi="Arial" w:cs="Arial"/>
                <w:b/>
                <w:sz w:val="28"/>
                <w:szCs w:val="28"/>
                <w:lang w:val="es-ES" w:eastAsia="es-ES"/>
              </w:rPr>
            </w:pPr>
          </w:p>
        </w:tc>
      </w:tr>
      <w:tr w:rsidR="00E478A7" w:rsidRPr="00E478A7" w14:paraId="3A87F586" w14:textId="77777777" w:rsidTr="005F71EE">
        <w:trPr>
          <w:gridAfter w:val="1"/>
          <w:wAfter w:w="46" w:type="dxa"/>
          <w:trHeight w:val="1704"/>
        </w:trPr>
        <w:tc>
          <w:tcPr>
            <w:tcW w:w="3960" w:type="dxa"/>
            <w:gridSpan w:val="2"/>
            <w:tcBorders>
              <w:top w:val="nil"/>
              <w:left w:val="nil"/>
              <w:bottom w:val="nil"/>
              <w:right w:val="nil"/>
            </w:tcBorders>
          </w:tcPr>
          <w:p w14:paraId="195EA79A"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5F506D2D"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MAGISTRADO</w:t>
            </w:r>
          </w:p>
          <w:p w14:paraId="2B7933F6"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63CB2B53"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0449E985"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p>
          <w:p w14:paraId="2290490B" w14:textId="77777777" w:rsidR="00E478A7" w:rsidRPr="00E478A7" w:rsidRDefault="00E478A7" w:rsidP="00E478A7">
            <w:pPr>
              <w:tabs>
                <w:tab w:val="left" w:pos="0"/>
              </w:tabs>
              <w:suppressAutoHyphens/>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bCs/>
                <w:iCs/>
                <w:sz w:val="28"/>
                <w:szCs w:val="28"/>
                <w:lang w:val="es-ES" w:eastAsia="es-ES"/>
              </w:rPr>
              <w:t>MANUEL GONZÁLEZ OROPEZA</w:t>
            </w:r>
          </w:p>
          <w:p w14:paraId="144EE78B" w14:textId="77777777" w:rsidR="00E478A7" w:rsidRPr="00E478A7" w:rsidRDefault="00E478A7" w:rsidP="00E478A7">
            <w:pPr>
              <w:tabs>
                <w:tab w:val="left" w:pos="0"/>
              </w:tabs>
              <w:suppressAutoHyphens/>
              <w:spacing w:after="0" w:line="240" w:lineRule="auto"/>
              <w:rPr>
                <w:rFonts w:ascii="Arial" w:eastAsia="Times New Roman" w:hAnsi="Arial" w:cs="Arial"/>
                <w:b/>
                <w:sz w:val="28"/>
                <w:szCs w:val="28"/>
                <w:lang w:val="es-ES" w:eastAsia="es-ES"/>
              </w:rPr>
            </w:pPr>
          </w:p>
        </w:tc>
        <w:tc>
          <w:tcPr>
            <w:tcW w:w="4080" w:type="dxa"/>
            <w:tcBorders>
              <w:top w:val="nil"/>
              <w:left w:val="nil"/>
              <w:bottom w:val="nil"/>
              <w:right w:val="nil"/>
            </w:tcBorders>
          </w:tcPr>
          <w:p w14:paraId="321569FB"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7A8F9BA5"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r w:rsidRPr="00E478A7">
              <w:rPr>
                <w:rFonts w:ascii="Arial" w:eastAsia="Times New Roman" w:hAnsi="Arial" w:cs="Arial"/>
                <w:b/>
                <w:sz w:val="28"/>
                <w:szCs w:val="28"/>
                <w:lang w:val="pt-BR" w:eastAsia="es-ES"/>
              </w:rPr>
              <w:t>MAGISTRADO</w:t>
            </w:r>
          </w:p>
          <w:p w14:paraId="7253047F"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75E06A34"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3D5746A6"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583E2E96"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pt-BR" w:eastAsia="es-ES"/>
              </w:rPr>
            </w:pPr>
            <w:r w:rsidRPr="00E478A7">
              <w:rPr>
                <w:rFonts w:ascii="Arial" w:eastAsia="Times New Roman" w:hAnsi="Arial" w:cs="Arial"/>
                <w:b/>
                <w:sz w:val="28"/>
                <w:szCs w:val="28"/>
                <w:lang w:val="pt-BR" w:eastAsia="es-ES"/>
              </w:rPr>
              <w:t>PEDRO ESTEBAN</w:t>
            </w:r>
          </w:p>
          <w:p w14:paraId="648E19FD"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r w:rsidRPr="00E478A7">
              <w:rPr>
                <w:rFonts w:ascii="Arial" w:eastAsia="Times New Roman" w:hAnsi="Arial" w:cs="Arial"/>
                <w:b/>
                <w:sz w:val="28"/>
                <w:szCs w:val="28"/>
                <w:lang w:val="pt-BR" w:eastAsia="es-ES"/>
              </w:rPr>
              <w:t>PENAGOS LÓPEZ</w:t>
            </w:r>
          </w:p>
        </w:tc>
      </w:tr>
      <w:tr w:rsidR="00E478A7" w:rsidRPr="00E478A7" w14:paraId="4A815772" w14:textId="77777777" w:rsidTr="005F71EE">
        <w:tblPrEx>
          <w:jc w:val="center"/>
          <w:tblInd w:w="0" w:type="dxa"/>
        </w:tblPrEx>
        <w:trPr>
          <w:gridBefore w:val="1"/>
          <w:wBefore w:w="39" w:type="dxa"/>
          <w:trHeight w:val="1203"/>
          <w:jc w:val="center"/>
        </w:trPr>
        <w:tc>
          <w:tcPr>
            <w:tcW w:w="8047" w:type="dxa"/>
            <w:gridSpan w:val="3"/>
            <w:tcBorders>
              <w:top w:val="nil"/>
              <w:left w:val="nil"/>
              <w:bottom w:val="nil"/>
              <w:right w:val="nil"/>
            </w:tcBorders>
          </w:tcPr>
          <w:p w14:paraId="0CE2DDC4"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766251A3"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SECRETARIO GENERAL DE ACUERDOS</w:t>
            </w:r>
          </w:p>
          <w:p w14:paraId="34E2C537"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es-ES" w:eastAsia="es-ES"/>
              </w:rPr>
            </w:pPr>
          </w:p>
          <w:p w14:paraId="7AB49124" w14:textId="77777777" w:rsidR="00E478A7" w:rsidRPr="00E478A7" w:rsidRDefault="00E478A7" w:rsidP="00E478A7">
            <w:pPr>
              <w:tabs>
                <w:tab w:val="center" w:pos="3995"/>
              </w:tabs>
              <w:suppressAutoHyphens/>
              <w:spacing w:after="0" w:line="240" w:lineRule="auto"/>
              <w:jc w:val="center"/>
              <w:rPr>
                <w:rFonts w:ascii="Arial" w:eastAsia="Times New Roman" w:hAnsi="Arial" w:cs="Arial"/>
                <w:b/>
                <w:sz w:val="28"/>
                <w:szCs w:val="28"/>
                <w:lang w:val="es-ES" w:eastAsia="es-ES"/>
              </w:rPr>
            </w:pPr>
          </w:p>
          <w:p w14:paraId="7C30FAD3" w14:textId="77777777" w:rsidR="00E478A7" w:rsidRPr="00E478A7" w:rsidRDefault="00E478A7" w:rsidP="00E478A7">
            <w:pPr>
              <w:tabs>
                <w:tab w:val="center" w:pos="3995"/>
              </w:tabs>
              <w:suppressAutoHyphens/>
              <w:spacing w:after="0" w:line="240" w:lineRule="auto"/>
              <w:rPr>
                <w:rFonts w:ascii="Arial" w:eastAsia="Times New Roman" w:hAnsi="Arial" w:cs="Arial"/>
                <w:b/>
                <w:sz w:val="28"/>
                <w:szCs w:val="28"/>
                <w:lang w:val="es-ES" w:eastAsia="es-ES"/>
              </w:rPr>
            </w:pPr>
          </w:p>
          <w:p w14:paraId="7E136E74" w14:textId="77777777" w:rsidR="00E478A7" w:rsidRPr="00E478A7" w:rsidRDefault="00E478A7" w:rsidP="00E478A7">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478A7">
              <w:rPr>
                <w:rFonts w:ascii="Arial" w:eastAsia="Times New Roman" w:hAnsi="Arial" w:cs="Arial"/>
                <w:b/>
                <w:sz w:val="28"/>
                <w:szCs w:val="28"/>
                <w:lang w:val="es-ES" w:eastAsia="es-ES"/>
              </w:rPr>
              <w:t>MARCO ANTONIO ZAVALA ARREDONDO</w:t>
            </w:r>
          </w:p>
        </w:tc>
      </w:tr>
    </w:tbl>
    <w:p w14:paraId="5F047B44" w14:textId="77777777" w:rsidR="00E478A7" w:rsidRPr="00E478A7" w:rsidRDefault="00E478A7" w:rsidP="00E478A7">
      <w:pPr>
        <w:spacing w:after="0" w:line="360" w:lineRule="auto"/>
        <w:ind w:firstLine="708"/>
        <w:jc w:val="both"/>
        <w:rPr>
          <w:rFonts w:ascii="Times New Roman" w:eastAsia="Times New Roman" w:hAnsi="Times New Roman" w:cs="Times New Roman"/>
          <w:sz w:val="28"/>
          <w:szCs w:val="28"/>
          <w:lang w:eastAsia="es-MX"/>
        </w:rPr>
      </w:pPr>
    </w:p>
    <w:p w14:paraId="644F74B1" w14:textId="77777777" w:rsidR="00E478A7" w:rsidRPr="009227B2" w:rsidRDefault="00E478A7" w:rsidP="009227B2">
      <w:pPr>
        <w:rPr>
          <w:lang w:eastAsia="es-MX"/>
        </w:rPr>
      </w:pPr>
    </w:p>
    <w:sectPr w:rsidR="00E478A7" w:rsidRPr="009227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7E20"/>
    <w:multiLevelType w:val="hybridMultilevel"/>
    <w:tmpl w:val="444C6740"/>
    <w:lvl w:ilvl="0" w:tplc="88DCDD88">
      <w:start w:val="1"/>
      <w:numFmt w:val="decimal"/>
      <w:lvlText w:val="%1)"/>
      <w:lvlJc w:val="left"/>
      <w:pPr>
        <w:tabs>
          <w:tab w:val="num" w:pos="1249"/>
        </w:tabs>
        <w:ind w:left="1249" w:hanging="360"/>
      </w:pPr>
      <w:rPr>
        <w:rFonts w:hint="default"/>
      </w:rPr>
    </w:lvl>
    <w:lvl w:ilvl="1" w:tplc="080A0019" w:tentative="1">
      <w:start w:val="1"/>
      <w:numFmt w:val="lowerLetter"/>
      <w:lvlText w:val="%2."/>
      <w:lvlJc w:val="left"/>
      <w:pPr>
        <w:tabs>
          <w:tab w:val="num" w:pos="1969"/>
        </w:tabs>
        <w:ind w:left="1969" w:hanging="360"/>
      </w:pPr>
    </w:lvl>
    <w:lvl w:ilvl="2" w:tplc="080A001B" w:tentative="1">
      <w:start w:val="1"/>
      <w:numFmt w:val="lowerRoman"/>
      <w:lvlText w:val="%3."/>
      <w:lvlJc w:val="right"/>
      <w:pPr>
        <w:tabs>
          <w:tab w:val="num" w:pos="2689"/>
        </w:tabs>
        <w:ind w:left="2689" w:hanging="180"/>
      </w:pPr>
    </w:lvl>
    <w:lvl w:ilvl="3" w:tplc="080A000F" w:tentative="1">
      <w:start w:val="1"/>
      <w:numFmt w:val="decimal"/>
      <w:lvlText w:val="%4."/>
      <w:lvlJc w:val="left"/>
      <w:pPr>
        <w:tabs>
          <w:tab w:val="num" w:pos="3409"/>
        </w:tabs>
        <w:ind w:left="3409" w:hanging="360"/>
      </w:pPr>
    </w:lvl>
    <w:lvl w:ilvl="4" w:tplc="080A0019" w:tentative="1">
      <w:start w:val="1"/>
      <w:numFmt w:val="lowerLetter"/>
      <w:lvlText w:val="%5."/>
      <w:lvlJc w:val="left"/>
      <w:pPr>
        <w:tabs>
          <w:tab w:val="num" w:pos="4129"/>
        </w:tabs>
        <w:ind w:left="4129" w:hanging="360"/>
      </w:pPr>
    </w:lvl>
    <w:lvl w:ilvl="5" w:tplc="080A001B" w:tentative="1">
      <w:start w:val="1"/>
      <w:numFmt w:val="lowerRoman"/>
      <w:lvlText w:val="%6."/>
      <w:lvlJc w:val="right"/>
      <w:pPr>
        <w:tabs>
          <w:tab w:val="num" w:pos="4849"/>
        </w:tabs>
        <w:ind w:left="4849" w:hanging="180"/>
      </w:pPr>
    </w:lvl>
    <w:lvl w:ilvl="6" w:tplc="080A000F" w:tentative="1">
      <w:start w:val="1"/>
      <w:numFmt w:val="decimal"/>
      <w:lvlText w:val="%7."/>
      <w:lvlJc w:val="left"/>
      <w:pPr>
        <w:tabs>
          <w:tab w:val="num" w:pos="5569"/>
        </w:tabs>
        <w:ind w:left="5569" w:hanging="360"/>
      </w:pPr>
    </w:lvl>
    <w:lvl w:ilvl="7" w:tplc="080A0019" w:tentative="1">
      <w:start w:val="1"/>
      <w:numFmt w:val="lowerLetter"/>
      <w:lvlText w:val="%8."/>
      <w:lvlJc w:val="left"/>
      <w:pPr>
        <w:tabs>
          <w:tab w:val="num" w:pos="6289"/>
        </w:tabs>
        <w:ind w:left="6289" w:hanging="360"/>
      </w:pPr>
    </w:lvl>
    <w:lvl w:ilvl="8" w:tplc="080A001B" w:tentative="1">
      <w:start w:val="1"/>
      <w:numFmt w:val="lowerRoman"/>
      <w:lvlText w:val="%9."/>
      <w:lvlJc w:val="right"/>
      <w:pPr>
        <w:tabs>
          <w:tab w:val="num" w:pos="7009"/>
        </w:tabs>
        <w:ind w:left="7009" w:hanging="180"/>
      </w:pPr>
    </w:lvl>
  </w:abstractNum>
  <w:abstractNum w:abstractNumId="1">
    <w:nsid w:val="12A338E2"/>
    <w:multiLevelType w:val="hybridMultilevel"/>
    <w:tmpl w:val="FEF24D80"/>
    <w:lvl w:ilvl="0" w:tplc="CC9E56E4">
      <w:start w:val="1"/>
      <w:numFmt w:val="bullet"/>
      <w:lvlText w:val="-"/>
      <w:lvlJc w:val="left"/>
      <w:pPr>
        <w:tabs>
          <w:tab w:val="num" w:pos="1069"/>
        </w:tabs>
        <w:ind w:left="1069" w:hanging="360"/>
      </w:pPr>
      <w:rPr>
        <w:rFonts w:ascii="Univers" w:eastAsia="Times New Roman" w:hAnsi="Univers" w:cs="Arial" w:hint="default"/>
      </w:rPr>
    </w:lvl>
    <w:lvl w:ilvl="1" w:tplc="080A0003" w:tentative="1">
      <w:start w:val="1"/>
      <w:numFmt w:val="bullet"/>
      <w:lvlText w:val="o"/>
      <w:lvlJc w:val="left"/>
      <w:pPr>
        <w:tabs>
          <w:tab w:val="num" w:pos="1789"/>
        </w:tabs>
        <w:ind w:left="1789" w:hanging="360"/>
      </w:pPr>
      <w:rPr>
        <w:rFonts w:ascii="Courier New" w:hAnsi="Courier New" w:cs="Courier New" w:hint="default"/>
      </w:rPr>
    </w:lvl>
    <w:lvl w:ilvl="2" w:tplc="080A0005" w:tentative="1">
      <w:start w:val="1"/>
      <w:numFmt w:val="bullet"/>
      <w:lvlText w:val=""/>
      <w:lvlJc w:val="left"/>
      <w:pPr>
        <w:tabs>
          <w:tab w:val="num" w:pos="2509"/>
        </w:tabs>
        <w:ind w:left="2509" w:hanging="360"/>
      </w:pPr>
      <w:rPr>
        <w:rFonts w:ascii="Wingdings" w:hAnsi="Wingdings" w:hint="default"/>
      </w:rPr>
    </w:lvl>
    <w:lvl w:ilvl="3" w:tplc="080A0001" w:tentative="1">
      <w:start w:val="1"/>
      <w:numFmt w:val="bullet"/>
      <w:lvlText w:val=""/>
      <w:lvlJc w:val="left"/>
      <w:pPr>
        <w:tabs>
          <w:tab w:val="num" w:pos="3229"/>
        </w:tabs>
        <w:ind w:left="3229" w:hanging="360"/>
      </w:pPr>
      <w:rPr>
        <w:rFonts w:ascii="Symbol" w:hAnsi="Symbol" w:hint="default"/>
      </w:rPr>
    </w:lvl>
    <w:lvl w:ilvl="4" w:tplc="080A0003" w:tentative="1">
      <w:start w:val="1"/>
      <w:numFmt w:val="bullet"/>
      <w:lvlText w:val="o"/>
      <w:lvlJc w:val="left"/>
      <w:pPr>
        <w:tabs>
          <w:tab w:val="num" w:pos="3949"/>
        </w:tabs>
        <w:ind w:left="3949" w:hanging="360"/>
      </w:pPr>
      <w:rPr>
        <w:rFonts w:ascii="Courier New" w:hAnsi="Courier New" w:cs="Courier New" w:hint="default"/>
      </w:rPr>
    </w:lvl>
    <w:lvl w:ilvl="5" w:tplc="080A0005" w:tentative="1">
      <w:start w:val="1"/>
      <w:numFmt w:val="bullet"/>
      <w:lvlText w:val=""/>
      <w:lvlJc w:val="left"/>
      <w:pPr>
        <w:tabs>
          <w:tab w:val="num" w:pos="4669"/>
        </w:tabs>
        <w:ind w:left="4669" w:hanging="360"/>
      </w:pPr>
      <w:rPr>
        <w:rFonts w:ascii="Wingdings" w:hAnsi="Wingdings" w:hint="default"/>
      </w:rPr>
    </w:lvl>
    <w:lvl w:ilvl="6" w:tplc="080A0001" w:tentative="1">
      <w:start w:val="1"/>
      <w:numFmt w:val="bullet"/>
      <w:lvlText w:val=""/>
      <w:lvlJc w:val="left"/>
      <w:pPr>
        <w:tabs>
          <w:tab w:val="num" w:pos="5389"/>
        </w:tabs>
        <w:ind w:left="5389" w:hanging="360"/>
      </w:pPr>
      <w:rPr>
        <w:rFonts w:ascii="Symbol" w:hAnsi="Symbol" w:hint="default"/>
      </w:rPr>
    </w:lvl>
    <w:lvl w:ilvl="7" w:tplc="080A0003" w:tentative="1">
      <w:start w:val="1"/>
      <w:numFmt w:val="bullet"/>
      <w:lvlText w:val="o"/>
      <w:lvlJc w:val="left"/>
      <w:pPr>
        <w:tabs>
          <w:tab w:val="num" w:pos="6109"/>
        </w:tabs>
        <w:ind w:left="6109" w:hanging="360"/>
      </w:pPr>
      <w:rPr>
        <w:rFonts w:ascii="Courier New" w:hAnsi="Courier New" w:cs="Courier New" w:hint="default"/>
      </w:rPr>
    </w:lvl>
    <w:lvl w:ilvl="8" w:tplc="080A0005" w:tentative="1">
      <w:start w:val="1"/>
      <w:numFmt w:val="bullet"/>
      <w:lvlText w:val=""/>
      <w:lvlJc w:val="left"/>
      <w:pPr>
        <w:tabs>
          <w:tab w:val="num" w:pos="6829"/>
        </w:tabs>
        <w:ind w:left="6829" w:hanging="360"/>
      </w:pPr>
      <w:rPr>
        <w:rFonts w:ascii="Wingdings" w:hAnsi="Wingdings" w:hint="default"/>
      </w:rPr>
    </w:lvl>
  </w:abstractNum>
  <w:abstractNum w:abstractNumId="2">
    <w:nsid w:val="2FD5390E"/>
    <w:multiLevelType w:val="hybridMultilevel"/>
    <w:tmpl w:val="05FCD170"/>
    <w:lvl w:ilvl="0" w:tplc="26D62894">
      <w:start w:val="1"/>
      <w:numFmt w:val="upperLetter"/>
      <w:lvlText w:val="%1)"/>
      <w:lvlJc w:val="left"/>
      <w:pPr>
        <w:tabs>
          <w:tab w:val="num" w:pos="1110"/>
        </w:tabs>
        <w:ind w:left="1110" w:hanging="4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nsid w:val="34EC7AC4"/>
    <w:multiLevelType w:val="hybridMultilevel"/>
    <w:tmpl w:val="EB30469C"/>
    <w:lvl w:ilvl="0" w:tplc="D862E9FC">
      <w:start w:val="1"/>
      <w:numFmt w:val="upperRoman"/>
      <w:lvlText w:val="%1."/>
      <w:lvlJc w:val="left"/>
      <w:pPr>
        <w:tabs>
          <w:tab w:val="num" w:pos="720"/>
        </w:tabs>
        <w:ind w:left="720" w:hanging="72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4">
    <w:nsid w:val="497E34AA"/>
    <w:multiLevelType w:val="hybridMultilevel"/>
    <w:tmpl w:val="28A47838"/>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5053336C"/>
    <w:multiLevelType w:val="multilevel"/>
    <w:tmpl w:val="E70076D2"/>
    <w:lvl w:ilvl="0">
      <w:start w:val="1"/>
      <w:numFmt w:val="decimal"/>
      <w:lvlText w:val="%1.-"/>
      <w:legacy w:legacy="1" w:legacySpace="120" w:legacyIndent="360"/>
      <w:lvlJc w:val="left"/>
      <w:pPr>
        <w:ind w:left="0" w:firstLine="0"/>
      </w:pPr>
      <w:rPr>
        <w:rFonts w:ascii="Tahoma" w:hAnsi="Tahoma" w:cs="Tahoma" w:hint="default"/>
        <w:b/>
        <w:sz w:val="28"/>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75C30A0A"/>
    <w:multiLevelType w:val="hybridMultilevel"/>
    <w:tmpl w:val="F5DA56F0"/>
    <w:lvl w:ilvl="0" w:tplc="C37E2DDE">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6E4000"/>
    <w:multiLevelType w:val="hybridMultilevel"/>
    <w:tmpl w:val="4CCEDA14"/>
    <w:lvl w:ilvl="0" w:tplc="48ECEA3A">
      <w:start w:val="1"/>
      <w:numFmt w:val="upperRoman"/>
      <w:lvlText w:val="%1)"/>
      <w:lvlJc w:val="left"/>
      <w:pPr>
        <w:tabs>
          <w:tab w:val="num" w:pos="1684"/>
        </w:tabs>
        <w:ind w:left="1684" w:hanging="975"/>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8">
    <w:nsid w:val="7BB808E1"/>
    <w:multiLevelType w:val="hybridMultilevel"/>
    <w:tmpl w:val="33862BC4"/>
    <w:lvl w:ilvl="0" w:tplc="9280B682">
      <w:start w:val="1"/>
      <w:numFmt w:val="upperRoman"/>
      <w:lvlText w:val="%1."/>
      <w:lvlJc w:val="left"/>
      <w:pPr>
        <w:tabs>
          <w:tab w:val="num" w:pos="1428"/>
        </w:tabs>
        <w:ind w:left="1428" w:hanging="72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E"/>
    <w:rsid w:val="00263E21"/>
    <w:rsid w:val="00290C19"/>
    <w:rsid w:val="0036167B"/>
    <w:rsid w:val="003837FD"/>
    <w:rsid w:val="005C617F"/>
    <w:rsid w:val="00821A73"/>
    <w:rsid w:val="009227B2"/>
    <w:rsid w:val="00BA2E8E"/>
    <w:rsid w:val="00BA5E76"/>
    <w:rsid w:val="00E47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3ED3790"/>
  <w15:chartTrackingRefBased/>
  <w15:docId w15:val="{B0067FCA-E945-4C8E-9049-26FBC02F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22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9227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227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BA2E8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BA2E8E"/>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A2E8E"/>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BA2E8E"/>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BA2E8E"/>
    <w:rPr>
      <w:b/>
      <w:bCs/>
    </w:rPr>
  </w:style>
  <w:style w:type="character" w:styleId="Hipervnculo">
    <w:name w:val="Hyperlink"/>
    <w:basedOn w:val="Fuentedeprrafopredeter"/>
    <w:unhideWhenUsed/>
    <w:rsid w:val="00BA2E8E"/>
    <w:rPr>
      <w:color w:val="0000FF"/>
      <w:u w:val="single"/>
    </w:rPr>
  </w:style>
  <w:style w:type="paragraph" w:styleId="NormalWeb">
    <w:name w:val="Normal (Web)"/>
    <w:basedOn w:val="Normal"/>
    <w:unhideWhenUsed/>
    <w:rsid w:val="00BA2E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9227B2"/>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9227B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227B2"/>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semiHidden/>
    <w:rsid w:val="00821A73"/>
  </w:style>
  <w:style w:type="paragraph" w:customStyle="1" w:styleId="Rubro">
    <w:name w:val="Rubro"/>
    <w:basedOn w:val="Normal"/>
    <w:next w:val="Normal"/>
    <w:rsid w:val="00821A73"/>
    <w:pPr>
      <w:spacing w:before="120" w:after="120" w:line="240" w:lineRule="auto"/>
      <w:ind w:left="3960"/>
      <w:jc w:val="both"/>
      <w:outlineLvl w:val="0"/>
    </w:pPr>
    <w:rPr>
      <w:rFonts w:ascii="Arial" w:eastAsia="Times New Roman" w:hAnsi="Arial" w:cs="Arial"/>
      <w:snapToGrid w:val="0"/>
      <w:sz w:val="24"/>
      <w:szCs w:val="28"/>
      <w:lang w:val="es-ES_tradnl" w:eastAsia="es-ES"/>
    </w:rPr>
  </w:style>
  <w:style w:type="paragraph" w:customStyle="1" w:styleId="CABEZA">
    <w:name w:val="CABEZA"/>
    <w:next w:val="Normal"/>
    <w:rsid w:val="00821A73"/>
    <w:pPr>
      <w:widowControl w:val="0"/>
      <w:tabs>
        <w:tab w:val="left" w:pos="-720"/>
      </w:tabs>
      <w:suppressAutoHyphens/>
      <w:spacing w:before="240" w:after="240" w:line="360" w:lineRule="auto"/>
      <w:jc w:val="center"/>
    </w:pPr>
    <w:rPr>
      <w:rFonts w:ascii="Arial" w:eastAsia="Times New Roman" w:hAnsi="Arial" w:cs="Arial"/>
      <w:b/>
      <w:caps/>
      <w:snapToGrid w:val="0"/>
      <w:sz w:val="24"/>
      <w:szCs w:val="28"/>
      <w:lang w:val="es-ES_tradnl" w:eastAsia="es-ES"/>
    </w:rPr>
  </w:style>
  <w:style w:type="paragraph" w:styleId="Encabezado">
    <w:name w:val="header"/>
    <w:basedOn w:val="Normal"/>
    <w:link w:val="EncabezadoCar"/>
    <w:rsid w:val="00821A73"/>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821A73"/>
    <w:rPr>
      <w:rFonts w:ascii="Times New Roman" w:eastAsia="Times New Roman" w:hAnsi="Times New Roman" w:cs="Times New Roman"/>
      <w:sz w:val="24"/>
      <w:szCs w:val="24"/>
      <w:lang w:eastAsia="es-MX"/>
    </w:rPr>
  </w:style>
  <w:style w:type="character" w:styleId="Nmerodepgina">
    <w:name w:val="page number"/>
    <w:basedOn w:val="Fuentedeprrafopredeter"/>
    <w:rsid w:val="00821A73"/>
  </w:style>
  <w:style w:type="table" w:styleId="Tablaconcuadrcula">
    <w:name w:val="Table Grid"/>
    <w:basedOn w:val="Tablanormal"/>
    <w:rsid w:val="00821A7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inaldelformulario">
    <w:name w:val="HTML Bottom of Form"/>
    <w:basedOn w:val="Normal"/>
    <w:next w:val="Normal"/>
    <w:link w:val="z-FinaldelformularioCar"/>
    <w:hidden/>
    <w:rsid w:val="00821A73"/>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821A73"/>
    <w:rPr>
      <w:rFonts w:ascii="Arial" w:eastAsia="Times New Roman" w:hAnsi="Arial" w:cs="Arial"/>
      <w:vanish/>
      <w:sz w:val="16"/>
      <w:szCs w:val="16"/>
      <w:lang w:eastAsia="es-MX"/>
    </w:rPr>
  </w:style>
  <w:style w:type="paragraph" w:customStyle="1" w:styleId="corte4fondo">
    <w:name w:val="corte4 fondo"/>
    <w:basedOn w:val="Normal"/>
    <w:rsid w:val="00821A73"/>
    <w:pPr>
      <w:spacing w:after="0" w:line="360" w:lineRule="auto"/>
      <w:ind w:firstLine="709"/>
      <w:jc w:val="both"/>
    </w:pPr>
    <w:rPr>
      <w:rFonts w:ascii="Arial" w:eastAsia="Times New Roman" w:hAnsi="Arial" w:cs="Times New Roman"/>
      <w:sz w:val="30"/>
      <w:szCs w:val="20"/>
      <w:lang w:val="es-ES_tradnl" w:eastAsia="es-ES"/>
    </w:rPr>
  </w:style>
  <w:style w:type="paragraph" w:styleId="Piedepgina">
    <w:name w:val="footer"/>
    <w:basedOn w:val="Normal"/>
    <w:link w:val="PiedepginaCar"/>
    <w:rsid w:val="00821A73"/>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821A73"/>
    <w:rPr>
      <w:rFonts w:ascii="Times New Roman" w:eastAsia="Times New Roman" w:hAnsi="Times New Roman" w:cs="Times New Roman"/>
      <w:sz w:val="24"/>
      <w:szCs w:val="24"/>
      <w:lang w:eastAsia="es-MX"/>
    </w:rPr>
  </w:style>
  <w:style w:type="character" w:customStyle="1" w:styleId="a">
    <w:name w:val="a"/>
    <w:basedOn w:val="Fuentedeprrafopredeter"/>
    <w:rsid w:val="00821A73"/>
  </w:style>
  <w:style w:type="paragraph" w:customStyle="1" w:styleId="Normal0">
    <w:name w:val="[Normal]"/>
    <w:rsid w:val="00821A7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rsid w:val="00821A73"/>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821A73"/>
    <w:rPr>
      <w:rFonts w:ascii="Arial" w:eastAsia="Times New Roman" w:hAnsi="Arial" w:cs="Times New Roman"/>
      <w:sz w:val="24"/>
      <w:szCs w:val="24"/>
      <w:lang w:eastAsia="es-ES"/>
    </w:rPr>
  </w:style>
  <w:style w:type="paragraph" w:styleId="Textodebloque">
    <w:name w:val="Block Text"/>
    <w:basedOn w:val="Normal"/>
    <w:rsid w:val="00821A73"/>
    <w:pPr>
      <w:spacing w:after="0" w:line="240" w:lineRule="auto"/>
      <w:ind w:left="540" w:right="720"/>
      <w:jc w:val="both"/>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65863">
      <w:bodyDiv w:val="1"/>
      <w:marLeft w:val="0"/>
      <w:marRight w:val="0"/>
      <w:marTop w:val="0"/>
      <w:marBottom w:val="0"/>
      <w:divBdr>
        <w:top w:val="none" w:sz="0" w:space="0" w:color="auto"/>
        <w:left w:val="none" w:sz="0" w:space="0" w:color="auto"/>
        <w:bottom w:val="none" w:sz="0" w:space="0" w:color="auto"/>
        <w:right w:val="none" w:sz="0" w:space="0" w:color="auto"/>
      </w:divBdr>
    </w:div>
    <w:div w:id="1984197137">
      <w:bodyDiv w:val="1"/>
      <w:marLeft w:val="0"/>
      <w:marRight w:val="0"/>
      <w:marTop w:val="0"/>
      <w:marBottom w:val="0"/>
      <w:divBdr>
        <w:top w:val="none" w:sz="0" w:space="0" w:color="auto"/>
        <w:left w:val="none" w:sz="0" w:space="0" w:color="auto"/>
        <w:bottom w:val="none" w:sz="0" w:space="0" w:color="auto"/>
        <w:right w:val="none" w:sz="0" w:space="0" w:color="auto"/>
      </w:divBdr>
      <w:divsChild>
        <w:div w:id="1396709011">
          <w:marLeft w:val="0"/>
          <w:marRight w:val="0"/>
          <w:marTop w:val="0"/>
          <w:marBottom w:val="0"/>
          <w:divBdr>
            <w:top w:val="none" w:sz="0" w:space="0" w:color="auto"/>
            <w:left w:val="none" w:sz="0" w:space="0" w:color="auto"/>
            <w:bottom w:val="none" w:sz="0" w:space="0" w:color="auto"/>
            <w:right w:val="none" w:sz="0" w:space="0" w:color="auto"/>
          </w:divBdr>
        </w:div>
        <w:div w:id="312103391">
          <w:marLeft w:val="0"/>
          <w:marRight w:val="0"/>
          <w:marTop w:val="0"/>
          <w:marBottom w:val="0"/>
          <w:divBdr>
            <w:top w:val="none" w:sz="0" w:space="0" w:color="auto"/>
            <w:left w:val="none" w:sz="0" w:space="0" w:color="auto"/>
            <w:bottom w:val="none" w:sz="0" w:space="0" w:color="auto"/>
            <w:right w:val="none" w:sz="0" w:space="0" w:color="auto"/>
          </w:divBdr>
        </w:div>
        <w:div w:id="23025979">
          <w:marLeft w:val="0"/>
          <w:marRight w:val="0"/>
          <w:marTop w:val="0"/>
          <w:marBottom w:val="0"/>
          <w:divBdr>
            <w:top w:val="none" w:sz="0" w:space="0" w:color="auto"/>
            <w:left w:val="none" w:sz="0" w:space="0" w:color="auto"/>
            <w:bottom w:val="none" w:sz="0" w:space="0" w:color="auto"/>
            <w:right w:val="none" w:sz="0" w:space="0" w:color="auto"/>
          </w:divBdr>
        </w:div>
        <w:div w:id="1129974717">
          <w:marLeft w:val="0"/>
          <w:marRight w:val="0"/>
          <w:marTop w:val="0"/>
          <w:marBottom w:val="0"/>
          <w:divBdr>
            <w:top w:val="none" w:sz="0" w:space="0" w:color="auto"/>
            <w:left w:val="none" w:sz="0" w:space="0" w:color="auto"/>
            <w:bottom w:val="none" w:sz="0" w:space="0" w:color="auto"/>
            <w:right w:val="none" w:sz="0" w:space="0" w:color="auto"/>
          </w:divBdr>
        </w:div>
        <w:div w:id="1473979135">
          <w:marLeft w:val="0"/>
          <w:marRight w:val="0"/>
          <w:marTop w:val="0"/>
          <w:marBottom w:val="0"/>
          <w:divBdr>
            <w:top w:val="none" w:sz="0" w:space="0" w:color="auto"/>
            <w:left w:val="none" w:sz="0" w:space="0" w:color="auto"/>
            <w:bottom w:val="none" w:sz="0" w:space="0" w:color="auto"/>
            <w:right w:val="none" w:sz="0" w:space="0" w:color="auto"/>
          </w:divBdr>
        </w:div>
        <w:div w:id="47213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7/JDC/SUP-JDC-02569-20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te.gob.mx/colecciones/sentencias/html/SUP/2007/JDC/SUP-JDC-02568-200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2007/JDC/SUP-JDC-00011-2007.htm" TargetMode="External"/><Relationship Id="rId11" Type="http://schemas.openxmlformats.org/officeDocument/2006/relationships/hyperlink" Target="http://portal.te.gob.mx/colecciones/sentencias/html/SUP/2007/JDC/SUP-JDC-02569-2007.htm" TargetMode="External"/><Relationship Id="rId5" Type="http://schemas.openxmlformats.org/officeDocument/2006/relationships/hyperlink" Target="https://www.te.gob.mx/IUSEapp/tesisjur.aspx?idTesis=13/2008" TargetMode="External"/><Relationship Id="rId10" Type="http://schemas.openxmlformats.org/officeDocument/2006/relationships/hyperlink" Target="http://portal.te.gob.mx/colecciones/sentencias/html/SUP/2007/JDC/SUP-JDC-02568-2007.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7/JDC/SUP-JDC-00011-200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209</Pages>
  <Words>52029</Words>
  <Characters>286160</Characters>
  <Application>Microsoft Office Word</Application>
  <DocSecurity>0</DocSecurity>
  <Lines>2384</Lines>
  <Paragraphs>675</Paragraphs>
  <ScaleCrop>false</ScaleCrop>
  <Company/>
  <LinksUpToDate>false</LinksUpToDate>
  <CharactersWithSpaces>337514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2020-12-11T18:27:00Z</dcterms:created>
  <dcterms:modified xsi:type="dcterms:W3CDTF">2020-12-15T19:34:00Z</dcterms:modified>
</cp:coreProperties>
</file>