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E67BF5D" w14:textId="1FD8C24A" w:rsidR="008F144A" w:rsidRPr="00791593" w:rsidRDefault="001113B1" w:rsidP="00791593">
      <w:pPr>
        <w:jc w:val="center"/>
        <w:rPr>
          <w:rFonts w:ascii="Arial" w:hAnsi="Arial" w:cs="Arial"/>
        </w:rPr>
      </w:pPr>
      <w:r w:rsidRPr="00791593">
        <w:rPr>
          <w:rFonts w:ascii="Arial" w:hAnsi="Arial" w:cs="Arial"/>
          <w:b/>
          <w:bCs/>
          <w:noProof/>
          <w:lang w:eastAsia="es-MX"/>
        </w:rPr>
        <mc:AlternateContent>
          <mc:Choice Requires="wps">
            <w:drawing>
              <wp:anchor distT="45720" distB="45720" distL="114300" distR="114300" simplePos="0" relativeHeight="251659264" behindDoc="0" locked="0" layoutInCell="1" allowOverlap="1" wp14:anchorId="11352FF7" wp14:editId="2DDBB845">
                <wp:simplePos x="0" y="0"/>
                <wp:positionH relativeFrom="margin">
                  <wp:posOffset>-180975</wp:posOffset>
                </wp:positionH>
                <wp:positionV relativeFrom="paragraph">
                  <wp:posOffset>681990</wp:posOffset>
                </wp:positionV>
                <wp:extent cx="5638800" cy="1798320"/>
                <wp:effectExtent l="0" t="0" r="1905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798320"/>
                        </a:xfrm>
                        <a:prstGeom prst="rect">
                          <a:avLst/>
                        </a:prstGeom>
                        <a:solidFill>
                          <a:srgbClr val="FFFFFF"/>
                        </a:solidFill>
                        <a:ln w="9525">
                          <a:solidFill>
                            <a:srgbClr val="000000"/>
                          </a:solidFill>
                          <a:miter lim="800000"/>
                          <a:headEnd/>
                          <a:tailEnd/>
                        </a:ln>
                      </wps:spPr>
                      <wps:txbx>
                        <w:txbxContent>
                          <w:p w14:paraId="5774E643" w14:textId="3F6FF902" w:rsidR="004D6EB2" w:rsidRDefault="00003E8D">
                            <w:pPr>
                              <w:rPr>
                                <w:rStyle w:val="rubro"/>
                                <w:rFonts w:ascii="Verdana" w:hAnsi="Verdana"/>
                                <w:b/>
                                <w:bCs/>
                                <w:color w:val="333333"/>
                                <w:sz w:val="21"/>
                                <w:szCs w:val="21"/>
                                <w:shd w:val="clear" w:color="auto" w:fill="FFFFFF"/>
                              </w:rPr>
                            </w:pPr>
                            <w:hyperlink r:id="rId7" w:tooltip="Tesis. Clave anterior: , 5a Época, Localización: Gaceta de Jurisprudencia y Tesis en materia electoral, Tribunal Electoral del Poder Judicial de la Federación, Año 7, Número 15, 2014, páginas 80 y 81." w:history="1">
                              <w:r w:rsidR="004D6EB2">
                                <w:rPr>
                                  <w:rStyle w:val="Hipervnculo"/>
                                  <w:rFonts w:ascii="Verdana" w:hAnsi="Verdana"/>
                                  <w:sz w:val="21"/>
                                  <w:szCs w:val="21"/>
                                  <w:shd w:val="clear" w:color="auto" w:fill="FFFFFF"/>
                                </w:rPr>
                                <w:t>Tesis XXIX/2014--No Vigente por Reiteración</w:t>
                              </w:r>
                            </w:hyperlink>
                            <w:r w:rsidR="004D6EB2">
                              <w:rPr>
                                <w:rFonts w:ascii="Verdana" w:hAnsi="Verdana"/>
                                <w:color w:val="333333"/>
                                <w:sz w:val="21"/>
                                <w:szCs w:val="21"/>
                              </w:rPr>
                              <w:br/>
                            </w:r>
                            <w:r w:rsidR="004D6EB2">
                              <w:rPr>
                                <w:rFonts w:ascii="Verdana" w:hAnsi="Verdana"/>
                                <w:b/>
                                <w:bCs/>
                                <w:color w:val="333333"/>
                                <w:sz w:val="21"/>
                                <w:szCs w:val="21"/>
                                <w:shd w:val="clear" w:color="auto" w:fill="FFFFFF"/>
                              </w:rPr>
                              <w:t>SALA SUPERIOR</w:t>
                            </w:r>
                            <w:r w:rsidR="004D6EB2">
                              <w:rPr>
                                <w:rFonts w:ascii="Verdana" w:hAnsi="Verdana"/>
                                <w:color w:val="333333"/>
                                <w:sz w:val="21"/>
                                <w:szCs w:val="21"/>
                              </w:rPr>
                              <w:br/>
                            </w:r>
                            <w:r w:rsidR="004D6EB2">
                              <w:rPr>
                                <w:rFonts w:ascii="Verdana" w:hAnsi="Verdana"/>
                                <w:color w:val="333333"/>
                                <w:sz w:val="21"/>
                                <w:szCs w:val="21"/>
                              </w:rPr>
                              <w:br/>
                            </w:r>
                            <w:r w:rsidR="004D6EB2">
                              <w:rPr>
                                <w:rStyle w:val="rubro"/>
                                <w:rFonts w:ascii="Verdana" w:hAnsi="Verdana"/>
                                <w:b/>
                                <w:bCs/>
                                <w:color w:val="333333"/>
                                <w:sz w:val="21"/>
                                <w:szCs w:val="21"/>
                                <w:shd w:val="clear" w:color="auto" w:fill="FFFFFF"/>
                              </w:rPr>
                              <w:t>COMUNIDADES INDÍGENAS. DEBEN FLEXIBILIZARSE LAS FORMALIDADES EXIGIDAS PARA LA ADMISIÓN Y VALORACIÓN DE MEDIOS DE PRUEBA.</w:t>
                            </w:r>
                          </w:p>
                          <w:p w14:paraId="45B0AB13" w14:textId="259FE094" w:rsidR="004D6EB2" w:rsidRDefault="004D6EB2">
                            <w:pPr>
                              <w:rPr>
                                <w:rStyle w:val="rubro"/>
                                <w:rFonts w:ascii="Verdana" w:hAnsi="Verdana"/>
                                <w:b/>
                                <w:bCs/>
                                <w:color w:val="333333"/>
                                <w:sz w:val="21"/>
                                <w:szCs w:val="21"/>
                                <w:shd w:val="clear" w:color="auto" w:fill="FFFFFF"/>
                              </w:rPr>
                            </w:pPr>
                          </w:p>
                          <w:p w14:paraId="01775E18" w14:textId="1581B1CB" w:rsidR="004D6EB2" w:rsidRDefault="004D6EB2">
                            <w:r>
                              <w:rPr>
                                <w:rFonts w:ascii="Arial" w:hAnsi="Arial" w:cs="Arial"/>
                                <w:color w:val="000000"/>
                                <w:sz w:val="18"/>
                                <w:szCs w:val="18"/>
                                <w:shd w:val="clear" w:color="auto" w:fill="FFFFFF"/>
                              </w:rPr>
                              <w:t>La tesis XXIX/2014 fue reiterada mediante la jurisprudencia 27/2016.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1352FF7" id="_x0000_t202" coordsize="21600,21600" o:spt="202" path="m,l,21600r21600,l21600,xe">
                <v:stroke joinstyle="miter"/>
                <v:path gradientshapeok="t" o:connecttype="rect"/>
              </v:shapetype>
              <v:shape id="Cuadro de texto 2" o:spid="_x0000_s1026" type="#_x0000_t202" style="position:absolute;left:0;text-align:left;margin-left:-14.25pt;margin-top:53.7pt;width:444pt;height:141.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">
                <v:textbox>
                  <w:txbxContent>
                    <w:p w14:paraId="5774E643" w14:textId="3F6FF902" w:rsidR="004D6EB2" w:rsidRDefault="004D6EB2">
                      <w:pPr>
                        <w:rPr>
                          <w:rStyle w:val="rubro"/>
                          <w:rFonts w:ascii="Verdana" w:hAnsi="Verdana"/>
                          <w:b/>
                          <w:bCs/>
                          <w:color w:val="333333"/>
                          <w:sz w:val="21"/>
                          <w:szCs w:val="21"/>
                          <w:shd w:val="clear" w:color="auto" w:fill="FFFFFF"/>
                        </w:rPr>
                      </w:pPr>
                      <w:hyperlink r:id="rId8" w:tooltip="Tesis. Clave anterior: , 5a Época, Localización: Gaceta de Jurisprudencia y Tesis en materia electoral, Tribunal Electoral del Poder Judicial de la Federación, Año 7, Número 15, 2014, páginas 80 y 81." w:history="1">
                        <w:r>
                          <w:rPr>
                            <w:rStyle w:val="Hipervnculo"/>
                            <w:rFonts w:ascii="Verdana" w:hAnsi="Verdana"/>
                            <w:sz w:val="21"/>
                            <w:szCs w:val="21"/>
                            <w:shd w:val="clear" w:color="auto" w:fill="FFFFFF"/>
                          </w:rPr>
                          <w:t>Tesis XXIX/2014--No Vigente por Reiteración</w:t>
                        </w:r>
                      </w:hyperlink>
                      <w:r>
                        <w:rPr>
                          <w:rFonts w:ascii="Verdana" w:hAnsi="Verdana"/>
                          <w:color w:val="333333"/>
                          <w:sz w:val="21"/>
                          <w:szCs w:val="21"/>
                        </w:rPr>
                        <w:br/>
                      </w:r>
                      <w:r>
                        <w:rPr>
                          <w:rFonts w:ascii="Verdana" w:hAnsi="Verdana"/>
                          <w:b/>
                          <w:bCs/>
                          <w:color w:val="333333"/>
                          <w:sz w:val="21"/>
                          <w:szCs w:val="21"/>
                          <w:shd w:val="clear" w:color="auto" w:fill="FFFFFF"/>
                        </w:rPr>
                        <w:t>SALA SUPERIOR</w:t>
                      </w:r>
                      <w:r>
                        <w:rPr>
                          <w:rFonts w:ascii="Verdana" w:hAnsi="Verdana"/>
                          <w:color w:val="333333"/>
                          <w:sz w:val="21"/>
                          <w:szCs w:val="21"/>
                        </w:rPr>
                        <w:br/>
                      </w:r>
                      <w:r>
                        <w:rPr>
                          <w:rFonts w:ascii="Verdana" w:hAnsi="Verdana"/>
                          <w:color w:val="333333"/>
                          <w:sz w:val="21"/>
                          <w:szCs w:val="21"/>
                        </w:rPr>
                        <w:br/>
                      </w:r>
                      <w:r>
                        <w:rPr>
                          <w:rStyle w:val="rubro"/>
                          <w:rFonts w:ascii="Verdana" w:hAnsi="Verdana"/>
                          <w:b/>
                          <w:bCs/>
                          <w:color w:val="333333"/>
                          <w:sz w:val="21"/>
                          <w:szCs w:val="21"/>
                          <w:shd w:val="clear" w:color="auto" w:fill="FFFFFF"/>
                        </w:rPr>
                        <w:t>COMUNIDADES INDÍGENAS. DEBEN FLEXIBILIZARSE LAS FORMALIDADES EXIGIDAS PARA LA ADMISIÓN Y VALORACIÓN DE MEDIOS DE PRUEBA.</w:t>
                      </w:r>
                    </w:p>
                    <w:p w14:paraId="45B0AB13" w14:textId="259FE094" w:rsidR="004D6EB2" w:rsidRDefault="004D6EB2">
                      <w:pPr>
                        <w:rPr>
                          <w:rStyle w:val="rubro"/>
                          <w:rFonts w:ascii="Verdana" w:hAnsi="Verdana"/>
                          <w:b/>
                          <w:bCs/>
                          <w:color w:val="333333"/>
                          <w:sz w:val="21"/>
                          <w:szCs w:val="21"/>
                          <w:shd w:val="clear" w:color="auto" w:fill="FFFFFF"/>
                        </w:rPr>
                      </w:pPr>
                    </w:p>
                    <w:p w14:paraId="01775E18" w14:textId="1581B1CB" w:rsidR="004D6EB2" w:rsidRDefault="004D6EB2">
                      <w:r>
                        <w:rPr>
                          <w:rFonts w:ascii="Arial" w:hAnsi="Arial" w:cs="Arial"/>
                          <w:color w:val="000000"/>
                          <w:sz w:val="18"/>
                          <w:szCs w:val="18"/>
                          <w:shd w:val="clear" w:color="auto" w:fill="FFFFFF"/>
                        </w:rPr>
                        <w:t>La tesis XXIX/2014 fue reiterada mediante la jurisprudencia 27/2016.</w:t>
                      </w:r>
                    </w:p>
                  </w:txbxContent>
                </v:textbox>
                <w10:wrap type="square" anchorx="margin"/>
              </v:shape>
            </w:pict>
          </mc:Fallback>
        </mc:AlternateContent>
      </w:r>
    </w:p>
    <w:p w14:paraId="28081276" w14:textId="58B8F675" w:rsidR="008F144A" w:rsidRPr="00791593" w:rsidRDefault="008F144A" w:rsidP="008F144A">
      <w:pPr>
        <w:tabs>
          <w:tab w:val="left" w:pos="3456"/>
        </w:tabs>
        <w:rPr>
          <w:rFonts w:ascii="Arial" w:hAnsi="Arial" w:cs="Arial"/>
        </w:rPr>
      </w:pPr>
    </w:p>
    <w:p w14:paraId="4AD3CC2E" w14:textId="3A4CED35" w:rsidR="008F144A" w:rsidRPr="00791593" w:rsidRDefault="008F144A" w:rsidP="008F144A">
      <w:pPr>
        <w:tabs>
          <w:tab w:val="left" w:pos="3456"/>
        </w:tabs>
        <w:rPr>
          <w:rFonts w:ascii="Arial" w:hAnsi="Arial" w:cs="Arial"/>
        </w:rPr>
      </w:pPr>
    </w:p>
    <w:p w14:paraId="3434E4B2" w14:textId="6C363D5B" w:rsidR="008F144A" w:rsidRPr="00791593" w:rsidRDefault="008F144A" w:rsidP="008F144A">
      <w:pPr>
        <w:tabs>
          <w:tab w:val="left" w:pos="3456"/>
        </w:tabs>
        <w:rPr>
          <w:rFonts w:ascii="Arial" w:hAnsi="Arial" w:cs="Arial"/>
        </w:rPr>
      </w:pPr>
    </w:p>
    <w:p w14:paraId="77DCAAD7" w14:textId="0785CB3E" w:rsidR="008F144A" w:rsidRPr="00791593" w:rsidRDefault="00EE3E1D" w:rsidP="00EE3E1D">
      <w:pPr>
        <w:pStyle w:val="Ttulo2"/>
        <w:jc w:val="center"/>
        <w:rPr>
          <w:rFonts w:ascii="Arial" w:eastAsia="Times New Roman" w:hAnsi="Arial" w:cs="Arial"/>
          <w:b/>
          <w:bCs/>
          <w:color w:val="C00000"/>
          <w:sz w:val="24"/>
          <w:szCs w:val="24"/>
          <w:lang w:eastAsia="es-MX"/>
        </w:rPr>
      </w:pPr>
      <w:r w:rsidRPr="00791593">
        <w:rPr>
          <w:rFonts w:ascii="Arial" w:eastAsia="Times New Roman" w:hAnsi="Arial" w:cs="Arial"/>
          <w:b/>
          <w:bCs/>
          <w:color w:val="C00000"/>
          <w:sz w:val="24"/>
          <w:szCs w:val="24"/>
          <w:lang w:eastAsia="es-MX"/>
        </w:rPr>
        <w:t>JURISPRUDENCIA 27/2016</w:t>
      </w:r>
    </w:p>
    <w:p w14:paraId="2A8F39BB" w14:textId="77777777" w:rsidR="00EE3E1D" w:rsidRPr="00791593" w:rsidRDefault="00EE3E1D" w:rsidP="00EE3E1D">
      <w:pPr>
        <w:rPr>
          <w:rFonts w:ascii="Arial" w:hAnsi="Arial" w:cs="Arial"/>
          <w:lang w:eastAsia="es-MX"/>
        </w:rPr>
      </w:pPr>
    </w:p>
    <w:tbl>
      <w:tblPr>
        <w:tblW w:w="15360" w:type="dxa"/>
        <w:tblCellSpacing w:w="15" w:type="dxa"/>
        <w:tblCellMar>
          <w:top w:w="15" w:type="dxa"/>
          <w:left w:w="15" w:type="dxa"/>
          <w:bottom w:w="15" w:type="dxa"/>
          <w:right w:w="15" w:type="dxa"/>
        </w:tblCellMar>
        <w:tblLook w:val="04A0" w:firstRow="1" w:lastRow="0" w:firstColumn="1" w:lastColumn="0" w:noHBand="0" w:noVBand="1"/>
      </w:tblPr>
      <w:tblGrid>
        <w:gridCol w:w="15360"/>
      </w:tblGrid>
      <w:tr w:rsidR="008F144A" w:rsidRPr="00791593" w14:paraId="13675A8A" w14:textId="77777777" w:rsidTr="008F144A">
        <w:trPr>
          <w:tblCellSpacing w:w="15" w:type="dxa"/>
        </w:trPr>
        <w:tc>
          <w:tcPr>
            <w:tcW w:w="7500" w:type="dxa"/>
            <w:vAlign w:val="center"/>
            <w:hideMark/>
          </w:tcPr>
          <w:p w14:paraId="35A9CA1C" w14:textId="77777777" w:rsidR="00EE3E1D" w:rsidRPr="00791593" w:rsidRDefault="008F144A" w:rsidP="00EE3E1D">
            <w:pPr>
              <w:spacing w:after="0" w:line="240" w:lineRule="auto"/>
              <w:rPr>
                <w:rFonts w:ascii="Arial" w:eastAsia="Times New Roman" w:hAnsi="Arial" w:cs="Arial"/>
                <w:b/>
                <w:bCs/>
                <w:sz w:val="24"/>
                <w:szCs w:val="24"/>
                <w:lang w:eastAsia="es-MX"/>
              </w:rPr>
            </w:pPr>
            <w:r w:rsidRPr="00791593">
              <w:rPr>
                <w:rFonts w:ascii="Arial" w:eastAsia="Times New Roman" w:hAnsi="Arial" w:cs="Arial"/>
                <w:b/>
                <w:bCs/>
                <w:sz w:val="24"/>
                <w:szCs w:val="24"/>
                <w:lang w:eastAsia="es-MX"/>
              </w:rPr>
              <w:t>Enedino Feliciano López Sánchez</w:t>
            </w:r>
            <w:r w:rsidRPr="00791593">
              <w:rPr>
                <w:rFonts w:ascii="Arial" w:eastAsia="Times New Roman" w:hAnsi="Arial" w:cs="Arial"/>
                <w:sz w:val="24"/>
                <w:szCs w:val="24"/>
                <w:lang w:eastAsia="es-MX"/>
              </w:rPr>
              <w:br/>
            </w:r>
            <w:r w:rsidRPr="00791593">
              <w:rPr>
                <w:rFonts w:ascii="Arial" w:eastAsia="Times New Roman" w:hAnsi="Arial" w:cs="Arial"/>
                <w:b/>
                <w:bCs/>
                <w:sz w:val="24"/>
                <w:szCs w:val="24"/>
                <w:lang w:eastAsia="es-MX"/>
              </w:rPr>
              <w:t>vs.</w:t>
            </w:r>
            <w:r w:rsidRPr="00791593">
              <w:rPr>
                <w:rFonts w:ascii="Arial" w:eastAsia="Times New Roman" w:hAnsi="Arial" w:cs="Arial"/>
                <w:sz w:val="24"/>
                <w:szCs w:val="24"/>
                <w:lang w:eastAsia="es-MX"/>
              </w:rPr>
              <w:br/>
            </w:r>
            <w:r w:rsidRPr="00791593">
              <w:rPr>
                <w:rFonts w:ascii="Arial" w:eastAsia="Times New Roman" w:hAnsi="Arial" w:cs="Arial"/>
                <w:b/>
                <w:bCs/>
                <w:sz w:val="24"/>
                <w:szCs w:val="24"/>
                <w:lang w:eastAsia="es-MX"/>
              </w:rPr>
              <w:t xml:space="preserve">Sala Regional correspondiente a la Tercera Circunscripción Plurinominal, con sede en </w:t>
            </w:r>
          </w:p>
          <w:p w14:paraId="5A4B3CC6" w14:textId="116DA042" w:rsidR="008F144A" w:rsidRPr="00791593" w:rsidRDefault="008F144A" w:rsidP="00EE3E1D">
            <w:pPr>
              <w:spacing w:after="0" w:line="240" w:lineRule="auto"/>
              <w:rPr>
                <w:rFonts w:ascii="Arial" w:eastAsia="Times New Roman" w:hAnsi="Arial" w:cs="Arial"/>
                <w:sz w:val="24"/>
                <w:szCs w:val="24"/>
                <w:lang w:eastAsia="es-MX"/>
              </w:rPr>
            </w:pPr>
            <w:r w:rsidRPr="00791593">
              <w:rPr>
                <w:rFonts w:ascii="Arial" w:eastAsia="Times New Roman" w:hAnsi="Arial" w:cs="Arial"/>
                <w:b/>
                <w:bCs/>
                <w:sz w:val="24"/>
                <w:szCs w:val="24"/>
                <w:lang w:eastAsia="es-MX"/>
              </w:rPr>
              <w:t>Xalapa, Veracruz</w:t>
            </w:r>
            <w:r w:rsidRPr="00791593">
              <w:rPr>
                <w:rFonts w:ascii="Arial" w:eastAsia="Times New Roman" w:hAnsi="Arial" w:cs="Arial"/>
                <w:sz w:val="24"/>
                <w:szCs w:val="24"/>
                <w:lang w:eastAsia="es-MX"/>
              </w:rPr>
              <w:br/>
            </w:r>
            <w:r w:rsidRPr="00791593">
              <w:rPr>
                <w:rFonts w:ascii="Arial" w:eastAsia="Times New Roman" w:hAnsi="Arial" w:cs="Arial"/>
                <w:sz w:val="24"/>
                <w:szCs w:val="24"/>
                <w:lang w:eastAsia="es-MX"/>
              </w:rPr>
              <w:br/>
            </w:r>
            <w:r w:rsidRPr="00791593">
              <w:rPr>
                <w:rFonts w:ascii="Arial" w:eastAsia="Times New Roman" w:hAnsi="Arial" w:cs="Arial"/>
                <w:b/>
                <w:bCs/>
                <w:sz w:val="24"/>
                <w:szCs w:val="24"/>
                <w:lang w:eastAsia="es-MX"/>
              </w:rPr>
              <w:t>Jurisprudencia </w:t>
            </w:r>
            <w:r w:rsidRPr="00791593">
              <w:rPr>
                <w:rFonts w:ascii="Arial" w:eastAsia="Times New Roman" w:hAnsi="Arial" w:cs="Arial"/>
                <w:b/>
                <w:bCs/>
                <w:color w:val="990000"/>
                <w:sz w:val="24"/>
                <w:szCs w:val="24"/>
                <w:lang w:eastAsia="es-MX"/>
              </w:rPr>
              <w:t>27/2016</w:t>
            </w:r>
            <w:r w:rsidRPr="00791593">
              <w:rPr>
                <w:rFonts w:ascii="Arial" w:eastAsia="Times New Roman" w:hAnsi="Arial" w:cs="Arial"/>
                <w:sz w:val="24"/>
                <w:szCs w:val="24"/>
                <w:lang w:eastAsia="es-MX"/>
              </w:rPr>
              <w:br/>
            </w:r>
          </w:p>
        </w:tc>
      </w:tr>
    </w:tbl>
    <w:p w14:paraId="7F09151B" w14:textId="77777777" w:rsidR="008F144A" w:rsidRPr="00791593" w:rsidRDefault="008F144A" w:rsidP="008F144A">
      <w:pPr>
        <w:shd w:val="clear" w:color="auto" w:fill="FFFFFF"/>
        <w:spacing w:after="0" w:line="240" w:lineRule="auto"/>
        <w:jc w:val="both"/>
        <w:rPr>
          <w:rFonts w:ascii="Arial" w:eastAsia="Times New Roman" w:hAnsi="Arial" w:cs="Arial"/>
          <w:color w:val="000000"/>
          <w:sz w:val="24"/>
          <w:szCs w:val="24"/>
          <w:lang w:eastAsia="es-MX"/>
        </w:rPr>
      </w:pPr>
      <w:r w:rsidRPr="00791593">
        <w:rPr>
          <w:rFonts w:ascii="Arial" w:eastAsia="Times New Roman" w:hAnsi="Arial" w:cs="Arial"/>
          <w:b/>
          <w:bCs/>
          <w:color w:val="000000"/>
          <w:sz w:val="24"/>
          <w:szCs w:val="24"/>
          <w:lang w:eastAsia="es-MX"/>
        </w:rPr>
        <w:t>COMUNIDADES INDÍGENAS. DEBEN FLEXIBILIZARSE LAS FORMALIDADES EXIGIDAS PARA LA ADMISIÓN Y VALORACIÓN DE MEDIOS DE PRUEBA.- </w:t>
      </w:r>
      <w:r w:rsidRPr="00791593">
        <w:rPr>
          <w:rFonts w:ascii="Arial" w:eastAsia="Times New Roman" w:hAnsi="Arial" w:cs="Arial"/>
          <w:color w:val="000000"/>
          <w:sz w:val="24"/>
          <w:szCs w:val="24"/>
          <w:lang w:eastAsia="es-MX"/>
        </w:rPr>
        <w:t>De la interpretación sistemática y funcional de los artículos 2º, Apartado A, fracción VIII, de la Constitución Política de los Estados Unidos Mexicanos; y </w:t>
      </w:r>
      <w:hyperlink r:id="rId9" w:history="1">
        <w:r w:rsidRPr="00791593">
          <w:rPr>
            <w:rFonts w:ascii="Arial" w:eastAsia="Times New Roman" w:hAnsi="Arial" w:cs="Arial"/>
            <w:color w:val="006633"/>
            <w:sz w:val="24"/>
            <w:szCs w:val="24"/>
            <w:u w:val="single"/>
            <w:lang w:eastAsia="es-MX"/>
          </w:rPr>
          <w:t>8, párrafo 1, del Convenio 169 de la Organización Internacional del Trabajo sobre Pueblos Indígenas y Tribales en Países Independientes</w:t>
        </w:r>
      </w:hyperlink>
      <w:r w:rsidRPr="00791593">
        <w:rPr>
          <w:rFonts w:ascii="Arial" w:eastAsia="Times New Roman" w:hAnsi="Arial" w:cs="Arial"/>
          <w:color w:val="000000"/>
          <w:sz w:val="24"/>
          <w:szCs w:val="24"/>
          <w:lang w:eastAsia="es-MX"/>
        </w:rPr>
        <w:t xml:space="preserve">, se colige la obligación de garantizar los derechos de acceso pleno a la jurisdicción y al debido proceso de las comunidades indígenas y sus integrantes, atendiendo a sus costumbres y especificidades culturales, económicas o sociales. Bajo esa perspectiva, en los juicios en materia indígena, la exigencia de las formalidades debe analizarse de una manera flexible, conforme a la sana crítica, la lógica y las máximas de la experiencia, a efecto de que todos y cada uno de los medios de prueba allegados al proceso sean analizados atendiendo a su naturaleza y características específicas, sin que sea válido dejar de otorgarles valor y eficacia con motivo del incumplimiento de algún formalismo legal que, a juicio del juzgador y de acuerdo a las particularidades del caso, no se encuentre al alcance del oferente. Lo anterior, a fin de procurar compensar las circunstancias de desigualdad y desventaja procesal en que se encuentran las comunidades indígenas, con pleno respeto al principio de igualdad procesal y a las </w:t>
      </w:r>
      <w:r w:rsidRPr="00791593">
        <w:rPr>
          <w:rFonts w:ascii="Arial" w:eastAsia="Times New Roman" w:hAnsi="Arial" w:cs="Arial"/>
          <w:color w:val="000000"/>
          <w:sz w:val="24"/>
          <w:szCs w:val="24"/>
          <w:lang w:eastAsia="es-MX"/>
        </w:rPr>
        <w:lastRenderedPageBreak/>
        <w:t>reglas elementales en materia probatoria, sin que ello implique necesariamente tener por acreditados los hechos objeto de prueba.</w:t>
      </w:r>
    </w:p>
    <w:p w14:paraId="1A7B96C3" w14:textId="77777777" w:rsidR="008F144A" w:rsidRPr="00791593" w:rsidRDefault="008F144A" w:rsidP="008F144A">
      <w:pPr>
        <w:shd w:val="clear" w:color="auto" w:fill="FFFFFF"/>
        <w:spacing w:after="0" w:line="240" w:lineRule="auto"/>
        <w:jc w:val="both"/>
        <w:rPr>
          <w:rFonts w:ascii="Arial" w:eastAsia="Times New Roman" w:hAnsi="Arial" w:cs="Arial"/>
          <w:color w:val="000000"/>
          <w:sz w:val="24"/>
          <w:szCs w:val="24"/>
          <w:lang w:eastAsia="es-MX"/>
        </w:rPr>
      </w:pPr>
      <w:r w:rsidRPr="00791593">
        <w:rPr>
          <w:rFonts w:ascii="Arial" w:eastAsia="Times New Roman" w:hAnsi="Arial" w:cs="Arial"/>
          <w:color w:val="000000"/>
          <w:sz w:val="24"/>
          <w:szCs w:val="24"/>
          <w:lang w:eastAsia="es-MX"/>
        </w:rPr>
        <w:br/>
      </w:r>
      <w:r w:rsidRPr="00791593">
        <w:rPr>
          <w:rFonts w:ascii="Arial" w:eastAsia="Times New Roman" w:hAnsi="Arial" w:cs="Arial"/>
          <w:color w:val="000000"/>
          <w:sz w:val="24"/>
          <w:szCs w:val="24"/>
          <w:lang w:eastAsia="es-MX"/>
        </w:rPr>
        <w:br/>
      </w:r>
      <w:r w:rsidRPr="00791593">
        <w:rPr>
          <w:rFonts w:ascii="Arial" w:eastAsia="Times New Roman" w:hAnsi="Arial" w:cs="Arial"/>
          <w:b/>
          <w:bCs/>
          <w:color w:val="000000"/>
          <w:sz w:val="24"/>
          <w:szCs w:val="24"/>
          <w:lang w:eastAsia="es-MX"/>
        </w:rPr>
        <w:t>Quinta Época:</w:t>
      </w:r>
    </w:p>
    <w:p w14:paraId="6D74A77E" w14:textId="77777777" w:rsidR="008F144A" w:rsidRPr="00791593" w:rsidRDefault="008F144A" w:rsidP="008F144A">
      <w:pPr>
        <w:shd w:val="clear" w:color="auto" w:fill="FFFFFF"/>
        <w:spacing w:after="0" w:line="240" w:lineRule="auto"/>
        <w:jc w:val="both"/>
        <w:rPr>
          <w:rFonts w:ascii="Arial" w:eastAsia="Times New Roman" w:hAnsi="Arial" w:cs="Arial"/>
          <w:i/>
          <w:iCs/>
          <w:color w:val="000000"/>
          <w:sz w:val="24"/>
          <w:szCs w:val="24"/>
          <w:lang w:eastAsia="es-MX"/>
        </w:rPr>
      </w:pPr>
      <w:r w:rsidRPr="00791593">
        <w:rPr>
          <w:rFonts w:ascii="Arial" w:eastAsia="Times New Roman" w:hAnsi="Arial" w:cs="Arial"/>
          <w:i/>
          <w:iCs/>
          <w:color w:val="000000"/>
          <w:sz w:val="24"/>
          <w:szCs w:val="24"/>
          <w:lang w:eastAsia="es-MX"/>
        </w:rPr>
        <w:br/>
      </w:r>
      <w:r w:rsidRPr="00791593">
        <w:rPr>
          <w:rFonts w:ascii="Arial" w:eastAsia="Times New Roman" w:hAnsi="Arial" w:cs="Arial"/>
          <w:i/>
          <w:iCs/>
          <w:color w:val="000000"/>
          <w:sz w:val="24"/>
          <w:szCs w:val="24"/>
          <w:lang w:eastAsia="es-MX"/>
        </w:rPr>
        <w:br/>
        <w:t>Recurso de reconsideración. </w:t>
      </w:r>
      <w:hyperlink r:id="rId10" w:tgtFrame="_blank" w:history="1">
        <w:r w:rsidRPr="00791593">
          <w:rPr>
            <w:rFonts w:ascii="Arial" w:eastAsia="Times New Roman" w:hAnsi="Arial" w:cs="Arial"/>
            <w:i/>
            <w:iCs/>
            <w:color w:val="006633"/>
            <w:sz w:val="24"/>
            <w:szCs w:val="24"/>
            <w:u w:val="single"/>
            <w:lang w:eastAsia="es-MX"/>
          </w:rPr>
          <w:t>SUP-REC-827/2014</w:t>
        </w:r>
      </w:hyperlink>
      <w:r w:rsidRPr="00791593">
        <w:rPr>
          <w:rFonts w:ascii="Arial" w:eastAsia="Times New Roman" w:hAnsi="Arial" w:cs="Arial"/>
          <w:i/>
          <w:iCs/>
          <w:color w:val="000000"/>
          <w:sz w:val="24"/>
          <w:szCs w:val="24"/>
          <w:lang w:eastAsia="es-MX"/>
        </w:rPr>
        <w:t>.—Recurrente: Enedino Feliciano López Sánchez.—Autoridad responsable: Sala Regional del Tribunal Electoral del Poder Judicial de la Federación, correspondiente a la Tercera Circunscripción Plurinominal, con sede en Xalapa, Veracruz.—9 de abril de 2014.—Unanimidad de votos.—Ponente: José Alejandro Luna Ramos.—Ausentes: Manuel González Oropeza y Salvador Olimpo Nava Gomar.—Secretarios: Martha Fabiola King Tamayo y Fernando Ramírez Barrios.</w:t>
      </w:r>
    </w:p>
    <w:p w14:paraId="12536453" w14:textId="2F4A754D" w:rsidR="008F144A" w:rsidRPr="00791593" w:rsidRDefault="008F144A" w:rsidP="008F144A">
      <w:pPr>
        <w:shd w:val="clear" w:color="auto" w:fill="FFFFFF"/>
        <w:spacing w:after="0" w:line="240" w:lineRule="auto"/>
        <w:jc w:val="both"/>
        <w:rPr>
          <w:rFonts w:ascii="Arial" w:eastAsia="Times New Roman" w:hAnsi="Arial" w:cs="Arial"/>
          <w:color w:val="000000"/>
          <w:sz w:val="24"/>
          <w:szCs w:val="24"/>
          <w:lang w:eastAsia="es-MX"/>
        </w:rPr>
      </w:pPr>
      <w:r w:rsidRPr="00791593">
        <w:rPr>
          <w:rFonts w:ascii="Arial" w:eastAsia="Times New Roman" w:hAnsi="Arial" w:cs="Arial"/>
          <w:i/>
          <w:iCs/>
          <w:color w:val="000000"/>
          <w:sz w:val="24"/>
          <w:szCs w:val="24"/>
          <w:lang w:eastAsia="es-MX"/>
        </w:rPr>
        <w:br/>
      </w:r>
      <w:hyperlink r:id="rId11" w:history="1">
        <w:r w:rsidRPr="00791593">
          <w:rPr>
            <w:rFonts w:ascii="Arial" w:eastAsia="Times New Roman" w:hAnsi="Arial" w:cs="Arial"/>
            <w:i/>
            <w:iCs/>
            <w:color w:val="0000FF"/>
            <w:sz w:val="24"/>
            <w:szCs w:val="24"/>
            <w:u w:val="single"/>
            <w:lang w:eastAsia="es-MX"/>
          </w:rPr>
          <w:t>Ver casos relacionados</w:t>
        </w:r>
      </w:hyperlink>
    </w:p>
    <w:p w14:paraId="0CE1492E" w14:textId="77777777" w:rsidR="008F144A" w:rsidRPr="00791593" w:rsidRDefault="008F144A" w:rsidP="008F144A">
      <w:pPr>
        <w:shd w:val="clear" w:color="auto" w:fill="FFFFFF"/>
        <w:spacing w:after="0" w:line="240" w:lineRule="auto"/>
        <w:jc w:val="both"/>
        <w:rPr>
          <w:rFonts w:ascii="Arial" w:eastAsia="Times New Roman" w:hAnsi="Arial" w:cs="Arial"/>
          <w:i/>
          <w:iCs/>
          <w:color w:val="000000"/>
          <w:sz w:val="24"/>
          <w:szCs w:val="24"/>
          <w:lang w:eastAsia="es-MX"/>
        </w:rPr>
      </w:pPr>
      <w:r w:rsidRPr="00791593">
        <w:rPr>
          <w:rFonts w:ascii="Arial" w:eastAsia="Times New Roman" w:hAnsi="Arial" w:cs="Arial"/>
          <w:i/>
          <w:iCs/>
          <w:color w:val="000000"/>
          <w:sz w:val="24"/>
          <w:szCs w:val="24"/>
          <w:lang w:eastAsia="es-MX"/>
        </w:rPr>
        <w:br/>
      </w:r>
      <w:r w:rsidRPr="00791593">
        <w:rPr>
          <w:rFonts w:ascii="Arial" w:eastAsia="Times New Roman" w:hAnsi="Arial" w:cs="Arial"/>
          <w:i/>
          <w:iCs/>
          <w:color w:val="000000"/>
          <w:sz w:val="24"/>
          <w:szCs w:val="24"/>
          <w:lang w:eastAsia="es-MX"/>
        </w:rPr>
        <w:br/>
        <w:t>Recurso de reconsideración. </w:t>
      </w:r>
      <w:hyperlink r:id="rId12" w:tgtFrame="_blank" w:history="1">
        <w:r w:rsidRPr="00791593">
          <w:rPr>
            <w:rFonts w:ascii="Arial" w:eastAsia="Times New Roman" w:hAnsi="Arial" w:cs="Arial"/>
            <w:i/>
            <w:iCs/>
            <w:color w:val="006633"/>
            <w:sz w:val="24"/>
            <w:szCs w:val="24"/>
            <w:u w:val="single"/>
            <w:lang w:eastAsia="es-MX"/>
          </w:rPr>
          <w:t>SUP-REC-834/2014</w:t>
        </w:r>
      </w:hyperlink>
      <w:r w:rsidRPr="00791593">
        <w:rPr>
          <w:rFonts w:ascii="Arial" w:eastAsia="Times New Roman" w:hAnsi="Arial" w:cs="Arial"/>
          <w:i/>
          <w:iCs/>
          <w:color w:val="000000"/>
          <w:sz w:val="24"/>
          <w:szCs w:val="24"/>
          <w:lang w:eastAsia="es-MX"/>
        </w:rPr>
        <w:t>.—Recurrentes: Alfonso Alvarado Martínez y otros.—Autoridad responsable: Sala Regional del Tribunal Electoral del Poder Judicial de la Federación, correspondiente a la Tercera Circunscripción Plurinominal, con sede en Xalapa, Veracruz.—14 de mayo de 2014.—Unanimidad de votos.—Ponente: Flavio Galván Rivera.—Secretarios: Alejandro Olvera Acevedo, Isaías Trejo Sánchez y Rodrigo Quezada Goncen.</w:t>
      </w:r>
    </w:p>
    <w:p w14:paraId="243C8172" w14:textId="39C131CB" w:rsidR="008F144A" w:rsidRPr="00791593" w:rsidRDefault="008F144A" w:rsidP="008F144A">
      <w:pPr>
        <w:shd w:val="clear" w:color="auto" w:fill="FFFFFF"/>
        <w:spacing w:after="0" w:line="240" w:lineRule="auto"/>
        <w:jc w:val="both"/>
        <w:rPr>
          <w:rFonts w:ascii="Arial" w:eastAsia="Times New Roman" w:hAnsi="Arial" w:cs="Arial"/>
          <w:color w:val="000000"/>
          <w:sz w:val="24"/>
          <w:szCs w:val="24"/>
          <w:lang w:eastAsia="es-MX"/>
        </w:rPr>
      </w:pPr>
      <w:r w:rsidRPr="00791593">
        <w:rPr>
          <w:rFonts w:ascii="Arial" w:eastAsia="Times New Roman" w:hAnsi="Arial" w:cs="Arial"/>
          <w:i/>
          <w:iCs/>
          <w:color w:val="000000"/>
          <w:sz w:val="24"/>
          <w:szCs w:val="24"/>
          <w:lang w:eastAsia="es-MX"/>
        </w:rPr>
        <w:br/>
      </w:r>
      <w:hyperlink r:id="rId13" w:history="1">
        <w:r w:rsidRPr="00791593">
          <w:rPr>
            <w:rFonts w:ascii="Arial" w:eastAsia="Times New Roman" w:hAnsi="Arial" w:cs="Arial"/>
            <w:i/>
            <w:iCs/>
            <w:color w:val="0000FF"/>
            <w:sz w:val="24"/>
            <w:szCs w:val="24"/>
            <w:u w:val="single"/>
            <w:lang w:eastAsia="es-MX"/>
          </w:rPr>
          <w:t>Ver casos relacionados</w:t>
        </w:r>
      </w:hyperlink>
    </w:p>
    <w:p w14:paraId="51F1C904" w14:textId="77777777" w:rsidR="008F144A" w:rsidRPr="00791593" w:rsidRDefault="008F144A" w:rsidP="008F144A">
      <w:pPr>
        <w:shd w:val="clear" w:color="auto" w:fill="FFFFFF"/>
        <w:spacing w:after="0" w:line="240" w:lineRule="auto"/>
        <w:jc w:val="both"/>
        <w:rPr>
          <w:rFonts w:ascii="Arial" w:eastAsia="Times New Roman" w:hAnsi="Arial" w:cs="Arial"/>
          <w:i/>
          <w:iCs/>
          <w:color w:val="000000"/>
          <w:sz w:val="24"/>
          <w:szCs w:val="24"/>
          <w:lang w:eastAsia="es-MX"/>
        </w:rPr>
      </w:pPr>
      <w:r w:rsidRPr="00791593">
        <w:rPr>
          <w:rFonts w:ascii="Arial" w:eastAsia="Times New Roman" w:hAnsi="Arial" w:cs="Arial"/>
          <w:i/>
          <w:iCs/>
          <w:color w:val="000000"/>
          <w:sz w:val="24"/>
          <w:szCs w:val="24"/>
          <w:lang w:eastAsia="es-MX"/>
        </w:rPr>
        <w:br/>
      </w:r>
      <w:r w:rsidRPr="00791593">
        <w:rPr>
          <w:rFonts w:ascii="Arial" w:eastAsia="Times New Roman" w:hAnsi="Arial" w:cs="Arial"/>
          <w:i/>
          <w:iCs/>
          <w:color w:val="000000"/>
          <w:sz w:val="24"/>
          <w:szCs w:val="24"/>
          <w:lang w:eastAsia="es-MX"/>
        </w:rPr>
        <w:br/>
        <w:t>Juicio para la protección de los derechos político-electorales del ciudadano. </w:t>
      </w:r>
      <w:hyperlink r:id="rId14" w:tgtFrame="_blank" w:history="1">
        <w:r w:rsidRPr="00791593">
          <w:rPr>
            <w:rFonts w:ascii="Arial" w:eastAsia="Times New Roman" w:hAnsi="Arial" w:cs="Arial"/>
            <w:i/>
            <w:iCs/>
            <w:color w:val="006633"/>
            <w:sz w:val="24"/>
            <w:szCs w:val="24"/>
            <w:u w:val="single"/>
            <w:lang w:eastAsia="es-MX"/>
          </w:rPr>
          <w:t>SUP-JDC-364/2015</w:t>
        </w:r>
      </w:hyperlink>
      <w:r w:rsidRPr="00791593">
        <w:rPr>
          <w:rFonts w:ascii="Arial" w:eastAsia="Times New Roman" w:hAnsi="Arial" w:cs="Arial"/>
          <w:i/>
          <w:iCs/>
          <w:color w:val="000000"/>
          <w:sz w:val="24"/>
          <w:szCs w:val="24"/>
          <w:lang w:eastAsia="es-MX"/>
        </w:rPr>
        <w:t> y acumulado. Acuerdo de Sala Superior—Actores: Juan Fabián Juárez y otros.—Autoridades responsables: Tribunal Electoral del Estado de Michoacán y otro.—27 de mayo de 2015.—Unanimidad de votos.—Ponente: María del Carmen Alanis Figueroa.— Secretarios: Arturo Guerrero Zazueta, Andrés Carlos Vázquez Murillo y Raúl Zeuz Ávila Sánchez.</w:t>
      </w:r>
    </w:p>
    <w:p w14:paraId="3E90582D" w14:textId="34A598FF" w:rsidR="008F144A" w:rsidRPr="00791593" w:rsidRDefault="008F144A" w:rsidP="008F144A">
      <w:pPr>
        <w:shd w:val="clear" w:color="auto" w:fill="FFFFFF"/>
        <w:spacing w:after="0" w:line="240" w:lineRule="auto"/>
        <w:jc w:val="both"/>
        <w:rPr>
          <w:rFonts w:ascii="Arial" w:eastAsia="Times New Roman" w:hAnsi="Arial" w:cs="Arial"/>
          <w:color w:val="000000"/>
          <w:sz w:val="24"/>
          <w:szCs w:val="24"/>
          <w:lang w:eastAsia="es-MX"/>
        </w:rPr>
      </w:pPr>
      <w:r w:rsidRPr="00791593">
        <w:rPr>
          <w:rFonts w:ascii="Arial" w:eastAsia="Times New Roman" w:hAnsi="Arial" w:cs="Arial"/>
          <w:i/>
          <w:iCs/>
          <w:color w:val="000000"/>
          <w:sz w:val="24"/>
          <w:szCs w:val="24"/>
          <w:lang w:eastAsia="es-MX"/>
        </w:rPr>
        <w:br/>
      </w:r>
      <w:r w:rsidRPr="00791593">
        <w:rPr>
          <w:rFonts w:ascii="Arial" w:eastAsia="Times New Roman" w:hAnsi="Arial" w:cs="Arial"/>
          <w:color w:val="000000"/>
          <w:sz w:val="24"/>
          <w:szCs w:val="24"/>
          <w:lang w:eastAsia="es-MX"/>
        </w:rPr>
        <w:br/>
      </w:r>
      <w:r w:rsidRPr="00791593">
        <w:rPr>
          <w:rFonts w:ascii="Arial" w:eastAsia="Times New Roman" w:hAnsi="Arial" w:cs="Arial"/>
          <w:b/>
          <w:bCs/>
          <w:color w:val="000000"/>
          <w:sz w:val="24"/>
          <w:szCs w:val="24"/>
          <w:lang w:eastAsia="es-MX"/>
        </w:rPr>
        <w:t>La Sala Superior en sesión pública celebrada el diecisiete de agosto de dos mil dieciséis, aprobó por unanimidad de votos la jurisprudencia que antecede y la declaró formalmente obligatoria.</w:t>
      </w:r>
    </w:p>
    <w:p w14:paraId="41C786F6" w14:textId="4293864C" w:rsidR="008F144A" w:rsidRPr="00791593" w:rsidRDefault="008F144A" w:rsidP="008F144A">
      <w:pPr>
        <w:shd w:val="clear" w:color="auto" w:fill="FFFFFF"/>
        <w:spacing w:after="0" w:line="240" w:lineRule="auto"/>
        <w:jc w:val="both"/>
        <w:rPr>
          <w:rFonts w:ascii="Arial" w:eastAsia="Times New Roman" w:hAnsi="Arial" w:cs="Arial"/>
          <w:color w:val="000000"/>
          <w:sz w:val="24"/>
          <w:szCs w:val="24"/>
          <w:lang w:eastAsia="es-MX"/>
        </w:rPr>
      </w:pPr>
      <w:r w:rsidRPr="00791593">
        <w:rPr>
          <w:rFonts w:ascii="Arial" w:eastAsia="Times New Roman" w:hAnsi="Arial" w:cs="Arial"/>
          <w:color w:val="000000"/>
          <w:sz w:val="24"/>
          <w:szCs w:val="24"/>
          <w:lang w:eastAsia="es-MX"/>
        </w:rPr>
        <w:br/>
      </w:r>
      <w:r w:rsidRPr="00791593">
        <w:rPr>
          <w:rFonts w:ascii="Arial" w:eastAsia="Times New Roman" w:hAnsi="Arial" w:cs="Arial"/>
          <w:color w:val="000000"/>
          <w:sz w:val="24"/>
          <w:szCs w:val="24"/>
          <w:lang w:eastAsia="es-MX"/>
        </w:rPr>
        <w:br/>
      </w:r>
      <w:r w:rsidRPr="00791593">
        <w:rPr>
          <w:rFonts w:ascii="Arial" w:eastAsia="Times New Roman" w:hAnsi="Arial" w:cs="Arial"/>
          <w:b/>
          <w:bCs/>
          <w:color w:val="000000"/>
          <w:sz w:val="24"/>
          <w:szCs w:val="24"/>
          <w:lang w:eastAsia="es-MX"/>
        </w:rPr>
        <w:t>Gaceta de Jurisprudencia y Tesis en materia electoral, Tribunal Electoral del Poder Judicial de la Federación, Año 9, Número 19, 2016, páginas 11 y 12.</w:t>
      </w:r>
      <w:r w:rsidRPr="00791593">
        <w:rPr>
          <w:rFonts w:ascii="Arial" w:eastAsia="Times New Roman" w:hAnsi="Arial" w:cs="Arial"/>
          <w:color w:val="000000"/>
          <w:sz w:val="24"/>
          <w:szCs w:val="24"/>
          <w:lang w:eastAsia="es-MX"/>
        </w:rPr>
        <w:br/>
      </w:r>
    </w:p>
    <w:p w14:paraId="0B51C931" w14:textId="5BA0203C" w:rsidR="008F144A" w:rsidRPr="00791593" w:rsidRDefault="008F144A" w:rsidP="008F144A">
      <w:pPr>
        <w:tabs>
          <w:tab w:val="left" w:pos="3456"/>
        </w:tabs>
        <w:rPr>
          <w:rFonts w:ascii="Arial" w:hAnsi="Arial" w:cs="Arial"/>
        </w:rPr>
      </w:pPr>
    </w:p>
    <w:p w14:paraId="290189EC" w14:textId="77777777" w:rsidR="008F144A" w:rsidRPr="00791593" w:rsidRDefault="008F144A" w:rsidP="008F144A">
      <w:pPr>
        <w:tabs>
          <w:tab w:val="left" w:pos="3456"/>
        </w:tabs>
        <w:rPr>
          <w:rFonts w:ascii="Arial" w:hAnsi="Arial" w:cs="Arial"/>
        </w:rPr>
      </w:pPr>
    </w:p>
    <w:p w14:paraId="5B2DFB46" w14:textId="0E0D9CD3" w:rsidR="008F144A" w:rsidRPr="00791593" w:rsidRDefault="008F144A" w:rsidP="008F144A">
      <w:pPr>
        <w:rPr>
          <w:rFonts w:ascii="Arial" w:hAnsi="Arial" w:cs="Arial"/>
        </w:rPr>
      </w:pPr>
    </w:p>
    <w:p w14:paraId="3B460FD0" w14:textId="09D96B25" w:rsidR="008F144A" w:rsidRPr="00791593" w:rsidRDefault="008F144A" w:rsidP="008F144A">
      <w:pPr>
        <w:rPr>
          <w:rFonts w:ascii="Arial" w:hAnsi="Arial" w:cs="Arial"/>
        </w:rPr>
      </w:pPr>
    </w:p>
    <w:p w14:paraId="74F00FFA" w14:textId="38A1EA19" w:rsidR="008F144A" w:rsidRPr="00791593" w:rsidRDefault="008F144A" w:rsidP="008F144A">
      <w:pPr>
        <w:rPr>
          <w:rFonts w:ascii="Arial" w:hAnsi="Arial" w:cs="Arial"/>
        </w:rPr>
      </w:pPr>
    </w:p>
    <w:p w14:paraId="369E99B9" w14:textId="7D7C2379" w:rsidR="008F144A" w:rsidRPr="00791593" w:rsidRDefault="008F144A" w:rsidP="008F144A">
      <w:pPr>
        <w:rPr>
          <w:rFonts w:ascii="Arial" w:hAnsi="Arial" w:cs="Arial"/>
        </w:rPr>
      </w:pPr>
    </w:p>
    <w:p w14:paraId="1E69CDEC" w14:textId="5C0D9F0A" w:rsidR="008F144A" w:rsidRPr="00791593" w:rsidRDefault="008F144A" w:rsidP="008F144A">
      <w:pPr>
        <w:rPr>
          <w:rFonts w:ascii="Arial" w:hAnsi="Arial" w:cs="Arial"/>
        </w:rPr>
      </w:pPr>
    </w:p>
    <w:p w14:paraId="119B2757" w14:textId="1B9768A7" w:rsidR="008F144A" w:rsidRPr="00791593" w:rsidRDefault="008F144A" w:rsidP="008F144A">
      <w:pPr>
        <w:rPr>
          <w:rFonts w:ascii="Arial" w:hAnsi="Arial" w:cs="Arial"/>
        </w:rPr>
      </w:pPr>
    </w:p>
    <w:p w14:paraId="1A968093" w14:textId="1ACF39D5" w:rsidR="008F144A" w:rsidRPr="00791593" w:rsidRDefault="008F144A" w:rsidP="008F144A">
      <w:pPr>
        <w:rPr>
          <w:rFonts w:ascii="Arial" w:hAnsi="Arial" w:cs="Arial"/>
        </w:rPr>
      </w:pPr>
    </w:p>
    <w:p w14:paraId="1AEA5D39" w14:textId="2C071A11" w:rsidR="008F144A" w:rsidRPr="00791593" w:rsidRDefault="008F144A" w:rsidP="008F144A">
      <w:pPr>
        <w:rPr>
          <w:rFonts w:ascii="Arial" w:hAnsi="Arial" w:cs="Arial"/>
        </w:rPr>
      </w:pPr>
    </w:p>
    <w:p w14:paraId="277FC728" w14:textId="6C082039" w:rsidR="008F144A" w:rsidRPr="00791593" w:rsidRDefault="008F144A" w:rsidP="008F144A">
      <w:pPr>
        <w:rPr>
          <w:rFonts w:ascii="Arial" w:hAnsi="Arial" w:cs="Arial"/>
        </w:rPr>
      </w:pPr>
    </w:p>
    <w:p w14:paraId="0EC90A9E" w14:textId="51A9160E" w:rsidR="008F144A" w:rsidRPr="00791593" w:rsidRDefault="008F144A" w:rsidP="008F144A">
      <w:pPr>
        <w:rPr>
          <w:rFonts w:ascii="Arial" w:hAnsi="Arial" w:cs="Arial"/>
        </w:rPr>
      </w:pPr>
    </w:p>
    <w:p w14:paraId="145D7619" w14:textId="60885F8B" w:rsidR="008F144A" w:rsidRPr="00791593" w:rsidRDefault="008F144A" w:rsidP="008F144A">
      <w:pPr>
        <w:rPr>
          <w:rFonts w:ascii="Arial" w:hAnsi="Arial" w:cs="Arial"/>
        </w:rPr>
      </w:pPr>
    </w:p>
    <w:p w14:paraId="51091A48" w14:textId="1B969D5A" w:rsidR="008F144A" w:rsidRPr="00791593" w:rsidRDefault="00335852" w:rsidP="00335852">
      <w:pPr>
        <w:pStyle w:val="Ttulo3"/>
        <w:numPr>
          <w:ilvl w:val="0"/>
          <w:numId w:val="1"/>
        </w:numPr>
        <w:rPr>
          <w:rFonts w:ascii="Arial" w:eastAsia="Times New Roman" w:hAnsi="Arial" w:cs="Arial"/>
          <w:b/>
          <w:bCs/>
          <w:color w:val="auto"/>
          <w:sz w:val="28"/>
          <w:szCs w:val="28"/>
          <w:lang w:eastAsia="es-MX"/>
        </w:rPr>
      </w:pPr>
      <w:r w:rsidRPr="00791593">
        <w:rPr>
          <w:rFonts w:ascii="Arial" w:eastAsia="Times New Roman" w:hAnsi="Arial" w:cs="Arial"/>
          <w:b/>
          <w:bCs/>
          <w:color w:val="auto"/>
          <w:sz w:val="28"/>
          <w:szCs w:val="28"/>
          <w:lang w:eastAsia="es-MX"/>
        </w:rPr>
        <w:t xml:space="preserve">SENTENCIA </w:t>
      </w:r>
      <w:hyperlink r:id="rId15" w:tgtFrame="_blank" w:history="1">
        <w:r w:rsidR="008F144A" w:rsidRPr="00791593">
          <w:rPr>
            <w:rFonts w:ascii="Arial" w:eastAsia="Times New Roman" w:hAnsi="Arial" w:cs="Arial"/>
            <w:b/>
            <w:bCs/>
            <w:color w:val="C00000"/>
            <w:sz w:val="28"/>
            <w:szCs w:val="28"/>
            <w:lang w:eastAsia="es-MX"/>
          </w:rPr>
          <w:t>SUP-REC-827/2014</w:t>
        </w:r>
      </w:hyperlink>
    </w:p>
    <w:p w14:paraId="7C1F503F" w14:textId="0EAF0729" w:rsidR="00335852" w:rsidRPr="00791593" w:rsidRDefault="00335852" w:rsidP="00335852">
      <w:pPr>
        <w:rPr>
          <w:rFonts w:ascii="Arial" w:hAnsi="Arial" w:cs="Arial"/>
          <w:lang w:eastAsia="es-MX"/>
        </w:rPr>
      </w:pPr>
    </w:p>
    <w:p w14:paraId="6BB279C6" w14:textId="77777777" w:rsidR="00DF77D2" w:rsidRPr="00791593" w:rsidRDefault="00DF77D2" w:rsidP="00335852">
      <w:pPr>
        <w:rPr>
          <w:rFonts w:ascii="Arial" w:hAnsi="Arial" w:cs="Arial"/>
          <w:lang w:eastAsia="es-MX"/>
        </w:rPr>
      </w:pPr>
    </w:p>
    <w:tbl>
      <w:tblPr>
        <w:tblW w:w="4530" w:type="dxa"/>
        <w:jc w:val="right"/>
        <w:tblCellSpacing w:w="0" w:type="dxa"/>
        <w:tblCellMar>
          <w:top w:w="60" w:type="dxa"/>
          <w:left w:w="60" w:type="dxa"/>
          <w:bottom w:w="60" w:type="dxa"/>
          <w:right w:w="60" w:type="dxa"/>
        </w:tblCellMar>
        <w:tblLook w:val="04A0" w:firstRow="1" w:lastRow="0" w:firstColumn="1" w:lastColumn="0" w:noHBand="0" w:noVBand="1"/>
      </w:tblPr>
      <w:tblGrid>
        <w:gridCol w:w="4530"/>
      </w:tblGrid>
      <w:tr w:rsidR="00DF77D2" w:rsidRPr="00791593" w14:paraId="10184F90" w14:textId="77777777" w:rsidTr="004D6EB2">
        <w:trPr>
          <w:trHeight w:val="4335"/>
          <w:tblCellSpacing w:w="0" w:type="dxa"/>
          <w:jc w:val="right"/>
        </w:trPr>
        <w:tc>
          <w:tcPr>
            <w:tcW w:w="0" w:type="auto"/>
            <w:hideMark/>
          </w:tcPr>
          <w:p w14:paraId="52F38DAE" w14:textId="77777777" w:rsidR="00DF77D2" w:rsidRPr="00791593" w:rsidRDefault="00DF77D2" w:rsidP="00DF77D2">
            <w:pPr>
              <w:spacing w:before="100" w:beforeAutospacing="1" w:after="100" w:afterAutospacing="1" w:line="240" w:lineRule="auto"/>
              <w:jc w:val="both"/>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 xml:space="preserve">RECURSO DE RECONSIDERACIÓN </w:t>
            </w:r>
          </w:p>
          <w:p w14:paraId="648F21A1" w14:textId="77777777" w:rsidR="00DF77D2" w:rsidRPr="00791593" w:rsidRDefault="00DF77D2" w:rsidP="00DF77D2">
            <w:pPr>
              <w:spacing w:before="100" w:beforeAutospacing="1" w:after="100" w:afterAutospacing="1" w:line="240" w:lineRule="auto"/>
              <w:jc w:val="both"/>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 xml:space="preserve">EXPEDIENTE: </w:t>
            </w:r>
            <w:r w:rsidRPr="00791593">
              <w:rPr>
                <w:rFonts w:ascii="Arial" w:eastAsia="Times New Roman" w:hAnsi="Arial" w:cs="Arial"/>
                <w:bCs/>
                <w:sz w:val="28"/>
                <w:szCs w:val="28"/>
                <w:lang w:eastAsia="es-MX"/>
              </w:rPr>
              <w:t>SUP-REC-827/2014</w:t>
            </w:r>
          </w:p>
          <w:p w14:paraId="6209FA06" w14:textId="77777777" w:rsidR="00DF77D2" w:rsidRPr="00791593" w:rsidRDefault="00DF77D2" w:rsidP="00DF77D2">
            <w:pPr>
              <w:spacing w:before="100" w:beforeAutospacing="1" w:after="100" w:afterAutospacing="1" w:line="240" w:lineRule="auto"/>
              <w:jc w:val="both"/>
              <w:rPr>
                <w:rFonts w:ascii="Arial" w:eastAsia="Times New Roman" w:hAnsi="Arial" w:cs="Arial"/>
                <w:sz w:val="28"/>
                <w:szCs w:val="28"/>
                <w:lang w:eastAsia="es-MX"/>
              </w:rPr>
            </w:pPr>
            <w:r w:rsidRPr="00791593">
              <w:rPr>
                <w:rFonts w:ascii="Arial" w:eastAsia="Times New Roman" w:hAnsi="Arial" w:cs="Arial"/>
                <w:b/>
                <w:bCs/>
                <w:sz w:val="28"/>
                <w:szCs w:val="28"/>
                <w:lang w:eastAsia="es-MX"/>
              </w:rPr>
              <w:t xml:space="preserve">RECURRENTE: </w:t>
            </w:r>
            <w:r w:rsidRPr="00791593">
              <w:rPr>
                <w:rFonts w:ascii="Arial" w:eastAsia="Times New Roman" w:hAnsi="Arial" w:cs="Arial"/>
                <w:bCs/>
                <w:sz w:val="28"/>
                <w:szCs w:val="28"/>
                <w:lang w:eastAsia="es-MX"/>
              </w:rPr>
              <w:t>ENEDINO FELICIANO LÓPEZ SÁNCHEZ</w:t>
            </w:r>
            <w:r w:rsidRPr="00791593">
              <w:rPr>
                <w:rFonts w:ascii="Arial" w:eastAsia="Times New Roman" w:hAnsi="Arial" w:cs="Arial"/>
                <w:sz w:val="28"/>
                <w:szCs w:val="28"/>
                <w:lang w:eastAsia="es-MX"/>
              </w:rPr>
              <w:t xml:space="preserve"> </w:t>
            </w:r>
          </w:p>
          <w:p w14:paraId="33C99E88" w14:textId="77777777" w:rsidR="00DF77D2" w:rsidRPr="00791593" w:rsidRDefault="00DF77D2" w:rsidP="00DF77D2">
            <w:pPr>
              <w:spacing w:before="100" w:beforeAutospacing="1" w:after="100" w:afterAutospacing="1" w:line="240" w:lineRule="auto"/>
              <w:jc w:val="both"/>
              <w:rPr>
                <w:rFonts w:ascii="Arial" w:eastAsia="Times New Roman" w:hAnsi="Arial" w:cs="Arial"/>
                <w:b/>
                <w:bCs/>
                <w:sz w:val="28"/>
                <w:szCs w:val="28"/>
                <w:lang w:val="it-IT" w:eastAsia="es-MX"/>
              </w:rPr>
            </w:pPr>
            <w:r w:rsidRPr="00791593">
              <w:rPr>
                <w:rFonts w:ascii="Arial" w:eastAsia="Times New Roman" w:hAnsi="Arial" w:cs="Arial"/>
                <w:b/>
                <w:bCs/>
                <w:sz w:val="28"/>
                <w:szCs w:val="28"/>
                <w:lang w:eastAsia="es-MX"/>
              </w:rPr>
              <w:t xml:space="preserve">AUTORIDAD RESPONSABLE: </w:t>
            </w:r>
            <w:r w:rsidRPr="00791593">
              <w:rPr>
                <w:rFonts w:ascii="Arial" w:eastAsia="Times New Roman" w:hAnsi="Arial" w:cs="Arial"/>
                <w:bCs/>
                <w:sz w:val="28"/>
                <w:szCs w:val="28"/>
                <w:lang w:eastAsia="es-MX"/>
              </w:rPr>
              <w:t xml:space="preserve">SALA REGIONAL DEL TRIBUNAL ELECTORAL DEL PODER JUDICIAL DE LA FEDERACIÓN, CORRESPONDIENTE A LA </w:t>
            </w:r>
            <w:r w:rsidRPr="00791593">
              <w:rPr>
                <w:rFonts w:ascii="Arial" w:eastAsia="Times New Roman" w:hAnsi="Arial" w:cs="Arial"/>
                <w:bCs/>
                <w:sz w:val="28"/>
                <w:szCs w:val="28"/>
                <w:lang w:val="es-ES" w:eastAsia="es-ES"/>
              </w:rPr>
              <w:t>TERCERA</w:t>
            </w:r>
            <w:r w:rsidRPr="00791593">
              <w:rPr>
                <w:rFonts w:ascii="Arial" w:eastAsia="Times New Roman" w:hAnsi="Arial" w:cs="Arial"/>
                <w:bCs/>
                <w:sz w:val="28"/>
                <w:szCs w:val="28"/>
                <w:lang w:eastAsia="es-MX"/>
              </w:rPr>
              <w:t xml:space="preserve"> CIRCUNSCRIPCIÓN PLURINOMINAL, CON SEDE </w:t>
            </w:r>
            <w:r w:rsidRPr="00791593">
              <w:rPr>
                <w:rFonts w:ascii="Arial" w:eastAsia="Times New Roman" w:hAnsi="Arial" w:cs="Arial"/>
                <w:sz w:val="28"/>
                <w:szCs w:val="28"/>
                <w:lang w:eastAsia="es-MX"/>
              </w:rPr>
              <w:t>EN XALAPA, VERACRUZ</w:t>
            </w:r>
            <w:r w:rsidRPr="00791593">
              <w:rPr>
                <w:rFonts w:ascii="Arial" w:eastAsia="Times New Roman" w:hAnsi="Arial" w:cs="Arial"/>
                <w:b/>
                <w:bCs/>
                <w:sz w:val="28"/>
                <w:szCs w:val="28"/>
                <w:lang w:val="it-IT" w:eastAsia="es-MX"/>
              </w:rPr>
              <w:t xml:space="preserve"> </w:t>
            </w:r>
          </w:p>
          <w:p w14:paraId="58D3A5E4" w14:textId="77777777" w:rsidR="00DF77D2" w:rsidRPr="00791593" w:rsidRDefault="00DF77D2" w:rsidP="00DF77D2">
            <w:pPr>
              <w:spacing w:before="100" w:beforeAutospacing="1" w:after="100" w:afterAutospacing="1" w:line="240" w:lineRule="auto"/>
              <w:jc w:val="both"/>
              <w:rPr>
                <w:rFonts w:ascii="Arial" w:eastAsia="Times New Roman" w:hAnsi="Arial" w:cs="Arial"/>
                <w:bCs/>
                <w:sz w:val="28"/>
                <w:szCs w:val="28"/>
                <w:lang w:val="it-IT" w:eastAsia="es-MX"/>
              </w:rPr>
            </w:pPr>
            <w:r w:rsidRPr="00791593">
              <w:rPr>
                <w:rFonts w:ascii="Arial" w:eastAsia="Times New Roman" w:hAnsi="Arial" w:cs="Arial"/>
                <w:b/>
                <w:bCs/>
                <w:sz w:val="28"/>
                <w:szCs w:val="28"/>
                <w:lang w:val="it-IT" w:eastAsia="es-MX"/>
              </w:rPr>
              <w:t xml:space="preserve">MAGISTRADO </w:t>
            </w:r>
            <w:r w:rsidRPr="00791593">
              <w:rPr>
                <w:rFonts w:ascii="Arial" w:eastAsia="Times New Roman" w:hAnsi="Arial" w:cs="Arial"/>
                <w:b/>
                <w:bCs/>
                <w:sz w:val="28"/>
                <w:szCs w:val="28"/>
                <w:lang w:val="es-ES" w:eastAsia="es-ES"/>
              </w:rPr>
              <w:t>PONENTE</w:t>
            </w:r>
            <w:r w:rsidRPr="00791593">
              <w:rPr>
                <w:rFonts w:ascii="Arial" w:eastAsia="Times New Roman" w:hAnsi="Arial" w:cs="Arial"/>
                <w:bCs/>
                <w:sz w:val="28"/>
                <w:szCs w:val="28"/>
                <w:lang w:val="es-ES" w:eastAsia="es-ES"/>
              </w:rPr>
              <w:t xml:space="preserve">: </w:t>
            </w:r>
            <w:r w:rsidRPr="00791593">
              <w:rPr>
                <w:rFonts w:ascii="Arial" w:eastAsia="Times New Roman" w:hAnsi="Arial" w:cs="Arial"/>
                <w:bCs/>
                <w:sz w:val="28"/>
                <w:szCs w:val="28"/>
                <w:lang w:val="it-IT" w:eastAsia="es-MX"/>
              </w:rPr>
              <w:t>JOSÉ ALEJANDRO LUNA RAMOS</w:t>
            </w:r>
          </w:p>
          <w:p w14:paraId="4A8FF78A" w14:textId="77777777" w:rsidR="00DF77D2" w:rsidRPr="00791593" w:rsidRDefault="00DF77D2" w:rsidP="00DF77D2">
            <w:pPr>
              <w:spacing w:before="100" w:beforeAutospacing="1" w:after="100" w:afterAutospacing="1" w:line="240" w:lineRule="auto"/>
              <w:jc w:val="both"/>
              <w:rPr>
                <w:rFonts w:ascii="Arial" w:eastAsia="Times New Roman" w:hAnsi="Arial" w:cs="Arial"/>
                <w:sz w:val="28"/>
                <w:szCs w:val="28"/>
                <w:lang w:eastAsia="es-MX"/>
              </w:rPr>
            </w:pPr>
            <w:r w:rsidRPr="00791593">
              <w:rPr>
                <w:rFonts w:ascii="Arial" w:eastAsia="Times New Roman" w:hAnsi="Arial" w:cs="Arial"/>
                <w:b/>
                <w:bCs/>
                <w:sz w:val="28"/>
                <w:szCs w:val="28"/>
                <w:lang w:eastAsia="es-MX"/>
              </w:rPr>
              <w:lastRenderedPageBreak/>
              <w:t xml:space="preserve">SECRETARIOS:  </w:t>
            </w:r>
            <w:r w:rsidRPr="00791593">
              <w:rPr>
                <w:rFonts w:ascii="Arial" w:eastAsia="Times New Roman" w:hAnsi="Arial" w:cs="Arial"/>
                <w:bCs/>
                <w:sz w:val="28"/>
                <w:szCs w:val="28"/>
                <w:lang w:eastAsia="es-MX"/>
              </w:rPr>
              <w:t>MARTHA FABIOLA KING TAMAYO Y FERNANDO RAMÍREZ BARRIOS</w:t>
            </w:r>
          </w:p>
        </w:tc>
      </w:tr>
    </w:tbl>
    <w:p w14:paraId="0FB10668" w14:textId="77777777" w:rsidR="00DF77D2" w:rsidRPr="00791593" w:rsidRDefault="00DF77D2" w:rsidP="00DF77D2">
      <w:pPr>
        <w:spacing w:after="0" w:line="360" w:lineRule="auto"/>
        <w:jc w:val="both"/>
        <w:rPr>
          <w:rFonts w:ascii="Arial" w:eastAsia="Times New Roman" w:hAnsi="Arial" w:cs="Arial"/>
          <w:bCs/>
          <w:sz w:val="28"/>
          <w:szCs w:val="28"/>
          <w:lang w:eastAsia="es-ES"/>
        </w:rPr>
      </w:pPr>
    </w:p>
    <w:p w14:paraId="154F750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México, Distrito Federal, a nueve de abril de dos mil catorce.</w:t>
      </w:r>
    </w:p>
    <w:p w14:paraId="2448B488" w14:textId="77777777" w:rsidR="00DF77D2" w:rsidRPr="00791593" w:rsidRDefault="00DF77D2" w:rsidP="00DF77D2">
      <w:pPr>
        <w:spacing w:after="0" w:line="360" w:lineRule="auto"/>
        <w:ind w:left="283" w:firstLine="709"/>
        <w:jc w:val="both"/>
        <w:rPr>
          <w:rFonts w:ascii="Arial" w:eastAsia="Times New Roman" w:hAnsi="Arial" w:cs="Arial"/>
          <w:bCs/>
          <w:sz w:val="28"/>
          <w:szCs w:val="28"/>
          <w:lang w:val="es-ES" w:eastAsia="es-ES"/>
        </w:rPr>
      </w:pPr>
    </w:p>
    <w:p w14:paraId="144280FA" w14:textId="77777777" w:rsidR="00DF77D2" w:rsidRPr="00791593" w:rsidRDefault="00DF77D2" w:rsidP="00DF77D2">
      <w:pPr>
        <w:spacing w:after="0" w:line="360" w:lineRule="auto"/>
        <w:ind w:firstLine="709"/>
        <w:jc w:val="both"/>
        <w:rPr>
          <w:rFonts w:ascii="Arial" w:eastAsia="Arial Unicode MS" w:hAnsi="Arial" w:cs="Arial"/>
          <w:sz w:val="28"/>
          <w:szCs w:val="28"/>
          <w:lang w:val="es-ES" w:eastAsia="es-ES"/>
        </w:rPr>
      </w:pPr>
      <w:r w:rsidRPr="00791593">
        <w:rPr>
          <w:rFonts w:ascii="Arial" w:eastAsia="Arial Unicode MS" w:hAnsi="Arial" w:cs="Arial"/>
          <w:b/>
          <w:sz w:val="28"/>
          <w:szCs w:val="28"/>
          <w:lang w:val="es-ES" w:eastAsia="es-ES"/>
        </w:rPr>
        <w:t>VISTOS</w:t>
      </w:r>
      <w:r w:rsidRPr="00791593">
        <w:rPr>
          <w:rFonts w:ascii="Arial" w:eastAsia="Arial Unicode MS" w:hAnsi="Arial" w:cs="Arial"/>
          <w:sz w:val="28"/>
          <w:szCs w:val="28"/>
          <w:lang w:val="es-ES" w:eastAsia="es-ES"/>
        </w:rPr>
        <w:t xml:space="preserve">, para resolver, los autos del recurso de reconsideración identificado con la clave </w:t>
      </w:r>
      <w:r w:rsidRPr="00791593">
        <w:rPr>
          <w:rFonts w:ascii="Arial" w:eastAsia="Arial Unicode MS" w:hAnsi="Arial" w:cs="Arial"/>
          <w:b/>
          <w:sz w:val="28"/>
          <w:szCs w:val="28"/>
          <w:lang w:val="es-ES" w:eastAsia="es-ES"/>
        </w:rPr>
        <w:t>SUP-REC-827/2014</w:t>
      </w:r>
      <w:r w:rsidRPr="00791593">
        <w:rPr>
          <w:rFonts w:ascii="Arial" w:eastAsia="Arial Unicode MS" w:hAnsi="Arial" w:cs="Arial"/>
          <w:sz w:val="28"/>
          <w:szCs w:val="28"/>
          <w:lang w:val="es-ES" w:eastAsia="es-ES"/>
        </w:rPr>
        <w:t xml:space="preserve"> interpuesto por Enedino Feliciano López Sánchez, a fin de controvertir la sentencia dictada el veinte de marzo de dos mil catorce,</w:t>
      </w:r>
      <w:r w:rsidRPr="00791593">
        <w:rPr>
          <w:rFonts w:ascii="Arial" w:eastAsia="Arial Unicode MS" w:hAnsi="Arial" w:cs="Arial"/>
          <w:bCs/>
          <w:sz w:val="28"/>
          <w:szCs w:val="28"/>
          <w:lang w:val="es-ES" w:eastAsia="es-ES"/>
        </w:rPr>
        <w:t xml:space="preserve"> en el juicio para la protección de los derechos político-electorales del ciudadano radicado con la clave SX-JDC-53/2014, emitida por </w:t>
      </w:r>
      <w:r w:rsidRPr="00791593">
        <w:rPr>
          <w:rFonts w:ascii="Arial" w:eastAsia="Arial Unicode MS" w:hAnsi="Arial" w:cs="Arial"/>
          <w:sz w:val="28"/>
          <w:szCs w:val="28"/>
          <w:lang w:val="es-ES" w:eastAsia="es-ES"/>
        </w:rPr>
        <w:t>la Sala Regional del Tribunal Electoral del Poder Judicial de la Federación, correspondiente a la Tercera Circunscripción Plurinominal, con sede en Xalapa, Veracruz, y</w:t>
      </w:r>
    </w:p>
    <w:p w14:paraId="565AB9CE" w14:textId="77777777" w:rsidR="00DF77D2" w:rsidRPr="00791593" w:rsidRDefault="00DF77D2" w:rsidP="00DF77D2">
      <w:pPr>
        <w:spacing w:after="0" w:line="360" w:lineRule="auto"/>
        <w:ind w:firstLine="709"/>
        <w:jc w:val="both"/>
        <w:rPr>
          <w:rFonts w:ascii="Arial" w:eastAsia="Arial Unicode MS" w:hAnsi="Arial" w:cs="Arial"/>
          <w:sz w:val="28"/>
          <w:szCs w:val="28"/>
          <w:lang w:val="es-ES" w:eastAsia="es-ES"/>
        </w:rPr>
      </w:pPr>
    </w:p>
    <w:p w14:paraId="7196FC82" w14:textId="77777777" w:rsidR="00DF77D2" w:rsidRPr="00791593" w:rsidRDefault="00DF77D2" w:rsidP="00DF77D2">
      <w:pPr>
        <w:spacing w:after="0" w:line="360" w:lineRule="auto"/>
        <w:ind w:firstLine="709"/>
        <w:jc w:val="center"/>
        <w:rPr>
          <w:rFonts w:ascii="Arial" w:eastAsia="Times New Roman" w:hAnsi="Arial" w:cs="Arial"/>
          <w:b/>
          <w:sz w:val="28"/>
          <w:szCs w:val="28"/>
          <w:lang w:eastAsia="es-MX"/>
        </w:rPr>
      </w:pPr>
      <w:r w:rsidRPr="00791593">
        <w:rPr>
          <w:rFonts w:ascii="Arial" w:eastAsia="Times New Roman" w:hAnsi="Arial" w:cs="Arial"/>
          <w:b/>
          <w:sz w:val="28"/>
          <w:szCs w:val="28"/>
          <w:lang w:eastAsia="es-MX"/>
        </w:rPr>
        <w:t>R E S U L T A N D O:</w:t>
      </w:r>
    </w:p>
    <w:p w14:paraId="4861FDEA" w14:textId="77777777" w:rsidR="00DF77D2" w:rsidRPr="00791593" w:rsidRDefault="00DF77D2" w:rsidP="00DF77D2">
      <w:pPr>
        <w:spacing w:after="0" w:line="360" w:lineRule="auto"/>
        <w:ind w:firstLine="709"/>
        <w:jc w:val="both"/>
        <w:rPr>
          <w:rFonts w:ascii="Arial" w:eastAsia="Arial Unicode MS" w:hAnsi="Arial" w:cs="Arial"/>
          <w:sz w:val="28"/>
          <w:szCs w:val="28"/>
          <w:lang w:val="es-ES" w:eastAsia="es-ES"/>
        </w:rPr>
      </w:pPr>
      <w:r w:rsidRPr="00791593">
        <w:rPr>
          <w:rFonts w:ascii="Arial" w:eastAsia="Arial Unicode MS" w:hAnsi="Arial" w:cs="Arial"/>
          <w:b/>
          <w:bCs/>
          <w:sz w:val="28"/>
          <w:szCs w:val="28"/>
          <w:lang w:val="es-ES" w:eastAsia="es-ES"/>
        </w:rPr>
        <w:t xml:space="preserve">I. Antecedentes. </w:t>
      </w:r>
      <w:r w:rsidRPr="00791593">
        <w:rPr>
          <w:rFonts w:ascii="Arial" w:eastAsia="Arial Unicode MS" w:hAnsi="Arial" w:cs="Arial"/>
          <w:sz w:val="28"/>
          <w:szCs w:val="28"/>
          <w:lang w:val="es-ES" w:eastAsia="es-ES"/>
        </w:rPr>
        <w:t>De la narración de hechos contenida en el escrito de demanda, así como de las constancias que obran en el expediente del recurso al rubro indicado, se advierte lo siguiente:</w:t>
      </w:r>
    </w:p>
    <w:p w14:paraId="7256C90E" w14:textId="77777777" w:rsidR="00DF77D2" w:rsidRPr="00791593" w:rsidRDefault="00DF77D2" w:rsidP="00DF77D2">
      <w:pPr>
        <w:spacing w:after="0" w:line="360" w:lineRule="auto"/>
        <w:ind w:firstLine="709"/>
        <w:jc w:val="both"/>
        <w:rPr>
          <w:rFonts w:ascii="Arial" w:eastAsia="Arial Unicode MS" w:hAnsi="Arial" w:cs="Arial"/>
          <w:sz w:val="28"/>
          <w:szCs w:val="28"/>
          <w:lang w:val="es-ES" w:eastAsia="es-ES"/>
        </w:rPr>
      </w:pPr>
    </w:p>
    <w:p w14:paraId="066C1021" w14:textId="77777777" w:rsidR="00DF77D2" w:rsidRPr="00791593" w:rsidRDefault="00DF77D2" w:rsidP="00DF77D2">
      <w:pPr>
        <w:spacing w:after="0" w:line="360" w:lineRule="auto"/>
        <w:ind w:firstLine="709"/>
        <w:jc w:val="both"/>
        <w:rPr>
          <w:rFonts w:ascii="Arial" w:eastAsia="Times New Roman" w:hAnsi="Arial" w:cs="Arial"/>
          <w:sz w:val="28"/>
          <w:szCs w:val="28"/>
          <w:lang w:eastAsia="es-MX"/>
        </w:rPr>
      </w:pPr>
      <w:r w:rsidRPr="00791593">
        <w:rPr>
          <w:rFonts w:ascii="Arial" w:eastAsia="Times New Roman" w:hAnsi="Arial" w:cs="Arial"/>
          <w:b/>
          <w:sz w:val="28"/>
          <w:szCs w:val="28"/>
          <w:lang w:eastAsia="es-MX"/>
        </w:rPr>
        <w:lastRenderedPageBreak/>
        <w:t>a) Acta de instalación del Consejo Municipal Electoral.</w:t>
      </w:r>
      <w:r w:rsidRPr="00791593">
        <w:rPr>
          <w:rFonts w:ascii="Arial" w:eastAsia="Times New Roman" w:hAnsi="Arial" w:cs="Arial"/>
          <w:sz w:val="28"/>
          <w:szCs w:val="28"/>
          <w:lang w:eastAsia="es-MX"/>
        </w:rPr>
        <w:t xml:space="preserve"> El doce de noviembre de dos mil trece, los representantes del Consejo Municipal Electoral, de las organizaciones sociales y de la Secretaría General de Gobierno, así como el Presidente del Ayuntamiento de</w:t>
      </w:r>
      <w:r w:rsidRPr="00791593">
        <w:rPr>
          <w:rFonts w:ascii="Arial" w:eastAsia="Times New Roman" w:hAnsi="Arial" w:cs="Arial"/>
          <w:b/>
          <w:sz w:val="28"/>
          <w:szCs w:val="28"/>
          <w:lang w:eastAsia="es-MX"/>
        </w:rPr>
        <w:t xml:space="preserve"> San Juan Mixtepec, Juxtlahuaca, Oaxaca</w:t>
      </w:r>
      <w:r w:rsidRPr="00791593">
        <w:rPr>
          <w:rFonts w:ascii="Arial" w:eastAsia="Times New Roman" w:hAnsi="Arial" w:cs="Arial"/>
          <w:sz w:val="28"/>
          <w:szCs w:val="28"/>
          <w:lang w:eastAsia="es-MX"/>
        </w:rPr>
        <w:t>, sesionaron para preparar el proceso electoral municipal. Una vez que se tomó la protesta de ley, se declaró instalado el Consejo Municipal Electoral bajo el régimen de sistemas normativos internos y se dio inicio a los trabajos de preparación, desarrollo y vigilancia para la elección de Concejales en el referido Municipio.</w:t>
      </w:r>
    </w:p>
    <w:p w14:paraId="7AB38725" w14:textId="77777777" w:rsidR="00DF77D2" w:rsidRPr="00791593" w:rsidRDefault="00DF77D2" w:rsidP="00DF77D2">
      <w:pPr>
        <w:spacing w:before="100" w:beforeAutospacing="1" w:after="100" w:afterAutospacing="1" w:line="360" w:lineRule="auto"/>
        <w:ind w:firstLine="709"/>
        <w:jc w:val="both"/>
        <w:rPr>
          <w:rFonts w:ascii="Arial" w:eastAsia="Times New Roman" w:hAnsi="Arial" w:cs="Arial"/>
          <w:bCs/>
          <w:sz w:val="28"/>
          <w:szCs w:val="28"/>
          <w:lang w:eastAsia="es-MX"/>
        </w:rPr>
      </w:pPr>
      <w:r w:rsidRPr="00791593">
        <w:rPr>
          <w:rFonts w:ascii="Arial" w:eastAsia="Times New Roman" w:hAnsi="Arial" w:cs="Arial"/>
          <w:b/>
          <w:sz w:val="28"/>
          <w:szCs w:val="28"/>
          <w:lang w:eastAsia="es-MX"/>
        </w:rPr>
        <w:t>b) Emisión de convocatoria.</w:t>
      </w:r>
      <w:r w:rsidRPr="00791593">
        <w:rPr>
          <w:rFonts w:ascii="Arial" w:eastAsia="Times New Roman" w:hAnsi="Arial" w:cs="Arial"/>
          <w:sz w:val="28"/>
          <w:szCs w:val="28"/>
          <w:lang w:eastAsia="es-MX"/>
        </w:rPr>
        <w:t xml:space="preserve"> El dieciocho de noviembre siguiente se realizó la Asamblea General Comunitaria para emitir la convocatoria para la elección de Concejales del Municipio referido.</w:t>
      </w:r>
    </w:p>
    <w:p w14:paraId="54548961" w14:textId="77777777" w:rsidR="00DF77D2" w:rsidRPr="00791593" w:rsidRDefault="00DF77D2" w:rsidP="00DF77D2">
      <w:pPr>
        <w:spacing w:after="0" w:line="360" w:lineRule="auto"/>
        <w:ind w:firstLine="709"/>
        <w:jc w:val="both"/>
        <w:rPr>
          <w:rFonts w:ascii="Arial" w:eastAsia="Times New Roman" w:hAnsi="Arial" w:cs="Arial"/>
          <w:b/>
          <w:sz w:val="28"/>
          <w:szCs w:val="28"/>
          <w:lang w:eastAsia="es-MX"/>
        </w:rPr>
      </w:pPr>
      <w:r w:rsidRPr="00791593">
        <w:rPr>
          <w:rFonts w:ascii="Arial" w:eastAsia="Times New Roman" w:hAnsi="Arial" w:cs="Arial"/>
          <w:b/>
          <w:sz w:val="28"/>
          <w:szCs w:val="28"/>
          <w:lang w:eastAsia="es-MX"/>
        </w:rPr>
        <w:t>c) Asamblea electiva.</w:t>
      </w:r>
      <w:r w:rsidRPr="00791593">
        <w:rPr>
          <w:rFonts w:ascii="Arial" w:eastAsia="Times New Roman" w:hAnsi="Arial" w:cs="Arial"/>
          <w:sz w:val="28"/>
          <w:szCs w:val="28"/>
          <w:lang w:eastAsia="es-MX"/>
        </w:rPr>
        <w:t xml:space="preserve"> El primero de diciembre de dos mil trece se llevó a cabo la Asamblea General Comunitaria para la elección de Concejales del Municipio de </w:t>
      </w:r>
      <w:r w:rsidRPr="00791593">
        <w:rPr>
          <w:rFonts w:ascii="Arial" w:eastAsia="Times New Roman" w:hAnsi="Arial" w:cs="Arial"/>
          <w:b/>
          <w:sz w:val="28"/>
          <w:szCs w:val="28"/>
          <w:lang w:eastAsia="es-MX"/>
        </w:rPr>
        <w:t>San Juan Mixtepec, Juxtlahuaca, Oaxaca.</w:t>
      </w:r>
    </w:p>
    <w:p w14:paraId="4A2740A7" w14:textId="77777777" w:rsidR="00DF77D2" w:rsidRPr="00791593" w:rsidRDefault="00DF77D2" w:rsidP="00DF77D2">
      <w:pPr>
        <w:spacing w:after="0" w:line="360" w:lineRule="auto"/>
        <w:ind w:firstLine="708"/>
        <w:rPr>
          <w:rFonts w:ascii="Arial" w:eastAsia="Times New Roman" w:hAnsi="Arial" w:cs="Arial"/>
          <w:sz w:val="28"/>
          <w:szCs w:val="28"/>
          <w:lang w:eastAsia="es-MX"/>
        </w:rPr>
      </w:pPr>
    </w:p>
    <w:p w14:paraId="5EE82E84" w14:textId="77777777" w:rsidR="00DF77D2" w:rsidRPr="00791593" w:rsidRDefault="00DF77D2" w:rsidP="00DF77D2">
      <w:pPr>
        <w:spacing w:after="0" w:line="360" w:lineRule="auto"/>
        <w:ind w:firstLine="708"/>
        <w:rPr>
          <w:rFonts w:ascii="Arial" w:eastAsia="Times New Roman" w:hAnsi="Arial" w:cs="Arial"/>
          <w:sz w:val="28"/>
          <w:szCs w:val="28"/>
          <w:lang w:eastAsia="es-MX"/>
        </w:rPr>
      </w:pPr>
      <w:r w:rsidRPr="00791593">
        <w:rPr>
          <w:rFonts w:ascii="Arial" w:eastAsia="Times New Roman" w:hAnsi="Arial" w:cs="Arial"/>
          <w:sz w:val="28"/>
          <w:szCs w:val="28"/>
          <w:lang w:eastAsia="es-MX"/>
        </w:rPr>
        <w:t>Los resultados fueron los siguientes:</w:t>
      </w:r>
    </w:p>
    <w:p w14:paraId="0C4D74B8" w14:textId="77777777" w:rsidR="00DF77D2" w:rsidRPr="00791593" w:rsidRDefault="00DF77D2" w:rsidP="00DF77D2">
      <w:pPr>
        <w:spacing w:after="0" w:line="360" w:lineRule="auto"/>
        <w:ind w:firstLine="708"/>
        <w:rPr>
          <w:rFonts w:ascii="Arial" w:eastAsia="Times New Roman" w:hAnsi="Arial" w:cs="Arial"/>
          <w:sz w:val="28"/>
          <w:szCs w:val="28"/>
          <w:lang w:eastAsia="es-MX"/>
        </w:rPr>
      </w:pPr>
    </w:p>
    <w:tbl>
      <w:tblPr>
        <w:tblStyle w:val="Tablaconcuadrcula"/>
        <w:tblW w:w="5000" w:type="pct"/>
        <w:tblLook w:val="04A0" w:firstRow="1" w:lastRow="0" w:firstColumn="1" w:lastColumn="0" w:noHBand="0" w:noVBand="1"/>
      </w:tblPr>
      <w:tblGrid>
        <w:gridCol w:w="1356"/>
        <w:gridCol w:w="4702"/>
        <w:gridCol w:w="2770"/>
      </w:tblGrid>
      <w:tr w:rsidR="00DF77D2" w:rsidRPr="00791593" w14:paraId="2F3064DD" w14:textId="77777777" w:rsidTr="00DF77D2">
        <w:trPr>
          <w:trHeight w:hRule="exact" w:val="368"/>
        </w:trPr>
        <w:tc>
          <w:tcPr>
            <w:tcW w:w="768" w:type="pct"/>
            <w:shd w:val="clear" w:color="auto" w:fill="C4BC96"/>
            <w:hideMark/>
          </w:tcPr>
          <w:p w14:paraId="12836680" w14:textId="77777777" w:rsidR="00DF77D2" w:rsidRPr="00791593" w:rsidRDefault="00DF77D2" w:rsidP="00DF77D2">
            <w:pPr>
              <w:jc w:val="center"/>
              <w:rPr>
                <w:rFonts w:ascii="Arial" w:hAnsi="Arial" w:cs="Arial"/>
                <w:b/>
                <w:bCs/>
                <w:sz w:val="24"/>
                <w:szCs w:val="24"/>
              </w:rPr>
            </w:pPr>
            <w:r w:rsidRPr="00791593">
              <w:rPr>
                <w:rFonts w:ascii="Arial" w:hAnsi="Arial" w:cs="Arial"/>
                <w:b/>
                <w:bCs/>
                <w:sz w:val="24"/>
                <w:szCs w:val="24"/>
                <w:lang w:val="es-ES_tradnl"/>
              </w:rPr>
              <w:t>Planilla</w:t>
            </w:r>
          </w:p>
        </w:tc>
        <w:tc>
          <w:tcPr>
            <w:tcW w:w="2663" w:type="pct"/>
            <w:shd w:val="clear" w:color="auto" w:fill="C4BC96"/>
            <w:hideMark/>
          </w:tcPr>
          <w:p w14:paraId="5600040E" w14:textId="77777777" w:rsidR="00DF77D2" w:rsidRPr="00791593" w:rsidRDefault="00DF77D2" w:rsidP="00DF77D2">
            <w:pPr>
              <w:jc w:val="center"/>
              <w:rPr>
                <w:rFonts w:ascii="Arial" w:hAnsi="Arial" w:cs="Arial"/>
                <w:b/>
                <w:bCs/>
                <w:sz w:val="24"/>
                <w:szCs w:val="24"/>
              </w:rPr>
            </w:pPr>
            <w:r w:rsidRPr="00791593">
              <w:rPr>
                <w:rFonts w:ascii="Arial" w:hAnsi="Arial" w:cs="Arial"/>
                <w:b/>
                <w:bCs/>
                <w:sz w:val="24"/>
                <w:szCs w:val="24"/>
                <w:lang w:val="es-ES_tradnl"/>
              </w:rPr>
              <w:t>Nombre del Candidato</w:t>
            </w:r>
          </w:p>
        </w:tc>
        <w:tc>
          <w:tcPr>
            <w:tcW w:w="1569" w:type="pct"/>
            <w:shd w:val="clear" w:color="auto" w:fill="C4BC96"/>
            <w:hideMark/>
          </w:tcPr>
          <w:p w14:paraId="59A878D5" w14:textId="77777777" w:rsidR="00DF77D2" w:rsidRPr="00791593" w:rsidRDefault="00DF77D2" w:rsidP="00DF77D2">
            <w:pPr>
              <w:jc w:val="center"/>
              <w:rPr>
                <w:rFonts w:ascii="Arial" w:hAnsi="Arial" w:cs="Arial"/>
                <w:b/>
                <w:bCs/>
                <w:sz w:val="24"/>
                <w:szCs w:val="24"/>
              </w:rPr>
            </w:pPr>
            <w:r w:rsidRPr="00791593">
              <w:rPr>
                <w:rFonts w:ascii="Arial" w:hAnsi="Arial" w:cs="Arial"/>
                <w:b/>
                <w:bCs/>
                <w:sz w:val="24"/>
                <w:szCs w:val="24"/>
                <w:lang w:val="es-ES_tradnl"/>
              </w:rPr>
              <w:t>Votación Obtenida</w:t>
            </w:r>
          </w:p>
        </w:tc>
      </w:tr>
      <w:tr w:rsidR="00DF77D2" w:rsidRPr="00791593" w14:paraId="436AA0ED" w14:textId="77777777" w:rsidTr="004D6EB2">
        <w:trPr>
          <w:trHeight w:hRule="exact" w:val="360"/>
        </w:trPr>
        <w:tc>
          <w:tcPr>
            <w:tcW w:w="768" w:type="pct"/>
            <w:hideMark/>
          </w:tcPr>
          <w:p w14:paraId="6E9A31D2"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Verde</w:t>
            </w:r>
          </w:p>
        </w:tc>
        <w:tc>
          <w:tcPr>
            <w:tcW w:w="2663" w:type="pct"/>
            <w:hideMark/>
          </w:tcPr>
          <w:p w14:paraId="2C7646B1"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Félix Daniel Paz Sánchez</w:t>
            </w:r>
          </w:p>
        </w:tc>
        <w:tc>
          <w:tcPr>
            <w:tcW w:w="1569" w:type="pct"/>
          </w:tcPr>
          <w:p w14:paraId="5082C273"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201</w:t>
            </w:r>
          </w:p>
        </w:tc>
      </w:tr>
      <w:tr w:rsidR="00DF77D2" w:rsidRPr="00791593" w14:paraId="17FE76EE" w14:textId="77777777" w:rsidTr="004D6EB2">
        <w:trPr>
          <w:trHeight w:hRule="exact" w:val="408"/>
        </w:trPr>
        <w:tc>
          <w:tcPr>
            <w:tcW w:w="768" w:type="pct"/>
            <w:hideMark/>
          </w:tcPr>
          <w:p w14:paraId="6CAC7432" w14:textId="77777777" w:rsidR="00DF77D2" w:rsidRPr="00791593" w:rsidRDefault="00DF77D2" w:rsidP="00DF77D2">
            <w:pPr>
              <w:jc w:val="center"/>
              <w:rPr>
                <w:rFonts w:ascii="Arial" w:hAnsi="Arial" w:cs="Arial"/>
                <w:b/>
                <w:sz w:val="24"/>
                <w:szCs w:val="24"/>
                <w:lang w:val="es-ES_tradnl"/>
              </w:rPr>
            </w:pPr>
            <w:r w:rsidRPr="00791593">
              <w:rPr>
                <w:rFonts w:ascii="Arial" w:hAnsi="Arial" w:cs="Arial"/>
                <w:b/>
                <w:sz w:val="24"/>
                <w:szCs w:val="24"/>
                <w:lang w:val="es-ES_tradnl"/>
              </w:rPr>
              <w:t>Azul</w:t>
            </w:r>
          </w:p>
        </w:tc>
        <w:tc>
          <w:tcPr>
            <w:tcW w:w="2663" w:type="pct"/>
          </w:tcPr>
          <w:p w14:paraId="2EF282AC" w14:textId="77777777" w:rsidR="00DF77D2" w:rsidRPr="00791593" w:rsidRDefault="00DF77D2" w:rsidP="00DF77D2">
            <w:pPr>
              <w:jc w:val="center"/>
              <w:rPr>
                <w:rFonts w:ascii="Arial" w:hAnsi="Arial" w:cs="Arial"/>
                <w:b/>
                <w:sz w:val="24"/>
                <w:szCs w:val="24"/>
              </w:rPr>
            </w:pPr>
            <w:r w:rsidRPr="00791593">
              <w:rPr>
                <w:rFonts w:ascii="Arial" w:hAnsi="Arial" w:cs="Arial"/>
                <w:b/>
                <w:sz w:val="24"/>
                <w:szCs w:val="24"/>
              </w:rPr>
              <w:t>Adolfo Gómez Hernández</w:t>
            </w:r>
          </w:p>
        </w:tc>
        <w:tc>
          <w:tcPr>
            <w:tcW w:w="1569" w:type="pct"/>
            <w:hideMark/>
          </w:tcPr>
          <w:p w14:paraId="288BD887" w14:textId="77777777" w:rsidR="00DF77D2" w:rsidRPr="00791593" w:rsidRDefault="00DF77D2" w:rsidP="00DF77D2">
            <w:pPr>
              <w:jc w:val="center"/>
              <w:rPr>
                <w:rFonts w:ascii="Arial" w:hAnsi="Arial" w:cs="Arial"/>
                <w:b/>
                <w:sz w:val="24"/>
                <w:szCs w:val="24"/>
              </w:rPr>
            </w:pPr>
            <w:r w:rsidRPr="00791593">
              <w:rPr>
                <w:rFonts w:ascii="Arial" w:hAnsi="Arial" w:cs="Arial"/>
                <w:b/>
                <w:sz w:val="24"/>
                <w:szCs w:val="24"/>
              </w:rPr>
              <w:t>1,058</w:t>
            </w:r>
          </w:p>
        </w:tc>
      </w:tr>
      <w:tr w:rsidR="00DF77D2" w:rsidRPr="00791593" w14:paraId="48FDC217" w14:textId="77777777" w:rsidTr="004D6EB2">
        <w:trPr>
          <w:trHeight w:val="368"/>
        </w:trPr>
        <w:tc>
          <w:tcPr>
            <w:tcW w:w="768" w:type="pct"/>
            <w:hideMark/>
          </w:tcPr>
          <w:p w14:paraId="182551AB" w14:textId="77777777" w:rsidR="00DF77D2" w:rsidRPr="00791593" w:rsidRDefault="00DF77D2" w:rsidP="00DF77D2">
            <w:pPr>
              <w:jc w:val="center"/>
              <w:rPr>
                <w:rFonts w:ascii="Arial" w:hAnsi="Arial" w:cs="Arial"/>
                <w:sz w:val="24"/>
                <w:szCs w:val="24"/>
                <w:lang w:val="es-ES_tradnl"/>
              </w:rPr>
            </w:pPr>
            <w:r w:rsidRPr="00791593">
              <w:rPr>
                <w:rFonts w:ascii="Arial" w:hAnsi="Arial" w:cs="Arial"/>
                <w:sz w:val="24"/>
                <w:szCs w:val="24"/>
                <w:lang w:val="es-ES_tradnl"/>
              </w:rPr>
              <w:t>Amarilla</w:t>
            </w:r>
          </w:p>
        </w:tc>
        <w:tc>
          <w:tcPr>
            <w:tcW w:w="2663" w:type="pct"/>
            <w:hideMark/>
          </w:tcPr>
          <w:p w14:paraId="6ABAD25A"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Enedino Feliciano López Sánchez</w:t>
            </w:r>
          </w:p>
        </w:tc>
        <w:tc>
          <w:tcPr>
            <w:tcW w:w="1569" w:type="pct"/>
            <w:hideMark/>
          </w:tcPr>
          <w:p w14:paraId="1C24C09B"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690</w:t>
            </w:r>
          </w:p>
        </w:tc>
      </w:tr>
      <w:tr w:rsidR="00DF77D2" w:rsidRPr="00791593" w14:paraId="423F0BCB" w14:textId="77777777" w:rsidTr="004D6EB2">
        <w:trPr>
          <w:trHeight w:val="402"/>
        </w:trPr>
        <w:tc>
          <w:tcPr>
            <w:tcW w:w="768" w:type="pct"/>
            <w:hideMark/>
          </w:tcPr>
          <w:p w14:paraId="4A0BC6A5" w14:textId="77777777" w:rsidR="00DF77D2" w:rsidRPr="00791593" w:rsidRDefault="00DF77D2" w:rsidP="00DF77D2">
            <w:pPr>
              <w:jc w:val="center"/>
              <w:rPr>
                <w:rFonts w:ascii="Arial" w:hAnsi="Arial" w:cs="Arial"/>
                <w:sz w:val="24"/>
                <w:szCs w:val="24"/>
                <w:lang w:val="es-ES_tradnl"/>
              </w:rPr>
            </w:pPr>
            <w:r w:rsidRPr="00791593">
              <w:rPr>
                <w:rFonts w:ascii="Arial" w:hAnsi="Arial" w:cs="Arial"/>
                <w:sz w:val="24"/>
                <w:szCs w:val="24"/>
                <w:lang w:val="es-ES_tradnl"/>
              </w:rPr>
              <w:t>Blanca</w:t>
            </w:r>
          </w:p>
        </w:tc>
        <w:tc>
          <w:tcPr>
            <w:tcW w:w="2663" w:type="pct"/>
            <w:hideMark/>
          </w:tcPr>
          <w:p w14:paraId="40D07D0F"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Celso Hernández Mendoza</w:t>
            </w:r>
          </w:p>
        </w:tc>
        <w:tc>
          <w:tcPr>
            <w:tcW w:w="1569" w:type="pct"/>
            <w:hideMark/>
          </w:tcPr>
          <w:p w14:paraId="195A8F7A"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682</w:t>
            </w:r>
          </w:p>
        </w:tc>
      </w:tr>
      <w:tr w:rsidR="00DF77D2" w:rsidRPr="00791593" w14:paraId="6C6EEB0B" w14:textId="77777777" w:rsidTr="004D6EB2">
        <w:trPr>
          <w:trHeight w:val="394"/>
        </w:trPr>
        <w:tc>
          <w:tcPr>
            <w:tcW w:w="768" w:type="pct"/>
            <w:hideMark/>
          </w:tcPr>
          <w:p w14:paraId="07B447BC" w14:textId="77777777" w:rsidR="00DF77D2" w:rsidRPr="00791593" w:rsidRDefault="00DF77D2" w:rsidP="00DF77D2">
            <w:pPr>
              <w:jc w:val="center"/>
              <w:rPr>
                <w:rFonts w:ascii="Arial" w:hAnsi="Arial" w:cs="Arial"/>
                <w:sz w:val="24"/>
                <w:szCs w:val="24"/>
                <w:lang w:val="es-ES_tradnl"/>
              </w:rPr>
            </w:pPr>
            <w:r w:rsidRPr="00791593">
              <w:rPr>
                <w:rFonts w:ascii="Arial" w:hAnsi="Arial" w:cs="Arial"/>
                <w:sz w:val="24"/>
                <w:szCs w:val="24"/>
                <w:lang w:val="es-ES_tradnl"/>
              </w:rPr>
              <w:t>Roja</w:t>
            </w:r>
          </w:p>
        </w:tc>
        <w:tc>
          <w:tcPr>
            <w:tcW w:w="2663" w:type="pct"/>
            <w:hideMark/>
          </w:tcPr>
          <w:p w14:paraId="2A30BABC"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Emilio Ramírez Vega</w:t>
            </w:r>
          </w:p>
        </w:tc>
        <w:tc>
          <w:tcPr>
            <w:tcW w:w="1569" w:type="pct"/>
            <w:hideMark/>
          </w:tcPr>
          <w:p w14:paraId="2A78840F"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532</w:t>
            </w:r>
          </w:p>
        </w:tc>
      </w:tr>
      <w:tr w:rsidR="00DF77D2" w:rsidRPr="00791593" w14:paraId="2CBFC052" w14:textId="77777777" w:rsidTr="004D6EB2">
        <w:trPr>
          <w:trHeight w:val="386"/>
        </w:trPr>
        <w:tc>
          <w:tcPr>
            <w:tcW w:w="768" w:type="pct"/>
            <w:vMerge w:val="restart"/>
            <w:hideMark/>
          </w:tcPr>
          <w:p w14:paraId="763BFCA7" w14:textId="77777777" w:rsidR="00DF77D2" w:rsidRPr="00791593" w:rsidRDefault="00DF77D2" w:rsidP="00DF77D2">
            <w:pPr>
              <w:jc w:val="center"/>
              <w:rPr>
                <w:rFonts w:ascii="Arial" w:hAnsi="Arial" w:cs="Arial"/>
                <w:sz w:val="24"/>
                <w:szCs w:val="24"/>
                <w:lang w:val="es-ES_tradnl"/>
              </w:rPr>
            </w:pPr>
          </w:p>
        </w:tc>
        <w:tc>
          <w:tcPr>
            <w:tcW w:w="2663" w:type="pct"/>
            <w:hideMark/>
          </w:tcPr>
          <w:p w14:paraId="76589604" w14:textId="77777777" w:rsidR="00DF77D2" w:rsidRPr="00791593" w:rsidRDefault="00DF77D2" w:rsidP="00DF77D2">
            <w:pPr>
              <w:jc w:val="center"/>
              <w:rPr>
                <w:rFonts w:ascii="Arial" w:hAnsi="Arial" w:cs="Arial"/>
                <w:b/>
                <w:sz w:val="24"/>
                <w:szCs w:val="24"/>
              </w:rPr>
            </w:pPr>
            <w:r w:rsidRPr="00791593">
              <w:rPr>
                <w:rFonts w:ascii="Arial" w:hAnsi="Arial" w:cs="Arial"/>
                <w:b/>
                <w:sz w:val="24"/>
                <w:szCs w:val="24"/>
              </w:rPr>
              <w:t>Votos Nulos</w:t>
            </w:r>
          </w:p>
        </w:tc>
        <w:tc>
          <w:tcPr>
            <w:tcW w:w="1569" w:type="pct"/>
            <w:hideMark/>
          </w:tcPr>
          <w:p w14:paraId="3F800154" w14:textId="77777777" w:rsidR="00DF77D2" w:rsidRPr="00791593" w:rsidRDefault="00DF77D2" w:rsidP="00DF77D2">
            <w:pPr>
              <w:jc w:val="center"/>
              <w:rPr>
                <w:rFonts w:ascii="Arial" w:hAnsi="Arial" w:cs="Arial"/>
                <w:b/>
                <w:sz w:val="24"/>
                <w:szCs w:val="24"/>
              </w:rPr>
            </w:pPr>
            <w:r w:rsidRPr="00791593">
              <w:rPr>
                <w:rFonts w:ascii="Arial" w:hAnsi="Arial" w:cs="Arial"/>
                <w:b/>
                <w:sz w:val="24"/>
                <w:szCs w:val="24"/>
              </w:rPr>
              <w:t>159</w:t>
            </w:r>
          </w:p>
        </w:tc>
      </w:tr>
      <w:tr w:rsidR="00DF77D2" w:rsidRPr="00791593" w14:paraId="341830C9" w14:textId="77777777" w:rsidTr="004D6EB2">
        <w:trPr>
          <w:trHeight w:val="406"/>
        </w:trPr>
        <w:tc>
          <w:tcPr>
            <w:tcW w:w="768" w:type="pct"/>
            <w:vMerge/>
            <w:hideMark/>
          </w:tcPr>
          <w:p w14:paraId="5341C43B" w14:textId="77777777" w:rsidR="00DF77D2" w:rsidRPr="00791593" w:rsidRDefault="00DF77D2" w:rsidP="00DF77D2">
            <w:pPr>
              <w:jc w:val="center"/>
              <w:rPr>
                <w:rFonts w:ascii="Arial" w:hAnsi="Arial" w:cs="Arial"/>
                <w:sz w:val="24"/>
                <w:szCs w:val="24"/>
                <w:lang w:val="es-ES_tradnl"/>
              </w:rPr>
            </w:pPr>
          </w:p>
        </w:tc>
        <w:tc>
          <w:tcPr>
            <w:tcW w:w="2663" w:type="pct"/>
            <w:hideMark/>
          </w:tcPr>
          <w:p w14:paraId="1D11FF5A" w14:textId="77777777" w:rsidR="00DF77D2" w:rsidRPr="00791593" w:rsidRDefault="00DF77D2" w:rsidP="00DF77D2">
            <w:pPr>
              <w:jc w:val="center"/>
              <w:rPr>
                <w:rFonts w:ascii="Arial" w:hAnsi="Arial" w:cs="Arial"/>
                <w:b/>
                <w:sz w:val="24"/>
                <w:szCs w:val="24"/>
              </w:rPr>
            </w:pPr>
            <w:r w:rsidRPr="00791593">
              <w:rPr>
                <w:rFonts w:ascii="Arial" w:hAnsi="Arial" w:cs="Arial"/>
                <w:b/>
                <w:sz w:val="24"/>
                <w:szCs w:val="24"/>
              </w:rPr>
              <w:t>Votación Total emitida</w:t>
            </w:r>
          </w:p>
        </w:tc>
        <w:tc>
          <w:tcPr>
            <w:tcW w:w="1569" w:type="pct"/>
            <w:hideMark/>
          </w:tcPr>
          <w:p w14:paraId="567DD318" w14:textId="77777777" w:rsidR="00DF77D2" w:rsidRPr="00791593" w:rsidRDefault="00DF77D2" w:rsidP="00DF77D2">
            <w:pPr>
              <w:jc w:val="center"/>
              <w:rPr>
                <w:rFonts w:ascii="Arial" w:hAnsi="Arial" w:cs="Arial"/>
                <w:b/>
                <w:sz w:val="24"/>
                <w:szCs w:val="24"/>
              </w:rPr>
            </w:pPr>
            <w:r w:rsidRPr="00791593">
              <w:rPr>
                <w:rFonts w:ascii="Arial" w:hAnsi="Arial" w:cs="Arial"/>
                <w:b/>
                <w:sz w:val="24"/>
                <w:szCs w:val="24"/>
              </w:rPr>
              <w:t>3,322</w:t>
            </w:r>
          </w:p>
        </w:tc>
      </w:tr>
    </w:tbl>
    <w:p w14:paraId="1F146C88" w14:textId="77777777" w:rsidR="00DF77D2" w:rsidRPr="00791593" w:rsidRDefault="00DF77D2" w:rsidP="00DF77D2">
      <w:pPr>
        <w:spacing w:after="0" w:line="360" w:lineRule="auto"/>
        <w:ind w:firstLine="709"/>
        <w:jc w:val="both"/>
        <w:rPr>
          <w:rFonts w:ascii="Arial" w:eastAsia="Times New Roman" w:hAnsi="Arial" w:cs="Arial"/>
          <w:sz w:val="28"/>
          <w:szCs w:val="28"/>
          <w:lang w:eastAsia="es-MX"/>
        </w:rPr>
      </w:pPr>
    </w:p>
    <w:p w14:paraId="6D946B4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la misma fecha, el Presidente del Consejo Electoral Municipal declaró válida la elección y los resultados, y por último dio por clausurada la Asamblea. </w:t>
      </w:r>
    </w:p>
    <w:p w14:paraId="71E3923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26E81FC" w14:textId="77777777" w:rsidR="00DF77D2" w:rsidRPr="00791593" w:rsidRDefault="00DF77D2" w:rsidP="00DF77D2">
      <w:pPr>
        <w:spacing w:after="0" w:line="360" w:lineRule="auto"/>
        <w:ind w:firstLine="709"/>
        <w:jc w:val="both"/>
        <w:rPr>
          <w:rFonts w:ascii="Arial" w:eastAsia="Times New Roman" w:hAnsi="Arial" w:cs="Arial"/>
          <w:sz w:val="28"/>
          <w:szCs w:val="28"/>
          <w:lang w:eastAsia="es-MX"/>
        </w:rPr>
      </w:pPr>
      <w:r w:rsidRPr="00791593">
        <w:rPr>
          <w:rFonts w:ascii="Arial" w:eastAsia="Times New Roman" w:hAnsi="Arial" w:cs="Arial"/>
          <w:b/>
          <w:bCs/>
          <w:sz w:val="28"/>
          <w:szCs w:val="28"/>
          <w:lang w:val="es-ES" w:eastAsia="es-ES"/>
        </w:rPr>
        <w:t xml:space="preserve">d) Escritos de incidentes. </w:t>
      </w:r>
      <w:r w:rsidRPr="00791593">
        <w:rPr>
          <w:rFonts w:ascii="Arial" w:eastAsia="Times New Roman" w:hAnsi="Arial" w:cs="Arial"/>
          <w:bCs/>
          <w:sz w:val="28"/>
          <w:szCs w:val="28"/>
          <w:lang w:val="es-ES" w:eastAsia="es-ES"/>
        </w:rPr>
        <w:t>El propio primero de diciembre dos mil trece, los representantes</w:t>
      </w:r>
      <w:r w:rsidRPr="00791593">
        <w:rPr>
          <w:rFonts w:ascii="Arial" w:eastAsia="Times New Roman" w:hAnsi="Arial" w:cs="Arial"/>
          <w:sz w:val="28"/>
          <w:szCs w:val="28"/>
          <w:lang w:eastAsia="es-MX"/>
        </w:rPr>
        <w:t xml:space="preserve"> de Movimiento Social por la Unificación de Mixtepec, MOSUM (planilla amarilla) y representantes de la Organización Nacional de Red Internacional de Indígenas Oaxaqueños RIIO (planilla azul), presentaron escritos de incidentes ante el Consejo Municipal Electoral, en los que adujeron, entre otras cosas, que no se permitió a diversos ciudadanos emitir el sufragio.</w:t>
      </w:r>
    </w:p>
    <w:p w14:paraId="247D6735" w14:textId="77777777" w:rsidR="00DF77D2" w:rsidRPr="00791593" w:rsidRDefault="00DF77D2" w:rsidP="00DF77D2">
      <w:pPr>
        <w:spacing w:after="0" w:line="360" w:lineRule="auto"/>
        <w:ind w:firstLine="709"/>
        <w:jc w:val="both"/>
        <w:rPr>
          <w:rFonts w:ascii="Arial" w:eastAsia="Times New Roman" w:hAnsi="Arial" w:cs="Arial"/>
          <w:sz w:val="28"/>
          <w:szCs w:val="28"/>
          <w:lang w:eastAsia="es-MX"/>
        </w:rPr>
      </w:pPr>
    </w:p>
    <w:p w14:paraId="79ED1AB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e) Remisión de resultados al Instituto Electoral Local Oaxaca.</w:t>
      </w:r>
      <w:r w:rsidRPr="00791593">
        <w:rPr>
          <w:rFonts w:ascii="Arial" w:eastAsia="Times New Roman" w:hAnsi="Arial" w:cs="Arial"/>
          <w:bCs/>
          <w:sz w:val="28"/>
          <w:szCs w:val="28"/>
          <w:lang w:val="es-ES" w:eastAsia="es-ES"/>
        </w:rPr>
        <w:t xml:space="preserve"> El dos de diciembre de ese mismo año, los representantes designados por el Instituto Estatal Electoral y de Participación Ciudadana de Oaxaca para la elección de Concejales, remitieron a la Dirección Ejecutiva de Sistemas Normativos Internos, los resultados de la planilla ganadora, así como la documentación generada en el proceso electoral.</w:t>
      </w:r>
    </w:p>
    <w:p w14:paraId="1827D79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B86C3B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f) Presentación de escrito.</w:t>
      </w:r>
      <w:r w:rsidRPr="00791593">
        <w:rPr>
          <w:rFonts w:ascii="Arial" w:eastAsia="Times New Roman" w:hAnsi="Arial" w:cs="Arial"/>
          <w:bCs/>
          <w:sz w:val="28"/>
          <w:szCs w:val="28"/>
          <w:lang w:val="es-ES" w:eastAsia="es-ES"/>
        </w:rPr>
        <w:t xml:space="preserve"> El cuatro siguiente, los representantes de la planilla amarilla, presentaron ante la Dirección Ejecutiva de Sistemas Normativos Internos del Instituto Estatal Electoral y de Participación Ciudadana de Oaxaca, un escrito de inconformidad contra la celebración de la Asamblea referida, en el que manifestaron que durante el desarrollo de la misma, se presentaron diversas </w:t>
      </w:r>
      <w:r w:rsidRPr="00791593">
        <w:rPr>
          <w:rFonts w:ascii="Arial" w:eastAsia="Times New Roman" w:hAnsi="Arial" w:cs="Arial"/>
          <w:bCs/>
          <w:sz w:val="28"/>
          <w:szCs w:val="28"/>
          <w:lang w:val="es-ES" w:eastAsia="es-ES"/>
        </w:rPr>
        <w:lastRenderedPageBreak/>
        <w:t>irregularidades, razón por la que se oponían a que se calificara como válida.</w:t>
      </w:r>
    </w:p>
    <w:p w14:paraId="0C0E8FE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5B4788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g) Calificación de la elección.</w:t>
      </w:r>
      <w:r w:rsidRPr="00791593">
        <w:rPr>
          <w:rFonts w:ascii="Arial" w:eastAsia="Times New Roman" w:hAnsi="Arial" w:cs="Arial"/>
          <w:bCs/>
          <w:sz w:val="28"/>
          <w:szCs w:val="28"/>
          <w:lang w:val="es-ES" w:eastAsia="es-ES"/>
        </w:rPr>
        <w:t xml:space="preserve"> El diecinueve subsecuente, el Consejo General del Instituto Estatal Electoral y de Participación Ciudadana de Oaxaca emitió el acuerdo </w:t>
      </w:r>
      <w:r w:rsidRPr="00791593">
        <w:rPr>
          <w:rFonts w:ascii="Arial" w:eastAsia="Times New Roman" w:hAnsi="Arial" w:cs="Arial"/>
          <w:b/>
          <w:bCs/>
          <w:sz w:val="28"/>
          <w:szCs w:val="28"/>
          <w:lang w:val="es-ES" w:eastAsia="es-ES"/>
        </w:rPr>
        <w:t>CG-IEEPCO-SNI-82/2013</w:t>
      </w:r>
      <w:r w:rsidRPr="00791593">
        <w:rPr>
          <w:rFonts w:ascii="Arial" w:eastAsia="Times New Roman" w:hAnsi="Arial" w:cs="Arial"/>
          <w:bCs/>
          <w:sz w:val="28"/>
          <w:szCs w:val="28"/>
          <w:lang w:val="es-ES" w:eastAsia="es-ES"/>
        </w:rPr>
        <w:t>, en el que declaró legalmente válida la elección de Concejales del Ayuntamiento de San Juan Mixtepec, Juxtlahuaca, Oaxaca, y ordenó expedir las constancias de mayoría a los Concejales electos. El ayuntamiento quedó integrado de la siguiente forma:</w:t>
      </w:r>
    </w:p>
    <w:p w14:paraId="177F9494" w14:textId="77777777" w:rsidR="00DF77D2" w:rsidRPr="00791593" w:rsidRDefault="00DF77D2" w:rsidP="00DF77D2">
      <w:pPr>
        <w:spacing w:after="0" w:line="360" w:lineRule="auto"/>
        <w:ind w:firstLine="709"/>
        <w:jc w:val="both"/>
        <w:rPr>
          <w:rFonts w:ascii="Arial" w:eastAsia="Times New Roman" w:hAnsi="Arial" w:cs="Arial"/>
          <w:sz w:val="28"/>
          <w:szCs w:val="28"/>
          <w:lang w:eastAsia="es-MX"/>
        </w:rPr>
      </w:pPr>
    </w:p>
    <w:tbl>
      <w:tblPr>
        <w:tblStyle w:val="Tablaconcuadrcula"/>
        <w:tblW w:w="5000" w:type="pct"/>
        <w:tblLook w:val="04A0" w:firstRow="1" w:lastRow="0" w:firstColumn="1" w:lastColumn="0" w:noHBand="0" w:noVBand="1"/>
      </w:tblPr>
      <w:tblGrid>
        <w:gridCol w:w="4545"/>
        <w:gridCol w:w="4283"/>
      </w:tblGrid>
      <w:tr w:rsidR="00DF77D2" w:rsidRPr="00791593" w14:paraId="3523BB59" w14:textId="77777777" w:rsidTr="00DF77D2">
        <w:trPr>
          <w:trHeight w:val="265"/>
          <w:tblHeader/>
        </w:trPr>
        <w:tc>
          <w:tcPr>
            <w:tcW w:w="5000" w:type="pct"/>
            <w:gridSpan w:val="2"/>
            <w:shd w:val="clear" w:color="auto" w:fill="C4BC96"/>
            <w:hideMark/>
          </w:tcPr>
          <w:p w14:paraId="1473AF96" w14:textId="77777777" w:rsidR="00DF77D2" w:rsidRPr="00791593" w:rsidRDefault="00DF77D2" w:rsidP="00DF77D2">
            <w:pPr>
              <w:jc w:val="center"/>
              <w:rPr>
                <w:rFonts w:ascii="Arial" w:hAnsi="Arial" w:cs="Arial"/>
                <w:b/>
                <w:sz w:val="24"/>
                <w:szCs w:val="24"/>
              </w:rPr>
            </w:pPr>
            <w:r w:rsidRPr="00791593">
              <w:rPr>
                <w:rFonts w:ascii="Arial" w:hAnsi="Arial" w:cs="Arial"/>
                <w:b/>
                <w:bCs/>
                <w:sz w:val="24"/>
                <w:szCs w:val="24"/>
                <w:lang w:val="es-ES_tradnl"/>
              </w:rPr>
              <w:t>Integración del Ayuntamiento</w:t>
            </w:r>
          </w:p>
        </w:tc>
      </w:tr>
      <w:tr w:rsidR="00DF77D2" w:rsidRPr="00791593" w14:paraId="03AE413E" w14:textId="77777777" w:rsidTr="00DF77D2">
        <w:trPr>
          <w:trHeight w:val="265"/>
          <w:tblHeader/>
        </w:trPr>
        <w:tc>
          <w:tcPr>
            <w:tcW w:w="2574" w:type="pct"/>
            <w:shd w:val="clear" w:color="auto" w:fill="C4BC96"/>
            <w:hideMark/>
          </w:tcPr>
          <w:p w14:paraId="36D72577" w14:textId="77777777" w:rsidR="00DF77D2" w:rsidRPr="00791593" w:rsidRDefault="00DF77D2" w:rsidP="00DF77D2">
            <w:pPr>
              <w:jc w:val="center"/>
              <w:rPr>
                <w:rFonts w:ascii="Arial" w:hAnsi="Arial" w:cs="Arial"/>
                <w:b/>
                <w:sz w:val="24"/>
                <w:szCs w:val="24"/>
              </w:rPr>
            </w:pPr>
            <w:r w:rsidRPr="00791593">
              <w:rPr>
                <w:rFonts w:ascii="Arial" w:hAnsi="Arial" w:cs="Arial"/>
                <w:b/>
                <w:sz w:val="24"/>
                <w:szCs w:val="24"/>
              </w:rPr>
              <w:t>Propietarios</w:t>
            </w:r>
          </w:p>
        </w:tc>
        <w:tc>
          <w:tcPr>
            <w:tcW w:w="2426" w:type="pct"/>
            <w:shd w:val="clear" w:color="auto" w:fill="C4BC96"/>
            <w:hideMark/>
          </w:tcPr>
          <w:p w14:paraId="76C521CA" w14:textId="77777777" w:rsidR="00DF77D2" w:rsidRPr="00791593" w:rsidRDefault="00DF77D2" w:rsidP="00DF77D2">
            <w:pPr>
              <w:jc w:val="center"/>
              <w:rPr>
                <w:rFonts w:ascii="Arial" w:hAnsi="Arial" w:cs="Arial"/>
                <w:b/>
                <w:sz w:val="24"/>
                <w:szCs w:val="24"/>
              </w:rPr>
            </w:pPr>
            <w:r w:rsidRPr="00791593">
              <w:rPr>
                <w:rFonts w:ascii="Arial" w:hAnsi="Arial" w:cs="Arial"/>
                <w:b/>
                <w:sz w:val="24"/>
                <w:szCs w:val="24"/>
              </w:rPr>
              <w:t>Suplentes</w:t>
            </w:r>
          </w:p>
        </w:tc>
      </w:tr>
      <w:tr w:rsidR="00DF77D2" w:rsidRPr="00791593" w14:paraId="29247EC6" w14:textId="77777777" w:rsidTr="004D6EB2">
        <w:trPr>
          <w:trHeight w:val="265"/>
        </w:trPr>
        <w:tc>
          <w:tcPr>
            <w:tcW w:w="2574" w:type="pct"/>
            <w:hideMark/>
          </w:tcPr>
          <w:p w14:paraId="4F098891" w14:textId="77777777" w:rsidR="00DF77D2" w:rsidRPr="00791593" w:rsidRDefault="00DF77D2" w:rsidP="00DF77D2">
            <w:pPr>
              <w:jc w:val="center"/>
              <w:rPr>
                <w:rFonts w:ascii="Arial" w:hAnsi="Arial" w:cs="Arial"/>
                <w:b/>
                <w:sz w:val="24"/>
                <w:szCs w:val="24"/>
              </w:rPr>
            </w:pPr>
            <w:r w:rsidRPr="00791593">
              <w:rPr>
                <w:rFonts w:ascii="Arial" w:hAnsi="Arial" w:cs="Arial"/>
                <w:b/>
                <w:sz w:val="24"/>
                <w:szCs w:val="24"/>
              </w:rPr>
              <w:t>Adolfo Gómez Hernández</w:t>
            </w:r>
          </w:p>
        </w:tc>
        <w:tc>
          <w:tcPr>
            <w:tcW w:w="2426" w:type="pct"/>
            <w:hideMark/>
          </w:tcPr>
          <w:p w14:paraId="3BC9007D"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Eusebio Gabriel Bautista Hernández</w:t>
            </w:r>
          </w:p>
        </w:tc>
      </w:tr>
      <w:tr w:rsidR="00DF77D2" w:rsidRPr="00791593" w14:paraId="5ED02918" w14:textId="77777777" w:rsidTr="004D6EB2">
        <w:trPr>
          <w:trHeight w:val="265"/>
        </w:trPr>
        <w:tc>
          <w:tcPr>
            <w:tcW w:w="2574" w:type="pct"/>
            <w:hideMark/>
          </w:tcPr>
          <w:p w14:paraId="782030B7"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José Ramos Cruz</w:t>
            </w:r>
          </w:p>
        </w:tc>
        <w:tc>
          <w:tcPr>
            <w:tcW w:w="2426" w:type="pct"/>
            <w:hideMark/>
          </w:tcPr>
          <w:p w14:paraId="05F9E4EE"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José Eustacio Sánchez Martínez</w:t>
            </w:r>
          </w:p>
        </w:tc>
      </w:tr>
      <w:tr w:rsidR="00DF77D2" w:rsidRPr="00791593" w14:paraId="3AE4BD70" w14:textId="77777777" w:rsidTr="004D6EB2">
        <w:trPr>
          <w:trHeight w:val="265"/>
        </w:trPr>
        <w:tc>
          <w:tcPr>
            <w:tcW w:w="2574" w:type="pct"/>
            <w:hideMark/>
          </w:tcPr>
          <w:p w14:paraId="72C5651E"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Gonzalo Emilio Santiago Santiago</w:t>
            </w:r>
          </w:p>
        </w:tc>
        <w:tc>
          <w:tcPr>
            <w:tcW w:w="2426" w:type="pct"/>
            <w:hideMark/>
          </w:tcPr>
          <w:p w14:paraId="19C52337"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Lázaro Hernández Mariscal</w:t>
            </w:r>
          </w:p>
        </w:tc>
      </w:tr>
      <w:tr w:rsidR="00DF77D2" w:rsidRPr="00791593" w14:paraId="1026A6BD" w14:textId="77777777" w:rsidTr="004D6EB2">
        <w:trPr>
          <w:trHeight w:val="265"/>
        </w:trPr>
        <w:tc>
          <w:tcPr>
            <w:tcW w:w="2574" w:type="pct"/>
            <w:hideMark/>
          </w:tcPr>
          <w:p w14:paraId="74443DF6"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Francisco Alberto Gabriel Cruz</w:t>
            </w:r>
          </w:p>
        </w:tc>
        <w:tc>
          <w:tcPr>
            <w:tcW w:w="2426" w:type="pct"/>
            <w:hideMark/>
          </w:tcPr>
          <w:p w14:paraId="790A031F"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Francisco Santiago Santiago</w:t>
            </w:r>
          </w:p>
        </w:tc>
      </w:tr>
      <w:tr w:rsidR="00DF77D2" w:rsidRPr="00791593" w14:paraId="06147104" w14:textId="77777777" w:rsidTr="004D6EB2">
        <w:trPr>
          <w:trHeight w:val="265"/>
        </w:trPr>
        <w:tc>
          <w:tcPr>
            <w:tcW w:w="2574" w:type="pct"/>
            <w:hideMark/>
          </w:tcPr>
          <w:p w14:paraId="35D7587C"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Ángela Francisca Sánchez Hernández</w:t>
            </w:r>
          </w:p>
        </w:tc>
        <w:tc>
          <w:tcPr>
            <w:tcW w:w="2426" w:type="pct"/>
            <w:hideMark/>
          </w:tcPr>
          <w:p w14:paraId="216A4CE3"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Porfirio Santiago López</w:t>
            </w:r>
          </w:p>
        </w:tc>
      </w:tr>
      <w:tr w:rsidR="00DF77D2" w:rsidRPr="00791593" w14:paraId="5173B5FB" w14:textId="77777777" w:rsidTr="004D6EB2">
        <w:trPr>
          <w:trHeight w:val="265"/>
        </w:trPr>
        <w:tc>
          <w:tcPr>
            <w:tcW w:w="2574" w:type="pct"/>
            <w:hideMark/>
          </w:tcPr>
          <w:p w14:paraId="5940640B"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Agustín Bonifacio López López</w:t>
            </w:r>
          </w:p>
        </w:tc>
        <w:tc>
          <w:tcPr>
            <w:tcW w:w="2426" w:type="pct"/>
            <w:hideMark/>
          </w:tcPr>
          <w:p w14:paraId="164ADFAD"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Jenaro Lucio Sánchez Ramírez</w:t>
            </w:r>
          </w:p>
        </w:tc>
      </w:tr>
      <w:tr w:rsidR="00DF77D2" w:rsidRPr="00791593" w14:paraId="7BAB46B5" w14:textId="77777777" w:rsidTr="004D6EB2">
        <w:trPr>
          <w:trHeight w:val="265"/>
        </w:trPr>
        <w:tc>
          <w:tcPr>
            <w:tcW w:w="2574" w:type="pct"/>
            <w:hideMark/>
          </w:tcPr>
          <w:p w14:paraId="5F19389F"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Alejandro López Santiago</w:t>
            </w:r>
          </w:p>
        </w:tc>
        <w:tc>
          <w:tcPr>
            <w:tcW w:w="2426" w:type="pct"/>
            <w:hideMark/>
          </w:tcPr>
          <w:p w14:paraId="659E0ED1"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Félix Eleuterio Santiago Martínez</w:t>
            </w:r>
          </w:p>
        </w:tc>
      </w:tr>
      <w:tr w:rsidR="00DF77D2" w:rsidRPr="00791593" w14:paraId="4A1F51E3" w14:textId="77777777" w:rsidTr="004D6EB2">
        <w:trPr>
          <w:trHeight w:val="265"/>
        </w:trPr>
        <w:tc>
          <w:tcPr>
            <w:tcW w:w="2574" w:type="pct"/>
            <w:hideMark/>
          </w:tcPr>
          <w:p w14:paraId="74C48556"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Juanina Alejandra Bautista Guzmán</w:t>
            </w:r>
          </w:p>
        </w:tc>
        <w:tc>
          <w:tcPr>
            <w:tcW w:w="2426" w:type="pct"/>
            <w:hideMark/>
          </w:tcPr>
          <w:p w14:paraId="323C308D"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Esther José Bautista</w:t>
            </w:r>
          </w:p>
        </w:tc>
      </w:tr>
      <w:tr w:rsidR="00DF77D2" w:rsidRPr="00791593" w14:paraId="7E758EC8" w14:textId="77777777" w:rsidTr="004D6EB2">
        <w:trPr>
          <w:trHeight w:val="265"/>
        </w:trPr>
        <w:tc>
          <w:tcPr>
            <w:tcW w:w="2574" w:type="pct"/>
            <w:hideMark/>
          </w:tcPr>
          <w:p w14:paraId="2E9541F0"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Pablo Paz Gabriel</w:t>
            </w:r>
          </w:p>
        </w:tc>
        <w:tc>
          <w:tcPr>
            <w:tcW w:w="2426" w:type="pct"/>
            <w:hideMark/>
          </w:tcPr>
          <w:p w14:paraId="2F0F712D" w14:textId="77777777" w:rsidR="00DF77D2" w:rsidRPr="00791593" w:rsidRDefault="00DF77D2" w:rsidP="00DF77D2">
            <w:pPr>
              <w:jc w:val="center"/>
              <w:rPr>
                <w:rFonts w:ascii="Arial" w:hAnsi="Arial" w:cs="Arial"/>
                <w:sz w:val="24"/>
                <w:szCs w:val="24"/>
              </w:rPr>
            </w:pPr>
            <w:r w:rsidRPr="00791593">
              <w:rPr>
                <w:rFonts w:ascii="Arial" w:hAnsi="Arial" w:cs="Arial"/>
                <w:sz w:val="24"/>
                <w:szCs w:val="24"/>
              </w:rPr>
              <w:t>Andrés Serapio Bautista Velasco</w:t>
            </w:r>
          </w:p>
        </w:tc>
      </w:tr>
    </w:tbl>
    <w:p w14:paraId="7EF37AC6" w14:textId="77777777" w:rsidR="00DF77D2" w:rsidRPr="00791593" w:rsidRDefault="00DF77D2" w:rsidP="00DF77D2">
      <w:pPr>
        <w:spacing w:after="0" w:line="360" w:lineRule="auto"/>
        <w:jc w:val="both"/>
        <w:rPr>
          <w:rFonts w:ascii="Arial" w:eastAsia="Times New Roman" w:hAnsi="Arial" w:cs="Arial"/>
          <w:sz w:val="28"/>
          <w:szCs w:val="28"/>
          <w:lang w:eastAsia="es-MX"/>
        </w:rPr>
      </w:pPr>
    </w:p>
    <w:p w14:paraId="5DBA025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h) Juicio electoral de los sistemas normativos internos.</w:t>
      </w:r>
      <w:r w:rsidRPr="00791593">
        <w:rPr>
          <w:rFonts w:ascii="Arial" w:eastAsia="Times New Roman" w:hAnsi="Arial" w:cs="Arial"/>
          <w:bCs/>
          <w:sz w:val="28"/>
          <w:szCs w:val="28"/>
          <w:lang w:val="es-ES" w:eastAsia="es-ES"/>
        </w:rPr>
        <w:t xml:space="preserve"> El sucesivo veintitrés de diciembre, Enedino Feliciano López Sánchez promovió juicio electoral de los sistemas normativos internos, para impugnar la declaración de validez de la elección referida. El juicio se radicó con la clave JNI/60/2013 del índice del Tribunal Estatal Electoral del Poder Judicial de Oaxaca.</w:t>
      </w:r>
    </w:p>
    <w:p w14:paraId="43F828D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244395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lastRenderedPageBreak/>
        <w:t>i) Resolución al JNI/60/2013.</w:t>
      </w:r>
      <w:r w:rsidRPr="00791593">
        <w:rPr>
          <w:rFonts w:ascii="Arial" w:eastAsia="Times New Roman" w:hAnsi="Arial" w:cs="Arial"/>
          <w:bCs/>
          <w:sz w:val="28"/>
          <w:szCs w:val="28"/>
          <w:lang w:val="es-ES" w:eastAsia="es-ES"/>
        </w:rPr>
        <w:t xml:space="preserve"> El treinta y uno de diciembre subsiguiente, el Tribunal Estatal Electoral resolvió el juicio electoral de los sistemas normativos internos, en el sentido de confirmar el acuerdo CG-IEEPCO-SNI-82/2013, por el que se validó la elección de referencia.</w:t>
      </w:r>
    </w:p>
    <w:p w14:paraId="2E57B78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627E35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j) Juicio para la protección de los derechos político- electorales del ciudadano.</w:t>
      </w:r>
      <w:r w:rsidRPr="00791593">
        <w:rPr>
          <w:rFonts w:ascii="Arial" w:eastAsia="Times New Roman" w:hAnsi="Arial" w:cs="Arial"/>
          <w:bCs/>
          <w:sz w:val="28"/>
          <w:szCs w:val="28"/>
          <w:lang w:val="es-ES" w:eastAsia="es-ES"/>
        </w:rPr>
        <w:t xml:space="preserve"> El cinco de enero del año en curso, Enedino Feliciano López Sánchez controvirtió la referida resolución vía juicio de revisión constitucional electoral.</w:t>
      </w:r>
    </w:p>
    <w:p w14:paraId="7348AC9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612C53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Dicha demanda fue reencauzada a juicio para la protección de los derechos político-electorales del ciudadano, al estimarlo como la vía idónea, atendiendo a la calidad del promovente y el acto controvertido.</w:t>
      </w:r>
    </w:p>
    <w:p w14:paraId="5923F7F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3ED832B" w14:textId="77777777" w:rsidR="00DF77D2" w:rsidRPr="00791593" w:rsidRDefault="00DF77D2" w:rsidP="00DF77D2">
      <w:pPr>
        <w:spacing w:after="0" w:line="360" w:lineRule="auto"/>
        <w:ind w:firstLine="709"/>
        <w:jc w:val="both"/>
        <w:rPr>
          <w:rFonts w:ascii="Arial" w:eastAsia="Times New Roman" w:hAnsi="Arial" w:cs="Arial"/>
          <w:b/>
          <w:bCs/>
          <w:sz w:val="28"/>
          <w:szCs w:val="28"/>
          <w:lang w:val="es-ES" w:eastAsia="es-ES"/>
        </w:rPr>
      </w:pPr>
      <w:r w:rsidRPr="00791593">
        <w:rPr>
          <w:rFonts w:ascii="Arial" w:eastAsia="Times New Roman" w:hAnsi="Arial" w:cs="Arial"/>
          <w:bCs/>
          <w:sz w:val="28"/>
          <w:szCs w:val="28"/>
          <w:lang w:val="es-ES" w:eastAsia="es-ES"/>
        </w:rPr>
        <w:t xml:space="preserve"> Asimismo, fue radicada ante la Sala Regional del Tribunal Electoral del Poder Judicial de la Federación correspondiente a la Tercera Circunscripción Plurinominal con sede en Xalapa, Veracruz, con el número de expediente </w:t>
      </w:r>
      <w:r w:rsidRPr="00791593">
        <w:rPr>
          <w:rFonts w:ascii="Arial" w:eastAsia="Times New Roman" w:hAnsi="Arial" w:cs="Arial"/>
          <w:b/>
          <w:bCs/>
          <w:sz w:val="28"/>
          <w:szCs w:val="28"/>
          <w:lang w:val="es-ES" w:eastAsia="es-ES"/>
        </w:rPr>
        <w:t>SX-JDC-53/2014.</w:t>
      </w:r>
    </w:p>
    <w:p w14:paraId="59CDF5C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D5B392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sz w:val="28"/>
          <w:szCs w:val="28"/>
          <w:lang w:eastAsia="es-MX"/>
        </w:rPr>
        <w:t>k</w:t>
      </w:r>
      <w:r w:rsidRPr="00791593">
        <w:rPr>
          <w:rFonts w:ascii="Arial" w:eastAsia="Times New Roman" w:hAnsi="Arial" w:cs="Arial"/>
          <w:bCs/>
          <w:sz w:val="28"/>
          <w:szCs w:val="28"/>
          <w:lang w:val="es-ES" w:eastAsia="es-ES"/>
        </w:rPr>
        <w:t xml:space="preserve">) </w:t>
      </w:r>
      <w:r w:rsidRPr="00791593">
        <w:rPr>
          <w:rFonts w:ascii="Arial" w:eastAsia="Times New Roman" w:hAnsi="Arial" w:cs="Arial"/>
          <w:b/>
          <w:bCs/>
          <w:sz w:val="28"/>
          <w:szCs w:val="28"/>
          <w:lang w:val="es-ES" w:eastAsia="es-ES"/>
        </w:rPr>
        <w:t>Sentencia impugnada.</w:t>
      </w:r>
      <w:r w:rsidRPr="00791593">
        <w:rPr>
          <w:rFonts w:ascii="Arial" w:eastAsia="Times New Roman" w:hAnsi="Arial" w:cs="Arial"/>
          <w:bCs/>
          <w:sz w:val="28"/>
          <w:szCs w:val="28"/>
          <w:lang w:val="es-ES" w:eastAsia="es-ES"/>
        </w:rPr>
        <w:t xml:space="preserve"> El veinte de marzo del presente año, la citada Sala Regional dictó sentencia en el SX-JDC-53/2014, en el sentido de confirmar la sentencia emitida por el Tribunal Estatal Electoral del Poder Judicial de Oaxaca en el juicio JNI/60/2013, que a su vez confirmó el acuerdo CG-IEEPCO-SNI-82/2013 del Consejo General del Instituto Estatal Electoral y de Participación Ciudadana de Oaxaca, relativo a la validez de la elección de Concejales al Ayuntamiento de San Juan Mixtepec, Juxtlahuaca, Oaxaca.</w:t>
      </w:r>
    </w:p>
    <w:p w14:paraId="3FAD315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249AC3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II. Recurso de reconsideración.</w:t>
      </w:r>
      <w:r w:rsidRPr="00791593">
        <w:rPr>
          <w:rFonts w:ascii="Arial" w:eastAsia="Times New Roman" w:hAnsi="Arial" w:cs="Arial"/>
          <w:bCs/>
          <w:sz w:val="28"/>
          <w:szCs w:val="28"/>
          <w:lang w:val="es-ES" w:eastAsia="es-ES"/>
        </w:rPr>
        <w:t xml:space="preserve"> Disconforme con lo anterior, el veintitrés de marzo siguiente, Enedino Feliciano López Sánchez interpuso recurso de reconsideración, a fin de controvertir la sentencia referida.</w:t>
      </w:r>
    </w:p>
    <w:p w14:paraId="0F60B83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C88B23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III. Remisión de autos.</w:t>
      </w:r>
      <w:r w:rsidRPr="00791593">
        <w:rPr>
          <w:rFonts w:ascii="Arial" w:eastAsia="Times New Roman" w:hAnsi="Arial" w:cs="Arial"/>
          <w:bCs/>
          <w:sz w:val="28"/>
          <w:szCs w:val="28"/>
          <w:lang w:val="es-ES" w:eastAsia="es-ES"/>
        </w:rPr>
        <w:t xml:space="preserve"> Mediante oficio de veintitrés de marzo de dos mil catorce, identificado con la clave TEPJF-SRX-SGA-1093/2014, recibido en la Oficialía de Partes de esta Sala Superior el veinticuatro posterior, la Sala Regional Xalapa remitió la demanda de recurso de reconsideración con sus anexos.</w:t>
      </w:r>
    </w:p>
    <w:p w14:paraId="73288D7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5C8DB2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lV. Turno a ponencia.</w:t>
      </w:r>
      <w:r w:rsidRPr="00791593">
        <w:rPr>
          <w:rFonts w:ascii="Arial" w:eastAsia="Times New Roman" w:hAnsi="Arial" w:cs="Arial"/>
          <w:bCs/>
          <w:sz w:val="28"/>
          <w:szCs w:val="28"/>
          <w:lang w:val="es-ES" w:eastAsia="es-ES"/>
        </w:rPr>
        <w:t xml:space="preserve"> Por proveído de veinticuatro de marzo de dos mil catorce, el Magistrado Presidente de este Tribunal Electoral ordenó integrar el expediente SUP-REC-827/2014, y turnarlo a la Ponencia a su cargo, para los efectos previstos en los artículos 19 y 68 de la Ley General del Sistema de Medios de Impugnación en Materia Electoral.</w:t>
      </w:r>
    </w:p>
    <w:p w14:paraId="358BA8C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9D5C24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V. Tercero interesado.</w:t>
      </w:r>
      <w:r w:rsidRPr="00791593">
        <w:rPr>
          <w:rFonts w:ascii="Arial" w:eastAsia="Times New Roman" w:hAnsi="Arial" w:cs="Arial"/>
          <w:bCs/>
          <w:sz w:val="28"/>
          <w:szCs w:val="28"/>
          <w:lang w:val="es-ES" w:eastAsia="es-ES"/>
        </w:rPr>
        <w:t xml:space="preserve"> Por oficio TEPJF-SGA-1565/14, de veintisiete de marzo del año en curso, suscrito por el Secretario General de Acuerdos de esta Sala Superior, remitió a la ponencia del Magistrado José Alejandro Luna Ramos, el escrito de Adolfo Gómez Hernández, por propio derecho, ostentándose como Presidente Municipal de San Juan Mixtepec, Juxtlahuaca, Oaxaca, con el cual comparece como tercero interesado en el presente medio impugnativo, y</w:t>
      </w:r>
    </w:p>
    <w:p w14:paraId="288A6F7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1E3DE82" w14:textId="77777777" w:rsidR="00DF77D2" w:rsidRPr="00791593" w:rsidRDefault="00DF77D2" w:rsidP="00DF77D2">
      <w:pPr>
        <w:spacing w:after="0" w:line="360" w:lineRule="auto"/>
        <w:ind w:firstLine="709"/>
        <w:jc w:val="center"/>
        <w:rPr>
          <w:rFonts w:ascii="Arial" w:eastAsia="Times New Roman" w:hAnsi="Arial" w:cs="Arial"/>
          <w:b/>
          <w:sz w:val="28"/>
          <w:szCs w:val="28"/>
          <w:lang w:val="it-IT" w:eastAsia="es-MX"/>
        </w:rPr>
      </w:pPr>
      <w:r w:rsidRPr="00791593">
        <w:rPr>
          <w:rFonts w:ascii="Arial" w:eastAsia="Times New Roman" w:hAnsi="Arial" w:cs="Arial"/>
          <w:b/>
          <w:sz w:val="28"/>
          <w:szCs w:val="28"/>
          <w:lang w:val="it-IT" w:eastAsia="es-MX"/>
        </w:rPr>
        <w:lastRenderedPageBreak/>
        <w:t xml:space="preserve">C O N S I D E R A N D O </w:t>
      </w:r>
    </w:p>
    <w:p w14:paraId="7DDC01BB" w14:textId="77777777" w:rsidR="00DF77D2" w:rsidRPr="00791593" w:rsidRDefault="00DF77D2" w:rsidP="00DF77D2">
      <w:pPr>
        <w:spacing w:after="0" w:line="360" w:lineRule="auto"/>
        <w:ind w:firstLine="709"/>
        <w:jc w:val="center"/>
        <w:rPr>
          <w:rFonts w:ascii="Arial" w:eastAsia="Times New Roman" w:hAnsi="Arial" w:cs="Arial"/>
          <w:b/>
          <w:sz w:val="28"/>
          <w:szCs w:val="28"/>
          <w:lang w:val="it-IT" w:eastAsia="es-MX"/>
        </w:rPr>
      </w:pPr>
    </w:p>
    <w:p w14:paraId="7C3B615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 xml:space="preserve">PRIMERO. Jurisdicción y competencia. </w:t>
      </w:r>
      <w:r w:rsidRPr="00791593">
        <w:rPr>
          <w:rFonts w:ascii="Arial" w:eastAsia="Times New Roman" w:hAnsi="Arial" w:cs="Arial"/>
          <w:bCs/>
          <w:sz w:val="28"/>
          <w:szCs w:val="28"/>
          <w:lang w:val="es-ES" w:eastAsia="es-ES"/>
        </w:rPr>
        <w:t>Esta Sala Superior del Tribunal Electoral del Poder Judicial de la Federación ejerce jurisdicción y es competente para conocer y resolver el medio de impugnación al rubro indicado, de conformidad con lo previsto en los artículos 41, párrafo segundo, base VI, y 99, párrafo cuarto, fracción X, de la Constitución Política de los Estados Unidos Mexicanos; 186, fracción X, y 189, fracción XIX, de la Ley Orgánica del Poder Judicial de la Federación, y 64, de la Ley General del Sistema de Medios de Impugnación en Materia Electoral, porque se trata de un recurso de reconsideración promovido para controvertir una sentencia dictada por la Sala Regional Xalapa, al resolver un juicio para la protección de los derechos político-electorales del ciudadano.</w:t>
      </w:r>
    </w:p>
    <w:p w14:paraId="0D120A9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82C2CE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SEGUNDO. Requisitos de procedencia.</w:t>
      </w:r>
      <w:r w:rsidRPr="00791593">
        <w:rPr>
          <w:rFonts w:ascii="Arial" w:eastAsia="Times New Roman" w:hAnsi="Arial" w:cs="Arial"/>
          <w:bCs/>
          <w:sz w:val="28"/>
          <w:szCs w:val="28"/>
          <w:lang w:val="es-ES" w:eastAsia="es-ES"/>
        </w:rPr>
        <w:t xml:space="preserve"> Previo al estudio de fondo del presente medio de impugnación, debe tenerse presente que en términos de lo previsto por el artículo 2°, de la Constitución federal, debe garantizarse a los integrantes de los pueblos indígenas el efectivo acceso a la jurisdicción del Estado, lo cual, aunado a lo dispuesto por el artículo 17, párrafos segundo y tercero, del mismo ordenamiento, que prevé que los tribunales deben estar expeditos para impartir justicia en los plazos y términos que fijen las leyes, emitiendo sus resoluciones de manera pronta, completa e imparcial, garantizando la independencia judicial y la plena ejecución de sus resoluciones, constriñen a esta Sala Superior a estudiar con especial atención la aplicación de las causales </w:t>
      </w:r>
      <w:r w:rsidRPr="00791593">
        <w:rPr>
          <w:rFonts w:ascii="Arial" w:eastAsia="Times New Roman" w:hAnsi="Arial" w:cs="Arial"/>
          <w:bCs/>
          <w:sz w:val="28"/>
          <w:szCs w:val="28"/>
          <w:lang w:val="es-ES" w:eastAsia="es-ES"/>
        </w:rPr>
        <w:lastRenderedPageBreak/>
        <w:t>de improcedencia que se prevén expresamente en la Ley General del Sistema de Medios de Impugnación en Materia Electoral.</w:t>
      </w:r>
    </w:p>
    <w:p w14:paraId="21C4482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211DC84" w14:textId="77777777" w:rsidR="00DF77D2" w:rsidRPr="00791593" w:rsidRDefault="00DF77D2" w:rsidP="00DF77D2">
      <w:pPr>
        <w:spacing w:after="0" w:line="360" w:lineRule="auto"/>
        <w:ind w:firstLine="709"/>
        <w:jc w:val="both"/>
        <w:rPr>
          <w:rFonts w:ascii="Arial" w:eastAsia="Times New Roman" w:hAnsi="Arial" w:cs="Arial"/>
          <w:bCs/>
          <w:sz w:val="28"/>
          <w:szCs w:val="28"/>
          <w:lang w:eastAsia="es-ES"/>
        </w:rPr>
      </w:pPr>
      <w:r w:rsidRPr="00791593">
        <w:rPr>
          <w:rFonts w:ascii="Arial" w:eastAsia="Times New Roman" w:hAnsi="Arial" w:cs="Arial"/>
          <w:bCs/>
          <w:sz w:val="28"/>
          <w:szCs w:val="28"/>
          <w:lang w:eastAsia="es-ES"/>
        </w:rPr>
        <w:t>Esta conclusión se apunta, porque los integrantes de tales comunidades deben tener un acceso real a la justicia del Estado, no virtual, formal o teórico, por lo que debe dispensarse una justicia en la que puedan defenderse, sin que se interpongan impedimentos procesales por los que se prescinda de sus particulares circunstancias, ya que la efectividad de la administración de justicia debe traducirse en un actuar alejado de formalismos exagerados e innecesarios, para que, en forma completa y real, el órgano jurisdiccional decida materialmente o en el fondo el problema planteado.</w:t>
      </w:r>
    </w:p>
    <w:p w14:paraId="0245523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8703D3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De esta manera, una intelección cabal del enunciado constitucional </w:t>
      </w:r>
      <w:r w:rsidRPr="00791593">
        <w:rPr>
          <w:rFonts w:ascii="Arial" w:eastAsia="Times New Roman" w:hAnsi="Arial" w:cs="Arial"/>
          <w:b/>
          <w:bCs/>
          <w:sz w:val="28"/>
          <w:szCs w:val="28"/>
          <w:lang w:val="es-ES" w:eastAsia="es-ES"/>
        </w:rPr>
        <w:t>efectivo acceso a la jurisdicción del Estado</w:t>
      </w:r>
      <w:r w:rsidRPr="00791593">
        <w:rPr>
          <w:rFonts w:ascii="Arial" w:eastAsia="Times New Roman" w:hAnsi="Arial" w:cs="Arial"/>
          <w:bCs/>
          <w:sz w:val="28"/>
          <w:szCs w:val="28"/>
          <w:lang w:val="es-ES" w:eastAsia="es-ES"/>
        </w:rPr>
        <w:t>, derivada de una interpretación sistemática y funcional de las disposiciones citadas, debe entenderse como el derecho de los ciudadanos a lo siguiente: a) La obtención de una sentencia de los órganos jurisdiccionales del Estado; b) La real resolución del problema planteado; c) La motivación y fundamentación de dicha decisión jurisdiccional, y d) La ejecución de la sentencia judicial.</w:t>
      </w:r>
    </w:p>
    <w:p w14:paraId="44EA002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015D1A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Así, en el caso se cumple con los requisitos generales y especiales de procedencia, con fundamento en lo dispuesto en los artículos 8, 9, 13, párrafo 1, inciso b); 61, párrafo 1, inciso b), 62, párrafo 1, inciso a), fracción IV; 63, 65 y 66, de la Ley General del Sistema de </w:t>
      </w:r>
      <w:r w:rsidRPr="00791593">
        <w:rPr>
          <w:rFonts w:ascii="Arial" w:eastAsia="Times New Roman" w:hAnsi="Arial" w:cs="Arial"/>
          <w:bCs/>
          <w:sz w:val="28"/>
          <w:szCs w:val="28"/>
          <w:lang w:val="es-ES" w:eastAsia="es-ES"/>
        </w:rPr>
        <w:lastRenderedPageBreak/>
        <w:t>Medios de Impugnación en Materia Electoral, tal y como se demuestra a continuación.</w:t>
      </w:r>
    </w:p>
    <w:p w14:paraId="4018F7E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8EBBCB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I. Forma.</w:t>
      </w:r>
      <w:r w:rsidRPr="00791593">
        <w:rPr>
          <w:rFonts w:ascii="Arial" w:eastAsia="Times New Roman" w:hAnsi="Arial" w:cs="Arial"/>
          <w:bCs/>
          <w:sz w:val="28"/>
          <w:szCs w:val="28"/>
          <w:lang w:val="es-ES" w:eastAsia="es-ES"/>
        </w:rPr>
        <w:t xml:space="preserve"> El recurso se presentó por escrito ante la Sala Regional responsable; en él se hace constar el nombre del recurrente, domicilio para recibir notificaciones y personas autorizadas para tal efecto; se identifica el acto impugnado, se enuncian los hechos y agravios en los que se basa la impugnación, así como los preceptos presuntamente violados.</w:t>
      </w:r>
    </w:p>
    <w:p w14:paraId="26B3001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C1621E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II. Oportunidad.</w:t>
      </w:r>
      <w:r w:rsidRPr="00791593">
        <w:rPr>
          <w:rFonts w:ascii="Arial" w:eastAsia="Times New Roman" w:hAnsi="Arial" w:cs="Arial"/>
          <w:bCs/>
          <w:sz w:val="28"/>
          <w:szCs w:val="28"/>
          <w:lang w:val="es-ES" w:eastAsia="es-ES"/>
        </w:rPr>
        <w:t xml:space="preserve"> La demanda del presente recurso de reconsideración que se resuelve es oportuna, pues se presentó dentro del plazo legal de tres días, establecido en el artículo 66, párrafo 1, inciso a), de la Ley General del Sistema de Medios de Impugnación en Materia Electoral</w:t>
      </w:r>
    </w:p>
    <w:p w14:paraId="381F8EA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DB19B6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Esto es así, en virtud de que la sentencia impugnada fue emitida el veinte de marzo del año en curso y se notificó al recurrente el veintiuno siguiente; en tanto que el recurso en cita se interpuso el veintitrés posterior. Luego entonces, si el plazo de tres días para interponer el recurso de mérito transcurrió del veintidós al veinticuatro de marzo del año en curso, es claro que el escrito de recurso que fue interpuesto en tiempo.</w:t>
      </w:r>
    </w:p>
    <w:p w14:paraId="11A3915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B0C798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III. Legitimación.</w:t>
      </w:r>
      <w:r w:rsidRPr="00791593">
        <w:rPr>
          <w:rFonts w:ascii="Arial" w:eastAsia="Times New Roman" w:hAnsi="Arial" w:cs="Arial"/>
          <w:bCs/>
          <w:sz w:val="28"/>
          <w:szCs w:val="28"/>
          <w:lang w:val="es-ES" w:eastAsia="es-ES"/>
        </w:rPr>
        <w:t xml:space="preserve"> Se satisface este requisito, porque Enedino Feliciano López Sánchez comparece como recurrente en la presente instancia, ostentándose como indígena mixteco, perteneciente al </w:t>
      </w:r>
      <w:r w:rsidRPr="00791593">
        <w:rPr>
          <w:rFonts w:ascii="Arial" w:eastAsia="Times New Roman" w:hAnsi="Arial" w:cs="Arial"/>
          <w:bCs/>
          <w:sz w:val="28"/>
          <w:szCs w:val="28"/>
          <w:lang w:val="es-ES" w:eastAsia="es-ES"/>
        </w:rPr>
        <w:lastRenderedPageBreak/>
        <w:t>municipio San Juan Mixtepec, Juxtlahuaca, Oaxaca. Además, fue él mismo quien promovió el juicio para la protección de los derechos político-electorales del ciudadano SX-JDC-53/2014, al cual recayó la sentencia que ahora se impugna.</w:t>
      </w:r>
    </w:p>
    <w:p w14:paraId="389FC4C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44BF23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IV. Interés jurídico.</w:t>
      </w:r>
      <w:r w:rsidRPr="00791593">
        <w:rPr>
          <w:rFonts w:ascii="Arial" w:eastAsia="Times New Roman" w:hAnsi="Arial" w:cs="Arial"/>
          <w:bCs/>
          <w:sz w:val="28"/>
          <w:szCs w:val="28"/>
          <w:lang w:val="es-ES" w:eastAsia="es-ES"/>
        </w:rPr>
        <w:t xml:space="preserve"> El recurrente cuenta con interés jurídico para interponer el presente recurso, toda vez que impugna una sentencia dictada dentro de un juicio que repercute directamente en la elección, por usos y costumbres, de sus autoridades municipales.</w:t>
      </w:r>
    </w:p>
    <w:p w14:paraId="5098C4A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FBC56B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Esto es así, pues se controvierte la sentencia dictada por la Sala Regional Xalapa, por la cual se confirmó la diversa emitida por el Tribunal Estatal Electoral del Poder Judicial de Oaxaca, que a su vez confirmó el acuerdo del Consejo General del Instituto Estatal Electoral y de Participación Ciudadana de esa entidad federativa, por el que se validó la elección de concejales en el ayuntamiento del municipio de San Juan Mixtepec, Juxtlahuaca.</w:t>
      </w:r>
    </w:p>
    <w:p w14:paraId="4757787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1B5E3E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V. Definitividad.</w:t>
      </w:r>
      <w:r w:rsidRPr="00791593">
        <w:rPr>
          <w:rFonts w:ascii="Arial" w:eastAsia="Times New Roman" w:hAnsi="Arial" w:cs="Arial"/>
          <w:bCs/>
          <w:sz w:val="28"/>
          <w:szCs w:val="28"/>
          <w:lang w:val="es-ES" w:eastAsia="es-ES"/>
        </w:rPr>
        <w:t xml:space="preserve"> También se surte este requisito, puesto que contra la sentencia impugnada no procede algún otro medio de impugnación.</w:t>
      </w:r>
    </w:p>
    <w:p w14:paraId="39F4A08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8BF612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VI. Requisito especial de procedencia.</w:t>
      </w:r>
      <w:r w:rsidRPr="00791593">
        <w:rPr>
          <w:rFonts w:ascii="Arial" w:eastAsia="Times New Roman" w:hAnsi="Arial" w:cs="Arial"/>
          <w:bCs/>
          <w:sz w:val="28"/>
          <w:szCs w:val="28"/>
          <w:lang w:val="es-ES" w:eastAsia="es-ES"/>
        </w:rPr>
        <w:t xml:space="preserve"> En la especie se acredita este requisito, atento a las siguientes consideraciones.</w:t>
      </w:r>
    </w:p>
    <w:p w14:paraId="60FF7E5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49EDA0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el artículo 61, párrafo 1, de la Ley General del Sistema de Medios de Impugnación en Materia Electoral se establece que el </w:t>
      </w:r>
      <w:r w:rsidRPr="00791593">
        <w:rPr>
          <w:rFonts w:ascii="Arial" w:eastAsia="Times New Roman" w:hAnsi="Arial" w:cs="Arial"/>
          <w:bCs/>
          <w:sz w:val="28"/>
          <w:szCs w:val="28"/>
          <w:lang w:val="es-ES" w:eastAsia="es-ES"/>
        </w:rPr>
        <w:lastRenderedPageBreak/>
        <w:t>recurso de reconsideración es procedente para impugnar sentencias de fondo dictadas por las Salas Regionales de este Tribunal Electoral.</w:t>
      </w:r>
    </w:p>
    <w:p w14:paraId="1D1DF84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1CACA8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los incisos a) y b) del precepto normativo señalado se prevén los actos que pueden ser objeto de controversia mediante el recurso de reconsideración, a saber:</w:t>
      </w:r>
    </w:p>
    <w:p w14:paraId="7BC89E37" w14:textId="77777777" w:rsidR="00DF77D2" w:rsidRPr="00791593" w:rsidRDefault="00DF77D2" w:rsidP="00DF77D2">
      <w:pPr>
        <w:spacing w:after="0" w:line="360" w:lineRule="auto"/>
        <w:ind w:firstLine="709"/>
        <w:jc w:val="both"/>
        <w:rPr>
          <w:rFonts w:ascii="Arial" w:eastAsia="Times New Roman" w:hAnsi="Arial" w:cs="Arial"/>
          <w:sz w:val="28"/>
          <w:szCs w:val="28"/>
          <w:lang w:val="es-ES" w:eastAsia="es-ES"/>
        </w:rPr>
      </w:pPr>
    </w:p>
    <w:p w14:paraId="5A6AA9E0" w14:textId="77777777" w:rsidR="00DF77D2" w:rsidRPr="00791593" w:rsidRDefault="00DF77D2" w:rsidP="008D1689">
      <w:pPr>
        <w:numPr>
          <w:ilvl w:val="0"/>
          <w:numId w:val="3"/>
        </w:numPr>
        <w:spacing w:after="0" w:line="360" w:lineRule="auto"/>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Las sentencias dictadas en los juicios de inconformidad, que se hubiesen promovido para controvertir los resultados de las elecciones de diputados y senadores, por el principio de mayoría relativa.</w:t>
      </w:r>
    </w:p>
    <w:p w14:paraId="4903E6FE" w14:textId="77777777" w:rsidR="00DF77D2" w:rsidRPr="00791593" w:rsidRDefault="00DF77D2" w:rsidP="00DF77D2">
      <w:pPr>
        <w:spacing w:after="0" w:line="360" w:lineRule="auto"/>
        <w:ind w:left="1069"/>
        <w:jc w:val="both"/>
        <w:rPr>
          <w:rFonts w:ascii="Arial" w:eastAsia="Times New Roman" w:hAnsi="Arial" w:cs="Arial"/>
          <w:bCs/>
          <w:sz w:val="28"/>
          <w:szCs w:val="28"/>
          <w:lang w:val="es-ES" w:eastAsia="es-ES"/>
        </w:rPr>
      </w:pPr>
    </w:p>
    <w:p w14:paraId="35C17857" w14:textId="77777777" w:rsidR="00DF77D2" w:rsidRPr="00791593" w:rsidRDefault="00DF77D2" w:rsidP="008D1689">
      <w:pPr>
        <w:numPr>
          <w:ilvl w:val="0"/>
          <w:numId w:val="3"/>
        </w:numPr>
        <w:spacing w:after="0" w:line="360" w:lineRule="auto"/>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La asignación de diputados y senadores electos por el principio de representación proporcional, que lleve a cabo el Consejo General del Instituto Federal Electoral.</w:t>
      </w:r>
    </w:p>
    <w:p w14:paraId="5A3261D1" w14:textId="77777777" w:rsidR="00DF77D2" w:rsidRPr="00791593" w:rsidRDefault="00DF77D2" w:rsidP="00DF77D2">
      <w:pPr>
        <w:spacing w:after="0" w:line="240" w:lineRule="auto"/>
        <w:ind w:left="720"/>
        <w:contextualSpacing/>
        <w:rPr>
          <w:rFonts w:ascii="Arial" w:eastAsia="Times New Roman" w:hAnsi="Arial" w:cs="Arial"/>
          <w:bCs/>
          <w:sz w:val="28"/>
          <w:szCs w:val="28"/>
          <w:lang w:val="es-ES" w:eastAsia="es-ES"/>
        </w:rPr>
      </w:pPr>
    </w:p>
    <w:p w14:paraId="59DF8250" w14:textId="77777777" w:rsidR="00DF77D2" w:rsidRPr="00791593" w:rsidRDefault="00DF77D2" w:rsidP="008D1689">
      <w:pPr>
        <w:numPr>
          <w:ilvl w:val="0"/>
          <w:numId w:val="3"/>
        </w:numPr>
        <w:spacing w:after="0" w:line="360" w:lineRule="auto"/>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Las sentencias dictadas en los demás medios de impugnación, de la competencia de las Salas Regionales, cuando éstas hubiesen determinado la no aplicación de una ley electoral, por considerarla contraria a la Constitución Federal.</w:t>
      </w:r>
    </w:p>
    <w:p w14:paraId="6E972CC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89D8F7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La procedibilidad del recurso de reconsideración, tratándose de sentencias dictadas en cualquier medio de impugnación diferente al juicio de inconformidad, se actualiza en el supuesto de que la Sala Regional responsable hubiese dictado una sentencia de fondo, en la cual haya determinado la inaplicación de una ley electoral, por considerarla contraria a la Constitución General de la República.</w:t>
      </w:r>
    </w:p>
    <w:p w14:paraId="0F963CB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1A4534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Sin embargo, para garantizar el derecho a la tutela judicial efectiva, que incluye el derecho de acceso a la justicia, el respeto a las garantías mínimas procesales, así como el derecho a un recurso efectivo, de conformidad con lo previsto en los artículos 1º y 17 de la Constitución General, así como 8 y 25 de la Convención Americana sobre Derechos Humanos, que establecen los derechos a las garantías judiciales y a la protección judicial, esta Sala Superior ha ampliado la procedencia del recurso de reconsideración, lo cual ha contribuido a la emisión de criterios que han fortalecido la facultad de revisar el control concreto de constitucionalidad que llevan a cabo las Salas Regionales del Tribunal Electoral del Poder Judicial de la Federación.</w:t>
      </w:r>
    </w:p>
    <w:p w14:paraId="681BD55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ED4187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ese sentido, a partir de la interpretación sistemática y funcional de los artículos 17, 41 y 99 de la Constitución Política de los Estados Unidos Mexicanos, así como 3, 61 y 62 de la Ley General del Sistema de Medios de Impugnación en Materia Electoral, en los que se prevé que el recurso de reconsideración, como parte del sistema de medios de impugnación en materia electoral que garantiza el respeto a los principios de constitucionalidad y legalidad de los actos y resoluciones electorales, es el medio a través del cual las Salas del Tribunal Electoral están facultadas para revisar las sentencias relativas a la no aplicación de leyes sobre la materia electoral contrarias a la Constitución, la Sala Superior concluye que el recurso de reconsideración también es procedente cuando existen irregularidades graves, que atenten contra los principios constitucionales y convencionales exigidos para la validez de las elecciones, respecto de las cuales las Salas Regionales no hayan </w:t>
      </w:r>
      <w:r w:rsidRPr="00791593">
        <w:rPr>
          <w:rFonts w:ascii="Arial" w:eastAsia="Times New Roman" w:hAnsi="Arial" w:cs="Arial"/>
          <w:bCs/>
          <w:sz w:val="28"/>
          <w:szCs w:val="28"/>
          <w:lang w:val="es-ES" w:eastAsia="es-ES"/>
        </w:rPr>
        <w:lastRenderedPageBreak/>
        <w:t>adoptado las medidas necesarias para garantizar su observancia o hayan omitido su análisis, toda vez que es deber de este órgano jurisdiccional verificar y preservar la regularidad constitucional, de todos los actos realizados durante el proceso electoral, a fin de garantizar la plena observancia de los principios constitucionales y convencionales.</w:t>
      </w:r>
    </w:p>
    <w:p w14:paraId="79BB46F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09FA69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Lo anterior cobra relevancia si se aduce que el análisis realizado de la norma jurídica implicó la interpretación directa de la norma constitucional, de sus principios y bases, de manera tal que con ello el órgano jurisdiccional definió su alcance o contenido y esa actividad hermenéutica resulte, a juicio de los recurrentes, restrictiva de los principios constitucionales, en tanto que una diversa interpretación pudiera generar o propiciar la expansión de su fuerza normativa y la vigencia de sus principios.</w:t>
      </w:r>
    </w:p>
    <w:p w14:paraId="27C5BAF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7A1F7E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el caso, el recurrente aduce que se afectan los principios de certeza, legalidad y universalidad del sufragio, porque a su parecer, en las circunstancias que concurrieron en la elección en cuestión se afectó la autenticidad y libertad del sufragio, lo cual no fue tomado en cuenta por la Sala Regional, dada la incorrecta valoración de pruebas que llevó a cabo.</w:t>
      </w:r>
    </w:p>
    <w:p w14:paraId="4BB0743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B685D1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ese sentido, esta Sala Superior estima que sin prejuzgar sobre el fondo del asunto, procede el análisis del recurso de reconsideración interpuesto, pues en los agravios se aduce la posible existencia de irregularidades graves que pueden afectar los principios constitucionales y convencionales rectores de los procesos electorales, </w:t>
      </w:r>
      <w:r w:rsidRPr="00791593">
        <w:rPr>
          <w:rFonts w:ascii="Arial" w:eastAsia="Times New Roman" w:hAnsi="Arial" w:cs="Arial"/>
          <w:bCs/>
          <w:sz w:val="28"/>
          <w:szCs w:val="28"/>
          <w:lang w:val="es-ES" w:eastAsia="es-ES"/>
        </w:rPr>
        <w:lastRenderedPageBreak/>
        <w:t>pues con las conductas que, según dicho del actor, se encuentran acreditadas, es claro que en la elección realizada se habrían conculcado la libertad del voto y la autenticidad de los comicios bajo el sistema normativo interno que rige en el municipio.</w:t>
      </w:r>
    </w:p>
    <w:p w14:paraId="7DC925A1" w14:textId="77777777" w:rsidR="00DF77D2" w:rsidRPr="00791593" w:rsidRDefault="00DF77D2" w:rsidP="00DF77D2">
      <w:pPr>
        <w:spacing w:after="0" w:line="360" w:lineRule="auto"/>
        <w:ind w:firstLine="709"/>
        <w:jc w:val="both"/>
        <w:rPr>
          <w:rFonts w:ascii="Arial" w:eastAsia="Times New Roman" w:hAnsi="Arial" w:cs="Arial"/>
          <w:bCs/>
          <w:sz w:val="28"/>
          <w:szCs w:val="28"/>
          <w:u w:val="single"/>
          <w:lang w:val="es-ES" w:eastAsia="es-ES"/>
        </w:rPr>
      </w:pPr>
    </w:p>
    <w:p w14:paraId="28B59A9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Dicho lo anterior, en el caso se cumple con los requisitos generales y especiales de procedencia, con fundamento en lo dispuesto en los artículos 8, 9, 13, párrafo 1, inciso b), 61, párrafo 1, inciso b), 62, párrafo 1 inciso a), fracción IV, 63, 65 y 66, de la Ley General del Sistema de Medios de Impugnación en Materia Electoral.</w:t>
      </w:r>
    </w:p>
    <w:p w14:paraId="59F915B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3C3969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Similar criterio se sostuvo en los recursos de reconsideración SUP-REC-20/2014 y SUP-REC-818/2014 resueltos en la sesión pública de veintiséis de marzo, los cuales no sólo son coincidentes con este asunto en cuanto la materia de impugnación, esto es, procesos electivos bajo sistemas normativos internos en elección de concejales de ayuntamientos del estado de Oaxaca; sino que además, en estos asuntos se involucraron principios constitucionales del derecho electoral, cuya observancia, como ya se dijo, debe preservarse, lo que permitió adentrarse al estudio de las cuestiones de fondo planteadas.</w:t>
      </w:r>
    </w:p>
    <w:p w14:paraId="417477F8" w14:textId="77777777" w:rsidR="00DF77D2" w:rsidRPr="00791593" w:rsidRDefault="00DF77D2" w:rsidP="00DF77D2">
      <w:pPr>
        <w:spacing w:after="0" w:line="360" w:lineRule="auto"/>
        <w:ind w:firstLine="709"/>
        <w:jc w:val="both"/>
        <w:rPr>
          <w:rFonts w:ascii="Arial" w:eastAsia="Times New Roman" w:hAnsi="Arial" w:cs="Arial"/>
          <w:b/>
          <w:sz w:val="28"/>
          <w:szCs w:val="28"/>
          <w:lang w:val="es-ES" w:eastAsia="es-MX"/>
        </w:rPr>
      </w:pPr>
    </w:p>
    <w:p w14:paraId="2C2B348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TERCERO. Tercero interesado.</w:t>
      </w:r>
      <w:r w:rsidRPr="00791593">
        <w:rPr>
          <w:rFonts w:ascii="Arial" w:eastAsia="Times New Roman" w:hAnsi="Arial" w:cs="Arial"/>
          <w:bCs/>
          <w:sz w:val="28"/>
          <w:szCs w:val="28"/>
          <w:lang w:val="es-ES" w:eastAsia="es-ES"/>
        </w:rPr>
        <w:t xml:space="preserve"> Esta Sala Superior estima que la solicitud de Adolfo Gómez Hernández, presentada el veintiséis de marzo del presente año, para comparecer con el carácter de tercero interesado en el recurso citado al rubro, fue presentada de forma extemporánea.</w:t>
      </w:r>
    </w:p>
    <w:p w14:paraId="108A9A7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054EAB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En efecto, de conformidad con lo establecido en el artículo 12, apartado 1, inciso c), con relación al numeral 17, apartado 4, y 67 de la Ley General del Sistema de Medios de Impugnación en Materia Electoral, dispone que el tercero interesado es aquél con un interés legítimo en la causa derivado de un derecho incompatible con el que pretende el actor y, a efecto de hacerlo valer, debe comparecer en el término de la publicitación del expediente respectivo por parte de la autoridad responsable, lo que en el recurso de reconsideración es durante las cuarenta y ocho horas en las que se dio publicidad al escrito de demanda.</w:t>
      </w:r>
    </w:p>
    <w:p w14:paraId="44BDA21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9FFE88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Bajo esa perspectiva, se tiene que en el recurso de reconsideración, aquella persona que pretenda tener el carácter de tercero interesado debe reunir determinados requisitos, como son, la existencia de un derecho incompatible con el del actor, así como presentarse en tiempo y forma ante la autoridad responsable a efecto de hacer valer ese derecho.</w:t>
      </w:r>
    </w:p>
    <w:p w14:paraId="2988684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115081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la especie, no se puede tener a Adolfo Gómez Hernández compareciendo como tercero interesado, porque su solicitud se presentó de manera extemporánea. Esto, pues acorde con las constancias que obran en autos y, en específico, de las certificaciones de fechas veintitrés y veinticinco, ambas de marzo del año en curso, suscritas por el Secretario General de Acuerdos de la Sala Regional responsable, se advierte que, por una parte, a las dieciocho horas con cuarenta minutos del veintitrés de marzo del presente año, se publicó en los estrados de la referida Sala el escrito del presente recurso de </w:t>
      </w:r>
      <w:r w:rsidRPr="00791593">
        <w:rPr>
          <w:rFonts w:ascii="Arial" w:eastAsia="Times New Roman" w:hAnsi="Arial" w:cs="Arial"/>
          <w:bCs/>
          <w:sz w:val="28"/>
          <w:szCs w:val="28"/>
          <w:lang w:val="es-ES" w:eastAsia="es-ES"/>
        </w:rPr>
        <w:lastRenderedPageBreak/>
        <w:t>reconsideración, presentado por Enedino Feliciano López Sánchez; y, por otra, que a las dieciocho horas con cuarenta minutos del veinticinco del mismo mes y año, se retiró la correspondiente cédula de publicación, sin que haya comparecido ninguna persona con el carácter de tercero interesado.</w:t>
      </w:r>
    </w:p>
    <w:p w14:paraId="4EE533B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9FD3AE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Bajo estas condiciones, a los documentos mencionados se les otorga valor probatorio pleno, en términos de lo establecido por el artículo 14, apartado 4, inciso c), de la Ley General del Sistema de Medios de Impugnación en Materia Electoral, pues se trata de documentos originales expedidos por las autoridades federales, estatales o municipales, dentro del ámbito de sus facultades, por lo que son documentales públicas.</w:t>
      </w:r>
    </w:p>
    <w:p w14:paraId="12C9D12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36A0DE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De esa manera, a partir de dichas documentales, resulta suficiente considerar que en las cuarenta y ocho horas a que se refiere el citado artículo 67, no se presentó escrito alguno de tercero interesado ante la Sala Regional responsable.</w:t>
      </w:r>
    </w:p>
    <w:p w14:paraId="76A421F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1B90DA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Ahora bien, el artículo 19, párrafo primero, inciso d), señala que el magistrado instructor, en su proyecto de sentencia, propondrá a la Sala tener por no presentado el escrito del tercero interesado, entre otras cuestiones, cuando se presente en forma extemporánea.</w:t>
      </w:r>
    </w:p>
    <w:p w14:paraId="034C92D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BA8E75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esas circunstancias, si el plazo para presentar la solicitud de ser considerado como tercero interesado fue del veintitrés al veinticinco de marzo del año en curso, y ésta se realizó hasta el veintiséis de marzo </w:t>
      </w:r>
      <w:r w:rsidRPr="00791593">
        <w:rPr>
          <w:rFonts w:ascii="Arial" w:eastAsia="Times New Roman" w:hAnsi="Arial" w:cs="Arial"/>
          <w:bCs/>
          <w:sz w:val="28"/>
          <w:szCs w:val="28"/>
          <w:lang w:val="es-ES" w:eastAsia="es-ES"/>
        </w:rPr>
        <w:lastRenderedPageBreak/>
        <w:t>posterior,  es claro que fue presentada fuera del plazo establecido para ello, por lo que no ha lugar a acordar la petición de Adolfo Gómez Hernández, de comparecer como tercero interesado.</w:t>
      </w:r>
    </w:p>
    <w:p w14:paraId="09BED94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9A27B3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CUARTO. Resumen de agravios.</w:t>
      </w:r>
      <w:r w:rsidRPr="00791593">
        <w:rPr>
          <w:rFonts w:ascii="Arial" w:eastAsia="Times New Roman" w:hAnsi="Arial" w:cs="Arial"/>
          <w:bCs/>
          <w:sz w:val="28"/>
          <w:szCs w:val="28"/>
          <w:lang w:val="es-ES" w:eastAsia="es-ES"/>
        </w:rPr>
        <w:t xml:space="preserve"> Por razón de método, los conceptos de agravio expresados por el actor serán analizados en orden distinto al expuesto en su escrito de demanda, sin que tal forma de estudio genere agravio alguno al demandante.</w:t>
      </w:r>
    </w:p>
    <w:p w14:paraId="695EDC6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73B38C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De la lectura integral del ocurso de demanda presentada por Enedino Feliciano López Sánchez, se advierte que la pretensión del recurrente consiste en que esta Sala Superior revoque la resolución impugnada para el efecto de que se anule la elección de concejales del ayuntamiento de San Juan Mixtepec, Juxtlahuaca, Oaxaca, al considerar que se violaron los principios constitucionales de certeza, legalidad y universalidad del voto.</w:t>
      </w:r>
    </w:p>
    <w:p w14:paraId="35FF36A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AE0ED1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Lo anterior, porque considera que las pruebas ofrecidas no fueron valoradas adecuadamente por la Sala Regional responsable, puesto que es incorrecto que haya determinado que no existió medio probatorio que reforzara la inducción al voto, cuando se ofrecieron como pruebas fotografías y diversos escritos por los que se manifestaron irregularidades del día de la jornada electiva. </w:t>
      </w:r>
    </w:p>
    <w:p w14:paraId="41F4D40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876619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A su juicio, las fotografías exhibidas demuestran que la planilla azul (planilla triunfadora) realizó actos de inducción al voto a favor de </w:t>
      </w:r>
      <w:r w:rsidRPr="00791593">
        <w:rPr>
          <w:rFonts w:ascii="Arial" w:eastAsia="Times New Roman" w:hAnsi="Arial" w:cs="Arial"/>
          <w:bCs/>
          <w:sz w:val="28"/>
          <w:szCs w:val="28"/>
          <w:lang w:val="es-ES" w:eastAsia="es-ES"/>
        </w:rPr>
        <w:lastRenderedPageBreak/>
        <w:t xml:space="preserve">Adolfo Gómez Hernández, al apreciarse su imagen y nombre en las mismas. </w:t>
      </w:r>
    </w:p>
    <w:p w14:paraId="2089AF6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D1BA17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Asimismo, adujo que los escritos de los ciudadanos y de incidentes tampoco se valoraron correctamente porque no deben tratarse como actos unilaterales, puesto que tales escritos así se elaboran para que las irregularidades sean observadas y reportadas a la autoridad electoral, por lo que deben adminicularlos a las pruebas técnicas ofrecidas.</w:t>
      </w:r>
    </w:p>
    <w:p w14:paraId="080E4D4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7B6E6E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De esta manera, el recurrente argumenta que la Sala Responsable omitió aplicar la suplencia de la queja al valorar los escritos de incidentes y las pruebas técnicas ofrecidas y, en todo caso, debió dar oportunidad de complementar las pruebas.</w:t>
      </w:r>
    </w:p>
    <w:p w14:paraId="2EC5AE9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0C6F1C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Finalmente, menciona Enedino Feliciano López Sánchez que ante la existencia de varias irregularidades que viciaron los resultados de la votación, no existe certeza respecto a que la elección sea una expresión real de la voluntad de los habitantes de la comunidad, por lo que solicita a esta Sala Superior que con plenitud de jurisdicción se proceda a la valoración conjunta de las pruebas referidas. </w:t>
      </w:r>
    </w:p>
    <w:p w14:paraId="1B3637D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A09C16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De esta manera, los agravios del recurrente se analizan en su conjunto, pues la pretensión medular consiste en analizar la valoración de las pruebas ofrecidas, bajo el principio de suplencia de la queja, a la luz de su condición como indígena, pues con ellas, a su parecer, se demuestra la inducción al voto al electorado, lo cual violenta los </w:t>
      </w:r>
      <w:r w:rsidRPr="00791593">
        <w:rPr>
          <w:rFonts w:ascii="Arial" w:eastAsia="Times New Roman" w:hAnsi="Arial" w:cs="Arial"/>
          <w:bCs/>
          <w:sz w:val="28"/>
          <w:szCs w:val="28"/>
          <w:lang w:val="es-ES" w:eastAsia="es-ES"/>
        </w:rPr>
        <w:lastRenderedPageBreak/>
        <w:t>principios constitucionales de certeza, legalidad y universalidad del sufragio.</w:t>
      </w:r>
    </w:p>
    <w:p w14:paraId="334C3A2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E60699A" w14:textId="77777777" w:rsidR="00DF77D2" w:rsidRPr="00791593" w:rsidRDefault="00DF77D2" w:rsidP="00DF77D2">
      <w:pPr>
        <w:spacing w:after="0" w:line="360" w:lineRule="auto"/>
        <w:ind w:firstLine="709"/>
        <w:jc w:val="both"/>
        <w:rPr>
          <w:rFonts w:ascii="Arial" w:eastAsia="Times New Roman" w:hAnsi="Arial" w:cs="Arial"/>
          <w:b/>
          <w:i/>
          <w:sz w:val="28"/>
          <w:szCs w:val="28"/>
          <w:lang w:eastAsia="es-MX"/>
        </w:rPr>
      </w:pPr>
      <w:r w:rsidRPr="00791593">
        <w:rPr>
          <w:rFonts w:ascii="Arial" w:eastAsia="Times New Roman" w:hAnsi="Arial" w:cs="Arial"/>
          <w:bCs/>
          <w:sz w:val="28"/>
          <w:szCs w:val="28"/>
          <w:lang w:val="es-ES" w:eastAsia="es-ES"/>
        </w:rPr>
        <w:t xml:space="preserve">El análisis en conjunto de los agravios invocados no causa perjuicio al recurrente, tal como se ha sostenido por esta Sala Superior, en reiteradas ocasiones, lo que ha dado origen a la tesis de jurisprudencia identificada con la clave 04/2000, consultable a fojas ciento veinticinco de la Compilación 1997-2013, Jurisprudencia y tesis en materia electoral, volumen 1, jurisprudencia, con el rubro </w:t>
      </w:r>
      <w:r w:rsidRPr="00791593">
        <w:rPr>
          <w:rFonts w:ascii="Arial" w:eastAsia="Times New Roman" w:hAnsi="Arial" w:cs="Arial"/>
          <w:bCs/>
          <w:i/>
          <w:sz w:val="28"/>
          <w:szCs w:val="28"/>
          <w:lang w:val="es-ES" w:eastAsia="es-ES"/>
        </w:rPr>
        <w:t>“</w:t>
      </w:r>
      <w:r w:rsidRPr="00791593">
        <w:rPr>
          <w:rFonts w:ascii="Arial" w:eastAsia="Times New Roman" w:hAnsi="Arial" w:cs="Arial"/>
          <w:b/>
          <w:i/>
          <w:sz w:val="28"/>
          <w:szCs w:val="28"/>
          <w:lang w:eastAsia="es-MX"/>
        </w:rPr>
        <w:t>AGRAVIOS, SU EXAMEN EN CONJUNTO O SEPARADO, NO CAUSA LESIÓN.”</w:t>
      </w:r>
    </w:p>
    <w:p w14:paraId="23BFF497" w14:textId="77777777" w:rsidR="00DF77D2" w:rsidRPr="00791593" w:rsidRDefault="00DF77D2" w:rsidP="00DF77D2">
      <w:pPr>
        <w:spacing w:after="0" w:line="360" w:lineRule="auto"/>
        <w:ind w:firstLine="709"/>
        <w:jc w:val="both"/>
        <w:rPr>
          <w:rFonts w:ascii="Arial" w:eastAsia="Times New Roman" w:hAnsi="Arial" w:cs="Arial"/>
          <w:b/>
          <w:sz w:val="24"/>
          <w:szCs w:val="24"/>
          <w:lang w:eastAsia="es-MX"/>
        </w:rPr>
      </w:pPr>
    </w:p>
    <w:p w14:paraId="16170ED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QUINTO. Estudio de fondo.</w:t>
      </w:r>
      <w:r w:rsidRPr="00791593">
        <w:rPr>
          <w:rFonts w:ascii="Arial" w:eastAsia="Times New Roman" w:hAnsi="Arial" w:cs="Arial"/>
          <w:bCs/>
          <w:sz w:val="28"/>
          <w:szCs w:val="28"/>
          <w:lang w:val="es-ES" w:eastAsia="es-ES"/>
        </w:rPr>
        <w:t xml:space="preserve"> Al respecto, para estar en aptitud de resolver el presente asunto se deben tomar en cuenta las siguientes consideraciones: </w:t>
      </w:r>
    </w:p>
    <w:p w14:paraId="0D9FFFC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E235FCF" w14:textId="77777777" w:rsidR="00DF77D2" w:rsidRPr="00791593" w:rsidRDefault="00DF77D2" w:rsidP="00DF77D2">
      <w:pPr>
        <w:spacing w:after="0" w:line="360" w:lineRule="auto"/>
        <w:ind w:firstLine="709"/>
        <w:jc w:val="both"/>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1.</w:t>
      </w:r>
      <w:r w:rsidRPr="00791593">
        <w:rPr>
          <w:rFonts w:ascii="Arial" w:eastAsia="Times New Roman" w:hAnsi="Arial" w:cs="Arial"/>
          <w:bCs/>
          <w:sz w:val="28"/>
          <w:szCs w:val="28"/>
          <w:lang w:val="es-ES" w:eastAsia="es-ES"/>
        </w:rPr>
        <w:t xml:space="preserve"> </w:t>
      </w:r>
      <w:r w:rsidRPr="00791593">
        <w:rPr>
          <w:rFonts w:ascii="Arial" w:eastAsia="Times New Roman" w:hAnsi="Arial" w:cs="Arial"/>
          <w:b/>
          <w:bCs/>
          <w:sz w:val="28"/>
          <w:szCs w:val="28"/>
          <w:lang w:val="es-ES" w:eastAsia="es-ES"/>
        </w:rPr>
        <w:t>Medidas especiales en materia de derechos electorales de los indígenas</w:t>
      </w:r>
      <w:r w:rsidRPr="00791593">
        <w:rPr>
          <w:rFonts w:ascii="Arial" w:eastAsia="Times New Roman" w:hAnsi="Arial" w:cs="Arial"/>
          <w:b/>
          <w:bCs/>
          <w:sz w:val="28"/>
          <w:szCs w:val="28"/>
          <w:vertAlign w:val="superscript"/>
          <w:lang w:val="es-ES" w:eastAsia="es-ES"/>
        </w:rPr>
        <w:footnoteReference w:id="1"/>
      </w:r>
    </w:p>
    <w:p w14:paraId="3E1F7A17" w14:textId="77777777" w:rsidR="00DF77D2" w:rsidRPr="00791593" w:rsidRDefault="00DF77D2" w:rsidP="00DF77D2">
      <w:pPr>
        <w:spacing w:after="0" w:line="360" w:lineRule="auto"/>
        <w:ind w:firstLine="709"/>
        <w:jc w:val="both"/>
        <w:rPr>
          <w:rFonts w:ascii="Arial" w:eastAsia="Times New Roman" w:hAnsi="Arial" w:cs="Arial"/>
          <w:b/>
          <w:bCs/>
          <w:sz w:val="28"/>
          <w:szCs w:val="28"/>
          <w:lang w:val="es-ES" w:eastAsia="es-ES"/>
        </w:rPr>
      </w:pPr>
    </w:p>
    <w:p w14:paraId="589BA1C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Este órgano jurisdiccional en varias ejecutorias, como las dictadas en los expedientes</w:t>
      </w:r>
      <w:r w:rsidRPr="00791593">
        <w:rPr>
          <w:rFonts w:ascii="Arial" w:eastAsia="Times New Roman" w:hAnsi="Arial" w:cs="Arial"/>
          <w:bCs/>
          <w:sz w:val="24"/>
          <w:szCs w:val="24"/>
          <w:lang w:val="es-ES" w:eastAsia="es-ES"/>
        </w:rPr>
        <w:t> </w:t>
      </w:r>
      <w:r w:rsidRPr="00791593">
        <w:rPr>
          <w:rFonts w:ascii="Arial" w:eastAsia="Times New Roman" w:hAnsi="Arial" w:cs="Arial"/>
          <w:bCs/>
          <w:sz w:val="28"/>
          <w:szCs w:val="28"/>
          <w:lang w:val="es-ES" w:eastAsia="es-ES"/>
        </w:rPr>
        <w:t>SUP-JDC-13/2002, SUP-JDC-11/2007</w:t>
      </w:r>
      <w:r w:rsidRPr="00791593">
        <w:rPr>
          <w:rFonts w:ascii="Arial" w:eastAsia="Times New Roman" w:hAnsi="Arial" w:cs="Arial"/>
          <w:bCs/>
          <w:sz w:val="24"/>
          <w:szCs w:val="24"/>
          <w:lang w:val="es-ES" w:eastAsia="es-ES"/>
        </w:rPr>
        <w:t> </w:t>
      </w:r>
      <w:r w:rsidRPr="00791593">
        <w:rPr>
          <w:rFonts w:ascii="Arial" w:eastAsia="Times New Roman" w:hAnsi="Arial" w:cs="Arial"/>
          <w:bCs/>
          <w:sz w:val="28"/>
          <w:szCs w:val="28"/>
          <w:lang w:val="es-ES" w:eastAsia="es-ES"/>
        </w:rPr>
        <w:t>y</w:t>
      </w:r>
      <w:r w:rsidRPr="00791593">
        <w:rPr>
          <w:rFonts w:ascii="Arial" w:eastAsia="Times New Roman" w:hAnsi="Arial" w:cs="Arial"/>
          <w:bCs/>
          <w:sz w:val="24"/>
          <w:szCs w:val="24"/>
          <w:lang w:val="es-ES" w:eastAsia="es-ES"/>
        </w:rPr>
        <w:t> </w:t>
      </w:r>
      <w:r w:rsidRPr="00791593">
        <w:rPr>
          <w:rFonts w:ascii="Arial" w:eastAsia="Times New Roman" w:hAnsi="Arial" w:cs="Arial"/>
          <w:bCs/>
          <w:sz w:val="28"/>
          <w:szCs w:val="28"/>
          <w:lang w:val="es-ES" w:eastAsia="es-ES"/>
        </w:rPr>
        <w:t>SUP-JDC-9167/2011, por mencionar algunos ejemplos de suma relevancia, se ha pronunciado por la protección integral de los derechos de los indígenas, esto es, un reconocimiento real de su derecho a una protección judicial efectiva.</w:t>
      </w:r>
    </w:p>
    <w:p w14:paraId="659AAFA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A5086E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En efecto, a través de criterios jurisprudenciales, se ha construido una protección de los derechos humanos de las comunidades indígenas, de conformidad con los nuevos paradigmas constitucionales, así como de los tratados internacionales de los que el Estado Mexicano forma parte.</w:t>
      </w:r>
    </w:p>
    <w:p w14:paraId="7E536C4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16EF53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El artículo 2, apartado A, fracción VIII de la Constitución Política de los Estados Unidos Mexicanos, reconoce como derechos de las colectividades indígenas y de los individuos quienes las integran, como garantía específica tendiente a conseguir su acceso pleno a la jurisdicción estatal, que en todos los juicios y procedimientos en los cuales sean parte, individual o colectivamente, a tomar en cuenta sus costumbres y especificidades culturales, con respeto a los derechos humanos establecidos en la propia Ley Fundamental y los tratados internacionales de la materia.</w:t>
      </w:r>
    </w:p>
    <w:p w14:paraId="78C2ACE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F6F026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El mandato en cuestión se encuentra igualmente establecido en los artículos 14, fracción VI, de la Ley Federal para Prevenir y Eliminar la Discriminación, y 10 de la Ley General de Derechos Lingüísticos de los Pueblos Indígenas.</w:t>
      </w:r>
    </w:p>
    <w:p w14:paraId="40BC6BD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782981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consonancia con lo anterior, en términos del artículo 8, apartado 1, del Convenio sobre Pueblos Indígenas y Tribales, 1989, cuando se aplique la legislación nacional (en este caso, la Ley del Sistema de Medios de Impugnación en Materia Electoral y de Participación Ciudadana para el Estado de Oaxaca) a los pueblos </w:t>
      </w:r>
      <w:r w:rsidRPr="00791593">
        <w:rPr>
          <w:rFonts w:ascii="Arial" w:eastAsia="Times New Roman" w:hAnsi="Arial" w:cs="Arial"/>
          <w:bCs/>
          <w:sz w:val="28"/>
          <w:szCs w:val="28"/>
          <w:lang w:val="es-ES" w:eastAsia="es-ES"/>
        </w:rPr>
        <w:lastRenderedPageBreak/>
        <w:t>indígenas (y sus integrantes) deben tomarse en consideración sus costumbres o su derecho consuetudinario.</w:t>
      </w:r>
    </w:p>
    <w:p w14:paraId="0812451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FF036F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El mandato en comento se traduce en el deber del órgano judicial o jurisdiccional competente para conocer y resolver de la controversia en la cual formen parte los integrantes de los pueblos y comunidades indígenas (individual o colectivamente) de interpretar las disposiciones constitucionales y legales que rigen el proceso contencioso y la materia sustantiva del litigio, con especial consideración de las normas consuetudinarias indígenas del caso y de las particulares condiciones o cualidades culturales del pueblo o comunidad de que se trate, mismas que comprenden los modos de vida y costumbres, los conocimientos y el grado de desarrollo artístico, científico o industrial de un determinado conglomerado humano socialmente cohesionado, que les identifica entre sí y les permite autoadscribirse como miembros de ese grupo social.</w:t>
      </w:r>
    </w:p>
    <w:p w14:paraId="7D78F4B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4504A8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ese sentido, se ha considerado que este derecho no reduce sus alcances a las garantías específicas contenidas en el segundo y tercer enunciados de la fracción, relativas a que:</w:t>
      </w:r>
    </w:p>
    <w:p w14:paraId="3746D17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2DE883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1) En todos los juicios y procedimientos en los cuales sean parte los pueblos o comunidades indígenas, individual o colectivamente, se deben tomar en cuenta sus costumbres y especificidades culturales, siempre y cuando se respeten los preceptos constitucionales, y</w:t>
      </w:r>
    </w:p>
    <w:p w14:paraId="1E1C727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460C3F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2) Los indígenas tienen en todo tiempo el derecho a ser asistidos por intérpretes y defensores que tengan conocimiento de su lengua y cultura.</w:t>
      </w:r>
    </w:p>
    <w:p w14:paraId="4F4B523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79E069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El derecho constitucional de las colectividades indígenas y de sus miembros a acceder plenamente a la jurisdicción estatal no se agota mediante el reconocimiento de las dos potestades recién listadas, sino que tiene un contenido normativo más amplio, con alcances de principio estructural del andamiaje constitucional.</w:t>
      </w:r>
    </w:p>
    <w:p w14:paraId="2470677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73DFD1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Ello en virtud, de que el derecho de acceso pleno a la justicia por parte de los pueblos, comunidades e individuos indígenas tiene como finalidad atender en última instancia a las condiciones fácticas en que se hallan los indígenas, y que tradicionalmente han obstaculizado el ejercicio de sus derechos individuales y ciudadanos, en particular el de acceso a la justicia impartida por el aparato estatal.</w:t>
      </w:r>
    </w:p>
    <w:p w14:paraId="7022884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7D23B5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Asimismo, esta Sala Superior ha determinado que una interpretación sistemática y funcional de las disposiciones contenidas en el artículo 2, apartado A de la Constitución General, en conexión con el sistema democrático implementado en la Carta Magna y con el sistema de garantías individuales y sociales tuteladas por la misma, desarrollados, entre otros, en los artículos 1, 3, 4, 6, 7, 9, 24, 25, 26, 27, 35, 39, 40, 41, 49, 115, 116, 122 y 123 de la Ley Fundamental, conduce a sostener que los derechos reconocidos a los pueblos y comunidades indígenas, así como a sus integrantes, no constituyen meras concreciones normativas derivadas del valor intrínseco que el Poder </w:t>
      </w:r>
      <w:r w:rsidRPr="00791593">
        <w:rPr>
          <w:rFonts w:ascii="Arial" w:eastAsia="Times New Roman" w:hAnsi="Arial" w:cs="Arial"/>
          <w:bCs/>
          <w:sz w:val="28"/>
          <w:szCs w:val="28"/>
          <w:lang w:val="es-ES" w:eastAsia="es-ES"/>
        </w:rPr>
        <w:lastRenderedPageBreak/>
        <w:t>Revisor de la Constitución confiere a diversas expresiones de la idiosincrasia indígena como vértice del carácter pluricultural que distingue a la Nación mexicana, sino que cumplen una función complementadora del reconocimiento igualitario de un sistema de derechos al que una sociedad mínimamente justa no puede renunciar.</w:t>
      </w:r>
    </w:p>
    <w:p w14:paraId="573A8FA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CA5016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efecto, las disposiciones constitucionales e internacionales de mérito parten de la aceptación consistente en que, por diferentes causas y razones, las condiciones precarias en las que subsisten los indígenas en nuestro país se deben, entre otros motivos, a que las garantías individuales de las que goza todo sujeto no han sido suficientes para un adecuado desarrollo individual y colectivo de estos grupos, examen del cual se ha derivado un necesario reforzamiento de esa situación igualitaria de todos los individuos con un reconocimiento más general y previo de las situaciones y características que identifican y dan sentido a estas colectividades y sus miembros, con el objetivo de ofrecer una atención prioritaria a su desarrollo y protección.</w:t>
      </w:r>
    </w:p>
    <w:p w14:paraId="6133DE8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DECC2A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Acorde con lo expuesto, los derechos de corte fundamental reconocidos a los pueblos y comunidades indígenas, así como sus integrantes, constituyen medidas que procuran beneficiar directa e indirectamente a estos conglomerados de la sociedad mexicana, a través de una clara diferenciación de trato que redunde en una mayor igualdad, por considerarse que se encuentran en una grave situación de desigualdad y desamparo con el resto de la población, precisamente porque no se han tomado en cuenta sus particulares concepciones del uso y explotación de la tierra, sus procesos de producción, sus </w:t>
      </w:r>
      <w:r w:rsidRPr="00791593">
        <w:rPr>
          <w:rFonts w:ascii="Arial" w:eastAsia="Times New Roman" w:hAnsi="Arial" w:cs="Arial"/>
          <w:bCs/>
          <w:sz w:val="28"/>
          <w:szCs w:val="28"/>
          <w:lang w:val="es-ES" w:eastAsia="es-ES"/>
        </w:rPr>
        <w:lastRenderedPageBreak/>
        <w:t>tradiciones y costumbres, los entramados sociales y políticos que les son propios, aspectos que han redundado en ciertas relaciones de sometimiento, discriminación y miseria.</w:t>
      </w:r>
    </w:p>
    <w:p w14:paraId="1EF5345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FE526F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Desde esta óptica, queda claro que la incorporación constitucional de derechos a estos sujetos no equivale a pretender crear un ámbito jurídico propio y exclusivo de la realidad indígena, desvinculado del ordenamiento jurídico general, ni perpetuar o reinstaurar viejas desigualdades propias de los viejos colonialismos, o de políticas sociales que buscan únicamente su asimilación a la cultura predominante; en vez de una verdadera integración que respete de manera plena y completa, sus derechos, diferencias y especificidades.</w:t>
      </w:r>
    </w:p>
    <w:p w14:paraId="5514071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C614D9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Por el contrario, tales derechos forman parte de dicho ordenamiento, como mecanismos específicos de defensa de los derechos a la libertad de pensamiento y expresión, a la libertad de formas y maneras de vivir, así como a la libertad de creación, mantenimiento y desarrollo de culturas, contempladas en el artículo 27, apartado 1 del Pacto Internacional de Derechos Civiles y Políticos, cuyo basamento último, se encuentra en la especial consideración que el ordenamiento tiene para con la dignidad humana, como valor imprescindible sobre el que se ha de sustentar cualquier sociedad que pretenda dotar de legitimidad a las normas jurídicas que le rigen, derivado de la cláusula general del artículo 39 de la Constitución Federal, así como del reconocimiento genérico a la personalidad jurídica y dignidad de todo ser humano, previsto en los artículos 16, apartado 1, </w:t>
      </w:r>
      <w:r w:rsidRPr="00791593">
        <w:rPr>
          <w:rFonts w:ascii="Arial" w:eastAsia="Times New Roman" w:hAnsi="Arial" w:cs="Arial"/>
          <w:bCs/>
          <w:sz w:val="28"/>
          <w:szCs w:val="28"/>
          <w:lang w:val="es-ES" w:eastAsia="es-ES"/>
        </w:rPr>
        <w:lastRenderedPageBreak/>
        <w:t>del pacto recién invocado, 3 y 11, apartado 1 de la Convención Americana sobre Derechos Humanos.</w:t>
      </w:r>
    </w:p>
    <w:p w14:paraId="3BEA1E8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FA0F88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Por tanto, el acceso pleno a la justicia del estado por parte de los pueblos, comunidades e individuos indígenas no se limita a la erradicación de los obstáculos técnicos o económicos, sino también aquellas circunstancias temporales, geográficas, sociales y culturales que tradicionalmente han generado en la población indígena una situación de discriminación jurídica, que a su vez ha evitado u obstaculizado que dicha población solucione sus problemas acudiendo a los tribunales o que lo hagan en condiciones realmente equitativas, más allá de la igualdad formal.</w:t>
      </w:r>
    </w:p>
    <w:p w14:paraId="7D6B3FB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6772B5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De ahí que este tribunal ha establecido que este derecho reviste los alcances de principio normativo de rango constitucional por cuanto constituye una norma que expresa y tutela valores superiores del orden jurídico, la cual define un tipo de pauta que no se reduce a una hipótesis particular o a determinados supuestos de hechos concretos, sino que más bien contiene la obligación de perseguir determinados fines, en concreto, la eliminación de toda circunstancia fáctica que impida o inhiba el acceso completo o cabal de las colectividades indígenas y de sus miembros a los tribunales de justicia, el cual abarca toda clase de tribunales y procedimientos jurisdiccionales, pues la Carta Magna no lo limita a una materia en específico ni prevé excepciones a los alcances del derecho-principio de garantizar el acceso pleno de los indígenas a la jurisdicción del estado.</w:t>
      </w:r>
    </w:p>
    <w:p w14:paraId="74C576F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6712EC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En virtud de lo anterior, en aplicación directa de la fracción VIII del apartado A del artículo 2o de la Constitución Política de los Estados Unidos Mexicanos, esta Sala Superior considera necesario una flexibilización al acceso a la justicia a favor de los indígenas, lo cual se denota en la jurisprudencia 28/2011, consultable en la Compilación 1997-2013, Jurisprudencia y tesis en materia electoral, Volumen 1, Jurisprudencia, páginas doscientos veintiuno a doscientos veintitrés, que señala lo siguiente:</w:t>
      </w:r>
    </w:p>
    <w:p w14:paraId="4F1C74B7" w14:textId="77777777" w:rsidR="00DF77D2" w:rsidRPr="00791593" w:rsidRDefault="00DF77D2" w:rsidP="00DF77D2">
      <w:pPr>
        <w:spacing w:before="100" w:beforeAutospacing="1" w:after="100" w:afterAutospacing="1" w:line="240" w:lineRule="auto"/>
        <w:ind w:left="1134" w:right="618"/>
        <w:jc w:val="both"/>
        <w:rPr>
          <w:rFonts w:ascii="Arial" w:eastAsia="Arial Unicode MS" w:hAnsi="Arial" w:cs="Arial"/>
          <w:sz w:val="24"/>
          <w:szCs w:val="28"/>
          <w:lang w:val="es-ES" w:eastAsia="es-ES"/>
        </w:rPr>
      </w:pPr>
      <w:r w:rsidRPr="00791593">
        <w:rPr>
          <w:rFonts w:ascii="Arial" w:eastAsia="Arial Unicode MS" w:hAnsi="Arial" w:cs="Arial"/>
          <w:b/>
          <w:bCs/>
          <w:sz w:val="24"/>
          <w:szCs w:val="28"/>
          <w:lang w:val="es-ES" w:eastAsia="es-ES"/>
        </w:rPr>
        <w:t>COMUNIDADES INDÍGENAS. LAS NORMAS PROCESALES DEBEN INTERPRETARSE DE LA FORMA QUE LES RESULTE MÁS FAVORABLE</w:t>
      </w:r>
      <w:r w:rsidRPr="00791593">
        <w:rPr>
          <w:rFonts w:ascii="Arial" w:eastAsia="Arial Unicode MS" w:hAnsi="Arial" w:cs="Arial"/>
          <w:sz w:val="24"/>
          <w:szCs w:val="28"/>
          <w:lang w:val="es-ES" w:eastAsia="es-ES"/>
        </w:rPr>
        <w:t>. De la interpretación funcional del artículo 2º, apartado A, fracción VIII, de la Constitución Política de los Estados Unidos Mexicanos, que reconoce y garantiza a las comunidades indígenas el derecho de acceso pleno a la jurisdicción del Estado, se deriva el deber de establecer protecciones jurídicas especiales en favor de las comunidades indígenas y de los sujetos que las conforman, considerando sus particulares condiciones de desigualdad y facilitándoles el acceso efectivo a la tutela judicial, a fin de no colocarlos en un verdadero y franco estado de indefensión, al exigirles la satisfacción o cumplimiento de cargas procesales que sean irracionales o desproporcionadas, de acuerdo con su circunstancia de desventaja social y económica ampliamente reconocida en la Constitución y por el legislador en diversos ordenamientos legales. Por tanto, dado su carácter tutelar, debe considerarse que los medios de impugnación por los cuales se protegen los derechos político-electorales del ciudadano, se rigen por formalidades especiales para su adecuada protección, en razón de lo cual, las normas que imponen cargas procesales, deben interpretarse de la forma que resulte más favorable a las comunidades indígenas.</w:t>
      </w:r>
    </w:p>
    <w:p w14:paraId="11B663F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Por tanto, ha sido criterio de este órgano jurisdiccional que tratándose de integrantes de pueblos y comunidades indígenas, las normas procesales, especialmente aquellas que imponen determinadas cargas, deben interpretarse de la forma que resulte más favorable a las comunidades indígenas, pues el artículo 2o, apartado A, fracción VIII, </w:t>
      </w:r>
      <w:r w:rsidRPr="00791593">
        <w:rPr>
          <w:rFonts w:ascii="Arial" w:eastAsia="Times New Roman" w:hAnsi="Arial" w:cs="Arial"/>
          <w:bCs/>
          <w:sz w:val="28"/>
          <w:szCs w:val="28"/>
          <w:lang w:val="es-ES" w:eastAsia="es-ES"/>
        </w:rPr>
        <w:lastRenderedPageBreak/>
        <w:t>de la Constitución Política de los Estados Unidos Mexicanos garantiza a los pueblos indígenas, el efectivo acceso a la jurisdicción del Estado, para lo cual, el juzgador debe atender primordialmente a la necesidad de establecer protecciones jurídicas especiales en favor de las comunidades indígenas y de los sujetos que las conforman, por sus particulares condiciones de desigualdad, facilitándoles el acceso a la tutela judicial para que ésta sea efectiva.</w:t>
      </w:r>
    </w:p>
    <w:p w14:paraId="1D25487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A59688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tal medida, de lo anterior se puede dilucidar que el verdadero acceso efectivo a la justicia constitucional, se logra a través de la no exigencia del cumplimiento de cargas procesales que sean irracionales o desproporcionadas, de acuerdo con su circunstancia de desventaja social y económica de los pueblos indígenas, por lo que las normas que imponen cargas procesales, deben interpretarse de la forma que resulte más favorable a las comunidades indígenas, en virtud de las cuales se eliminen formalismos que lejos de contribuir a la impartición de una justicia que pretende la determinación correcta de la situación fáctica del caso, la inhibe con el consiguiente perjuicio para los pueblos y comunidades.</w:t>
      </w:r>
    </w:p>
    <w:p w14:paraId="130CBDF8" w14:textId="77777777" w:rsidR="00DF77D2" w:rsidRPr="00791593" w:rsidRDefault="00DF77D2" w:rsidP="00DF77D2">
      <w:pPr>
        <w:spacing w:after="0" w:line="360" w:lineRule="auto"/>
        <w:jc w:val="both"/>
        <w:rPr>
          <w:rFonts w:ascii="Arial" w:eastAsia="Times New Roman" w:hAnsi="Arial" w:cs="Arial"/>
          <w:b/>
          <w:bCs/>
          <w:sz w:val="28"/>
          <w:szCs w:val="28"/>
          <w:lang w:val="es-ES" w:eastAsia="es-ES"/>
        </w:rPr>
      </w:pPr>
    </w:p>
    <w:p w14:paraId="6AE0974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Lo anterior, es acorde con el deber u obligación de adoptar medidas positivas y compensatorias a favor de las colectividades que se hallan en esa situación de desigualdad real o material, entre ellas los pueblos y comunidades indígenas, medidas que no se limitan a las expresamente previstas en la ley, sino que se admite el empleo de otras, siempre y cuando, desde luego, las medidas que se adopten sean adecuadas e idóneas para procurar las condiciones suficientes para </w:t>
      </w:r>
      <w:r w:rsidRPr="00791593">
        <w:rPr>
          <w:rFonts w:ascii="Arial" w:eastAsia="Times New Roman" w:hAnsi="Arial" w:cs="Arial"/>
          <w:bCs/>
          <w:sz w:val="28"/>
          <w:szCs w:val="28"/>
          <w:lang w:val="es-ES" w:eastAsia="es-ES"/>
        </w:rPr>
        <w:lastRenderedPageBreak/>
        <w:t>frenar la inercia social de desigualdad en la cual se encuentran, y que de esta forma se pueda ejercer plenamente el derecho de que se trate, con lo que, al mismo tiempo, se propenda a mediano y largo plazo la erradicación de los factores y condiciones fácticas que inhiben u obstaculizan el ejercicio de ese derecho.</w:t>
      </w:r>
    </w:p>
    <w:p w14:paraId="451863D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3BC3D3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Tal situación se encuentra reconocida en el Convenio 169 de la Organización Internacional del Trabajo, Sobre Pueblos Indígenas y Tribales en Países Independientes, adoptado por la Conferencia General de dicho organismo internacional el veintisiete de junio de mil novecientos ochenta y nueve, ratificado por México el cinco de septiembre de mil novecientos noventa y publicado en el Diario Oficial de la Federación el veinticuatro de enero de mil novecientos noventa y uno. Entre sus disposiciones se encuentran las siguientes:</w:t>
      </w:r>
    </w:p>
    <w:p w14:paraId="7784A98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768EF1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1) La responsabilidad (de los gobiernos) de desarrollar una acción coordinada y sistemática para la protección de los derechos de los pueblos y comunidades indígenas, que debe incluir medidas que: a) aseguren a sus integrantes gozar, en pie de igualdad, de los derechos y oportunidades que la legislación nacional otorgue a los demás miembros de la población, b) promuevan la plena efectividad de sus derechos sociales, económicos y culturales, con pleno respeto a su identidad social y cultural, sus tradiciones y costumbres, y sus instituciones, y c) ayuden a sus miembros a eliminar las diferencias socioeconómicas existentes respecto del resto de la población (artículo 2);</w:t>
      </w:r>
    </w:p>
    <w:p w14:paraId="4FA85A9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8A7E63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2) La obligación de adoptar las medidas especiales que se precisen para salvaguardar las personas, las instituciones, los bienes, el trabajo, las culturas y el medio ambiente de los pueblos indígenas (artículo 4, apartado 1), y</w:t>
      </w:r>
    </w:p>
    <w:p w14:paraId="2C36940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4D9D38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3) Las colectividades indígenas deben tener protección por la violación de sus derechos, y poder iniciar procedimientos legales, personalmente o por conducto de sus organismos representativos, para asegurar el respeto efectivo de semejantes derechos, e incluso, deben tomarse las medidas para garantizar que los indígenas puedan comprender y hacerse comprender en procesos legales, mediante la facilitación si fuere necesario, de intérpretes u otros medios eficaces (artículo 12).</w:t>
      </w:r>
    </w:p>
    <w:p w14:paraId="73945C4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DA4C3C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aplicación de lo anterior, de las disposiciones del convenio citado se tiene que, en consonancia con la función y naturaleza de los derechos de las colectividades indígenas y de sus miembros, es indispensable la adopción o implementación de medidas especiales que permitan a estos sujetos, en condiciones de igualdad real respecto de los demás, la tutela judicial completa y efectiva de sus intereses jurídicamente relevantes en aquellos casos en los cuales consideren que han sido violados o desconocidos, para lo cual se torna necesario eliminar los obstáculos fácticos que imposibiliten o inhiban en cualquier forma el acceso a los tribunales de justicia y el dictado de resoluciones prontas, completas e imparciales, como está garantizado para todos gobernado en el ordenamiento jurídico mexicano.</w:t>
      </w:r>
    </w:p>
    <w:p w14:paraId="54F81EF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DC9740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Tales medidas especiales deben ser idóneas, objetivas y proporcionales para la consecución del fin a saber, la eliminación del obstáculo o barrera que se advierta y, en última instancia, a que los indígenas consigan un acceso real, efectivo, a la jurisdicción estatal.</w:t>
      </w:r>
    </w:p>
    <w:p w14:paraId="4474F92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687010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También es acorde con el deber de garante de los derechos fundamentales que el artículo 1.1 de la Convención Americana sobre Derechos Humanos atribuye a los Estados partes de este instrumento internacional, entre los cuales se encuentran el mexicano, al haber sido suscrito por el Ejecutivo de la Unión y después aprobado por la Cámara de Senadores</w:t>
      </w:r>
      <w:r w:rsidRPr="00791593">
        <w:rPr>
          <w:rFonts w:ascii="Arial" w:eastAsia="Times New Roman" w:hAnsi="Arial" w:cs="Arial"/>
          <w:bCs/>
          <w:sz w:val="28"/>
          <w:szCs w:val="28"/>
          <w:vertAlign w:val="superscript"/>
          <w:lang w:val="es-ES" w:eastAsia="es-ES"/>
        </w:rPr>
        <w:footnoteReference w:id="2"/>
      </w:r>
      <w:r w:rsidRPr="00791593">
        <w:rPr>
          <w:rFonts w:ascii="Arial" w:eastAsia="Times New Roman" w:hAnsi="Arial" w:cs="Arial"/>
          <w:bCs/>
          <w:sz w:val="28"/>
          <w:szCs w:val="28"/>
          <w:lang w:val="es-ES" w:eastAsia="es-ES"/>
        </w:rPr>
        <w:t>, en los términos en que ha sido interpretada dicha disposición por la Corte Interamericana de Derechos Humanos.</w:t>
      </w:r>
    </w:p>
    <w:p w14:paraId="143EEAF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CC8F0E1" w14:textId="77777777" w:rsidR="00DF77D2" w:rsidRPr="00791593" w:rsidRDefault="00DF77D2" w:rsidP="00DF77D2">
      <w:pPr>
        <w:spacing w:after="0" w:line="360" w:lineRule="auto"/>
        <w:ind w:firstLine="709"/>
        <w:jc w:val="both"/>
        <w:rPr>
          <w:rFonts w:ascii="Arial" w:eastAsia="Times New Roman" w:hAnsi="Arial" w:cs="Arial"/>
          <w:sz w:val="28"/>
          <w:szCs w:val="28"/>
          <w:lang w:eastAsia="es-MX"/>
        </w:rPr>
      </w:pPr>
      <w:r w:rsidRPr="00791593">
        <w:rPr>
          <w:rFonts w:ascii="Arial" w:eastAsia="Times New Roman" w:hAnsi="Arial" w:cs="Arial"/>
          <w:bCs/>
          <w:sz w:val="28"/>
          <w:szCs w:val="28"/>
          <w:lang w:val="es-ES" w:eastAsia="es-ES"/>
        </w:rPr>
        <w:t>Del precepto citado la Corte Interamericana de Derechos Humanos ha derivado dos obligaciones fundamentales para los estados parte del convenio. La primera, consistente en respetar los derechos y libertades reconocidas en la convención, en tanto se trata de esferas individuales que el poder público no puede vulnerar o en las cuales sólo se puede penetrar de manera limitada. A su vez, la segunda obligación es la de garantizar el libre y pleno ejercicio de los derechos reconocidos en la convención a toda persona sujeta a su jurisdicción, deber que</w:t>
      </w:r>
      <w:r w:rsidRPr="00791593">
        <w:rPr>
          <w:rFonts w:ascii="Arial" w:eastAsia="Times New Roman" w:hAnsi="Arial" w:cs="Arial"/>
          <w:sz w:val="28"/>
          <w:szCs w:val="28"/>
          <w:lang w:eastAsia="es-MX"/>
        </w:rPr>
        <w:t xml:space="preserve"> "</w:t>
      </w:r>
      <w:r w:rsidRPr="00791593">
        <w:rPr>
          <w:rFonts w:ascii="Arial" w:eastAsia="Times New Roman" w:hAnsi="Arial" w:cs="Arial"/>
          <w:i/>
          <w:iCs/>
          <w:sz w:val="28"/>
          <w:szCs w:val="28"/>
          <w:lang w:eastAsia="es-MX"/>
        </w:rPr>
        <w:t xml:space="preserve">no se agota en la existencia de un orden normativo dirigido a hacer posible el cumplimiento de esta obligación, sino que comporta la necesidad de una conducta gubernamental que asegure la existencia, en la realidad, </w:t>
      </w:r>
      <w:r w:rsidRPr="00791593">
        <w:rPr>
          <w:rFonts w:ascii="Arial" w:eastAsia="Times New Roman" w:hAnsi="Arial" w:cs="Arial"/>
          <w:i/>
          <w:iCs/>
          <w:sz w:val="28"/>
          <w:szCs w:val="28"/>
          <w:lang w:eastAsia="es-MX"/>
        </w:rPr>
        <w:lastRenderedPageBreak/>
        <w:t>de una eficaz garantía del libre y pleno ejercicio de los derechos humanos</w:t>
      </w:r>
      <w:r w:rsidRPr="00791593">
        <w:rPr>
          <w:rFonts w:ascii="Arial" w:eastAsia="Times New Roman" w:hAnsi="Arial" w:cs="Arial"/>
          <w:sz w:val="28"/>
          <w:szCs w:val="28"/>
          <w:lang w:eastAsia="es-MX"/>
        </w:rPr>
        <w:t>"</w:t>
      </w:r>
      <w:r w:rsidRPr="00791593">
        <w:rPr>
          <w:rFonts w:ascii="Arial" w:eastAsia="Times New Roman" w:hAnsi="Arial" w:cs="Arial"/>
          <w:sz w:val="28"/>
          <w:szCs w:val="28"/>
          <w:vertAlign w:val="superscript"/>
          <w:lang w:eastAsia="es-MX"/>
        </w:rPr>
        <w:footnoteReference w:id="3"/>
      </w:r>
      <w:r w:rsidRPr="00791593">
        <w:rPr>
          <w:rFonts w:ascii="Arial" w:eastAsia="Times New Roman" w:hAnsi="Arial" w:cs="Arial"/>
          <w:sz w:val="28"/>
          <w:szCs w:val="28"/>
          <w:lang w:eastAsia="es-MX"/>
        </w:rPr>
        <w:t xml:space="preserve">.  </w:t>
      </w:r>
    </w:p>
    <w:p w14:paraId="53CDB7D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6126D4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posteriores resoluciones, el organismo jurisdiccional interamericano precisaría que el deber de garantizar el libre y pleno ejercicio de los derechos y libertades reconocidos en la convención,</w:t>
      </w:r>
      <w:r w:rsidRPr="00791593">
        <w:rPr>
          <w:rFonts w:ascii="Arial" w:eastAsia="Times New Roman" w:hAnsi="Arial" w:cs="Arial"/>
          <w:bCs/>
          <w:sz w:val="24"/>
          <w:szCs w:val="24"/>
          <w:lang w:val="es-ES" w:eastAsia="es-ES"/>
        </w:rPr>
        <w:t> </w:t>
      </w:r>
      <w:r w:rsidRPr="00791593">
        <w:rPr>
          <w:rFonts w:ascii="Arial" w:eastAsia="Times New Roman" w:hAnsi="Arial" w:cs="Arial"/>
          <w:bCs/>
          <w:i/>
          <w:sz w:val="28"/>
          <w:szCs w:val="28"/>
          <w:lang w:val="es-ES" w:eastAsia="es-ES"/>
        </w:rPr>
        <w:t>"implica la obligación del Estado de tomar todas las medidas necesarias para remover los obstáculos que puedan existir para que los individuos puedan disfrutar de los derechos que la convención reconoce. Por consiguiente, la tolerancia del Estado a circunstancias o condiciones que impidan a los individuos acceder a los recursos internos adecuados para proteger sus derechos, constituye una violación del artículo 1.1 de la Convención".</w:t>
      </w:r>
      <w:r w:rsidRPr="00791593">
        <w:rPr>
          <w:rFonts w:ascii="Arial" w:eastAsia="Times New Roman" w:hAnsi="Arial" w:cs="Arial"/>
          <w:bCs/>
          <w:i/>
          <w:sz w:val="28"/>
          <w:szCs w:val="28"/>
          <w:vertAlign w:val="superscript"/>
          <w:lang w:val="es-ES" w:eastAsia="es-ES"/>
        </w:rPr>
        <w:footnoteReference w:id="4"/>
      </w:r>
      <w:r w:rsidRPr="00791593">
        <w:rPr>
          <w:rFonts w:ascii="Arial" w:eastAsia="Times New Roman" w:hAnsi="Arial" w:cs="Arial"/>
          <w:bCs/>
          <w:i/>
          <w:sz w:val="28"/>
          <w:szCs w:val="28"/>
          <w:lang w:val="es-ES" w:eastAsia="es-ES"/>
        </w:rPr>
        <w:t xml:space="preserve"> </w:t>
      </w:r>
      <w:r w:rsidRPr="00791593">
        <w:rPr>
          <w:rFonts w:ascii="Arial" w:eastAsia="Times New Roman" w:hAnsi="Arial" w:cs="Arial"/>
          <w:bCs/>
          <w:i/>
          <w:sz w:val="24"/>
          <w:szCs w:val="24"/>
          <w:lang w:val="es-ES" w:eastAsia="es-ES"/>
        </w:rPr>
        <w:t> </w:t>
      </w:r>
    </w:p>
    <w:p w14:paraId="5BF6084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8A8E92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Semejante intelección también se ha estimado aplicable en el caso de los derechos de los pueblos y comunidades indígenas, respecto de las cuales, según ha sostenido la Corte Interamericana de Derechos Humanos,</w:t>
      </w:r>
      <w:r w:rsidRPr="00791593">
        <w:rPr>
          <w:rFonts w:ascii="Arial" w:eastAsia="Times New Roman" w:hAnsi="Arial" w:cs="Arial"/>
          <w:sz w:val="28"/>
          <w:szCs w:val="28"/>
          <w:lang w:eastAsia="es-MX"/>
        </w:rPr>
        <w:t xml:space="preserve"> </w:t>
      </w:r>
      <w:r w:rsidRPr="00791593">
        <w:rPr>
          <w:rFonts w:ascii="Arial" w:eastAsia="Times New Roman" w:hAnsi="Arial" w:cs="Arial"/>
          <w:i/>
          <w:sz w:val="28"/>
          <w:szCs w:val="28"/>
          <w:lang w:eastAsia="es-MX"/>
        </w:rPr>
        <w:t>"</w:t>
      </w:r>
      <w:r w:rsidRPr="00791593">
        <w:rPr>
          <w:rFonts w:ascii="Arial" w:eastAsia="Times New Roman" w:hAnsi="Arial" w:cs="Arial"/>
          <w:bCs/>
          <w:i/>
          <w:sz w:val="28"/>
          <w:szCs w:val="28"/>
          <w:lang w:val="es-ES" w:eastAsia="es-ES"/>
        </w:rPr>
        <w:t xml:space="preserve">de conformidad con los artículos 24 (Igualdad ante la Ley) y 1.1 (Obligación de Respetar los Derechos) de la Convención Americana, los Estados deben garantizar, en condiciones de igualdad, el pleno ejercicio y goce de los derechos de estas personas que están sujetas a su jurisdicción. Hay que resaltar que para garantizar efectivamente estos derechos, al interpretar y aplicar su normativa </w:t>
      </w:r>
      <w:r w:rsidRPr="00791593">
        <w:rPr>
          <w:rFonts w:ascii="Arial" w:eastAsia="Times New Roman" w:hAnsi="Arial" w:cs="Arial"/>
          <w:bCs/>
          <w:i/>
          <w:sz w:val="28"/>
          <w:szCs w:val="28"/>
          <w:lang w:val="es-ES" w:eastAsia="es-ES"/>
        </w:rPr>
        <w:lastRenderedPageBreak/>
        <w:t>interna, los Estados deben tomar en consideración las características que diferencian a los miembros de los pueblos indígenas de la población en general y que conforman su identidad cultural"</w:t>
      </w:r>
      <w:r w:rsidRPr="00791593">
        <w:rPr>
          <w:rFonts w:ascii="Arial" w:eastAsia="Times New Roman" w:hAnsi="Arial" w:cs="Arial"/>
          <w:bCs/>
          <w:i/>
          <w:sz w:val="28"/>
          <w:szCs w:val="28"/>
          <w:vertAlign w:val="superscript"/>
          <w:lang w:val="es-ES" w:eastAsia="es-ES"/>
        </w:rPr>
        <w:footnoteReference w:id="5"/>
      </w:r>
      <w:r w:rsidRPr="00791593">
        <w:rPr>
          <w:rFonts w:ascii="Arial" w:eastAsia="Times New Roman" w:hAnsi="Arial" w:cs="Arial"/>
          <w:bCs/>
          <w:sz w:val="28"/>
          <w:szCs w:val="28"/>
          <w:lang w:val="es-ES" w:eastAsia="es-ES"/>
        </w:rPr>
        <w:t>.</w:t>
      </w:r>
    </w:p>
    <w:p w14:paraId="5304868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FAAE12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esas condiciones, con fundamento en el precepto constitucional invocado y lo establecido en los instrumentos internacionales citados, el Estado Mexicano, a través de sus órganos, debe proveer las medidas de corrección o compensación necesarias que permitan, a los sujetos situados en desigualdades de hecho, acceder al libre y efectivo ejercicio de sus derechos fundamentales, pues de otra manera tales derechos se traducen en meras declaraciones retóricas carentes de virtualidad, con lo que se desnaturaliza su función de instrumentos para el pleno desarrollo de la persona y se socava la dignidad de la persona, sustento de todo el andamiaje estatal.</w:t>
      </w:r>
    </w:p>
    <w:p w14:paraId="098D9B9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897EA9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Lo anterior justifica el criterio de reglas probatorias que se sustenta en la presente resolución.</w:t>
      </w:r>
    </w:p>
    <w:p w14:paraId="171090A8" w14:textId="77777777" w:rsidR="00DF77D2" w:rsidRPr="00791593" w:rsidRDefault="00DF77D2" w:rsidP="00DF77D2">
      <w:pPr>
        <w:spacing w:after="0" w:line="360" w:lineRule="auto"/>
        <w:jc w:val="both"/>
        <w:rPr>
          <w:rFonts w:ascii="Arial" w:eastAsia="Times New Roman" w:hAnsi="Arial" w:cs="Arial"/>
          <w:b/>
          <w:bCs/>
          <w:sz w:val="28"/>
          <w:szCs w:val="28"/>
          <w:lang w:val="es-ES" w:eastAsia="es-ES"/>
        </w:rPr>
      </w:pPr>
    </w:p>
    <w:p w14:paraId="718A4E07" w14:textId="77777777" w:rsidR="00DF77D2" w:rsidRPr="00791593" w:rsidRDefault="00DF77D2" w:rsidP="00DF77D2">
      <w:pPr>
        <w:spacing w:after="0" w:line="360" w:lineRule="auto"/>
        <w:ind w:firstLine="709"/>
        <w:jc w:val="both"/>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2. Reglas probatorias en asuntos indígenas</w:t>
      </w:r>
      <w:r w:rsidRPr="00791593">
        <w:rPr>
          <w:rFonts w:ascii="Arial" w:eastAsia="Times New Roman" w:hAnsi="Arial" w:cs="Arial"/>
          <w:b/>
          <w:bCs/>
          <w:sz w:val="28"/>
          <w:szCs w:val="28"/>
          <w:vertAlign w:val="superscript"/>
          <w:lang w:val="es-ES" w:eastAsia="es-ES"/>
        </w:rPr>
        <w:footnoteReference w:id="6"/>
      </w:r>
    </w:p>
    <w:p w14:paraId="61E049F1" w14:textId="77777777" w:rsidR="00DF77D2" w:rsidRPr="00791593" w:rsidRDefault="00DF77D2" w:rsidP="00DF77D2">
      <w:pPr>
        <w:spacing w:after="0" w:line="360" w:lineRule="auto"/>
        <w:jc w:val="both"/>
        <w:rPr>
          <w:rFonts w:ascii="Arial" w:eastAsia="Times New Roman" w:hAnsi="Arial" w:cs="Arial"/>
          <w:bCs/>
          <w:sz w:val="28"/>
          <w:szCs w:val="28"/>
          <w:lang w:val="es-ES" w:eastAsia="es-ES"/>
        </w:rPr>
      </w:pPr>
    </w:p>
    <w:p w14:paraId="748195D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La actividad probatoria tiene como finalidad lograr convicción del juzgador respecto de la correspondencia entre las afirmaciones de las partes y los hechos o situaciones que fundamentan sus pretensiones o defensas.</w:t>
      </w:r>
    </w:p>
    <w:p w14:paraId="2A5F2E0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075AE5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La carga de la prueba (quien ha de probar), es una noción procesal que le indica a las partes la autorresponsabilidad que tienen para que los hechos que sirvan de soporte a las normas jurídicas cuya aplicación reclaman aparezcan demostrados y que, además, le indica al juez cómo debe resolver cuando no aparezcan probados tales hechos.</w:t>
      </w:r>
    </w:p>
    <w:p w14:paraId="5DAF0E3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FC1F59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La noción de autorresponsabilidad se introduce para establecer que la carga probatoria no es una obligación ni un deber procesal en la medida que no es exigible su cumplimiento, no obstante, su incumplimiento puede provocar una sentencia absolutoria o condenatoria, contrario a los intereses del que se abstuvo de atender tal carga.</w:t>
      </w:r>
    </w:p>
    <w:p w14:paraId="6EF70A2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64E514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Ciertamente, existe la necesidad de probar por parte de quien soporta la carga, sin perder de vista que la prueba también puede lograrse por la actividad de la contraparte, o por la acción oficiosa del juez dentro de las limitaciones previstas en la ley, o en virtud de las diligencias para mejor proveer, sin que esto implique desde luego trasgredir la restricción derivada del principio de contradicción inherente a todo proceso.</w:t>
      </w:r>
    </w:p>
    <w:p w14:paraId="55906D5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0BFF2C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El sistema jurídico procesal electoral vigente en el Estado de Oaxaca, relativo al proceso electoral consuetudinario, atiende una regulación particular en cuanto a la tramitación y resolución de los </w:t>
      </w:r>
      <w:r w:rsidRPr="00791593">
        <w:rPr>
          <w:rFonts w:ascii="Arial" w:eastAsia="Times New Roman" w:hAnsi="Arial" w:cs="Arial"/>
          <w:bCs/>
          <w:sz w:val="28"/>
          <w:szCs w:val="28"/>
          <w:lang w:val="es-ES" w:eastAsia="es-ES"/>
        </w:rPr>
        <w:lastRenderedPageBreak/>
        <w:t>medios de impugnación promovidos con motivo de las elecciones realizadas bajo el sistema de usos y costumbres.</w:t>
      </w:r>
    </w:p>
    <w:p w14:paraId="7ED0C6E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A6A8DB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efecto, en aras de tutelar el derecho fundamental al debido proceso legal, la legislación procesal electoral de Oaxaca, prevé un apartado particular sobre los medios de impugnación y de las nulidades en las elecciones que se rigen por el sistema de derecho consuetudinario (Libro Tercero), además, señala que sólo se aplicarán en lo conducente las reglas comunes previstos en el Libro Segundo cuando no contravengan las reglas procesales indicadas en el Libro Tercero, es decir, otorga exclusividad y preponderancia en esta materia, lo previsto en este Libro.</w:t>
      </w:r>
    </w:p>
    <w:p w14:paraId="54CC69F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10B296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Lo anterior, para considerar en materia de administración de justicia, en un plano de igualdad entre los indígenas y los que no se identifican con esta calidad y con el objeto de garantizar el acceso pleno a la jurisdicción del Estado de manera justa y equitativa, pues no implica una asimilación forzosa al juzgarse una institución indígena con los valores y principios de una cultura hegemónica o dominante, la cual está prohibida por los tratados internacionales.</w:t>
      </w:r>
    </w:p>
    <w:p w14:paraId="64408FD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BDA034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consonancia con lo anterior, esta Sala Superior considera que de conformidad con el diseño orgánico de la ley procesal electoral local, si bien en los medios de impugnación en materia indígena rigen las disposiciones en materia probatoria (ofrecimiento, admisión y valoración), es cierto que para ello se deberá preservar las normas, procedimientos y prácticas tradicionales de los pueblos y las </w:t>
      </w:r>
      <w:r w:rsidRPr="00791593">
        <w:rPr>
          <w:rFonts w:ascii="Arial" w:eastAsia="Times New Roman" w:hAnsi="Arial" w:cs="Arial"/>
          <w:bCs/>
          <w:sz w:val="28"/>
          <w:szCs w:val="28"/>
          <w:lang w:val="es-ES" w:eastAsia="es-ES"/>
        </w:rPr>
        <w:lastRenderedPageBreak/>
        <w:t>comunidades indígenas, aspecto que se trata de un imperativo constitucional y legal que las autoridades jurisdiccionales deben cumplir y no darle el tratamiento de una opción o permisión de hacer.</w:t>
      </w:r>
    </w:p>
    <w:p w14:paraId="15BC265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E179AE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De una interpretación funcional de normas que integran el sistema jurídico vigente, la forma de hacer compatible las reglas procesales en materia probatoria con las normas, procedimientos y prácticas tradicionales antes mencionados, es hacer flexible el cumplimiento de las formalidades, en la medida que no se colisione con lo previsto legalmente en cuanto al ofrecimiento, admisión y valoración respectiva.</w:t>
      </w:r>
    </w:p>
    <w:p w14:paraId="1A9DFB0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9B3885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El marco constitucional y legal garantiza a los indígenas el acceso pleno a la jurisdicción, para esto, resulta necesario facilitar el acceso a los Tribunales, en particular, de forma garantista y antiformalista superando las desventajas procesales en que se pueden encontrar, por sus circunstancias culturales, económicas o sociales.</w:t>
      </w:r>
    </w:p>
    <w:p w14:paraId="378355A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47A3A9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Dicha premisa, al buscar un mayor espectro de protección a los indígenas, se debe sumar a las instituciones que en torno a los mismos se han instituido para garantizarles el acceso pleno a la jurisdicción del Estado, a saber: 1. Tomar en cuenta sus costumbres, tradiciones, normas y sistemas jurídicos; 2. Crear Tribunales especializados por razón de la materia; 3. Garantizar que puedan comprender y hacerse comprender, facilitándoles si es necesario, intérpretes u otros medios eficaces; 4. Suplir de forma total la queja, entre otras.</w:t>
      </w:r>
    </w:p>
    <w:p w14:paraId="202698E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3C4E54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Tal criterio permite cumplir en mayor medida la garantía de igualdad y legalidad que deben revestir los actos y resoluciones que se emitan en los medios de impugnación con motivo de las elecciones por usos y costumbres.</w:t>
      </w:r>
    </w:p>
    <w:p w14:paraId="339BDAD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D261C2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armonía con el espectro tutelar y garantista de la norma procesal electoral local, en el artículo 84, párrafo 1, se indica que en los medios de impugnación por sistemas normativos internos serán ofrecidas, admitidas y valoradas las pruebas que establece la ley, preservando las normas, procedimientos y prácticas tradicionales de los pueblos y comunidades indígenas y en el precepto 85, párrafo 1, de la ley referida, señala que deberá recabar pruebas incluso de oficio y ordenar el desahogo de las mismas siempre que se estimen necesarios para resolver la cuestión planteada. </w:t>
      </w:r>
    </w:p>
    <w:p w14:paraId="3A11EB2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C7787B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De conformidad con las disposiciones que anteceden, debe decirse que el promovente de un medio de defensa bajo el esquema de sistemas normativos internos, tiene el deber de mencionar las pruebas que pretende aportar al medio de impugnación. Por su parte, el juzgador tiene la responsabilidad de admitir las pruebas mencionadas por los oferentes sin mayor limitación que el conocimiento de los hechos, la causa de pedir y la convicción del juzgador.</w:t>
      </w:r>
    </w:p>
    <w:p w14:paraId="709D7E8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50C944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Es razonable considerar que el caudal probatorio admitido debe ser inevitable e indispensable y sólo se requerirán mayores elementos cuando no se hayan presentado o desahogado las pruebas que necesariamente se requieran para dilucidar el caso.</w:t>
      </w:r>
    </w:p>
    <w:p w14:paraId="2EA061E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9D877B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De esta manera, sobre las pruebas mencionadas por las partes procesales y que fueron admitidas, pero que por su naturaleza ameritan perfeccionarse, el juzgador deberá implementar acciones para su desahogo. </w:t>
      </w:r>
    </w:p>
    <w:p w14:paraId="6074918C" w14:textId="77777777" w:rsidR="00DF77D2" w:rsidRPr="00791593" w:rsidRDefault="00DF77D2" w:rsidP="00DF77D2">
      <w:pPr>
        <w:spacing w:after="0" w:line="360" w:lineRule="auto"/>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b/>
      </w:r>
    </w:p>
    <w:p w14:paraId="7300964D" w14:textId="77777777" w:rsidR="00DF77D2" w:rsidRPr="00791593" w:rsidRDefault="00DF77D2" w:rsidP="00DF77D2">
      <w:pPr>
        <w:spacing w:after="0" w:line="360" w:lineRule="auto"/>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b/>
        <w:t xml:space="preserve">En tal virtud, una medida necesaria o especial que el órgano jurisdiccional debe observar para no restringir el acceso a la justicia en el ámbito probatorio a los grupos vulnerables como el que se analiza, es la de flexibilizar las formalidades exigidas para la admisión y valoración de las pruebas. </w:t>
      </w:r>
    </w:p>
    <w:p w14:paraId="7892FE22" w14:textId="77777777" w:rsidR="00DF77D2" w:rsidRPr="00791593" w:rsidRDefault="00DF77D2" w:rsidP="00DF77D2">
      <w:pPr>
        <w:spacing w:after="0" w:line="360" w:lineRule="auto"/>
        <w:jc w:val="both"/>
        <w:rPr>
          <w:rFonts w:ascii="Arial" w:eastAsia="Times New Roman" w:hAnsi="Arial" w:cs="Arial"/>
          <w:bCs/>
          <w:sz w:val="28"/>
          <w:szCs w:val="28"/>
          <w:lang w:val="es-ES" w:eastAsia="es-ES"/>
        </w:rPr>
      </w:pPr>
    </w:p>
    <w:p w14:paraId="3A2C496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Con ello, se garantiza el juicio contradictorio que caracteriza al proceso y el equilibrio procesal de las partes contendientes que reclaman un mejor derecho en el caso controvertido, lo anterior, en la medida que durante el proceso el juzgador deberá desplegar su función jurisdiccional tomando en consideración que la Constitución obliga a los órganos jurisdiccionales estatales a garantizar el pleno acceso a la jurisdicción y el pleno disfrute de los derechos y garantías de todos los ciudadanos, incluidos aquellos que, por pertenecer a categorías tradicionalmente desaventajadas, son objeto de particular mención en el texto constitucional.</w:t>
      </w:r>
    </w:p>
    <w:p w14:paraId="5009A3C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CDDDB1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este sentido, cobra aplicación el criterio sostenido en la tesis XXXVIII/2011, consultable a páginas 1037 y 1038 de la Compilación1997-2013 Jurisprudencia y tesis en materia electoral, Tesis, volumen 2, tomo I, cuyo rubro y texto es del tenor siguiente:</w:t>
      </w:r>
    </w:p>
    <w:p w14:paraId="062A1517" w14:textId="77777777" w:rsidR="00DF77D2" w:rsidRPr="00791593" w:rsidRDefault="00DF77D2" w:rsidP="00DF77D2">
      <w:pPr>
        <w:spacing w:after="0" w:line="360" w:lineRule="auto"/>
        <w:jc w:val="both"/>
        <w:rPr>
          <w:rFonts w:ascii="Arial" w:eastAsia="Times New Roman" w:hAnsi="Arial" w:cs="Arial"/>
          <w:bCs/>
          <w:sz w:val="28"/>
          <w:szCs w:val="28"/>
          <w:lang w:val="es-ES" w:eastAsia="es-ES"/>
        </w:rPr>
      </w:pPr>
    </w:p>
    <w:p w14:paraId="1777B4C7" w14:textId="77777777" w:rsidR="00DF77D2" w:rsidRPr="00791593" w:rsidRDefault="00DF77D2" w:rsidP="00DF77D2">
      <w:pPr>
        <w:spacing w:after="0" w:line="240" w:lineRule="auto"/>
        <w:ind w:left="1134" w:right="618"/>
        <w:jc w:val="both"/>
        <w:rPr>
          <w:rFonts w:ascii="Arial" w:eastAsia="Times New Roman" w:hAnsi="Arial" w:cs="Arial"/>
          <w:bCs/>
          <w:sz w:val="24"/>
          <w:szCs w:val="24"/>
          <w:lang w:val="es-ES" w:eastAsia="es-ES"/>
        </w:rPr>
      </w:pPr>
      <w:r w:rsidRPr="00791593">
        <w:rPr>
          <w:rFonts w:ascii="Arial" w:eastAsia="Times New Roman" w:hAnsi="Arial" w:cs="Arial"/>
          <w:b/>
          <w:bCs/>
          <w:sz w:val="24"/>
          <w:szCs w:val="24"/>
          <w:lang w:eastAsia="es-MX"/>
        </w:rPr>
        <w:t>COMUNIDADES INDÍGENAS. REGLAS PROBATORIAS APLICABLES EN LOS JUICIOS ELECTORALES (LEGISLACIÓN DE OAXACA).—</w:t>
      </w:r>
      <w:r w:rsidRPr="00791593">
        <w:rPr>
          <w:rFonts w:ascii="Arial" w:eastAsia="Times New Roman" w:hAnsi="Arial" w:cs="Arial"/>
          <w:sz w:val="24"/>
          <w:szCs w:val="24"/>
          <w:lang w:eastAsia="es-MX"/>
        </w:rPr>
        <w:t>De la interpretación funcional de los artículos 1, 2, apartado A, fracción VIII, de la Constitución Política de los Estados Unidos Mexicanos; 16, de la Constitución Política del Estado Libre y Soberano de Oaxaca; 5, 8, 74, 75 y 86, párrafo 1, inciso b), de la Ley General del Sistema de Medios de Impugnación en Materia Electoral de dicha entidad, se colige que en los medios de impugnación promovidos por los integrantes de las comunidades indígenas, son aplicables las reglas comunes en materia probatoria, siempre que se armonicen y respeten sus normas, procedimientos y prácticas tradicionales acordes con la Constitución. Por lo anterior, es necesario flexibilizar el cumplimiento de las formalidades ordinariamente exigidas para la admisión de las pruebas, a fin de superar las desventajas procesales en que puedan encontrarse por sus circunstancias culturales, económicas o sociales. En ese sentido, es suficiente con que el oferente mencione o anuncie las pruebas en el juicio, para que la autoridad jurisdiccional admita las que estime necesarias para el caso concreto, a partir del conocimiento de los hechos y la causa de pedir, sin perjuicio de que, si por su naturaleza ameritan perfeccionarse, el juzgador implemente las acciones para ello, aparte de ordenar que se recaben de oficio las que resulten necesarias para resolver la cuestión planteada.</w:t>
      </w:r>
    </w:p>
    <w:p w14:paraId="665EEA37" w14:textId="77777777" w:rsidR="00DF77D2" w:rsidRPr="00791593" w:rsidRDefault="00DF77D2" w:rsidP="00DF77D2">
      <w:pPr>
        <w:tabs>
          <w:tab w:val="left" w:pos="1500"/>
        </w:tabs>
        <w:spacing w:after="0" w:line="360" w:lineRule="auto"/>
        <w:jc w:val="both"/>
        <w:rPr>
          <w:rFonts w:ascii="Arial" w:eastAsia="Times New Roman" w:hAnsi="Arial" w:cs="Arial"/>
          <w:b/>
          <w:bCs/>
          <w:sz w:val="28"/>
          <w:szCs w:val="28"/>
          <w:lang w:eastAsia="es-ES"/>
        </w:rPr>
      </w:pPr>
      <w:r w:rsidRPr="00791593">
        <w:rPr>
          <w:rFonts w:ascii="Arial" w:eastAsia="Times New Roman" w:hAnsi="Arial" w:cs="Arial"/>
          <w:b/>
          <w:bCs/>
          <w:sz w:val="28"/>
          <w:szCs w:val="28"/>
          <w:lang w:eastAsia="es-ES"/>
        </w:rPr>
        <w:tab/>
      </w:r>
    </w:p>
    <w:p w14:paraId="624C3B7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La flexibilización en las reglas procesales en los juicios en materia indígena ha sido también un criterio reiterado sostenido por la Corte Interamericana de Derechos Humanos, la cual, sobre la materia de pruebas, ha establecido lo siguientes:</w:t>
      </w:r>
    </w:p>
    <w:p w14:paraId="219204E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9D295A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1) En las sentencias del 17 de junio de 2005 y 29 de marzo de 2006, en los casos de la comunidad indígena Yakye Axa </w:t>
      </w:r>
      <w:r w:rsidRPr="00791593">
        <w:rPr>
          <w:rFonts w:ascii="Arial" w:eastAsia="Times New Roman" w:hAnsi="Arial" w:cs="Arial"/>
          <w:bCs/>
          <w:i/>
          <w:sz w:val="28"/>
          <w:szCs w:val="28"/>
          <w:lang w:val="es-ES" w:eastAsia="es-ES"/>
        </w:rPr>
        <w:t>vs</w:t>
      </w:r>
      <w:r w:rsidRPr="00791593">
        <w:rPr>
          <w:rFonts w:ascii="Arial" w:eastAsia="Times New Roman" w:hAnsi="Arial" w:cs="Arial"/>
          <w:bCs/>
          <w:sz w:val="28"/>
          <w:szCs w:val="28"/>
          <w:lang w:val="es-ES" w:eastAsia="es-ES"/>
        </w:rPr>
        <w:t xml:space="preserve"> Paraguay  y de la comunidad indígena Sawhoyamaxa </w:t>
      </w:r>
      <w:r w:rsidRPr="00791593">
        <w:rPr>
          <w:rFonts w:ascii="Arial" w:eastAsia="Times New Roman" w:hAnsi="Arial" w:cs="Arial"/>
          <w:bCs/>
          <w:i/>
          <w:sz w:val="28"/>
          <w:szCs w:val="28"/>
          <w:lang w:val="es-ES" w:eastAsia="es-ES"/>
        </w:rPr>
        <w:t>vs</w:t>
      </w:r>
      <w:r w:rsidRPr="00791593">
        <w:rPr>
          <w:rFonts w:ascii="Arial" w:eastAsia="Times New Roman" w:hAnsi="Arial" w:cs="Arial"/>
          <w:bCs/>
          <w:sz w:val="28"/>
          <w:szCs w:val="28"/>
          <w:lang w:val="es-ES" w:eastAsia="es-ES"/>
        </w:rPr>
        <w:t xml:space="preserve"> Paraguay, en los que se ventilaron la tramitación de diversas solicitudes de reivindicación territorial planteadas por dichas comunidades, la Corte Interamericana en materia de prueba señaló lo siguiente:</w:t>
      </w:r>
    </w:p>
    <w:p w14:paraId="1EC477B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2329DE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w:t>
      </w:r>
      <w:r w:rsidRPr="00791593">
        <w:rPr>
          <w:rFonts w:ascii="Arial" w:eastAsia="Times New Roman" w:hAnsi="Arial" w:cs="Arial"/>
          <w:bCs/>
          <w:sz w:val="28"/>
          <w:szCs w:val="28"/>
          <w:lang w:val="es-ES" w:eastAsia="es-ES"/>
        </w:rPr>
        <w:tab/>
        <w:t>Rige el principio de contradictorio, que respeta el derecho de defensa y de igualdad entre las partes.</w:t>
      </w:r>
    </w:p>
    <w:p w14:paraId="1AE04D4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A019CF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w:t>
      </w:r>
      <w:r w:rsidRPr="00791593">
        <w:rPr>
          <w:rFonts w:ascii="Arial" w:eastAsia="Times New Roman" w:hAnsi="Arial" w:cs="Arial"/>
          <w:bCs/>
          <w:sz w:val="28"/>
          <w:szCs w:val="28"/>
          <w:lang w:val="es-ES" w:eastAsia="es-ES"/>
        </w:rPr>
        <w:tab/>
        <w:t>Se podrá solicitar a las partes elementos probatorios adicionales como prueba para mejor resolver, sin que ello se traduzca en una nueva oportunidad para ampliar o complementar los alegatos, salvo que el Tribunal lo permita expresamente.</w:t>
      </w:r>
    </w:p>
    <w:p w14:paraId="1AF0B45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F42141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w:t>
      </w:r>
      <w:r w:rsidRPr="00791593">
        <w:rPr>
          <w:rFonts w:ascii="Arial" w:eastAsia="Times New Roman" w:hAnsi="Arial" w:cs="Arial"/>
          <w:bCs/>
          <w:sz w:val="28"/>
          <w:szCs w:val="28"/>
          <w:lang w:val="es-ES" w:eastAsia="es-ES"/>
        </w:rPr>
        <w:tab/>
        <w:t>En materia de recepción y valoración de la prueba, esa Corte no está sujeta a las formalidades de las actuaciones judiciales internas, por lo que su admisión se efectuará prestando particular atención a las circunstancias del caso concreto, teniendo presente el respeto a la seguridad jurídica y al equilibrio procesal de las partes.</w:t>
      </w:r>
    </w:p>
    <w:p w14:paraId="4509849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93013E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w:t>
      </w:r>
      <w:r w:rsidRPr="00791593">
        <w:rPr>
          <w:rFonts w:ascii="Arial" w:eastAsia="Times New Roman" w:hAnsi="Arial" w:cs="Arial"/>
          <w:bCs/>
          <w:sz w:val="28"/>
          <w:szCs w:val="28"/>
          <w:lang w:val="es-ES" w:eastAsia="es-ES"/>
        </w:rPr>
        <w:tab/>
        <w:t>Ese tribunal internacional de derechos humanos cuenta con la potestad de apreciar y valorar las pruebas según las reglas de la sana crítica, las reglas de la lógica y con base en la experiencia, de suerte que no ha establecido una rígida determinación  del quantum de la prueba para fundar un fallo.</w:t>
      </w:r>
    </w:p>
    <w:p w14:paraId="6477911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A058D2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2) Por su parte, en la sentencia de 24 de agosto de 2010 dictada en el caso de la comunidad indígena Xákmok Kásek </w:t>
      </w:r>
      <w:r w:rsidRPr="00791593">
        <w:rPr>
          <w:rFonts w:ascii="Arial" w:eastAsia="Times New Roman" w:hAnsi="Arial" w:cs="Arial"/>
          <w:bCs/>
          <w:i/>
          <w:sz w:val="28"/>
          <w:szCs w:val="28"/>
          <w:lang w:val="es-ES" w:eastAsia="es-ES"/>
        </w:rPr>
        <w:t>vs</w:t>
      </w:r>
      <w:r w:rsidRPr="00791593">
        <w:rPr>
          <w:rFonts w:ascii="Arial" w:eastAsia="Times New Roman" w:hAnsi="Arial" w:cs="Arial"/>
          <w:bCs/>
          <w:sz w:val="28"/>
          <w:szCs w:val="28"/>
          <w:lang w:val="es-ES" w:eastAsia="es-ES"/>
        </w:rPr>
        <w:t xml:space="preserve"> Paraguay, relacionada también con el trámite insatisfactorio de una solicitud de reivindicación territorial en favor de esa comunidad, la Corte Interamericana señaló:</w:t>
      </w:r>
    </w:p>
    <w:p w14:paraId="2204BF5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B2CA8C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w:t>
      </w:r>
      <w:r w:rsidRPr="00791593">
        <w:rPr>
          <w:rFonts w:ascii="Arial" w:eastAsia="Times New Roman" w:hAnsi="Arial" w:cs="Arial"/>
          <w:bCs/>
          <w:sz w:val="28"/>
          <w:szCs w:val="28"/>
          <w:lang w:val="es-ES" w:eastAsia="es-ES"/>
        </w:rPr>
        <w:tab/>
        <w:t xml:space="preserve">La admisión del valor probatorio de aquellos documentos presentados oportunamente por las partes que no fueron controvertidos ni objetados, ni cuya autenticidad fue puesta en duda y aquellos que refieren a hechos supervenientes. </w:t>
      </w:r>
    </w:p>
    <w:p w14:paraId="6B54652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FBABC6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w:t>
      </w:r>
      <w:r w:rsidRPr="00791593">
        <w:rPr>
          <w:rFonts w:ascii="Arial" w:eastAsia="Times New Roman" w:hAnsi="Arial" w:cs="Arial"/>
          <w:bCs/>
          <w:sz w:val="28"/>
          <w:szCs w:val="28"/>
          <w:lang w:val="es-ES" w:eastAsia="es-ES"/>
        </w:rPr>
        <w:tab/>
        <w:t xml:space="preserve">Las declaraciones de las presuntas víctimas (su equivalente aquí serían las pruebas ofrecidas por la parte recurrente), por tener un interés en el presente caso, no serán valoradas aisladamente sino dentro del conjunto de las pruebas del proceso. </w:t>
      </w:r>
    </w:p>
    <w:p w14:paraId="59DB814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4FB7F4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3) En la sentencia del 1° de febrero de 2006 dictada en el caso López Álvarez vs. Honduras, relacionada con que la víctima (Alfredo López Álvarez, miembro de una comunidad garífuna hondureña) fue detenida por posesión y tráfico ilícito de estupefacientes, al valorar las pruebas del caso precisó que los Estados deben abstenerse de producir regulaciones que tengan efectos discriminatorios y deben tomar en cuenta los datos que diferencian a los miembros de los pueblos indígenas de la población en general.</w:t>
      </w:r>
    </w:p>
    <w:p w14:paraId="4F4E6B4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E76949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4) En el caso Baldeón García </w:t>
      </w:r>
      <w:r w:rsidRPr="00791593">
        <w:rPr>
          <w:rFonts w:ascii="Arial" w:eastAsia="Times New Roman" w:hAnsi="Arial" w:cs="Arial"/>
          <w:bCs/>
          <w:i/>
          <w:sz w:val="28"/>
          <w:szCs w:val="28"/>
          <w:lang w:val="es-ES" w:eastAsia="es-ES"/>
        </w:rPr>
        <w:t>vs</w:t>
      </w:r>
      <w:r w:rsidRPr="00791593">
        <w:rPr>
          <w:rFonts w:ascii="Arial" w:eastAsia="Times New Roman" w:hAnsi="Arial" w:cs="Arial"/>
          <w:bCs/>
          <w:sz w:val="28"/>
          <w:szCs w:val="28"/>
          <w:lang w:val="es-ES" w:eastAsia="es-ES"/>
        </w:rPr>
        <w:t xml:space="preserve"> Perú del 6 de abril de 2006, la Corte Interamericana frente a un caso de homicidio en contra de la víctima por elementos militares a pretexto de realizar un operativo contrainsurgente, tomó en consideración que la víctima y su familia, en su carácter de miembros de una comunidad campesina de habla quechua, para alcanzar los objetivos del proceso, se deben tener en cuenta los factores de desigualdad real de quienes son llevados ante la justicia. Ello porque las condiciones desigualdad real, obliga a adoptar </w:t>
      </w:r>
      <w:r w:rsidRPr="00791593">
        <w:rPr>
          <w:rFonts w:ascii="Arial" w:eastAsia="Times New Roman" w:hAnsi="Arial" w:cs="Arial"/>
          <w:bCs/>
          <w:sz w:val="28"/>
          <w:szCs w:val="28"/>
          <w:lang w:val="es-ES" w:eastAsia="es-ES"/>
        </w:rPr>
        <w:lastRenderedPageBreak/>
        <w:t xml:space="preserve">medidas de compensación que contribuyan a reducir los obstáculos y deficiencias que impidan o reduzcan la defensa eficaz de sus propios intereses. Incluso, señala que de no adoptarse esas medidas de compensación, difícilmente se podría decir, que quienes se encuentran en situaciones de desventaja, disfrutan de un verdadero acceso a la justicia y se benefician de un debido proceso legal en condiciones de igualdad con quienes no afrontan esas desventajas. </w:t>
      </w:r>
    </w:p>
    <w:p w14:paraId="762FC3E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17BDE6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5) Similares criterios de valoración se puede observar en la sentencia del 23 de junio de 2005 dictada en el caso Yatama </w:t>
      </w:r>
      <w:r w:rsidRPr="00791593">
        <w:rPr>
          <w:rFonts w:ascii="Arial" w:eastAsia="Times New Roman" w:hAnsi="Arial" w:cs="Arial"/>
          <w:bCs/>
          <w:i/>
          <w:sz w:val="28"/>
          <w:szCs w:val="28"/>
          <w:lang w:val="es-ES" w:eastAsia="es-ES"/>
        </w:rPr>
        <w:t>vs</w:t>
      </w:r>
      <w:r w:rsidRPr="00791593">
        <w:rPr>
          <w:rFonts w:ascii="Arial" w:eastAsia="Times New Roman" w:hAnsi="Arial" w:cs="Arial"/>
          <w:bCs/>
          <w:sz w:val="28"/>
          <w:szCs w:val="28"/>
          <w:lang w:val="es-ES" w:eastAsia="es-ES"/>
        </w:rPr>
        <w:t xml:space="preserve"> Nicaragua  en donde el tema central a dilucidar, como es de su conocimiento, consistió en haberse impedido ilegalmente al partido político regional Yatama participar en las elecciones municipales realizadas el 5 de noviembre de 2000 en las Regiones Autónomas del Atlántico Norte y del Atlántico Sur, como consecuencia de la resolución emitida el 15 de agosto de 2000 por el Consejo Supremo Electoral de Nicaragua.</w:t>
      </w:r>
    </w:p>
    <w:p w14:paraId="280FA23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ACF8D9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Como resultado de lo anterior, es posible obtener un criterio uniforme en la valoración de pruebas en los asuntos en que son partes pueblos, comunidades o hasta partidos políticos indígenas: su alcance demostrativo dependerá no solo de lo que establezca la ley, sino de la aplicación de aquellas medidas de compensación que encuentren sustento, entre otras, en las reglas de la sana crítica, las reglas de la lógica y con base en la experiencia, atendiendo a las particularidades de cada caso concreto.</w:t>
      </w:r>
    </w:p>
    <w:p w14:paraId="0777EA1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E5C6786" w14:textId="77777777" w:rsidR="00DF77D2" w:rsidRPr="00791593" w:rsidRDefault="00DF77D2" w:rsidP="00DF77D2">
      <w:pPr>
        <w:spacing w:after="0" w:line="360" w:lineRule="auto"/>
        <w:ind w:firstLine="709"/>
        <w:jc w:val="both"/>
        <w:rPr>
          <w:rFonts w:ascii="Arial" w:eastAsia="Times New Roman" w:hAnsi="Arial" w:cs="Arial"/>
          <w:bCs/>
          <w:sz w:val="28"/>
          <w:szCs w:val="28"/>
          <w:highlight w:val="yellow"/>
          <w:lang w:val="es-ES" w:eastAsia="es-ES"/>
        </w:rPr>
      </w:pPr>
      <w:r w:rsidRPr="00791593">
        <w:rPr>
          <w:rFonts w:ascii="Arial" w:eastAsia="Times New Roman" w:hAnsi="Arial" w:cs="Arial"/>
          <w:bCs/>
          <w:sz w:val="28"/>
          <w:szCs w:val="28"/>
          <w:lang w:val="es-ES" w:eastAsia="es-ES"/>
        </w:rPr>
        <w:lastRenderedPageBreak/>
        <w:t>El criterio que se propone asumir es con relación a la valoración de las pruebas.</w:t>
      </w:r>
    </w:p>
    <w:p w14:paraId="59FC3A1F" w14:textId="77777777" w:rsidR="00DF77D2" w:rsidRPr="00791593" w:rsidRDefault="00DF77D2" w:rsidP="00DF77D2">
      <w:pPr>
        <w:spacing w:after="0" w:line="360" w:lineRule="auto"/>
        <w:ind w:firstLine="709"/>
        <w:jc w:val="both"/>
        <w:rPr>
          <w:rFonts w:ascii="Arial" w:eastAsia="Times New Roman" w:hAnsi="Arial" w:cs="Arial"/>
          <w:bCs/>
          <w:sz w:val="28"/>
          <w:szCs w:val="28"/>
          <w:highlight w:val="yellow"/>
          <w:lang w:val="es-ES" w:eastAsia="es-ES"/>
        </w:rPr>
      </w:pPr>
    </w:p>
    <w:p w14:paraId="3C4EAB2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Bajo esta perspectiva, se considera que en los juicios en materia indígena el juzgador debe proceder al análisis y valoración del caudal probatorio de una manera flexible, de tal forma que para realizar dicha tarea debe atender principalmente a los elementos y requisitos que configuran la naturaleza de cada tipo de prueba, sin que el incumplimiento de formalismos ordinariamente exigidos pueda conducirlo a dejar de valorar algún medio de convicción.</w:t>
      </w:r>
    </w:p>
    <w:p w14:paraId="3109B71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CC29E3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Por el contrario, en estos casos el juzgador debe proceder a ponderar y valorar todos y cada uno de los medios probatorios en su justa dimensión, a efecto de determinar el valor probatorio que en cada caso corresponda. </w:t>
      </w:r>
    </w:p>
    <w:p w14:paraId="313D67A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BBEFF5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Tal actuación resulta trascendental en este tipo de juicios pues sólo de esta manera es posible resolver el conflicto electoral que aqueja a la comunidad indígena, al conocer de manera completa y correcta la situación fáctica que involucra el asunto y, a partir de esa circunstancia, determinar lo conducente.</w:t>
      </w:r>
    </w:p>
    <w:p w14:paraId="0956558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01B898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Esto es así, porque tratándose de procesos que involucran comunidades y pueblos indígenas, así como a sus integrantes, debe considerarse que dada la situación de desigualdad real en la que subsisten resultaría desmesurado exigirles el cumplimiento de formalismos que no se encuentran a su alcance por múltiples </w:t>
      </w:r>
      <w:r w:rsidRPr="00791593">
        <w:rPr>
          <w:rFonts w:ascii="Arial" w:eastAsia="Times New Roman" w:hAnsi="Arial" w:cs="Arial"/>
          <w:bCs/>
          <w:sz w:val="28"/>
          <w:szCs w:val="28"/>
          <w:lang w:val="es-ES" w:eastAsia="es-ES"/>
        </w:rPr>
        <w:lastRenderedPageBreak/>
        <w:t>circunstancias, como puede ser, la de acudir a un fedatario o cualquier otra que sin afectar la naturaleza del elemento probatorio simplemente establezca alguna forma en la que deba presentarse el medio de prueba a juicio.</w:t>
      </w:r>
    </w:p>
    <w:p w14:paraId="4B782BC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C34576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Por tanto, en esos supuestos, en los juicios electorales en materia indígena, el juzgador tiene el deber de considerar y valorar todos y cada uno de los medios que conforman el caudal probatorio, sin que pueda dejar de otorgarles valor bajo la consideración de no haber sido perfeccionado conforme a la formalidad exigida por la ley, pues en esos casos, el valor probatorio del medio de convicción disminuye pero sin que ello pueda conducir a determinar que carece de valor alguno.</w:t>
      </w:r>
    </w:p>
    <w:p w14:paraId="5F0A93D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3D57AA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Todo lo anterior debe realizarlo el órgano jurisdiccional con pleno respeto a los principios y reglas elementales en materia probatoria, sin que ello pueda entenderse en el sentido de que necesariamente deberá tener por acreditados los hechos alegados, porque ello dependerá en cada caso de la naturaleza y tipo de prueba que conforme el expediente.</w:t>
      </w:r>
    </w:p>
    <w:p w14:paraId="1FCEA48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58A4BF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De esta manera, el criterio que se propone simplemente atiende a las especificidades que representa la materia indígena y la necesidad de otorgar una atención prioritaria a los juicios de derecho que la conforman en lo referente al acceso a la justicia.</w:t>
      </w:r>
    </w:p>
    <w:p w14:paraId="3591582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3EF17E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ese sentido, el presente criterio, en cuanto medida especial y flexibilización de reglas probatorias, determina que en este tipo de juicios, el juzgador debe valorar todos y cada uno de los elementos de </w:t>
      </w:r>
      <w:r w:rsidRPr="00791593">
        <w:rPr>
          <w:rFonts w:ascii="Arial" w:eastAsia="Times New Roman" w:hAnsi="Arial" w:cs="Arial"/>
          <w:bCs/>
          <w:sz w:val="28"/>
          <w:szCs w:val="28"/>
          <w:lang w:val="es-ES" w:eastAsia="es-ES"/>
        </w:rPr>
        <w:lastRenderedPageBreak/>
        <w:t>convicción que las partes o la autoridad aporten al juicio o sea allegado mediante las diligencias para mejor proveer correspondientes, sin que para ello sea obstáculo que tratándose de las pruebas aportadas por una comunidad o pueblo indígena o alguno de sus integrantes, se incumpla alguna de las formalidades que la ley exige ordinariamente, porque en esos casos, el órgano jurisdiccional no puede dejar de otorgarles valor probatorio so pretexto de su falta de perfeccionamiento, sino que, por el contrario, debe proceder al análisis de cada medio de convicción y otorgarle el valor probatorio que por su naturaleza y características corresponda en cada caso.</w:t>
      </w:r>
    </w:p>
    <w:p w14:paraId="26749C9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2A7EBA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Por ello, el juzgador debe valorar cada medio probatorio y, en su caso, proceder a su adminiculación aún en el supuesto de que algún elemento probatorio no cumpla las formalidades correspondientes para su ofrecimiento, aportación o admisión.</w:t>
      </w:r>
    </w:p>
    <w:p w14:paraId="5F08323E" w14:textId="77777777" w:rsidR="00DF77D2" w:rsidRPr="00791593" w:rsidRDefault="00DF77D2" w:rsidP="00DF77D2">
      <w:pPr>
        <w:spacing w:after="0" w:line="360" w:lineRule="auto"/>
        <w:ind w:firstLine="709"/>
        <w:jc w:val="both"/>
        <w:rPr>
          <w:rFonts w:ascii="Arial" w:eastAsia="Times New Roman" w:hAnsi="Arial" w:cs="Arial"/>
          <w:b/>
          <w:bCs/>
          <w:sz w:val="28"/>
          <w:szCs w:val="28"/>
          <w:lang w:val="es-ES" w:eastAsia="es-ES"/>
        </w:rPr>
      </w:pPr>
    </w:p>
    <w:p w14:paraId="587C66CA" w14:textId="77777777" w:rsidR="00DF77D2" w:rsidRPr="00791593" w:rsidRDefault="00DF77D2" w:rsidP="00DF77D2">
      <w:pPr>
        <w:spacing w:after="0" w:line="360" w:lineRule="auto"/>
        <w:ind w:firstLine="709"/>
        <w:jc w:val="both"/>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3. Determinación de la Sala Regional responsable respecto de las pruebas en la resolución impugnada</w:t>
      </w:r>
    </w:p>
    <w:p w14:paraId="37802D4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B56954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Una vez establecido lo anterior, es preciso concretar las razones y motivos que tuvo la Sala Regional para desestimar las pruebas admitidas y confirmar la resolución del tribunal estatal electoral.</w:t>
      </w:r>
    </w:p>
    <w:p w14:paraId="53A88D8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449F5E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Del análisis realizado a la parte conducente del acto impugnado, se aprecia que la Sala responsable determinó que las pruebas </w:t>
      </w:r>
      <w:r w:rsidRPr="00791593">
        <w:rPr>
          <w:rFonts w:ascii="Arial" w:eastAsia="Times New Roman" w:hAnsi="Arial" w:cs="Arial"/>
          <w:bCs/>
          <w:sz w:val="28"/>
          <w:szCs w:val="28"/>
          <w:lang w:val="es-ES" w:eastAsia="es-ES"/>
        </w:rPr>
        <w:lastRenderedPageBreak/>
        <w:t xml:space="preserve">presentadas por el hoy recurrente </w:t>
      </w:r>
      <w:r w:rsidRPr="00791593">
        <w:rPr>
          <w:rFonts w:ascii="Arial" w:eastAsia="Times New Roman" w:hAnsi="Arial" w:cs="Arial"/>
          <w:bCs/>
          <w:i/>
          <w:sz w:val="28"/>
          <w:szCs w:val="28"/>
          <w:lang w:val="es-ES" w:eastAsia="es-ES"/>
        </w:rPr>
        <w:t>“no generaron la convicción de que en el proceso electivo haya ocurrido coacción sobre el electorado”</w:t>
      </w:r>
      <w:r w:rsidRPr="00791593">
        <w:rPr>
          <w:rFonts w:ascii="Arial" w:eastAsia="Times New Roman" w:hAnsi="Arial" w:cs="Arial"/>
          <w:bCs/>
          <w:i/>
          <w:sz w:val="28"/>
          <w:szCs w:val="28"/>
          <w:vertAlign w:val="superscript"/>
          <w:lang w:val="es-ES" w:eastAsia="es-ES"/>
        </w:rPr>
        <w:footnoteReference w:id="7"/>
      </w:r>
      <w:r w:rsidRPr="00791593">
        <w:rPr>
          <w:rFonts w:ascii="Arial" w:eastAsia="Times New Roman" w:hAnsi="Arial" w:cs="Arial"/>
          <w:bCs/>
          <w:sz w:val="28"/>
          <w:szCs w:val="28"/>
          <w:lang w:val="es-ES" w:eastAsia="es-ES"/>
        </w:rPr>
        <w:t>.</w:t>
      </w:r>
    </w:p>
    <w:p w14:paraId="246C009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E5FF1A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cuanto a la exhibición de cuarenta y seis fotografías señaló que, en primer lugar, el actor omitió precisar las circunstancias de modo, tiempo y lugar contenidas en dichas pruebas, esto es, realizar una descripción de lo que en la prueba se aprecia, para que el juzgador se encontrara en posibilidad de vincularla con los hechos que se pretendieron demostrar; en segundo lugar, que dicha descripción era necesaria para poder adminicular tal prueba con otros elementos</w:t>
      </w:r>
      <w:r w:rsidRPr="00791593">
        <w:rPr>
          <w:rFonts w:ascii="Arial" w:eastAsia="Times New Roman" w:hAnsi="Arial" w:cs="Arial"/>
          <w:bCs/>
          <w:sz w:val="28"/>
          <w:szCs w:val="28"/>
          <w:vertAlign w:val="superscript"/>
          <w:lang w:val="es-ES" w:eastAsia="es-ES"/>
        </w:rPr>
        <w:footnoteReference w:id="8"/>
      </w:r>
      <w:r w:rsidRPr="00791593">
        <w:rPr>
          <w:rFonts w:ascii="Arial" w:eastAsia="Times New Roman" w:hAnsi="Arial" w:cs="Arial"/>
          <w:bCs/>
          <w:sz w:val="28"/>
          <w:szCs w:val="28"/>
          <w:lang w:val="es-ES" w:eastAsia="es-ES"/>
        </w:rPr>
        <w:t>.</w:t>
      </w:r>
    </w:p>
    <w:p w14:paraId="21C782F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DF8270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Por lo que toca a los catorce escritos de ciudadanos estimó que </w:t>
      </w:r>
      <w:r w:rsidRPr="00791593">
        <w:rPr>
          <w:rFonts w:ascii="Arial" w:eastAsia="Times New Roman" w:hAnsi="Arial" w:cs="Arial"/>
          <w:bCs/>
          <w:i/>
          <w:sz w:val="28"/>
          <w:szCs w:val="28"/>
          <w:lang w:val="es-ES" w:eastAsia="es-ES"/>
        </w:rPr>
        <w:t>“tales documentales son sólo manifestaciones unilaterales de los suscriptores”</w:t>
      </w:r>
      <w:r w:rsidRPr="00791593">
        <w:rPr>
          <w:rFonts w:ascii="Arial" w:eastAsia="Times New Roman" w:hAnsi="Arial" w:cs="Arial"/>
          <w:bCs/>
          <w:sz w:val="28"/>
          <w:szCs w:val="28"/>
          <w:lang w:val="es-ES" w:eastAsia="es-ES"/>
        </w:rPr>
        <w:t xml:space="preserve">, puesto que dichas constancias solo podrían valorarse como testimonios al tratarse de supuestos hechos presenciados por terceros; sin embargo, consideró que tales testimonios no se perfeccionaron formalmente como pruebas, puesto que en términos de lo establecido en el código comicial local (artículo 289, párrafo 4), la testimonial sólo se admite cuando los declarantes efectúen la declaración de hechos correspondiente ante un fedatario público, lo que no sucedió en el caso de trato, de ahí que estimó disminuido el valor legal de la prueba. </w:t>
      </w:r>
    </w:p>
    <w:p w14:paraId="33FD331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39D0DF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Cabe destacar que si bien los escritos referidos fueron presentados en copia certificada ante notario público, ello lo estimó </w:t>
      </w:r>
      <w:r w:rsidRPr="00791593">
        <w:rPr>
          <w:rFonts w:ascii="Arial" w:eastAsia="Times New Roman" w:hAnsi="Arial" w:cs="Arial"/>
          <w:bCs/>
          <w:sz w:val="28"/>
          <w:szCs w:val="28"/>
          <w:lang w:val="es-ES" w:eastAsia="es-ES"/>
        </w:rPr>
        <w:lastRenderedPageBreak/>
        <w:t>insuficiente para tener por cumplida la formalidad aludida, ya que tales documentos, a juicio de la responsable, solo demostraban que el notario tuvo a la vista los originales que certificó y no así que la declaración de hechos se hubiese hecho ante su presencia</w:t>
      </w:r>
      <w:r w:rsidRPr="00791593">
        <w:rPr>
          <w:rFonts w:ascii="Arial" w:eastAsia="Times New Roman" w:hAnsi="Arial" w:cs="Arial"/>
          <w:bCs/>
          <w:sz w:val="28"/>
          <w:szCs w:val="28"/>
          <w:vertAlign w:val="superscript"/>
          <w:lang w:val="es-ES" w:eastAsia="es-ES"/>
        </w:rPr>
        <w:footnoteReference w:id="9"/>
      </w:r>
      <w:r w:rsidRPr="00791593">
        <w:rPr>
          <w:rFonts w:ascii="Arial" w:eastAsia="Times New Roman" w:hAnsi="Arial" w:cs="Arial"/>
          <w:bCs/>
          <w:sz w:val="28"/>
          <w:szCs w:val="28"/>
          <w:lang w:val="es-ES" w:eastAsia="es-ES"/>
        </w:rPr>
        <w:t>.</w:t>
      </w:r>
    </w:p>
    <w:p w14:paraId="0B2E4B3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A0898E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Ahora bien, en cuanto a la valoración de los escritos de incidentes presentados por las planillas amarilla y azul ante el Consejo Municipal Electoral, la responsable precisó que si bien a través de ellos se deja constancia de algunos hechos en el desarrollo de los comicios, tales pruebas no se adminicularon a otro medio probatorio que demostrara la misma irregularidad, por lo que no acreditaban lo sostenido por el actor</w:t>
      </w:r>
      <w:r w:rsidRPr="00791593">
        <w:rPr>
          <w:rFonts w:ascii="Arial" w:eastAsia="Times New Roman" w:hAnsi="Arial" w:cs="Arial"/>
          <w:bCs/>
          <w:sz w:val="28"/>
          <w:szCs w:val="28"/>
          <w:vertAlign w:val="superscript"/>
          <w:lang w:val="es-ES" w:eastAsia="es-ES"/>
        </w:rPr>
        <w:footnoteReference w:id="10"/>
      </w:r>
      <w:r w:rsidRPr="00791593">
        <w:rPr>
          <w:rFonts w:ascii="Arial" w:eastAsia="Times New Roman" w:hAnsi="Arial" w:cs="Arial"/>
          <w:bCs/>
          <w:sz w:val="28"/>
          <w:szCs w:val="28"/>
          <w:lang w:val="es-ES" w:eastAsia="es-ES"/>
        </w:rPr>
        <w:t>.</w:t>
      </w:r>
    </w:p>
    <w:p w14:paraId="06DED5E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DC0955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resumen, la Sala Regional Xalapa realizó las estimaciones que en la siguiente tabla se presentan:</w:t>
      </w:r>
    </w:p>
    <w:p w14:paraId="502D508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tbl>
      <w:tblPr>
        <w:tblStyle w:val="Tablaconcuadrcula"/>
        <w:tblW w:w="5000" w:type="pct"/>
        <w:tblLayout w:type="fixed"/>
        <w:tblLook w:val="04A0" w:firstRow="1" w:lastRow="0" w:firstColumn="1" w:lastColumn="0" w:noHBand="0" w:noVBand="1"/>
      </w:tblPr>
      <w:tblGrid>
        <w:gridCol w:w="1642"/>
        <w:gridCol w:w="1524"/>
        <w:gridCol w:w="1679"/>
        <w:gridCol w:w="3983"/>
      </w:tblGrid>
      <w:tr w:rsidR="00DF77D2" w:rsidRPr="00791593" w14:paraId="539C4854" w14:textId="77777777" w:rsidTr="00DF77D2">
        <w:tc>
          <w:tcPr>
            <w:tcW w:w="930" w:type="pct"/>
            <w:shd w:val="clear" w:color="auto" w:fill="C4BC96"/>
            <w:vAlign w:val="center"/>
          </w:tcPr>
          <w:p w14:paraId="7577B198" w14:textId="77777777" w:rsidR="00DF77D2" w:rsidRPr="00791593" w:rsidRDefault="00DF77D2" w:rsidP="00DF77D2">
            <w:pPr>
              <w:jc w:val="center"/>
              <w:rPr>
                <w:rFonts w:ascii="Arial" w:hAnsi="Arial" w:cs="Arial"/>
                <w:b/>
                <w:bCs/>
                <w:lang w:eastAsia="es-ES"/>
              </w:rPr>
            </w:pPr>
            <w:r w:rsidRPr="00791593">
              <w:rPr>
                <w:rFonts w:ascii="Arial" w:hAnsi="Arial" w:cs="Arial"/>
                <w:b/>
                <w:bCs/>
                <w:lang w:eastAsia="es-ES"/>
              </w:rPr>
              <w:t>Pruebas ofrecidas</w:t>
            </w:r>
          </w:p>
        </w:tc>
        <w:tc>
          <w:tcPr>
            <w:tcW w:w="863" w:type="pct"/>
            <w:shd w:val="clear" w:color="auto" w:fill="C4BC96"/>
            <w:vAlign w:val="center"/>
          </w:tcPr>
          <w:p w14:paraId="0BE510E7" w14:textId="77777777" w:rsidR="00DF77D2" w:rsidRPr="00791593" w:rsidRDefault="00DF77D2" w:rsidP="00DF77D2">
            <w:pPr>
              <w:jc w:val="center"/>
              <w:rPr>
                <w:rFonts w:ascii="Arial" w:hAnsi="Arial" w:cs="Arial"/>
                <w:b/>
                <w:bCs/>
                <w:lang w:eastAsia="es-ES"/>
              </w:rPr>
            </w:pPr>
            <w:r w:rsidRPr="00791593">
              <w:rPr>
                <w:rFonts w:ascii="Arial" w:hAnsi="Arial" w:cs="Arial"/>
                <w:b/>
                <w:bCs/>
                <w:lang w:eastAsia="es-ES"/>
              </w:rPr>
              <w:t>Pretensión del oferente</w:t>
            </w:r>
          </w:p>
        </w:tc>
        <w:tc>
          <w:tcPr>
            <w:tcW w:w="951" w:type="pct"/>
            <w:shd w:val="clear" w:color="auto" w:fill="C4BC96"/>
            <w:vAlign w:val="center"/>
          </w:tcPr>
          <w:p w14:paraId="6DC62AFB" w14:textId="77777777" w:rsidR="00DF77D2" w:rsidRPr="00791593" w:rsidRDefault="00DF77D2" w:rsidP="00DF77D2">
            <w:pPr>
              <w:jc w:val="center"/>
              <w:rPr>
                <w:rFonts w:ascii="Arial" w:hAnsi="Arial" w:cs="Arial"/>
                <w:b/>
                <w:bCs/>
                <w:lang w:eastAsia="es-ES"/>
              </w:rPr>
            </w:pPr>
            <w:r w:rsidRPr="00791593">
              <w:rPr>
                <w:rFonts w:ascii="Arial" w:hAnsi="Arial" w:cs="Arial"/>
                <w:b/>
                <w:bCs/>
                <w:lang w:eastAsia="es-ES"/>
              </w:rPr>
              <w:t>Valoración de la prueba</w:t>
            </w:r>
          </w:p>
        </w:tc>
        <w:tc>
          <w:tcPr>
            <w:tcW w:w="2256" w:type="pct"/>
            <w:shd w:val="clear" w:color="auto" w:fill="C4BC96"/>
            <w:vAlign w:val="center"/>
          </w:tcPr>
          <w:p w14:paraId="666BE0CF" w14:textId="77777777" w:rsidR="00DF77D2" w:rsidRPr="00791593" w:rsidRDefault="00DF77D2" w:rsidP="00DF77D2">
            <w:pPr>
              <w:ind w:left="35"/>
              <w:jc w:val="center"/>
              <w:rPr>
                <w:rFonts w:ascii="Arial" w:hAnsi="Arial" w:cs="Arial"/>
                <w:b/>
                <w:bCs/>
                <w:lang w:eastAsia="es-ES"/>
              </w:rPr>
            </w:pPr>
            <w:r w:rsidRPr="00791593">
              <w:rPr>
                <w:rFonts w:ascii="Arial" w:hAnsi="Arial" w:cs="Arial"/>
                <w:b/>
                <w:bCs/>
                <w:lang w:eastAsia="es-ES"/>
              </w:rPr>
              <w:t>Motivación de la Sala Regional</w:t>
            </w:r>
          </w:p>
        </w:tc>
      </w:tr>
      <w:tr w:rsidR="00DF77D2" w:rsidRPr="00791593" w14:paraId="03ED3BA5" w14:textId="77777777" w:rsidTr="004D6EB2">
        <w:trPr>
          <w:trHeight w:val="3780"/>
        </w:trPr>
        <w:tc>
          <w:tcPr>
            <w:tcW w:w="930" w:type="pct"/>
            <w:vAlign w:val="center"/>
          </w:tcPr>
          <w:p w14:paraId="2D8FA445" w14:textId="77777777" w:rsidR="00DF77D2" w:rsidRPr="00791593" w:rsidRDefault="00DF77D2" w:rsidP="00DF77D2">
            <w:pPr>
              <w:jc w:val="center"/>
              <w:rPr>
                <w:rFonts w:ascii="Arial" w:hAnsi="Arial" w:cs="Arial"/>
                <w:bCs/>
                <w:lang w:eastAsia="es-ES"/>
              </w:rPr>
            </w:pPr>
            <w:r w:rsidRPr="00791593">
              <w:rPr>
                <w:rFonts w:ascii="Arial" w:hAnsi="Arial" w:cs="Arial"/>
                <w:bCs/>
                <w:lang w:eastAsia="es-ES"/>
              </w:rPr>
              <w:t>46 fotografías</w:t>
            </w:r>
          </w:p>
        </w:tc>
        <w:tc>
          <w:tcPr>
            <w:tcW w:w="863" w:type="pct"/>
            <w:vAlign w:val="center"/>
          </w:tcPr>
          <w:p w14:paraId="7A9DB82A" w14:textId="77777777" w:rsidR="00DF77D2" w:rsidRPr="00791593" w:rsidRDefault="00DF77D2" w:rsidP="00DF77D2">
            <w:pPr>
              <w:jc w:val="center"/>
              <w:rPr>
                <w:rFonts w:ascii="Arial" w:hAnsi="Arial" w:cs="Arial"/>
                <w:bCs/>
                <w:lang w:eastAsia="es-ES"/>
              </w:rPr>
            </w:pPr>
            <w:r w:rsidRPr="00791593">
              <w:rPr>
                <w:rFonts w:ascii="Arial" w:hAnsi="Arial" w:cs="Arial"/>
                <w:bCs/>
                <w:lang w:eastAsia="es-ES"/>
              </w:rPr>
              <w:t>Demostrar la inducción al voto por parte de la planilla ganadora</w:t>
            </w:r>
          </w:p>
          <w:p w14:paraId="0FAF1FF1" w14:textId="77777777" w:rsidR="00DF77D2" w:rsidRPr="00791593" w:rsidRDefault="00DF77D2" w:rsidP="00DF77D2">
            <w:pPr>
              <w:jc w:val="center"/>
              <w:rPr>
                <w:rFonts w:ascii="Arial" w:hAnsi="Arial" w:cs="Arial"/>
                <w:bCs/>
                <w:lang w:eastAsia="es-ES"/>
              </w:rPr>
            </w:pPr>
            <w:r w:rsidRPr="00791593">
              <w:rPr>
                <w:rFonts w:ascii="Arial" w:hAnsi="Arial" w:cs="Arial"/>
                <w:bCs/>
                <w:lang w:eastAsia="es-ES"/>
              </w:rPr>
              <w:t>planilla azul)</w:t>
            </w:r>
          </w:p>
        </w:tc>
        <w:tc>
          <w:tcPr>
            <w:tcW w:w="951" w:type="pct"/>
            <w:vAlign w:val="center"/>
          </w:tcPr>
          <w:p w14:paraId="4C691D9E" w14:textId="77777777" w:rsidR="00DF77D2" w:rsidRPr="00791593" w:rsidRDefault="00DF77D2" w:rsidP="00DF77D2">
            <w:pPr>
              <w:jc w:val="center"/>
              <w:rPr>
                <w:rFonts w:ascii="Arial" w:hAnsi="Arial" w:cs="Arial"/>
                <w:bCs/>
                <w:lang w:eastAsia="es-ES"/>
              </w:rPr>
            </w:pPr>
            <w:r w:rsidRPr="00791593">
              <w:rPr>
                <w:rFonts w:ascii="Arial" w:hAnsi="Arial" w:cs="Arial"/>
                <w:bCs/>
                <w:lang w:eastAsia="es-ES"/>
              </w:rPr>
              <w:t>No pueden valorarse</w:t>
            </w:r>
          </w:p>
        </w:tc>
        <w:tc>
          <w:tcPr>
            <w:tcW w:w="2256" w:type="pct"/>
            <w:vAlign w:val="center"/>
          </w:tcPr>
          <w:p w14:paraId="77A211A8" w14:textId="77777777" w:rsidR="00DF77D2" w:rsidRPr="00791593" w:rsidRDefault="00DF77D2" w:rsidP="008D1689">
            <w:pPr>
              <w:numPr>
                <w:ilvl w:val="0"/>
                <w:numId w:val="2"/>
              </w:numPr>
              <w:tabs>
                <w:tab w:val="left" w:pos="175"/>
              </w:tabs>
              <w:ind w:left="35"/>
              <w:jc w:val="both"/>
              <w:rPr>
                <w:rFonts w:ascii="Arial" w:hAnsi="Arial" w:cs="Arial"/>
                <w:bCs/>
                <w:lang w:eastAsia="es-ES"/>
              </w:rPr>
            </w:pPr>
            <w:r w:rsidRPr="00791593">
              <w:rPr>
                <w:rFonts w:ascii="Arial" w:hAnsi="Arial" w:cs="Arial"/>
                <w:bCs/>
                <w:lang w:eastAsia="es-ES"/>
              </w:rPr>
              <w:t>Las fotografías aportadas no generan convicción sobre la irregularidad que se pretende demostrar</w:t>
            </w:r>
          </w:p>
          <w:p w14:paraId="1F8C6361" w14:textId="77777777" w:rsidR="00DF77D2" w:rsidRPr="00791593" w:rsidRDefault="00DF77D2" w:rsidP="008D1689">
            <w:pPr>
              <w:numPr>
                <w:ilvl w:val="0"/>
                <w:numId w:val="2"/>
              </w:numPr>
              <w:tabs>
                <w:tab w:val="left" w:pos="175"/>
              </w:tabs>
              <w:ind w:left="35"/>
              <w:jc w:val="both"/>
              <w:rPr>
                <w:rFonts w:ascii="Arial" w:hAnsi="Arial" w:cs="Arial"/>
                <w:bCs/>
                <w:lang w:eastAsia="es-ES"/>
              </w:rPr>
            </w:pPr>
            <w:r w:rsidRPr="00791593">
              <w:rPr>
                <w:rFonts w:ascii="Arial" w:hAnsi="Arial" w:cs="Arial"/>
                <w:bCs/>
                <w:lang w:eastAsia="es-ES"/>
              </w:rPr>
              <w:t>El actor debió determinar las circunstancias de modo, tiempo y lugar de la prueba</w:t>
            </w:r>
          </w:p>
          <w:p w14:paraId="67CD31C4" w14:textId="77777777" w:rsidR="00DF77D2" w:rsidRPr="00791593" w:rsidRDefault="00DF77D2" w:rsidP="008D1689">
            <w:pPr>
              <w:numPr>
                <w:ilvl w:val="0"/>
                <w:numId w:val="2"/>
              </w:numPr>
              <w:tabs>
                <w:tab w:val="left" w:pos="175"/>
              </w:tabs>
              <w:ind w:left="35"/>
              <w:jc w:val="both"/>
              <w:rPr>
                <w:rFonts w:ascii="Arial" w:hAnsi="Arial" w:cs="Arial"/>
                <w:bCs/>
                <w:lang w:eastAsia="es-ES"/>
              </w:rPr>
            </w:pPr>
            <w:r w:rsidRPr="00791593">
              <w:rPr>
                <w:rFonts w:ascii="Arial" w:hAnsi="Arial" w:cs="Arial"/>
                <w:bCs/>
                <w:lang w:eastAsia="es-ES"/>
              </w:rPr>
              <w:t>De las imágenes aportadas no se deducen tales circunstancias</w:t>
            </w:r>
          </w:p>
          <w:p w14:paraId="45FB0884" w14:textId="77777777" w:rsidR="00DF77D2" w:rsidRPr="00791593" w:rsidRDefault="00DF77D2" w:rsidP="008D1689">
            <w:pPr>
              <w:numPr>
                <w:ilvl w:val="0"/>
                <w:numId w:val="2"/>
              </w:numPr>
              <w:tabs>
                <w:tab w:val="left" w:pos="175"/>
              </w:tabs>
              <w:ind w:left="35"/>
              <w:jc w:val="both"/>
              <w:rPr>
                <w:rFonts w:ascii="Arial" w:hAnsi="Arial" w:cs="Arial"/>
                <w:bCs/>
                <w:lang w:eastAsia="es-ES"/>
              </w:rPr>
            </w:pPr>
            <w:r w:rsidRPr="00791593">
              <w:rPr>
                <w:rFonts w:ascii="Arial" w:hAnsi="Arial" w:cs="Arial"/>
                <w:bCs/>
                <w:lang w:eastAsia="es-ES"/>
              </w:rPr>
              <w:t>Era necesario adminicular la prueba con otros elementos que hicieran verificables tales circunstancias</w:t>
            </w:r>
          </w:p>
          <w:p w14:paraId="4A828166" w14:textId="77777777" w:rsidR="00DF77D2" w:rsidRPr="00791593" w:rsidRDefault="00DF77D2" w:rsidP="008D1689">
            <w:pPr>
              <w:numPr>
                <w:ilvl w:val="0"/>
                <w:numId w:val="2"/>
              </w:numPr>
              <w:tabs>
                <w:tab w:val="left" w:pos="175"/>
              </w:tabs>
              <w:ind w:left="35"/>
              <w:jc w:val="both"/>
              <w:rPr>
                <w:rFonts w:ascii="Arial" w:hAnsi="Arial" w:cs="Arial"/>
                <w:bCs/>
                <w:lang w:eastAsia="es-ES"/>
              </w:rPr>
            </w:pPr>
            <w:r w:rsidRPr="00791593">
              <w:rPr>
                <w:rFonts w:ascii="Arial" w:hAnsi="Arial" w:cs="Arial"/>
                <w:bCs/>
                <w:lang w:eastAsia="es-ES"/>
              </w:rPr>
              <w:t>Aun haciendo un ejercicio descriptivo de las fotografías resulta imposible determinar, por ejemplo, la fecha y el lugar al que corresponden</w:t>
            </w:r>
          </w:p>
          <w:p w14:paraId="0BAB10E8" w14:textId="77777777" w:rsidR="00DF77D2" w:rsidRPr="00791593" w:rsidRDefault="00DF77D2" w:rsidP="00DF77D2">
            <w:pPr>
              <w:tabs>
                <w:tab w:val="left" w:pos="175"/>
              </w:tabs>
              <w:ind w:firstLine="709"/>
              <w:jc w:val="both"/>
              <w:rPr>
                <w:rFonts w:ascii="Arial" w:hAnsi="Arial" w:cs="Arial"/>
                <w:bCs/>
                <w:lang w:eastAsia="es-ES"/>
              </w:rPr>
            </w:pPr>
          </w:p>
          <w:p w14:paraId="3CB44882" w14:textId="77777777" w:rsidR="00DF77D2" w:rsidRPr="00791593" w:rsidRDefault="00DF77D2" w:rsidP="00DF77D2">
            <w:pPr>
              <w:tabs>
                <w:tab w:val="left" w:pos="175"/>
              </w:tabs>
              <w:ind w:firstLine="709"/>
              <w:jc w:val="both"/>
              <w:rPr>
                <w:rFonts w:ascii="Arial" w:hAnsi="Arial" w:cs="Arial"/>
                <w:bCs/>
                <w:lang w:eastAsia="es-ES"/>
              </w:rPr>
            </w:pPr>
          </w:p>
          <w:p w14:paraId="6B4E6DDA" w14:textId="77777777" w:rsidR="00DF77D2" w:rsidRPr="00791593" w:rsidRDefault="00DF77D2" w:rsidP="00DF77D2">
            <w:pPr>
              <w:tabs>
                <w:tab w:val="left" w:pos="175"/>
              </w:tabs>
              <w:ind w:firstLine="709"/>
              <w:jc w:val="both"/>
              <w:rPr>
                <w:rFonts w:ascii="Arial" w:hAnsi="Arial" w:cs="Arial"/>
                <w:bCs/>
                <w:lang w:eastAsia="es-ES"/>
              </w:rPr>
            </w:pPr>
          </w:p>
          <w:p w14:paraId="3AD9411A" w14:textId="77777777" w:rsidR="00DF77D2" w:rsidRPr="00791593" w:rsidRDefault="00DF77D2" w:rsidP="00DF77D2">
            <w:pPr>
              <w:tabs>
                <w:tab w:val="left" w:pos="175"/>
              </w:tabs>
              <w:ind w:firstLine="709"/>
              <w:jc w:val="both"/>
              <w:rPr>
                <w:rFonts w:ascii="Arial" w:hAnsi="Arial" w:cs="Arial"/>
                <w:bCs/>
                <w:lang w:eastAsia="es-ES"/>
              </w:rPr>
            </w:pPr>
          </w:p>
          <w:p w14:paraId="3BA3547E" w14:textId="77777777" w:rsidR="00DF77D2" w:rsidRPr="00791593" w:rsidRDefault="00DF77D2" w:rsidP="00DF77D2">
            <w:pPr>
              <w:tabs>
                <w:tab w:val="left" w:pos="175"/>
              </w:tabs>
              <w:ind w:firstLine="709"/>
              <w:jc w:val="both"/>
              <w:rPr>
                <w:rFonts w:ascii="Arial" w:hAnsi="Arial" w:cs="Arial"/>
                <w:bCs/>
                <w:lang w:eastAsia="es-ES"/>
              </w:rPr>
            </w:pPr>
          </w:p>
        </w:tc>
      </w:tr>
      <w:tr w:rsidR="00DF77D2" w:rsidRPr="00791593" w14:paraId="57414B4F" w14:textId="77777777" w:rsidTr="00DF77D2">
        <w:tc>
          <w:tcPr>
            <w:tcW w:w="930" w:type="pct"/>
            <w:shd w:val="clear" w:color="auto" w:fill="C4BC96"/>
            <w:vAlign w:val="center"/>
          </w:tcPr>
          <w:p w14:paraId="3F15E290" w14:textId="77777777" w:rsidR="00DF77D2" w:rsidRPr="00791593" w:rsidRDefault="00DF77D2" w:rsidP="00DF77D2">
            <w:pPr>
              <w:jc w:val="center"/>
              <w:rPr>
                <w:rFonts w:ascii="Arial" w:hAnsi="Arial" w:cs="Arial"/>
                <w:b/>
                <w:bCs/>
                <w:lang w:eastAsia="es-ES"/>
              </w:rPr>
            </w:pPr>
            <w:r w:rsidRPr="00791593">
              <w:rPr>
                <w:rFonts w:ascii="Arial" w:hAnsi="Arial" w:cs="Arial"/>
                <w:b/>
                <w:bCs/>
                <w:lang w:eastAsia="es-ES"/>
              </w:rPr>
              <w:lastRenderedPageBreak/>
              <w:t>Pruebas ofrecidas</w:t>
            </w:r>
          </w:p>
        </w:tc>
        <w:tc>
          <w:tcPr>
            <w:tcW w:w="863" w:type="pct"/>
            <w:shd w:val="clear" w:color="auto" w:fill="C4BC96"/>
            <w:vAlign w:val="center"/>
          </w:tcPr>
          <w:p w14:paraId="45A17BF0" w14:textId="77777777" w:rsidR="00DF77D2" w:rsidRPr="00791593" w:rsidRDefault="00DF77D2" w:rsidP="00DF77D2">
            <w:pPr>
              <w:jc w:val="center"/>
              <w:rPr>
                <w:rFonts w:ascii="Arial" w:hAnsi="Arial" w:cs="Arial"/>
                <w:b/>
                <w:bCs/>
                <w:lang w:eastAsia="es-ES"/>
              </w:rPr>
            </w:pPr>
            <w:r w:rsidRPr="00791593">
              <w:rPr>
                <w:rFonts w:ascii="Arial" w:hAnsi="Arial" w:cs="Arial"/>
                <w:b/>
                <w:bCs/>
                <w:lang w:eastAsia="es-ES"/>
              </w:rPr>
              <w:t>Pretensión del oferente</w:t>
            </w:r>
          </w:p>
        </w:tc>
        <w:tc>
          <w:tcPr>
            <w:tcW w:w="951" w:type="pct"/>
            <w:shd w:val="clear" w:color="auto" w:fill="C4BC96"/>
            <w:vAlign w:val="center"/>
          </w:tcPr>
          <w:p w14:paraId="5F1C86EB" w14:textId="77777777" w:rsidR="00DF77D2" w:rsidRPr="00791593" w:rsidRDefault="00DF77D2" w:rsidP="00DF77D2">
            <w:pPr>
              <w:jc w:val="center"/>
              <w:rPr>
                <w:rFonts w:ascii="Arial" w:hAnsi="Arial" w:cs="Arial"/>
                <w:b/>
                <w:bCs/>
                <w:lang w:eastAsia="es-ES"/>
              </w:rPr>
            </w:pPr>
            <w:r w:rsidRPr="00791593">
              <w:rPr>
                <w:rFonts w:ascii="Arial" w:hAnsi="Arial" w:cs="Arial"/>
                <w:b/>
                <w:bCs/>
                <w:lang w:eastAsia="es-ES"/>
              </w:rPr>
              <w:t>Valoración de la prueba</w:t>
            </w:r>
          </w:p>
        </w:tc>
        <w:tc>
          <w:tcPr>
            <w:tcW w:w="2256" w:type="pct"/>
            <w:shd w:val="clear" w:color="auto" w:fill="C4BC96"/>
            <w:vAlign w:val="center"/>
          </w:tcPr>
          <w:p w14:paraId="6470D251" w14:textId="77777777" w:rsidR="00DF77D2" w:rsidRPr="00791593" w:rsidRDefault="00DF77D2" w:rsidP="00DF77D2">
            <w:pPr>
              <w:ind w:left="35"/>
              <w:jc w:val="center"/>
              <w:rPr>
                <w:rFonts w:ascii="Arial" w:hAnsi="Arial" w:cs="Arial"/>
                <w:b/>
                <w:bCs/>
                <w:lang w:eastAsia="es-ES"/>
              </w:rPr>
            </w:pPr>
            <w:r w:rsidRPr="00791593">
              <w:rPr>
                <w:rFonts w:ascii="Arial" w:hAnsi="Arial" w:cs="Arial"/>
                <w:b/>
                <w:bCs/>
                <w:lang w:eastAsia="es-ES"/>
              </w:rPr>
              <w:t>Motivación de la Sala Regional</w:t>
            </w:r>
          </w:p>
        </w:tc>
      </w:tr>
      <w:tr w:rsidR="00DF77D2" w:rsidRPr="00791593" w14:paraId="11871673" w14:textId="77777777" w:rsidTr="004D6EB2">
        <w:tc>
          <w:tcPr>
            <w:tcW w:w="930" w:type="pct"/>
            <w:vAlign w:val="center"/>
          </w:tcPr>
          <w:p w14:paraId="7EF30663" w14:textId="77777777" w:rsidR="00DF77D2" w:rsidRPr="00791593" w:rsidRDefault="00DF77D2" w:rsidP="00DF77D2">
            <w:pPr>
              <w:jc w:val="center"/>
              <w:rPr>
                <w:rFonts w:ascii="Arial" w:hAnsi="Arial" w:cs="Arial"/>
                <w:bCs/>
                <w:lang w:eastAsia="es-ES"/>
              </w:rPr>
            </w:pPr>
            <w:r w:rsidRPr="00791593">
              <w:rPr>
                <w:rFonts w:ascii="Arial" w:hAnsi="Arial" w:cs="Arial"/>
                <w:bCs/>
                <w:lang w:eastAsia="es-ES"/>
              </w:rPr>
              <w:t>14 escritos de ciudadanos</w:t>
            </w:r>
          </w:p>
        </w:tc>
        <w:tc>
          <w:tcPr>
            <w:tcW w:w="863" w:type="pct"/>
            <w:vMerge w:val="restart"/>
            <w:vAlign w:val="center"/>
          </w:tcPr>
          <w:p w14:paraId="4C490B5C" w14:textId="77777777" w:rsidR="00DF77D2" w:rsidRPr="00791593" w:rsidRDefault="00DF77D2" w:rsidP="00DF77D2">
            <w:pPr>
              <w:jc w:val="center"/>
              <w:rPr>
                <w:rFonts w:ascii="Arial" w:hAnsi="Arial" w:cs="Arial"/>
                <w:bCs/>
                <w:lang w:eastAsia="es-ES"/>
              </w:rPr>
            </w:pPr>
            <w:r w:rsidRPr="00791593">
              <w:rPr>
                <w:rFonts w:ascii="Arial" w:hAnsi="Arial" w:cs="Arial"/>
                <w:bCs/>
                <w:lang w:eastAsia="es-ES"/>
              </w:rPr>
              <w:t xml:space="preserve">Demostrar la inducción al voto por parte de la planilla ganadora </w:t>
            </w:r>
          </w:p>
          <w:p w14:paraId="2945AAF4" w14:textId="77777777" w:rsidR="00DF77D2" w:rsidRPr="00791593" w:rsidRDefault="00DF77D2" w:rsidP="00DF77D2">
            <w:pPr>
              <w:jc w:val="center"/>
              <w:rPr>
                <w:rFonts w:ascii="Arial" w:hAnsi="Arial" w:cs="Arial"/>
                <w:bCs/>
                <w:lang w:eastAsia="es-ES"/>
              </w:rPr>
            </w:pPr>
            <w:r w:rsidRPr="00791593">
              <w:rPr>
                <w:rFonts w:ascii="Arial" w:hAnsi="Arial" w:cs="Arial"/>
                <w:bCs/>
                <w:lang w:eastAsia="es-ES"/>
              </w:rPr>
              <w:t>(planilla azul)</w:t>
            </w:r>
          </w:p>
        </w:tc>
        <w:tc>
          <w:tcPr>
            <w:tcW w:w="951" w:type="pct"/>
            <w:vAlign w:val="center"/>
          </w:tcPr>
          <w:p w14:paraId="70BC2702" w14:textId="77777777" w:rsidR="00DF77D2" w:rsidRPr="00791593" w:rsidRDefault="00DF77D2" w:rsidP="00DF77D2">
            <w:pPr>
              <w:jc w:val="center"/>
              <w:rPr>
                <w:rFonts w:ascii="Arial" w:hAnsi="Arial" w:cs="Arial"/>
                <w:bCs/>
                <w:lang w:eastAsia="es-ES"/>
              </w:rPr>
            </w:pPr>
            <w:r w:rsidRPr="00791593">
              <w:rPr>
                <w:rFonts w:ascii="Arial" w:hAnsi="Arial" w:cs="Arial"/>
                <w:bCs/>
                <w:lang w:eastAsia="es-ES"/>
              </w:rPr>
              <w:t>No pueden valorase</w:t>
            </w:r>
          </w:p>
        </w:tc>
        <w:tc>
          <w:tcPr>
            <w:tcW w:w="2256" w:type="pct"/>
            <w:vAlign w:val="center"/>
          </w:tcPr>
          <w:p w14:paraId="7D3165CB" w14:textId="77777777" w:rsidR="00DF77D2" w:rsidRPr="00791593" w:rsidRDefault="00DF77D2" w:rsidP="008D1689">
            <w:pPr>
              <w:numPr>
                <w:ilvl w:val="0"/>
                <w:numId w:val="2"/>
              </w:numPr>
              <w:tabs>
                <w:tab w:val="left" w:pos="175"/>
              </w:tabs>
              <w:ind w:left="35"/>
              <w:jc w:val="both"/>
              <w:rPr>
                <w:rFonts w:ascii="Arial" w:hAnsi="Arial" w:cs="Arial"/>
                <w:bCs/>
                <w:lang w:eastAsia="es-ES"/>
              </w:rPr>
            </w:pPr>
            <w:r w:rsidRPr="00791593">
              <w:rPr>
                <w:rFonts w:ascii="Arial" w:hAnsi="Arial" w:cs="Arial"/>
                <w:bCs/>
                <w:lang w:eastAsia="es-ES"/>
              </w:rPr>
              <w:t>Los escritos son solo manifestaciones unilaterales de los suscriptores</w:t>
            </w:r>
          </w:p>
          <w:p w14:paraId="6B1B1681" w14:textId="77777777" w:rsidR="00DF77D2" w:rsidRPr="00791593" w:rsidRDefault="00DF77D2" w:rsidP="008D1689">
            <w:pPr>
              <w:numPr>
                <w:ilvl w:val="0"/>
                <w:numId w:val="2"/>
              </w:numPr>
              <w:tabs>
                <w:tab w:val="left" w:pos="175"/>
              </w:tabs>
              <w:ind w:left="35"/>
              <w:jc w:val="both"/>
              <w:rPr>
                <w:rFonts w:ascii="Arial" w:hAnsi="Arial" w:cs="Arial"/>
                <w:bCs/>
                <w:lang w:eastAsia="es-ES"/>
              </w:rPr>
            </w:pPr>
            <w:r w:rsidRPr="00791593">
              <w:rPr>
                <w:rFonts w:ascii="Arial" w:hAnsi="Arial" w:cs="Arial"/>
                <w:bCs/>
                <w:lang w:eastAsia="es-ES"/>
              </w:rPr>
              <w:t>No consta a quién se dirigieron ni si fueron recibidos por autoridad alguna</w:t>
            </w:r>
          </w:p>
          <w:p w14:paraId="093B3326" w14:textId="77777777" w:rsidR="00DF77D2" w:rsidRPr="00791593" w:rsidRDefault="00DF77D2" w:rsidP="008D1689">
            <w:pPr>
              <w:numPr>
                <w:ilvl w:val="0"/>
                <w:numId w:val="2"/>
              </w:numPr>
              <w:tabs>
                <w:tab w:val="left" w:pos="175"/>
              </w:tabs>
              <w:ind w:left="35"/>
              <w:jc w:val="both"/>
              <w:rPr>
                <w:rFonts w:ascii="Arial" w:hAnsi="Arial" w:cs="Arial"/>
                <w:bCs/>
                <w:lang w:eastAsia="es-ES"/>
              </w:rPr>
            </w:pPr>
            <w:r w:rsidRPr="00791593">
              <w:rPr>
                <w:rFonts w:ascii="Arial" w:hAnsi="Arial" w:cs="Arial"/>
                <w:bCs/>
                <w:lang w:eastAsia="es-ES"/>
              </w:rPr>
              <w:t>Por su naturaleza, tales escritos sólo pueden tratarse como testimonios, por consistir en hechos presenciados por terceros</w:t>
            </w:r>
          </w:p>
          <w:p w14:paraId="3F25FC04" w14:textId="77777777" w:rsidR="00DF77D2" w:rsidRPr="00791593" w:rsidRDefault="00DF77D2" w:rsidP="008D1689">
            <w:pPr>
              <w:numPr>
                <w:ilvl w:val="0"/>
                <w:numId w:val="2"/>
              </w:numPr>
              <w:tabs>
                <w:tab w:val="left" w:pos="175"/>
              </w:tabs>
              <w:ind w:left="35"/>
              <w:jc w:val="both"/>
              <w:rPr>
                <w:rFonts w:ascii="Arial" w:hAnsi="Arial" w:cs="Arial"/>
                <w:bCs/>
                <w:lang w:eastAsia="es-ES"/>
              </w:rPr>
            </w:pPr>
            <w:r w:rsidRPr="00791593">
              <w:rPr>
                <w:rFonts w:ascii="Arial" w:hAnsi="Arial" w:cs="Arial"/>
                <w:bCs/>
                <w:lang w:eastAsia="es-ES"/>
              </w:rPr>
              <w:t>No pueden perfeccionarse como testimonial porque no cumplen el requisito de formalidad que se requiere, esto es, ser ofrecidos en acta levantada ante fedatario público que reciba directamente el testimonio</w:t>
            </w:r>
          </w:p>
          <w:p w14:paraId="2F41FCAC" w14:textId="77777777" w:rsidR="00DF77D2" w:rsidRPr="00791593" w:rsidRDefault="00DF77D2" w:rsidP="008D1689">
            <w:pPr>
              <w:numPr>
                <w:ilvl w:val="0"/>
                <w:numId w:val="2"/>
              </w:numPr>
              <w:tabs>
                <w:tab w:val="left" w:pos="175"/>
              </w:tabs>
              <w:ind w:left="35"/>
              <w:jc w:val="both"/>
              <w:rPr>
                <w:rFonts w:ascii="Arial" w:hAnsi="Arial" w:cs="Arial"/>
                <w:bCs/>
                <w:lang w:eastAsia="es-ES"/>
              </w:rPr>
            </w:pPr>
            <w:r w:rsidRPr="00791593">
              <w:rPr>
                <w:rFonts w:ascii="Arial" w:hAnsi="Arial" w:cs="Arial"/>
                <w:bCs/>
                <w:lang w:eastAsia="es-ES"/>
              </w:rPr>
              <w:t>Aunque son ofrecidas en copias certificadas por notario público únicamente constatan que dicho notario público tuvo a la vista los originales de tales escritos y no la declaración misma</w:t>
            </w:r>
          </w:p>
        </w:tc>
      </w:tr>
      <w:tr w:rsidR="00DF77D2" w:rsidRPr="00791593" w14:paraId="7AD2A13C" w14:textId="77777777" w:rsidTr="004D6EB2">
        <w:tc>
          <w:tcPr>
            <w:tcW w:w="930" w:type="pct"/>
            <w:vAlign w:val="center"/>
          </w:tcPr>
          <w:p w14:paraId="0674E397" w14:textId="77777777" w:rsidR="00DF77D2" w:rsidRPr="00791593" w:rsidRDefault="00DF77D2" w:rsidP="00DF77D2">
            <w:pPr>
              <w:jc w:val="center"/>
              <w:rPr>
                <w:rFonts w:ascii="Arial" w:hAnsi="Arial" w:cs="Arial"/>
                <w:bCs/>
                <w:lang w:eastAsia="es-ES"/>
              </w:rPr>
            </w:pPr>
            <w:r w:rsidRPr="00791593">
              <w:rPr>
                <w:rFonts w:ascii="Arial" w:hAnsi="Arial" w:cs="Arial"/>
                <w:bCs/>
                <w:lang w:eastAsia="es-ES"/>
              </w:rPr>
              <w:t>2 escritos de incidentes de las planillas amarilla y azul</w:t>
            </w:r>
          </w:p>
        </w:tc>
        <w:tc>
          <w:tcPr>
            <w:tcW w:w="863" w:type="pct"/>
            <w:vMerge/>
            <w:vAlign w:val="center"/>
          </w:tcPr>
          <w:p w14:paraId="4D4BD8F8" w14:textId="77777777" w:rsidR="00DF77D2" w:rsidRPr="00791593" w:rsidRDefault="00DF77D2" w:rsidP="00DF77D2">
            <w:pPr>
              <w:jc w:val="center"/>
              <w:rPr>
                <w:rFonts w:ascii="Arial" w:hAnsi="Arial" w:cs="Arial"/>
                <w:bCs/>
                <w:lang w:eastAsia="es-ES"/>
              </w:rPr>
            </w:pPr>
          </w:p>
        </w:tc>
        <w:tc>
          <w:tcPr>
            <w:tcW w:w="951" w:type="pct"/>
            <w:vAlign w:val="center"/>
          </w:tcPr>
          <w:p w14:paraId="71CF7603" w14:textId="77777777" w:rsidR="00DF77D2" w:rsidRPr="00791593" w:rsidRDefault="00DF77D2" w:rsidP="00DF77D2">
            <w:pPr>
              <w:jc w:val="center"/>
              <w:rPr>
                <w:rFonts w:ascii="Arial" w:hAnsi="Arial" w:cs="Arial"/>
                <w:bCs/>
                <w:lang w:eastAsia="es-ES"/>
              </w:rPr>
            </w:pPr>
            <w:r w:rsidRPr="00791593">
              <w:rPr>
                <w:rFonts w:ascii="Arial" w:hAnsi="Arial" w:cs="Arial"/>
                <w:bCs/>
                <w:lang w:eastAsia="es-ES"/>
              </w:rPr>
              <w:t>No pueden valorarse</w:t>
            </w:r>
          </w:p>
        </w:tc>
        <w:tc>
          <w:tcPr>
            <w:tcW w:w="2256" w:type="pct"/>
            <w:vAlign w:val="center"/>
          </w:tcPr>
          <w:p w14:paraId="3EEF3BB7" w14:textId="77777777" w:rsidR="00DF77D2" w:rsidRPr="00791593" w:rsidRDefault="00DF77D2" w:rsidP="008D1689">
            <w:pPr>
              <w:numPr>
                <w:ilvl w:val="0"/>
                <w:numId w:val="2"/>
              </w:numPr>
              <w:tabs>
                <w:tab w:val="left" w:pos="175"/>
              </w:tabs>
              <w:ind w:left="35"/>
              <w:jc w:val="both"/>
              <w:rPr>
                <w:rFonts w:ascii="Arial" w:hAnsi="Arial" w:cs="Arial"/>
                <w:bCs/>
                <w:lang w:eastAsia="es-ES"/>
              </w:rPr>
            </w:pPr>
            <w:r w:rsidRPr="00791593">
              <w:rPr>
                <w:rFonts w:ascii="Arial" w:hAnsi="Arial" w:cs="Arial"/>
                <w:bCs/>
                <w:lang w:eastAsia="es-ES"/>
              </w:rPr>
              <w:t>Si bien dejan constancia sobre hechos extraordinarios acontecidos dentro del desarrollo de los comicios, no se encuentran adminiculadas con algún otro elemento en el que obre la misma irregularidad</w:t>
            </w:r>
          </w:p>
        </w:tc>
      </w:tr>
    </w:tbl>
    <w:p w14:paraId="7D807F1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59999B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Con base en lo anterior, la responsable concluyó que las pruebas técnicas no podían analizarse sin las circunstancias de modo, tiempo y lugar de cada una de ellas, que los testimonios ofrecidos no cumplieron los requisitos formales que se establecían en las leyes y en lo tocante a los escritos de incidentes determinó que no eran aptos para demostrar </w:t>
      </w:r>
      <w:r w:rsidRPr="00791593">
        <w:rPr>
          <w:rFonts w:ascii="Arial" w:eastAsia="Times New Roman" w:hAnsi="Arial" w:cs="Arial"/>
          <w:bCs/>
          <w:sz w:val="28"/>
          <w:szCs w:val="28"/>
          <w:lang w:val="es-ES" w:eastAsia="es-ES"/>
        </w:rPr>
        <w:lastRenderedPageBreak/>
        <w:t>el dicho del demandante, al ser elementos únicos para probar irregularidades el día de la jornada, por lo que las pruebas carecían de valor y ni siquiera podían generar ni siquiera indicios sobre los supuestos hechos ocurridos.</w:t>
      </w:r>
    </w:p>
    <w:p w14:paraId="30AA9FA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CBC916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Como se advierte, la Sala Regional llegó a dos conclusiones generales: que los escritos de ciudadanos no estaban perfeccionados como testimoniales y que las demás pruebas no podían adminicularse con otras que acreditaran las mismas irregularidades, en el caso de las fotografías, porque se carecía de elementos de hecho para vincularlas y en el de los escritos incidentes porque los hechos que manifestaban no coincidían con las otras cuestiones a probar, razones por las que no les otorgó valor; sin embargo, es evidente que con dichas conclusiones, la responsable condicionó la valoración probatoria al estricto cumplimiento de las formalidades establecidas en la ley procesal electoral aplicable, por lo que se apartó de tomar en consideración la calidad de indígena del actor para flexibilizar las normas probatorias, en su caso, conforme a lo que se ha venido estableciendo en este asunto.</w:t>
      </w:r>
    </w:p>
    <w:p w14:paraId="0923094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02832C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consecuencia, si la Sala Regional decidió que determinados elementos de convicción carecían de valor probatorio dado que no se encontraban perfeccionados ante el incumplimiento de alguna formalidad en su presentación, entonces es claro que la aplicación de las reglas probatorias se realizó sin atender a la calidad del impugnante y a las normas constitucionales y convencionales que exigen aplicaciones de medidas especiales y flexibilización en la interpretación de normas procesales.</w:t>
      </w:r>
    </w:p>
    <w:p w14:paraId="4131B0E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A5D2E6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esta virtud, y toda vez que la calidad de indígena con la que se ostenta el ciudadano recurrente no se encuentran controvertida en la especie, la circunstancia de que la responsable no haya otorgado valor a las pruebas por carencia de requisitos de forma es contraria a los principios constitucionales y convencionales aludidos con antelación, pues en casos como el que se estudia, el juzgador debe contemplar una posición de flexibilidad y sólo requerir los elementos necesarios, indispensables e inexcusables para cada clase de prueba, no así formalidades que dificulten el acceso a la justicia a dichos grupos.</w:t>
      </w:r>
    </w:p>
    <w:p w14:paraId="53C9984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7E4CA5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Por ejemplo, el hecho de que las pruebas testimoniales no sean perfeccionadas ante un fedatario público, no debió impedir a la Sala Regional la valoración del contenido, porque tal exigencia, de acuerdo a la realidad cultural y social de los pueblos indígenas, claramente constituye una cuestión que escapa de las posibilidades del oferente y que no debe derivar en un perjuicio a su defensa.</w:t>
      </w:r>
    </w:p>
    <w:p w14:paraId="1F335BE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05A515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No se debe perder de vista que el derecho fundamental a la tutela jurisdiccional efectiva, prevista en el artículo 17 constitucional, tiene como presupuesto necesario la facilidad de acceso a los tribunales y superar las desventajas procesales en que se encuentran, por sus circunstancias culturales, económicas o sociales.</w:t>
      </w:r>
    </w:p>
    <w:p w14:paraId="73F03473" w14:textId="77777777" w:rsidR="00DF77D2" w:rsidRPr="00791593" w:rsidRDefault="00DF77D2" w:rsidP="00DF77D2">
      <w:pPr>
        <w:spacing w:after="0" w:line="360" w:lineRule="auto"/>
        <w:ind w:firstLine="709"/>
        <w:jc w:val="both"/>
        <w:rPr>
          <w:rFonts w:ascii="Arial" w:eastAsia="Times New Roman" w:hAnsi="Arial" w:cs="Arial"/>
          <w:b/>
          <w:bCs/>
          <w:i/>
          <w:strike/>
          <w:sz w:val="28"/>
          <w:szCs w:val="28"/>
          <w:lang w:val="es-ES" w:eastAsia="es-ES"/>
        </w:rPr>
      </w:pPr>
    </w:p>
    <w:p w14:paraId="61190D8C" w14:textId="77777777" w:rsidR="00DF77D2" w:rsidRPr="00791593" w:rsidRDefault="00DF77D2" w:rsidP="00DF77D2">
      <w:pPr>
        <w:spacing w:after="0" w:line="360" w:lineRule="auto"/>
        <w:ind w:firstLine="709"/>
        <w:jc w:val="both"/>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4. Valoración de pruebas con plenitud de jurisdicción</w:t>
      </w:r>
    </w:p>
    <w:p w14:paraId="192991B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AC916B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 xml:space="preserve">Establecido lo anterior, la Sala Superior determina analizar en plenitud de jurisdicción el expediente de la elección de concejales de San Juan Mixtepec, Juxtlahuaca, Oaxaca para valorar las pruebas ofrecidas por el recurrente. </w:t>
      </w:r>
    </w:p>
    <w:p w14:paraId="3F794B8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B52C31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primer lugar, se establecerá el marco normativo aplicable al caso en estudio; a continuación, se señalarán los hechos en torno al presente caso, esto es, cuáles fueron las pruebas ofrecidas y admitidas para resolver el asunto de trato y, por último, realizado lo anterior, se procederá al análisis y valoración de las pruebas en concreto.</w:t>
      </w:r>
    </w:p>
    <w:p w14:paraId="211450A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3661E8F" w14:textId="77777777" w:rsidR="00DF77D2" w:rsidRPr="00791593" w:rsidRDefault="00DF77D2" w:rsidP="008D1689">
      <w:pPr>
        <w:numPr>
          <w:ilvl w:val="0"/>
          <w:numId w:val="4"/>
        </w:numPr>
        <w:spacing w:after="0" w:line="360" w:lineRule="auto"/>
        <w:jc w:val="both"/>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Marco jurídico local de la valoración de las pruebas.</w:t>
      </w:r>
    </w:p>
    <w:p w14:paraId="1FAF274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D825B4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 fin de establecer una base normativa, es preciso detallar cuáles son los preceptos que cobran aplicación en el tema de la valoración de pruebas, los cuales se encuentran contenidos en la Ley del Sistema de Medios de Impugnación en Materia Electoral y de Participación Ciudadana para el Estado de Oaxaca</w:t>
      </w:r>
      <w:r w:rsidRPr="00791593">
        <w:rPr>
          <w:rFonts w:ascii="Arial" w:eastAsia="Times New Roman" w:hAnsi="Arial" w:cs="Arial"/>
          <w:bCs/>
          <w:sz w:val="28"/>
          <w:szCs w:val="28"/>
          <w:vertAlign w:val="superscript"/>
          <w:lang w:val="es-ES" w:eastAsia="es-ES"/>
        </w:rPr>
        <w:footnoteReference w:id="11"/>
      </w:r>
      <w:r w:rsidRPr="00791593">
        <w:rPr>
          <w:rFonts w:ascii="Arial" w:eastAsia="Times New Roman" w:hAnsi="Arial" w:cs="Arial"/>
          <w:bCs/>
          <w:sz w:val="20"/>
          <w:szCs w:val="20"/>
          <w:lang w:val="es-ES" w:eastAsia="es-ES"/>
        </w:rPr>
        <w:t>.</w:t>
      </w:r>
      <w:r w:rsidRPr="00791593">
        <w:rPr>
          <w:rFonts w:ascii="Arial" w:eastAsia="Times New Roman" w:hAnsi="Arial" w:cs="Arial"/>
          <w:bCs/>
          <w:sz w:val="28"/>
          <w:szCs w:val="28"/>
          <w:lang w:val="es-ES" w:eastAsia="es-ES"/>
        </w:rPr>
        <w:t xml:space="preserve"> </w:t>
      </w:r>
    </w:p>
    <w:p w14:paraId="2CF5A5F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b/>
      </w:r>
    </w:p>
    <w:p w14:paraId="66EDAEE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la mencionada ley adjetiva se establece que las pruebas que pueden ofrecerse y admitirse en los medios de impugnación previstos en la misma, pueden ser</w:t>
      </w:r>
      <w:r w:rsidRPr="00791593">
        <w:rPr>
          <w:rFonts w:ascii="Arial" w:eastAsia="Times New Roman" w:hAnsi="Arial" w:cs="Arial"/>
          <w:bCs/>
          <w:sz w:val="28"/>
          <w:szCs w:val="28"/>
          <w:vertAlign w:val="superscript"/>
          <w:lang w:val="es-ES" w:eastAsia="es-ES"/>
        </w:rPr>
        <w:footnoteReference w:id="12"/>
      </w:r>
      <w:r w:rsidRPr="00791593">
        <w:rPr>
          <w:rFonts w:ascii="Arial" w:eastAsia="Times New Roman" w:hAnsi="Arial" w:cs="Arial"/>
          <w:bCs/>
          <w:sz w:val="28"/>
          <w:szCs w:val="28"/>
          <w:lang w:val="es-ES" w:eastAsia="es-ES"/>
        </w:rPr>
        <w:t xml:space="preserve">: las documentales públicas y privadas, las pruebas técnicas, las presunciones legales y humanas, la instrumental </w:t>
      </w:r>
      <w:r w:rsidRPr="00791593">
        <w:rPr>
          <w:rFonts w:ascii="Arial" w:eastAsia="Times New Roman" w:hAnsi="Arial" w:cs="Arial"/>
          <w:bCs/>
          <w:sz w:val="28"/>
          <w:szCs w:val="28"/>
          <w:lang w:val="es-ES" w:eastAsia="es-ES"/>
        </w:rPr>
        <w:lastRenderedPageBreak/>
        <w:t>de actuaciones, la confesional y testimonial, y la prueba pericial; cada una de ellas bajo las características y reglas que en la misma ley se detallan.</w:t>
      </w:r>
    </w:p>
    <w:p w14:paraId="475BC58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6B4F427" w14:textId="77777777" w:rsidR="00DF77D2" w:rsidRPr="00791593" w:rsidRDefault="00DF77D2" w:rsidP="00DF77D2">
      <w:pPr>
        <w:spacing w:after="0" w:line="360" w:lineRule="auto"/>
        <w:ind w:firstLine="709"/>
        <w:jc w:val="both"/>
        <w:rPr>
          <w:rFonts w:ascii="Arial" w:eastAsia="Times New Roman" w:hAnsi="Arial" w:cs="Arial"/>
          <w:bCs/>
          <w:i/>
          <w:sz w:val="28"/>
          <w:szCs w:val="28"/>
          <w:lang w:val="es-ES" w:eastAsia="es-ES"/>
        </w:rPr>
      </w:pPr>
      <w:r w:rsidRPr="00791593">
        <w:rPr>
          <w:rFonts w:ascii="Arial" w:eastAsia="Times New Roman" w:hAnsi="Arial" w:cs="Arial"/>
          <w:bCs/>
          <w:sz w:val="28"/>
          <w:szCs w:val="28"/>
          <w:lang w:val="es-ES" w:eastAsia="es-ES"/>
        </w:rPr>
        <w:t xml:space="preserve">Así, se establece que serán documentales públicas: </w:t>
      </w:r>
      <w:r w:rsidRPr="00791593">
        <w:rPr>
          <w:rFonts w:ascii="Arial" w:eastAsia="Times New Roman" w:hAnsi="Arial" w:cs="Arial"/>
          <w:bCs/>
          <w:i/>
          <w:sz w:val="28"/>
          <w:szCs w:val="28"/>
          <w:lang w:val="es-ES" w:eastAsia="es-ES"/>
        </w:rPr>
        <w:t xml:space="preserve">“a) Las actas oficiales de las mesas directivas de casilla, así como las de los diferentes cómputos que consignen resultados electorales. Serán actas oficiales las originales, las copias autógrafas o las copias certificadas que deben constar en los expedientes de cada elección; b) Los demás documentos originales expedidos por los órganos o funcionarios electorales, dentro del ámbito de su competencia; c) Los documentos expedidos, dentro del ámbito de sus facultades, por las autoridades federales, estatales y municipales, y d) Los instrumentos públicos y documentos expedidos por quienes estén investidos de fe pública de acuerdo con la ley, siempre y cuando en ellos se consignen hechos que les consten”. </w:t>
      </w:r>
      <w:r w:rsidRPr="00791593">
        <w:rPr>
          <w:rFonts w:ascii="Arial" w:eastAsia="Times New Roman" w:hAnsi="Arial" w:cs="Arial"/>
          <w:bCs/>
          <w:sz w:val="28"/>
          <w:szCs w:val="28"/>
          <w:lang w:val="es-ES" w:eastAsia="es-ES"/>
        </w:rPr>
        <w:t xml:space="preserve">Por documentales privadas debe entenderse </w:t>
      </w:r>
      <w:r w:rsidRPr="00791593">
        <w:rPr>
          <w:rFonts w:ascii="Arial" w:eastAsia="Times New Roman" w:hAnsi="Arial" w:cs="Arial"/>
          <w:bCs/>
          <w:i/>
          <w:sz w:val="28"/>
          <w:szCs w:val="28"/>
          <w:lang w:val="es-ES" w:eastAsia="es-ES"/>
        </w:rPr>
        <w:t>“todos los demás documentos o actas que aporten las partes, siempre que resulten pertinentes y relacionados con sus pretensiones”.</w:t>
      </w:r>
    </w:p>
    <w:p w14:paraId="0707538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F1C80A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Por su parte, se consideran pruebas técnicas 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oferente deberá señalar concretamente lo que pretende acreditar, identificando a las personas, </w:t>
      </w:r>
      <w:r w:rsidRPr="00791593">
        <w:rPr>
          <w:rFonts w:ascii="Arial" w:eastAsia="Times New Roman" w:hAnsi="Arial" w:cs="Arial"/>
          <w:bCs/>
          <w:sz w:val="28"/>
          <w:szCs w:val="28"/>
          <w:lang w:val="es-ES" w:eastAsia="es-ES"/>
        </w:rPr>
        <w:lastRenderedPageBreak/>
        <w:t>los lugares y las circunstancias de modo y tiempo que reproduce la prueba</w:t>
      </w:r>
      <w:r w:rsidRPr="00791593">
        <w:rPr>
          <w:rFonts w:ascii="Arial" w:eastAsia="Times New Roman" w:hAnsi="Arial" w:cs="Arial"/>
          <w:bCs/>
          <w:sz w:val="28"/>
          <w:szCs w:val="28"/>
          <w:vertAlign w:val="superscript"/>
          <w:lang w:val="es-ES" w:eastAsia="es-ES"/>
        </w:rPr>
        <w:footnoteReference w:id="13"/>
      </w:r>
      <w:r w:rsidRPr="00791593">
        <w:rPr>
          <w:rFonts w:ascii="Arial" w:eastAsia="Times New Roman" w:hAnsi="Arial" w:cs="Arial"/>
          <w:bCs/>
          <w:sz w:val="28"/>
          <w:szCs w:val="28"/>
          <w:lang w:val="es-ES" w:eastAsia="es-ES"/>
        </w:rPr>
        <w:t xml:space="preserve">. </w:t>
      </w:r>
    </w:p>
    <w:p w14:paraId="4380E80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35322F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La confesional y testimonial deben versar sobre declaraciones que consten en acta levantada ante fedatario público, en donde éste las haya recibido directamente de los declarantes, habiendo estos últimos quedado debidamente identificados y asentada la razón de su dicho.</w:t>
      </w:r>
    </w:p>
    <w:p w14:paraId="6770912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47D6CF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Asimismo, los órganos competentes para resolver podrán ordenar alguna diligencia, así como de pruebas periciales, siempre y cuando su desahogo sea posible en los plazos legalmente establecidos.</w:t>
      </w:r>
    </w:p>
    <w:p w14:paraId="3AC9495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70F8F1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Ahora bien, el artículo 16 de la mencionada ley local, establece cuál es el valor probatorio que debe otorgarse a dichas pruebas referidas, y señala que solamente las documentales públicas tendrán valor probatorio pleno, salvo prueba en contrario de su autenticidad o de la veracidad de los hechos a que se refieran. Las demás pruebas (privadas, técnicas, presuncional, instrumental de actuaciones, confesional, testimonial y pericial), por el contrario, sólo harán prueba plena cuando a juicio del juzgador los demás elementos del expediente, afirmaciones de las partes, verdad conocida y recto raciocinio, generen convicción sobre la veracidad de los hechos afirmados.</w:t>
      </w:r>
    </w:p>
    <w:p w14:paraId="0AF1EC5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E0527F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Una vez establecido lo anterior y para realizar la valoración de las pruebas a que se ha hecho referencia, resulta conveniente establecer </w:t>
      </w:r>
      <w:r w:rsidRPr="00791593">
        <w:rPr>
          <w:rFonts w:ascii="Arial" w:eastAsia="Times New Roman" w:hAnsi="Arial" w:cs="Arial"/>
          <w:bCs/>
          <w:sz w:val="28"/>
          <w:szCs w:val="28"/>
          <w:lang w:val="es-ES" w:eastAsia="es-ES"/>
        </w:rPr>
        <w:lastRenderedPageBreak/>
        <w:t>claramente cuáles son los elementos que obran en el caudal probatorio del presente asunto.</w:t>
      </w:r>
    </w:p>
    <w:p w14:paraId="26DAFE7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A608C2C" w14:textId="77777777" w:rsidR="00DF77D2" w:rsidRPr="00791593" w:rsidRDefault="00DF77D2" w:rsidP="008D1689">
      <w:pPr>
        <w:numPr>
          <w:ilvl w:val="0"/>
          <w:numId w:val="4"/>
        </w:numPr>
        <w:spacing w:after="0" w:line="360" w:lineRule="auto"/>
        <w:jc w:val="both"/>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Pruebas ofrecidas y admitidas en el expediente de mérito.</w:t>
      </w:r>
    </w:p>
    <w:p w14:paraId="24EE3A4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23E2B1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Las pruebas sometidas a valoración y análisis de la Sala Regional Responsable, fueron las admitidas en la instancia inmediata anterior al juicio ciudadano que le fuera planteado, esto es, en el juicio electoral de los sistemas normativos internos, presentado ante el Tribunal Estatal Electoral del Poder Judicial del Estado de Oaxaca, las que se hicieron consistir en las siguientes:</w:t>
      </w:r>
    </w:p>
    <w:p w14:paraId="0607791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7BCD3C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1.- Copia certificada del expediente formado por el Instituto Estatal Electoral y de Participación Ciudadana de Oaxaca, con motivo de la elección de concejales al ayuntamiento de San Juan Mixtepec, Juxtlahuaca, Oaxaca.</w:t>
      </w:r>
    </w:p>
    <w:p w14:paraId="521629A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2.- Copias certificadas por notario público de catorce testimonios de ciudadanos de San Juan Mixtepec, Oaxaca.</w:t>
      </w:r>
    </w:p>
    <w:p w14:paraId="3748BEC4" w14:textId="77777777" w:rsidR="00DF77D2" w:rsidRPr="00791593" w:rsidRDefault="00DF77D2" w:rsidP="00DF77D2">
      <w:pPr>
        <w:tabs>
          <w:tab w:val="left" w:pos="2385"/>
        </w:tabs>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3.- Copias certificadas de cuarenta y seis fotografías.</w:t>
      </w:r>
    </w:p>
    <w:p w14:paraId="7CCB2989"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4.- Instrumental de actuaciones.</w:t>
      </w:r>
    </w:p>
    <w:p w14:paraId="19055FC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5.- Presuncional legal y humana.</w:t>
      </w:r>
    </w:p>
    <w:p w14:paraId="7E3874F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6EC047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Cabe destacar que también se ofreció como prueba técnica un disco compacto que a decir del actor contenía dos videos en donde se apreciaban los hechos narrados en la demanda primigenia, sin </w:t>
      </w:r>
      <w:r w:rsidRPr="00791593">
        <w:rPr>
          <w:rFonts w:ascii="Arial" w:eastAsia="Times New Roman" w:hAnsi="Arial" w:cs="Arial"/>
          <w:bCs/>
          <w:sz w:val="28"/>
          <w:szCs w:val="28"/>
          <w:lang w:val="es-ES" w:eastAsia="es-ES"/>
        </w:rPr>
        <w:lastRenderedPageBreak/>
        <w:t>embargo, dicha prueba no fue admitida por el tribunal local electoral, en virtud de que el actor omitió aportarla a los autos del expediente</w:t>
      </w:r>
      <w:r w:rsidRPr="00791593">
        <w:rPr>
          <w:rFonts w:ascii="Arial" w:eastAsia="Times New Roman" w:hAnsi="Arial" w:cs="Arial"/>
          <w:bCs/>
          <w:sz w:val="28"/>
          <w:szCs w:val="28"/>
          <w:vertAlign w:val="superscript"/>
          <w:lang w:val="es-ES" w:eastAsia="es-ES"/>
        </w:rPr>
        <w:footnoteReference w:id="14"/>
      </w:r>
      <w:r w:rsidRPr="00791593">
        <w:rPr>
          <w:rFonts w:ascii="Arial" w:eastAsia="Times New Roman" w:hAnsi="Arial" w:cs="Arial"/>
          <w:bCs/>
          <w:sz w:val="20"/>
          <w:szCs w:val="20"/>
          <w:lang w:val="es-ES" w:eastAsia="es-ES"/>
        </w:rPr>
        <w:t>.</w:t>
      </w:r>
      <w:r w:rsidRPr="00791593">
        <w:rPr>
          <w:rFonts w:ascii="Arial" w:eastAsia="Times New Roman" w:hAnsi="Arial" w:cs="Arial"/>
          <w:bCs/>
          <w:sz w:val="28"/>
          <w:szCs w:val="28"/>
          <w:lang w:val="es-ES" w:eastAsia="es-ES"/>
        </w:rPr>
        <w:t xml:space="preserve"> </w:t>
      </w:r>
    </w:p>
    <w:p w14:paraId="37752AD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4F873FC" w14:textId="77777777" w:rsidR="00DF77D2" w:rsidRPr="00791593" w:rsidRDefault="00DF77D2" w:rsidP="008D1689">
      <w:pPr>
        <w:numPr>
          <w:ilvl w:val="0"/>
          <w:numId w:val="4"/>
        </w:numPr>
        <w:spacing w:after="0" w:line="360" w:lineRule="auto"/>
        <w:jc w:val="both"/>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Valoración que realiza esta Sala Superior del acervo probatorio del caso.</w:t>
      </w:r>
    </w:p>
    <w:p w14:paraId="6A865F2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FFCC4B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Contrario a lo aducido por el recurrente, a juicio de esta Sala Superior, las pruebas en análisis no acreditan su pretensión, por lo que son </w:t>
      </w:r>
      <w:r w:rsidRPr="00791593">
        <w:rPr>
          <w:rFonts w:ascii="Arial" w:eastAsia="Times New Roman" w:hAnsi="Arial" w:cs="Arial"/>
          <w:b/>
          <w:bCs/>
          <w:sz w:val="28"/>
          <w:szCs w:val="28"/>
          <w:lang w:val="es-ES" w:eastAsia="es-ES"/>
        </w:rPr>
        <w:t>infundados</w:t>
      </w:r>
      <w:r w:rsidRPr="00791593">
        <w:rPr>
          <w:rFonts w:ascii="Arial" w:eastAsia="Times New Roman" w:hAnsi="Arial" w:cs="Arial"/>
          <w:bCs/>
          <w:sz w:val="28"/>
          <w:szCs w:val="28"/>
          <w:lang w:val="es-ES" w:eastAsia="es-ES"/>
        </w:rPr>
        <w:t xml:space="preserve"> los agravios del recurrente.</w:t>
      </w:r>
    </w:p>
    <w:p w14:paraId="5F12814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3F59B5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Efectivamente, tanto las fotografías, como los diversos escritos ofrecidos, carecen de valor probatorio pleno para acreditar de manera fehaciente los extremos de la acción de Enedino Feliciano López Sánchez, consistentes en demostrar la inducción al voto por parte de la planilla azul y, por ende, la violación a los principios constitucionales de certeza, legalidad y universalidad del sufragio.</w:t>
      </w:r>
    </w:p>
    <w:p w14:paraId="605534B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FD34D3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Tal como se precisó con antelación, las pruebas admitidas en el presente asunto consistieron en cuarenta y seis fotografías, catorce escritos de testimonios y dos escritos de incidentes.</w:t>
      </w:r>
    </w:p>
    <w:p w14:paraId="2845BB1A" w14:textId="77777777" w:rsidR="00DF77D2" w:rsidRPr="00791593" w:rsidRDefault="00DF77D2" w:rsidP="00DF77D2">
      <w:pPr>
        <w:spacing w:after="200" w:line="360" w:lineRule="auto"/>
        <w:ind w:firstLine="709"/>
        <w:jc w:val="both"/>
        <w:rPr>
          <w:rFonts w:ascii="Arial" w:eastAsia="Times New Roman" w:hAnsi="Arial" w:cs="Arial"/>
          <w:sz w:val="28"/>
          <w:szCs w:val="28"/>
          <w:lang w:eastAsia="es-MX"/>
        </w:rPr>
      </w:pPr>
    </w:p>
    <w:p w14:paraId="1627ADE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sz w:val="28"/>
          <w:szCs w:val="28"/>
          <w:lang w:eastAsia="es-MX"/>
        </w:rPr>
        <w:t xml:space="preserve">En términos de lo establecido en la Ley del Sistema de Medios de Impugnación en Materia Electoral y de Participación Ciudadana para el Estado de Oaxaca, tales pruebas tienen naturaleza de </w:t>
      </w:r>
      <w:r w:rsidRPr="00791593">
        <w:rPr>
          <w:rFonts w:ascii="Arial" w:eastAsia="Times New Roman" w:hAnsi="Arial" w:cs="Arial"/>
          <w:b/>
          <w:sz w:val="28"/>
          <w:szCs w:val="28"/>
          <w:lang w:eastAsia="es-MX"/>
        </w:rPr>
        <w:t>técnicas</w:t>
      </w:r>
      <w:r w:rsidRPr="00791593">
        <w:rPr>
          <w:rFonts w:ascii="Arial" w:eastAsia="Times New Roman" w:hAnsi="Arial" w:cs="Arial"/>
          <w:sz w:val="28"/>
          <w:szCs w:val="28"/>
          <w:lang w:eastAsia="es-MX"/>
        </w:rPr>
        <w:t xml:space="preserve">, tratándose de las </w:t>
      </w:r>
      <w:r w:rsidRPr="00791593">
        <w:rPr>
          <w:rFonts w:ascii="Arial" w:eastAsia="Times New Roman" w:hAnsi="Arial" w:cs="Arial"/>
          <w:b/>
          <w:sz w:val="28"/>
          <w:szCs w:val="28"/>
          <w:lang w:eastAsia="es-MX"/>
        </w:rPr>
        <w:t>fotografías</w:t>
      </w:r>
      <w:r w:rsidRPr="00791593">
        <w:rPr>
          <w:rFonts w:ascii="Arial" w:eastAsia="Times New Roman" w:hAnsi="Arial" w:cs="Arial"/>
          <w:sz w:val="28"/>
          <w:szCs w:val="28"/>
          <w:lang w:eastAsia="es-MX"/>
        </w:rPr>
        <w:t xml:space="preserve"> presentadas; </w:t>
      </w:r>
      <w:r w:rsidRPr="00791593">
        <w:rPr>
          <w:rFonts w:ascii="Arial" w:eastAsia="Times New Roman" w:hAnsi="Arial" w:cs="Arial"/>
          <w:b/>
          <w:sz w:val="28"/>
          <w:szCs w:val="28"/>
          <w:lang w:eastAsia="es-MX"/>
        </w:rPr>
        <w:t>testimoniales</w:t>
      </w:r>
      <w:r w:rsidRPr="00791593">
        <w:rPr>
          <w:rFonts w:ascii="Arial" w:eastAsia="Times New Roman" w:hAnsi="Arial" w:cs="Arial"/>
          <w:sz w:val="28"/>
          <w:szCs w:val="28"/>
          <w:lang w:eastAsia="es-MX"/>
        </w:rPr>
        <w:t xml:space="preserve">, en lo que </w:t>
      </w:r>
      <w:r w:rsidRPr="00791593">
        <w:rPr>
          <w:rFonts w:ascii="Arial" w:eastAsia="Times New Roman" w:hAnsi="Arial" w:cs="Arial"/>
          <w:sz w:val="28"/>
          <w:szCs w:val="28"/>
          <w:lang w:eastAsia="es-MX"/>
        </w:rPr>
        <w:lastRenderedPageBreak/>
        <w:t xml:space="preserve">respecta a los catorce </w:t>
      </w:r>
      <w:r w:rsidRPr="00791593">
        <w:rPr>
          <w:rFonts w:ascii="Arial" w:eastAsia="Times New Roman" w:hAnsi="Arial" w:cs="Arial"/>
          <w:b/>
          <w:sz w:val="28"/>
          <w:szCs w:val="28"/>
          <w:lang w:eastAsia="es-MX"/>
        </w:rPr>
        <w:t>escritos de ciudadanos</w:t>
      </w:r>
      <w:r w:rsidRPr="00791593">
        <w:rPr>
          <w:rFonts w:ascii="Arial" w:eastAsia="Times New Roman" w:hAnsi="Arial" w:cs="Arial"/>
          <w:sz w:val="28"/>
          <w:szCs w:val="28"/>
          <w:lang w:eastAsia="es-MX"/>
        </w:rPr>
        <w:t xml:space="preserve">; y </w:t>
      </w:r>
      <w:r w:rsidRPr="00791593">
        <w:rPr>
          <w:rFonts w:ascii="Arial" w:eastAsia="Times New Roman" w:hAnsi="Arial" w:cs="Arial"/>
          <w:b/>
          <w:sz w:val="28"/>
          <w:szCs w:val="28"/>
          <w:lang w:eastAsia="es-MX"/>
        </w:rPr>
        <w:t>documentales privadas</w:t>
      </w:r>
      <w:r w:rsidRPr="00791593">
        <w:rPr>
          <w:rFonts w:ascii="Arial" w:eastAsia="Times New Roman" w:hAnsi="Arial" w:cs="Arial"/>
          <w:sz w:val="28"/>
          <w:szCs w:val="28"/>
          <w:lang w:eastAsia="es-MX"/>
        </w:rPr>
        <w:t xml:space="preserve">, en lo tocante a los dos </w:t>
      </w:r>
      <w:r w:rsidRPr="00791593">
        <w:rPr>
          <w:rFonts w:ascii="Arial" w:eastAsia="Times New Roman" w:hAnsi="Arial" w:cs="Arial"/>
          <w:b/>
          <w:sz w:val="28"/>
          <w:szCs w:val="28"/>
          <w:lang w:eastAsia="es-MX"/>
        </w:rPr>
        <w:t>escritos de incidentes</w:t>
      </w:r>
      <w:r w:rsidRPr="00791593">
        <w:rPr>
          <w:rFonts w:ascii="Arial" w:eastAsia="Times New Roman" w:hAnsi="Arial" w:cs="Arial"/>
          <w:sz w:val="28"/>
          <w:szCs w:val="28"/>
          <w:lang w:eastAsia="es-MX"/>
        </w:rPr>
        <w:t xml:space="preserve"> </w:t>
      </w:r>
      <w:r w:rsidRPr="00791593">
        <w:rPr>
          <w:rFonts w:ascii="Arial" w:eastAsia="Times New Roman" w:hAnsi="Arial" w:cs="Arial"/>
          <w:bCs/>
          <w:sz w:val="28"/>
          <w:szCs w:val="28"/>
          <w:lang w:val="es-ES" w:eastAsia="es-ES"/>
        </w:rPr>
        <w:t>elaborados por diversas planillas que contendieron en la elección.</w:t>
      </w:r>
    </w:p>
    <w:p w14:paraId="0B4798D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4BF37B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Ahora bien, en el marco normativo del presente asunto se estableció que solamente las pruebas documentales públicas tienen valor probatorio pleno, siempre y cuando no sean tachadas de falsas o carentes de veracidad en su contenido; el resto de los medios probatorios permitidos por la ley de la materia, como los analizados en el presente caso, sólo tienen valor probatorio pleno si a través de otros elementos que obren en el expediente, se llega a la convicción de la veracidad de los hechos, de modo que por sí solas sólo constituyen indicios para demostrar algo.</w:t>
      </w:r>
    </w:p>
    <w:p w14:paraId="46CA1A0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254C27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Los indicios</w:t>
      </w:r>
      <w:r w:rsidRPr="00791593">
        <w:rPr>
          <w:rFonts w:ascii="Arial" w:eastAsia="Times New Roman" w:hAnsi="Arial" w:cs="Arial"/>
          <w:sz w:val="27"/>
          <w:szCs w:val="27"/>
          <w:vertAlign w:val="superscript"/>
          <w:lang w:eastAsia="es-MX"/>
        </w:rPr>
        <w:footnoteReference w:id="15"/>
      </w:r>
      <w:r w:rsidRPr="00791593">
        <w:rPr>
          <w:rFonts w:ascii="Arial" w:eastAsia="Times New Roman" w:hAnsi="Arial" w:cs="Arial"/>
          <w:sz w:val="27"/>
          <w:szCs w:val="27"/>
          <w:lang w:eastAsia="es-MX"/>
        </w:rPr>
        <w:t xml:space="preserve">, </w:t>
      </w:r>
      <w:r w:rsidRPr="00791593">
        <w:rPr>
          <w:rFonts w:ascii="Arial" w:eastAsia="Times New Roman" w:hAnsi="Arial" w:cs="Arial"/>
          <w:bCs/>
          <w:sz w:val="28"/>
          <w:szCs w:val="28"/>
          <w:lang w:val="es-ES" w:eastAsia="es-ES"/>
        </w:rPr>
        <w:t>como prueba indirecta, tienen la particularidad de no demostrar el hecho que se quiere probar en forma plena, tan sólo permiten generar a través de inferencias, por sí o en relación con otros medios convictivos, la existencia o inexistencia de un hecho, mediante la operación lógica basada en normas generales de la experiencia o en principios técnicos o científicos.</w:t>
      </w:r>
    </w:p>
    <w:p w14:paraId="18B49C0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3D39C9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Así, los indicios son elementos críticos, lógicos e indirectos de justificación de las hipótesis fácticas que pretenden acreditar las partes en un litigio, cuya función consiste en generar convicción en el ánimo del juzgador, mediante el cual, pueda deducir indirectamente la </w:t>
      </w:r>
      <w:r w:rsidRPr="00791593">
        <w:rPr>
          <w:rFonts w:ascii="Arial" w:eastAsia="Times New Roman" w:hAnsi="Arial" w:cs="Arial"/>
          <w:bCs/>
          <w:sz w:val="28"/>
          <w:szCs w:val="28"/>
          <w:lang w:val="es-ES" w:eastAsia="es-ES"/>
        </w:rPr>
        <w:lastRenderedPageBreak/>
        <w:t>existencia de un hecho desconocido a partir de otros debidamente probados.</w:t>
      </w:r>
    </w:p>
    <w:p w14:paraId="482B9FC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C9D7B5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La condición exigible para que los indicios puedan ser considerados aptos o suficientes para demostrar un hecho debatido, consiste en que por sí o en correlación con otros indicios permitan racionalmente estimar como cierto un determinado hecho secundario, y a partir de él, lograr inferir el que constituye la materia del litigio.</w:t>
      </w:r>
    </w:p>
    <w:p w14:paraId="5091C7F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3B054C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Esta Sala Superior, ha resuelto</w:t>
      </w:r>
      <w:r w:rsidRPr="00791593">
        <w:rPr>
          <w:rFonts w:ascii="Arial" w:eastAsia="Times New Roman" w:hAnsi="Arial" w:cs="Arial"/>
          <w:bCs/>
          <w:sz w:val="28"/>
          <w:szCs w:val="28"/>
          <w:vertAlign w:val="superscript"/>
          <w:lang w:val="es-ES" w:eastAsia="es-ES"/>
        </w:rPr>
        <w:footnoteReference w:id="16"/>
      </w:r>
      <w:r w:rsidRPr="00791593">
        <w:rPr>
          <w:rFonts w:ascii="Arial" w:eastAsia="Times New Roman" w:hAnsi="Arial" w:cs="Arial"/>
          <w:bCs/>
          <w:sz w:val="28"/>
          <w:szCs w:val="28"/>
          <w:lang w:val="es-ES" w:eastAsia="es-ES"/>
        </w:rPr>
        <w:t xml:space="preserve"> que el alcance demostrativo de los indicios es valorado libremente por el juez, dependiendo de la credibilidad que merezca el medio técnico, de acuerdo a su contenido, así como por las circunstancias en que se obtuvo y la relación que guarda con las demás pruebas o factores que se deriven de los expedientes respectivos.</w:t>
      </w:r>
    </w:p>
    <w:p w14:paraId="1EB0085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23BD89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estos términos, se determina que las pruebas ofrecidas y analizadas en el caso concreto, únicamente tienen </w:t>
      </w:r>
      <w:r w:rsidRPr="00791593">
        <w:rPr>
          <w:rFonts w:ascii="Arial" w:eastAsia="Times New Roman" w:hAnsi="Arial" w:cs="Arial"/>
          <w:b/>
          <w:bCs/>
          <w:sz w:val="28"/>
          <w:szCs w:val="28"/>
          <w:lang w:val="es-ES" w:eastAsia="es-ES"/>
        </w:rPr>
        <w:t>valor probatorio indiciario</w:t>
      </w:r>
      <w:r w:rsidRPr="00791593">
        <w:rPr>
          <w:rFonts w:ascii="Arial" w:eastAsia="Times New Roman" w:hAnsi="Arial" w:cs="Arial"/>
          <w:bCs/>
          <w:sz w:val="28"/>
          <w:szCs w:val="28"/>
          <w:lang w:val="es-ES" w:eastAsia="es-ES"/>
        </w:rPr>
        <w:t>, tal como se expone a continuación</w:t>
      </w:r>
    </w:p>
    <w:p w14:paraId="2CF1693C" w14:textId="77777777" w:rsidR="00DF77D2" w:rsidRPr="00791593" w:rsidRDefault="00DF77D2" w:rsidP="00DF77D2">
      <w:pPr>
        <w:spacing w:after="0" w:line="360" w:lineRule="auto"/>
        <w:ind w:left="283"/>
        <w:jc w:val="both"/>
        <w:rPr>
          <w:rFonts w:ascii="Arial" w:eastAsia="Times New Roman" w:hAnsi="Arial" w:cs="Arial"/>
          <w:bCs/>
          <w:sz w:val="28"/>
          <w:szCs w:val="28"/>
          <w:lang w:val="es-ES" w:eastAsia="es-ES"/>
        </w:rPr>
      </w:pPr>
    </w:p>
    <w:p w14:paraId="445EDBB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A. Fotografías.</w:t>
      </w:r>
      <w:r w:rsidRPr="00791593">
        <w:rPr>
          <w:rFonts w:ascii="Arial" w:eastAsia="Times New Roman" w:hAnsi="Arial" w:cs="Arial"/>
          <w:bCs/>
          <w:sz w:val="28"/>
          <w:szCs w:val="28"/>
          <w:lang w:val="es-ES" w:eastAsia="es-ES"/>
        </w:rPr>
        <w:t xml:space="preserve"> Como ya se vio con antelación, las fotografías aportadas como pruebas técnicas no se valoraron porque no se precisaron las circunstancias de tiempo, modo y lugar en que fueron tomadas las imágenes, ni se adminicularon a otra prueba que verificara dichas circunstancias para generar convicción.</w:t>
      </w:r>
    </w:p>
    <w:p w14:paraId="0620E3A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6CAA9D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Del análisis a las fotografías aportadas, las cuales obran de foja 337 a 369 del cuaderno accesorio número dos, y del estudio descriptivo de las mismas se obtiene lo siguiente: </w:t>
      </w:r>
    </w:p>
    <w:p w14:paraId="17E2F9C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tbl>
      <w:tblPr>
        <w:tblStyle w:val="Tablaconcuadrcula"/>
        <w:tblW w:w="5000" w:type="pct"/>
        <w:tblLook w:val="04A0" w:firstRow="1" w:lastRow="0" w:firstColumn="1" w:lastColumn="0" w:noHBand="0" w:noVBand="1"/>
      </w:tblPr>
      <w:tblGrid>
        <w:gridCol w:w="8828"/>
      </w:tblGrid>
      <w:tr w:rsidR="00DF77D2" w:rsidRPr="00791593" w14:paraId="5D40CFFA" w14:textId="77777777" w:rsidTr="00DF77D2">
        <w:trPr>
          <w:tblHeader/>
        </w:trPr>
        <w:tc>
          <w:tcPr>
            <w:tcW w:w="5000" w:type="pct"/>
            <w:shd w:val="clear" w:color="auto" w:fill="C4BC96"/>
          </w:tcPr>
          <w:p w14:paraId="7994D1C8" w14:textId="77777777" w:rsidR="00DF77D2" w:rsidRPr="00791593" w:rsidRDefault="00DF77D2" w:rsidP="00DF77D2">
            <w:pPr>
              <w:tabs>
                <w:tab w:val="center" w:pos="3994"/>
              </w:tabs>
              <w:spacing w:line="360" w:lineRule="auto"/>
              <w:rPr>
                <w:rFonts w:ascii="Arial" w:hAnsi="Arial" w:cs="Arial"/>
                <w:b/>
                <w:bCs/>
                <w:sz w:val="24"/>
                <w:szCs w:val="24"/>
                <w:lang w:val="es-ES" w:eastAsia="es-ES"/>
              </w:rPr>
            </w:pPr>
            <w:r w:rsidRPr="00791593">
              <w:rPr>
                <w:rFonts w:ascii="Arial" w:hAnsi="Arial" w:cs="Arial"/>
                <w:b/>
                <w:bCs/>
                <w:sz w:val="24"/>
                <w:szCs w:val="24"/>
                <w:lang w:val="es-ES" w:eastAsia="es-ES"/>
              </w:rPr>
              <w:tab/>
              <w:t>FOTOGRAFÍAS APORTADAS</w:t>
            </w:r>
          </w:p>
        </w:tc>
      </w:tr>
      <w:tr w:rsidR="00DF77D2" w:rsidRPr="00791593" w14:paraId="7858D1B1" w14:textId="77777777" w:rsidTr="004D6EB2">
        <w:tc>
          <w:tcPr>
            <w:tcW w:w="5000" w:type="pct"/>
          </w:tcPr>
          <w:p w14:paraId="1A77A06F"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1. Mujer de edad avanzada cargando una bolsa.</w:t>
            </w:r>
          </w:p>
          <w:p w14:paraId="7A528A67"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2. Mujer de foto 1, cargando una bolsa.</w:t>
            </w:r>
          </w:p>
          <w:p w14:paraId="4B948794"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3. Mujer de foto 1, cargando una bolsa.</w:t>
            </w:r>
            <w:r w:rsidRPr="00791593">
              <w:rPr>
                <w:rFonts w:ascii="Arial" w:hAnsi="Arial" w:cs="Arial"/>
                <w:sz w:val="24"/>
                <w:szCs w:val="24"/>
                <w:vertAlign w:val="superscript"/>
              </w:rPr>
              <w:footnoteReference w:id="17"/>
            </w:r>
          </w:p>
          <w:p w14:paraId="1C2223D7"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4. Mujer de foto 1, cargando una bolsa.</w:t>
            </w:r>
            <w:r w:rsidRPr="00791593">
              <w:rPr>
                <w:rFonts w:ascii="Arial" w:hAnsi="Arial" w:cs="Arial"/>
                <w:sz w:val="24"/>
                <w:szCs w:val="24"/>
                <w:vertAlign w:val="superscript"/>
              </w:rPr>
              <w:footnoteReference w:id="18"/>
            </w:r>
          </w:p>
          <w:p w14:paraId="64C5B83C"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5. Mujer de foto 1, cargando una bolsa.</w:t>
            </w:r>
          </w:p>
          <w:p w14:paraId="1039BA6E"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6. Mujer de foto 1, cargando una bolsa.</w:t>
            </w:r>
          </w:p>
          <w:p w14:paraId="11B1BF44"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7. Individuo, aparentemente del sexo masculino, agachado con una bolsa y una mochila.</w:t>
            </w:r>
          </w:p>
          <w:p w14:paraId="6B035B1C"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8. Mujer de foto 1, cargando una bolsa con una imagen de un hombre y un texto ilegible.</w:t>
            </w:r>
          </w:p>
          <w:p w14:paraId="7ACB1EFB"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9. Hombre de edad avanzada cargando una mochila, con una bolsa entre los pies.</w:t>
            </w:r>
          </w:p>
          <w:p w14:paraId="5D706CE8"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10. Mismo hombre, sosteniendo una bolsa, con la imagen de un hombre y la leyenda “EMILIO RAMÍREZ VEGA PRESIDENTE MUNICIPAL 2014-2016”</w:t>
            </w:r>
          </w:p>
          <w:p w14:paraId="3D0EE583"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11. Hombre anterior, sosteniendo una bolsa con la imagen de un hombre y la leyenda “EMILIO RAMÍREZ VEGA PRESIDENTE MUNICIPAL 2014-2016”</w:t>
            </w:r>
          </w:p>
          <w:p w14:paraId="7F879546"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12. Hombre de la foto anterior cargando una bolsa, presumiblemente afuera de un inmueble; se aprecia una mano con otra bolsa.</w:t>
            </w:r>
          </w:p>
          <w:p w14:paraId="0F769199"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13. Mismo hombre con dos bolsas, aparentemente fuera de un inmueble.</w:t>
            </w:r>
          </w:p>
          <w:p w14:paraId="52BC551A"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lastRenderedPageBreak/>
              <w:t>14. Hombre mencionado, con dos bolsas, presumiblemente afuera de la puerta de un inmueble.</w:t>
            </w:r>
          </w:p>
          <w:p w14:paraId="1E199AF8"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 xml:space="preserve"> 15. Joven de sexo masculino, con una bolsa que contiene una etiqueta con la imagen de un hombre y texto ilegible.</w:t>
            </w:r>
          </w:p>
          <w:p w14:paraId="575ACB5F"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16. Mismo joven con una bolsa en la mano, que contiene una etiqueta con la imagen de un hombre y texto ilegible.</w:t>
            </w:r>
          </w:p>
          <w:p w14:paraId="5138ECF4"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17. Tres personas, cargando una bolsa cada uno.</w:t>
            </w:r>
          </w:p>
          <w:p w14:paraId="0FE726A2"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18. Joven de foto 15, con una bolsa que contiene una etiqueta con la imagen de un hombre y texto ilegible.</w:t>
            </w:r>
          </w:p>
          <w:p w14:paraId="31C1CE19"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19. Seis personas de ambos sexos, aparentemente caminando, cargando bolsas.</w:t>
            </w:r>
          </w:p>
          <w:p w14:paraId="730C663A"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20. Seis personas de ambos sexos, aparentemente caminando, cargando bolsas.</w:t>
            </w:r>
          </w:p>
          <w:p w14:paraId="3DBAB469"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21. Latas y bolsas con texto ilegible.</w:t>
            </w:r>
          </w:p>
          <w:p w14:paraId="3EA7E501"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22. Latas y bolsas con texto ilegible.</w:t>
            </w:r>
          </w:p>
          <w:p w14:paraId="4A092E6E"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23. Algo que aparenta ser una mesa, encima contiene cajas de cartón con bolsas dentro de ellas, también se puede observar una hoja de papel con dos imágenes de un hombre y textos ilegibles</w:t>
            </w:r>
          </w:p>
          <w:p w14:paraId="5D470E59"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24. Bolsas y latas apenas perceptibles.</w:t>
            </w:r>
          </w:p>
          <w:p w14:paraId="09FE44C0"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25. Bolsas y latas apenas perceptibles.</w:t>
            </w:r>
          </w:p>
          <w:p w14:paraId="7AA03A1C"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26. Algo que aparenta ser una mesa, encima contiene cajas de cartón con bolsas dentro de ellas, también se puede observar una hoja de papel con dos imágenes de un hombre con la leyenda “CELSO HERNÁNDEZ MENDOZA”.</w:t>
            </w:r>
          </w:p>
          <w:p w14:paraId="6FE2457F"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27. Hombre con una credencial en la mano, frente a unas cajas que contienen bolsas, en ella se puede observar una hoja de papel con la imagen de una persona del sexo masculino.</w:t>
            </w:r>
          </w:p>
          <w:p w14:paraId="569106C1"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28. Cajas y bolsas, en las que se aprecia una hoja de papel con imágenes de una persona del sexo masculino.</w:t>
            </w:r>
          </w:p>
          <w:p w14:paraId="14BD106E"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29. Cinco personas, una de ellas con una bolsa en la mano.</w:t>
            </w:r>
          </w:p>
          <w:p w14:paraId="342BF82B"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30. Nueve personas, una de ellas de sexo masculino tiene cargando una bolsa.</w:t>
            </w:r>
          </w:p>
          <w:p w14:paraId="15DC69E8"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lastRenderedPageBreak/>
              <w:t>31. Seis personas de ambos sexos, dos de ellas cargando una bolsa.</w:t>
            </w:r>
          </w:p>
          <w:p w14:paraId="43D7AC6B"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32. Hombre sosteniendo dos bolsas, una de ellas con una papeleta dentro con la imagen de una persona de sexo masculino y texto ilegible.</w:t>
            </w:r>
          </w:p>
          <w:p w14:paraId="43FE551F"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33. Corredor con dos puertas cerradas, dos ventanas y arriba de ellas un texto indistinguible, sobre el piso hay varios costales con texto ilegible, tapados con tablas, láminas y una lona.</w:t>
            </w:r>
          </w:p>
          <w:p w14:paraId="0F144E59"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34. Aparentemente la entrada a la Agencia de Policía Municipal El Capulín Mixtepec, Oaxaca, con arcos, una puerta y dos ventanas, debajo de éstas, costales y encima de ellos tablas.</w:t>
            </w:r>
          </w:p>
          <w:p w14:paraId="190E55C5"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35. Aparentemente una bodega con varios costales encimados, con un texto poco legible, en el que se puede apreciar la palabra “Moctezuma”.</w:t>
            </w:r>
          </w:p>
          <w:p w14:paraId="55FD2B33"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36. Misma bodega con costales.</w:t>
            </w:r>
          </w:p>
          <w:p w14:paraId="6C6F2C0D"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37. Bodega mencionada, desde un ángulo vertical.</w:t>
            </w:r>
          </w:p>
          <w:p w14:paraId="7FF9D778"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38. Bodega anterior, desde un ángulo vertical.</w:t>
            </w:r>
          </w:p>
          <w:p w14:paraId="2ECC1466"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39. Costales.</w:t>
            </w:r>
          </w:p>
          <w:p w14:paraId="663765FE"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40. Costales.</w:t>
            </w:r>
          </w:p>
          <w:p w14:paraId="7650B26A"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41. Misma bodega con costales y una persona del sexo femenino.</w:t>
            </w:r>
          </w:p>
          <w:p w14:paraId="10D970FD"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42. Costales.</w:t>
            </w:r>
          </w:p>
          <w:p w14:paraId="00D063B8"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43. Bodega mencionada, con una persona del sexo femenino.</w:t>
            </w:r>
          </w:p>
          <w:p w14:paraId="558E3A19"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44. Bodega mencionada, con una persona del sexo femenino, tomada verticalmente.</w:t>
            </w:r>
          </w:p>
          <w:p w14:paraId="4C57AA06"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45. Indeterminado número de personas sentadas, bajo algo que aparenta ser una carpa.</w:t>
            </w:r>
          </w:p>
          <w:p w14:paraId="5A227E6C" w14:textId="77777777" w:rsidR="00DF77D2" w:rsidRPr="00791593" w:rsidRDefault="00DF77D2" w:rsidP="00DF77D2">
            <w:pPr>
              <w:spacing w:before="100" w:beforeAutospacing="1" w:after="100" w:afterAutospacing="1"/>
              <w:jc w:val="both"/>
              <w:rPr>
                <w:rFonts w:ascii="Arial" w:hAnsi="Arial" w:cs="Arial"/>
                <w:sz w:val="24"/>
                <w:szCs w:val="24"/>
              </w:rPr>
            </w:pPr>
            <w:r w:rsidRPr="00791593">
              <w:rPr>
                <w:rFonts w:ascii="Arial" w:hAnsi="Arial" w:cs="Arial"/>
                <w:sz w:val="24"/>
                <w:szCs w:val="24"/>
              </w:rPr>
              <w:t>46. Indeterminado número de personas sentadas, bajo algo que aparenta ser una carpa.</w:t>
            </w:r>
          </w:p>
        </w:tc>
      </w:tr>
    </w:tbl>
    <w:p w14:paraId="0271790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63DA40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Como se aprecia, si bien de las imágenes pueden desprenderse algunas circunstancias, como por ejemplo personas en posesión de </w:t>
      </w:r>
      <w:r w:rsidRPr="00791593">
        <w:rPr>
          <w:rFonts w:ascii="Arial" w:eastAsia="Times New Roman" w:hAnsi="Arial" w:cs="Arial"/>
          <w:bCs/>
          <w:sz w:val="28"/>
          <w:szCs w:val="28"/>
          <w:lang w:val="es-ES" w:eastAsia="es-ES"/>
        </w:rPr>
        <w:lastRenderedPageBreak/>
        <w:t xml:space="preserve">bolsas que aparentan ser despensas, material de construcción en lo que dice ser la Agencia de Policía de Capulín Mixtepec, Oaxaca, ello es insuficiente para tener acreditada la supuesta coacción al voto del electorado. </w:t>
      </w:r>
    </w:p>
    <w:p w14:paraId="15CAF5F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649F50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Por un lado, se desconocen los datos inherentes a la prueba como la fecha y lugares en que fueron tomadas las fotografías, la identificación de las personas que se retrataron, entre otros, y, por el otro, el recurrente no las adminiculó con otros medios probatorios que refieran a los mismos hechos, ni este órgano jurisdiccional encuentra que las mismas puedan adminicularse con otros elementos de convicción, pues los hechos que se pretender acreditar con las mismas, en forma alguna son narrados por alguno de los testigos o constan en los escritos de incidentes.</w:t>
      </w:r>
    </w:p>
    <w:p w14:paraId="7E498BD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685CA4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efecto, al tratarse de imágenes, de éstas sólo puede desprenderse personas, cosas o lugares, los cuales debieron ser vinculados con una secuencia narrativa de hechos determinada que permitiera demostrar el aserto del accionante, pues de las fotografías mencionadas no se puede determinar fehacientemente, por ejemplo, que se trate de despensas o de material de construcción, la identidad de las personas que las reciben, quién entrega esos bienes, cuál es el motivo </w:t>
      </w:r>
      <w:r w:rsidRPr="00791593">
        <w:rPr>
          <w:rFonts w:ascii="Arial" w:eastAsia="Times New Roman" w:hAnsi="Arial" w:cs="Arial"/>
          <w:bCs/>
          <w:i/>
          <w:sz w:val="28"/>
          <w:szCs w:val="28"/>
          <w:lang w:val="es-ES" w:eastAsia="es-ES"/>
        </w:rPr>
        <w:t>aparente</w:t>
      </w:r>
      <w:r w:rsidRPr="00791593">
        <w:rPr>
          <w:rFonts w:ascii="Arial" w:eastAsia="Times New Roman" w:hAnsi="Arial" w:cs="Arial"/>
          <w:bCs/>
          <w:sz w:val="28"/>
          <w:szCs w:val="28"/>
          <w:lang w:val="es-ES" w:eastAsia="es-ES"/>
        </w:rPr>
        <w:t xml:space="preserve"> de la entrega, cómo dichos bienes se vinculan con el proceso electivo llevado a cabo en San Juan Mixtepec, Juxtlahuaca, Oaxaca, entre otras circunstancias, que resultan necesarias para acreditación de los hechos que se pretenden demostrar.</w:t>
      </w:r>
    </w:p>
    <w:p w14:paraId="35AF1C6E" w14:textId="77777777" w:rsidR="00DF77D2" w:rsidRPr="00791593" w:rsidRDefault="00DF77D2" w:rsidP="00DF77D2">
      <w:pPr>
        <w:spacing w:after="0" w:line="360" w:lineRule="auto"/>
        <w:jc w:val="both"/>
        <w:rPr>
          <w:rFonts w:ascii="Arial" w:eastAsia="Times New Roman" w:hAnsi="Arial" w:cs="Arial"/>
          <w:bCs/>
          <w:sz w:val="28"/>
          <w:szCs w:val="28"/>
          <w:lang w:val="es-ES" w:eastAsia="es-ES"/>
        </w:rPr>
      </w:pPr>
    </w:p>
    <w:p w14:paraId="19E278B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Esta Sala Superior, de manera reiterada</w:t>
      </w:r>
      <w:r w:rsidRPr="00791593">
        <w:rPr>
          <w:rFonts w:ascii="Arial" w:eastAsia="Times New Roman" w:hAnsi="Arial" w:cs="Arial"/>
          <w:bCs/>
          <w:sz w:val="28"/>
          <w:szCs w:val="28"/>
          <w:vertAlign w:val="superscript"/>
          <w:lang w:val="es-ES" w:eastAsia="es-ES"/>
        </w:rPr>
        <w:footnoteReference w:id="19"/>
      </w:r>
      <w:r w:rsidRPr="00791593">
        <w:rPr>
          <w:rFonts w:ascii="Arial" w:eastAsia="Times New Roman" w:hAnsi="Arial" w:cs="Arial"/>
          <w:bCs/>
          <w:sz w:val="28"/>
          <w:szCs w:val="28"/>
          <w:lang w:val="es-ES" w:eastAsia="es-ES"/>
        </w:rPr>
        <w:t>, ha establecido que las pruebas técnicas como las fotografías corresponden al género de pruebas documentales, y que ante la relativa facilidad con que se pueden confeccionar y la dificultad para demostrar de modo absoluto e indudable las falsificaciones o alteraciones; tal situación es obstáculo para conceder pleno valor probatorio, si no están suficientemente adminiculados con otros elementos que sean bastantes para corroborar los hechos que en ellos se consignan.</w:t>
      </w:r>
    </w:p>
    <w:p w14:paraId="203E96C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C2BC31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Por ello, se ha sustentado que los alcances demostrativos de tales pruebas, constituyen, en su caso, meros indicios respecto de las afirmaciones de las partes, y que para su mayor o menor eficacia probatoria es necesario (además de establecer las circunstancias que rodean a la prueba</w:t>
      </w:r>
      <w:r w:rsidRPr="00791593">
        <w:rPr>
          <w:rFonts w:ascii="Arial" w:eastAsia="Times New Roman" w:hAnsi="Arial" w:cs="Arial"/>
          <w:bCs/>
          <w:sz w:val="28"/>
          <w:szCs w:val="28"/>
          <w:vertAlign w:val="superscript"/>
          <w:lang w:val="es-ES" w:eastAsia="es-ES"/>
        </w:rPr>
        <w:footnoteReference w:id="20"/>
      </w:r>
      <w:r w:rsidRPr="00791593">
        <w:rPr>
          <w:rFonts w:ascii="Arial" w:eastAsia="Times New Roman" w:hAnsi="Arial" w:cs="Arial"/>
          <w:bCs/>
          <w:sz w:val="28"/>
          <w:szCs w:val="28"/>
          <w:lang w:val="es-ES" w:eastAsia="es-ES"/>
        </w:rPr>
        <w:t>) que se encuentren corroboradas con otros elementos de prueba, a efecto de estimarlos suficientes para acreditar las hipótesis de hecho aducidas por las partes; es decir, el valor indiciario de ese tipo de pruebas, puede verse incrementado o disminuido, según el grado de corroboración que tengan con los demás elementos de convicción que obren en autos, para determinar si son aptos o no a efecto de justificar los hechos pretendidos.</w:t>
      </w:r>
    </w:p>
    <w:p w14:paraId="55E7041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A93F66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En esta tesitura, resulta insuficiente que se diga que a través de ellas se demuestra la inducción al voto por parte de la planilla ganadora de las elecciones de concejales en el municipio de trato, porque para dotar de eficacia a tales pruebas era preciso que dichas circunstancias pudieran verificarse con otras pruebas y que acreditaran de manera fehaciente la pretensión del actor, lo cual no aconteció.</w:t>
      </w:r>
    </w:p>
    <w:p w14:paraId="39610C1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B1A729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Si bien en el recurso de reconsideración el recurrente aduce que de las fotos se desprende que Adolfo Gómez Hernández regaló despensas y cemento al electorado, porque en ellas se aprecia gente cargándolas y al interior de las mismas se contiene propaganda con nombre e imagen del citado candidato, de la observación efectuada se advierte que ello es inexacto, puesto que las imágenes que contienen paquetes con alguna leyenda o imagen y que pueden ser perceptibles a simple vista, sólo se aprecian los nombres de Emilio Ramírez Vega (fotografías 10 y 11, que obran a página trescientos cuarenta y dos y trescientos cuarenta y tres del cuaderno accesorio dos del expediente) y Celso Hernández Mendoza (fotografía 26, consultable a foja trescientos cincuenta del mismo cuaderno mencionado) integrantes de las planillas roja y blanca, respectivamente, diversas planillas a la ganadora. </w:t>
      </w:r>
    </w:p>
    <w:p w14:paraId="20AA5A8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25FC0D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Por tanto, la única descripción que esboza el recurrente respecto de las pruebas referidas, carece de veracidad en el caso concreto, de ahí que tales pruebas no puedan constituir un indicio por sí y sólo podrían acreditar la pretensión del accionante si se hubiesen </w:t>
      </w:r>
      <w:r w:rsidRPr="00791593">
        <w:rPr>
          <w:rFonts w:ascii="Arial" w:eastAsia="Times New Roman" w:hAnsi="Arial" w:cs="Arial"/>
          <w:bCs/>
          <w:sz w:val="28"/>
          <w:szCs w:val="28"/>
          <w:lang w:val="es-ES" w:eastAsia="es-ES"/>
        </w:rPr>
        <w:lastRenderedPageBreak/>
        <w:t xml:space="preserve">adminiculado a otros medios probatorios que demostraran los mismos hechos, lo que no ocurre en este caso. </w:t>
      </w:r>
    </w:p>
    <w:p w14:paraId="6E74C83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1330D2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B. Escritos de testimonios.</w:t>
      </w:r>
      <w:r w:rsidRPr="00791593">
        <w:rPr>
          <w:rFonts w:ascii="Arial" w:eastAsia="Times New Roman" w:hAnsi="Arial" w:cs="Arial"/>
          <w:bCs/>
          <w:sz w:val="28"/>
          <w:szCs w:val="28"/>
          <w:lang w:val="es-ES" w:eastAsia="es-ES"/>
        </w:rPr>
        <w:t xml:space="preserve"> En lo que toca a los catorce escritos elaborados por diversos ciudadanos, a través de los cuales se hacen diversas manifestaciones respecto del proceso electivo de concejales en San Juan Mixtepec, Juxtlahuaca, Oaxaca, se estima que son insuficientes para acreditar las afirmaciones del actor. </w:t>
      </w:r>
    </w:p>
    <w:p w14:paraId="6E8D4D9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DE6765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efecto, las testimoniales que obran en los documentos referidos sólo podrían aportar indicios, puesto que en la elaboración de dicha prueba no se involucra directamente al juzgador, ni asiste el contrario al oferente de la prueba, por lo que tal falta de inmediación merma el valor que pudiera tener esta probanza, al favorecer la posibilidad de que el oferente la prepare </w:t>
      </w:r>
      <w:r w:rsidRPr="00791593">
        <w:rPr>
          <w:rFonts w:ascii="Arial" w:eastAsia="Times New Roman" w:hAnsi="Arial" w:cs="Arial"/>
          <w:bCs/>
          <w:i/>
          <w:sz w:val="28"/>
          <w:szCs w:val="28"/>
          <w:lang w:val="es-ES" w:eastAsia="es-ES"/>
        </w:rPr>
        <w:t>ad hoc</w:t>
      </w:r>
      <w:r w:rsidRPr="00791593">
        <w:rPr>
          <w:rFonts w:ascii="Arial" w:eastAsia="Times New Roman" w:hAnsi="Arial" w:cs="Arial"/>
          <w:bCs/>
          <w:i/>
          <w:sz w:val="28"/>
          <w:szCs w:val="28"/>
          <w:vertAlign w:val="superscript"/>
          <w:lang w:val="es-ES" w:eastAsia="es-ES"/>
        </w:rPr>
        <w:footnoteReference w:id="21"/>
      </w:r>
      <w:r w:rsidRPr="00791593">
        <w:rPr>
          <w:rFonts w:ascii="Arial" w:eastAsia="Times New Roman" w:hAnsi="Arial" w:cs="Arial"/>
          <w:bCs/>
          <w:sz w:val="28"/>
          <w:szCs w:val="28"/>
          <w:lang w:val="es-ES" w:eastAsia="es-ES"/>
        </w:rPr>
        <w:t>, es decir, atendiendo a sus intereses.</w:t>
      </w:r>
    </w:p>
    <w:p w14:paraId="4D55E0F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2A4078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el caso, las documentales de trato sólo constituyen actos unilaterales de los ciudadanos, puesto que no fueron adminiculadas a otras pruebas que demostraran los mismos hechos, de modo que, incluso soslayando los requisitos formales que conforme a las leyes corresponden a las testimoniales, la fuerza convictiva de los citados escritos no puede ser mayor que la indiciaria, pues devienen en meras declaraciones unilaterales.</w:t>
      </w:r>
    </w:p>
    <w:p w14:paraId="19C258F5" w14:textId="77777777" w:rsidR="00DF77D2" w:rsidRPr="00791593" w:rsidRDefault="00DF77D2" w:rsidP="00DF77D2">
      <w:pPr>
        <w:spacing w:after="0" w:line="360" w:lineRule="auto"/>
        <w:jc w:val="both"/>
        <w:rPr>
          <w:rFonts w:ascii="Arial" w:eastAsia="Times New Roman" w:hAnsi="Arial" w:cs="Arial"/>
          <w:bCs/>
          <w:sz w:val="28"/>
          <w:szCs w:val="28"/>
          <w:lang w:val="es-ES" w:eastAsia="es-ES"/>
        </w:rPr>
      </w:pPr>
    </w:p>
    <w:p w14:paraId="4FDB736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Asimismo, del análisis de trece escritos, se advierte que las declaraciones que constan en los mismos en forma alguna resultan idóneas para acreditar el dicho del actor en el sentido de que la planilla azul fue ganadora por el reparto de despensas o material de construcción a cambio del voto.</w:t>
      </w:r>
    </w:p>
    <w:p w14:paraId="30E77D2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BB829B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efecto, del estudio de las constancias correspondientes, las cuales obran de foja 293 a foja 336 del cuaderno accesorio dos del presente expediente, se advierte que los ciudadanos Modesto López Ramírez, Celsa Felicitas Salazar Sánchez, Luis Martínez Bautista, Silvana López Salazar, Dagoberto López Salazar, Irene Bautista, Angélica Hernández López, José Celedonio López López, Marcela Santiago Rojas, Teófila Maura Bautista Nieves, Agustín Santiago Coronel, Ramón Genaro Ramírez López, Antonio López Bautista, Feliciano Velasco Sánchez, Felipa Aquino García, Cecilia Aurelia Sánchez Gabriel, Félix Pedro Velasco García, Felipa Alejandra Sánchez Santiago, Griselda Sánchez Hernández y Felipe Pascual Cruz formularon diversas manifestaciones, las cuales se resumen en los siguientes puntos:</w:t>
      </w:r>
    </w:p>
    <w:p w14:paraId="23260DD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5ED538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1.- Inducción al voto por parte de la planilla roja y blanca. </w:t>
      </w:r>
    </w:p>
    <w:p w14:paraId="7CA985B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2.- Entrega de despensas por parte de la planilla roja y blanca.</w:t>
      </w:r>
    </w:p>
    <w:p w14:paraId="0E7C392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3.- Ofrecimiento de toneladas de cemento para votar por la planilla blanca.</w:t>
      </w:r>
    </w:p>
    <w:p w14:paraId="4EA9DF3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4.- Irregularidades varias (distintas de la inducción al voto y la entrega de despensas) en las casillas 1193 B, 1195 B, 1195 C1, 1197, 1199, 1200, 1201, 1201 C1 y 1202.</w:t>
      </w:r>
    </w:p>
    <w:p w14:paraId="65E439F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7F906010"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Como se aprecia, del contenido de los escritos referidos sólo se advierten manifestaciones en contra de las planillas roja y blanca, diversas que la planilla ganadora (azul), por lo que es evidente que no podrían generar la convicción que se pretende, ya que del escrito de recurso se desprende claramente que la petición del accionante se basa en demostrar que la planilla azul indujo al voto al electorado, a través de la entrega de despensas y cemento, situación que no se advierte del texto de las documentales aludidas.</w:t>
      </w:r>
    </w:p>
    <w:p w14:paraId="60C253E0" w14:textId="77777777" w:rsidR="00DF77D2" w:rsidRPr="00791593" w:rsidRDefault="00DF77D2" w:rsidP="00DF77D2">
      <w:pPr>
        <w:spacing w:after="0" w:line="360" w:lineRule="auto"/>
        <w:jc w:val="both"/>
        <w:rPr>
          <w:rFonts w:ascii="Arial" w:eastAsia="Times New Roman" w:hAnsi="Arial" w:cs="Arial"/>
          <w:bCs/>
          <w:sz w:val="28"/>
          <w:szCs w:val="28"/>
          <w:lang w:val="es-ES" w:eastAsia="es-ES"/>
        </w:rPr>
      </w:pPr>
    </w:p>
    <w:p w14:paraId="1A18A13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Ahora bien, en lo tocante al escrito de Juana Hernández López, en donde indica que hubo inducción al voto a favor de la planilla azul, dicho escrito sólo puede constituir un hecho aislado, que aún analizado desde la perspectiva de flexibilizar las reglas probatorias en el caso, resulta insuficiente para generar convicción en el sentido que sostiene el recurrente, sobre todo porque ni las fotografías ofrecidas o los escritos de incidentes demuestran el mismo hecho.</w:t>
      </w:r>
    </w:p>
    <w:p w14:paraId="3DECFFCA" w14:textId="77777777" w:rsidR="00DF77D2" w:rsidRPr="00791593" w:rsidRDefault="00DF77D2" w:rsidP="00DF77D2">
      <w:pPr>
        <w:spacing w:after="0" w:line="360" w:lineRule="auto"/>
        <w:jc w:val="both"/>
        <w:rPr>
          <w:rFonts w:ascii="Arial" w:eastAsia="Times New Roman" w:hAnsi="Arial" w:cs="Arial"/>
          <w:bCs/>
          <w:sz w:val="28"/>
          <w:szCs w:val="28"/>
          <w:lang w:val="es-ES" w:eastAsia="es-ES"/>
        </w:rPr>
      </w:pPr>
    </w:p>
    <w:p w14:paraId="481DAF3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esta virtud, al realizar una valoración flexible en términos de lo descrito en la primera parte de este considerando, debe concluirse que en el caso, es irrelevante el carácter indiciario de las pruebas testimoniales, puesto que el contenido de las mismas denota una realidad distinta a la planteada por el actor como hecho controvertido, al no acreditarse a través de los ellos que la planilla azul haya </w:t>
      </w:r>
      <w:r w:rsidRPr="00791593">
        <w:rPr>
          <w:rFonts w:ascii="Arial" w:eastAsia="Times New Roman" w:hAnsi="Arial" w:cs="Arial"/>
          <w:bCs/>
          <w:sz w:val="28"/>
          <w:szCs w:val="28"/>
          <w:lang w:val="es-ES" w:eastAsia="es-ES"/>
        </w:rPr>
        <w:lastRenderedPageBreak/>
        <w:t>coaccionado el voto de la ciudadanía en la región a través de las dádivas mencionadas.</w:t>
      </w:r>
    </w:p>
    <w:p w14:paraId="35D6B73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940106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Por último, es preciso destacar que, en su caso, el recurrente solo está presentando catorce escritos, cuando la diferencia con el primer lugar es de trescientos sesenta y ocho votos, hecho que fue invocado por la responsable en la resolución y que no se combate en esta instancia.</w:t>
      </w:r>
    </w:p>
    <w:p w14:paraId="79C1FB35" w14:textId="77777777" w:rsidR="00DF77D2" w:rsidRPr="00791593" w:rsidRDefault="00DF77D2" w:rsidP="00DF77D2">
      <w:pPr>
        <w:spacing w:after="0" w:line="360" w:lineRule="auto"/>
        <w:ind w:firstLine="709"/>
        <w:jc w:val="both"/>
        <w:rPr>
          <w:rFonts w:ascii="Arial" w:eastAsia="Times New Roman" w:hAnsi="Arial" w:cs="Arial"/>
          <w:b/>
          <w:bCs/>
          <w:sz w:val="28"/>
          <w:szCs w:val="28"/>
          <w:lang w:val="es-ES" w:eastAsia="es-ES"/>
        </w:rPr>
      </w:pPr>
    </w:p>
    <w:p w14:paraId="21CF1E8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C. Escritos de incidentes.</w:t>
      </w:r>
      <w:r w:rsidRPr="00791593">
        <w:rPr>
          <w:rFonts w:ascii="Arial" w:eastAsia="Times New Roman" w:hAnsi="Arial" w:cs="Arial"/>
          <w:bCs/>
          <w:sz w:val="28"/>
          <w:szCs w:val="28"/>
          <w:lang w:val="es-ES" w:eastAsia="es-ES"/>
        </w:rPr>
        <w:t xml:space="preserve"> Ahora bien, por lo que respecta a los dos escritos de incidentes presentados respectivamente por las planillas amarilla y azul ante el Consejo Electoral Municipal, se advierte que en ellos se hicieron manifestaciones respecto de diversas irregularidades, las cuales no guardan coincidencia alguna o relación con la supuesta inducción al voto a través del otorgamiento de dádivas por parte de la planilla azul, tal como se aprecia a continuación:</w:t>
      </w:r>
    </w:p>
    <w:p w14:paraId="21D23D9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tbl>
      <w:tblPr>
        <w:tblStyle w:val="Tablaconcuadrcula"/>
        <w:tblW w:w="0" w:type="auto"/>
        <w:tblLook w:val="04A0" w:firstRow="1" w:lastRow="0" w:firstColumn="1" w:lastColumn="0" w:noHBand="0" w:noVBand="1"/>
      </w:tblPr>
      <w:tblGrid>
        <w:gridCol w:w="4422"/>
        <w:gridCol w:w="4406"/>
      </w:tblGrid>
      <w:tr w:rsidR="00DF77D2" w:rsidRPr="00791593" w14:paraId="25898A82" w14:textId="77777777" w:rsidTr="00DF77D2">
        <w:trPr>
          <w:tblHeader/>
        </w:trPr>
        <w:tc>
          <w:tcPr>
            <w:tcW w:w="8978" w:type="dxa"/>
            <w:gridSpan w:val="2"/>
            <w:shd w:val="clear" w:color="auto" w:fill="C4BC96"/>
          </w:tcPr>
          <w:p w14:paraId="19928874" w14:textId="77777777" w:rsidR="00DF77D2" w:rsidRPr="00791593" w:rsidRDefault="00DF77D2" w:rsidP="00DF77D2">
            <w:pPr>
              <w:jc w:val="center"/>
              <w:rPr>
                <w:rFonts w:ascii="Arial" w:hAnsi="Arial" w:cs="Arial"/>
                <w:b/>
              </w:rPr>
            </w:pPr>
            <w:r w:rsidRPr="00791593">
              <w:rPr>
                <w:rFonts w:ascii="Arial" w:hAnsi="Arial" w:cs="Arial"/>
                <w:b/>
              </w:rPr>
              <w:t>ESCRITOS DE INCIDENTES</w:t>
            </w:r>
            <w:r w:rsidRPr="00791593">
              <w:rPr>
                <w:rFonts w:ascii="Arial" w:hAnsi="Arial" w:cs="Arial"/>
                <w:b/>
                <w:vertAlign w:val="superscript"/>
              </w:rPr>
              <w:footnoteReference w:id="22"/>
            </w:r>
          </w:p>
        </w:tc>
      </w:tr>
      <w:tr w:rsidR="00DF77D2" w:rsidRPr="00791593" w14:paraId="24800290" w14:textId="77777777" w:rsidTr="00DF77D2">
        <w:trPr>
          <w:tblHeader/>
        </w:trPr>
        <w:tc>
          <w:tcPr>
            <w:tcW w:w="4489" w:type="dxa"/>
            <w:shd w:val="clear" w:color="auto" w:fill="C4BC96"/>
          </w:tcPr>
          <w:p w14:paraId="289351D4" w14:textId="77777777" w:rsidR="00DF77D2" w:rsidRPr="00791593" w:rsidRDefault="00DF77D2" w:rsidP="00DF77D2">
            <w:pPr>
              <w:jc w:val="center"/>
              <w:rPr>
                <w:rFonts w:ascii="Arial" w:hAnsi="Arial" w:cs="Arial"/>
                <w:b/>
              </w:rPr>
            </w:pPr>
            <w:r w:rsidRPr="00791593">
              <w:rPr>
                <w:rFonts w:ascii="Arial" w:hAnsi="Arial" w:cs="Arial"/>
                <w:b/>
              </w:rPr>
              <w:t>PLANILLA AMARILLA</w:t>
            </w:r>
          </w:p>
        </w:tc>
        <w:tc>
          <w:tcPr>
            <w:tcW w:w="4489" w:type="dxa"/>
            <w:shd w:val="clear" w:color="auto" w:fill="C4BC96"/>
          </w:tcPr>
          <w:p w14:paraId="36B6F920" w14:textId="77777777" w:rsidR="00DF77D2" w:rsidRPr="00791593" w:rsidRDefault="00DF77D2" w:rsidP="00DF77D2">
            <w:pPr>
              <w:jc w:val="center"/>
              <w:rPr>
                <w:rFonts w:ascii="Arial" w:hAnsi="Arial" w:cs="Arial"/>
                <w:b/>
              </w:rPr>
            </w:pPr>
            <w:r w:rsidRPr="00791593">
              <w:rPr>
                <w:rFonts w:ascii="Arial" w:hAnsi="Arial" w:cs="Arial"/>
                <w:b/>
              </w:rPr>
              <w:t>PLANILLA AZUL</w:t>
            </w:r>
          </w:p>
        </w:tc>
      </w:tr>
      <w:tr w:rsidR="00DF77D2" w:rsidRPr="00791593" w14:paraId="433A41E9" w14:textId="77777777" w:rsidTr="004D6EB2">
        <w:tc>
          <w:tcPr>
            <w:tcW w:w="4489" w:type="dxa"/>
          </w:tcPr>
          <w:p w14:paraId="5DEF2228" w14:textId="77777777" w:rsidR="00DF77D2" w:rsidRPr="00791593" w:rsidRDefault="00DF77D2" w:rsidP="00DF77D2">
            <w:pPr>
              <w:tabs>
                <w:tab w:val="left" w:pos="426"/>
              </w:tabs>
              <w:ind w:left="142"/>
              <w:contextualSpacing/>
              <w:jc w:val="both"/>
              <w:rPr>
                <w:rFonts w:ascii="Arial" w:hAnsi="Arial" w:cs="Arial"/>
              </w:rPr>
            </w:pPr>
          </w:p>
          <w:p w14:paraId="39FE3C30" w14:textId="77777777" w:rsidR="00DF77D2" w:rsidRPr="00791593" w:rsidRDefault="00DF77D2" w:rsidP="008D1689">
            <w:pPr>
              <w:numPr>
                <w:ilvl w:val="0"/>
                <w:numId w:val="2"/>
              </w:numPr>
              <w:tabs>
                <w:tab w:val="left" w:pos="426"/>
              </w:tabs>
              <w:ind w:firstLine="142"/>
              <w:contextualSpacing/>
              <w:jc w:val="both"/>
              <w:rPr>
                <w:rFonts w:ascii="Arial" w:hAnsi="Arial" w:cs="Arial"/>
              </w:rPr>
            </w:pPr>
            <w:r w:rsidRPr="00791593">
              <w:rPr>
                <w:rFonts w:ascii="Arial" w:hAnsi="Arial" w:cs="Arial"/>
              </w:rPr>
              <w:t>A las ocho horas con cuarenta y cinco minutos, se recibió una llamada en Radio San Juan, en la que se denunció a Alberto Martínez, otrora agente municipal de Santa Cruz, por inducir al voto a favor de la planilla azul.</w:t>
            </w:r>
          </w:p>
          <w:p w14:paraId="6957C73D" w14:textId="77777777" w:rsidR="00DF77D2" w:rsidRPr="00791593" w:rsidRDefault="00DF77D2" w:rsidP="00DF77D2">
            <w:pPr>
              <w:tabs>
                <w:tab w:val="left" w:pos="426"/>
              </w:tabs>
              <w:ind w:left="142"/>
              <w:contextualSpacing/>
              <w:jc w:val="both"/>
              <w:rPr>
                <w:rFonts w:ascii="Arial" w:hAnsi="Arial" w:cs="Arial"/>
              </w:rPr>
            </w:pPr>
          </w:p>
          <w:p w14:paraId="67836C23" w14:textId="77777777" w:rsidR="00DF77D2" w:rsidRPr="00791593" w:rsidRDefault="00DF77D2" w:rsidP="008D1689">
            <w:pPr>
              <w:numPr>
                <w:ilvl w:val="0"/>
                <w:numId w:val="2"/>
              </w:numPr>
              <w:tabs>
                <w:tab w:val="left" w:pos="426"/>
              </w:tabs>
              <w:ind w:firstLine="142"/>
              <w:contextualSpacing/>
              <w:jc w:val="both"/>
              <w:rPr>
                <w:rFonts w:ascii="Arial" w:hAnsi="Arial" w:cs="Arial"/>
              </w:rPr>
            </w:pPr>
            <w:r w:rsidRPr="00791593">
              <w:rPr>
                <w:rFonts w:ascii="Arial" w:hAnsi="Arial" w:cs="Arial"/>
              </w:rPr>
              <w:t>No se permitió votar a diversas personas, a pesar de contar con su credencial de elector.</w:t>
            </w:r>
          </w:p>
          <w:p w14:paraId="37D87A05" w14:textId="77777777" w:rsidR="00DF77D2" w:rsidRPr="00791593" w:rsidRDefault="00DF77D2" w:rsidP="00DF77D2">
            <w:pPr>
              <w:ind w:left="720"/>
              <w:contextualSpacing/>
              <w:rPr>
                <w:rFonts w:ascii="Arial" w:hAnsi="Arial" w:cs="Arial"/>
              </w:rPr>
            </w:pPr>
          </w:p>
          <w:p w14:paraId="06CDDC99" w14:textId="77777777" w:rsidR="00DF77D2" w:rsidRPr="00791593" w:rsidRDefault="00DF77D2" w:rsidP="008D1689">
            <w:pPr>
              <w:numPr>
                <w:ilvl w:val="0"/>
                <w:numId w:val="2"/>
              </w:numPr>
              <w:tabs>
                <w:tab w:val="left" w:pos="426"/>
              </w:tabs>
              <w:ind w:firstLine="142"/>
              <w:contextualSpacing/>
              <w:jc w:val="both"/>
              <w:rPr>
                <w:rFonts w:ascii="Arial" w:hAnsi="Arial" w:cs="Arial"/>
              </w:rPr>
            </w:pPr>
            <w:r w:rsidRPr="00791593">
              <w:rPr>
                <w:rFonts w:ascii="Arial" w:hAnsi="Arial" w:cs="Arial"/>
              </w:rPr>
              <w:t>La Presidenta de la casilla 1195 se introducía constantemente en la mampara donde los ciudadanos emitían su voto.</w:t>
            </w:r>
          </w:p>
          <w:p w14:paraId="229497B3" w14:textId="77777777" w:rsidR="00DF77D2" w:rsidRPr="00791593" w:rsidRDefault="00DF77D2" w:rsidP="00DF77D2">
            <w:pPr>
              <w:ind w:left="720"/>
              <w:contextualSpacing/>
              <w:rPr>
                <w:rFonts w:ascii="Arial" w:hAnsi="Arial" w:cs="Arial"/>
              </w:rPr>
            </w:pPr>
          </w:p>
          <w:p w14:paraId="398C77C2" w14:textId="77777777" w:rsidR="00DF77D2" w:rsidRPr="00791593" w:rsidRDefault="00DF77D2" w:rsidP="008D1689">
            <w:pPr>
              <w:numPr>
                <w:ilvl w:val="0"/>
                <w:numId w:val="2"/>
              </w:numPr>
              <w:tabs>
                <w:tab w:val="left" w:pos="426"/>
              </w:tabs>
              <w:ind w:firstLine="142"/>
              <w:contextualSpacing/>
              <w:jc w:val="both"/>
              <w:rPr>
                <w:rFonts w:ascii="Arial" w:hAnsi="Arial" w:cs="Arial"/>
              </w:rPr>
            </w:pPr>
            <w:r w:rsidRPr="00791593">
              <w:rPr>
                <w:rFonts w:ascii="Arial" w:hAnsi="Arial" w:cs="Arial"/>
              </w:rPr>
              <w:t>Los Presidentes de casilla, emitieron el voto de diversos ciudadanos sin autorización.</w:t>
            </w:r>
          </w:p>
          <w:p w14:paraId="5CDB1D20" w14:textId="77777777" w:rsidR="00DF77D2" w:rsidRPr="00791593" w:rsidRDefault="00DF77D2" w:rsidP="00DF77D2">
            <w:pPr>
              <w:ind w:left="720"/>
              <w:contextualSpacing/>
              <w:rPr>
                <w:rFonts w:ascii="Arial" w:hAnsi="Arial" w:cs="Arial"/>
              </w:rPr>
            </w:pPr>
          </w:p>
          <w:p w14:paraId="5CF931AF" w14:textId="77777777" w:rsidR="00DF77D2" w:rsidRPr="00791593" w:rsidRDefault="00DF77D2" w:rsidP="008D1689">
            <w:pPr>
              <w:numPr>
                <w:ilvl w:val="0"/>
                <w:numId w:val="2"/>
              </w:numPr>
              <w:tabs>
                <w:tab w:val="left" w:pos="426"/>
              </w:tabs>
              <w:ind w:firstLine="142"/>
              <w:contextualSpacing/>
              <w:jc w:val="both"/>
              <w:rPr>
                <w:rFonts w:ascii="Arial" w:hAnsi="Arial" w:cs="Arial"/>
              </w:rPr>
            </w:pPr>
            <w:r w:rsidRPr="00791593">
              <w:rPr>
                <w:rFonts w:ascii="Arial" w:hAnsi="Arial" w:cs="Arial"/>
              </w:rPr>
              <w:t>En la casilla 1199 Contigua sin motivo la Policía Preventiva Estatal retiró al representante suplente de la planilla amarilla.</w:t>
            </w:r>
          </w:p>
          <w:p w14:paraId="5EF3F757" w14:textId="77777777" w:rsidR="00DF77D2" w:rsidRPr="00791593" w:rsidRDefault="00DF77D2" w:rsidP="00DF77D2">
            <w:pPr>
              <w:jc w:val="both"/>
              <w:rPr>
                <w:rFonts w:ascii="Arial" w:hAnsi="Arial" w:cs="Arial"/>
              </w:rPr>
            </w:pPr>
          </w:p>
        </w:tc>
        <w:tc>
          <w:tcPr>
            <w:tcW w:w="4489" w:type="dxa"/>
          </w:tcPr>
          <w:p w14:paraId="5064AC9B" w14:textId="77777777" w:rsidR="00DF77D2" w:rsidRPr="00791593" w:rsidRDefault="00DF77D2" w:rsidP="00DF77D2">
            <w:pPr>
              <w:tabs>
                <w:tab w:val="left" w:pos="614"/>
              </w:tabs>
              <w:ind w:left="331"/>
              <w:contextualSpacing/>
              <w:jc w:val="both"/>
              <w:rPr>
                <w:rFonts w:ascii="Arial" w:hAnsi="Arial" w:cs="Arial"/>
              </w:rPr>
            </w:pPr>
          </w:p>
          <w:p w14:paraId="413E94A5" w14:textId="77777777" w:rsidR="00DF77D2" w:rsidRPr="00791593" w:rsidRDefault="00DF77D2" w:rsidP="008D1689">
            <w:pPr>
              <w:numPr>
                <w:ilvl w:val="0"/>
                <w:numId w:val="2"/>
              </w:numPr>
              <w:tabs>
                <w:tab w:val="left" w:pos="614"/>
              </w:tabs>
              <w:ind w:left="47" w:firstLine="284"/>
              <w:contextualSpacing/>
              <w:jc w:val="both"/>
              <w:rPr>
                <w:rFonts w:ascii="Arial" w:hAnsi="Arial" w:cs="Arial"/>
              </w:rPr>
            </w:pPr>
            <w:r w:rsidRPr="00791593">
              <w:rPr>
                <w:rFonts w:ascii="Arial" w:hAnsi="Arial" w:cs="Arial"/>
              </w:rPr>
              <w:t>Leonardo Bautista Cruz, locutor de la radio San Juanito, aproximadamente a las siete horas con treinta minutos hizo campaña a favor de la planilla amarilla.</w:t>
            </w:r>
          </w:p>
          <w:p w14:paraId="18D94BB8" w14:textId="77777777" w:rsidR="00DF77D2" w:rsidRPr="00791593" w:rsidRDefault="00DF77D2" w:rsidP="00DF77D2">
            <w:pPr>
              <w:tabs>
                <w:tab w:val="left" w:pos="614"/>
              </w:tabs>
              <w:ind w:left="331"/>
              <w:contextualSpacing/>
              <w:jc w:val="both"/>
              <w:rPr>
                <w:rFonts w:ascii="Arial" w:hAnsi="Arial" w:cs="Arial"/>
              </w:rPr>
            </w:pPr>
          </w:p>
          <w:p w14:paraId="633A9A26" w14:textId="77777777" w:rsidR="00DF77D2" w:rsidRPr="00791593" w:rsidRDefault="00DF77D2" w:rsidP="008D1689">
            <w:pPr>
              <w:numPr>
                <w:ilvl w:val="0"/>
                <w:numId w:val="2"/>
              </w:numPr>
              <w:tabs>
                <w:tab w:val="left" w:pos="614"/>
              </w:tabs>
              <w:ind w:left="47" w:firstLine="284"/>
              <w:contextualSpacing/>
              <w:jc w:val="both"/>
              <w:rPr>
                <w:rFonts w:ascii="Arial" w:hAnsi="Arial" w:cs="Arial"/>
              </w:rPr>
            </w:pPr>
            <w:r w:rsidRPr="00791593">
              <w:rPr>
                <w:rFonts w:ascii="Arial" w:hAnsi="Arial" w:cs="Arial"/>
              </w:rPr>
              <w:t xml:space="preserve">A las nueve horas con cuarenta minutos se entregó propaganda de campaña a favor de la planilla amarilla a Alfonso Gómez Santiago y Juana Ramírez López, dueños del molino de nixtamal ubicado la calle Emiliano Zapata sin número de la comunidad de San Miguel Lado, Mixtepec, para su reparto. </w:t>
            </w:r>
          </w:p>
          <w:p w14:paraId="5A388882" w14:textId="77777777" w:rsidR="00DF77D2" w:rsidRPr="00791593" w:rsidRDefault="00DF77D2" w:rsidP="00DF77D2">
            <w:pPr>
              <w:ind w:left="720"/>
              <w:contextualSpacing/>
              <w:rPr>
                <w:rFonts w:ascii="Arial" w:hAnsi="Arial" w:cs="Arial"/>
              </w:rPr>
            </w:pPr>
          </w:p>
          <w:p w14:paraId="45D9C1DC" w14:textId="77777777" w:rsidR="00DF77D2" w:rsidRPr="00791593" w:rsidRDefault="00DF77D2" w:rsidP="008D1689">
            <w:pPr>
              <w:numPr>
                <w:ilvl w:val="0"/>
                <w:numId w:val="2"/>
              </w:numPr>
              <w:tabs>
                <w:tab w:val="left" w:pos="614"/>
              </w:tabs>
              <w:ind w:left="47" w:firstLine="284"/>
              <w:contextualSpacing/>
              <w:jc w:val="both"/>
              <w:rPr>
                <w:rFonts w:ascii="Arial" w:hAnsi="Arial" w:cs="Arial"/>
              </w:rPr>
            </w:pPr>
            <w:r w:rsidRPr="00791593">
              <w:rPr>
                <w:rFonts w:ascii="Arial" w:hAnsi="Arial" w:cs="Arial"/>
              </w:rPr>
              <w:lastRenderedPageBreak/>
              <w:t>Durante la jornada electoral un funcionario de la planilla roja utilizó un lapicero o bolígrafo de su campaña.</w:t>
            </w:r>
          </w:p>
          <w:p w14:paraId="4DEEFE92" w14:textId="77777777" w:rsidR="00DF77D2" w:rsidRPr="00791593" w:rsidRDefault="00DF77D2" w:rsidP="00DF77D2">
            <w:pPr>
              <w:ind w:left="720"/>
              <w:contextualSpacing/>
              <w:rPr>
                <w:rFonts w:ascii="Arial" w:hAnsi="Arial" w:cs="Arial"/>
              </w:rPr>
            </w:pPr>
          </w:p>
          <w:p w14:paraId="64A90539" w14:textId="77777777" w:rsidR="00DF77D2" w:rsidRPr="00791593" w:rsidRDefault="00DF77D2" w:rsidP="008D1689">
            <w:pPr>
              <w:numPr>
                <w:ilvl w:val="0"/>
                <w:numId w:val="2"/>
              </w:numPr>
              <w:tabs>
                <w:tab w:val="left" w:pos="614"/>
              </w:tabs>
              <w:ind w:left="47" w:firstLine="284"/>
              <w:contextualSpacing/>
              <w:jc w:val="both"/>
              <w:rPr>
                <w:rFonts w:ascii="Arial" w:hAnsi="Arial" w:cs="Arial"/>
              </w:rPr>
            </w:pPr>
            <w:r w:rsidRPr="00791593">
              <w:rPr>
                <w:rFonts w:ascii="Arial" w:hAnsi="Arial" w:cs="Arial"/>
              </w:rPr>
              <w:t xml:space="preserve">En la fila para votar, algunos ciudadanos llevaban propaganda electoral de la planilla amarilla.   </w:t>
            </w:r>
          </w:p>
        </w:tc>
      </w:tr>
    </w:tbl>
    <w:p w14:paraId="2CFF5832" w14:textId="77777777" w:rsidR="00DF77D2" w:rsidRPr="00791593" w:rsidRDefault="00DF77D2" w:rsidP="00DF77D2">
      <w:pPr>
        <w:spacing w:after="0" w:line="360" w:lineRule="auto"/>
        <w:ind w:firstLine="709"/>
        <w:jc w:val="both"/>
        <w:rPr>
          <w:rFonts w:ascii="Arial" w:eastAsia="Times New Roman" w:hAnsi="Arial" w:cs="Arial"/>
          <w:sz w:val="28"/>
          <w:szCs w:val="28"/>
          <w:lang w:eastAsia="es-MX"/>
        </w:rPr>
      </w:pPr>
    </w:p>
    <w:p w14:paraId="5AE733C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primer lugar, se aprecia que uno de los escritos de incidentes fue formulado precisamente por la planilla azul, esto es, la planilla ganadora, y en él no se observan elementos que permitan acreditar el dicho del impugnante, por el contrario, solo se aducen irregularidades a cargo de otras planillas, por lo que no resulta idóneo para las pretensiones del recurrente.</w:t>
      </w:r>
    </w:p>
    <w:p w14:paraId="72B958CA"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B9029E1"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Ahora bien, como se aprecia, dentro de las incidencias manifestadas por la planilla amarilla ante la autoridad electoral municipal, no se incluyó que la planilla azul hubiese entregado a los ciudadanos despensas o cemento para coaccionar el voto, por lo que cualquier cuestión distinta a ello, escapa de las pretensiones probatorias del recurrente y constituyen hechos distintos a los controvertidos.</w:t>
      </w:r>
    </w:p>
    <w:p w14:paraId="74A3772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E1FDC6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adición a ello, debe considerarse que tales documentos no dejan de ser pruebas privadas que solo tienen valor indiciario y para lograr una eficacia plena debían haberse vinculado a otras pruebas que demostraran los mismos hechos, a fin de que la autoridad jurisdiccional estuviera en aptitud de determinar si generaban o no convicción los hechos demostrados.</w:t>
      </w:r>
    </w:p>
    <w:p w14:paraId="67573A5A" w14:textId="77777777" w:rsidR="00DF77D2" w:rsidRPr="00791593" w:rsidRDefault="00DF77D2" w:rsidP="00DF77D2">
      <w:pPr>
        <w:spacing w:after="0" w:line="360" w:lineRule="auto"/>
        <w:jc w:val="both"/>
        <w:rPr>
          <w:rFonts w:ascii="Arial" w:eastAsia="Times New Roman" w:hAnsi="Arial" w:cs="Arial"/>
          <w:bCs/>
          <w:sz w:val="28"/>
          <w:szCs w:val="28"/>
          <w:lang w:val="es-ES" w:eastAsia="es-ES"/>
        </w:rPr>
      </w:pPr>
    </w:p>
    <w:p w14:paraId="18666DD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Tampoco le asiste la razón al recurrente cuando sostiene que debió realizarse una valoración conjunta de las pruebas ofrecidas, puesto que por principio de cuentas, las pruebas presentadas en el expediente, como ya se dijo, no generan convicción alguna y, por otro lado, tratan de demostrar hechos diversos, que corresponderían, en su caso, a distintas irregularidades.</w:t>
      </w:r>
    </w:p>
    <w:p w14:paraId="2C91384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A2823A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Efectivamente, tal como se precisó con antelación, las fotografías pretenden demostrar la inducción al voto a través de dádivas (despensas y cemento), los escritos de ciudadanos relatan irregularidades genéricas e inducción al voto por parte de las planillas roja y blanca y los escritos de incidentes refieren a otro tipo de irregularidades, como se precisó en el anterior cuadro.</w:t>
      </w:r>
    </w:p>
    <w:p w14:paraId="50ED8CA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443A80B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Como se aprecia, no existe manera de vincular jurídicamente las cuestiones que se aprecian de las imágenes ofrecidas, con los hechos que se manifiestan en los escritos de los ciudadanos, ni con lo asentado en los escritos de incidentes, porque, en primer lugar, porque solo podrían llegar a tener valor indiciario y en segundo, porque no pueden adminicularse entre sí, ya que versan sobre hechos distintos.</w:t>
      </w:r>
    </w:p>
    <w:p w14:paraId="1369E632"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0B0D89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Ante la imposibilidad de vincular las pruebas mencionadas por versar sobre cuestiones distintas entre sí, resulta también imposible valorarlas conjuntamente, de manera que son insuficientes para demostrar los extremos de la acción del recurrente.</w:t>
      </w:r>
    </w:p>
    <w:p w14:paraId="7B71FD2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F0AD63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Como se aprecia, las pruebas analizadas únicamente tienen valor indiciario y esta Sala Superior concluye que ineficaces para generar convicción en el presente caso, pues no tienen eficacia probatoria por sí, según las razones vertidas en cada caso y, como se dijo, no pueden vincularse entre ellas, al versar sobre hechos distintos.</w:t>
      </w:r>
    </w:p>
    <w:p w14:paraId="3DC96D7A" w14:textId="77777777" w:rsidR="00DF77D2" w:rsidRPr="00791593" w:rsidRDefault="00DF77D2" w:rsidP="00DF77D2">
      <w:pPr>
        <w:spacing w:after="0" w:line="360" w:lineRule="auto"/>
        <w:jc w:val="both"/>
        <w:rPr>
          <w:rFonts w:ascii="Arial" w:eastAsia="Times New Roman" w:hAnsi="Arial" w:cs="Arial"/>
          <w:bCs/>
          <w:sz w:val="28"/>
          <w:szCs w:val="28"/>
          <w:lang w:val="es-ES" w:eastAsia="es-ES"/>
        </w:rPr>
      </w:pPr>
    </w:p>
    <w:p w14:paraId="7379A53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efecto, las consecuencias que se pueden inferir de los indicios que aportan las pruebas estudiadas impiden llegar a la conclusión natural de que de estos derivaron de manera determinante en el resultado de la elección, al haber resultado de tal gravedad que implicaron presión sobre el electorado para condicionarlo a votar por quien obtuvo más votos en la elección.</w:t>
      </w:r>
    </w:p>
    <w:p w14:paraId="1CC3AB7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995932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este sentido, la alegada inducción al voto no quedó acreditada con las pruebas del expediente, ya que la presunta distribución de los recursos señalados impide inferir de qué manera incidieron en el curso y en el resultado de la elección, al derivar votos que tuvieron la presunción de haber sido emitidos en forma válida, salvo prueba plena en contrario, la cual no se constituyó en este caso con los indicios aportados al expediente por el inconforme.</w:t>
      </w:r>
    </w:p>
    <w:p w14:paraId="1A3BFFDD"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0AD384F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Bajo esta perspectiva, tampoco queda acreditado en el caso concreto, la violación a los principios constitucionales de certeza, legalidad y universalidad del voto, que el recurrente involucra en el presente caso, al no haberse demostrado la inducción al sufragio por parte de los contendientes en el proceso electivo de referencia.</w:t>
      </w:r>
    </w:p>
    <w:p w14:paraId="6FA01293"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AF5895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En consecuencia, al haberse agotado la valoración de las pruebas y al resultar que con ello no se revierte el sentido del fallo de la resolución impugnada, por lo expuesto en las consideraciones de la presente ejecutoria, lo procedente es confirmar los puntos resolutivos de la resolución impugnada.</w:t>
      </w:r>
    </w:p>
    <w:p w14:paraId="68A3874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489AE8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Por lo anteriormente expuesto y fundado se</w:t>
      </w:r>
    </w:p>
    <w:p w14:paraId="10F9FF16"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61BBBABE" w14:textId="77777777" w:rsidR="00DF77D2" w:rsidRPr="00791593" w:rsidRDefault="00DF77D2" w:rsidP="00DF77D2">
      <w:pPr>
        <w:spacing w:after="0" w:line="360" w:lineRule="auto"/>
        <w:jc w:val="center"/>
        <w:rPr>
          <w:rFonts w:ascii="Arial" w:eastAsia="Calibri" w:hAnsi="Arial" w:cs="Arial"/>
          <w:b/>
          <w:sz w:val="28"/>
          <w:szCs w:val="28"/>
          <w:lang w:val="es-ES_tradnl"/>
        </w:rPr>
      </w:pPr>
      <w:r w:rsidRPr="00791593">
        <w:rPr>
          <w:rFonts w:ascii="Arial" w:eastAsia="Calibri" w:hAnsi="Arial" w:cs="Arial"/>
          <w:b/>
          <w:sz w:val="28"/>
          <w:szCs w:val="28"/>
          <w:lang w:val="es-ES_tradnl"/>
        </w:rPr>
        <w:t xml:space="preserve">R E S U E L V E </w:t>
      </w:r>
    </w:p>
    <w:p w14:paraId="79F7FD5C" w14:textId="77777777" w:rsidR="00DF77D2" w:rsidRPr="00791593" w:rsidRDefault="00DF77D2" w:rsidP="00DF77D2">
      <w:pPr>
        <w:spacing w:after="0" w:line="360" w:lineRule="auto"/>
        <w:ind w:firstLine="709"/>
        <w:jc w:val="center"/>
        <w:rPr>
          <w:rFonts w:ascii="Arial" w:eastAsia="Calibri" w:hAnsi="Arial" w:cs="Arial"/>
          <w:b/>
          <w:sz w:val="28"/>
          <w:szCs w:val="28"/>
          <w:lang w:val="es-ES_tradnl"/>
        </w:rPr>
      </w:pPr>
    </w:p>
    <w:p w14:paraId="39BFB9AB"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ÚNICO.</w:t>
      </w:r>
      <w:r w:rsidRPr="00791593">
        <w:rPr>
          <w:rFonts w:ascii="Arial" w:eastAsia="Times New Roman" w:hAnsi="Arial" w:cs="Arial"/>
          <w:bCs/>
          <w:sz w:val="28"/>
          <w:szCs w:val="28"/>
          <w:lang w:val="es-ES" w:eastAsia="es-ES"/>
        </w:rPr>
        <w:t xml:space="preserve"> Por lo expuesto en las consideraciones, se </w:t>
      </w:r>
      <w:r w:rsidRPr="00791593">
        <w:rPr>
          <w:rFonts w:ascii="Arial" w:eastAsia="Times New Roman" w:hAnsi="Arial" w:cs="Arial"/>
          <w:b/>
          <w:bCs/>
          <w:sz w:val="28"/>
          <w:szCs w:val="28"/>
          <w:lang w:val="es-ES" w:eastAsia="es-ES"/>
        </w:rPr>
        <w:t>CONFIRMAN</w:t>
      </w:r>
      <w:r w:rsidRPr="00791593">
        <w:rPr>
          <w:rFonts w:ascii="Arial" w:eastAsia="Times New Roman" w:hAnsi="Arial" w:cs="Arial"/>
          <w:bCs/>
          <w:sz w:val="28"/>
          <w:szCs w:val="28"/>
          <w:lang w:val="es-ES" w:eastAsia="es-ES"/>
        </w:rPr>
        <w:t xml:space="preserve"> los puntos resolutivos de la sentencia de veinte de marzo de dos mil catorce, emitida por la Sala Regional del Tribunal Electoral del Poder Judicial de la Federación, correspondiente a la Tercera Circunscripción Plurinominal, con sede en Xalapa, Veracruz, en el juicio para la protección de los derechos político-electorales del ciudadano radicado con la clave SX-JDC-53/2014.</w:t>
      </w:r>
    </w:p>
    <w:p w14:paraId="0B42A9B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775AE18"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18A495A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 xml:space="preserve">Notifíquese por correo certificado </w:t>
      </w:r>
      <w:r w:rsidRPr="00791593">
        <w:rPr>
          <w:rFonts w:ascii="Arial" w:eastAsia="Times New Roman" w:hAnsi="Arial" w:cs="Arial"/>
          <w:bCs/>
          <w:sz w:val="28"/>
          <w:szCs w:val="28"/>
          <w:lang w:val="es-ES" w:eastAsia="es-ES"/>
        </w:rPr>
        <w:t xml:space="preserve">al recurrente en el domicilio señalado en el escrito de demanda; </w:t>
      </w:r>
      <w:r w:rsidRPr="00791593">
        <w:rPr>
          <w:rFonts w:ascii="Arial" w:eastAsia="Times New Roman" w:hAnsi="Arial" w:cs="Arial"/>
          <w:b/>
          <w:bCs/>
          <w:sz w:val="28"/>
          <w:szCs w:val="28"/>
          <w:lang w:val="es-ES" w:eastAsia="es-ES"/>
        </w:rPr>
        <w:t>por correo electrónico</w:t>
      </w:r>
      <w:r w:rsidRPr="00791593">
        <w:rPr>
          <w:rFonts w:ascii="Arial" w:eastAsia="Times New Roman" w:hAnsi="Arial" w:cs="Arial"/>
          <w:bCs/>
          <w:sz w:val="28"/>
          <w:szCs w:val="28"/>
          <w:lang w:val="es-ES" w:eastAsia="es-ES"/>
        </w:rPr>
        <w:t xml:space="preserve"> a la Sala Regional Xalapa de este Tribunal Electoral; por oficio, al Instituto Estatal Electoral y de Participación Ciudadana de Oaxaca; y </w:t>
      </w:r>
      <w:r w:rsidRPr="00791593">
        <w:rPr>
          <w:rFonts w:ascii="Arial" w:eastAsia="Times New Roman" w:hAnsi="Arial" w:cs="Arial"/>
          <w:b/>
          <w:bCs/>
          <w:sz w:val="28"/>
          <w:szCs w:val="28"/>
          <w:lang w:val="es-ES" w:eastAsia="es-ES"/>
        </w:rPr>
        <w:t>por estrados</w:t>
      </w:r>
      <w:r w:rsidRPr="00791593">
        <w:rPr>
          <w:rFonts w:ascii="Arial" w:eastAsia="Times New Roman" w:hAnsi="Arial" w:cs="Arial"/>
          <w:bCs/>
          <w:sz w:val="28"/>
          <w:szCs w:val="28"/>
          <w:lang w:val="es-ES" w:eastAsia="es-ES"/>
        </w:rPr>
        <w:t>, a los demás interesados.</w:t>
      </w:r>
    </w:p>
    <w:p w14:paraId="7D0EE835"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FEF3BB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57D24B5F"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lastRenderedPageBreak/>
        <w:t>Lo anterior, con fundamento en los artículos 26, párrafo 3, 28 y 29, de la Ley General del Sistema de Medios de Impugnación en Materia Electoral y los artículos 103 y 106 del Reglamento Interno del Tribunal Electoral del Poder Judicial de la Federación.</w:t>
      </w:r>
    </w:p>
    <w:p w14:paraId="39A25354"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236392DC"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p>
    <w:p w14:paraId="3E05D77E"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su oportunidad, devuélvanse los documentos atinentes y archívese el expediente como asunto total y definitivamente concluido.</w:t>
      </w:r>
    </w:p>
    <w:p w14:paraId="0128C0E3" w14:textId="77777777" w:rsidR="00DF77D2" w:rsidRPr="00791593" w:rsidRDefault="00DF77D2" w:rsidP="00DF77D2">
      <w:pPr>
        <w:tabs>
          <w:tab w:val="left" w:pos="3300"/>
        </w:tabs>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b/>
      </w:r>
    </w:p>
    <w:p w14:paraId="137C7C37" w14:textId="77777777" w:rsidR="00DF77D2" w:rsidRPr="00791593" w:rsidRDefault="00DF77D2" w:rsidP="00DF77D2">
      <w:pPr>
        <w:spacing w:after="0"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Así, por unanimidad de votos lo resolvieron los Magistrados que integran la Sala Superior del Tribunal Electoral del Poder Judicial de la Federación, en ausencia de los Magistrados Manuel González Oropeza y Salvador Olimpo Nava Gomar, ante el Secretario General de Acuerdos que autoriza y da fe.</w:t>
      </w:r>
    </w:p>
    <w:tbl>
      <w:tblPr>
        <w:tblW w:w="8062" w:type="dxa"/>
        <w:jc w:val="center"/>
        <w:tblCellSpacing w:w="0" w:type="dxa"/>
        <w:tblCellMar>
          <w:top w:w="60" w:type="dxa"/>
          <w:left w:w="60" w:type="dxa"/>
          <w:bottom w:w="60" w:type="dxa"/>
          <w:right w:w="60" w:type="dxa"/>
        </w:tblCellMar>
        <w:tblLook w:val="0000" w:firstRow="0" w:lastRow="0" w:firstColumn="0" w:lastColumn="0" w:noHBand="0" w:noVBand="0"/>
      </w:tblPr>
      <w:tblGrid>
        <w:gridCol w:w="4029"/>
        <w:gridCol w:w="4033"/>
      </w:tblGrid>
      <w:tr w:rsidR="00DF77D2" w:rsidRPr="00791593" w14:paraId="533F58DC" w14:textId="77777777" w:rsidTr="004D6EB2">
        <w:trPr>
          <w:tblCellSpacing w:w="0" w:type="dxa"/>
          <w:jc w:val="center"/>
        </w:trPr>
        <w:tc>
          <w:tcPr>
            <w:tcW w:w="5000" w:type="pct"/>
            <w:gridSpan w:val="2"/>
          </w:tcPr>
          <w:p w14:paraId="29B602DB" w14:textId="77777777" w:rsidR="00DF77D2" w:rsidRPr="00791593" w:rsidRDefault="00DF77D2" w:rsidP="00DF77D2">
            <w:pPr>
              <w:spacing w:after="0" w:line="240" w:lineRule="auto"/>
              <w:jc w:val="center"/>
              <w:rPr>
                <w:rFonts w:ascii="Arial" w:eastAsia="Times New Roman" w:hAnsi="Arial" w:cs="Arial"/>
                <w:b/>
                <w:bCs/>
                <w:sz w:val="28"/>
                <w:szCs w:val="28"/>
                <w:lang w:val="pt-BR" w:eastAsia="es-MX"/>
              </w:rPr>
            </w:pPr>
            <w:r w:rsidRPr="00791593">
              <w:rPr>
                <w:rFonts w:ascii="Arial" w:eastAsia="Times New Roman" w:hAnsi="Arial" w:cs="Arial"/>
                <w:b/>
                <w:bCs/>
                <w:sz w:val="28"/>
                <w:szCs w:val="28"/>
                <w:lang w:val="pt-BR" w:eastAsia="es-MX"/>
              </w:rPr>
              <w:t>MAGISTRADO PRESIDENTE</w:t>
            </w:r>
          </w:p>
          <w:p w14:paraId="4698455E" w14:textId="77777777" w:rsidR="00DF77D2" w:rsidRPr="00791593" w:rsidRDefault="00DF77D2" w:rsidP="00DF77D2">
            <w:pPr>
              <w:spacing w:after="0" w:line="240" w:lineRule="auto"/>
              <w:jc w:val="center"/>
              <w:rPr>
                <w:rFonts w:ascii="Arial" w:eastAsia="Times New Roman" w:hAnsi="Arial" w:cs="Arial"/>
                <w:b/>
                <w:bCs/>
                <w:sz w:val="28"/>
                <w:szCs w:val="28"/>
                <w:lang w:val="pt-BR" w:eastAsia="es-MX"/>
              </w:rPr>
            </w:pPr>
          </w:p>
          <w:p w14:paraId="5AA9F303" w14:textId="77777777" w:rsidR="00DF77D2" w:rsidRPr="00791593" w:rsidRDefault="00DF77D2" w:rsidP="00DF77D2">
            <w:pPr>
              <w:spacing w:after="0" w:line="240" w:lineRule="auto"/>
              <w:jc w:val="center"/>
              <w:rPr>
                <w:rFonts w:ascii="Arial" w:eastAsia="Times New Roman" w:hAnsi="Arial" w:cs="Arial"/>
                <w:b/>
                <w:bCs/>
                <w:sz w:val="28"/>
                <w:szCs w:val="28"/>
                <w:lang w:val="pt-BR" w:eastAsia="es-MX"/>
              </w:rPr>
            </w:pPr>
          </w:p>
          <w:p w14:paraId="44DCA3BD" w14:textId="77777777" w:rsidR="00DF77D2" w:rsidRPr="00791593" w:rsidRDefault="00DF77D2" w:rsidP="00DF77D2">
            <w:pPr>
              <w:spacing w:after="0" w:line="240" w:lineRule="auto"/>
              <w:jc w:val="center"/>
              <w:rPr>
                <w:rFonts w:ascii="Arial" w:eastAsia="Times New Roman" w:hAnsi="Arial" w:cs="Arial"/>
                <w:b/>
                <w:bCs/>
                <w:sz w:val="28"/>
                <w:szCs w:val="28"/>
                <w:lang w:val="pt-BR" w:eastAsia="es-MX"/>
              </w:rPr>
            </w:pPr>
          </w:p>
          <w:p w14:paraId="5F8267D8" w14:textId="77777777" w:rsidR="00DF77D2" w:rsidRPr="00791593" w:rsidRDefault="00DF77D2" w:rsidP="00DF77D2">
            <w:pPr>
              <w:spacing w:after="0" w:line="240" w:lineRule="auto"/>
              <w:jc w:val="center"/>
              <w:rPr>
                <w:rFonts w:ascii="Arial" w:eastAsia="Times New Roman" w:hAnsi="Arial" w:cs="Arial"/>
                <w:b/>
                <w:bCs/>
                <w:sz w:val="28"/>
                <w:szCs w:val="28"/>
                <w:lang w:val="pt-BR" w:eastAsia="es-MX"/>
              </w:rPr>
            </w:pPr>
          </w:p>
          <w:p w14:paraId="28D6AFAC" w14:textId="77777777" w:rsidR="00DF77D2" w:rsidRPr="00791593" w:rsidRDefault="00DF77D2" w:rsidP="00DF77D2">
            <w:pPr>
              <w:spacing w:after="0" w:line="240" w:lineRule="auto"/>
              <w:jc w:val="center"/>
              <w:rPr>
                <w:rFonts w:ascii="Arial" w:eastAsia="Times New Roman" w:hAnsi="Arial" w:cs="Arial"/>
                <w:b/>
                <w:bCs/>
                <w:sz w:val="28"/>
                <w:szCs w:val="28"/>
                <w:lang w:val="pt-BR" w:eastAsia="es-MX"/>
              </w:rPr>
            </w:pPr>
            <w:r w:rsidRPr="00791593">
              <w:rPr>
                <w:rFonts w:ascii="Arial" w:eastAsia="Times New Roman" w:hAnsi="Arial" w:cs="Arial"/>
                <w:b/>
                <w:bCs/>
                <w:sz w:val="28"/>
                <w:szCs w:val="28"/>
                <w:lang w:val="pt-BR" w:eastAsia="es-MX"/>
              </w:rPr>
              <w:t>JOSÉ ALEJANDRO LUNA RAMOS</w:t>
            </w:r>
          </w:p>
          <w:p w14:paraId="4F1E2A08" w14:textId="77777777" w:rsidR="00DF77D2" w:rsidRPr="00791593" w:rsidRDefault="00DF77D2" w:rsidP="00DF77D2">
            <w:pPr>
              <w:spacing w:after="0" w:line="240" w:lineRule="auto"/>
              <w:rPr>
                <w:rFonts w:ascii="Arial" w:eastAsia="Times New Roman" w:hAnsi="Arial" w:cs="Arial"/>
                <w:sz w:val="28"/>
                <w:szCs w:val="28"/>
                <w:lang w:eastAsia="es-MX"/>
              </w:rPr>
            </w:pPr>
          </w:p>
        </w:tc>
      </w:tr>
      <w:tr w:rsidR="00DF77D2" w:rsidRPr="00791593" w14:paraId="3518D174" w14:textId="77777777" w:rsidTr="004D6EB2">
        <w:trPr>
          <w:tblCellSpacing w:w="0" w:type="dxa"/>
          <w:jc w:val="center"/>
        </w:trPr>
        <w:tc>
          <w:tcPr>
            <w:tcW w:w="2499" w:type="pct"/>
          </w:tcPr>
          <w:p w14:paraId="4040D59A"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MAGISTRADA</w:t>
            </w:r>
          </w:p>
          <w:p w14:paraId="124F3B15"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049A48B5"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2DE40472"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1F8B6833"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42293DC0"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MARÍA DEL CARMEN ALANIS FIGUEROA</w:t>
            </w:r>
          </w:p>
          <w:p w14:paraId="4332C4B1"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0DB0A141"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tc>
        <w:tc>
          <w:tcPr>
            <w:tcW w:w="2501" w:type="pct"/>
          </w:tcPr>
          <w:p w14:paraId="4C27041E"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MAGISTRADO</w:t>
            </w:r>
          </w:p>
          <w:p w14:paraId="0FD5D402"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193313CA"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578AF5A9"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08FF46F7"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44521ACB"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 xml:space="preserve">CONSTANCIO CARRASCO </w:t>
            </w:r>
          </w:p>
          <w:p w14:paraId="1CDAA5E8"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DAZA</w:t>
            </w:r>
          </w:p>
          <w:p w14:paraId="0B1B65B0" w14:textId="77777777" w:rsidR="00DF77D2" w:rsidRPr="00791593" w:rsidRDefault="00DF77D2" w:rsidP="00DF77D2">
            <w:pPr>
              <w:spacing w:after="0" w:line="240" w:lineRule="auto"/>
              <w:rPr>
                <w:rFonts w:ascii="Arial" w:eastAsia="Times New Roman" w:hAnsi="Arial" w:cs="Arial"/>
                <w:b/>
                <w:bCs/>
                <w:sz w:val="28"/>
                <w:szCs w:val="28"/>
                <w:lang w:eastAsia="es-MX"/>
              </w:rPr>
            </w:pPr>
          </w:p>
        </w:tc>
      </w:tr>
      <w:tr w:rsidR="00DF77D2" w:rsidRPr="00791593" w14:paraId="263DB194" w14:textId="77777777" w:rsidTr="004D6EB2">
        <w:trPr>
          <w:tblCellSpacing w:w="0" w:type="dxa"/>
          <w:jc w:val="center"/>
        </w:trPr>
        <w:tc>
          <w:tcPr>
            <w:tcW w:w="2499" w:type="pct"/>
          </w:tcPr>
          <w:p w14:paraId="142811AE"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MAGISTRADO</w:t>
            </w:r>
          </w:p>
          <w:p w14:paraId="603AFF13" w14:textId="77777777" w:rsidR="00DF77D2" w:rsidRPr="00791593" w:rsidRDefault="00DF77D2" w:rsidP="00DF77D2">
            <w:pPr>
              <w:spacing w:after="0" w:line="240" w:lineRule="auto"/>
              <w:rPr>
                <w:rFonts w:ascii="Arial" w:eastAsia="Times New Roman" w:hAnsi="Arial" w:cs="Arial"/>
                <w:b/>
                <w:bCs/>
                <w:sz w:val="28"/>
                <w:szCs w:val="28"/>
                <w:lang w:eastAsia="es-MX"/>
              </w:rPr>
            </w:pPr>
          </w:p>
          <w:p w14:paraId="525864F3"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2425B172" w14:textId="6BDB0BB6" w:rsidR="00DF77D2" w:rsidRPr="00791593" w:rsidRDefault="00DF77D2" w:rsidP="00DF77D2">
            <w:pPr>
              <w:spacing w:after="0" w:line="240" w:lineRule="auto"/>
              <w:jc w:val="center"/>
              <w:rPr>
                <w:rFonts w:ascii="Arial" w:eastAsia="Times New Roman" w:hAnsi="Arial" w:cs="Arial"/>
                <w:b/>
                <w:bCs/>
                <w:sz w:val="28"/>
                <w:szCs w:val="28"/>
                <w:lang w:eastAsia="es-MX"/>
              </w:rPr>
            </w:pPr>
          </w:p>
          <w:p w14:paraId="4D5D4864"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55151CDB"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2600F179"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FLAVIO GALVÁN RIVERA</w:t>
            </w:r>
          </w:p>
          <w:p w14:paraId="0D3C88B9" w14:textId="77777777" w:rsidR="00DF77D2" w:rsidRPr="00791593" w:rsidRDefault="00DF77D2" w:rsidP="00DF77D2">
            <w:pPr>
              <w:spacing w:after="0" w:line="240" w:lineRule="auto"/>
              <w:jc w:val="center"/>
              <w:rPr>
                <w:rFonts w:ascii="Arial" w:eastAsia="Times New Roman" w:hAnsi="Arial" w:cs="Arial"/>
                <w:sz w:val="28"/>
                <w:szCs w:val="28"/>
                <w:lang w:eastAsia="es-MX"/>
              </w:rPr>
            </w:pPr>
          </w:p>
          <w:p w14:paraId="6655EBE9" w14:textId="77777777" w:rsidR="00DF77D2" w:rsidRPr="00791593" w:rsidRDefault="00DF77D2" w:rsidP="00DF77D2">
            <w:pPr>
              <w:spacing w:after="0" w:line="240" w:lineRule="auto"/>
              <w:jc w:val="center"/>
              <w:rPr>
                <w:rFonts w:ascii="Arial" w:eastAsia="Times New Roman" w:hAnsi="Arial" w:cs="Arial"/>
                <w:sz w:val="28"/>
                <w:szCs w:val="28"/>
                <w:lang w:eastAsia="es-MX"/>
              </w:rPr>
            </w:pPr>
          </w:p>
        </w:tc>
        <w:tc>
          <w:tcPr>
            <w:tcW w:w="2501" w:type="pct"/>
          </w:tcPr>
          <w:p w14:paraId="09482729" w14:textId="77777777" w:rsidR="00DF77D2" w:rsidRPr="00791593" w:rsidRDefault="00DF77D2" w:rsidP="00DF77D2">
            <w:pPr>
              <w:spacing w:after="0" w:line="240" w:lineRule="auto"/>
              <w:jc w:val="center"/>
              <w:rPr>
                <w:rFonts w:ascii="Arial" w:eastAsia="Times New Roman" w:hAnsi="Arial" w:cs="Arial"/>
                <w:b/>
                <w:bCs/>
                <w:sz w:val="28"/>
                <w:szCs w:val="28"/>
                <w:lang w:val="pt-BR" w:eastAsia="es-MX"/>
              </w:rPr>
            </w:pPr>
            <w:r w:rsidRPr="00791593">
              <w:rPr>
                <w:rFonts w:ascii="Arial" w:eastAsia="Times New Roman" w:hAnsi="Arial" w:cs="Arial"/>
                <w:b/>
                <w:bCs/>
                <w:sz w:val="28"/>
                <w:szCs w:val="28"/>
                <w:lang w:val="pt-BR" w:eastAsia="es-MX"/>
              </w:rPr>
              <w:lastRenderedPageBreak/>
              <w:t>MAGISTRADO</w:t>
            </w:r>
          </w:p>
          <w:p w14:paraId="3012F762" w14:textId="77777777" w:rsidR="00DF77D2" w:rsidRPr="00791593" w:rsidRDefault="00DF77D2" w:rsidP="00DF77D2">
            <w:pPr>
              <w:spacing w:after="0" w:line="240" w:lineRule="auto"/>
              <w:jc w:val="center"/>
              <w:rPr>
                <w:rFonts w:ascii="Arial" w:eastAsia="Times New Roman" w:hAnsi="Arial" w:cs="Arial"/>
                <w:b/>
                <w:bCs/>
                <w:sz w:val="28"/>
                <w:szCs w:val="28"/>
                <w:lang w:val="pt-BR" w:eastAsia="es-MX"/>
              </w:rPr>
            </w:pPr>
          </w:p>
          <w:p w14:paraId="62A939E0" w14:textId="77777777" w:rsidR="00DF77D2" w:rsidRPr="00791593" w:rsidRDefault="00DF77D2" w:rsidP="00DF77D2">
            <w:pPr>
              <w:spacing w:after="0" w:line="240" w:lineRule="auto"/>
              <w:jc w:val="center"/>
              <w:rPr>
                <w:rFonts w:ascii="Arial" w:eastAsia="Times New Roman" w:hAnsi="Arial" w:cs="Arial"/>
                <w:b/>
                <w:bCs/>
                <w:sz w:val="28"/>
                <w:szCs w:val="28"/>
                <w:lang w:val="pt-BR" w:eastAsia="es-MX"/>
              </w:rPr>
            </w:pPr>
          </w:p>
          <w:p w14:paraId="111E26F6" w14:textId="77777777" w:rsidR="00DF77D2" w:rsidRPr="00791593" w:rsidRDefault="00DF77D2" w:rsidP="00DF77D2">
            <w:pPr>
              <w:spacing w:after="0" w:line="240" w:lineRule="auto"/>
              <w:jc w:val="center"/>
              <w:rPr>
                <w:rFonts w:ascii="Arial" w:eastAsia="Times New Roman" w:hAnsi="Arial" w:cs="Arial"/>
                <w:b/>
                <w:bCs/>
                <w:sz w:val="28"/>
                <w:szCs w:val="28"/>
                <w:lang w:val="pt-BR" w:eastAsia="es-MX"/>
              </w:rPr>
            </w:pPr>
          </w:p>
          <w:p w14:paraId="4CC96403" w14:textId="77777777" w:rsidR="00DF77D2" w:rsidRPr="00791593" w:rsidRDefault="00DF77D2" w:rsidP="00DF77D2">
            <w:pPr>
              <w:spacing w:after="0" w:line="240" w:lineRule="auto"/>
              <w:jc w:val="center"/>
              <w:rPr>
                <w:rFonts w:ascii="Arial" w:eastAsia="Times New Roman" w:hAnsi="Arial" w:cs="Arial"/>
                <w:b/>
                <w:bCs/>
                <w:sz w:val="28"/>
                <w:szCs w:val="28"/>
                <w:lang w:val="pt-BR" w:eastAsia="es-MX"/>
              </w:rPr>
            </w:pPr>
          </w:p>
          <w:p w14:paraId="650EAD37" w14:textId="77777777" w:rsidR="00DF77D2" w:rsidRPr="00791593" w:rsidRDefault="00DF77D2" w:rsidP="00DF77D2">
            <w:pPr>
              <w:spacing w:after="0" w:line="240" w:lineRule="auto"/>
              <w:jc w:val="center"/>
              <w:rPr>
                <w:rFonts w:ascii="Arial" w:eastAsia="Times New Roman" w:hAnsi="Arial" w:cs="Arial"/>
                <w:b/>
                <w:bCs/>
                <w:sz w:val="28"/>
                <w:szCs w:val="28"/>
                <w:lang w:val="pt-BR" w:eastAsia="es-MX"/>
              </w:rPr>
            </w:pPr>
            <w:r w:rsidRPr="00791593">
              <w:rPr>
                <w:rFonts w:ascii="Arial" w:eastAsia="Times New Roman" w:hAnsi="Arial" w:cs="Arial"/>
                <w:b/>
                <w:bCs/>
                <w:sz w:val="28"/>
                <w:szCs w:val="28"/>
                <w:lang w:val="pt-BR" w:eastAsia="es-MX"/>
              </w:rPr>
              <w:t>PEDRO ESTEBAN PENAGOS LÓPEZ</w:t>
            </w:r>
          </w:p>
          <w:p w14:paraId="7F1806EB" w14:textId="77777777" w:rsidR="00DF77D2" w:rsidRPr="00791593" w:rsidRDefault="00DF77D2" w:rsidP="00DF77D2">
            <w:pPr>
              <w:spacing w:after="0" w:line="240" w:lineRule="auto"/>
              <w:rPr>
                <w:rFonts w:ascii="Arial" w:eastAsia="Times New Roman" w:hAnsi="Arial" w:cs="Arial"/>
                <w:sz w:val="28"/>
                <w:szCs w:val="28"/>
                <w:lang w:val="pt-BR" w:eastAsia="es-MX"/>
              </w:rPr>
            </w:pPr>
          </w:p>
          <w:p w14:paraId="57CE73CF" w14:textId="77777777" w:rsidR="00DF77D2" w:rsidRPr="00791593" w:rsidRDefault="00DF77D2" w:rsidP="00DF77D2">
            <w:pPr>
              <w:spacing w:after="0" w:line="240" w:lineRule="auto"/>
              <w:rPr>
                <w:rFonts w:ascii="Arial" w:eastAsia="Times New Roman" w:hAnsi="Arial" w:cs="Arial"/>
                <w:sz w:val="28"/>
                <w:szCs w:val="28"/>
                <w:lang w:val="pt-BR" w:eastAsia="es-MX"/>
              </w:rPr>
            </w:pPr>
          </w:p>
        </w:tc>
      </w:tr>
      <w:tr w:rsidR="00DF77D2" w:rsidRPr="00791593" w14:paraId="49A9E875" w14:textId="77777777" w:rsidTr="004D6EB2">
        <w:trPr>
          <w:tblCellSpacing w:w="0" w:type="dxa"/>
          <w:jc w:val="center"/>
        </w:trPr>
        <w:tc>
          <w:tcPr>
            <w:tcW w:w="5000" w:type="pct"/>
            <w:gridSpan w:val="2"/>
          </w:tcPr>
          <w:p w14:paraId="27D24B64"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lastRenderedPageBreak/>
              <w:t>SECRETARIO GENERAL DE ACUERDOS</w:t>
            </w:r>
          </w:p>
          <w:p w14:paraId="49A2FFE3"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0D3F8906" w14:textId="77777777" w:rsidR="00DF77D2" w:rsidRPr="00791593" w:rsidRDefault="00DF77D2" w:rsidP="00DF77D2">
            <w:pPr>
              <w:tabs>
                <w:tab w:val="left" w:pos="4935"/>
              </w:tabs>
              <w:spacing w:after="0" w:line="240" w:lineRule="auto"/>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ab/>
            </w:r>
          </w:p>
          <w:p w14:paraId="597871B0" w14:textId="77777777" w:rsidR="00DF77D2" w:rsidRPr="00791593" w:rsidRDefault="00DF77D2" w:rsidP="00DF77D2">
            <w:pPr>
              <w:tabs>
                <w:tab w:val="left" w:pos="4935"/>
              </w:tabs>
              <w:spacing w:after="0" w:line="240" w:lineRule="auto"/>
              <w:rPr>
                <w:rFonts w:ascii="Arial" w:eastAsia="Times New Roman" w:hAnsi="Arial" w:cs="Arial"/>
                <w:b/>
                <w:bCs/>
                <w:sz w:val="28"/>
                <w:szCs w:val="28"/>
                <w:lang w:eastAsia="es-MX"/>
              </w:rPr>
            </w:pPr>
          </w:p>
          <w:p w14:paraId="7CAE43DA"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p>
          <w:p w14:paraId="446DF702" w14:textId="77777777" w:rsidR="00DF77D2" w:rsidRPr="00791593" w:rsidRDefault="00DF77D2" w:rsidP="00DF77D2">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FELIPE DE LA MATA PIZAÑA</w:t>
            </w:r>
          </w:p>
        </w:tc>
      </w:tr>
    </w:tbl>
    <w:p w14:paraId="1647BD74" w14:textId="77777777" w:rsidR="00DF77D2" w:rsidRPr="00791593" w:rsidRDefault="00DF77D2" w:rsidP="00DF77D2">
      <w:pPr>
        <w:spacing w:after="0" w:line="360" w:lineRule="auto"/>
        <w:jc w:val="both"/>
        <w:rPr>
          <w:rFonts w:ascii="Arial" w:eastAsia="Arial Unicode MS" w:hAnsi="Arial" w:cs="Arial"/>
          <w:b/>
          <w:bCs/>
          <w:sz w:val="28"/>
          <w:szCs w:val="28"/>
          <w:lang w:val="es-ES" w:eastAsia="es-ES"/>
        </w:rPr>
      </w:pPr>
    </w:p>
    <w:p w14:paraId="081952E6" w14:textId="27F2CF7A" w:rsidR="00335852" w:rsidRPr="00791593" w:rsidRDefault="00335852" w:rsidP="00335852">
      <w:pPr>
        <w:rPr>
          <w:rFonts w:ascii="Arial" w:hAnsi="Arial" w:cs="Arial"/>
          <w:lang w:eastAsia="es-MX"/>
        </w:rPr>
      </w:pPr>
    </w:p>
    <w:p w14:paraId="290E4E31" w14:textId="24DA8398" w:rsidR="00484D03" w:rsidRPr="00791593" w:rsidRDefault="00484D03" w:rsidP="00335852">
      <w:pPr>
        <w:rPr>
          <w:rFonts w:ascii="Arial" w:hAnsi="Arial" w:cs="Arial"/>
          <w:lang w:eastAsia="es-MX"/>
        </w:rPr>
      </w:pPr>
    </w:p>
    <w:p w14:paraId="6DF7373B" w14:textId="400ECA8B" w:rsidR="00484D03" w:rsidRPr="00791593" w:rsidRDefault="00484D03" w:rsidP="00335852">
      <w:pPr>
        <w:rPr>
          <w:rFonts w:ascii="Arial" w:hAnsi="Arial" w:cs="Arial"/>
          <w:lang w:eastAsia="es-MX"/>
        </w:rPr>
      </w:pPr>
    </w:p>
    <w:p w14:paraId="127D16EF" w14:textId="77777777" w:rsidR="00484D03" w:rsidRPr="00791593" w:rsidRDefault="00484D03" w:rsidP="00335852">
      <w:pPr>
        <w:rPr>
          <w:rFonts w:ascii="Arial" w:hAnsi="Arial" w:cs="Arial"/>
          <w:lang w:eastAsia="es-MX"/>
        </w:rPr>
      </w:pPr>
    </w:p>
    <w:p w14:paraId="7D443693" w14:textId="22169DB9" w:rsidR="008F144A" w:rsidRPr="00791593" w:rsidRDefault="00EF4D21" w:rsidP="00EE3E1D">
      <w:pPr>
        <w:pStyle w:val="Ttulo4"/>
        <w:rPr>
          <w:rFonts w:ascii="Arial" w:eastAsia="Times New Roman" w:hAnsi="Arial" w:cs="Arial"/>
          <w:b/>
          <w:bCs/>
          <w:i w:val="0"/>
          <w:iCs w:val="0"/>
          <w:color w:val="C00000"/>
          <w:sz w:val="24"/>
          <w:szCs w:val="24"/>
          <w:lang w:eastAsia="es-MX"/>
        </w:rPr>
      </w:pPr>
      <w:r w:rsidRPr="00791593">
        <w:rPr>
          <w:rFonts w:ascii="Arial" w:eastAsia="Times New Roman" w:hAnsi="Arial" w:cs="Arial"/>
          <w:b/>
          <w:bCs/>
          <w:i w:val="0"/>
          <w:iCs w:val="0"/>
          <w:color w:val="C00000"/>
          <w:sz w:val="24"/>
          <w:szCs w:val="24"/>
          <w:lang w:eastAsia="es-MX"/>
        </w:rPr>
        <w:t xml:space="preserve">CASO 1: </w:t>
      </w:r>
      <w:r w:rsidRPr="00791593">
        <w:rPr>
          <w:rFonts w:ascii="Arial" w:hAnsi="Arial" w:cs="Arial"/>
          <w:b/>
          <w:bCs/>
          <w:i w:val="0"/>
          <w:iCs w:val="0"/>
          <w:color w:val="C00000"/>
          <w:sz w:val="24"/>
          <w:szCs w:val="24"/>
          <w:shd w:val="clear" w:color="auto" w:fill="FFFFFF"/>
        </w:rPr>
        <w:t>CASO YAKYE AXA VS PARAGUAY</w:t>
      </w:r>
    </w:p>
    <w:p w14:paraId="45162726" w14:textId="624F39A6" w:rsidR="004D6EB2" w:rsidRPr="00791593" w:rsidRDefault="004D6EB2" w:rsidP="004D6EB2">
      <w:pPr>
        <w:spacing w:after="0" w:line="240" w:lineRule="auto"/>
        <w:jc w:val="both"/>
        <w:rPr>
          <w:rFonts w:ascii="Arial" w:eastAsia="Times New Roman" w:hAnsi="Arial" w:cs="Arial"/>
          <w:b/>
          <w:bCs/>
          <w:color w:val="000000"/>
          <w:lang w:eastAsia="es-MX"/>
        </w:rPr>
      </w:pPr>
      <w:r w:rsidRPr="00791593">
        <w:rPr>
          <w:rFonts w:ascii="Arial" w:eastAsia="Times New Roman" w:hAnsi="Arial" w:cs="Arial"/>
          <w:color w:val="000000"/>
          <w:sz w:val="24"/>
          <w:szCs w:val="24"/>
          <w:lang w:eastAsia="es-MX"/>
        </w:rPr>
        <w:br/>
      </w:r>
      <w:r w:rsidRPr="00791593">
        <w:rPr>
          <w:rFonts w:ascii="Arial" w:eastAsia="Times New Roman" w:hAnsi="Arial" w:cs="Arial"/>
          <w:b/>
          <w:bCs/>
          <w:color w:val="000000"/>
          <w:lang w:eastAsia="es-MX"/>
        </w:rPr>
        <w:t>Órgano CoIDH.</w:t>
      </w:r>
    </w:p>
    <w:p w14:paraId="757444C6" w14:textId="087F4F21" w:rsidR="00484D03" w:rsidRPr="00791593" w:rsidRDefault="00484D03" w:rsidP="004D6EB2">
      <w:pPr>
        <w:spacing w:after="0" w:line="240" w:lineRule="auto"/>
        <w:jc w:val="both"/>
        <w:rPr>
          <w:rFonts w:ascii="Arial" w:hAnsi="Arial" w:cs="Arial"/>
          <w:lang w:eastAsia="es-MX"/>
        </w:rPr>
      </w:pPr>
    </w:p>
    <w:p w14:paraId="748CC344" w14:textId="696EB972" w:rsidR="004D6EB2" w:rsidRPr="00791593" w:rsidRDefault="004D6EB2" w:rsidP="004D6EB2">
      <w:pPr>
        <w:spacing w:after="0" w:line="240" w:lineRule="auto"/>
        <w:jc w:val="both"/>
        <w:rPr>
          <w:rFonts w:ascii="Arial" w:hAnsi="Arial" w:cs="Arial"/>
          <w:b/>
          <w:bCs/>
          <w:lang w:eastAsia="es-MX"/>
        </w:rPr>
      </w:pPr>
      <w:r w:rsidRPr="00791593">
        <w:rPr>
          <w:rFonts w:ascii="Arial" w:hAnsi="Arial" w:cs="Arial"/>
          <w:b/>
          <w:bCs/>
          <w:lang w:eastAsia="es-MX"/>
        </w:rPr>
        <w:t>Corte Interamericana</w:t>
      </w:r>
      <w:r w:rsidR="00CD7455" w:rsidRPr="00791593">
        <w:rPr>
          <w:rFonts w:ascii="Arial" w:hAnsi="Arial" w:cs="Arial"/>
          <w:b/>
          <w:bCs/>
          <w:lang w:eastAsia="es-MX"/>
        </w:rPr>
        <w:t xml:space="preserve"> </w:t>
      </w:r>
      <w:r w:rsidRPr="00791593">
        <w:rPr>
          <w:rFonts w:ascii="Arial" w:hAnsi="Arial" w:cs="Arial"/>
          <w:b/>
          <w:bCs/>
          <w:lang w:eastAsia="es-MX"/>
        </w:rPr>
        <w:t>de Derechos Humanos</w:t>
      </w:r>
    </w:p>
    <w:p w14:paraId="572C0090" w14:textId="77777777" w:rsidR="004D6EB2" w:rsidRPr="00791593" w:rsidRDefault="004D6EB2" w:rsidP="004D6EB2">
      <w:pPr>
        <w:spacing w:after="0" w:line="240" w:lineRule="auto"/>
        <w:jc w:val="both"/>
        <w:rPr>
          <w:rFonts w:ascii="Arial" w:hAnsi="Arial" w:cs="Arial"/>
          <w:b/>
          <w:bCs/>
          <w:color w:val="C00000"/>
          <w:lang w:eastAsia="es-MX"/>
        </w:rPr>
      </w:pPr>
      <w:r w:rsidRPr="00791593">
        <w:rPr>
          <w:rFonts w:ascii="Arial" w:hAnsi="Arial" w:cs="Arial"/>
          <w:b/>
          <w:bCs/>
          <w:color w:val="C00000"/>
          <w:lang w:eastAsia="es-MX"/>
        </w:rPr>
        <w:t>Caso  Comunidad indígena Yakye Axa Vs. Paraguay</w:t>
      </w:r>
    </w:p>
    <w:p w14:paraId="4E1E6DB4" w14:textId="77777777" w:rsidR="004D6EB2" w:rsidRPr="00791593" w:rsidRDefault="004D6EB2" w:rsidP="004D6EB2">
      <w:pPr>
        <w:spacing w:after="0" w:line="240" w:lineRule="auto"/>
        <w:jc w:val="both"/>
        <w:rPr>
          <w:rFonts w:ascii="Arial" w:hAnsi="Arial" w:cs="Arial"/>
          <w:b/>
          <w:bCs/>
          <w:lang w:eastAsia="es-MX"/>
        </w:rPr>
      </w:pPr>
      <w:r w:rsidRPr="00791593">
        <w:rPr>
          <w:rFonts w:ascii="Arial" w:hAnsi="Arial" w:cs="Arial"/>
          <w:b/>
          <w:bCs/>
          <w:lang w:eastAsia="es-MX"/>
        </w:rPr>
        <w:t>Resuelto el 17 de junio de 2005</w:t>
      </w:r>
    </w:p>
    <w:p w14:paraId="0063609F" w14:textId="77777777" w:rsidR="004D6EB2" w:rsidRPr="00791593" w:rsidRDefault="004D6EB2" w:rsidP="004D6EB2">
      <w:pPr>
        <w:spacing w:after="0" w:line="240" w:lineRule="auto"/>
        <w:jc w:val="both"/>
        <w:rPr>
          <w:rFonts w:ascii="Arial" w:hAnsi="Arial" w:cs="Arial"/>
          <w:lang w:eastAsia="es-MX"/>
        </w:rPr>
      </w:pPr>
    </w:p>
    <w:p w14:paraId="2D2EF926" w14:textId="77777777" w:rsidR="004D6EB2" w:rsidRPr="00791593" w:rsidRDefault="004D6EB2" w:rsidP="004D6EB2">
      <w:pPr>
        <w:spacing w:after="0" w:line="240" w:lineRule="auto"/>
        <w:jc w:val="both"/>
        <w:rPr>
          <w:rFonts w:ascii="Arial" w:hAnsi="Arial" w:cs="Arial"/>
          <w:lang w:eastAsia="es-MX"/>
        </w:rPr>
      </w:pPr>
    </w:p>
    <w:p w14:paraId="7E18EFB5" w14:textId="77777777" w:rsidR="004D6EB2" w:rsidRPr="00791593" w:rsidRDefault="004D6EB2" w:rsidP="004D6EB2">
      <w:pPr>
        <w:spacing w:after="0" w:line="240" w:lineRule="auto"/>
        <w:jc w:val="both"/>
        <w:rPr>
          <w:rFonts w:ascii="Arial" w:hAnsi="Arial" w:cs="Arial"/>
          <w:b/>
          <w:bCs/>
          <w:lang w:eastAsia="es-MX"/>
        </w:rPr>
      </w:pPr>
      <w:r w:rsidRPr="00791593">
        <w:rPr>
          <w:rFonts w:ascii="Arial" w:hAnsi="Arial" w:cs="Arial"/>
          <w:b/>
          <w:bCs/>
          <w:lang w:eastAsia="es-MX"/>
        </w:rPr>
        <w:t>Temática</w:t>
      </w:r>
    </w:p>
    <w:p w14:paraId="1DB0E8D8" w14:textId="57CD42BF"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•Derechos económicos sociales y culturales</w:t>
      </w:r>
    </w:p>
    <w:p w14:paraId="26E16423" w14:textId="78868EA5"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•Garantías judiciales y procesales</w:t>
      </w:r>
    </w:p>
    <w:p w14:paraId="2FCB5900" w14:textId="5D1B5A68"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•Derecho a la integridad personal</w:t>
      </w:r>
    </w:p>
    <w:p w14:paraId="27221703" w14:textId="7D683B64"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•Derechos de los niños y las niñas</w:t>
      </w:r>
    </w:p>
    <w:p w14:paraId="61D9A8E7" w14:textId="22BB75F3"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•Derecho a la vida</w:t>
      </w:r>
    </w:p>
    <w:p w14:paraId="76318573" w14:textId="77777777" w:rsidR="004D6EB2" w:rsidRPr="00791593" w:rsidRDefault="004D6EB2" w:rsidP="004D6EB2">
      <w:pPr>
        <w:spacing w:after="0" w:line="240" w:lineRule="auto"/>
        <w:jc w:val="both"/>
        <w:rPr>
          <w:rFonts w:ascii="Arial" w:hAnsi="Arial" w:cs="Arial"/>
          <w:lang w:eastAsia="es-MX"/>
        </w:rPr>
      </w:pPr>
    </w:p>
    <w:p w14:paraId="64D97D51" w14:textId="77777777" w:rsidR="004D6EB2" w:rsidRPr="00791593" w:rsidRDefault="004D6EB2" w:rsidP="004D6EB2">
      <w:pPr>
        <w:spacing w:after="0" w:line="240" w:lineRule="auto"/>
        <w:jc w:val="both"/>
        <w:rPr>
          <w:rFonts w:ascii="Arial" w:hAnsi="Arial" w:cs="Arial"/>
          <w:lang w:eastAsia="es-MX"/>
        </w:rPr>
      </w:pPr>
    </w:p>
    <w:p w14:paraId="06A9860A" w14:textId="0CA8A041" w:rsidR="004D6EB2" w:rsidRPr="00791593" w:rsidRDefault="004D6EB2" w:rsidP="004D6EB2">
      <w:pPr>
        <w:spacing w:after="0" w:line="240" w:lineRule="auto"/>
        <w:jc w:val="both"/>
        <w:rPr>
          <w:rFonts w:ascii="Arial" w:hAnsi="Arial" w:cs="Arial"/>
          <w:b/>
          <w:bCs/>
          <w:lang w:eastAsia="es-MX"/>
        </w:rPr>
      </w:pPr>
      <w:r w:rsidRPr="00791593">
        <w:rPr>
          <w:rFonts w:ascii="Arial" w:hAnsi="Arial" w:cs="Arial"/>
          <w:b/>
          <w:bCs/>
          <w:lang w:eastAsia="es-MX"/>
        </w:rPr>
        <w:t>Caso concreto</w:t>
      </w:r>
    </w:p>
    <w:p w14:paraId="3C18A133" w14:textId="77777777" w:rsidR="00CD7455" w:rsidRPr="00791593" w:rsidRDefault="00CD7455" w:rsidP="004D6EB2">
      <w:pPr>
        <w:spacing w:after="0" w:line="240" w:lineRule="auto"/>
        <w:jc w:val="both"/>
        <w:rPr>
          <w:rFonts w:ascii="Arial" w:hAnsi="Arial" w:cs="Arial"/>
          <w:b/>
          <w:bCs/>
          <w:lang w:eastAsia="es-MX"/>
        </w:rPr>
      </w:pPr>
    </w:p>
    <w:p w14:paraId="3087D98B" w14:textId="77777777"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 xml:space="preserve">El caso se refiere a la responsabilidad internacional del Estado por no haber garantizado el derecho de propiedad ancestral de la Comunidad Yakye Axa, lo cual generó numerosas afectaciones a sus miembros. </w:t>
      </w:r>
    </w:p>
    <w:p w14:paraId="66B16DE7" w14:textId="77777777" w:rsidR="004D6EB2" w:rsidRPr="00791593" w:rsidRDefault="004D6EB2" w:rsidP="004D6EB2">
      <w:pPr>
        <w:spacing w:after="0" w:line="240" w:lineRule="auto"/>
        <w:jc w:val="both"/>
        <w:rPr>
          <w:rFonts w:ascii="Arial" w:hAnsi="Arial" w:cs="Arial"/>
          <w:lang w:eastAsia="es-MX"/>
        </w:rPr>
      </w:pPr>
    </w:p>
    <w:p w14:paraId="3FD230E7" w14:textId="77777777" w:rsidR="004D6EB2" w:rsidRPr="00791593" w:rsidRDefault="004D6EB2" w:rsidP="004D6EB2">
      <w:pPr>
        <w:spacing w:after="0" w:line="240" w:lineRule="auto"/>
        <w:jc w:val="both"/>
        <w:rPr>
          <w:rFonts w:ascii="Arial" w:hAnsi="Arial" w:cs="Arial"/>
          <w:lang w:eastAsia="es-MX"/>
        </w:rPr>
      </w:pPr>
    </w:p>
    <w:p w14:paraId="7DAADCAA" w14:textId="77777777" w:rsidR="004D6EB2" w:rsidRPr="00791593" w:rsidRDefault="004D6EB2" w:rsidP="004D6EB2">
      <w:pPr>
        <w:spacing w:after="0" w:line="240" w:lineRule="auto"/>
        <w:jc w:val="both"/>
        <w:rPr>
          <w:rFonts w:ascii="Arial" w:hAnsi="Arial" w:cs="Arial"/>
          <w:b/>
          <w:bCs/>
          <w:lang w:eastAsia="es-MX"/>
        </w:rPr>
      </w:pPr>
      <w:r w:rsidRPr="00791593">
        <w:rPr>
          <w:rFonts w:ascii="Arial" w:hAnsi="Arial" w:cs="Arial"/>
          <w:b/>
          <w:bCs/>
          <w:lang w:eastAsia="es-MX"/>
        </w:rPr>
        <w:lastRenderedPageBreak/>
        <w:t>Hechos</w:t>
      </w:r>
    </w:p>
    <w:p w14:paraId="1EE0624A" w14:textId="77777777" w:rsidR="004D6EB2" w:rsidRPr="00791593" w:rsidRDefault="004D6EB2" w:rsidP="004D6EB2">
      <w:pPr>
        <w:spacing w:after="0" w:line="240" w:lineRule="auto"/>
        <w:jc w:val="both"/>
        <w:rPr>
          <w:rFonts w:ascii="Arial" w:hAnsi="Arial" w:cs="Arial"/>
          <w:lang w:eastAsia="es-MX"/>
        </w:rPr>
      </w:pPr>
    </w:p>
    <w:p w14:paraId="21278687" w14:textId="7888616C"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1.</w:t>
      </w:r>
      <w:r w:rsidR="00CD7455" w:rsidRPr="00791593">
        <w:rPr>
          <w:rFonts w:ascii="Arial" w:hAnsi="Arial" w:cs="Arial"/>
          <w:lang w:eastAsia="es-MX"/>
        </w:rPr>
        <w:t xml:space="preserve"> </w:t>
      </w:r>
      <w:r w:rsidRPr="00791593">
        <w:rPr>
          <w:rFonts w:ascii="Arial" w:hAnsi="Arial" w:cs="Arial"/>
          <w:lang w:eastAsia="es-MX"/>
        </w:rPr>
        <w:t xml:space="preserve">La Comunidad Yakye Axa ("Isla de Palmas") es una comunidad indígena perteneciente al pueblo Lengua Enxet Sur. Los Lengua Enxet Sur, así como los Lengua Enlhet Norte, Sanapaná, Toba, Angaité, Toba Maskoy y Guaná, forman parte de la familia lingüística Lengua-Maskoy (Enhelt-Enenlhet) y ocupan ancestralmente el Chaco paraguayo. </w:t>
      </w:r>
    </w:p>
    <w:p w14:paraId="0460B420" w14:textId="77777777" w:rsidR="004D6EB2" w:rsidRPr="00791593" w:rsidRDefault="004D6EB2" w:rsidP="004D6EB2">
      <w:pPr>
        <w:spacing w:after="0" w:line="240" w:lineRule="auto"/>
        <w:jc w:val="both"/>
        <w:rPr>
          <w:rFonts w:ascii="Arial" w:hAnsi="Arial" w:cs="Arial"/>
          <w:lang w:eastAsia="es-MX"/>
        </w:rPr>
      </w:pPr>
    </w:p>
    <w:p w14:paraId="0CEAE341" w14:textId="43CE77FC"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2.</w:t>
      </w:r>
      <w:r w:rsidR="00CD7455" w:rsidRPr="00791593">
        <w:rPr>
          <w:rFonts w:ascii="Arial" w:hAnsi="Arial" w:cs="Arial"/>
          <w:lang w:eastAsia="es-MX"/>
        </w:rPr>
        <w:t xml:space="preserve"> </w:t>
      </w:r>
      <w:r w:rsidRPr="00791593">
        <w:rPr>
          <w:rFonts w:ascii="Arial" w:hAnsi="Arial" w:cs="Arial"/>
          <w:lang w:eastAsia="es-MX"/>
        </w:rPr>
        <w:t xml:space="preserve">Desde el año 1996 parte de la Comunidad Yakye Axa está asentada al costado de la ruta que une Pozo Colorado y Concepción en el Departamento de Presidente Hayes, frente a la alambrada de la Estancia Loma Verde. En este lugar se encuentran asentadas un número que oscila entre 28 a 57 familias. El grupo restante de miembros de la Comunidad Yakye Axa permanecen en las aldeas 20 de Enero, Alegre, Karanda, San Carlos, Para Todo´i, La Madrina y Santa Fe de la Estancia El Estribo o dispersas en otras estancias del Departamento Presidente Hayes en el Chaco paraguayo, tales como Makxlawaya, Naranjito, Espinillo, Concepción, La Palma-Loma Plata, Nueva Vida, Para Todo, Campo Largo, Lolita, Santa Ana, La Victoria, Paz del Chaco, entre otras. </w:t>
      </w:r>
    </w:p>
    <w:p w14:paraId="2A1CEDDC" w14:textId="77777777" w:rsidR="004D6EB2" w:rsidRPr="00791593" w:rsidRDefault="004D6EB2" w:rsidP="004D6EB2">
      <w:pPr>
        <w:spacing w:after="0" w:line="240" w:lineRule="auto"/>
        <w:jc w:val="both"/>
        <w:rPr>
          <w:rFonts w:ascii="Arial" w:hAnsi="Arial" w:cs="Arial"/>
          <w:lang w:eastAsia="es-MX"/>
        </w:rPr>
      </w:pPr>
    </w:p>
    <w:p w14:paraId="32DDE212" w14:textId="3879F521"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3.</w:t>
      </w:r>
      <w:r w:rsidR="00CD7455" w:rsidRPr="00791593">
        <w:rPr>
          <w:rFonts w:ascii="Arial" w:hAnsi="Arial" w:cs="Arial"/>
          <w:lang w:eastAsia="es-MX"/>
        </w:rPr>
        <w:t xml:space="preserve"> </w:t>
      </w:r>
      <w:r w:rsidRPr="00791593">
        <w:rPr>
          <w:rFonts w:ascii="Arial" w:hAnsi="Arial" w:cs="Arial"/>
          <w:lang w:eastAsia="es-MX"/>
        </w:rPr>
        <w:t xml:space="preserve">A finales del siglo XIX grandes extensiones de tierra del Chaco paraguayo fueron vendidas a través de la bolsa de valores de Londres. En esa misma época y como consecuencia de la adquisición de estas tierras por parte de empresarios británicos, comenzaron a instalarse varias misiones de la iglesia anglicana en la zona.  En el año 1907 W.B. Grubb fundó la Misión Makxlawaya dentro del territorio del pueblo indígena Lengua (Enlhet Norte y Enxet Sur) con la finalidad de iniciar su evangelización y "pacificación. </w:t>
      </w:r>
    </w:p>
    <w:p w14:paraId="05369B84" w14:textId="77777777" w:rsidR="004D6EB2" w:rsidRPr="00791593" w:rsidRDefault="004D6EB2" w:rsidP="004D6EB2">
      <w:pPr>
        <w:spacing w:after="0" w:line="240" w:lineRule="auto"/>
        <w:jc w:val="both"/>
        <w:rPr>
          <w:rFonts w:ascii="Arial" w:hAnsi="Arial" w:cs="Arial"/>
          <w:lang w:eastAsia="es-MX"/>
        </w:rPr>
      </w:pPr>
    </w:p>
    <w:p w14:paraId="1AF8DBAA" w14:textId="7204A830"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4.</w:t>
      </w:r>
      <w:r w:rsidR="00CD7455" w:rsidRPr="00791593">
        <w:rPr>
          <w:rFonts w:ascii="Arial" w:hAnsi="Arial" w:cs="Arial"/>
          <w:lang w:eastAsia="es-MX"/>
        </w:rPr>
        <w:t xml:space="preserve"> </w:t>
      </w:r>
      <w:r w:rsidRPr="00791593">
        <w:rPr>
          <w:rFonts w:ascii="Arial" w:hAnsi="Arial" w:cs="Arial"/>
          <w:lang w:eastAsia="es-MX"/>
        </w:rPr>
        <w:t>Después de la adquisición de la Estancia El Estribo, la iglesia anglicana promovió el asentamiento de los grupos indígenas establecidos en Makxlawaya en la nueva estancia.  A principios del año 1986 los miembros de la Comunidad indígena Yakye Axa se trasladaron a El Estribo debido a las graves condiciones de vida que tenían en la Estancia Loma Verde donde los hombres no recibían sueldos o estos eran muy bajos, las mujeres eran explotadas sexualmente por obreros paraguayos y no contaban con servicios de salud ni alimentación suficiente</w:t>
      </w:r>
    </w:p>
    <w:p w14:paraId="580FD1E3" w14:textId="77777777" w:rsidR="004D6EB2" w:rsidRPr="00791593" w:rsidRDefault="004D6EB2" w:rsidP="004D6EB2">
      <w:pPr>
        <w:spacing w:after="0" w:line="240" w:lineRule="auto"/>
        <w:jc w:val="both"/>
        <w:rPr>
          <w:rFonts w:ascii="Arial" w:hAnsi="Arial" w:cs="Arial"/>
          <w:lang w:eastAsia="es-MX"/>
        </w:rPr>
      </w:pPr>
    </w:p>
    <w:p w14:paraId="71F3D617" w14:textId="3ECD1630"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5.</w:t>
      </w:r>
      <w:r w:rsidR="00CD7455" w:rsidRPr="00791593">
        <w:rPr>
          <w:rFonts w:ascii="Arial" w:hAnsi="Arial" w:cs="Arial"/>
          <w:lang w:eastAsia="es-MX"/>
        </w:rPr>
        <w:t xml:space="preserve"> </w:t>
      </w:r>
      <w:r w:rsidRPr="00791593">
        <w:rPr>
          <w:rFonts w:ascii="Arial" w:hAnsi="Arial" w:cs="Arial"/>
          <w:lang w:eastAsia="es-MX"/>
        </w:rPr>
        <w:t>La Estancia El Estribo está ubicada en una zona de colonias menonitas, lejana a la morada de los que serían sus pobladores. Asimismo, el medio ambiente y los recursos naturales de la estancia, característicos del norte del Chaco, son diferentes a los propios del lugar de origen de estos grupos indígenas.</w:t>
      </w:r>
    </w:p>
    <w:p w14:paraId="32692E63" w14:textId="77777777" w:rsidR="004D6EB2" w:rsidRPr="00791593" w:rsidRDefault="004D6EB2" w:rsidP="004D6EB2">
      <w:pPr>
        <w:spacing w:after="0" w:line="240" w:lineRule="auto"/>
        <w:jc w:val="both"/>
        <w:rPr>
          <w:rFonts w:ascii="Arial" w:hAnsi="Arial" w:cs="Arial"/>
          <w:lang w:eastAsia="es-MX"/>
        </w:rPr>
      </w:pPr>
    </w:p>
    <w:p w14:paraId="08255386" w14:textId="0BBBEC30"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6.</w:t>
      </w:r>
      <w:r w:rsidR="00CD7455" w:rsidRPr="00791593">
        <w:rPr>
          <w:rFonts w:ascii="Arial" w:hAnsi="Arial" w:cs="Arial"/>
          <w:lang w:eastAsia="es-MX"/>
        </w:rPr>
        <w:t xml:space="preserve"> </w:t>
      </w:r>
      <w:r w:rsidRPr="00791593">
        <w:rPr>
          <w:rFonts w:ascii="Arial" w:hAnsi="Arial" w:cs="Arial"/>
          <w:lang w:eastAsia="es-MX"/>
        </w:rPr>
        <w:t>El traslado a la Estancia El Estribo no trajo consigo una mejoría en las condiciones de vida de los miembros de la Comunidad.  La estancia tenía una extensión de 25.000 hectáreas y contaba con más de 3.000 mil habitantes.  Los cultivos producían poco, en el área no había animales para cazar y los animales domésticos morían, por lo que fue necesario buscar trabajo fuera de la misma. La falta de agua y alimento ocasionó la muerte de muchos niños y niñas, jóvenes y ancianos. Dado que la Estancia El Estribo era el asentamiento principal de las comunidades indígenas de Makxlawaya, los miembros de la Comunidad Yakye Axa estaban marginados y no podían celebrar libremente sus prácticas culturales.</w:t>
      </w:r>
    </w:p>
    <w:p w14:paraId="1B020111" w14:textId="77777777" w:rsidR="004D6EB2" w:rsidRPr="00791593" w:rsidRDefault="004D6EB2" w:rsidP="004D6EB2">
      <w:pPr>
        <w:spacing w:after="0" w:line="240" w:lineRule="auto"/>
        <w:jc w:val="both"/>
        <w:rPr>
          <w:rFonts w:ascii="Arial" w:hAnsi="Arial" w:cs="Arial"/>
          <w:lang w:eastAsia="es-MX"/>
        </w:rPr>
      </w:pPr>
    </w:p>
    <w:p w14:paraId="36EFA44C" w14:textId="6B57F635"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7.</w:t>
      </w:r>
      <w:r w:rsidR="00CD7455" w:rsidRPr="00791593">
        <w:rPr>
          <w:rFonts w:ascii="Arial" w:hAnsi="Arial" w:cs="Arial"/>
          <w:lang w:eastAsia="es-MX"/>
        </w:rPr>
        <w:t xml:space="preserve"> </w:t>
      </w:r>
      <w:r w:rsidRPr="00791593">
        <w:rPr>
          <w:rFonts w:ascii="Arial" w:hAnsi="Arial" w:cs="Arial"/>
          <w:lang w:eastAsia="es-MX"/>
        </w:rPr>
        <w:t xml:space="preserve">El 5 de octubre de 1993 el señor Tomás Galeano, en su carácter de líder de la Comunidad, presentó una comunicación al IBR, mediante la cual informó sobre el interés de la Comunidad indígena Yakye Axa de regresar a su territorio tradicional, ubicado alrededor de las estancias Loma Verde, Ledesma y Maroma del Distrito Pozo Colorado, </w:t>
      </w:r>
      <w:r w:rsidRPr="00791593">
        <w:rPr>
          <w:rFonts w:ascii="Arial" w:hAnsi="Arial" w:cs="Arial"/>
          <w:lang w:eastAsia="es-MX"/>
        </w:rPr>
        <w:lastRenderedPageBreak/>
        <w:t>departamento Presidente Hayes, y solicitó la legalización de un mínimo de 15.000 hectáreas dentro de dichas estancias a nombre de la Comunidad.  Junto con dicha comunicación, presentó un censo de la Comunidad, en el cual se estableció que para ese momento estaba conformada por 221 miembros, agrupados en 57 familias.</w:t>
      </w:r>
    </w:p>
    <w:p w14:paraId="227EB727" w14:textId="77777777" w:rsidR="004D6EB2" w:rsidRPr="00791593" w:rsidRDefault="004D6EB2" w:rsidP="004D6EB2">
      <w:pPr>
        <w:spacing w:after="0" w:line="240" w:lineRule="auto"/>
        <w:jc w:val="both"/>
        <w:rPr>
          <w:rFonts w:ascii="Arial" w:hAnsi="Arial" w:cs="Arial"/>
          <w:lang w:eastAsia="es-MX"/>
        </w:rPr>
      </w:pPr>
    </w:p>
    <w:p w14:paraId="724507D7" w14:textId="4BA1E1B4"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8.</w:t>
      </w:r>
      <w:r w:rsidR="00CD7455" w:rsidRPr="00791593">
        <w:rPr>
          <w:rFonts w:ascii="Arial" w:hAnsi="Arial" w:cs="Arial"/>
          <w:lang w:eastAsia="es-MX"/>
        </w:rPr>
        <w:t xml:space="preserve"> </w:t>
      </w:r>
      <w:r w:rsidRPr="00791593">
        <w:rPr>
          <w:rFonts w:ascii="Arial" w:hAnsi="Arial" w:cs="Arial"/>
          <w:lang w:eastAsia="es-MX"/>
        </w:rPr>
        <w:t>Los miembros de la Comunidad Yakye Axa han sido víctimas de constantes amenazas y actos de hostigamiento durante el tiempo que han permanecido asentados al costado de la carretera pública que une Pozo Colorado y Concepción.  Frente a estos hechos, los miembros de la Comunidad presentaron denuncias ante diversos órganos del Estado, sin que se conozca del inicio de algún tipo de investigación.</w:t>
      </w:r>
    </w:p>
    <w:p w14:paraId="5D4AB78B" w14:textId="77777777" w:rsidR="004D6EB2" w:rsidRPr="00791593" w:rsidRDefault="004D6EB2" w:rsidP="004D6EB2">
      <w:pPr>
        <w:spacing w:after="0" w:line="240" w:lineRule="auto"/>
        <w:jc w:val="both"/>
        <w:rPr>
          <w:rFonts w:ascii="Arial" w:hAnsi="Arial" w:cs="Arial"/>
          <w:lang w:eastAsia="es-MX"/>
        </w:rPr>
      </w:pPr>
    </w:p>
    <w:p w14:paraId="167033D4" w14:textId="77777777" w:rsidR="004D6EB2" w:rsidRPr="00791593" w:rsidRDefault="004D6EB2" w:rsidP="004D6EB2">
      <w:pPr>
        <w:spacing w:after="0" w:line="240" w:lineRule="auto"/>
        <w:jc w:val="both"/>
        <w:rPr>
          <w:rFonts w:ascii="Arial" w:hAnsi="Arial" w:cs="Arial"/>
          <w:lang w:eastAsia="es-MX"/>
        </w:rPr>
      </w:pPr>
    </w:p>
    <w:p w14:paraId="698107CE" w14:textId="77777777" w:rsidR="004D6EB2" w:rsidRPr="00791593" w:rsidRDefault="004D6EB2" w:rsidP="004D6EB2">
      <w:pPr>
        <w:spacing w:after="0" w:line="240" w:lineRule="auto"/>
        <w:jc w:val="both"/>
        <w:rPr>
          <w:rFonts w:ascii="Arial" w:hAnsi="Arial" w:cs="Arial"/>
          <w:b/>
          <w:bCs/>
          <w:lang w:eastAsia="es-MX"/>
        </w:rPr>
      </w:pPr>
      <w:r w:rsidRPr="00791593">
        <w:rPr>
          <w:rFonts w:ascii="Arial" w:hAnsi="Arial" w:cs="Arial"/>
          <w:b/>
          <w:bCs/>
          <w:lang w:eastAsia="es-MX"/>
        </w:rPr>
        <w:t>Consideraciones de la CoIDH</w:t>
      </w:r>
    </w:p>
    <w:p w14:paraId="16156818" w14:textId="77777777" w:rsidR="004D6EB2" w:rsidRPr="00791593" w:rsidRDefault="004D6EB2" w:rsidP="004D6EB2">
      <w:pPr>
        <w:spacing w:after="0" w:line="240" w:lineRule="auto"/>
        <w:jc w:val="both"/>
        <w:rPr>
          <w:rFonts w:ascii="Arial" w:hAnsi="Arial" w:cs="Arial"/>
          <w:lang w:eastAsia="es-MX"/>
        </w:rPr>
      </w:pPr>
    </w:p>
    <w:p w14:paraId="4E4716AB" w14:textId="77777777"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La Corte consideró oportuno recordar que, de conformidad con los artículos 24 (Igualdad ante la Ley) y 1.1 (Obligación de Respetar los Derechos) de la Convención Americana, los Estados deben garantizar, en condiciones de igualdad, el pleno ejercicio y goce de los derechos de estas personas que están sujetas a su jurisdicción.</w:t>
      </w:r>
    </w:p>
    <w:p w14:paraId="183D6F92" w14:textId="77777777" w:rsidR="004D6EB2" w:rsidRPr="00791593" w:rsidRDefault="004D6EB2" w:rsidP="004D6EB2">
      <w:pPr>
        <w:spacing w:after="0" w:line="240" w:lineRule="auto"/>
        <w:jc w:val="both"/>
        <w:rPr>
          <w:rFonts w:ascii="Arial" w:hAnsi="Arial" w:cs="Arial"/>
          <w:lang w:eastAsia="es-MX"/>
        </w:rPr>
      </w:pPr>
    </w:p>
    <w:p w14:paraId="07EDF887" w14:textId="77777777"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Dicha Corte señaló, en relación con el artículo 25 de la Convención, que la inexistencia de un recurso efectivo contra las violaciones a los derechos reconocidos por la Convención constituye una transgresión de la misma por el Estado Parte en el cual semejante situación tenga lugar. En ese sentido debe subrayarse que, para que tal recurso exista, no basta con que esté previsto por la Constitución o la ley o con que sea formalmente admisible, sino que se requiere que sea realmente idóneo para establecer si se ha incurrido en una violación a los derechos humanos y proveer lo necesario para remediarla.</w:t>
      </w:r>
    </w:p>
    <w:p w14:paraId="4F640744" w14:textId="77777777" w:rsidR="004D6EB2" w:rsidRPr="00791593" w:rsidRDefault="004D6EB2" w:rsidP="004D6EB2">
      <w:pPr>
        <w:spacing w:after="0" w:line="240" w:lineRule="auto"/>
        <w:jc w:val="both"/>
        <w:rPr>
          <w:rFonts w:ascii="Arial" w:hAnsi="Arial" w:cs="Arial"/>
          <w:lang w:eastAsia="es-MX"/>
        </w:rPr>
      </w:pPr>
    </w:p>
    <w:p w14:paraId="4B77ACB2" w14:textId="77777777"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La Corte señaló en otras oportunidades que el artículo 2 de la Convención, impone a los Estados Partes la obligación general de adecuar su derecho interno a las normas de la propia Convención, para garantizar así los derechos consagrados en ésta.  Las disposiciones de derecho interno que sirvan a este fin han de ser efectivas, lo que significa que el Estado debe adoptar todas las medidas necesarias para que lo establecido en la Convención sea realmente cumplido.</w:t>
      </w:r>
    </w:p>
    <w:p w14:paraId="4928FF35" w14:textId="77777777" w:rsidR="004D6EB2" w:rsidRPr="00791593" w:rsidRDefault="004D6EB2" w:rsidP="004D6EB2">
      <w:pPr>
        <w:spacing w:after="0" w:line="240" w:lineRule="auto"/>
        <w:jc w:val="both"/>
        <w:rPr>
          <w:rFonts w:ascii="Arial" w:hAnsi="Arial" w:cs="Arial"/>
          <w:lang w:eastAsia="es-MX"/>
        </w:rPr>
      </w:pPr>
    </w:p>
    <w:p w14:paraId="44D3663A" w14:textId="77777777"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La Corte estuvo de acuerdo con el Estado en el sentido de que tanto la propiedad privada de los particulares como la propiedad comunitaria de los miembros de las comunidades indígenas tienen la protección convencional que les otorga el artículo 21 de la Convención Americana. No obstante, el reconocimiento meramente abstracto o jurídico de las tierras, territorios o recursos indígenas carece prácticamente de sentido si no se ha establecido y delimitado física mente la propiedad.</w:t>
      </w:r>
    </w:p>
    <w:p w14:paraId="7D058DF7" w14:textId="77777777" w:rsidR="004D6EB2" w:rsidRPr="00791593" w:rsidRDefault="004D6EB2" w:rsidP="004D6EB2">
      <w:pPr>
        <w:spacing w:after="0" w:line="240" w:lineRule="auto"/>
        <w:jc w:val="both"/>
        <w:rPr>
          <w:rFonts w:ascii="Arial" w:hAnsi="Arial" w:cs="Arial"/>
          <w:lang w:eastAsia="es-MX"/>
        </w:rPr>
      </w:pPr>
    </w:p>
    <w:p w14:paraId="59244732" w14:textId="77777777" w:rsidR="004D6EB2" w:rsidRPr="00791593" w:rsidRDefault="004D6EB2" w:rsidP="004D6EB2">
      <w:pPr>
        <w:spacing w:after="0" w:line="240" w:lineRule="auto"/>
        <w:jc w:val="both"/>
        <w:rPr>
          <w:rFonts w:ascii="Arial" w:hAnsi="Arial" w:cs="Arial"/>
          <w:b/>
          <w:bCs/>
          <w:lang w:eastAsia="es-MX"/>
        </w:rPr>
      </w:pPr>
    </w:p>
    <w:p w14:paraId="5FCC3CC7" w14:textId="77777777" w:rsidR="004D6EB2" w:rsidRPr="00791593" w:rsidRDefault="004D6EB2" w:rsidP="004D6EB2">
      <w:pPr>
        <w:spacing w:after="0" w:line="240" w:lineRule="auto"/>
        <w:jc w:val="both"/>
        <w:rPr>
          <w:rFonts w:ascii="Arial" w:hAnsi="Arial" w:cs="Arial"/>
          <w:b/>
          <w:bCs/>
          <w:lang w:eastAsia="es-MX"/>
        </w:rPr>
      </w:pPr>
      <w:r w:rsidRPr="00791593">
        <w:rPr>
          <w:rFonts w:ascii="Arial" w:hAnsi="Arial" w:cs="Arial"/>
          <w:b/>
          <w:bCs/>
          <w:lang w:eastAsia="es-MX"/>
        </w:rPr>
        <w:t>Reparaciones</w:t>
      </w:r>
    </w:p>
    <w:p w14:paraId="3944828C" w14:textId="77777777"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La Corte dispone que:</w:t>
      </w:r>
    </w:p>
    <w:p w14:paraId="1451100D" w14:textId="77777777" w:rsidR="004D6EB2" w:rsidRPr="00791593" w:rsidRDefault="004D6EB2" w:rsidP="004D6EB2">
      <w:pPr>
        <w:spacing w:after="0" w:line="240" w:lineRule="auto"/>
        <w:jc w:val="both"/>
        <w:rPr>
          <w:rFonts w:ascii="Arial" w:hAnsi="Arial" w:cs="Arial"/>
          <w:lang w:eastAsia="es-MX"/>
        </w:rPr>
      </w:pPr>
    </w:p>
    <w:p w14:paraId="04E17860" w14:textId="0A16FFC6"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1.</w:t>
      </w:r>
      <w:r w:rsidR="00513714" w:rsidRPr="00791593">
        <w:rPr>
          <w:rFonts w:ascii="Arial" w:hAnsi="Arial" w:cs="Arial"/>
          <w:lang w:eastAsia="es-MX"/>
        </w:rPr>
        <w:t xml:space="preserve"> </w:t>
      </w:r>
      <w:r w:rsidRPr="00791593">
        <w:rPr>
          <w:rFonts w:ascii="Arial" w:hAnsi="Arial" w:cs="Arial"/>
          <w:lang w:eastAsia="es-MX"/>
        </w:rPr>
        <w:t>Esta sentencia constituye per se una forma de reparación.</w:t>
      </w:r>
    </w:p>
    <w:p w14:paraId="58D3B073" w14:textId="77777777" w:rsidR="004D6EB2" w:rsidRPr="00791593" w:rsidRDefault="004D6EB2" w:rsidP="004D6EB2">
      <w:pPr>
        <w:spacing w:after="0" w:line="240" w:lineRule="auto"/>
        <w:jc w:val="both"/>
        <w:rPr>
          <w:rFonts w:ascii="Arial" w:hAnsi="Arial" w:cs="Arial"/>
          <w:lang w:eastAsia="es-MX"/>
        </w:rPr>
      </w:pPr>
    </w:p>
    <w:p w14:paraId="4C2500BF" w14:textId="60FAFFF6"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2.</w:t>
      </w:r>
      <w:r w:rsidR="00513714" w:rsidRPr="00791593">
        <w:rPr>
          <w:rFonts w:ascii="Arial" w:hAnsi="Arial" w:cs="Arial"/>
          <w:lang w:eastAsia="es-MX"/>
        </w:rPr>
        <w:t xml:space="preserve"> </w:t>
      </w:r>
      <w:r w:rsidRPr="00791593">
        <w:rPr>
          <w:rFonts w:ascii="Arial" w:hAnsi="Arial" w:cs="Arial"/>
          <w:lang w:eastAsia="es-MX"/>
        </w:rPr>
        <w:t xml:space="preserve">El Estado deberá identificar el territorio tradicional de los miembros de la Comunidad indígena Yakye Axa y entregárselos de manera gratuita, en un plazo máximo de tres años contados a partir de la notificación de la presente Sentencia, en los términos de los párrafos 211 a 217 de la presente Sentencia. </w:t>
      </w:r>
    </w:p>
    <w:p w14:paraId="429A787A" w14:textId="77777777" w:rsidR="004D6EB2" w:rsidRPr="00791593" w:rsidRDefault="004D6EB2" w:rsidP="004D6EB2">
      <w:pPr>
        <w:spacing w:after="0" w:line="240" w:lineRule="auto"/>
        <w:jc w:val="both"/>
        <w:rPr>
          <w:rFonts w:ascii="Arial" w:hAnsi="Arial" w:cs="Arial"/>
          <w:lang w:eastAsia="es-MX"/>
        </w:rPr>
      </w:pPr>
    </w:p>
    <w:p w14:paraId="3B0CB909" w14:textId="66658E23"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3.</w:t>
      </w:r>
      <w:r w:rsidR="00513714" w:rsidRPr="00791593">
        <w:rPr>
          <w:rFonts w:ascii="Arial" w:hAnsi="Arial" w:cs="Arial"/>
          <w:lang w:eastAsia="es-MX"/>
        </w:rPr>
        <w:t xml:space="preserve"> </w:t>
      </w:r>
      <w:r w:rsidRPr="00791593">
        <w:rPr>
          <w:rFonts w:ascii="Arial" w:hAnsi="Arial" w:cs="Arial"/>
          <w:lang w:eastAsia="es-MX"/>
        </w:rPr>
        <w:t>Mientras los miembros de la Comunidad indígena Yakye Axa se encuentren sin tierras, el Estado deberá suministrarles los bienes y servicios básicos necesarios para su subsistencia, en los términos del párrafo 221 de la presente Sentencia.</w:t>
      </w:r>
    </w:p>
    <w:p w14:paraId="72236A81" w14:textId="77777777" w:rsidR="004D6EB2" w:rsidRPr="00791593" w:rsidRDefault="004D6EB2" w:rsidP="004D6EB2">
      <w:pPr>
        <w:spacing w:after="0" w:line="240" w:lineRule="auto"/>
        <w:jc w:val="both"/>
        <w:rPr>
          <w:rFonts w:ascii="Arial" w:hAnsi="Arial" w:cs="Arial"/>
          <w:lang w:eastAsia="es-MX"/>
        </w:rPr>
      </w:pPr>
    </w:p>
    <w:p w14:paraId="53B9C7B4" w14:textId="7AA1BE33"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4.</w:t>
      </w:r>
      <w:r w:rsidR="00513714" w:rsidRPr="00791593">
        <w:rPr>
          <w:rFonts w:ascii="Arial" w:hAnsi="Arial" w:cs="Arial"/>
          <w:lang w:eastAsia="es-MX"/>
        </w:rPr>
        <w:t xml:space="preserve"> </w:t>
      </w:r>
      <w:r w:rsidRPr="00791593">
        <w:rPr>
          <w:rFonts w:ascii="Arial" w:hAnsi="Arial" w:cs="Arial"/>
          <w:lang w:eastAsia="es-MX"/>
        </w:rPr>
        <w:t xml:space="preserve">El Estado deberá crear un fondo destinado exclusivamente a la adquisición de las tierras a entregarse a los miembros de la Comunidad indígena Yakye Axa, en un plazo máximo de un año contado a partir de la notificación de la presente Sentencia, en los términos del párrafo 218 de la misma. </w:t>
      </w:r>
    </w:p>
    <w:p w14:paraId="192F3383" w14:textId="77777777" w:rsidR="004D6EB2" w:rsidRPr="00791593" w:rsidRDefault="004D6EB2" w:rsidP="004D6EB2">
      <w:pPr>
        <w:spacing w:after="0" w:line="240" w:lineRule="auto"/>
        <w:jc w:val="both"/>
        <w:rPr>
          <w:rFonts w:ascii="Arial" w:hAnsi="Arial" w:cs="Arial"/>
          <w:lang w:eastAsia="es-MX"/>
        </w:rPr>
      </w:pPr>
    </w:p>
    <w:p w14:paraId="42D7EA61" w14:textId="7641B9E2"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5.</w:t>
      </w:r>
      <w:r w:rsidR="00513714" w:rsidRPr="00791593">
        <w:rPr>
          <w:rFonts w:ascii="Arial" w:hAnsi="Arial" w:cs="Arial"/>
          <w:lang w:eastAsia="es-MX"/>
        </w:rPr>
        <w:t xml:space="preserve"> </w:t>
      </w:r>
      <w:r w:rsidRPr="00791593">
        <w:rPr>
          <w:rFonts w:ascii="Arial" w:hAnsi="Arial" w:cs="Arial"/>
          <w:lang w:eastAsia="es-MX"/>
        </w:rPr>
        <w:t>El Estado deberá implementar un programa y un fondo de desarrollo comunitario, en los términos de los párrafos 205 y 206 de la presente Sentencia.</w:t>
      </w:r>
    </w:p>
    <w:p w14:paraId="70475125" w14:textId="77777777" w:rsidR="004D6EB2" w:rsidRPr="00791593" w:rsidRDefault="004D6EB2" w:rsidP="004D6EB2">
      <w:pPr>
        <w:spacing w:after="0" w:line="240" w:lineRule="auto"/>
        <w:jc w:val="both"/>
        <w:rPr>
          <w:rFonts w:ascii="Arial" w:hAnsi="Arial" w:cs="Arial"/>
          <w:lang w:eastAsia="es-MX"/>
        </w:rPr>
      </w:pPr>
    </w:p>
    <w:p w14:paraId="7B00E456" w14:textId="53262CFB"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6.</w:t>
      </w:r>
      <w:r w:rsidR="00513714" w:rsidRPr="00791593">
        <w:rPr>
          <w:rFonts w:ascii="Arial" w:hAnsi="Arial" w:cs="Arial"/>
          <w:lang w:eastAsia="es-MX"/>
        </w:rPr>
        <w:t xml:space="preserve"> </w:t>
      </w:r>
      <w:r w:rsidRPr="00791593">
        <w:rPr>
          <w:rFonts w:ascii="Arial" w:hAnsi="Arial" w:cs="Arial"/>
          <w:lang w:eastAsia="es-MX"/>
        </w:rPr>
        <w:t>El Estado deberá adoptar en su derecho interno, en un plazo razonable, las medidas legislativas, administrativas y de cualquier otro carácter que sean necesarias para garantizar el efectivo goce del derecho a la propiedad de los miembros de los pueblos indígenas, en los términos del párrafo 225 de la presente Sentencia.</w:t>
      </w:r>
    </w:p>
    <w:p w14:paraId="6C44A6A8" w14:textId="77777777" w:rsidR="004D6EB2" w:rsidRPr="00791593" w:rsidRDefault="004D6EB2" w:rsidP="004D6EB2">
      <w:pPr>
        <w:spacing w:after="0" w:line="240" w:lineRule="auto"/>
        <w:jc w:val="both"/>
        <w:rPr>
          <w:rFonts w:ascii="Arial" w:hAnsi="Arial" w:cs="Arial"/>
          <w:lang w:eastAsia="es-MX"/>
        </w:rPr>
      </w:pPr>
    </w:p>
    <w:p w14:paraId="20BA7F22" w14:textId="461F97BD"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7.</w:t>
      </w:r>
      <w:r w:rsidR="00513714" w:rsidRPr="00791593">
        <w:rPr>
          <w:rFonts w:ascii="Arial" w:hAnsi="Arial" w:cs="Arial"/>
          <w:lang w:eastAsia="es-MX"/>
        </w:rPr>
        <w:t xml:space="preserve"> </w:t>
      </w:r>
      <w:r w:rsidRPr="00791593">
        <w:rPr>
          <w:rFonts w:ascii="Arial" w:hAnsi="Arial" w:cs="Arial"/>
          <w:lang w:eastAsia="es-MX"/>
        </w:rPr>
        <w:t>El Estado deberá realizar un acto público de reconocimiento de su responsabilidad, dentro del plazo de un año, contado a partir de la notificación de la presente Sentencia, en los términos del párrafo 226 de la misma.</w:t>
      </w:r>
    </w:p>
    <w:p w14:paraId="2DABF7D2" w14:textId="77777777" w:rsidR="004D6EB2" w:rsidRPr="00791593" w:rsidRDefault="004D6EB2" w:rsidP="004D6EB2">
      <w:pPr>
        <w:spacing w:after="0" w:line="240" w:lineRule="auto"/>
        <w:jc w:val="both"/>
        <w:rPr>
          <w:rFonts w:ascii="Arial" w:hAnsi="Arial" w:cs="Arial"/>
          <w:lang w:eastAsia="es-MX"/>
        </w:rPr>
      </w:pPr>
    </w:p>
    <w:p w14:paraId="394EFD2B" w14:textId="205E45BE"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8.</w:t>
      </w:r>
      <w:r w:rsidR="00513714" w:rsidRPr="00791593">
        <w:rPr>
          <w:rFonts w:ascii="Arial" w:hAnsi="Arial" w:cs="Arial"/>
          <w:lang w:eastAsia="es-MX"/>
        </w:rPr>
        <w:t xml:space="preserve"> </w:t>
      </w:r>
      <w:r w:rsidRPr="00791593">
        <w:rPr>
          <w:rFonts w:ascii="Arial" w:hAnsi="Arial" w:cs="Arial"/>
          <w:lang w:eastAsia="es-MX"/>
        </w:rPr>
        <w:t>El Estado deberá publicar, dentro del plazo de un año contado a partir de la notificación de la presente Sentencia, al menos por una vez, en el Diario Oficial y en otro diario de circulación nacional, tanto la sección denominada Hechos Probados como los puntos resolutivos Primero a Décimo Cuarto de ésta.  Asimismo, el Estado deberá financiar la transmisión radial de esta Sentencia.</w:t>
      </w:r>
    </w:p>
    <w:p w14:paraId="26533835" w14:textId="77777777" w:rsidR="004D6EB2" w:rsidRPr="00791593" w:rsidRDefault="004D6EB2" w:rsidP="004D6EB2">
      <w:pPr>
        <w:spacing w:after="0" w:line="240" w:lineRule="auto"/>
        <w:jc w:val="both"/>
        <w:rPr>
          <w:rFonts w:ascii="Arial" w:hAnsi="Arial" w:cs="Arial"/>
          <w:lang w:eastAsia="es-MX"/>
        </w:rPr>
      </w:pPr>
    </w:p>
    <w:p w14:paraId="61A01E12" w14:textId="164F899F"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9.</w:t>
      </w:r>
      <w:r w:rsidR="00513714" w:rsidRPr="00791593">
        <w:rPr>
          <w:rFonts w:ascii="Arial" w:hAnsi="Arial" w:cs="Arial"/>
          <w:lang w:eastAsia="es-MX"/>
        </w:rPr>
        <w:t xml:space="preserve"> </w:t>
      </w:r>
      <w:r w:rsidRPr="00791593">
        <w:rPr>
          <w:rFonts w:ascii="Arial" w:hAnsi="Arial" w:cs="Arial"/>
          <w:lang w:eastAsia="es-MX"/>
        </w:rPr>
        <w:t>El Estado deberá efectuar los pagos por concepto de daño material y costas y gastos dentro del plazo de un año, contado a partir de la notificación del presente fallo, en los términos de los párrafos 195 y 232 de esta Sentencia.</w:t>
      </w:r>
    </w:p>
    <w:p w14:paraId="56AE8A0E" w14:textId="77777777" w:rsidR="004D6EB2" w:rsidRPr="00791593" w:rsidRDefault="004D6EB2" w:rsidP="004D6EB2">
      <w:pPr>
        <w:spacing w:after="0" w:line="240" w:lineRule="auto"/>
        <w:jc w:val="both"/>
        <w:rPr>
          <w:rFonts w:ascii="Arial" w:hAnsi="Arial" w:cs="Arial"/>
          <w:lang w:eastAsia="es-MX"/>
        </w:rPr>
      </w:pPr>
    </w:p>
    <w:p w14:paraId="00F31C0C" w14:textId="77777777"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 xml:space="preserve"> 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0987AD7D" w14:textId="77777777" w:rsidR="004D6EB2" w:rsidRPr="00791593" w:rsidRDefault="004D6EB2" w:rsidP="004D6EB2">
      <w:pPr>
        <w:spacing w:after="0" w:line="240" w:lineRule="auto"/>
        <w:jc w:val="both"/>
        <w:rPr>
          <w:rFonts w:ascii="Arial" w:hAnsi="Arial" w:cs="Arial"/>
          <w:lang w:eastAsia="es-MX"/>
        </w:rPr>
      </w:pPr>
    </w:p>
    <w:p w14:paraId="35173F92" w14:textId="77777777" w:rsidR="004D6EB2" w:rsidRPr="00791593" w:rsidRDefault="004D6EB2" w:rsidP="004D6EB2">
      <w:pPr>
        <w:spacing w:after="0" w:line="240" w:lineRule="auto"/>
        <w:jc w:val="both"/>
        <w:rPr>
          <w:rFonts w:ascii="Arial" w:hAnsi="Arial" w:cs="Arial"/>
          <w:lang w:eastAsia="es-MX"/>
        </w:rPr>
      </w:pPr>
    </w:p>
    <w:p w14:paraId="57EE9AFE" w14:textId="77777777" w:rsidR="004D6EB2" w:rsidRPr="00791593" w:rsidRDefault="004D6EB2" w:rsidP="004D6EB2">
      <w:pPr>
        <w:spacing w:after="0" w:line="240" w:lineRule="auto"/>
        <w:jc w:val="both"/>
        <w:rPr>
          <w:rFonts w:ascii="Arial" w:hAnsi="Arial" w:cs="Arial"/>
          <w:b/>
          <w:bCs/>
          <w:lang w:eastAsia="es-MX"/>
        </w:rPr>
      </w:pPr>
      <w:r w:rsidRPr="00791593">
        <w:rPr>
          <w:rFonts w:ascii="Arial" w:hAnsi="Arial" w:cs="Arial"/>
          <w:b/>
          <w:bCs/>
          <w:lang w:eastAsia="es-MX"/>
        </w:rPr>
        <w:t>Resolutivos</w:t>
      </w:r>
    </w:p>
    <w:p w14:paraId="77BCE763" w14:textId="77777777"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La Corte declara por unanimidad, que:</w:t>
      </w:r>
    </w:p>
    <w:p w14:paraId="2505B2B5" w14:textId="77777777" w:rsidR="004D6EB2" w:rsidRPr="00791593" w:rsidRDefault="004D6EB2" w:rsidP="004D6EB2">
      <w:pPr>
        <w:spacing w:after="0" w:line="240" w:lineRule="auto"/>
        <w:jc w:val="both"/>
        <w:rPr>
          <w:rFonts w:ascii="Arial" w:hAnsi="Arial" w:cs="Arial"/>
          <w:lang w:eastAsia="es-MX"/>
        </w:rPr>
      </w:pPr>
    </w:p>
    <w:p w14:paraId="66A59967" w14:textId="55B4E093"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1.</w:t>
      </w:r>
      <w:r w:rsidR="00513714" w:rsidRPr="00791593">
        <w:rPr>
          <w:rFonts w:ascii="Arial" w:hAnsi="Arial" w:cs="Arial"/>
          <w:lang w:eastAsia="es-MX"/>
        </w:rPr>
        <w:t xml:space="preserve"> </w:t>
      </w:r>
      <w:r w:rsidRPr="00791593">
        <w:rPr>
          <w:rFonts w:ascii="Arial" w:hAnsi="Arial" w:cs="Arial"/>
          <w:lang w:eastAsia="es-MX"/>
        </w:rPr>
        <w:t>El Estado violó el Derecho a la Vida consagrado en el artículo 4.1 de la Convención Americana sobre Derechos Humanos, en relación con el artículo 1.1. de la misma, en perjuicio de los miembros de la Comunidad indígena Yakye Axa en los términos de los párrafos 160 a 176 de la presente Sentencia.</w:t>
      </w:r>
    </w:p>
    <w:p w14:paraId="79FAE17A" w14:textId="77777777" w:rsidR="004D6EB2" w:rsidRPr="00791593" w:rsidRDefault="004D6EB2" w:rsidP="004D6EB2">
      <w:pPr>
        <w:spacing w:after="0" w:line="240" w:lineRule="auto"/>
        <w:jc w:val="both"/>
        <w:rPr>
          <w:rFonts w:ascii="Arial" w:hAnsi="Arial" w:cs="Arial"/>
          <w:lang w:eastAsia="es-MX"/>
        </w:rPr>
      </w:pPr>
    </w:p>
    <w:p w14:paraId="28A8F617" w14:textId="77777777"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 xml:space="preserve"> Por cinco votos contra tres,</w:t>
      </w:r>
    </w:p>
    <w:p w14:paraId="74F59211" w14:textId="77777777" w:rsidR="004D6EB2" w:rsidRPr="00791593" w:rsidRDefault="004D6EB2" w:rsidP="004D6EB2">
      <w:pPr>
        <w:spacing w:after="0" w:line="240" w:lineRule="auto"/>
        <w:jc w:val="both"/>
        <w:rPr>
          <w:rFonts w:ascii="Arial" w:hAnsi="Arial" w:cs="Arial"/>
          <w:lang w:eastAsia="es-MX"/>
        </w:rPr>
      </w:pPr>
    </w:p>
    <w:p w14:paraId="0BF17B7B" w14:textId="46F46B07"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lastRenderedPageBreak/>
        <w:t>2.</w:t>
      </w:r>
      <w:r w:rsidR="00513714" w:rsidRPr="00791593">
        <w:rPr>
          <w:rFonts w:ascii="Arial" w:hAnsi="Arial" w:cs="Arial"/>
          <w:lang w:eastAsia="es-MX"/>
        </w:rPr>
        <w:t xml:space="preserve"> </w:t>
      </w:r>
      <w:r w:rsidRPr="00791593">
        <w:rPr>
          <w:rFonts w:ascii="Arial" w:hAnsi="Arial" w:cs="Arial"/>
          <w:lang w:eastAsia="es-MX"/>
        </w:rPr>
        <w:t xml:space="preserve">No cuenta con elementos probatorios suficientes para demostrar la violación del Derecho a la Vida consagrado en el artículo 4.1 de la Convención Americana sobre Derechos Humanos, en perjuicio de dieciséis miembros de la Comunidad indígena Yakye Axa, en los términos de los párrafos 177 a 178 de la presente Sentencia.  </w:t>
      </w:r>
    </w:p>
    <w:p w14:paraId="4A1AE756" w14:textId="77777777" w:rsidR="004D6EB2" w:rsidRPr="00791593" w:rsidRDefault="004D6EB2" w:rsidP="004D6EB2">
      <w:pPr>
        <w:spacing w:after="0" w:line="240" w:lineRule="auto"/>
        <w:jc w:val="both"/>
        <w:rPr>
          <w:rFonts w:ascii="Arial" w:hAnsi="Arial" w:cs="Arial"/>
          <w:lang w:eastAsia="es-MX"/>
        </w:rPr>
      </w:pPr>
    </w:p>
    <w:p w14:paraId="0529BD4A" w14:textId="77777777"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 xml:space="preserve"> Por siete votos contra uno, </w:t>
      </w:r>
    </w:p>
    <w:p w14:paraId="2D4F7AB4" w14:textId="77777777" w:rsidR="004D6EB2" w:rsidRPr="00791593" w:rsidRDefault="004D6EB2" w:rsidP="004D6EB2">
      <w:pPr>
        <w:spacing w:after="0" w:line="240" w:lineRule="auto"/>
        <w:jc w:val="both"/>
        <w:rPr>
          <w:rFonts w:ascii="Arial" w:hAnsi="Arial" w:cs="Arial"/>
          <w:lang w:eastAsia="es-MX"/>
        </w:rPr>
      </w:pPr>
    </w:p>
    <w:p w14:paraId="5D23156B" w14:textId="3203310F"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3.</w:t>
      </w:r>
      <w:r w:rsidR="00513714" w:rsidRPr="00791593">
        <w:rPr>
          <w:rFonts w:ascii="Arial" w:hAnsi="Arial" w:cs="Arial"/>
          <w:lang w:eastAsia="es-MX"/>
        </w:rPr>
        <w:t xml:space="preserve"> </w:t>
      </w:r>
      <w:r w:rsidRPr="00791593">
        <w:rPr>
          <w:rFonts w:ascii="Arial" w:hAnsi="Arial" w:cs="Arial"/>
          <w:lang w:eastAsia="es-MX"/>
        </w:rPr>
        <w:t xml:space="preserve">El Estado violó los derechos a las Garantías Judiciales y a la Protección Judicial consagrados en los artículos 8 y 25, respectivamente, de la Convención Americana sobre Derechos Humanos, en relación con los artículos 1.1. y 2 de la misma, en perjuicio de los miembros de la Comunidad indígena Yakye Axa, en los términos de los párrafos 55 a 119 de la presente Sentencia. </w:t>
      </w:r>
    </w:p>
    <w:p w14:paraId="25F99565" w14:textId="77777777" w:rsidR="004D6EB2" w:rsidRPr="00791593" w:rsidRDefault="004D6EB2" w:rsidP="004D6EB2">
      <w:pPr>
        <w:spacing w:after="0" w:line="240" w:lineRule="auto"/>
        <w:jc w:val="both"/>
        <w:rPr>
          <w:rFonts w:ascii="Arial" w:hAnsi="Arial" w:cs="Arial"/>
          <w:lang w:eastAsia="es-MX"/>
        </w:rPr>
      </w:pPr>
    </w:p>
    <w:p w14:paraId="72E51044" w14:textId="77777777" w:rsidR="004D6EB2" w:rsidRPr="00791593" w:rsidRDefault="004D6EB2" w:rsidP="004D6EB2">
      <w:pPr>
        <w:spacing w:after="0" w:line="240" w:lineRule="auto"/>
        <w:jc w:val="both"/>
        <w:rPr>
          <w:rFonts w:ascii="Arial" w:hAnsi="Arial" w:cs="Arial"/>
          <w:lang w:eastAsia="es-MX"/>
        </w:rPr>
      </w:pPr>
    </w:p>
    <w:p w14:paraId="58ADF2F8" w14:textId="239A9157" w:rsidR="004D6EB2"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4.</w:t>
      </w:r>
      <w:r w:rsidR="00513714" w:rsidRPr="00791593">
        <w:rPr>
          <w:rFonts w:ascii="Arial" w:hAnsi="Arial" w:cs="Arial"/>
          <w:lang w:eastAsia="es-MX"/>
        </w:rPr>
        <w:t xml:space="preserve"> </w:t>
      </w:r>
      <w:r w:rsidRPr="00791593">
        <w:rPr>
          <w:rFonts w:ascii="Arial" w:hAnsi="Arial" w:cs="Arial"/>
          <w:lang w:eastAsia="es-MX"/>
        </w:rPr>
        <w:t xml:space="preserve">El Estado violó el derecho a la Propiedad consagrado en el artículo 21 de la Convención Americana sobre Derechos Humanos, en relación con los artículos 1.1 y 2 de la misma, en perjuicio de los miembros de la Comunidad indígena Yakye Axa, en los términos de los párrafos 123 a 156 de la presente Sentencia.  </w:t>
      </w:r>
    </w:p>
    <w:p w14:paraId="170B4762" w14:textId="244EEE16" w:rsidR="00484D03" w:rsidRPr="00791593" w:rsidRDefault="004D6EB2" w:rsidP="004D6EB2">
      <w:pPr>
        <w:spacing w:after="0" w:line="240" w:lineRule="auto"/>
        <w:jc w:val="both"/>
        <w:rPr>
          <w:rFonts w:ascii="Arial" w:hAnsi="Arial" w:cs="Arial"/>
          <w:lang w:eastAsia="es-MX"/>
        </w:rPr>
      </w:pPr>
      <w:r w:rsidRPr="00791593">
        <w:rPr>
          <w:rFonts w:ascii="Arial" w:hAnsi="Arial" w:cs="Arial"/>
          <w:lang w:eastAsia="es-MX"/>
        </w:rPr>
        <w:t xml:space="preserve">  </w:t>
      </w:r>
    </w:p>
    <w:p w14:paraId="6B1F8E3C" w14:textId="6FC893CC" w:rsidR="00484D03" w:rsidRPr="00791593" w:rsidRDefault="00484D03" w:rsidP="00335852">
      <w:pPr>
        <w:rPr>
          <w:rFonts w:ascii="Arial" w:hAnsi="Arial" w:cs="Arial"/>
          <w:lang w:eastAsia="es-MX"/>
        </w:rPr>
      </w:pPr>
    </w:p>
    <w:p w14:paraId="7CDAE9B9" w14:textId="77777777" w:rsidR="002F412F" w:rsidRPr="00791593" w:rsidRDefault="002F412F" w:rsidP="00335852">
      <w:pPr>
        <w:rPr>
          <w:rFonts w:ascii="Arial" w:hAnsi="Arial" w:cs="Arial"/>
          <w:lang w:eastAsia="es-MX"/>
        </w:rPr>
      </w:pPr>
    </w:p>
    <w:p w14:paraId="3BBB22C4" w14:textId="258AEA22" w:rsidR="00153F6E" w:rsidRPr="00791593" w:rsidRDefault="00180F6B" w:rsidP="006640CA">
      <w:pPr>
        <w:pStyle w:val="Ttulo4"/>
        <w:rPr>
          <w:rFonts w:ascii="Arial" w:hAnsi="Arial" w:cs="Arial"/>
          <w:i w:val="0"/>
          <w:iCs w:val="0"/>
          <w:sz w:val="24"/>
          <w:szCs w:val="24"/>
          <w:lang w:eastAsia="es-MX"/>
        </w:rPr>
      </w:pPr>
      <w:r w:rsidRPr="00791593">
        <w:rPr>
          <w:rFonts w:ascii="Arial" w:hAnsi="Arial" w:cs="Arial"/>
          <w:b/>
          <w:bCs/>
          <w:i w:val="0"/>
          <w:iCs w:val="0"/>
          <w:color w:val="C00000"/>
          <w:sz w:val="24"/>
          <w:szCs w:val="24"/>
          <w:shd w:val="clear" w:color="auto" w:fill="FFFFFF"/>
        </w:rPr>
        <w:t>CASO 2: CASO XÁKMOK KÁSEK VS PARAGUAY</w:t>
      </w:r>
    </w:p>
    <w:p w14:paraId="76F77110" w14:textId="77777777" w:rsidR="00180F6B" w:rsidRPr="00791593" w:rsidRDefault="00180F6B" w:rsidP="00180F6B">
      <w:pPr>
        <w:spacing w:after="0" w:line="240" w:lineRule="auto"/>
        <w:rPr>
          <w:rFonts w:ascii="Arial" w:hAnsi="Arial" w:cs="Arial"/>
          <w:color w:val="000000"/>
          <w:shd w:val="clear" w:color="auto" w:fill="FFFFFF"/>
        </w:rPr>
      </w:pPr>
    </w:p>
    <w:p w14:paraId="0C4F98B9" w14:textId="4DDAEFDD" w:rsidR="00484D03" w:rsidRPr="00791593" w:rsidRDefault="00180F6B" w:rsidP="008C6C4D">
      <w:pPr>
        <w:spacing w:after="0" w:line="240" w:lineRule="auto"/>
        <w:jc w:val="both"/>
        <w:rPr>
          <w:rFonts w:ascii="Arial" w:hAnsi="Arial" w:cs="Arial"/>
          <w:b/>
          <w:bCs/>
          <w:color w:val="000000"/>
          <w:shd w:val="clear" w:color="auto" w:fill="FFFFFF"/>
        </w:rPr>
      </w:pPr>
      <w:r w:rsidRPr="00791593">
        <w:rPr>
          <w:rFonts w:ascii="Arial" w:hAnsi="Arial" w:cs="Arial"/>
          <w:b/>
          <w:bCs/>
          <w:color w:val="000000"/>
          <w:shd w:val="clear" w:color="auto" w:fill="FFFFFF"/>
        </w:rPr>
        <w:t>Órgano CoIDH.</w:t>
      </w:r>
    </w:p>
    <w:p w14:paraId="6330CC53" w14:textId="621B65B1" w:rsidR="007700FE" w:rsidRPr="00791593" w:rsidRDefault="007700FE" w:rsidP="008C6C4D">
      <w:pPr>
        <w:spacing w:after="0" w:line="240" w:lineRule="auto"/>
        <w:jc w:val="both"/>
        <w:rPr>
          <w:rFonts w:ascii="Arial" w:hAnsi="Arial" w:cs="Arial"/>
          <w:b/>
          <w:bCs/>
          <w:color w:val="000000"/>
          <w:shd w:val="clear" w:color="auto" w:fill="FFFFFF"/>
        </w:rPr>
      </w:pPr>
    </w:p>
    <w:p w14:paraId="4984F136" w14:textId="0C7DFD18" w:rsidR="008C6C4D" w:rsidRPr="00791593" w:rsidRDefault="008C6C4D" w:rsidP="008C6C4D">
      <w:pPr>
        <w:spacing w:after="0" w:line="240" w:lineRule="auto"/>
        <w:jc w:val="both"/>
        <w:rPr>
          <w:rFonts w:ascii="Arial" w:hAnsi="Arial" w:cs="Arial"/>
          <w:b/>
          <w:bCs/>
          <w:lang w:eastAsia="es-MX"/>
        </w:rPr>
      </w:pPr>
      <w:r w:rsidRPr="00791593">
        <w:rPr>
          <w:rFonts w:ascii="Arial" w:hAnsi="Arial" w:cs="Arial"/>
          <w:b/>
          <w:bCs/>
          <w:lang w:eastAsia="es-MX"/>
        </w:rPr>
        <w:t>Corte Interamericanade Derechos Humanos</w:t>
      </w:r>
    </w:p>
    <w:p w14:paraId="0C268CD9" w14:textId="77777777" w:rsidR="008C6C4D" w:rsidRPr="00791593" w:rsidRDefault="008C6C4D" w:rsidP="008C6C4D">
      <w:pPr>
        <w:spacing w:after="0" w:line="240" w:lineRule="auto"/>
        <w:jc w:val="both"/>
        <w:rPr>
          <w:rFonts w:ascii="Arial" w:hAnsi="Arial" w:cs="Arial"/>
          <w:b/>
          <w:bCs/>
          <w:color w:val="C00000"/>
          <w:lang w:eastAsia="es-MX"/>
        </w:rPr>
      </w:pPr>
      <w:r w:rsidRPr="00791593">
        <w:rPr>
          <w:rFonts w:ascii="Arial" w:hAnsi="Arial" w:cs="Arial"/>
          <w:b/>
          <w:bCs/>
          <w:color w:val="C00000"/>
          <w:lang w:eastAsia="es-MX"/>
        </w:rPr>
        <w:t>Caso Comunidad Indígena Xákmok Kásek vs. Paraguay</w:t>
      </w:r>
    </w:p>
    <w:p w14:paraId="3DF60758" w14:textId="77777777" w:rsidR="008C6C4D" w:rsidRPr="00791593" w:rsidRDefault="008C6C4D" w:rsidP="008C6C4D">
      <w:pPr>
        <w:spacing w:after="0" w:line="240" w:lineRule="auto"/>
        <w:jc w:val="both"/>
        <w:rPr>
          <w:rFonts w:ascii="Arial" w:hAnsi="Arial" w:cs="Arial"/>
          <w:b/>
          <w:bCs/>
          <w:lang w:eastAsia="es-MX"/>
        </w:rPr>
      </w:pPr>
      <w:r w:rsidRPr="00791593">
        <w:rPr>
          <w:rFonts w:ascii="Arial" w:hAnsi="Arial" w:cs="Arial"/>
          <w:b/>
          <w:bCs/>
          <w:lang w:eastAsia="es-MX"/>
        </w:rPr>
        <w:t>Resuelto el  24 de agosto de 2010</w:t>
      </w:r>
    </w:p>
    <w:p w14:paraId="2284A2BF" w14:textId="77777777" w:rsidR="008C6C4D" w:rsidRPr="00791593" w:rsidRDefault="008C6C4D" w:rsidP="008C6C4D">
      <w:pPr>
        <w:spacing w:after="0" w:line="240" w:lineRule="auto"/>
        <w:jc w:val="both"/>
        <w:rPr>
          <w:rFonts w:ascii="Arial" w:hAnsi="Arial" w:cs="Arial"/>
          <w:lang w:eastAsia="es-MX"/>
        </w:rPr>
      </w:pPr>
    </w:p>
    <w:p w14:paraId="02642612" w14:textId="77777777" w:rsidR="008C6C4D" w:rsidRPr="00791593" w:rsidRDefault="008C6C4D" w:rsidP="008C6C4D">
      <w:pPr>
        <w:spacing w:after="0" w:line="240" w:lineRule="auto"/>
        <w:jc w:val="both"/>
        <w:rPr>
          <w:rFonts w:ascii="Arial" w:hAnsi="Arial" w:cs="Arial"/>
          <w:lang w:eastAsia="es-MX"/>
        </w:rPr>
      </w:pPr>
    </w:p>
    <w:p w14:paraId="5715215B" w14:textId="77777777" w:rsidR="008C6C4D" w:rsidRPr="00791593" w:rsidRDefault="008C6C4D" w:rsidP="008C6C4D">
      <w:pPr>
        <w:spacing w:after="0" w:line="240" w:lineRule="auto"/>
        <w:jc w:val="both"/>
        <w:rPr>
          <w:rFonts w:ascii="Arial" w:hAnsi="Arial" w:cs="Arial"/>
          <w:b/>
          <w:bCs/>
          <w:lang w:eastAsia="es-MX"/>
        </w:rPr>
      </w:pPr>
      <w:r w:rsidRPr="00791593">
        <w:rPr>
          <w:rFonts w:ascii="Arial" w:hAnsi="Arial" w:cs="Arial"/>
          <w:b/>
          <w:bCs/>
          <w:lang w:eastAsia="es-MX"/>
        </w:rPr>
        <w:t>Temática</w:t>
      </w:r>
    </w:p>
    <w:p w14:paraId="60AD8F54" w14:textId="5863265C"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•Educación</w:t>
      </w:r>
    </w:p>
    <w:p w14:paraId="7D60703D" w14:textId="6EC36A71"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•Garantías judiciales y procesales</w:t>
      </w:r>
    </w:p>
    <w:p w14:paraId="77BED57C" w14:textId="59D754C7"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•Pueblos indígenas</w:t>
      </w:r>
    </w:p>
    <w:p w14:paraId="6F10E3AA" w14:textId="34DC4D81"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•Protección judicial</w:t>
      </w:r>
    </w:p>
    <w:p w14:paraId="75FAE711" w14:textId="02962755"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•Personalidad jurídica</w:t>
      </w:r>
    </w:p>
    <w:p w14:paraId="357F7030" w14:textId="77777777" w:rsidR="008C6C4D" w:rsidRPr="00791593" w:rsidRDefault="008C6C4D" w:rsidP="008C6C4D">
      <w:pPr>
        <w:spacing w:after="0" w:line="240" w:lineRule="auto"/>
        <w:jc w:val="both"/>
        <w:rPr>
          <w:rFonts w:ascii="Arial" w:hAnsi="Arial" w:cs="Arial"/>
          <w:lang w:eastAsia="es-MX"/>
        </w:rPr>
      </w:pPr>
    </w:p>
    <w:p w14:paraId="74FFA266" w14:textId="77777777" w:rsidR="008C6C4D" w:rsidRPr="00791593" w:rsidRDefault="008C6C4D" w:rsidP="008C6C4D">
      <w:pPr>
        <w:spacing w:after="0" w:line="240" w:lineRule="auto"/>
        <w:jc w:val="both"/>
        <w:rPr>
          <w:rFonts w:ascii="Arial" w:hAnsi="Arial" w:cs="Arial"/>
          <w:lang w:eastAsia="es-MX"/>
        </w:rPr>
      </w:pPr>
    </w:p>
    <w:p w14:paraId="0E060F68" w14:textId="76AE5436" w:rsidR="008C6C4D" w:rsidRPr="00791593" w:rsidRDefault="008C6C4D" w:rsidP="008C6C4D">
      <w:pPr>
        <w:spacing w:after="0" w:line="240" w:lineRule="auto"/>
        <w:jc w:val="both"/>
        <w:rPr>
          <w:rFonts w:ascii="Arial" w:hAnsi="Arial" w:cs="Arial"/>
          <w:b/>
          <w:bCs/>
          <w:lang w:eastAsia="es-MX"/>
        </w:rPr>
      </w:pPr>
      <w:r w:rsidRPr="00791593">
        <w:rPr>
          <w:rFonts w:ascii="Arial" w:hAnsi="Arial" w:cs="Arial"/>
          <w:b/>
          <w:bCs/>
          <w:lang w:eastAsia="es-MX"/>
        </w:rPr>
        <w:t>Caso concreto</w:t>
      </w:r>
    </w:p>
    <w:p w14:paraId="18E191EF" w14:textId="77777777" w:rsidR="00177A9F" w:rsidRPr="00791593" w:rsidRDefault="00177A9F" w:rsidP="008C6C4D">
      <w:pPr>
        <w:spacing w:after="0" w:line="240" w:lineRule="auto"/>
        <w:jc w:val="both"/>
        <w:rPr>
          <w:rFonts w:ascii="Arial" w:hAnsi="Arial" w:cs="Arial"/>
          <w:b/>
          <w:bCs/>
          <w:lang w:eastAsia="es-MX"/>
        </w:rPr>
      </w:pPr>
    </w:p>
    <w:p w14:paraId="1989AF13" w14:textId="77777777"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El caso se refiere a la responsabilidad internacional del Estado por no haber garantizado el derecho de propiedad ancestral de los miembros de la Comunidad Indígena Xákmok Kásek del Pueblo Enxet-Lengua, lo cual ha generado una amenaza a su supervivencia.</w:t>
      </w:r>
    </w:p>
    <w:p w14:paraId="520E1869" w14:textId="77777777" w:rsidR="008C6C4D" w:rsidRPr="00791593" w:rsidRDefault="008C6C4D" w:rsidP="008C6C4D">
      <w:pPr>
        <w:spacing w:after="0" w:line="240" w:lineRule="auto"/>
        <w:jc w:val="both"/>
        <w:rPr>
          <w:rFonts w:ascii="Arial" w:hAnsi="Arial" w:cs="Arial"/>
          <w:lang w:eastAsia="es-MX"/>
        </w:rPr>
      </w:pPr>
    </w:p>
    <w:p w14:paraId="01CB49F1" w14:textId="77777777" w:rsidR="008C6C4D" w:rsidRPr="00791593" w:rsidRDefault="008C6C4D" w:rsidP="008C6C4D">
      <w:pPr>
        <w:spacing w:after="0" w:line="240" w:lineRule="auto"/>
        <w:jc w:val="both"/>
        <w:rPr>
          <w:rFonts w:ascii="Arial" w:hAnsi="Arial" w:cs="Arial"/>
          <w:lang w:eastAsia="es-MX"/>
        </w:rPr>
      </w:pPr>
    </w:p>
    <w:p w14:paraId="6EE05533" w14:textId="20A82A1C" w:rsidR="008C6C4D" w:rsidRPr="00791593" w:rsidRDefault="008C6C4D" w:rsidP="008C6C4D">
      <w:pPr>
        <w:spacing w:after="0" w:line="240" w:lineRule="auto"/>
        <w:jc w:val="both"/>
        <w:rPr>
          <w:rFonts w:ascii="Arial" w:hAnsi="Arial" w:cs="Arial"/>
          <w:b/>
          <w:bCs/>
          <w:lang w:eastAsia="es-MX"/>
        </w:rPr>
      </w:pPr>
      <w:r w:rsidRPr="00791593">
        <w:rPr>
          <w:rFonts w:ascii="Arial" w:hAnsi="Arial" w:cs="Arial"/>
          <w:b/>
          <w:bCs/>
          <w:lang w:eastAsia="es-MX"/>
        </w:rPr>
        <w:t>Hechos</w:t>
      </w:r>
    </w:p>
    <w:p w14:paraId="6E64350F" w14:textId="77777777" w:rsidR="00177A9F" w:rsidRPr="00791593" w:rsidRDefault="00177A9F" w:rsidP="008C6C4D">
      <w:pPr>
        <w:spacing w:after="0" w:line="240" w:lineRule="auto"/>
        <w:jc w:val="both"/>
        <w:rPr>
          <w:rFonts w:ascii="Arial" w:hAnsi="Arial" w:cs="Arial"/>
          <w:b/>
          <w:bCs/>
          <w:lang w:eastAsia="es-MX"/>
        </w:rPr>
      </w:pPr>
    </w:p>
    <w:p w14:paraId="2F317DA4" w14:textId="61D346B6"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1.</w:t>
      </w:r>
      <w:r w:rsidR="00177A9F" w:rsidRPr="00791593">
        <w:rPr>
          <w:rFonts w:ascii="Arial" w:hAnsi="Arial" w:cs="Arial"/>
          <w:lang w:eastAsia="es-MX"/>
        </w:rPr>
        <w:t xml:space="preserve"> </w:t>
      </w:r>
      <w:r w:rsidRPr="00791593">
        <w:rPr>
          <w:rFonts w:ascii="Arial" w:hAnsi="Arial" w:cs="Arial"/>
          <w:lang w:eastAsia="es-MX"/>
        </w:rPr>
        <w:t xml:space="preserve">Antes de la colonización del Chaco los indígenas vivían en comunidades pequeñas y flexibles. La economía de los miembros de los pueblos indígenas del Chaco se basaba </w:t>
      </w:r>
      <w:r w:rsidRPr="00791593">
        <w:rPr>
          <w:rFonts w:ascii="Arial" w:hAnsi="Arial" w:cs="Arial"/>
          <w:lang w:eastAsia="es-MX"/>
        </w:rPr>
        <w:lastRenderedPageBreak/>
        <w:t>principalmente en la caza, recolección y pesca. También cultivaban pequeñas huertas y poseían algunos animales domésticos. Recorrían sus tierras utilizando la naturaleza en la medida que las estaciones y la tecnología cultural les permitía aprovecharla, lo cual determinaba que se desplazaran y ocuparan un área muy extensa de territorio.</w:t>
      </w:r>
    </w:p>
    <w:p w14:paraId="18ADCD94" w14:textId="77777777" w:rsidR="008C6C4D" w:rsidRPr="00791593" w:rsidRDefault="008C6C4D" w:rsidP="008C6C4D">
      <w:pPr>
        <w:spacing w:after="0" w:line="240" w:lineRule="auto"/>
        <w:jc w:val="both"/>
        <w:rPr>
          <w:rFonts w:ascii="Arial" w:hAnsi="Arial" w:cs="Arial"/>
          <w:lang w:eastAsia="es-MX"/>
        </w:rPr>
      </w:pPr>
    </w:p>
    <w:p w14:paraId="5EB467CD" w14:textId="181BFF44"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2.</w:t>
      </w:r>
      <w:r w:rsidR="00A031AA" w:rsidRPr="00791593">
        <w:rPr>
          <w:rFonts w:ascii="Arial" w:hAnsi="Arial" w:cs="Arial"/>
          <w:lang w:eastAsia="es-MX"/>
        </w:rPr>
        <w:t xml:space="preserve"> </w:t>
      </w:r>
      <w:r w:rsidRPr="00791593">
        <w:rPr>
          <w:rFonts w:ascii="Arial" w:hAnsi="Arial" w:cs="Arial"/>
          <w:lang w:eastAsia="es-MX"/>
        </w:rPr>
        <w:t>Entre los años 1885 y 1887, el Estado vendió dos tercios del Chaco en la bolsa de valores de Londres para financiar la deuda del Paraguay tras la llamada guerra de la Triple Alianza. La división y venta de estos territorios fue realizada con desconocimiento de la población que los habitaba, que en ese entonces era exclusivamente indígena.</w:t>
      </w:r>
    </w:p>
    <w:p w14:paraId="49FF16C9" w14:textId="77777777" w:rsidR="008C6C4D" w:rsidRPr="00791593" w:rsidRDefault="008C6C4D" w:rsidP="008C6C4D">
      <w:pPr>
        <w:spacing w:after="0" w:line="240" w:lineRule="auto"/>
        <w:jc w:val="both"/>
        <w:rPr>
          <w:rFonts w:ascii="Arial" w:hAnsi="Arial" w:cs="Arial"/>
          <w:lang w:eastAsia="es-MX"/>
        </w:rPr>
      </w:pPr>
    </w:p>
    <w:p w14:paraId="5A1A0BC3" w14:textId="77777777"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3.</w:t>
      </w:r>
      <w:r w:rsidRPr="00791593">
        <w:rPr>
          <w:rFonts w:ascii="Arial" w:hAnsi="Arial" w:cs="Arial"/>
          <w:lang w:eastAsia="es-MX"/>
        </w:rPr>
        <w:tab/>
      </w:r>
    </w:p>
    <w:p w14:paraId="34422383" w14:textId="77777777" w:rsidR="008C6C4D" w:rsidRPr="00791593" w:rsidRDefault="008C6C4D" w:rsidP="008C6C4D">
      <w:pPr>
        <w:spacing w:after="0" w:line="240" w:lineRule="auto"/>
        <w:jc w:val="both"/>
        <w:rPr>
          <w:rFonts w:ascii="Arial" w:hAnsi="Arial" w:cs="Arial"/>
          <w:lang w:eastAsia="es-MX"/>
        </w:rPr>
      </w:pPr>
    </w:p>
    <w:p w14:paraId="6859331A" w14:textId="77777777" w:rsidR="008C6C4D" w:rsidRPr="00791593" w:rsidRDefault="008C6C4D" w:rsidP="008C6C4D">
      <w:pPr>
        <w:spacing w:after="0" w:line="240" w:lineRule="auto"/>
        <w:jc w:val="both"/>
        <w:rPr>
          <w:rFonts w:ascii="Arial" w:hAnsi="Arial" w:cs="Arial"/>
          <w:b/>
          <w:bCs/>
          <w:lang w:eastAsia="es-MX"/>
        </w:rPr>
      </w:pPr>
      <w:r w:rsidRPr="00791593">
        <w:rPr>
          <w:rFonts w:ascii="Arial" w:hAnsi="Arial" w:cs="Arial"/>
          <w:b/>
          <w:bCs/>
          <w:lang w:eastAsia="es-MX"/>
        </w:rPr>
        <w:t>Consideraciones de la CoIDH</w:t>
      </w:r>
    </w:p>
    <w:p w14:paraId="410A5678" w14:textId="77777777" w:rsidR="008C6C4D" w:rsidRPr="00791593" w:rsidRDefault="008C6C4D" w:rsidP="008C6C4D">
      <w:pPr>
        <w:spacing w:after="0" w:line="240" w:lineRule="auto"/>
        <w:jc w:val="both"/>
        <w:rPr>
          <w:rFonts w:ascii="Arial" w:hAnsi="Arial" w:cs="Arial"/>
          <w:lang w:eastAsia="es-MX"/>
        </w:rPr>
      </w:pPr>
    </w:p>
    <w:p w14:paraId="44D84ED3" w14:textId="77777777" w:rsidR="008C6C4D" w:rsidRPr="00791593" w:rsidRDefault="008C6C4D" w:rsidP="008C6C4D">
      <w:pPr>
        <w:spacing w:after="0" w:line="240" w:lineRule="auto"/>
        <w:jc w:val="both"/>
        <w:rPr>
          <w:rFonts w:ascii="Arial" w:hAnsi="Arial" w:cs="Arial"/>
          <w:lang w:eastAsia="es-MX"/>
        </w:rPr>
      </w:pPr>
    </w:p>
    <w:p w14:paraId="3954C700" w14:textId="77777777" w:rsidR="008C6C4D" w:rsidRPr="00791593" w:rsidRDefault="008C6C4D" w:rsidP="008C6C4D">
      <w:pPr>
        <w:spacing w:after="0" w:line="240" w:lineRule="auto"/>
        <w:jc w:val="both"/>
        <w:rPr>
          <w:rFonts w:ascii="Arial" w:hAnsi="Arial" w:cs="Arial"/>
          <w:b/>
          <w:bCs/>
          <w:lang w:eastAsia="es-MX"/>
        </w:rPr>
      </w:pPr>
      <w:r w:rsidRPr="00791593">
        <w:rPr>
          <w:rFonts w:ascii="Arial" w:hAnsi="Arial" w:cs="Arial"/>
          <w:b/>
          <w:bCs/>
          <w:lang w:eastAsia="es-MX"/>
        </w:rPr>
        <w:t>Reparaciones</w:t>
      </w:r>
    </w:p>
    <w:p w14:paraId="04631662" w14:textId="77777777"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La Corte dispone que:</w:t>
      </w:r>
    </w:p>
    <w:p w14:paraId="685E56BC" w14:textId="77777777" w:rsidR="008C6C4D" w:rsidRPr="00791593" w:rsidRDefault="008C6C4D" w:rsidP="008C6C4D">
      <w:pPr>
        <w:spacing w:after="0" w:line="240" w:lineRule="auto"/>
        <w:jc w:val="both"/>
        <w:rPr>
          <w:rFonts w:ascii="Arial" w:hAnsi="Arial" w:cs="Arial"/>
          <w:lang w:eastAsia="es-MX"/>
        </w:rPr>
      </w:pPr>
    </w:p>
    <w:p w14:paraId="06325FCA" w14:textId="6539BC4D"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1.</w:t>
      </w:r>
      <w:r w:rsidR="00A031AA" w:rsidRPr="00791593">
        <w:rPr>
          <w:rFonts w:ascii="Arial" w:hAnsi="Arial" w:cs="Arial"/>
          <w:lang w:eastAsia="es-MX"/>
        </w:rPr>
        <w:t xml:space="preserve"> </w:t>
      </w:r>
      <w:r w:rsidRPr="00791593">
        <w:rPr>
          <w:rFonts w:ascii="Arial" w:hAnsi="Arial" w:cs="Arial"/>
          <w:lang w:eastAsia="es-MX"/>
        </w:rPr>
        <w:t>Esta Sentencia constituye per se una forma de reparación.</w:t>
      </w:r>
    </w:p>
    <w:p w14:paraId="559174AA" w14:textId="77777777" w:rsidR="008C6C4D" w:rsidRPr="00791593" w:rsidRDefault="008C6C4D" w:rsidP="008C6C4D">
      <w:pPr>
        <w:spacing w:after="0" w:line="240" w:lineRule="auto"/>
        <w:jc w:val="both"/>
        <w:rPr>
          <w:rFonts w:ascii="Arial" w:hAnsi="Arial" w:cs="Arial"/>
          <w:lang w:eastAsia="es-MX"/>
        </w:rPr>
      </w:pPr>
    </w:p>
    <w:p w14:paraId="48358502" w14:textId="01ABBED2"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2.</w:t>
      </w:r>
      <w:r w:rsidR="00A031AA" w:rsidRPr="00791593">
        <w:rPr>
          <w:rFonts w:ascii="Arial" w:hAnsi="Arial" w:cs="Arial"/>
          <w:lang w:eastAsia="es-MX"/>
        </w:rPr>
        <w:t xml:space="preserve"> </w:t>
      </w:r>
      <w:r w:rsidRPr="00791593">
        <w:rPr>
          <w:rFonts w:ascii="Arial" w:hAnsi="Arial" w:cs="Arial"/>
          <w:lang w:eastAsia="es-MX"/>
        </w:rPr>
        <w:t>El Estado deberá devolver a los miembros de la Comunidad Xákmok Kásek las 10.700 hectáreas reclamadas por ésta, en la forma y en los plazos establecidos en los párrafos 281 a 290 de esta Sentencia.</w:t>
      </w:r>
    </w:p>
    <w:p w14:paraId="483C831B" w14:textId="77777777" w:rsidR="008C6C4D" w:rsidRPr="00791593" w:rsidRDefault="008C6C4D" w:rsidP="008C6C4D">
      <w:pPr>
        <w:spacing w:after="0" w:line="240" w:lineRule="auto"/>
        <w:jc w:val="both"/>
        <w:rPr>
          <w:rFonts w:ascii="Arial" w:hAnsi="Arial" w:cs="Arial"/>
          <w:lang w:eastAsia="es-MX"/>
        </w:rPr>
      </w:pPr>
    </w:p>
    <w:p w14:paraId="547E736E" w14:textId="00732781"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3.</w:t>
      </w:r>
      <w:r w:rsidR="00A031AA" w:rsidRPr="00791593">
        <w:rPr>
          <w:rFonts w:ascii="Arial" w:hAnsi="Arial" w:cs="Arial"/>
          <w:lang w:eastAsia="es-MX"/>
        </w:rPr>
        <w:t xml:space="preserve"> </w:t>
      </w:r>
      <w:r w:rsidRPr="00791593">
        <w:rPr>
          <w:rFonts w:ascii="Arial" w:hAnsi="Arial" w:cs="Arial"/>
          <w:lang w:eastAsia="es-MX"/>
        </w:rPr>
        <w:t xml:space="preserve">El Estado deberá velar inmediatamente que el territorio reclamado por la Comunidad no se vea menoscabado por acciones del propio Estado o de terceros particulares, de conformidad con lo dispuesto en el párrafo 291 de esta Sentencia. </w:t>
      </w:r>
    </w:p>
    <w:p w14:paraId="121F2DE3" w14:textId="77777777" w:rsidR="008C6C4D" w:rsidRPr="00791593" w:rsidRDefault="008C6C4D" w:rsidP="008C6C4D">
      <w:pPr>
        <w:spacing w:after="0" w:line="240" w:lineRule="auto"/>
        <w:jc w:val="both"/>
        <w:rPr>
          <w:rFonts w:ascii="Arial" w:hAnsi="Arial" w:cs="Arial"/>
          <w:lang w:eastAsia="es-MX"/>
        </w:rPr>
      </w:pPr>
    </w:p>
    <w:p w14:paraId="513018A8" w14:textId="4F5DB23F"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4.</w:t>
      </w:r>
      <w:r w:rsidR="00A031AA" w:rsidRPr="00791593">
        <w:rPr>
          <w:rFonts w:ascii="Arial" w:hAnsi="Arial" w:cs="Arial"/>
          <w:lang w:eastAsia="es-MX"/>
        </w:rPr>
        <w:t xml:space="preserve"> </w:t>
      </w:r>
      <w:r w:rsidRPr="00791593">
        <w:rPr>
          <w:rFonts w:ascii="Arial" w:hAnsi="Arial" w:cs="Arial"/>
          <w:lang w:eastAsia="es-MX"/>
        </w:rPr>
        <w:t>El Estado deberá, dentro del plazo de seis meses a partir de la notificación de la presente Sentencia, remover los obstáculos formales para la titulación de las 1.500 hectáreas en "25 de Febrero" a favor de la Comunidad Xákmok Kásek, de conformidad con lo dispuesto en el párrafo 293 de esta Sentencia.</w:t>
      </w:r>
    </w:p>
    <w:p w14:paraId="3D2ED1E7" w14:textId="77777777" w:rsidR="008C6C4D" w:rsidRPr="00791593" w:rsidRDefault="008C6C4D" w:rsidP="008C6C4D">
      <w:pPr>
        <w:spacing w:after="0" w:line="240" w:lineRule="auto"/>
        <w:jc w:val="both"/>
        <w:rPr>
          <w:rFonts w:ascii="Arial" w:hAnsi="Arial" w:cs="Arial"/>
          <w:lang w:eastAsia="es-MX"/>
        </w:rPr>
      </w:pPr>
    </w:p>
    <w:p w14:paraId="483761D6" w14:textId="0B3E407F"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5.</w:t>
      </w:r>
      <w:r w:rsidR="00A031AA" w:rsidRPr="00791593">
        <w:rPr>
          <w:rFonts w:ascii="Arial" w:hAnsi="Arial" w:cs="Arial"/>
          <w:lang w:eastAsia="es-MX"/>
        </w:rPr>
        <w:t xml:space="preserve"> </w:t>
      </w:r>
      <w:r w:rsidRPr="00791593">
        <w:rPr>
          <w:rFonts w:ascii="Arial" w:hAnsi="Arial" w:cs="Arial"/>
          <w:lang w:eastAsia="es-MX"/>
        </w:rPr>
        <w:t>El Estado deberá titular, dentro del plazo de un año a partir de la notificación de esta Sentencia, las 1.500 hectáreas en "25 de Febrero" a favor de la Comunidad Xákmok Kásek, de conformidad con lo establecido en los párrafos 294 y 295 de esta Sentencia.</w:t>
      </w:r>
    </w:p>
    <w:p w14:paraId="0FB11D32" w14:textId="77777777" w:rsidR="008C6C4D" w:rsidRPr="00791593" w:rsidRDefault="008C6C4D" w:rsidP="008C6C4D">
      <w:pPr>
        <w:spacing w:after="0" w:line="240" w:lineRule="auto"/>
        <w:jc w:val="both"/>
        <w:rPr>
          <w:rFonts w:ascii="Arial" w:hAnsi="Arial" w:cs="Arial"/>
          <w:lang w:eastAsia="es-MX"/>
        </w:rPr>
      </w:pPr>
    </w:p>
    <w:p w14:paraId="18B9C176" w14:textId="36791198"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6.</w:t>
      </w:r>
      <w:r w:rsidR="00A031AA" w:rsidRPr="00791593">
        <w:rPr>
          <w:rFonts w:ascii="Arial" w:hAnsi="Arial" w:cs="Arial"/>
          <w:lang w:eastAsia="es-MX"/>
        </w:rPr>
        <w:t xml:space="preserve"> </w:t>
      </w:r>
      <w:r w:rsidRPr="00791593">
        <w:rPr>
          <w:rFonts w:ascii="Arial" w:hAnsi="Arial" w:cs="Arial"/>
          <w:lang w:eastAsia="es-MX"/>
        </w:rPr>
        <w:t xml:space="preserve">El Estado deberá realizar un acto público de reconocimiento de su responsabilidad internacional, en el plazo de un año a partir de la notificación de esta Sentencia, en los términos del párrafo 297 de la misma. </w:t>
      </w:r>
    </w:p>
    <w:p w14:paraId="293F8B7C" w14:textId="77777777" w:rsidR="008C6C4D" w:rsidRPr="00791593" w:rsidRDefault="008C6C4D" w:rsidP="008C6C4D">
      <w:pPr>
        <w:spacing w:after="0" w:line="240" w:lineRule="auto"/>
        <w:jc w:val="both"/>
        <w:rPr>
          <w:rFonts w:ascii="Arial" w:hAnsi="Arial" w:cs="Arial"/>
          <w:lang w:eastAsia="es-MX"/>
        </w:rPr>
      </w:pPr>
    </w:p>
    <w:p w14:paraId="05D6CFB2" w14:textId="14544037"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7.</w:t>
      </w:r>
      <w:r w:rsidR="00A031AA" w:rsidRPr="00791593">
        <w:rPr>
          <w:rFonts w:ascii="Arial" w:hAnsi="Arial" w:cs="Arial"/>
          <w:lang w:eastAsia="es-MX"/>
        </w:rPr>
        <w:t xml:space="preserve"> </w:t>
      </w:r>
      <w:r w:rsidRPr="00791593">
        <w:rPr>
          <w:rFonts w:ascii="Arial" w:hAnsi="Arial" w:cs="Arial"/>
          <w:lang w:eastAsia="es-MX"/>
        </w:rPr>
        <w:t xml:space="preserve">El Estado deberá realizar las publicaciones ordenadas en el párrafo 298 de esta Sentencia, en la forma y en los plazos indicados en el mencionado párrafo. </w:t>
      </w:r>
    </w:p>
    <w:p w14:paraId="1CEA8342" w14:textId="77777777" w:rsidR="008C6C4D" w:rsidRPr="00791593" w:rsidRDefault="008C6C4D" w:rsidP="008C6C4D">
      <w:pPr>
        <w:spacing w:after="0" w:line="240" w:lineRule="auto"/>
        <w:jc w:val="both"/>
        <w:rPr>
          <w:rFonts w:ascii="Arial" w:hAnsi="Arial" w:cs="Arial"/>
          <w:lang w:eastAsia="es-MX"/>
        </w:rPr>
      </w:pPr>
    </w:p>
    <w:p w14:paraId="6BBA392A" w14:textId="75E9328E"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8.</w:t>
      </w:r>
      <w:r w:rsidR="00A031AA" w:rsidRPr="00791593">
        <w:rPr>
          <w:rFonts w:ascii="Arial" w:hAnsi="Arial" w:cs="Arial"/>
          <w:lang w:eastAsia="es-MX"/>
        </w:rPr>
        <w:t xml:space="preserve"> </w:t>
      </w:r>
      <w:r w:rsidRPr="00791593">
        <w:rPr>
          <w:rFonts w:ascii="Arial" w:hAnsi="Arial" w:cs="Arial"/>
          <w:lang w:eastAsia="es-MX"/>
        </w:rPr>
        <w:t>El Estado deberá dar publicidad, a través de una emisora radial de amplia cobertura en la región del Chaco, al resumen oficial de la Sentencia emitido por la Corte, en la forma y en el plazo indicado en el párrafo 299 de esta Sentencia.</w:t>
      </w:r>
    </w:p>
    <w:p w14:paraId="622FF751" w14:textId="77777777" w:rsidR="008C6C4D" w:rsidRPr="00791593" w:rsidRDefault="008C6C4D" w:rsidP="008C6C4D">
      <w:pPr>
        <w:spacing w:after="0" w:line="240" w:lineRule="auto"/>
        <w:jc w:val="both"/>
        <w:rPr>
          <w:rFonts w:ascii="Arial" w:hAnsi="Arial" w:cs="Arial"/>
          <w:lang w:eastAsia="es-MX"/>
        </w:rPr>
      </w:pPr>
    </w:p>
    <w:p w14:paraId="652FD064" w14:textId="15FAC8DC"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9.</w:t>
      </w:r>
      <w:r w:rsidR="00A031AA" w:rsidRPr="00791593">
        <w:rPr>
          <w:rFonts w:ascii="Arial" w:hAnsi="Arial" w:cs="Arial"/>
          <w:lang w:eastAsia="es-MX"/>
        </w:rPr>
        <w:t xml:space="preserve"> </w:t>
      </w:r>
      <w:r w:rsidRPr="00791593">
        <w:rPr>
          <w:rFonts w:ascii="Arial" w:hAnsi="Arial" w:cs="Arial"/>
          <w:lang w:eastAsia="es-MX"/>
        </w:rPr>
        <w:t xml:space="preserve">El Estado, mientras entrega el territorio tradicional, o en su caso las tierras alternativas a los miembros de la Comunidad, deberá adoptar de manera inmediata, periódica y permanente, las medidas indicadas en los párrafos 301 y 302 de esta Sentencia. </w:t>
      </w:r>
    </w:p>
    <w:p w14:paraId="765A70BB" w14:textId="77777777" w:rsidR="008C6C4D" w:rsidRPr="00791593" w:rsidRDefault="008C6C4D" w:rsidP="008C6C4D">
      <w:pPr>
        <w:spacing w:after="0" w:line="240" w:lineRule="auto"/>
        <w:jc w:val="both"/>
        <w:rPr>
          <w:rFonts w:ascii="Arial" w:hAnsi="Arial" w:cs="Arial"/>
          <w:lang w:eastAsia="es-MX"/>
        </w:rPr>
      </w:pPr>
    </w:p>
    <w:p w14:paraId="06A39F10" w14:textId="6589B4D9"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10.</w:t>
      </w:r>
      <w:r w:rsidR="00A031AA" w:rsidRPr="00791593">
        <w:rPr>
          <w:rFonts w:ascii="Arial" w:hAnsi="Arial" w:cs="Arial"/>
          <w:lang w:eastAsia="es-MX"/>
        </w:rPr>
        <w:t xml:space="preserve"> </w:t>
      </w:r>
      <w:r w:rsidRPr="00791593">
        <w:rPr>
          <w:rFonts w:ascii="Arial" w:hAnsi="Arial" w:cs="Arial"/>
          <w:lang w:eastAsia="es-MX"/>
        </w:rPr>
        <w:t>El Estado deberá elaborar el estudio señalado en el párrafo 303 de esta Sentencia en el plazo de seis meses a partir de la notificación del presente Fallo, en los términos expuestos en los párrafos 304 y 305 del mismo.</w:t>
      </w:r>
    </w:p>
    <w:p w14:paraId="4E19D64B" w14:textId="77777777" w:rsidR="008C6C4D" w:rsidRPr="00791593" w:rsidRDefault="008C6C4D" w:rsidP="008C6C4D">
      <w:pPr>
        <w:spacing w:after="0" w:line="240" w:lineRule="auto"/>
        <w:jc w:val="both"/>
        <w:rPr>
          <w:rFonts w:ascii="Arial" w:hAnsi="Arial" w:cs="Arial"/>
          <w:lang w:eastAsia="es-MX"/>
        </w:rPr>
      </w:pPr>
    </w:p>
    <w:p w14:paraId="503EDEE6" w14:textId="69B142F3"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11.</w:t>
      </w:r>
      <w:r w:rsidR="00A031AA" w:rsidRPr="00791593">
        <w:rPr>
          <w:rFonts w:ascii="Arial" w:hAnsi="Arial" w:cs="Arial"/>
          <w:lang w:eastAsia="es-MX"/>
        </w:rPr>
        <w:t xml:space="preserve"> </w:t>
      </w:r>
      <w:r w:rsidRPr="00791593">
        <w:rPr>
          <w:rFonts w:ascii="Arial" w:hAnsi="Arial" w:cs="Arial"/>
          <w:lang w:eastAsia="es-MX"/>
        </w:rPr>
        <w:t xml:space="preserve">El Estado deberá establecer en "25 de Febrero" un puesto de salud permanente y con las medicinas e insumos necesarios para una atención en salud adecuada, en el plazo de seis meses a partir de la notificación de la presente Sentencia, en los términos del párrafo 306 de la misma. </w:t>
      </w:r>
    </w:p>
    <w:p w14:paraId="16FA0DBA" w14:textId="77777777" w:rsidR="008C6C4D" w:rsidRPr="00791593" w:rsidRDefault="008C6C4D" w:rsidP="008C6C4D">
      <w:pPr>
        <w:spacing w:after="0" w:line="240" w:lineRule="auto"/>
        <w:jc w:val="both"/>
        <w:rPr>
          <w:rFonts w:ascii="Arial" w:hAnsi="Arial" w:cs="Arial"/>
          <w:lang w:eastAsia="es-MX"/>
        </w:rPr>
      </w:pPr>
    </w:p>
    <w:p w14:paraId="11ED48D4" w14:textId="6873A2D6"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12.</w:t>
      </w:r>
      <w:r w:rsidR="00A031AA" w:rsidRPr="00791593">
        <w:rPr>
          <w:rFonts w:ascii="Arial" w:hAnsi="Arial" w:cs="Arial"/>
          <w:lang w:eastAsia="es-MX"/>
        </w:rPr>
        <w:t xml:space="preserve"> </w:t>
      </w:r>
      <w:r w:rsidRPr="00791593">
        <w:rPr>
          <w:rFonts w:ascii="Arial" w:hAnsi="Arial" w:cs="Arial"/>
          <w:lang w:eastAsia="es-MX"/>
        </w:rPr>
        <w:t>El Estado deberá establecer inmediatamente en "25 de Febrero" el sistema de comunicación señalado en el párrafo 306 de esta Sentencia.</w:t>
      </w:r>
    </w:p>
    <w:p w14:paraId="570F9F97" w14:textId="77777777" w:rsidR="008C6C4D" w:rsidRPr="00791593" w:rsidRDefault="008C6C4D" w:rsidP="008C6C4D">
      <w:pPr>
        <w:spacing w:after="0" w:line="240" w:lineRule="auto"/>
        <w:jc w:val="both"/>
        <w:rPr>
          <w:rFonts w:ascii="Arial" w:hAnsi="Arial" w:cs="Arial"/>
          <w:lang w:eastAsia="es-MX"/>
        </w:rPr>
      </w:pPr>
    </w:p>
    <w:p w14:paraId="0D6A5500" w14:textId="6A97334A"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13.</w:t>
      </w:r>
      <w:r w:rsidR="00A031AA" w:rsidRPr="00791593">
        <w:rPr>
          <w:rFonts w:ascii="Arial" w:hAnsi="Arial" w:cs="Arial"/>
          <w:lang w:eastAsia="es-MX"/>
        </w:rPr>
        <w:t xml:space="preserve"> </w:t>
      </w:r>
      <w:r w:rsidRPr="00791593">
        <w:rPr>
          <w:rFonts w:ascii="Arial" w:hAnsi="Arial" w:cs="Arial"/>
          <w:lang w:eastAsia="es-MX"/>
        </w:rPr>
        <w:t>El Estado deberá asegurarse que el puesto de salud y el sistema de comunicación señalados en los puntos resolutivos 21 y 22 supra se trasladen al lugar donde la Comunidad se asiente definitivamente una vez que haya recuperado su territorio tradicional, conforme a la orden dada en el punto resolutivo 12 supra.</w:t>
      </w:r>
    </w:p>
    <w:p w14:paraId="434B9F1E" w14:textId="77777777" w:rsidR="008C6C4D" w:rsidRPr="00791593" w:rsidRDefault="008C6C4D" w:rsidP="008C6C4D">
      <w:pPr>
        <w:spacing w:after="0" w:line="240" w:lineRule="auto"/>
        <w:jc w:val="both"/>
        <w:rPr>
          <w:rFonts w:ascii="Arial" w:hAnsi="Arial" w:cs="Arial"/>
          <w:lang w:eastAsia="es-MX"/>
        </w:rPr>
      </w:pPr>
    </w:p>
    <w:p w14:paraId="47240BA1" w14:textId="641A095A"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14.</w:t>
      </w:r>
      <w:r w:rsidR="00A031AA" w:rsidRPr="00791593">
        <w:rPr>
          <w:rFonts w:ascii="Arial" w:hAnsi="Arial" w:cs="Arial"/>
          <w:lang w:eastAsia="es-MX"/>
        </w:rPr>
        <w:t xml:space="preserve"> </w:t>
      </w:r>
      <w:r w:rsidRPr="00791593">
        <w:rPr>
          <w:rFonts w:ascii="Arial" w:hAnsi="Arial" w:cs="Arial"/>
          <w:lang w:eastAsia="es-MX"/>
        </w:rPr>
        <w:t>El Estado deberá realizar, en el plazo máximo de un año a partir de la notificación de la presente Sentencia, un programa de registro y documentación, en los términos expuestos en el párrafos 308 de esta Sentencia.</w:t>
      </w:r>
    </w:p>
    <w:p w14:paraId="4CDEEF23" w14:textId="77777777" w:rsidR="008C6C4D" w:rsidRPr="00791593" w:rsidRDefault="008C6C4D" w:rsidP="008C6C4D">
      <w:pPr>
        <w:spacing w:after="0" w:line="240" w:lineRule="auto"/>
        <w:jc w:val="both"/>
        <w:rPr>
          <w:rFonts w:ascii="Arial" w:hAnsi="Arial" w:cs="Arial"/>
          <w:lang w:eastAsia="es-MX"/>
        </w:rPr>
      </w:pPr>
    </w:p>
    <w:p w14:paraId="1F88EEC7" w14:textId="4930E851"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15.</w:t>
      </w:r>
      <w:r w:rsidR="00F823DD" w:rsidRPr="00791593">
        <w:rPr>
          <w:rFonts w:ascii="Arial" w:hAnsi="Arial" w:cs="Arial"/>
          <w:lang w:eastAsia="es-MX"/>
        </w:rPr>
        <w:t xml:space="preserve"> </w:t>
      </w:r>
      <w:r w:rsidRPr="00791593">
        <w:rPr>
          <w:rFonts w:ascii="Arial" w:hAnsi="Arial" w:cs="Arial"/>
          <w:lang w:eastAsia="es-MX"/>
        </w:rPr>
        <w:t>El Estado deberá, en el plazo de dos años a partir de la notificación de la presente Sentencia, adoptar en su derecho interno las medidas legislativas, administrativas y de cualquier otro carácter que sean necesarias para crear un sistema eficaz de reclamación de tierras ancestrales o tradicionales de los pueblos indígenas que posibilite la concreción de su derecho de propiedad, en los términos expuestos en los párrafos 309 y 310 de este Fallo.</w:t>
      </w:r>
    </w:p>
    <w:p w14:paraId="633D12B2" w14:textId="77777777" w:rsidR="008C6C4D" w:rsidRPr="00791593" w:rsidRDefault="008C6C4D" w:rsidP="008C6C4D">
      <w:pPr>
        <w:spacing w:after="0" w:line="240" w:lineRule="auto"/>
        <w:jc w:val="both"/>
        <w:rPr>
          <w:rFonts w:ascii="Arial" w:hAnsi="Arial" w:cs="Arial"/>
          <w:lang w:eastAsia="es-MX"/>
        </w:rPr>
      </w:pPr>
    </w:p>
    <w:p w14:paraId="39031EAA" w14:textId="561054B9"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16.</w:t>
      </w:r>
      <w:r w:rsidR="00F823DD" w:rsidRPr="00791593">
        <w:rPr>
          <w:rFonts w:ascii="Arial" w:hAnsi="Arial" w:cs="Arial"/>
          <w:lang w:eastAsia="es-MX"/>
        </w:rPr>
        <w:t xml:space="preserve"> </w:t>
      </w:r>
      <w:r w:rsidRPr="00791593">
        <w:rPr>
          <w:rFonts w:ascii="Arial" w:hAnsi="Arial" w:cs="Arial"/>
          <w:lang w:eastAsia="es-MX"/>
        </w:rPr>
        <w:t>El Estado deberá adoptar inmediatamente las medidas necesarias para que el Decreto No. 11.804 que declaró como área silvestre protegida a parte del territorio reclamado por la Comunidad no sea un obstáculo para la devolución de las tierras tradicionales, de conformidad con lo expuesto en los párrafos 311 y 313 de esta Sentencia.</w:t>
      </w:r>
    </w:p>
    <w:p w14:paraId="47BC3E18" w14:textId="77777777" w:rsidR="008C6C4D" w:rsidRPr="00791593" w:rsidRDefault="008C6C4D" w:rsidP="008C6C4D">
      <w:pPr>
        <w:spacing w:after="0" w:line="240" w:lineRule="auto"/>
        <w:jc w:val="both"/>
        <w:rPr>
          <w:rFonts w:ascii="Arial" w:hAnsi="Arial" w:cs="Arial"/>
          <w:lang w:eastAsia="es-MX"/>
        </w:rPr>
      </w:pPr>
    </w:p>
    <w:p w14:paraId="1BA6EC7F" w14:textId="797119E6"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17.</w:t>
      </w:r>
      <w:r w:rsidR="00C73261" w:rsidRPr="00791593">
        <w:rPr>
          <w:rFonts w:ascii="Arial" w:hAnsi="Arial" w:cs="Arial"/>
          <w:lang w:eastAsia="es-MX"/>
        </w:rPr>
        <w:t xml:space="preserve"> </w:t>
      </w:r>
      <w:r w:rsidRPr="00791593">
        <w:rPr>
          <w:rFonts w:ascii="Arial" w:hAnsi="Arial" w:cs="Arial"/>
          <w:lang w:eastAsia="es-MX"/>
        </w:rPr>
        <w:t xml:space="preserve">El Estado deberá, dentro del plazo dos años a partir de la notificación de esta Sentencia, pagar las cantidades fijadas en los párrafos 318, 325 y 331 de la presente Sentencia por concepto de indemnizaciones por daños materiales e inmateriales y el reintegro de costas y gastos, según corresponda, bajo las condiciones y en los términos de los párrafos 317, 321, 322 y 330 de la presente Sentencia.  </w:t>
      </w:r>
    </w:p>
    <w:p w14:paraId="6DCB8C71" w14:textId="77777777" w:rsidR="008C6C4D" w:rsidRPr="00791593" w:rsidRDefault="008C6C4D" w:rsidP="008C6C4D">
      <w:pPr>
        <w:spacing w:after="0" w:line="240" w:lineRule="auto"/>
        <w:jc w:val="both"/>
        <w:rPr>
          <w:rFonts w:ascii="Arial" w:hAnsi="Arial" w:cs="Arial"/>
          <w:lang w:eastAsia="es-MX"/>
        </w:rPr>
      </w:pPr>
    </w:p>
    <w:p w14:paraId="34D7AFC1" w14:textId="037F97CB"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18.</w:t>
      </w:r>
      <w:r w:rsidR="00C73261" w:rsidRPr="00791593">
        <w:rPr>
          <w:rFonts w:ascii="Arial" w:hAnsi="Arial" w:cs="Arial"/>
          <w:lang w:eastAsia="es-MX"/>
        </w:rPr>
        <w:t xml:space="preserve"> </w:t>
      </w:r>
      <w:r w:rsidRPr="00791593">
        <w:rPr>
          <w:rFonts w:ascii="Arial" w:hAnsi="Arial" w:cs="Arial"/>
          <w:lang w:eastAsia="es-MX"/>
        </w:rPr>
        <w:t>El Estado deberá crear un fondo de desarrollo comunitario, en los términos expuestos en los párrafo 323 de esta Sentencia, así como conformar un comité de implementación de dicho fondo, en los términos y plazos establecidos en el párrafo 324 del Fallo.</w:t>
      </w:r>
    </w:p>
    <w:p w14:paraId="517E5DBF" w14:textId="77777777" w:rsidR="008C6C4D" w:rsidRPr="00791593" w:rsidRDefault="008C6C4D" w:rsidP="008C6C4D">
      <w:pPr>
        <w:spacing w:after="0" w:line="240" w:lineRule="auto"/>
        <w:jc w:val="both"/>
        <w:rPr>
          <w:rFonts w:ascii="Arial" w:hAnsi="Arial" w:cs="Arial"/>
          <w:lang w:eastAsia="es-MX"/>
        </w:rPr>
      </w:pPr>
    </w:p>
    <w:p w14:paraId="77DF5208" w14:textId="77777777"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4D5B0174" w14:textId="77777777" w:rsidR="008C6C4D" w:rsidRPr="00791593" w:rsidRDefault="008C6C4D" w:rsidP="008C6C4D">
      <w:pPr>
        <w:spacing w:after="0" w:line="240" w:lineRule="auto"/>
        <w:jc w:val="both"/>
        <w:rPr>
          <w:rFonts w:ascii="Arial" w:hAnsi="Arial" w:cs="Arial"/>
          <w:lang w:eastAsia="es-MX"/>
        </w:rPr>
      </w:pPr>
    </w:p>
    <w:p w14:paraId="3753A56B" w14:textId="77777777" w:rsidR="008C6C4D" w:rsidRPr="00791593" w:rsidRDefault="008C6C4D" w:rsidP="008C6C4D">
      <w:pPr>
        <w:spacing w:after="0" w:line="240" w:lineRule="auto"/>
        <w:jc w:val="both"/>
        <w:rPr>
          <w:rFonts w:ascii="Arial" w:hAnsi="Arial" w:cs="Arial"/>
          <w:lang w:eastAsia="es-MX"/>
        </w:rPr>
      </w:pPr>
    </w:p>
    <w:p w14:paraId="1EFDD164" w14:textId="77777777" w:rsidR="008C6C4D" w:rsidRPr="00791593" w:rsidRDefault="008C6C4D" w:rsidP="008C6C4D">
      <w:pPr>
        <w:spacing w:after="0" w:line="240" w:lineRule="auto"/>
        <w:jc w:val="both"/>
        <w:rPr>
          <w:rFonts w:ascii="Arial" w:hAnsi="Arial" w:cs="Arial"/>
          <w:b/>
          <w:bCs/>
          <w:lang w:eastAsia="es-MX"/>
        </w:rPr>
      </w:pPr>
      <w:r w:rsidRPr="00791593">
        <w:rPr>
          <w:rFonts w:ascii="Arial" w:hAnsi="Arial" w:cs="Arial"/>
          <w:b/>
          <w:bCs/>
          <w:lang w:eastAsia="es-MX"/>
        </w:rPr>
        <w:t>Resolutivos</w:t>
      </w:r>
    </w:p>
    <w:p w14:paraId="0A56A2CD" w14:textId="77777777"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La Corte declara por unanimidad, que:</w:t>
      </w:r>
    </w:p>
    <w:p w14:paraId="38B0522A" w14:textId="77777777" w:rsidR="008C6C4D" w:rsidRPr="00791593" w:rsidRDefault="008C6C4D" w:rsidP="008C6C4D">
      <w:pPr>
        <w:spacing w:after="0" w:line="240" w:lineRule="auto"/>
        <w:jc w:val="both"/>
        <w:rPr>
          <w:rFonts w:ascii="Arial" w:hAnsi="Arial" w:cs="Arial"/>
          <w:lang w:eastAsia="es-MX"/>
        </w:rPr>
      </w:pPr>
    </w:p>
    <w:p w14:paraId="5F4CD7DE" w14:textId="78A98066"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1.</w:t>
      </w:r>
      <w:r w:rsidR="00C73261" w:rsidRPr="00791593">
        <w:rPr>
          <w:rFonts w:ascii="Arial" w:hAnsi="Arial" w:cs="Arial"/>
          <w:lang w:eastAsia="es-MX"/>
        </w:rPr>
        <w:t xml:space="preserve"> </w:t>
      </w:r>
      <w:r w:rsidRPr="00791593">
        <w:rPr>
          <w:rFonts w:ascii="Arial" w:hAnsi="Arial" w:cs="Arial"/>
          <w:lang w:eastAsia="es-MX"/>
        </w:rPr>
        <w:t>El Estado violó el derecho a la integridad personal, consagrado en el artículo 5.1 de la Convención Americana, en relación con el artículo 1.1 de la misma, en perjuicio de todos los miembros de la Comunidad Xákmok Kásek, de conformidad con lo expuesto en los párrafos 242 a 244 de esta Sentencia.</w:t>
      </w:r>
    </w:p>
    <w:p w14:paraId="22024BD9" w14:textId="77777777" w:rsidR="008C6C4D" w:rsidRPr="00791593" w:rsidRDefault="008C6C4D" w:rsidP="008C6C4D">
      <w:pPr>
        <w:spacing w:after="0" w:line="240" w:lineRule="auto"/>
        <w:jc w:val="both"/>
        <w:rPr>
          <w:rFonts w:ascii="Arial" w:hAnsi="Arial" w:cs="Arial"/>
          <w:lang w:eastAsia="es-MX"/>
        </w:rPr>
      </w:pPr>
    </w:p>
    <w:p w14:paraId="4D248266" w14:textId="2005DD31"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2.</w:t>
      </w:r>
      <w:r w:rsidR="00C73261" w:rsidRPr="00791593">
        <w:rPr>
          <w:rFonts w:ascii="Arial" w:hAnsi="Arial" w:cs="Arial"/>
          <w:lang w:eastAsia="es-MX"/>
        </w:rPr>
        <w:t xml:space="preserve"> </w:t>
      </w:r>
      <w:r w:rsidRPr="00791593">
        <w:rPr>
          <w:rFonts w:ascii="Arial" w:hAnsi="Arial" w:cs="Arial"/>
          <w:lang w:eastAsia="es-MX"/>
        </w:rPr>
        <w:t>El Estado no violó el derecho al reconocimiento de la personalidad jurídica, reconocido en el artículo 3 de la Convención Americana, en perjuicio de la Comunidad Xákmok Kásek, de conformidad con lo expuesto en el párrafo 255 de esta Sentencia.</w:t>
      </w:r>
    </w:p>
    <w:p w14:paraId="0CAB503C" w14:textId="77777777" w:rsidR="008C6C4D" w:rsidRPr="00791593" w:rsidRDefault="008C6C4D" w:rsidP="008C6C4D">
      <w:pPr>
        <w:spacing w:after="0" w:line="240" w:lineRule="auto"/>
        <w:jc w:val="both"/>
        <w:rPr>
          <w:rFonts w:ascii="Arial" w:hAnsi="Arial" w:cs="Arial"/>
          <w:lang w:eastAsia="es-MX"/>
        </w:rPr>
      </w:pPr>
    </w:p>
    <w:p w14:paraId="2331C4B9" w14:textId="215F19B9"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3.</w:t>
      </w:r>
      <w:r w:rsidR="00C73261" w:rsidRPr="00791593">
        <w:rPr>
          <w:rFonts w:ascii="Arial" w:hAnsi="Arial" w:cs="Arial"/>
          <w:lang w:eastAsia="es-MX"/>
        </w:rPr>
        <w:t xml:space="preserve"> </w:t>
      </w:r>
      <w:r w:rsidRPr="00791593">
        <w:rPr>
          <w:rFonts w:ascii="Arial" w:hAnsi="Arial" w:cs="Arial"/>
          <w:lang w:eastAsia="es-MX"/>
        </w:rPr>
        <w:t>El Estado violó los derechos del niño, consagrados en el artículo 19 de la Convención Americana, en relación con el artículo 1.1 de la misma, en perjuicio de todos los niños y niñas de la Comunidad Xákmok Kásek, de conformidad con lo expuesto en los párrafos 259 a 264 de esta Sentencia.</w:t>
      </w:r>
    </w:p>
    <w:p w14:paraId="4754A627" w14:textId="77777777" w:rsidR="008C6C4D" w:rsidRPr="00791593" w:rsidRDefault="008C6C4D" w:rsidP="008C6C4D">
      <w:pPr>
        <w:spacing w:after="0" w:line="240" w:lineRule="auto"/>
        <w:jc w:val="both"/>
        <w:rPr>
          <w:rFonts w:ascii="Arial" w:hAnsi="Arial" w:cs="Arial"/>
          <w:lang w:eastAsia="es-MX"/>
        </w:rPr>
      </w:pPr>
    </w:p>
    <w:p w14:paraId="157701CF" w14:textId="64E5C39F"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4.</w:t>
      </w:r>
      <w:r w:rsidR="00C73261" w:rsidRPr="00791593">
        <w:rPr>
          <w:rFonts w:ascii="Arial" w:hAnsi="Arial" w:cs="Arial"/>
          <w:lang w:eastAsia="es-MX"/>
        </w:rPr>
        <w:t xml:space="preserve"> </w:t>
      </w:r>
      <w:r w:rsidRPr="00791593">
        <w:rPr>
          <w:rFonts w:ascii="Arial" w:hAnsi="Arial" w:cs="Arial"/>
          <w:lang w:eastAsia="es-MX"/>
        </w:rPr>
        <w:t>El Estado expresó su aceptación de ciertas reparaciones, de conformidad con lo dispuesto en el párrafo 32 de este Fallo, lo cual ha sido valorado por la Corte, de acuerdo con lo dispuesto en el mencionado párrafo de la presente Sentencia.</w:t>
      </w:r>
    </w:p>
    <w:p w14:paraId="118D1B4C" w14:textId="77777777" w:rsidR="008C6C4D" w:rsidRPr="00791593" w:rsidRDefault="008C6C4D" w:rsidP="008C6C4D">
      <w:pPr>
        <w:spacing w:after="0" w:line="240" w:lineRule="auto"/>
        <w:jc w:val="both"/>
        <w:rPr>
          <w:rFonts w:ascii="Arial" w:hAnsi="Arial" w:cs="Arial"/>
          <w:lang w:eastAsia="es-MX"/>
        </w:rPr>
      </w:pPr>
    </w:p>
    <w:p w14:paraId="6D5CF5D1" w14:textId="77777777"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Por siete votos contra uno, que:</w:t>
      </w:r>
    </w:p>
    <w:p w14:paraId="224F5082" w14:textId="77777777" w:rsidR="008C6C4D" w:rsidRPr="00791593" w:rsidRDefault="008C6C4D" w:rsidP="008C6C4D">
      <w:pPr>
        <w:spacing w:after="0" w:line="240" w:lineRule="auto"/>
        <w:jc w:val="both"/>
        <w:rPr>
          <w:rFonts w:ascii="Arial" w:hAnsi="Arial" w:cs="Arial"/>
          <w:lang w:eastAsia="es-MX"/>
        </w:rPr>
      </w:pPr>
    </w:p>
    <w:p w14:paraId="57D04F2F" w14:textId="00B09CE7"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5.</w:t>
      </w:r>
      <w:r w:rsidR="003D23E4" w:rsidRPr="00791593">
        <w:rPr>
          <w:rFonts w:ascii="Arial" w:hAnsi="Arial" w:cs="Arial"/>
          <w:lang w:eastAsia="es-MX"/>
        </w:rPr>
        <w:t xml:space="preserve"> </w:t>
      </w:r>
      <w:r w:rsidRPr="00791593">
        <w:rPr>
          <w:rFonts w:ascii="Arial" w:hAnsi="Arial" w:cs="Arial"/>
          <w:lang w:eastAsia="es-MX"/>
        </w:rPr>
        <w:t>El Estado violó el derecho a la propiedad comunitaria, las garantías judiciales y la protección judicial, consagrados respectivamente en los artículos 21.1, 8.1 y 25.1 de la Convención Americana, en relación con los artículos 1.1 y 2 de la misma, en perjuicio de los miembros de la Comunidad Xákmok Kásek, de conformidad con lo expuesto en los párrafos 54 a 182 de esta Sentencia.</w:t>
      </w:r>
    </w:p>
    <w:p w14:paraId="6D7AB49C" w14:textId="77777777" w:rsidR="008C6C4D" w:rsidRPr="00791593" w:rsidRDefault="008C6C4D" w:rsidP="008C6C4D">
      <w:pPr>
        <w:spacing w:after="0" w:line="240" w:lineRule="auto"/>
        <w:jc w:val="both"/>
        <w:rPr>
          <w:rFonts w:ascii="Arial" w:hAnsi="Arial" w:cs="Arial"/>
          <w:lang w:eastAsia="es-MX"/>
        </w:rPr>
      </w:pPr>
    </w:p>
    <w:p w14:paraId="176FAC27" w14:textId="480C1DBC"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6.</w:t>
      </w:r>
      <w:r w:rsidR="005A27FA" w:rsidRPr="00791593">
        <w:rPr>
          <w:rFonts w:ascii="Arial" w:hAnsi="Arial" w:cs="Arial"/>
          <w:lang w:eastAsia="es-MX"/>
        </w:rPr>
        <w:t xml:space="preserve"> </w:t>
      </w:r>
      <w:r w:rsidRPr="00791593">
        <w:rPr>
          <w:rFonts w:ascii="Arial" w:hAnsi="Arial" w:cs="Arial"/>
          <w:lang w:eastAsia="es-MX"/>
        </w:rPr>
        <w:t>El Estado violó el derecho a la vida, consagrado en el artículo 4.1 de la Convención Americana, en relación con el artículo 1.1 de la misma, en perjuicio de todos los miembros de la Comunidad Xákmok Kásek, de conformidad con lo expuesto en los párrafos 195, 196, 202 a 202, 205 a 208, 211 a 217 de esta Sentencia.</w:t>
      </w:r>
    </w:p>
    <w:p w14:paraId="322C01CD" w14:textId="77777777" w:rsidR="008C6C4D" w:rsidRPr="00791593" w:rsidRDefault="008C6C4D" w:rsidP="008C6C4D">
      <w:pPr>
        <w:spacing w:after="0" w:line="240" w:lineRule="auto"/>
        <w:jc w:val="both"/>
        <w:rPr>
          <w:rFonts w:ascii="Arial" w:hAnsi="Arial" w:cs="Arial"/>
          <w:lang w:eastAsia="es-MX"/>
        </w:rPr>
      </w:pPr>
    </w:p>
    <w:p w14:paraId="5D4DE0B3" w14:textId="356D0787"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7.</w:t>
      </w:r>
      <w:r w:rsidR="005A27FA" w:rsidRPr="00791593">
        <w:rPr>
          <w:rFonts w:ascii="Arial" w:hAnsi="Arial" w:cs="Arial"/>
          <w:lang w:eastAsia="es-MX"/>
        </w:rPr>
        <w:t xml:space="preserve"> </w:t>
      </w:r>
      <w:r w:rsidRPr="00791593">
        <w:rPr>
          <w:rFonts w:ascii="Arial" w:hAnsi="Arial" w:cs="Arial"/>
          <w:lang w:eastAsia="es-MX"/>
        </w:rPr>
        <w:t>El Estado violó el derecho a la vida, contemplado en el artículo 4.1 de la Convención Americana, en relación con el artículo 1.1 de la misma, en perjuicio de Sara Gonzáles López, Yelsi Karina López Cabañas, Remigia Ruiz, Aida Carolina Gonzáles, NN Ávalos o Ríos Torres, Abundio Inter Dermott, NN Dermott Martínez, NN García Dermott, Adalberto Gonzáles López, Roberto Roa Gonzáles, NN Ávalos o Ríos Torres, NN Dermontt Ruiz y NN Wilfrida Ojeda, de conformidad con lo expuesto en los párrafos 231 a 234 de esta Sentencia.</w:t>
      </w:r>
    </w:p>
    <w:p w14:paraId="0FB21AF5" w14:textId="77777777" w:rsidR="008C6C4D" w:rsidRPr="00791593" w:rsidRDefault="008C6C4D" w:rsidP="008C6C4D">
      <w:pPr>
        <w:spacing w:after="0" w:line="240" w:lineRule="auto"/>
        <w:jc w:val="both"/>
        <w:rPr>
          <w:rFonts w:ascii="Arial" w:hAnsi="Arial" w:cs="Arial"/>
          <w:lang w:eastAsia="es-MX"/>
        </w:rPr>
      </w:pPr>
    </w:p>
    <w:p w14:paraId="3EC0DA02" w14:textId="05A358CD"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8.</w:t>
      </w:r>
      <w:r w:rsidR="005A27FA" w:rsidRPr="00791593">
        <w:rPr>
          <w:rFonts w:ascii="Arial" w:hAnsi="Arial" w:cs="Arial"/>
          <w:lang w:eastAsia="es-MX"/>
        </w:rPr>
        <w:t xml:space="preserve"> </w:t>
      </w:r>
      <w:r w:rsidRPr="00791593">
        <w:rPr>
          <w:rFonts w:ascii="Arial" w:hAnsi="Arial" w:cs="Arial"/>
          <w:lang w:eastAsia="es-MX"/>
        </w:rPr>
        <w:t>El Estado violó el derecho al reconocimiento de la personalidad jurídica, reconocido en el artículo 3 de la Convención Americana, en relación con el artículo 1.1 de la misma, en perjuicio de NN Jonás Ávalos o Jonás Ríos Torres, Rosa Dermott, Yelsi Karina López Cabañas, Tito García, Aída Carolina González, Abundio Inter. Dermot, NN Dermott Larrosa, NN Ávalos o Ríos Torres, NN Dermott Martínez, NN Dermott Larrosa, NN García Dermott, Adalberto González López, Roberto Roa Gonzáles, NN Ávalos o Ríos Torres, NN Ávalos o Ríos Torres; NN Dermott Ruiz, Mercedes Dermott Larrosa, Sargento Giménez y Rosana Corrientes Domínguez, de conformidad con lo expuesto en los párrafos 251 a 254 de esta Sentencia.</w:t>
      </w:r>
    </w:p>
    <w:p w14:paraId="077850A1" w14:textId="77777777" w:rsidR="008C6C4D" w:rsidRPr="00791593" w:rsidRDefault="008C6C4D" w:rsidP="008C6C4D">
      <w:pPr>
        <w:spacing w:after="0" w:line="240" w:lineRule="auto"/>
        <w:jc w:val="both"/>
        <w:rPr>
          <w:rFonts w:ascii="Arial" w:hAnsi="Arial" w:cs="Arial"/>
          <w:lang w:eastAsia="es-MX"/>
        </w:rPr>
      </w:pPr>
    </w:p>
    <w:p w14:paraId="2DB9D20F" w14:textId="6BC475FA" w:rsidR="008C6C4D" w:rsidRPr="00791593" w:rsidRDefault="008C6C4D" w:rsidP="008C6C4D">
      <w:pPr>
        <w:spacing w:after="0" w:line="240" w:lineRule="auto"/>
        <w:jc w:val="both"/>
        <w:rPr>
          <w:rFonts w:ascii="Arial" w:hAnsi="Arial" w:cs="Arial"/>
          <w:lang w:eastAsia="es-MX"/>
        </w:rPr>
      </w:pPr>
      <w:r w:rsidRPr="00791593">
        <w:rPr>
          <w:rFonts w:ascii="Arial" w:hAnsi="Arial" w:cs="Arial"/>
          <w:lang w:eastAsia="es-MX"/>
        </w:rPr>
        <w:t>9.</w:t>
      </w:r>
      <w:r w:rsidR="00C37723" w:rsidRPr="00791593">
        <w:rPr>
          <w:rFonts w:ascii="Arial" w:hAnsi="Arial" w:cs="Arial"/>
          <w:lang w:eastAsia="es-MX"/>
        </w:rPr>
        <w:t xml:space="preserve"> </w:t>
      </w:r>
      <w:r w:rsidRPr="00791593">
        <w:rPr>
          <w:rFonts w:ascii="Arial" w:hAnsi="Arial" w:cs="Arial"/>
          <w:lang w:eastAsia="es-MX"/>
        </w:rPr>
        <w:t>El Estado incumplió con el deber de no discriminar, contenido en el artículo 1.1 de la Convención Americana, en relación con los derechos reconocidos en los artículos 21.1, 8.1, 25.1, 4.1, 3, y 19 del mismo instrumento, de acuerdo con lo expuesto en los párrafos 273 a 275 de esta Sentencia.</w:t>
      </w:r>
    </w:p>
    <w:p w14:paraId="4CBC4B50" w14:textId="77777777" w:rsidR="008C6C4D" w:rsidRPr="00791593" w:rsidRDefault="008C6C4D" w:rsidP="008C6C4D">
      <w:pPr>
        <w:rPr>
          <w:rFonts w:ascii="Arial" w:hAnsi="Arial" w:cs="Arial"/>
          <w:lang w:eastAsia="es-MX"/>
        </w:rPr>
      </w:pPr>
    </w:p>
    <w:p w14:paraId="4F2738A6" w14:textId="2EB525B4" w:rsidR="00484D03" w:rsidRPr="00791593" w:rsidRDefault="00484D03" w:rsidP="00335852">
      <w:pPr>
        <w:rPr>
          <w:rFonts w:ascii="Arial" w:hAnsi="Arial" w:cs="Arial"/>
          <w:lang w:eastAsia="es-MX"/>
        </w:rPr>
      </w:pPr>
    </w:p>
    <w:p w14:paraId="7674255B" w14:textId="59C5DB87" w:rsidR="00484D03" w:rsidRPr="00791593" w:rsidRDefault="00180F6B" w:rsidP="006640CA">
      <w:pPr>
        <w:pStyle w:val="Ttulo4"/>
        <w:rPr>
          <w:rFonts w:ascii="Arial" w:hAnsi="Arial" w:cs="Arial"/>
          <w:b/>
          <w:bCs/>
          <w:i w:val="0"/>
          <w:iCs w:val="0"/>
          <w:color w:val="C00000"/>
          <w:sz w:val="24"/>
          <w:szCs w:val="24"/>
          <w:shd w:val="clear" w:color="auto" w:fill="FFFFFF"/>
        </w:rPr>
      </w:pPr>
      <w:r w:rsidRPr="00791593">
        <w:rPr>
          <w:rFonts w:ascii="Arial" w:hAnsi="Arial" w:cs="Arial"/>
          <w:b/>
          <w:bCs/>
          <w:i w:val="0"/>
          <w:iCs w:val="0"/>
          <w:color w:val="C00000"/>
          <w:sz w:val="24"/>
          <w:szCs w:val="24"/>
          <w:shd w:val="clear" w:color="auto" w:fill="FFFFFF"/>
        </w:rPr>
        <w:t>CA</w:t>
      </w:r>
      <w:r w:rsidR="00160824" w:rsidRPr="00791593">
        <w:rPr>
          <w:rFonts w:ascii="Arial" w:hAnsi="Arial" w:cs="Arial"/>
          <w:b/>
          <w:bCs/>
          <w:i w:val="0"/>
          <w:iCs w:val="0"/>
          <w:color w:val="C00000"/>
          <w:sz w:val="24"/>
          <w:szCs w:val="24"/>
          <w:shd w:val="clear" w:color="auto" w:fill="FFFFFF"/>
        </w:rPr>
        <w:t>SO 3: CASO BALDEÓN GARCÍA VS PARAGUAY</w:t>
      </w:r>
    </w:p>
    <w:p w14:paraId="34B56D5E" w14:textId="77777777" w:rsidR="007700FE" w:rsidRPr="00791593" w:rsidRDefault="007700FE" w:rsidP="00160824">
      <w:pPr>
        <w:spacing w:after="0" w:line="240" w:lineRule="auto"/>
        <w:jc w:val="both"/>
        <w:rPr>
          <w:rFonts w:ascii="Arial" w:hAnsi="Arial" w:cs="Arial"/>
        </w:rPr>
      </w:pPr>
    </w:p>
    <w:p w14:paraId="2483943A" w14:textId="77777777" w:rsidR="00160824" w:rsidRPr="00791593" w:rsidRDefault="00160824" w:rsidP="00160824">
      <w:pPr>
        <w:spacing w:after="0" w:line="240" w:lineRule="auto"/>
        <w:jc w:val="both"/>
        <w:rPr>
          <w:rFonts w:ascii="Arial" w:hAnsi="Arial" w:cs="Arial"/>
          <w:b/>
          <w:bCs/>
          <w:color w:val="000000"/>
          <w:shd w:val="clear" w:color="auto" w:fill="FFFFFF"/>
        </w:rPr>
      </w:pPr>
    </w:p>
    <w:p w14:paraId="27520990" w14:textId="6DC7C954" w:rsidR="007700FE" w:rsidRPr="00791593" w:rsidRDefault="007700FE" w:rsidP="00160824">
      <w:pPr>
        <w:spacing w:after="0" w:line="240" w:lineRule="auto"/>
        <w:jc w:val="both"/>
        <w:rPr>
          <w:rFonts w:ascii="Arial" w:hAnsi="Arial" w:cs="Arial"/>
          <w:b/>
          <w:bCs/>
          <w:color w:val="000000"/>
          <w:shd w:val="clear" w:color="auto" w:fill="FFFFFF"/>
        </w:rPr>
      </w:pPr>
      <w:r w:rsidRPr="00791593">
        <w:rPr>
          <w:rFonts w:ascii="Arial" w:hAnsi="Arial" w:cs="Arial"/>
          <w:b/>
          <w:bCs/>
          <w:color w:val="000000"/>
          <w:shd w:val="clear" w:color="auto" w:fill="FFFFFF"/>
        </w:rPr>
        <w:t>Órgano CoIDH.</w:t>
      </w:r>
    </w:p>
    <w:p w14:paraId="32F86797" w14:textId="7EAADD86" w:rsidR="007700FE" w:rsidRPr="00791593" w:rsidRDefault="007700FE" w:rsidP="00160824">
      <w:pPr>
        <w:spacing w:after="0" w:line="240" w:lineRule="auto"/>
        <w:jc w:val="both"/>
        <w:rPr>
          <w:rFonts w:ascii="Arial" w:hAnsi="Arial" w:cs="Arial"/>
          <w:b/>
          <w:bCs/>
        </w:rPr>
      </w:pPr>
    </w:p>
    <w:p w14:paraId="61FA5E70" w14:textId="7EB4810D" w:rsidR="00160824" w:rsidRPr="00791593" w:rsidRDefault="00160824" w:rsidP="00160824">
      <w:pPr>
        <w:spacing w:after="0" w:line="240" w:lineRule="auto"/>
        <w:jc w:val="both"/>
        <w:rPr>
          <w:rFonts w:ascii="Arial" w:hAnsi="Arial" w:cs="Arial"/>
          <w:b/>
          <w:bCs/>
        </w:rPr>
      </w:pPr>
      <w:r w:rsidRPr="00791593">
        <w:rPr>
          <w:rFonts w:ascii="Arial" w:hAnsi="Arial" w:cs="Arial"/>
          <w:b/>
          <w:bCs/>
        </w:rPr>
        <w:t>Corte Interamericana de Derechos Humanos</w:t>
      </w:r>
    </w:p>
    <w:p w14:paraId="5D05E72C" w14:textId="77777777" w:rsidR="00160824" w:rsidRPr="00791593" w:rsidRDefault="00160824" w:rsidP="00160824">
      <w:pPr>
        <w:spacing w:after="0" w:line="240" w:lineRule="auto"/>
        <w:jc w:val="both"/>
        <w:rPr>
          <w:rFonts w:ascii="Arial" w:hAnsi="Arial" w:cs="Arial"/>
          <w:b/>
          <w:bCs/>
          <w:color w:val="C00000"/>
        </w:rPr>
      </w:pPr>
      <w:r w:rsidRPr="00791593">
        <w:rPr>
          <w:rFonts w:ascii="Arial" w:hAnsi="Arial" w:cs="Arial"/>
          <w:b/>
          <w:bCs/>
          <w:color w:val="C00000"/>
        </w:rPr>
        <w:t>Caso Baldeón García Vs. Perú</w:t>
      </w:r>
    </w:p>
    <w:p w14:paraId="46825FD2" w14:textId="77777777" w:rsidR="00160824" w:rsidRPr="00791593" w:rsidRDefault="00160824" w:rsidP="00160824">
      <w:pPr>
        <w:spacing w:after="0" w:line="240" w:lineRule="auto"/>
        <w:jc w:val="both"/>
        <w:rPr>
          <w:rFonts w:ascii="Arial" w:hAnsi="Arial" w:cs="Arial"/>
          <w:b/>
          <w:bCs/>
        </w:rPr>
      </w:pPr>
      <w:r w:rsidRPr="00791593">
        <w:rPr>
          <w:rFonts w:ascii="Arial" w:hAnsi="Arial" w:cs="Arial"/>
          <w:b/>
          <w:bCs/>
        </w:rPr>
        <w:t>Resuelto el 6 de abril de 2006</w:t>
      </w:r>
    </w:p>
    <w:p w14:paraId="12A2D727" w14:textId="77777777" w:rsidR="00160824" w:rsidRPr="00791593" w:rsidRDefault="00160824" w:rsidP="00160824">
      <w:pPr>
        <w:spacing w:after="0" w:line="240" w:lineRule="auto"/>
        <w:jc w:val="both"/>
        <w:rPr>
          <w:rFonts w:ascii="Arial" w:hAnsi="Arial" w:cs="Arial"/>
        </w:rPr>
      </w:pPr>
    </w:p>
    <w:p w14:paraId="0C24C12C" w14:textId="77777777" w:rsidR="00160824" w:rsidRPr="00791593" w:rsidRDefault="00160824" w:rsidP="00160824">
      <w:pPr>
        <w:spacing w:after="0" w:line="240" w:lineRule="auto"/>
        <w:jc w:val="both"/>
        <w:rPr>
          <w:rFonts w:ascii="Arial" w:hAnsi="Arial" w:cs="Arial"/>
        </w:rPr>
      </w:pPr>
    </w:p>
    <w:p w14:paraId="791CA2B7" w14:textId="77777777" w:rsidR="00160824" w:rsidRPr="00791593" w:rsidRDefault="00160824" w:rsidP="00160824">
      <w:pPr>
        <w:spacing w:after="0" w:line="240" w:lineRule="auto"/>
        <w:jc w:val="both"/>
        <w:rPr>
          <w:rFonts w:ascii="Arial" w:hAnsi="Arial" w:cs="Arial"/>
          <w:b/>
          <w:bCs/>
        </w:rPr>
      </w:pPr>
      <w:r w:rsidRPr="00791593">
        <w:rPr>
          <w:rFonts w:ascii="Arial" w:hAnsi="Arial" w:cs="Arial"/>
          <w:b/>
          <w:bCs/>
        </w:rPr>
        <w:t>Temática</w:t>
      </w:r>
    </w:p>
    <w:p w14:paraId="5A9B4CAD" w14:textId="40CEFACD" w:rsidR="00160824" w:rsidRPr="00791593" w:rsidRDefault="00160824" w:rsidP="00160824">
      <w:pPr>
        <w:spacing w:after="0" w:line="240" w:lineRule="auto"/>
        <w:jc w:val="both"/>
        <w:rPr>
          <w:rFonts w:ascii="Arial" w:hAnsi="Arial" w:cs="Arial"/>
        </w:rPr>
      </w:pPr>
      <w:r w:rsidRPr="00791593">
        <w:rPr>
          <w:rFonts w:ascii="Arial" w:hAnsi="Arial" w:cs="Arial"/>
        </w:rPr>
        <w:t>•Garantías judiciales y procesales</w:t>
      </w:r>
    </w:p>
    <w:p w14:paraId="12D96EFA" w14:textId="5F786C1A" w:rsidR="00160824" w:rsidRPr="00791593" w:rsidRDefault="00160824" w:rsidP="00160824">
      <w:pPr>
        <w:spacing w:after="0" w:line="240" w:lineRule="auto"/>
        <w:jc w:val="both"/>
        <w:rPr>
          <w:rFonts w:ascii="Arial" w:hAnsi="Arial" w:cs="Arial"/>
        </w:rPr>
      </w:pPr>
      <w:r w:rsidRPr="00791593">
        <w:rPr>
          <w:rFonts w:ascii="Arial" w:hAnsi="Arial" w:cs="Arial"/>
        </w:rPr>
        <w:t>•Derecho a la integridad personal</w:t>
      </w:r>
    </w:p>
    <w:p w14:paraId="3A833667" w14:textId="29D81549" w:rsidR="00160824" w:rsidRPr="00791593" w:rsidRDefault="00160824" w:rsidP="00160824">
      <w:pPr>
        <w:spacing w:after="0" w:line="240" w:lineRule="auto"/>
        <w:jc w:val="both"/>
        <w:rPr>
          <w:rFonts w:ascii="Arial" w:hAnsi="Arial" w:cs="Arial"/>
        </w:rPr>
      </w:pPr>
      <w:r w:rsidRPr="00791593">
        <w:rPr>
          <w:rFonts w:ascii="Arial" w:hAnsi="Arial" w:cs="Arial"/>
        </w:rPr>
        <w:t>•Protección judicial</w:t>
      </w:r>
    </w:p>
    <w:p w14:paraId="56CACF21" w14:textId="61B56450" w:rsidR="00160824" w:rsidRPr="00791593" w:rsidRDefault="00160824" w:rsidP="00160824">
      <w:pPr>
        <w:spacing w:after="0" w:line="240" w:lineRule="auto"/>
        <w:jc w:val="both"/>
        <w:rPr>
          <w:rFonts w:ascii="Arial" w:hAnsi="Arial" w:cs="Arial"/>
        </w:rPr>
      </w:pPr>
      <w:r w:rsidRPr="00791593">
        <w:rPr>
          <w:rFonts w:ascii="Arial" w:hAnsi="Arial" w:cs="Arial"/>
        </w:rPr>
        <w:t>•Tortura</w:t>
      </w:r>
    </w:p>
    <w:p w14:paraId="3D790A4B" w14:textId="77777777" w:rsidR="00160824" w:rsidRPr="00791593" w:rsidRDefault="00160824" w:rsidP="00160824">
      <w:pPr>
        <w:spacing w:after="0" w:line="240" w:lineRule="auto"/>
        <w:jc w:val="both"/>
        <w:rPr>
          <w:rFonts w:ascii="Arial" w:hAnsi="Arial" w:cs="Arial"/>
          <w:b/>
          <w:bCs/>
        </w:rPr>
      </w:pPr>
    </w:p>
    <w:p w14:paraId="1A386E9A" w14:textId="06D64641" w:rsidR="00160824" w:rsidRPr="00791593" w:rsidRDefault="00160824" w:rsidP="00160824">
      <w:pPr>
        <w:spacing w:after="0" w:line="240" w:lineRule="auto"/>
        <w:jc w:val="both"/>
        <w:rPr>
          <w:rFonts w:ascii="Arial" w:hAnsi="Arial" w:cs="Arial"/>
          <w:b/>
          <w:bCs/>
        </w:rPr>
      </w:pPr>
      <w:r w:rsidRPr="00791593">
        <w:rPr>
          <w:rFonts w:ascii="Arial" w:hAnsi="Arial" w:cs="Arial"/>
          <w:b/>
          <w:bCs/>
        </w:rPr>
        <w:t>Caso concreto</w:t>
      </w:r>
    </w:p>
    <w:p w14:paraId="6551E262" w14:textId="77777777" w:rsidR="00B66F04" w:rsidRPr="00791593" w:rsidRDefault="00B66F04" w:rsidP="00160824">
      <w:pPr>
        <w:spacing w:after="0" w:line="240" w:lineRule="auto"/>
        <w:jc w:val="both"/>
        <w:rPr>
          <w:rFonts w:ascii="Arial" w:hAnsi="Arial" w:cs="Arial"/>
          <w:b/>
          <w:bCs/>
        </w:rPr>
      </w:pPr>
    </w:p>
    <w:p w14:paraId="01F7C4C5" w14:textId="77777777" w:rsidR="00160824" w:rsidRPr="00791593" w:rsidRDefault="00160824" w:rsidP="00160824">
      <w:pPr>
        <w:spacing w:after="0" w:line="240" w:lineRule="auto"/>
        <w:jc w:val="both"/>
        <w:rPr>
          <w:rFonts w:ascii="Arial" w:hAnsi="Arial" w:cs="Arial"/>
        </w:rPr>
      </w:pPr>
      <w:r w:rsidRPr="00791593">
        <w:rPr>
          <w:rFonts w:ascii="Arial" w:hAnsi="Arial" w:cs="Arial"/>
        </w:rPr>
        <w:t>El caso se refiere a la responsabilidad internacional del Estado peruano por la tortura y posterior muerte de Bernabé Baldeón García por parte de efectivos militares, así como la falta de investigación y sanción a los responsables.</w:t>
      </w:r>
    </w:p>
    <w:p w14:paraId="19445D3C" w14:textId="77777777" w:rsidR="00160824" w:rsidRPr="00791593" w:rsidRDefault="00160824" w:rsidP="00160824">
      <w:pPr>
        <w:spacing w:after="0" w:line="240" w:lineRule="auto"/>
        <w:jc w:val="both"/>
        <w:rPr>
          <w:rFonts w:ascii="Arial" w:hAnsi="Arial" w:cs="Arial"/>
        </w:rPr>
      </w:pPr>
    </w:p>
    <w:p w14:paraId="6EB98BF5" w14:textId="77777777" w:rsidR="00160824" w:rsidRPr="00791593" w:rsidRDefault="00160824" w:rsidP="00160824">
      <w:pPr>
        <w:spacing w:after="0" w:line="240" w:lineRule="auto"/>
        <w:jc w:val="both"/>
        <w:rPr>
          <w:rFonts w:ascii="Arial" w:hAnsi="Arial" w:cs="Arial"/>
          <w:b/>
          <w:bCs/>
        </w:rPr>
      </w:pPr>
    </w:p>
    <w:p w14:paraId="5F3B1995" w14:textId="1166C157" w:rsidR="00160824" w:rsidRPr="00791593" w:rsidRDefault="00160824" w:rsidP="00160824">
      <w:pPr>
        <w:spacing w:after="0" w:line="240" w:lineRule="auto"/>
        <w:jc w:val="both"/>
        <w:rPr>
          <w:rFonts w:ascii="Arial" w:hAnsi="Arial" w:cs="Arial"/>
          <w:b/>
          <w:bCs/>
        </w:rPr>
      </w:pPr>
      <w:r w:rsidRPr="00791593">
        <w:rPr>
          <w:rFonts w:ascii="Arial" w:hAnsi="Arial" w:cs="Arial"/>
          <w:b/>
          <w:bCs/>
        </w:rPr>
        <w:t>Hechos</w:t>
      </w:r>
    </w:p>
    <w:p w14:paraId="2E13E41F" w14:textId="77777777" w:rsidR="00B66F04" w:rsidRPr="00791593" w:rsidRDefault="00B66F04" w:rsidP="00160824">
      <w:pPr>
        <w:spacing w:after="0" w:line="240" w:lineRule="auto"/>
        <w:jc w:val="both"/>
        <w:rPr>
          <w:rFonts w:ascii="Arial" w:hAnsi="Arial" w:cs="Arial"/>
          <w:b/>
          <w:bCs/>
        </w:rPr>
      </w:pPr>
    </w:p>
    <w:p w14:paraId="79515266" w14:textId="229BBED7" w:rsidR="00160824" w:rsidRPr="00791593" w:rsidRDefault="00160824" w:rsidP="00160824">
      <w:pPr>
        <w:spacing w:after="0" w:line="240" w:lineRule="auto"/>
        <w:jc w:val="both"/>
        <w:rPr>
          <w:rFonts w:ascii="Arial" w:hAnsi="Arial" w:cs="Arial"/>
        </w:rPr>
      </w:pPr>
      <w:r w:rsidRPr="00791593">
        <w:rPr>
          <w:rFonts w:ascii="Arial" w:hAnsi="Arial" w:cs="Arial"/>
        </w:rPr>
        <w:t>1.</w:t>
      </w:r>
      <w:r w:rsidR="00A55592" w:rsidRPr="00791593">
        <w:rPr>
          <w:rFonts w:ascii="Arial" w:hAnsi="Arial" w:cs="Arial"/>
        </w:rPr>
        <w:t xml:space="preserve"> </w:t>
      </w:r>
      <w:r w:rsidRPr="00791593">
        <w:rPr>
          <w:rFonts w:ascii="Arial" w:hAnsi="Arial" w:cs="Arial"/>
        </w:rPr>
        <w:t>Durante el período que se extiende desde comienzos de la década de los ochenta hasta ya adentrados los años noventa, se vivió en el Perú un conflicto entre grupos armados y agentes de la fuerza policial y militar.  De acuerdo a lo señalado por la CVR, entre estos años existió una "práctica generalizada" de violaciones a los derechos humanos implementada por el Estado como mecanismo de lucha antisubversiva, entre ellas ejecuciones extrajudiciales y el empleo de torturas.</w:t>
      </w:r>
    </w:p>
    <w:p w14:paraId="3FD31B20" w14:textId="77777777" w:rsidR="00160824" w:rsidRPr="00791593" w:rsidRDefault="00160824" w:rsidP="00160824">
      <w:pPr>
        <w:spacing w:after="0" w:line="240" w:lineRule="auto"/>
        <w:jc w:val="both"/>
        <w:rPr>
          <w:rFonts w:ascii="Arial" w:hAnsi="Arial" w:cs="Arial"/>
        </w:rPr>
      </w:pPr>
    </w:p>
    <w:p w14:paraId="20C46F12" w14:textId="2E5F1BAA" w:rsidR="00160824" w:rsidRPr="00791593" w:rsidRDefault="00160824" w:rsidP="00160824">
      <w:pPr>
        <w:spacing w:after="0" w:line="240" w:lineRule="auto"/>
        <w:jc w:val="both"/>
        <w:rPr>
          <w:rFonts w:ascii="Arial" w:hAnsi="Arial" w:cs="Arial"/>
        </w:rPr>
      </w:pPr>
      <w:r w:rsidRPr="00791593">
        <w:rPr>
          <w:rFonts w:ascii="Arial" w:hAnsi="Arial" w:cs="Arial"/>
        </w:rPr>
        <w:t>2.</w:t>
      </w:r>
      <w:r w:rsidR="00A55592" w:rsidRPr="00791593">
        <w:rPr>
          <w:rFonts w:ascii="Arial" w:hAnsi="Arial" w:cs="Arial"/>
        </w:rPr>
        <w:t xml:space="preserve"> </w:t>
      </w:r>
      <w:r w:rsidRPr="00791593">
        <w:rPr>
          <w:rFonts w:ascii="Arial" w:hAnsi="Arial" w:cs="Arial"/>
        </w:rPr>
        <w:t>El señor Bernabé Baldeón García tenía 68 años al momento en que sucedieron los hechos.</w:t>
      </w:r>
    </w:p>
    <w:p w14:paraId="2AE5D437" w14:textId="77777777" w:rsidR="00160824" w:rsidRPr="00791593" w:rsidRDefault="00160824" w:rsidP="00160824">
      <w:pPr>
        <w:spacing w:after="0" w:line="240" w:lineRule="auto"/>
        <w:jc w:val="both"/>
        <w:rPr>
          <w:rFonts w:ascii="Arial" w:hAnsi="Arial" w:cs="Arial"/>
        </w:rPr>
      </w:pPr>
    </w:p>
    <w:p w14:paraId="4E0B112E" w14:textId="5C02F789" w:rsidR="00160824" w:rsidRPr="00791593" w:rsidRDefault="00160824" w:rsidP="00160824">
      <w:pPr>
        <w:spacing w:after="0" w:line="240" w:lineRule="auto"/>
        <w:jc w:val="both"/>
        <w:rPr>
          <w:rFonts w:ascii="Arial" w:hAnsi="Arial" w:cs="Arial"/>
        </w:rPr>
      </w:pPr>
      <w:r w:rsidRPr="00791593">
        <w:rPr>
          <w:rFonts w:ascii="Arial" w:hAnsi="Arial" w:cs="Arial"/>
        </w:rPr>
        <w:t>3.</w:t>
      </w:r>
      <w:r w:rsidR="00A55592" w:rsidRPr="00791593">
        <w:rPr>
          <w:rFonts w:ascii="Arial" w:hAnsi="Arial" w:cs="Arial"/>
        </w:rPr>
        <w:t xml:space="preserve"> </w:t>
      </w:r>
      <w:r w:rsidRPr="00791593">
        <w:rPr>
          <w:rFonts w:ascii="Arial" w:hAnsi="Arial" w:cs="Arial"/>
        </w:rPr>
        <w:t>El 25 de septiembre de 1990, como parte de un operativo contrainsurgente llevado a cabo en el Departamento de Ayacucho, efectivos militares procedentes de la Base Militar de Accomarca llegaron al anexo de Pucapaccana.</w:t>
      </w:r>
    </w:p>
    <w:p w14:paraId="199EEB54" w14:textId="77777777" w:rsidR="00160824" w:rsidRPr="00791593" w:rsidRDefault="00160824" w:rsidP="00160824">
      <w:pPr>
        <w:spacing w:after="0" w:line="240" w:lineRule="auto"/>
        <w:jc w:val="both"/>
        <w:rPr>
          <w:rFonts w:ascii="Arial" w:hAnsi="Arial" w:cs="Arial"/>
        </w:rPr>
      </w:pPr>
    </w:p>
    <w:p w14:paraId="00B6B249" w14:textId="7623E595" w:rsidR="00160824" w:rsidRPr="00791593" w:rsidRDefault="00160824" w:rsidP="00160824">
      <w:pPr>
        <w:spacing w:after="0" w:line="240" w:lineRule="auto"/>
        <w:jc w:val="both"/>
        <w:rPr>
          <w:rFonts w:ascii="Arial" w:hAnsi="Arial" w:cs="Arial"/>
        </w:rPr>
      </w:pPr>
      <w:r w:rsidRPr="00791593">
        <w:rPr>
          <w:rFonts w:ascii="Arial" w:hAnsi="Arial" w:cs="Arial"/>
        </w:rPr>
        <w:t>4.</w:t>
      </w:r>
      <w:r w:rsidR="00A55592" w:rsidRPr="00791593">
        <w:rPr>
          <w:rFonts w:ascii="Arial" w:hAnsi="Arial" w:cs="Arial"/>
        </w:rPr>
        <w:t xml:space="preserve"> </w:t>
      </w:r>
      <w:r w:rsidRPr="00791593">
        <w:rPr>
          <w:rFonts w:ascii="Arial" w:hAnsi="Arial" w:cs="Arial"/>
        </w:rPr>
        <w:t xml:space="preserve">Al llegar a la mencionada comunidad campesina, los efectivos militares efectuaron disparos al aire, congregaron a los pobladores en la plaza principal y exigieron la entrega de carneros y víveres. En ese momento, uno de los oficiales al mando, con una lista en la </w:t>
      </w:r>
      <w:r w:rsidRPr="00791593">
        <w:rPr>
          <w:rFonts w:ascii="Arial" w:hAnsi="Arial" w:cs="Arial"/>
        </w:rPr>
        <w:lastRenderedPageBreak/>
        <w:t>mano, llamó al señor Eustaquio Baldeón, pero como éste no se encontraba presente, procedió a llamar a algunos de sus familiares, entre ellos los señores Bernabé Baldeón García, Santos Baldeón Palacios y Jesús Baldeón Zapata, quienes fueron detenidos. Simultáneamente, los efectivos militares allanaron varios domicilios, sustrayendo dinero y víveres, y exigieron al comunero que recolectara alimentos casa por casa y se los entregara.  Posteriormente, los militares partieron con los tres detenidos rumbo al anexo de Pacchahuallhua después de proferir amenazas de muerte contra los pobladores.</w:t>
      </w:r>
    </w:p>
    <w:p w14:paraId="7BE259E8" w14:textId="77777777" w:rsidR="00160824" w:rsidRPr="00791593" w:rsidRDefault="00160824" w:rsidP="00160824">
      <w:pPr>
        <w:spacing w:after="0" w:line="240" w:lineRule="auto"/>
        <w:jc w:val="both"/>
        <w:rPr>
          <w:rFonts w:ascii="Arial" w:hAnsi="Arial" w:cs="Arial"/>
        </w:rPr>
      </w:pPr>
    </w:p>
    <w:p w14:paraId="35A00CBF" w14:textId="517A6D70" w:rsidR="00160824" w:rsidRPr="00791593" w:rsidRDefault="00160824" w:rsidP="00160824">
      <w:pPr>
        <w:spacing w:after="0" w:line="240" w:lineRule="auto"/>
        <w:jc w:val="both"/>
        <w:rPr>
          <w:rFonts w:ascii="Arial" w:hAnsi="Arial" w:cs="Arial"/>
        </w:rPr>
      </w:pPr>
      <w:r w:rsidRPr="00791593">
        <w:rPr>
          <w:rFonts w:ascii="Arial" w:hAnsi="Arial" w:cs="Arial"/>
        </w:rPr>
        <w:t>5.</w:t>
      </w:r>
      <w:r w:rsidR="002809E0" w:rsidRPr="00791593">
        <w:rPr>
          <w:rFonts w:ascii="Arial" w:hAnsi="Arial" w:cs="Arial"/>
        </w:rPr>
        <w:t xml:space="preserve"> </w:t>
      </w:r>
      <w:r w:rsidRPr="00791593">
        <w:rPr>
          <w:rFonts w:ascii="Arial" w:hAnsi="Arial" w:cs="Arial"/>
        </w:rPr>
        <w:t>Durante su detención, el señor Bernabé Baldeón García fue golpeado, atado con alambres y colgado boca abajo de una viga, y luego fue sumergido en un cilindro de agua fría.</w:t>
      </w:r>
    </w:p>
    <w:p w14:paraId="5815DD51" w14:textId="77777777" w:rsidR="00160824" w:rsidRPr="00791593" w:rsidRDefault="00160824" w:rsidP="00160824">
      <w:pPr>
        <w:spacing w:after="0" w:line="240" w:lineRule="auto"/>
        <w:jc w:val="both"/>
        <w:rPr>
          <w:rFonts w:ascii="Arial" w:hAnsi="Arial" w:cs="Arial"/>
        </w:rPr>
      </w:pPr>
    </w:p>
    <w:p w14:paraId="59D855C6" w14:textId="09613D87" w:rsidR="00160824" w:rsidRPr="00791593" w:rsidRDefault="00160824" w:rsidP="00160824">
      <w:pPr>
        <w:spacing w:after="0" w:line="240" w:lineRule="auto"/>
        <w:jc w:val="both"/>
        <w:rPr>
          <w:rFonts w:ascii="Arial" w:hAnsi="Arial" w:cs="Arial"/>
        </w:rPr>
      </w:pPr>
      <w:r w:rsidRPr="00791593">
        <w:rPr>
          <w:rFonts w:ascii="Arial" w:hAnsi="Arial" w:cs="Arial"/>
        </w:rPr>
        <w:t>6.</w:t>
      </w:r>
      <w:r w:rsidR="002809E0" w:rsidRPr="00791593">
        <w:rPr>
          <w:rFonts w:ascii="Arial" w:hAnsi="Arial" w:cs="Arial"/>
        </w:rPr>
        <w:t xml:space="preserve"> </w:t>
      </w:r>
      <w:r w:rsidRPr="00791593">
        <w:rPr>
          <w:rFonts w:ascii="Arial" w:hAnsi="Arial" w:cs="Arial"/>
        </w:rPr>
        <w:t>El señor Bernabé Baldeón García murió en la madrugada del 26 de septiembre de 1990 en la localidad de Pacchahuallua, mientras se encontraba en custodia de efectivos militares y fue enterrado ese mismo día sin presencia de los familiares.</w:t>
      </w:r>
    </w:p>
    <w:p w14:paraId="5B5F759A" w14:textId="77777777" w:rsidR="00160824" w:rsidRPr="00791593" w:rsidRDefault="00160824" w:rsidP="00160824">
      <w:pPr>
        <w:spacing w:after="0" w:line="240" w:lineRule="auto"/>
        <w:jc w:val="both"/>
        <w:rPr>
          <w:rFonts w:ascii="Arial" w:hAnsi="Arial" w:cs="Arial"/>
        </w:rPr>
      </w:pPr>
    </w:p>
    <w:p w14:paraId="782F8BA1" w14:textId="06A17A67" w:rsidR="00160824" w:rsidRPr="00791593" w:rsidRDefault="00160824" w:rsidP="00160824">
      <w:pPr>
        <w:spacing w:after="0" w:line="240" w:lineRule="auto"/>
        <w:jc w:val="both"/>
        <w:rPr>
          <w:rFonts w:ascii="Arial" w:hAnsi="Arial" w:cs="Arial"/>
        </w:rPr>
      </w:pPr>
      <w:r w:rsidRPr="00791593">
        <w:rPr>
          <w:rFonts w:ascii="Arial" w:hAnsi="Arial" w:cs="Arial"/>
        </w:rPr>
        <w:t>7.</w:t>
      </w:r>
      <w:r w:rsidR="002809E0" w:rsidRPr="00791593">
        <w:rPr>
          <w:rFonts w:ascii="Arial" w:hAnsi="Arial" w:cs="Arial"/>
        </w:rPr>
        <w:t xml:space="preserve"> </w:t>
      </w:r>
      <w:r w:rsidRPr="00791593">
        <w:rPr>
          <w:rFonts w:ascii="Arial" w:hAnsi="Arial" w:cs="Arial"/>
        </w:rPr>
        <w:t>El 25 de agosto de 2005 el Juzgado Penal Supraprovincial Especializado en Derechos Humanos de la Corte Superior de Justicia de Ayacucho abrió proceso penal en contra de los presuntos responsables por el delito de "tortura seguida de muerte" y dictó auto de procesamiento contra ellos, ordenando su captura, prohibición de salida del país y embargo preventivo de sus bienes.</w:t>
      </w:r>
    </w:p>
    <w:p w14:paraId="530C94E6" w14:textId="77777777" w:rsidR="00160824" w:rsidRPr="00791593" w:rsidRDefault="00160824" w:rsidP="00160824">
      <w:pPr>
        <w:spacing w:after="0" w:line="240" w:lineRule="auto"/>
        <w:jc w:val="both"/>
        <w:rPr>
          <w:rFonts w:ascii="Arial" w:hAnsi="Arial" w:cs="Arial"/>
        </w:rPr>
      </w:pPr>
    </w:p>
    <w:p w14:paraId="24B92DAC" w14:textId="12DB4C0A" w:rsidR="00160824" w:rsidRPr="00791593" w:rsidRDefault="00160824" w:rsidP="00160824">
      <w:pPr>
        <w:spacing w:after="0" w:line="240" w:lineRule="auto"/>
        <w:jc w:val="both"/>
        <w:rPr>
          <w:rFonts w:ascii="Arial" w:hAnsi="Arial" w:cs="Arial"/>
        </w:rPr>
      </w:pPr>
      <w:r w:rsidRPr="00791593">
        <w:rPr>
          <w:rFonts w:ascii="Arial" w:hAnsi="Arial" w:cs="Arial"/>
        </w:rPr>
        <w:t>8.</w:t>
      </w:r>
      <w:r w:rsidR="002809E0" w:rsidRPr="00791593">
        <w:rPr>
          <w:rFonts w:ascii="Arial" w:hAnsi="Arial" w:cs="Arial"/>
        </w:rPr>
        <w:t xml:space="preserve"> </w:t>
      </w:r>
      <w:r w:rsidRPr="00791593">
        <w:rPr>
          <w:rFonts w:ascii="Arial" w:hAnsi="Arial" w:cs="Arial"/>
        </w:rPr>
        <w:t>Hasta la fecha de la emisión de la presente sentencia solamente dos personas han sido procesadas y ninguna sancionada por los hechos que originaron el presente caso</w:t>
      </w:r>
    </w:p>
    <w:p w14:paraId="6F19EB76" w14:textId="4C98448D" w:rsidR="00160824" w:rsidRPr="00791593" w:rsidRDefault="00160824" w:rsidP="00160824">
      <w:pPr>
        <w:spacing w:after="0" w:line="240" w:lineRule="auto"/>
        <w:jc w:val="both"/>
        <w:rPr>
          <w:rFonts w:ascii="Arial" w:hAnsi="Arial" w:cs="Arial"/>
        </w:rPr>
      </w:pPr>
    </w:p>
    <w:p w14:paraId="088AC47F" w14:textId="77777777" w:rsidR="00E55338" w:rsidRPr="00791593" w:rsidRDefault="00E55338" w:rsidP="00160824">
      <w:pPr>
        <w:spacing w:after="0" w:line="240" w:lineRule="auto"/>
        <w:jc w:val="both"/>
        <w:rPr>
          <w:rFonts w:ascii="Arial" w:hAnsi="Arial" w:cs="Arial"/>
        </w:rPr>
      </w:pPr>
    </w:p>
    <w:p w14:paraId="506AEEC0" w14:textId="0200DA34" w:rsidR="00160824" w:rsidRPr="00791593" w:rsidRDefault="00160824" w:rsidP="00160824">
      <w:pPr>
        <w:spacing w:after="0" w:line="240" w:lineRule="auto"/>
        <w:jc w:val="both"/>
        <w:rPr>
          <w:rFonts w:ascii="Arial" w:hAnsi="Arial" w:cs="Arial"/>
          <w:b/>
          <w:bCs/>
        </w:rPr>
      </w:pPr>
      <w:r w:rsidRPr="00791593">
        <w:rPr>
          <w:rFonts w:ascii="Arial" w:hAnsi="Arial" w:cs="Arial"/>
          <w:b/>
          <w:bCs/>
        </w:rPr>
        <w:t>Consideraciones de la CoIDH</w:t>
      </w:r>
    </w:p>
    <w:p w14:paraId="75BFA3B3" w14:textId="77777777" w:rsidR="002809E0" w:rsidRPr="00791593" w:rsidRDefault="002809E0" w:rsidP="00160824">
      <w:pPr>
        <w:spacing w:after="0" w:line="240" w:lineRule="auto"/>
        <w:jc w:val="both"/>
        <w:rPr>
          <w:rFonts w:ascii="Arial" w:hAnsi="Arial" w:cs="Arial"/>
          <w:b/>
          <w:bCs/>
        </w:rPr>
      </w:pPr>
    </w:p>
    <w:p w14:paraId="31561058" w14:textId="77777777" w:rsidR="00160824" w:rsidRPr="00791593" w:rsidRDefault="00160824" w:rsidP="00160824">
      <w:pPr>
        <w:spacing w:after="0" w:line="240" w:lineRule="auto"/>
        <w:jc w:val="both"/>
        <w:rPr>
          <w:rFonts w:ascii="Arial" w:hAnsi="Arial" w:cs="Arial"/>
        </w:rPr>
      </w:pPr>
      <w:r w:rsidRPr="00791593">
        <w:rPr>
          <w:rFonts w:ascii="Arial" w:hAnsi="Arial" w:cs="Arial"/>
        </w:rPr>
        <w:t>La Corte consideró que el allanamiento del Estado por la violación del artículo 5 de la Convención en relación con los alegados "malos tratos" que el señor Bernabé Baldeón García sufrió al momento de su detención y antes de su muerte, constituye una contribución positiva al desarrollo de este proceso y a la vigencia de los principios que inspiran la Convención Americana.</w:t>
      </w:r>
    </w:p>
    <w:p w14:paraId="4DBDDC94" w14:textId="77777777" w:rsidR="00160824" w:rsidRPr="00791593" w:rsidRDefault="00160824" w:rsidP="00160824">
      <w:pPr>
        <w:spacing w:after="0" w:line="240" w:lineRule="auto"/>
        <w:jc w:val="both"/>
        <w:rPr>
          <w:rFonts w:ascii="Arial" w:hAnsi="Arial" w:cs="Arial"/>
        </w:rPr>
      </w:pPr>
    </w:p>
    <w:p w14:paraId="07C40717" w14:textId="77777777" w:rsidR="00160824" w:rsidRPr="00791593" w:rsidRDefault="00160824" w:rsidP="00160824">
      <w:pPr>
        <w:spacing w:after="0" w:line="240" w:lineRule="auto"/>
        <w:jc w:val="both"/>
        <w:rPr>
          <w:rFonts w:ascii="Arial" w:hAnsi="Arial" w:cs="Arial"/>
        </w:rPr>
      </w:pPr>
      <w:r w:rsidRPr="00791593">
        <w:rPr>
          <w:rFonts w:ascii="Arial" w:hAnsi="Arial" w:cs="Arial"/>
        </w:rPr>
        <w:t>La Corte estableció que el Estado es responsable, en su condición de garante de los derechos consagrados en la Convención, de la observancia del derecho a la integridad personal de todo individuo que se halla bajo su custodia.  En consecuencia, existe la presunción de considerar responsable al Estado por las torturas, tratos crueles, inhumanos o degradantes que exhibe una persona que ha estado bajo la custodia de agentes estatales, si las autoridades no han realizado una investigación sería de los hechos seguida del procesamiento de los que aparezcan como responsables de tales conductas.  En dicho supuesto, recae en el Estado la obligación de proveer una explicación satisfactoria y convincente de lo sucedido y desvirtuar las alegaciones sobre su responsabilidad, mediante elementos probatorios adecuados.</w:t>
      </w:r>
    </w:p>
    <w:p w14:paraId="0650B15C" w14:textId="77777777" w:rsidR="00160824" w:rsidRPr="00791593" w:rsidRDefault="00160824" w:rsidP="00160824">
      <w:pPr>
        <w:spacing w:after="0" w:line="240" w:lineRule="auto"/>
        <w:jc w:val="both"/>
        <w:rPr>
          <w:rFonts w:ascii="Arial" w:hAnsi="Arial" w:cs="Arial"/>
        </w:rPr>
      </w:pPr>
    </w:p>
    <w:p w14:paraId="60B0CC25" w14:textId="77777777" w:rsidR="00160824" w:rsidRPr="00791593" w:rsidRDefault="00160824" w:rsidP="00160824">
      <w:pPr>
        <w:spacing w:after="0" w:line="240" w:lineRule="auto"/>
        <w:jc w:val="both"/>
        <w:rPr>
          <w:rFonts w:ascii="Arial" w:hAnsi="Arial" w:cs="Arial"/>
        </w:rPr>
      </w:pPr>
      <w:r w:rsidRPr="00791593">
        <w:rPr>
          <w:rFonts w:ascii="Arial" w:hAnsi="Arial" w:cs="Arial"/>
        </w:rPr>
        <w:t>La Corte consideró pertinente recordar que es un principio básico del derecho de la responsabilidad internacional del Estado, recogido en el Derecho Internacional de los Derechos Humanos, que todo Estado es internacionalmente responsable por actos u omisiones de cualesquiera de sus poderes u órganos en violación de los derechos internacionalmente consagrados.  El artículo 1.1 de la Convención Americana reviste importancia fundamental en ese sentido.</w:t>
      </w:r>
    </w:p>
    <w:p w14:paraId="79948A58" w14:textId="77777777" w:rsidR="00160824" w:rsidRPr="00791593" w:rsidRDefault="00160824" w:rsidP="00160824">
      <w:pPr>
        <w:spacing w:after="0" w:line="240" w:lineRule="auto"/>
        <w:jc w:val="both"/>
        <w:rPr>
          <w:rFonts w:ascii="Arial" w:hAnsi="Arial" w:cs="Arial"/>
        </w:rPr>
      </w:pPr>
    </w:p>
    <w:p w14:paraId="528C492E" w14:textId="77777777" w:rsidR="00160824" w:rsidRPr="00791593" w:rsidRDefault="00160824" w:rsidP="00160824">
      <w:pPr>
        <w:spacing w:after="0" w:line="240" w:lineRule="auto"/>
        <w:jc w:val="both"/>
        <w:rPr>
          <w:rFonts w:ascii="Arial" w:hAnsi="Arial" w:cs="Arial"/>
        </w:rPr>
      </w:pPr>
      <w:r w:rsidRPr="00791593">
        <w:rPr>
          <w:rFonts w:ascii="Arial" w:hAnsi="Arial" w:cs="Arial"/>
        </w:rPr>
        <w:t>La Corte estableció que el esclarecimiento de presuntas violaciones por parte de un Estado de sus obligaciones internacionales a través de sus órganos judiciales, puede conducir a que el Tribunal deba ocuparse de examinar los respectivos procesos internos. A la luz de lo anterior, se deben considerar los procedimientos internos como un todo y que la función del tribunal internacional es determinar si la integralidad de los procedimientos estuvieron conformes a las disposiciones internacionales.</w:t>
      </w:r>
    </w:p>
    <w:p w14:paraId="6AE0433F" w14:textId="77777777" w:rsidR="00160824" w:rsidRPr="00791593" w:rsidRDefault="00160824" w:rsidP="00160824">
      <w:pPr>
        <w:spacing w:after="0" w:line="240" w:lineRule="auto"/>
        <w:jc w:val="both"/>
        <w:rPr>
          <w:rFonts w:ascii="Arial" w:hAnsi="Arial" w:cs="Arial"/>
        </w:rPr>
      </w:pPr>
    </w:p>
    <w:p w14:paraId="3880CA6A" w14:textId="77777777" w:rsidR="00160824" w:rsidRPr="00791593" w:rsidRDefault="00160824" w:rsidP="00160824">
      <w:pPr>
        <w:spacing w:after="0" w:line="240" w:lineRule="auto"/>
        <w:jc w:val="both"/>
        <w:rPr>
          <w:rFonts w:ascii="Arial" w:hAnsi="Arial" w:cs="Arial"/>
        </w:rPr>
      </w:pPr>
      <w:r w:rsidRPr="00791593">
        <w:rPr>
          <w:rFonts w:ascii="Arial" w:hAnsi="Arial" w:cs="Arial"/>
        </w:rPr>
        <w:t>La Corte tomó en cuenta que, según la Convención Americana, los Estados Partes están obligados a suministrar recursos judiciales efectivos a las víctimas de violaciones de los derechos humanos (artículo 25), recursos que deben ser sustanciados de conformidad con las reglas del debido proceso legal (artículo 8.1), todo ello dentro de la obligación general, a cargo de los mismos Estados, de garantizar el libre y pleno ejercicio de los derechos reconocidos por la Convención a toda persona que se encuentre bajo su jurisdicción (artículo 1.1).</w:t>
      </w:r>
    </w:p>
    <w:p w14:paraId="3FE2082B" w14:textId="77777777" w:rsidR="00160824" w:rsidRPr="00791593" w:rsidRDefault="00160824" w:rsidP="00160824">
      <w:pPr>
        <w:spacing w:after="0" w:line="240" w:lineRule="auto"/>
        <w:jc w:val="both"/>
        <w:rPr>
          <w:rFonts w:ascii="Arial" w:hAnsi="Arial" w:cs="Arial"/>
        </w:rPr>
      </w:pPr>
    </w:p>
    <w:p w14:paraId="5D603448" w14:textId="77777777" w:rsidR="00160824" w:rsidRPr="00791593" w:rsidRDefault="00160824" w:rsidP="00160824">
      <w:pPr>
        <w:spacing w:after="0" w:line="240" w:lineRule="auto"/>
        <w:jc w:val="both"/>
        <w:rPr>
          <w:rFonts w:ascii="Arial" w:hAnsi="Arial" w:cs="Arial"/>
        </w:rPr>
      </w:pPr>
      <w:r w:rsidRPr="00791593">
        <w:rPr>
          <w:rFonts w:ascii="Arial" w:hAnsi="Arial" w:cs="Arial"/>
        </w:rPr>
        <w:t>La Corte concluyó que los procesos y procedimientos internos no han constituido recursos efectivos para garantizar el acceso a la justicia, la determinación de la verdad de los hechos, la investigación y sanción de los responsables y la reparación de las consecuencias de las violaciones</w:t>
      </w:r>
    </w:p>
    <w:p w14:paraId="4EC2A61E" w14:textId="77777777" w:rsidR="00160824" w:rsidRPr="00791593" w:rsidRDefault="00160824" w:rsidP="00160824">
      <w:pPr>
        <w:spacing w:after="0" w:line="240" w:lineRule="auto"/>
        <w:jc w:val="both"/>
        <w:rPr>
          <w:rFonts w:ascii="Arial" w:hAnsi="Arial" w:cs="Arial"/>
        </w:rPr>
      </w:pPr>
    </w:p>
    <w:p w14:paraId="1C6B9F52" w14:textId="77777777" w:rsidR="00160824" w:rsidRPr="00791593" w:rsidRDefault="00160824" w:rsidP="00160824">
      <w:pPr>
        <w:spacing w:after="0" w:line="240" w:lineRule="auto"/>
        <w:jc w:val="both"/>
        <w:rPr>
          <w:rFonts w:ascii="Arial" w:hAnsi="Arial" w:cs="Arial"/>
          <w:b/>
          <w:bCs/>
        </w:rPr>
      </w:pPr>
      <w:r w:rsidRPr="00791593">
        <w:rPr>
          <w:rFonts w:ascii="Arial" w:hAnsi="Arial" w:cs="Arial"/>
          <w:b/>
          <w:bCs/>
        </w:rPr>
        <w:t>Reparaciones</w:t>
      </w:r>
    </w:p>
    <w:p w14:paraId="67CBDF22" w14:textId="77777777" w:rsidR="00160824" w:rsidRPr="00791593" w:rsidRDefault="00160824" w:rsidP="00160824">
      <w:pPr>
        <w:spacing w:after="0" w:line="240" w:lineRule="auto"/>
        <w:jc w:val="both"/>
        <w:rPr>
          <w:rFonts w:ascii="Arial" w:hAnsi="Arial" w:cs="Arial"/>
        </w:rPr>
      </w:pPr>
      <w:r w:rsidRPr="00791593">
        <w:rPr>
          <w:rFonts w:ascii="Arial" w:hAnsi="Arial" w:cs="Arial"/>
        </w:rPr>
        <w:t>La Corte dispone que:</w:t>
      </w:r>
    </w:p>
    <w:p w14:paraId="133C0D19" w14:textId="77777777" w:rsidR="00160824" w:rsidRPr="00791593" w:rsidRDefault="00160824" w:rsidP="00160824">
      <w:pPr>
        <w:spacing w:after="0" w:line="240" w:lineRule="auto"/>
        <w:jc w:val="both"/>
        <w:rPr>
          <w:rFonts w:ascii="Arial" w:hAnsi="Arial" w:cs="Arial"/>
        </w:rPr>
      </w:pPr>
    </w:p>
    <w:p w14:paraId="01CF2139" w14:textId="0D911D2B" w:rsidR="00160824" w:rsidRPr="00791593" w:rsidRDefault="00160824" w:rsidP="00160824">
      <w:pPr>
        <w:spacing w:after="0" w:line="240" w:lineRule="auto"/>
        <w:jc w:val="both"/>
        <w:rPr>
          <w:rFonts w:ascii="Arial" w:hAnsi="Arial" w:cs="Arial"/>
        </w:rPr>
      </w:pPr>
      <w:r w:rsidRPr="00791593">
        <w:rPr>
          <w:rFonts w:ascii="Arial" w:hAnsi="Arial" w:cs="Arial"/>
        </w:rPr>
        <w:t>1.</w:t>
      </w:r>
      <w:r w:rsidR="00E55338" w:rsidRPr="00791593">
        <w:rPr>
          <w:rFonts w:ascii="Arial" w:hAnsi="Arial" w:cs="Arial"/>
        </w:rPr>
        <w:t xml:space="preserve"> </w:t>
      </w:r>
      <w:r w:rsidRPr="00791593">
        <w:rPr>
          <w:rFonts w:ascii="Arial" w:hAnsi="Arial" w:cs="Arial"/>
        </w:rPr>
        <w:t>Esta Sentencia constituye per se una forma de reparación.</w:t>
      </w:r>
    </w:p>
    <w:p w14:paraId="023A3079" w14:textId="77777777" w:rsidR="00160824" w:rsidRPr="00791593" w:rsidRDefault="00160824" w:rsidP="00160824">
      <w:pPr>
        <w:spacing w:after="0" w:line="240" w:lineRule="auto"/>
        <w:jc w:val="both"/>
        <w:rPr>
          <w:rFonts w:ascii="Arial" w:hAnsi="Arial" w:cs="Arial"/>
        </w:rPr>
      </w:pPr>
    </w:p>
    <w:p w14:paraId="0D623E3F" w14:textId="425ADECB" w:rsidR="00160824" w:rsidRPr="00791593" w:rsidRDefault="00160824" w:rsidP="00160824">
      <w:pPr>
        <w:spacing w:after="0" w:line="240" w:lineRule="auto"/>
        <w:jc w:val="both"/>
        <w:rPr>
          <w:rFonts w:ascii="Arial" w:hAnsi="Arial" w:cs="Arial"/>
        </w:rPr>
      </w:pPr>
      <w:r w:rsidRPr="00791593">
        <w:rPr>
          <w:rFonts w:ascii="Arial" w:hAnsi="Arial" w:cs="Arial"/>
        </w:rPr>
        <w:t>2.</w:t>
      </w:r>
      <w:r w:rsidR="00E55338" w:rsidRPr="00791593">
        <w:rPr>
          <w:rFonts w:ascii="Arial" w:hAnsi="Arial" w:cs="Arial"/>
        </w:rPr>
        <w:t xml:space="preserve"> </w:t>
      </w:r>
      <w:r w:rsidRPr="00791593">
        <w:rPr>
          <w:rFonts w:ascii="Arial" w:hAnsi="Arial" w:cs="Arial"/>
        </w:rPr>
        <w:t>El Estado debe emprender, con plena observación a las garantías judiciales y en un plazo razonable, todas las acciones necesarias para identificar, juzgar y sancionar a todos los autores materiales e intelectuales de las violaciones cometidas en perjuicio del señor Bernabé Baldeón García, en los términos de los párrafos 195 a 203 y 210 de esta Sentencia.</w:t>
      </w:r>
    </w:p>
    <w:p w14:paraId="0CFAA86A" w14:textId="77777777" w:rsidR="00160824" w:rsidRPr="00791593" w:rsidRDefault="00160824" w:rsidP="00160824">
      <w:pPr>
        <w:spacing w:after="0" w:line="240" w:lineRule="auto"/>
        <w:jc w:val="both"/>
        <w:rPr>
          <w:rFonts w:ascii="Arial" w:hAnsi="Arial" w:cs="Arial"/>
        </w:rPr>
      </w:pPr>
    </w:p>
    <w:p w14:paraId="071B98D6" w14:textId="3A050CAA" w:rsidR="00160824" w:rsidRPr="00791593" w:rsidRDefault="00160824" w:rsidP="00160824">
      <w:pPr>
        <w:spacing w:after="0" w:line="240" w:lineRule="auto"/>
        <w:jc w:val="both"/>
        <w:rPr>
          <w:rFonts w:ascii="Arial" w:hAnsi="Arial" w:cs="Arial"/>
        </w:rPr>
      </w:pPr>
      <w:r w:rsidRPr="00791593">
        <w:rPr>
          <w:rFonts w:ascii="Arial" w:hAnsi="Arial" w:cs="Arial"/>
        </w:rPr>
        <w:t>3.</w:t>
      </w:r>
      <w:r w:rsidR="00E55338" w:rsidRPr="00791593">
        <w:rPr>
          <w:rFonts w:ascii="Arial" w:hAnsi="Arial" w:cs="Arial"/>
        </w:rPr>
        <w:t xml:space="preserve"> </w:t>
      </w:r>
      <w:r w:rsidRPr="00791593">
        <w:rPr>
          <w:rFonts w:ascii="Arial" w:hAnsi="Arial" w:cs="Arial"/>
        </w:rPr>
        <w:t>El Estado debe publicar, en el plazo de seis meses, en el Diario Oficial y en otro diario de circulación nacional, por una sola vez, el capítulo relativo a los hechos probados de esta Sentencia, sin las notas al pie de página correspondientes, y la parte resolutiva del presente Fallo, en los términos de los párrafos 194 y 210 del mismo.</w:t>
      </w:r>
    </w:p>
    <w:p w14:paraId="48C2FF1C" w14:textId="77777777" w:rsidR="00160824" w:rsidRPr="00791593" w:rsidRDefault="00160824" w:rsidP="00160824">
      <w:pPr>
        <w:spacing w:after="0" w:line="240" w:lineRule="auto"/>
        <w:jc w:val="both"/>
        <w:rPr>
          <w:rFonts w:ascii="Arial" w:hAnsi="Arial" w:cs="Arial"/>
        </w:rPr>
      </w:pPr>
    </w:p>
    <w:p w14:paraId="7BC1B3BF" w14:textId="40A1B1C6" w:rsidR="00160824" w:rsidRPr="00791593" w:rsidRDefault="00160824" w:rsidP="00160824">
      <w:pPr>
        <w:spacing w:after="0" w:line="240" w:lineRule="auto"/>
        <w:jc w:val="both"/>
        <w:rPr>
          <w:rFonts w:ascii="Arial" w:hAnsi="Arial" w:cs="Arial"/>
        </w:rPr>
      </w:pPr>
      <w:r w:rsidRPr="00791593">
        <w:rPr>
          <w:rFonts w:ascii="Arial" w:hAnsi="Arial" w:cs="Arial"/>
        </w:rPr>
        <w:t>4.</w:t>
      </w:r>
      <w:r w:rsidR="00E55338" w:rsidRPr="00791593">
        <w:rPr>
          <w:rFonts w:ascii="Arial" w:hAnsi="Arial" w:cs="Arial"/>
        </w:rPr>
        <w:t xml:space="preserve"> </w:t>
      </w:r>
      <w:r w:rsidRPr="00791593">
        <w:rPr>
          <w:rFonts w:ascii="Arial" w:hAnsi="Arial" w:cs="Arial"/>
        </w:rPr>
        <w:t>El Estado debe realizar, en el plazo de seis meses, contado a partir de la notificación de la presente Sentencia, un acto de disculpa pública y reconocimiento de responsabilidad internacional, en relación con las violaciones declaradas en la misma, en presencia de las más altas autoridades del Estado, en los términos de los párrafos 204 y 210 de la presente Sentencia.</w:t>
      </w:r>
    </w:p>
    <w:p w14:paraId="5119A790" w14:textId="77777777" w:rsidR="00160824" w:rsidRPr="00791593" w:rsidRDefault="00160824" w:rsidP="00160824">
      <w:pPr>
        <w:spacing w:after="0" w:line="240" w:lineRule="auto"/>
        <w:jc w:val="both"/>
        <w:rPr>
          <w:rFonts w:ascii="Arial" w:hAnsi="Arial" w:cs="Arial"/>
        </w:rPr>
      </w:pPr>
    </w:p>
    <w:p w14:paraId="603E1ED8" w14:textId="767D26ED" w:rsidR="00160824" w:rsidRPr="00791593" w:rsidRDefault="00160824" w:rsidP="00160824">
      <w:pPr>
        <w:spacing w:after="0" w:line="240" w:lineRule="auto"/>
        <w:jc w:val="both"/>
        <w:rPr>
          <w:rFonts w:ascii="Arial" w:hAnsi="Arial" w:cs="Arial"/>
        </w:rPr>
      </w:pPr>
      <w:r w:rsidRPr="00791593">
        <w:rPr>
          <w:rFonts w:ascii="Arial" w:hAnsi="Arial" w:cs="Arial"/>
        </w:rPr>
        <w:t>5.</w:t>
      </w:r>
      <w:r w:rsidR="00E55338" w:rsidRPr="00791593">
        <w:rPr>
          <w:rFonts w:ascii="Arial" w:hAnsi="Arial" w:cs="Arial"/>
        </w:rPr>
        <w:t xml:space="preserve"> </w:t>
      </w:r>
      <w:r w:rsidRPr="00791593">
        <w:rPr>
          <w:rFonts w:ascii="Arial" w:hAnsi="Arial" w:cs="Arial"/>
        </w:rPr>
        <w:t>El Estado debe designar, en el plazo de un año, contado a partir de la notificación de la presente Sentencia, una calle, plaza o escuela en memoria del señor Bernabé Baldeón García, en los términos de los párrafos 205 y 210 de esta Sentencia.</w:t>
      </w:r>
    </w:p>
    <w:p w14:paraId="4A323503" w14:textId="77777777" w:rsidR="00160824" w:rsidRPr="00791593" w:rsidRDefault="00160824" w:rsidP="00160824">
      <w:pPr>
        <w:spacing w:after="0" w:line="240" w:lineRule="auto"/>
        <w:jc w:val="both"/>
        <w:rPr>
          <w:rFonts w:ascii="Arial" w:hAnsi="Arial" w:cs="Arial"/>
        </w:rPr>
      </w:pPr>
    </w:p>
    <w:p w14:paraId="03288730" w14:textId="686EC498" w:rsidR="00160824" w:rsidRPr="00791593" w:rsidRDefault="00160824" w:rsidP="00160824">
      <w:pPr>
        <w:spacing w:after="0" w:line="240" w:lineRule="auto"/>
        <w:jc w:val="both"/>
        <w:rPr>
          <w:rFonts w:ascii="Arial" w:hAnsi="Arial" w:cs="Arial"/>
        </w:rPr>
      </w:pPr>
      <w:r w:rsidRPr="00791593">
        <w:rPr>
          <w:rFonts w:ascii="Arial" w:hAnsi="Arial" w:cs="Arial"/>
        </w:rPr>
        <w:t>6.</w:t>
      </w:r>
      <w:r w:rsidR="007B0BFE" w:rsidRPr="00791593">
        <w:rPr>
          <w:rFonts w:ascii="Arial" w:hAnsi="Arial" w:cs="Arial"/>
        </w:rPr>
        <w:t xml:space="preserve"> </w:t>
      </w:r>
      <w:r w:rsidRPr="00791593">
        <w:rPr>
          <w:rFonts w:ascii="Arial" w:hAnsi="Arial" w:cs="Arial"/>
        </w:rPr>
        <w:t>El Estado debe proveer tratamiento médico, psicológico y psiquiátrico, según sea el caso, a los señores Guadalupe Yllconza Ramírez de Baldeón; Crispín, Roberto, Segundina, Miguelita, Perseveranda, Vicente, Sabina y Fidela, todos ellos de apellido Baldeón Yllaconza, si así lo requieren, y por el tiempo que sea necesario, en los términos de los párrafos 207 y 210 de esta Sentencia.</w:t>
      </w:r>
    </w:p>
    <w:p w14:paraId="44D700C6" w14:textId="77777777" w:rsidR="00160824" w:rsidRPr="00791593" w:rsidRDefault="00160824" w:rsidP="00160824">
      <w:pPr>
        <w:spacing w:after="0" w:line="240" w:lineRule="auto"/>
        <w:jc w:val="both"/>
        <w:rPr>
          <w:rFonts w:ascii="Arial" w:hAnsi="Arial" w:cs="Arial"/>
        </w:rPr>
      </w:pPr>
    </w:p>
    <w:p w14:paraId="07457896" w14:textId="45D40C9E" w:rsidR="00160824" w:rsidRPr="00791593" w:rsidRDefault="00160824" w:rsidP="00160824">
      <w:pPr>
        <w:spacing w:after="0" w:line="240" w:lineRule="auto"/>
        <w:jc w:val="both"/>
        <w:rPr>
          <w:rFonts w:ascii="Arial" w:hAnsi="Arial" w:cs="Arial"/>
        </w:rPr>
      </w:pPr>
      <w:r w:rsidRPr="00791593">
        <w:rPr>
          <w:rFonts w:ascii="Arial" w:hAnsi="Arial" w:cs="Arial"/>
        </w:rPr>
        <w:t>7.</w:t>
      </w:r>
      <w:r w:rsidR="007B0BFE" w:rsidRPr="00791593">
        <w:rPr>
          <w:rFonts w:ascii="Arial" w:hAnsi="Arial" w:cs="Arial"/>
        </w:rPr>
        <w:t xml:space="preserve"> </w:t>
      </w:r>
      <w:r w:rsidRPr="00791593">
        <w:rPr>
          <w:rFonts w:ascii="Arial" w:hAnsi="Arial" w:cs="Arial"/>
        </w:rPr>
        <w:t>El Estado debe pagar a los señores Guadalupe Yllconza Ramírez de Baldeón; Crispín, Roberto, Segundina, Miguelita, Perseveranda, Vicente, Sabina y Fidela, todos ellos de apellido Baldeón Yllaconza, en el plazo de un año, por concepto de la indemnización por daño material, las cantidades fijadas en los párrafos 185 y 187 de la presente Sentencia, en los términos de los párrafos 185, 187, 210, 211 y 213 a 216 de la misma.</w:t>
      </w:r>
    </w:p>
    <w:p w14:paraId="0F2FD602" w14:textId="77777777" w:rsidR="00160824" w:rsidRPr="00791593" w:rsidRDefault="00160824" w:rsidP="00160824">
      <w:pPr>
        <w:spacing w:after="0" w:line="240" w:lineRule="auto"/>
        <w:jc w:val="both"/>
        <w:rPr>
          <w:rFonts w:ascii="Arial" w:hAnsi="Arial" w:cs="Arial"/>
        </w:rPr>
      </w:pPr>
    </w:p>
    <w:p w14:paraId="3931B117" w14:textId="614D3FC0" w:rsidR="00160824" w:rsidRPr="00791593" w:rsidRDefault="00160824" w:rsidP="00160824">
      <w:pPr>
        <w:spacing w:after="0" w:line="240" w:lineRule="auto"/>
        <w:jc w:val="both"/>
        <w:rPr>
          <w:rFonts w:ascii="Arial" w:hAnsi="Arial" w:cs="Arial"/>
        </w:rPr>
      </w:pPr>
      <w:r w:rsidRPr="00791593">
        <w:rPr>
          <w:rFonts w:ascii="Arial" w:hAnsi="Arial" w:cs="Arial"/>
        </w:rPr>
        <w:t>8.</w:t>
      </w:r>
      <w:r w:rsidR="00BF4BB6" w:rsidRPr="00791593">
        <w:rPr>
          <w:rFonts w:ascii="Arial" w:hAnsi="Arial" w:cs="Arial"/>
        </w:rPr>
        <w:t xml:space="preserve"> G</w:t>
      </w:r>
      <w:r w:rsidRPr="00791593">
        <w:rPr>
          <w:rFonts w:ascii="Arial" w:hAnsi="Arial" w:cs="Arial"/>
        </w:rPr>
        <w:t>El Estado debe pagar a los señores Guadalupe Yllconza Ramírez de Baldeón; Crispín, Roberto, Segundina, Miguelita, Perseveranda, Vicente, Sabina y Fidela, todos ellos de apellido Baldeón Yllaconza,, en el plazo de un año, por concepto de la indemnización por daño inmaterial, la cantidad fijada en el párrafo 191 de la presente Sentencia, en los términos de los párrafos 191, 192, 210, 211 y 213 a 216 de la misma.</w:t>
      </w:r>
    </w:p>
    <w:p w14:paraId="42639932" w14:textId="77777777" w:rsidR="00160824" w:rsidRPr="00791593" w:rsidRDefault="00160824" w:rsidP="00160824">
      <w:pPr>
        <w:spacing w:after="0" w:line="240" w:lineRule="auto"/>
        <w:jc w:val="both"/>
        <w:rPr>
          <w:rFonts w:ascii="Arial" w:hAnsi="Arial" w:cs="Arial"/>
        </w:rPr>
      </w:pPr>
    </w:p>
    <w:p w14:paraId="01F8E4D7" w14:textId="19A03782" w:rsidR="00160824" w:rsidRPr="00791593" w:rsidRDefault="00160824" w:rsidP="00160824">
      <w:pPr>
        <w:spacing w:after="0" w:line="240" w:lineRule="auto"/>
        <w:jc w:val="both"/>
        <w:rPr>
          <w:rFonts w:ascii="Arial" w:hAnsi="Arial" w:cs="Arial"/>
        </w:rPr>
      </w:pPr>
      <w:r w:rsidRPr="00791593">
        <w:rPr>
          <w:rFonts w:ascii="Arial" w:hAnsi="Arial" w:cs="Arial"/>
        </w:rPr>
        <w:t>9.</w:t>
      </w:r>
      <w:r w:rsidR="00BF4BB6" w:rsidRPr="00791593">
        <w:rPr>
          <w:rFonts w:ascii="Arial" w:hAnsi="Arial" w:cs="Arial"/>
        </w:rPr>
        <w:t xml:space="preserve"> </w:t>
      </w:r>
      <w:r w:rsidRPr="00791593">
        <w:rPr>
          <w:rFonts w:ascii="Arial" w:hAnsi="Arial" w:cs="Arial"/>
        </w:rPr>
        <w:t>El Estado debe pagar, en el plazo de un año, por concepto de las costas y gastos generados en el ámbito interno y en el proceso internacional ante el sistema interamericano de protección de los derechos humanos, la cantidad fijada en el párrafo 209 de la presente Sentencia, la cual deberá ser entregada al señor Crispín Baldeón Yllaconza, en los términos de los párrafos 209, 210 y 212 a 216 de la misma.</w:t>
      </w:r>
    </w:p>
    <w:p w14:paraId="446FBF22" w14:textId="77777777" w:rsidR="00160824" w:rsidRPr="00791593" w:rsidRDefault="00160824" w:rsidP="00160824">
      <w:pPr>
        <w:spacing w:after="0" w:line="240" w:lineRule="auto"/>
        <w:jc w:val="both"/>
        <w:rPr>
          <w:rFonts w:ascii="Arial" w:hAnsi="Arial" w:cs="Arial"/>
        </w:rPr>
      </w:pPr>
    </w:p>
    <w:p w14:paraId="0E044995" w14:textId="77777777" w:rsidR="00160824" w:rsidRPr="00791593" w:rsidRDefault="00160824" w:rsidP="00160824">
      <w:pPr>
        <w:spacing w:after="0" w:line="240" w:lineRule="auto"/>
        <w:jc w:val="both"/>
        <w:rPr>
          <w:rFonts w:ascii="Arial" w:hAnsi="Arial" w:cs="Arial"/>
        </w:rPr>
      </w:pPr>
      <w:r w:rsidRPr="00791593">
        <w:rPr>
          <w:rFonts w:ascii="Arial" w:hAnsi="Arial" w:cs="Arial"/>
        </w:rPr>
        <w:t>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55879585" w14:textId="77777777" w:rsidR="00160824" w:rsidRPr="00791593" w:rsidRDefault="00160824" w:rsidP="00160824">
      <w:pPr>
        <w:spacing w:after="0" w:line="240" w:lineRule="auto"/>
        <w:jc w:val="both"/>
        <w:rPr>
          <w:rFonts w:ascii="Arial" w:hAnsi="Arial" w:cs="Arial"/>
        </w:rPr>
      </w:pPr>
    </w:p>
    <w:p w14:paraId="4D7FF897" w14:textId="77777777" w:rsidR="00160824" w:rsidRPr="00791593" w:rsidRDefault="00160824" w:rsidP="00160824">
      <w:pPr>
        <w:spacing w:after="0" w:line="240" w:lineRule="auto"/>
        <w:jc w:val="both"/>
        <w:rPr>
          <w:rFonts w:ascii="Arial" w:hAnsi="Arial" w:cs="Arial"/>
        </w:rPr>
      </w:pPr>
    </w:p>
    <w:p w14:paraId="41709A90" w14:textId="77777777" w:rsidR="00160824" w:rsidRPr="00791593" w:rsidRDefault="00160824" w:rsidP="00160824">
      <w:pPr>
        <w:spacing w:after="0" w:line="240" w:lineRule="auto"/>
        <w:jc w:val="both"/>
        <w:rPr>
          <w:rFonts w:ascii="Arial" w:hAnsi="Arial" w:cs="Arial"/>
          <w:b/>
          <w:bCs/>
        </w:rPr>
      </w:pPr>
      <w:r w:rsidRPr="00791593">
        <w:rPr>
          <w:rFonts w:ascii="Arial" w:hAnsi="Arial" w:cs="Arial"/>
          <w:b/>
          <w:bCs/>
        </w:rPr>
        <w:t>Resolutivos</w:t>
      </w:r>
    </w:p>
    <w:p w14:paraId="17E65AC2" w14:textId="77777777" w:rsidR="00160824" w:rsidRPr="00791593" w:rsidRDefault="00160824" w:rsidP="00160824">
      <w:pPr>
        <w:spacing w:after="0" w:line="240" w:lineRule="auto"/>
        <w:jc w:val="both"/>
        <w:rPr>
          <w:rFonts w:ascii="Arial" w:hAnsi="Arial" w:cs="Arial"/>
        </w:rPr>
      </w:pPr>
      <w:r w:rsidRPr="00791593">
        <w:rPr>
          <w:rFonts w:ascii="Arial" w:hAnsi="Arial" w:cs="Arial"/>
        </w:rPr>
        <w:t>La Corte declara por unanimidad, que:</w:t>
      </w:r>
    </w:p>
    <w:p w14:paraId="7B349326" w14:textId="77777777" w:rsidR="00160824" w:rsidRPr="00791593" w:rsidRDefault="00160824" w:rsidP="00160824">
      <w:pPr>
        <w:spacing w:after="0" w:line="240" w:lineRule="auto"/>
        <w:jc w:val="both"/>
        <w:rPr>
          <w:rFonts w:ascii="Arial" w:hAnsi="Arial" w:cs="Arial"/>
        </w:rPr>
      </w:pPr>
    </w:p>
    <w:p w14:paraId="2AFE0E5E" w14:textId="2CC233AF" w:rsidR="00160824" w:rsidRPr="00791593" w:rsidRDefault="00160824" w:rsidP="00160824">
      <w:pPr>
        <w:spacing w:after="0" w:line="240" w:lineRule="auto"/>
        <w:jc w:val="both"/>
        <w:rPr>
          <w:rFonts w:ascii="Arial" w:hAnsi="Arial" w:cs="Arial"/>
        </w:rPr>
      </w:pPr>
      <w:r w:rsidRPr="00791593">
        <w:rPr>
          <w:rFonts w:ascii="Arial" w:hAnsi="Arial" w:cs="Arial"/>
        </w:rPr>
        <w:t>1.</w:t>
      </w:r>
      <w:r w:rsidR="00BF4BB6" w:rsidRPr="00791593">
        <w:rPr>
          <w:rFonts w:ascii="Arial" w:hAnsi="Arial" w:cs="Arial"/>
        </w:rPr>
        <w:t xml:space="preserve"> </w:t>
      </w:r>
      <w:r w:rsidRPr="00791593">
        <w:rPr>
          <w:rFonts w:ascii="Arial" w:hAnsi="Arial" w:cs="Arial"/>
        </w:rPr>
        <w:t>El Estado violó, en perjuicio del señor Bernabé Baldeón García, el derecho a la vida, consagrado en el artículo 4.1 (Derecho a la Vida) de la Convención, en relación con la obligación general de respetar y garantizar los derechos establecida en el artículo 1.1 de dicho tratado, en los términos de los párrafos 80 a 105 de esta Sentencia.</w:t>
      </w:r>
    </w:p>
    <w:p w14:paraId="6F7A05D6" w14:textId="77777777" w:rsidR="00160824" w:rsidRPr="00791593" w:rsidRDefault="00160824" w:rsidP="00160824">
      <w:pPr>
        <w:spacing w:after="0" w:line="240" w:lineRule="auto"/>
        <w:jc w:val="both"/>
        <w:rPr>
          <w:rFonts w:ascii="Arial" w:hAnsi="Arial" w:cs="Arial"/>
        </w:rPr>
      </w:pPr>
    </w:p>
    <w:p w14:paraId="373ECCD7" w14:textId="58B91EF2" w:rsidR="00160824" w:rsidRPr="00791593" w:rsidRDefault="00160824" w:rsidP="00160824">
      <w:pPr>
        <w:spacing w:after="0" w:line="240" w:lineRule="auto"/>
        <w:jc w:val="both"/>
        <w:rPr>
          <w:rFonts w:ascii="Arial" w:hAnsi="Arial" w:cs="Arial"/>
        </w:rPr>
      </w:pPr>
      <w:r w:rsidRPr="00791593">
        <w:rPr>
          <w:rFonts w:ascii="Arial" w:hAnsi="Arial" w:cs="Arial"/>
        </w:rPr>
        <w:t>2.</w:t>
      </w:r>
      <w:r w:rsidR="00BF4BB6" w:rsidRPr="00791593">
        <w:rPr>
          <w:rFonts w:ascii="Arial" w:hAnsi="Arial" w:cs="Arial"/>
        </w:rPr>
        <w:t xml:space="preserve"> </w:t>
      </w:r>
      <w:r w:rsidRPr="00791593">
        <w:rPr>
          <w:rFonts w:ascii="Arial" w:hAnsi="Arial" w:cs="Arial"/>
        </w:rPr>
        <w:t>El Estado violó, en perjuicio del señor Bernabé Baldeón García, el derecho a la integridad personal, consagrado en el artículo 5.2 (Derecho a la Integridad Personal) de la Convención, en relación con la obligación general de respetar y garantizar los derechos establecida en el artículo 1.1 de dicho tratado, en los términos de los párrafos 117 a 126 de la presente Sentencia.</w:t>
      </w:r>
    </w:p>
    <w:p w14:paraId="7F4535BC" w14:textId="77777777" w:rsidR="00160824" w:rsidRPr="00791593" w:rsidRDefault="00160824" w:rsidP="00160824">
      <w:pPr>
        <w:spacing w:after="0" w:line="240" w:lineRule="auto"/>
        <w:jc w:val="both"/>
        <w:rPr>
          <w:rFonts w:ascii="Arial" w:hAnsi="Arial" w:cs="Arial"/>
        </w:rPr>
      </w:pPr>
    </w:p>
    <w:p w14:paraId="1D2B6123" w14:textId="4B0CC177" w:rsidR="00160824" w:rsidRPr="00791593" w:rsidRDefault="00160824" w:rsidP="00160824">
      <w:pPr>
        <w:spacing w:after="0" w:line="240" w:lineRule="auto"/>
        <w:jc w:val="both"/>
        <w:rPr>
          <w:rFonts w:ascii="Arial" w:hAnsi="Arial" w:cs="Arial"/>
        </w:rPr>
      </w:pPr>
      <w:r w:rsidRPr="00791593">
        <w:rPr>
          <w:rFonts w:ascii="Arial" w:hAnsi="Arial" w:cs="Arial"/>
        </w:rPr>
        <w:t>3.</w:t>
      </w:r>
      <w:r w:rsidR="00BF4BB6" w:rsidRPr="00791593">
        <w:rPr>
          <w:rFonts w:ascii="Arial" w:hAnsi="Arial" w:cs="Arial"/>
        </w:rPr>
        <w:t xml:space="preserve"> </w:t>
      </w:r>
      <w:r w:rsidRPr="00791593">
        <w:rPr>
          <w:rFonts w:ascii="Arial" w:hAnsi="Arial" w:cs="Arial"/>
        </w:rPr>
        <w:t>El Estado violó, en perjuicio de los señores Guadalupe Yllaconza Ramírez de Baldeón, Crispín, Fidela, Roberto, Segundina, Miguelita, Perseveranda, Vicente y Sabina, todos de apellido Baldeón Yllaconza, el derecho a la integridad personal consagrado en el artículo 5.1 (Derecho a la Integridad Personal) de la Convención Americana, en relación con el artículo 1.1. de la misma, en los términos de los párrafos 127 a 130 de esta Sentencia.</w:t>
      </w:r>
    </w:p>
    <w:p w14:paraId="4366C0C1" w14:textId="77777777" w:rsidR="00BF4BB6" w:rsidRPr="00791593" w:rsidRDefault="00BF4BB6" w:rsidP="00160824">
      <w:pPr>
        <w:spacing w:after="0" w:line="240" w:lineRule="auto"/>
        <w:jc w:val="both"/>
        <w:rPr>
          <w:rFonts w:ascii="Arial" w:hAnsi="Arial" w:cs="Arial"/>
        </w:rPr>
      </w:pPr>
    </w:p>
    <w:p w14:paraId="243A4EAA" w14:textId="748A1652" w:rsidR="00160824" w:rsidRPr="00791593" w:rsidRDefault="00160824" w:rsidP="00160824">
      <w:pPr>
        <w:spacing w:after="0" w:line="240" w:lineRule="auto"/>
        <w:jc w:val="both"/>
        <w:rPr>
          <w:rFonts w:ascii="Arial" w:hAnsi="Arial" w:cs="Arial"/>
        </w:rPr>
      </w:pPr>
      <w:r w:rsidRPr="00791593">
        <w:rPr>
          <w:rFonts w:ascii="Arial" w:hAnsi="Arial" w:cs="Arial"/>
        </w:rPr>
        <w:t>4.</w:t>
      </w:r>
      <w:r w:rsidR="00BF4BB6" w:rsidRPr="00791593">
        <w:rPr>
          <w:rFonts w:ascii="Arial" w:hAnsi="Arial" w:cs="Arial"/>
        </w:rPr>
        <w:t xml:space="preserve"> </w:t>
      </w:r>
      <w:r w:rsidRPr="00791593">
        <w:rPr>
          <w:rFonts w:ascii="Arial" w:hAnsi="Arial" w:cs="Arial"/>
        </w:rPr>
        <w:t xml:space="preserve">El Estado violó, en perjuicio de los señores Guadalupe Yllaconza, Crispín, Fidela, Roberto, Segundina, Miguelita, Perseveranda, Vicente y Sabina, todos de apellido Baldeón Yllaconza, los derechos a las garantías judiciales y a la protección judicial, consagrados en </w:t>
      </w:r>
      <w:r w:rsidRPr="00791593">
        <w:rPr>
          <w:rFonts w:ascii="Arial" w:hAnsi="Arial" w:cs="Arial"/>
        </w:rPr>
        <w:lastRenderedPageBreak/>
        <w:t>los artículos 8.1 y 25 de la Convención, en relación con el artículo 1.1 de la misma, de conformidad con los párrafos 139 a 169 de la presente Sentencia.</w:t>
      </w:r>
    </w:p>
    <w:p w14:paraId="6BE88627" w14:textId="77777777" w:rsidR="00160824" w:rsidRPr="00791593" w:rsidRDefault="00160824" w:rsidP="00160824">
      <w:pPr>
        <w:spacing w:after="0" w:line="240" w:lineRule="auto"/>
        <w:jc w:val="both"/>
        <w:rPr>
          <w:rFonts w:ascii="Arial" w:hAnsi="Arial" w:cs="Arial"/>
        </w:rPr>
      </w:pPr>
    </w:p>
    <w:p w14:paraId="526F816D" w14:textId="102F750B" w:rsidR="00160824" w:rsidRPr="00791593" w:rsidRDefault="00160824" w:rsidP="00160824">
      <w:pPr>
        <w:spacing w:after="0" w:line="240" w:lineRule="auto"/>
        <w:jc w:val="both"/>
        <w:rPr>
          <w:rFonts w:ascii="Arial" w:hAnsi="Arial" w:cs="Arial"/>
        </w:rPr>
      </w:pPr>
      <w:r w:rsidRPr="00791593">
        <w:rPr>
          <w:rFonts w:ascii="Arial" w:hAnsi="Arial" w:cs="Arial"/>
        </w:rPr>
        <w:t>5.</w:t>
      </w:r>
      <w:r w:rsidR="00BF4BB6" w:rsidRPr="00791593">
        <w:rPr>
          <w:rFonts w:ascii="Arial" w:hAnsi="Arial" w:cs="Arial"/>
        </w:rPr>
        <w:t xml:space="preserve"> </w:t>
      </w:r>
      <w:r w:rsidRPr="00791593">
        <w:rPr>
          <w:rFonts w:ascii="Arial" w:hAnsi="Arial" w:cs="Arial"/>
        </w:rPr>
        <w:t>El Estado incumplió con la obligación de investigar y sancionar la tortura establecida en los artículos 1, 6 y 8 de la Convención Interamericana para Prevenir y Sancionar la Tortura a partir del 28 de abril de 1993, en los términos de los párrafos 156 a 162 de esta Sentencia.</w:t>
      </w:r>
    </w:p>
    <w:p w14:paraId="1AC504CC" w14:textId="77777777" w:rsidR="00160824" w:rsidRPr="00791593" w:rsidRDefault="00160824" w:rsidP="00160824">
      <w:pPr>
        <w:spacing w:after="0" w:line="240" w:lineRule="auto"/>
        <w:jc w:val="both"/>
        <w:rPr>
          <w:rFonts w:ascii="Arial" w:hAnsi="Arial" w:cs="Arial"/>
        </w:rPr>
      </w:pPr>
    </w:p>
    <w:p w14:paraId="7C015D6E" w14:textId="5B6A399F" w:rsidR="007700FE" w:rsidRPr="00791593" w:rsidRDefault="007700FE" w:rsidP="007700FE">
      <w:pPr>
        <w:rPr>
          <w:rFonts w:ascii="Arial" w:hAnsi="Arial" w:cs="Arial"/>
        </w:rPr>
      </w:pPr>
    </w:p>
    <w:p w14:paraId="153181EC" w14:textId="77777777" w:rsidR="007700FE" w:rsidRPr="00791593" w:rsidRDefault="007700FE" w:rsidP="007700FE">
      <w:pPr>
        <w:rPr>
          <w:rFonts w:ascii="Arial" w:hAnsi="Arial" w:cs="Arial"/>
        </w:rPr>
      </w:pPr>
    </w:p>
    <w:p w14:paraId="2FED52BB" w14:textId="7D3D22DD" w:rsidR="00180F6B" w:rsidRPr="00791593" w:rsidRDefault="00180F6B" w:rsidP="006640CA">
      <w:pPr>
        <w:pStyle w:val="Ttulo4"/>
        <w:rPr>
          <w:rFonts w:ascii="Arial" w:hAnsi="Arial" w:cs="Arial"/>
          <w:b/>
          <w:bCs/>
          <w:i w:val="0"/>
          <w:iCs w:val="0"/>
          <w:color w:val="C00000"/>
          <w:sz w:val="24"/>
          <w:szCs w:val="24"/>
          <w:shd w:val="clear" w:color="auto" w:fill="FFFFFF"/>
        </w:rPr>
      </w:pPr>
      <w:r w:rsidRPr="00791593">
        <w:rPr>
          <w:rFonts w:ascii="Arial" w:hAnsi="Arial" w:cs="Arial"/>
          <w:b/>
          <w:bCs/>
          <w:i w:val="0"/>
          <w:iCs w:val="0"/>
          <w:color w:val="C00000"/>
          <w:sz w:val="24"/>
          <w:szCs w:val="24"/>
          <w:shd w:val="clear" w:color="auto" w:fill="FFFFFF"/>
        </w:rPr>
        <w:t>CASO 4</w:t>
      </w:r>
      <w:r w:rsidR="00C71861" w:rsidRPr="00791593">
        <w:rPr>
          <w:rFonts w:ascii="Arial" w:hAnsi="Arial" w:cs="Arial"/>
          <w:b/>
          <w:bCs/>
          <w:i w:val="0"/>
          <w:iCs w:val="0"/>
          <w:color w:val="C00000"/>
          <w:sz w:val="24"/>
          <w:szCs w:val="24"/>
          <w:shd w:val="clear" w:color="auto" w:fill="FFFFFF"/>
        </w:rPr>
        <w:t>: CASO SAWHOYAMAXA VS PARAGUAY</w:t>
      </w:r>
    </w:p>
    <w:p w14:paraId="16229478" w14:textId="47A689D9" w:rsidR="007700FE" w:rsidRPr="00791593" w:rsidRDefault="007700FE" w:rsidP="007700FE">
      <w:pPr>
        <w:rPr>
          <w:rFonts w:ascii="Arial" w:hAnsi="Arial" w:cs="Arial"/>
        </w:rPr>
      </w:pPr>
    </w:p>
    <w:p w14:paraId="319113F6" w14:textId="77777777" w:rsidR="007700FE" w:rsidRPr="00791593" w:rsidRDefault="007700FE" w:rsidP="00C71861">
      <w:pPr>
        <w:spacing w:after="0" w:line="240" w:lineRule="auto"/>
        <w:jc w:val="both"/>
        <w:rPr>
          <w:rFonts w:ascii="Arial" w:hAnsi="Arial" w:cs="Arial"/>
          <w:b/>
          <w:bCs/>
          <w:color w:val="000000"/>
          <w:shd w:val="clear" w:color="auto" w:fill="FFFFFF"/>
        </w:rPr>
      </w:pPr>
      <w:r w:rsidRPr="00791593">
        <w:rPr>
          <w:rFonts w:ascii="Arial" w:hAnsi="Arial" w:cs="Arial"/>
          <w:b/>
          <w:bCs/>
          <w:color w:val="000000"/>
          <w:shd w:val="clear" w:color="auto" w:fill="FFFFFF"/>
        </w:rPr>
        <w:t>Órgano CoIDH.</w:t>
      </w:r>
    </w:p>
    <w:p w14:paraId="5B0323E5" w14:textId="2284EEC5" w:rsidR="007700FE" w:rsidRPr="00791593" w:rsidRDefault="007700FE" w:rsidP="00C71861">
      <w:pPr>
        <w:spacing w:after="0" w:line="240" w:lineRule="auto"/>
        <w:jc w:val="both"/>
        <w:rPr>
          <w:rFonts w:ascii="Arial" w:hAnsi="Arial" w:cs="Arial"/>
          <w:b/>
          <w:bCs/>
        </w:rPr>
      </w:pPr>
    </w:p>
    <w:p w14:paraId="548C2112" w14:textId="72054EC2" w:rsidR="00C71861" w:rsidRPr="00791593" w:rsidRDefault="00C71861" w:rsidP="00C71861">
      <w:pPr>
        <w:spacing w:after="0" w:line="240" w:lineRule="auto"/>
        <w:jc w:val="both"/>
        <w:rPr>
          <w:rFonts w:ascii="Arial" w:hAnsi="Arial" w:cs="Arial"/>
          <w:b/>
          <w:bCs/>
        </w:rPr>
      </w:pPr>
      <w:r w:rsidRPr="00791593">
        <w:rPr>
          <w:rFonts w:ascii="Arial" w:hAnsi="Arial" w:cs="Arial"/>
          <w:b/>
          <w:bCs/>
        </w:rPr>
        <w:t>Corte Interamericana de Derechos Humanos</w:t>
      </w:r>
    </w:p>
    <w:p w14:paraId="1EDD8B07" w14:textId="77777777" w:rsidR="00C71861" w:rsidRPr="00791593" w:rsidRDefault="00C71861" w:rsidP="00C71861">
      <w:pPr>
        <w:spacing w:after="0" w:line="240" w:lineRule="auto"/>
        <w:jc w:val="both"/>
        <w:rPr>
          <w:rFonts w:ascii="Arial" w:hAnsi="Arial" w:cs="Arial"/>
          <w:b/>
          <w:bCs/>
          <w:color w:val="C00000"/>
        </w:rPr>
      </w:pPr>
      <w:r w:rsidRPr="00791593">
        <w:rPr>
          <w:rFonts w:ascii="Arial" w:hAnsi="Arial" w:cs="Arial"/>
          <w:b/>
          <w:bCs/>
          <w:color w:val="C00000"/>
        </w:rPr>
        <w:t>Caso Comunidad Indígena Sawhoyamaxa vs. Paraguay</w:t>
      </w:r>
    </w:p>
    <w:p w14:paraId="342B5D11" w14:textId="77777777" w:rsidR="00C71861" w:rsidRPr="00791593" w:rsidRDefault="00C71861" w:rsidP="00C71861">
      <w:pPr>
        <w:spacing w:after="0" w:line="240" w:lineRule="auto"/>
        <w:jc w:val="both"/>
        <w:rPr>
          <w:rFonts w:ascii="Arial" w:hAnsi="Arial" w:cs="Arial"/>
          <w:b/>
          <w:bCs/>
        </w:rPr>
      </w:pPr>
      <w:r w:rsidRPr="00791593">
        <w:rPr>
          <w:rFonts w:ascii="Arial" w:hAnsi="Arial" w:cs="Arial"/>
          <w:b/>
          <w:bCs/>
        </w:rPr>
        <w:t>Resuelto el 29 de marzo de 2006</w:t>
      </w:r>
    </w:p>
    <w:p w14:paraId="7E9E20A0" w14:textId="77777777" w:rsidR="00C71861" w:rsidRPr="00791593" w:rsidRDefault="00C71861" w:rsidP="00C71861">
      <w:pPr>
        <w:spacing w:after="0" w:line="240" w:lineRule="auto"/>
        <w:jc w:val="both"/>
        <w:rPr>
          <w:rFonts w:ascii="Arial" w:hAnsi="Arial" w:cs="Arial"/>
        </w:rPr>
      </w:pPr>
    </w:p>
    <w:p w14:paraId="7BEA0027" w14:textId="77777777" w:rsidR="00C71861" w:rsidRPr="00791593" w:rsidRDefault="00C71861" w:rsidP="00C71861">
      <w:pPr>
        <w:spacing w:after="0" w:line="240" w:lineRule="auto"/>
        <w:jc w:val="both"/>
        <w:rPr>
          <w:rFonts w:ascii="Arial" w:hAnsi="Arial" w:cs="Arial"/>
          <w:b/>
          <w:bCs/>
        </w:rPr>
      </w:pPr>
    </w:p>
    <w:p w14:paraId="5B14DF7D" w14:textId="77777777" w:rsidR="00C71861" w:rsidRPr="00791593" w:rsidRDefault="00C71861" w:rsidP="00C71861">
      <w:pPr>
        <w:spacing w:after="0" w:line="240" w:lineRule="auto"/>
        <w:jc w:val="both"/>
        <w:rPr>
          <w:rFonts w:ascii="Arial" w:hAnsi="Arial" w:cs="Arial"/>
          <w:b/>
          <w:bCs/>
        </w:rPr>
      </w:pPr>
      <w:r w:rsidRPr="00791593">
        <w:rPr>
          <w:rFonts w:ascii="Arial" w:hAnsi="Arial" w:cs="Arial"/>
          <w:b/>
          <w:bCs/>
        </w:rPr>
        <w:t>Temática</w:t>
      </w:r>
    </w:p>
    <w:p w14:paraId="4ACE9A0C" w14:textId="58331533" w:rsidR="00C71861" w:rsidRPr="00791593" w:rsidRDefault="00C71861" w:rsidP="00C71861">
      <w:pPr>
        <w:spacing w:after="0" w:line="240" w:lineRule="auto"/>
        <w:jc w:val="both"/>
        <w:rPr>
          <w:rFonts w:ascii="Arial" w:hAnsi="Arial" w:cs="Arial"/>
        </w:rPr>
      </w:pPr>
      <w:r w:rsidRPr="00791593">
        <w:rPr>
          <w:rFonts w:ascii="Arial" w:hAnsi="Arial" w:cs="Arial"/>
        </w:rPr>
        <w:t>•Pueblos indígenas</w:t>
      </w:r>
    </w:p>
    <w:p w14:paraId="72F89DD1" w14:textId="3AC1200B" w:rsidR="00C71861" w:rsidRPr="00791593" w:rsidRDefault="00C71861" w:rsidP="00C71861">
      <w:pPr>
        <w:spacing w:after="0" w:line="240" w:lineRule="auto"/>
        <w:jc w:val="both"/>
        <w:rPr>
          <w:rFonts w:ascii="Arial" w:hAnsi="Arial" w:cs="Arial"/>
        </w:rPr>
      </w:pPr>
      <w:r w:rsidRPr="00791593">
        <w:rPr>
          <w:rFonts w:ascii="Arial" w:hAnsi="Arial" w:cs="Arial"/>
        </w:rPr>
        <w:t>•Derechos de los niños y las niñas</w:t>
      </w:r>
    </w:p>
    <w:p w14:paraId="46CB4480" w14:textId="1DF709A9" w:rsidR="00C71861" w:rsidRPr="00791593" w:rsidRDefault="00C71861" w:rsidP="00C71861">
      <w:pPr>
        <w:spacing w:after="0" w:line="240" w:lineRule="auto"/>
        <w:jc w:val="both"/>
        <w:rPr>
          <w:rFonts w:ascii="Arial" w:hAnsi="Arial" w:cs="Arial"/>
        </w:rPr>
      </w:pPr>
      <w:r w:rsidRPr="00791593">
        <w:rPr>
          <w:rFonts w:ascii="Arial" w:hAnsi="Arial" w:cs="Arial"/>
        </w:rPr>
        <w:t>•Derecho a la vida</w:t>
      </w:r>
    </w:p>
    <w:p w14:paraId="7F0FB9CA" w14:textId="293A4CB2" w:rsidR="00C71861" w:rsidRPr="00791593" w:rsidRDefault="00C71861" w:rsidP="00C71861">
      <w:pPr>
        <w:spacing w:after="0" w:line="240" w:lineRule="auto"/>
        <w:jc w:val="both"/>
        <w:rPr>
          <w:rFonts w:ascii="Arial" w:hAnsi="Arial" w:cs="Arial"/>
        </w:rPr>
      </w:pPr>
      <w:r w:rsidRPr="00791593">
        <w:rPr>
          <w:rFonts w:ascii="Arial" w:hAnsi="Arial" w:cs="Arial"/>
        </w:rPr>
        <w:t>•Propiedad privada</w:t>
      </w:r>
    </w:p>
    <w:p w14:paraId="19576BAD" w14:textId="77777777" w:rsidR="00C71861" w:rsidRPr="00791593" w:rsidRDefault="00C71861" w:rsidP="00C71861">
      <w:pPr>
        <w:spacing w:after="0" w:line="240" w:lineRule="auto"/>
        <w:jc w:val="both"/>
        <w:rPr>
          <w:rFonts w:ascii="Arial" w:hAnsi="Arial" w:cs="Arial"/>
        </w:rPr>
      </w:pPr>
    </w:p>
    <w:p w14:paraId="49CA97E6" w14:textId="77777777" w:rsidR="00C71861" w:rsidRPr="00791593" w:rsidRDefault="00C71861" w:rsidP="00C71861">
      <w:pPr>
        <w:spacing w:after="0" w:line="240" w:lineRule="auto"/>
        <w:jc w:val="both"/>
        <w:rPr>
          <w:rFonts w:ascii="Arial" w:hAnsi="Arial" w:cs="Arial"/>
          <w:b/>
          <w:bCs/>
        </w:rPr>
      </w:pPr>
    </w:p>
    <w:p w14:paraId="7C323A67" w14:textId="50AB612F" w:rsidR="00C71861" w:rsidRPr="00791593" w:rsidRDefault="00C71861" w:rsidP="00C71861">
      <w:pPr>
        <w:spacing w:after="0" w:line="240" w:lineRule="auto"/>
        <w:jc w:val="both"/>
        <w:rPr>
          <w:rFonts w:ascii="Arial" w:hAnsi="Arial" w:cs="Arial"/>
          <w:b/>
          <w:bCs/>
        </w:rPr>
      </w:pPr>
      <w:r w:rsidRPr="00791593">
        <w:rPr>
          <w:rFonts w:ascii="Arial" w:hAnsi="Arial" w:cs="Arial"/>
          <w:b/>
          <w:bCs/>
        </w:rPr>
        <w:t>Caso concreto</w:t>
      </w:r>
    </w:p>
    <w:p w14:paraId="59BC39E4" w14:textId="77777777" w:rsidR="00C71861" w:rsidRPr="00791593" w:rsidRDefault="00C71861" w:rsidP="00C71861">
      <w:pPr>
        <w:spacing w:after="0" w:line="240" w:lineRule="auto"/>
        <w:jc w:val="both"/>
        <w:rPr>
          <w:rFonts w:ascii="Arial" w:hAnsi="Arial" w:cs="Arial"/>
        </w:rPr>
      </w:pPr>
    </w:p>
    <w:p w14:paraId="2DF7782E" w14:textId="77777777" w:rsidR="00C71861" w:rsidRPr="00791593" w:rsidRDefault="00C71861" w:rsidP="00C71861">
      <w:pPr>
        <w:spacing w:after="0" w:line="240" w:lineRule="auto"/>
        <w:jc w:val="both"/>
        <w:rPr>
          <w:rFonts w:ascii="Arial" w:hAnsi="Arial" w:cs="Arial"/>
        </w:rPr>
      </w:pPr>
      <w:r w:rsidRPr="00791593">
        <w:rPr>
          <w:rFonts w:ascii="Arial" w:hAnsi="Arial" w:cs="Arial"/>
        </w:rPr>
        <w:t>El caso se refiere a la responsabilidad internacional del Estado por no haber garantizado el derecho de propiedad ancestral de la Comunidad Sawhoyamaxa, lo cual generó numerosas afectaciones a sus miembros.</w:t>
      </w:r>
    </w:p>
    <w:p w14:paraId="09CA52CF" w14:textId="77777777" w:rsidR="00C71861" w:rsidRPr="00791593" w:rsidRDefault="00C71861" w:rsidP="00C71861">
      <w:pPr>
        <w:spacing w:after="0" w:line="240" w:lineRule="auto"/>
        <w:jc w:val="both"/>
        <w:rPr>
          <w:rFonts w:ascii="Arial" w:hAnsi="Arial" w:cs="Arial"/>
        </w:rPr>
      </w:pPr>
    </w:p>
    <w:p w14:paraId="31D7775D" w14:textId="77777777" w:rsidR="00C71861" w:rsidRPr="00791593" w:rsidRDefault="00C71861" w:rsidP="00C71861">
      <w:pPr>
        <w:spacing w:after="0" w:line="240" w:lineRule="auto"/>
        <w:jc w:val="both"/>
        <w:rPr>
          <w:rFonts w:ascii="Arial" w:hAnsi="Arial" w:cs="Arial"/>
          <w:b/>
          <w:bCs/>
        </w:rPr>
      </w:pPr>
    </w:p>
    <w:p w14:paraId="320AEC0D" w14:textId="2505B64C" w:rsidR="00C71861" w:rsidRPr="00791593" w:rsidRDefault="00C71861" w:rsidP="00C71861">
      <w:pPr>
        <w:spacing w:after="0" w:line="240" w:lineRule="auto"/>
        <w:jc w:val="both"/>
        <w:rPr>
          <w:rFonts w:ascii="Arial" w:hAnsi="Arial" w:cs="Arial"/>
          <w:b/>
          <w:bCs/>
        </w:rPr>
      </w:pPr>
      <w:r w:rsidRPr="00791593">
        <w:rPr>
          <w:rFonts w:ascii="Arial" w:hAnsi="Arial" w:cs="Arial"/>
          <w:b/>
          <w:bCs/>
        </w:rPr>
        <w:t>Hechos</w:t>
      </w:r>
    </w:p>
    <w:p w14:paraId="672F4C9C" w14:textId="77777777" w:rsidR="00C71861" w:rsidRPr="00791593" w:rsidRDefault="00C71861" w:rsidP="00C71861">
      <w:pPr>
        <w:spacing w:after="0" w:line="240" w:lineRule="auto"/>
        <w:jc w:val="both"/>
        <w:rPr>
          <w:rFonts w:ascii="Arial" w:hAnsi="Arial" w:cs="Arial"/>
          <w:b/>
          <w:bCs/>
        </w:rPr>
      </w:pPr>
    </w:p>
    <w:p w14:paraId="680E6A37" w14:textId="7FDE5AD0" w:rsidR="00C71861" w:rsidRPr="00791593" w:rsidRDefault="00C71861" w:rsidP="00C71861">
      <w:pPr>
        <w:spacing w:after="0" w:line="240" w:lineRule="auto"/>
        <w:jc w:val="both"/>
        <w:rPr>
          <w:rFonts w:ascii="Arial" w:hAnsi="Arial" w:cs="Arial"/>
        </w:rPr>
      </w:pPr>
      <w:r w:rsidRPr="00791593">
        <w:rPr>
          <w:rFonts w:ascii="Arial" w:hAnsi="Arial" w:cs="Arial"/>
        </w:rPr>
        <w:t>1. A finales del siglo XIX grandes extensiones de tierra del Chaco paraguayo fueron adquiridas a través de la bolsa de valores de Londres por empresarios británicos, como consecuencia de la deuda del Paraguay tras la llamada guerra de la Triple Alianza. La división y venta de estos territorios fue realizada con desconocimiento de la población que los habitaba, que en ese entonces era exclusivamente indígena.</w:t>
      </w:r>
    </w:p>
    <w:p w14:paraId="0C0DA25D" w14:textId="77777777" w:rsidR="00C71861" w:rsidRPr="00791593" w:rsidRDefault="00C71861" w:rsidP="00C71861">
      <w:pPr>
        <w:spacing w:after="0" w:line="240" w:lineRule="auto"/>
        <w:jc w:val="both"/>
        <w:rPr>
          <w:rFonts w:ascii="Arial" w:hAnsi="Arial" w:cs="Arial"/>
        </w:rPr>
      </w:pPr>
    </w:p>
    <w:p w14:paraId="021A9039" w14:textId="51BA891E" w:rsidR="00C71861" w:rsidRPr="00791593" w:rsidRDefault="00C71861" w:rsidP="00C71861">
      <w:pPr>
        <w:spacing w:after="0" w:line="240" w:lineRule="auto"/>
        <w:jc w:val="both"/>
        <w:rPr>
          <w:rFonts w:ascii="Arial" w:hAnsi="Arial" w:cs="Arial"/>
        </w:rPr>
      </w:pPr>
      <w:r w:rsidRPr="00791593">
        <w:rPr>
          <w:rFonts w:ascii="Arial" w:hAnsi="Arial" w:cs="Arial"/>
        </w:rPr>
        <w:t>2. Al iniciar el proceso de reivindicación de tierras en el año 1991, la Comunidad Sawhoyamaxa agrupaba a los habitantes de varias aldeas indígenas dispersas en diferentes estancias ganaderas de la región chaqueña, al oeste del río Paraguay, siendo las aldeas más numerosas Masama Apxagkok (estancia Loma Porá) y Elwátétkok (estancia Maroma).</w:t>
      </w:r>
    </w:p>
    <w:p w14:paraId="501B844B" w14:textId="77777777" w:rsidR="00C71861" w:rsidRPr="00791593" w:rsidRDefault="00C71861" w:rsidP="00C71861">
      <w:pPr>
        <w:spacing w:after="0" w:line="240" w:lineRule="auto"/>
        <w:jc w:val="both"/>
        <w:rPr>
          <w:rFonts w:ascii="Arial" w:hAnsi="Arial" w:cs="Arial"/>
        </w:rPr>
      </w:pPr>
    </w:p>
    <w:p w14:paraId="4AAF03D2" w14:textId="28181AC1" w:rsidR="00C71861" w:rsidRPr="00791593" w:rsidRDefault="00C71861" w:rsidP="00C71861">
      <w:pPr>
        <w:spacing w:after="0" w:line="240" w:lineRule="auto"/>
        <w:jc w:val="both"/>
        <w:rPr>
          <w:rFonts w:ascii="Arial" w:hAnsi="Arial" w:cs="Arial"/>
        </w:rPr>
      </w:pPr>
      <w:r w:rsidRPr="00791593">
        <w:rPr>
          <w:rFonts w:ascii="Arial" w:hAnsi="Arial" w:cs="Arial"/>
        </w:rPr>
        <w:t xml:space="preserve">3. El 6 de agosto de 1991 "miembros de la Comunidad indígena de Maroma, Loma Porá, Ledesma, Naranjito, Diana, Santa Elisa Gray, Santo Domingo y Kilómetro 16 pertenecientes a la Etnia Enxet (Lengua), asentadas en el Distrito Pozo Colorado del Departamento </w:t>
      </w:r>
      <w:r w:rsidRPr="00791593">
        <w:rPr>
          <w:rFonts w:ascii="Arial" w:hAnsi="Arial" w:cs="Arial"/>
        </w:rPr>
        <w:lastRenderedPageBreak/>
        <w:t>Presidente Hayes", solicitaron al INDI el reconocimiento de sus líderes Carlos Marecos Aponte y Teresio González, de conformidad con el artículo 12 de la Ley No. 904/81, que establece el Estatuto de Comunidades Indígenas (en adelante "Ley No. 904/81").</w:t>
      </w:r>
    </w:p>
    <w:p w14:paraId="37326036" w14:textId="77777777" w:rsidR="00C71861" w:rsidRPr="00791593" w:rsidRDefault="00C71861" w:rsidP="00C71861">
      <w:pPr>
        <w:spacing w:after="0" w:line="240" w:lineRule="auto"/>
        <w:jc w:val="both"/>
        <w:rPr>
          <w:rFonts w:ascii="Arial" w:hAnsi="Arial" w:cs="Arial"/>
        </w:rPr>
      </w:pPr>
    </w:p>
    <w:p w14:paraId="22A1D80D" w14:textId="55A421D9" w:rsidR="00C71861" w:rsidRPr="00791593" w:rsidRDefault="00C71861" w:rsidP="00C71861">
      <w:pPr>
        <w:spacing w:after="0" w:line="240" w:lineRule="auto"/>
        <w:jc w:val="both"/>
        <w:rPr>
          <w:rFonts w:ascii="Arial" w:hAnsi="Arial" w:cs="Arial"/>
        </w:rPr>
      </w:pPr>
      <w:r w:rsidRPr="00791593">
        <w:rPr>
          <w:rFonts w:ascii="Arial" w:hAnsi="Arial" w:cs="Arial"/>
        </w:rPr>
        <w:t>4. El 6 de octubre de 1997 la Asesoría Jurídica del Ministerio de Educación y Culto estimó, en su dictamen No. 1140, que "nada obsta a que la Comunidad Indígena obtenga por los conductos pertinentes, el reconocimiento de la personalidad jurídica, teniendo en cuenta que reúne los requisitos exigidos para el efecto". Consecuentemente, el 21 de julio de 1998 el Presidente del Paraguay emitió el decreto No. 22008, mediante el cual reconoció la personalidad jurídica de la Comunidad indígena Sawhoyamaxa.</w:t>
      </w:r>
    </w:p>
    <w:p w14:paraId="35EA3BCC" w14:textId="77777777" w:rsidR="00C71861" w:rsidRPr="00791593" w:rsidRDefault="00C71861" w:rsidP="00C71861">
      <w:pPr>
        <w:spacing w:after="0" w:line="240" w:lineRule="auto"/>
        <w:jc w:val="both"/>
        <w:rPr>
          <w:rFonts w:ascii="Arial" w:hAnsi="Arial" w:cs="Arial"/>
        </w:rPr>
      </w:pPr>
    </w:p>
    <w:p w14:paraId="7604C91D" w14:textId="403542A1" w:rsidR="00C71861" w:rsidRPr="00791593" w:rsidRDefault="00C71861" w:rsidP="00C71861">
      <w:pPr>
        <w:spacing w:after="0" w:line="240" w:lineRule="auto"/>
        <w:jc w:val="both"/>
        <w:rPr>
          <w:rFonts w:ascii="Arial" w:hAnsi="Arial" w:cs="Arial"/>
        </w:rPr>
      </w:pPr>
      <w:r w:rsidRPr="00791593">
        <w:rPr>
          <w:rFonts w:ascii="Arial" w:hAnsi="Arial" w:cs="Arial"/>
        </w:rPr>
        <w:t>5. El 11 de mayo de 2003 falleció en un supuesto accidente de tránsito el señor Teresio González, uno de los líderes de la Comunidad.</w:t>
      </w:r>
    </w:p>
    <w:p w14:paraId="30A44CBB" w14:textId="77777777" w:rsidR="00C71861" w:rsidRPr="00791593" w:rsidRDefault="00C71861" w:rsidP="00C71861">
      <w:pPr>
        <w:spacing w:after="0" w:line="240" w:lineRule="auto"/>
        <w:jc w:val="both"/>
        <w:rPr>
          <w:rFonts w:ascii="Arial" w:hAnsi="Arial" w:cs="Arial"/>
        </w:rPr>
      </w:pPr>
    </w:p>
    <w:p w14:paraId="2A206AB1" w14:textId="6F7F5D0E" w:rsidR="00C71861" w:rsidRPr="00791593" w:rsidRDefault="00C71861" w:rsidP="00C71861">
      <w:pPr>
        <w:spacing w:after="0" w:line="240" w:lineRule="auto"/>
        <w:jc w:val="both"/>
        <w:rPr>
          <w:rFonts w:ascii="Arial" w:hAnsi="Arial" w:cs="Arial"/>
        </w:rPr>
      </w:pPr>
      <w:r w:rsidRPr="00791593">
        <w:rPr>
          <w:rFonts w:ascii="Arial" w:hAnsi="Arial" w:cs="Arial"/>
        </w:rPr>
        <w:t>6. La Comunidad Sawhoyamaxa presentó una serie de recursos judiciales con el objetivo de reivindicar sus tierras, sin que se tuviera mayor éxito. Como consecuencia de las presiones recibidas por los propietarios de las fincas al enterarse de las reclamaciones de tierra propia, los miembros de la Comunidad Sawhoyamaxa vivían en situación de pobreza extrema, caracterizada por los bajos niveles de salud y atención médica, explotación laboral y restricciones de poseer cultivos y ganado propio y de practicar libremente actividades tradicionales de subsistencia. La mayoría de los miembros de la Comunidad Sawhoyamaxa decidieron salir de dichas estancias por lo que vivían al borde de una carretera nacional en condiciones de pobreza extrema, sin ningún tipo de servicios.</w:t>
      </w:r>
    </w:p>
    <w:p w14:paraId="38A9CA17" w14:textId="0421CC0A" w:rsidR="00C71861" w:rsidRPr="00791593" w:rsidRDefault="00C71861" w:rsidP="00C71861">
      <w:pPr>
        <w:spacing w:after="0" w:line="240" w:lineRule="auto"/>
        <w:jc w:val="both"/>
        <w:rPr>
          <w:rFonts w:ascii="Arial" w:hAnsi="Arial" w:cs="Arial"/>
          <w:b/>
          <w:bCs/>
        </w:rPr>
      </w:pPr>
    </w:p>
    <w:p w14:paraId="1F9D491E" w14:textId="77777777" w:rsidR="00C71861" w:rsidRPr="00791593" w:rsidRDefault="00C71861" w:rsidP="00C71861">
      <w:pPr>
        <w:spacing w:after="0" w:line="240" w:lineRule="auto"/>
        <w:jc w:val="both"/>
        <w:rPr>
          <w:rFonts w:ascii="Arial" w:hAnsi="Arial" w:cs="Arial"/>
          <w:b/>
          <w:bCs/>
        </w:rPr>
      </w:pPr>
    </w:p>
    <w:p w14:paraId="64BA9A43" w14:textId="700AC130" w:rsidR="00C71861" w:rsidRPr="00791593" w:rsidRDefault="00C71861" w:rsidP="00C71861">
      <w:pPr>
        <w:spacing w:after="0" w:line="240" w:lineRule="auto"/>
        <w:jc w:val="both"/>
        <w:rPr>
          <w:rFonts w:ascii="Arial" w:hAnsi="Arial" w:cs="Arial"/>
          <w:b/>
          <w:bCs/>
        </w:rPr>
      </w:pPr>
      <w:r w:rsidRPr="00791593">
        <w:rPr>
          <w:rFonts w:ascii="Arial" w:hAnsi="Arial" w:cs="Arial"/>
          <w:b/>
          <w:bCs/>
        </w:rPr>
        <w:t>Consideraciones de la CoIDH</w:t>
      </w:r>
    </w:p>
    <w:p w14:paraId="67A23E9A" w14:textId="77777777" w:rsidR="00C71861" w:rsidRPr="00791593" w:rsidRDefault="00C71861" w:rsidP="00C71861">
      <w:pPr>
        <w:spacing w:after="0" w:line="240" w:lineRule="auto"/>
        <w:jc w:val="both"/>
        <w:rPr>
          <w:rFonts w:ascii="Arial" w:hAnsi="Arial" w:cs="Arial"/>
          <w:b/>
          <w:bCs/>
        </w:rPr>
      </w:pPr>
    </w:p>
    <w:p w14:paraId="65BCE83C" w14:textId="77777777" w:rsidR="00C71861" w:rsidRPr="00791593" w:rsidRDefault="00C71861" w:rsidP="00C71861">
      <w:pPr>
        <w:spacing w:after="0" w:line="240" w:lineRule="auto"/>
        <w:jc w:val="both"/>
        <w:rPr>
          <w:rFonts w:ascii="Arial" w:hAnsi="Arial" w:cs="Arial"/>
        </w:rPr>
      </w:pPr>
      <w:r w:rsidRPr="00791593">
        <w:rPr>
          <w:rFonts w:ascii="Arial" w:hAnsi="Arial" w:cs="Arial"/>
        </w:rPr>
        <w:t>La Corte consideró que el procedimiento administrativo bajo análisis presentó al menos tres falencias. La primera radicó en la remisión que la ley interna hace al Estatuto Agrario, el cual tomó como punto de partida la explotación racional o no de las tierras reclamadas, sin entrar a considerar aspectos propios de los pueblos indígenas, como la significación especial que las tierras tienen para éstos. Basta que se compruebe que las tierras están explotadas racionalmente, para que el IBR se vea impedido de restituirlas a las comunidades indígenas; en segundo lugar, el INDI únicamente está facultado para realizar negociaciones de compra de las tierras o de reasentamiento de los miembros de las comunidades indígenas y finalmente las autoridades administrativas paraguayas no realizaron suficientes estudios técnicos.</w:t>
      </w:r>
    </w:p>
    <w:p w14:paraId="1B263538" w14:textId="77777777" w:rsidR="00C71861" w:rsidRPr="00791593" w:rsidRDefault="00C71861" w:rsidP="00C71861">
      <w:pPr>
        <w:spacing w:after="0" w:line="240" w:lineRule="auto"/>
        <w:jc w:val="both"/>
        <w:rPr>
          <w:rFonts w:ascii="Arial" w:hAnsi="Arial" w:cs="Arial"/>
        </w:rPr>
      </w:pPr>
    </w:p>
    <w:p w14:paraId="23D45CA5" w14:textId="77777777" w:rsidR="00C71861" w:rsidRPr="00791593" w:rsidRDefault="00C71861" w:rsidP="00C71861">
      <w:pPr>
        <w:spacing w:after="0" w:line="240" w:lineRule="auto"/>
        <w:jc w:val="both"/>
        <w:rPr>
          <w:rFonts w:ascii="Arial" w:hAnsi="Arial" w:cs="Arial"/>
        </w:rPr>
      </w:pPr>
      <w:r w:rsidRPr="00791593">
        <w:rPr>
          <w:rFonts w:ascii="Arial" w:hAnsi="Arial" w:cs="Arial"/>
        </w:rPr>
        <w:t>La Corte notó que la principal forma que el Estado tenía para trasladar a los miembros de la Comunidad fuera del costado de la ruta era entregarles sus tierras tradicionales.</w:t>
      </w:r>
    </w:p>
    <w:p w14:paraId="24F2DB5E" w14:textId="77777777" w:rsidR="00C71861" w:rsidRPr="00791593" w:rsidRDefault="00C71861" w:rsidP="00C71861">
      <w:pPr>
        <w:spacing w:after="0" w:line="240" w:lineRule="auto"/>
        <w:jc w:val="both"/>
        <w:rPr>
          <w:rFonts w:ascii="Arial" w:hAnsi="Arial" w:cs="Arial"/>
        </w:rPr>
      </w:pPr>
    </w:p>
    <w:p w14:paraId="13D66C2F" w14:textId="56489700" w:rsidR="00C71861" w:rsidRPr="00791593" w:rsidRDefault="00C71861" w:rsidP="00C71861">
      <w:pPr>
        <w:spacing w:after="0" w:line="240" w:lineRule="auto"/>
        <w:jc w:val="both"/>
        <w:rPr>
          <w:rFonts w:ascii="Arial" w:hAnsi="Arial" w:cs="Arial"/>
        </w:rPr>
      </w:pPr>
      <w:r w:rsidRPr="00791593">
        <w:rPr>
          <w:rFonts w:ascii="Arial" w:hAnsi="Arial" w:cs="Arial"/>
        </w:rPr>
        <w:t>La Corte tuvo por demostrado que 18 de los 19 miembros de la Comunidad Sawhoyamaxa que fallecieron como consecuencia del incumplimiento por parte del Estado de su deber de prevención de su derecho a la vida, no contaron con registros de su nacimiento y defunción, ni con algún otro documento proveído por el Estado capaz de demostrar su existencia e identidad.</w:t>
      </w:r>
    </w:p>
    <w:p w14:paraId="39D5BAE9" w14:textId="77777777" w:rsidR="00C71861" w:rsidRPr="00791593" w:rsidRDefault="00C71861" w:rsidP="00C71861">
      <w:pPr>
        <w:spacing w:after="0" w:line="240" w:lineRule="auto"/>
        <w:jc w:val="both"/>
        <w:rPr>
          <w:rFonts w:ascii="Arial" w:hAnsi="Arial" w:cs="Arial"/>
        </w:rPr>
      </w:pPr>
    </w:p>
    <w:p w14:paraId="2401020B" w14:textId="77777777" w:rsidR="00C71861" w:rsidRPr="00791593" w:rsidRDefault="00C71861" w:rsidP="00C71861">
      <w:pPr>
        <w:spacing w:after="0" w:line="240" w:lineRule="auto"/>
        <w:jc w:val="both"/>
        <w:rPr>
          <w:rFonts w:ascii="Arial" w:hAnsi="Arial" w:cs="Arial"/>
        </w:rPr>
      </w:pPr>
    </w:p>
    <w:p w14:paraId="55B837F6" w14:textId="77777777" w:rsidR="00C71861" w:rsidRPr="00791593" w:rsidRDefault="00C71861" w:rsidP="00C71861">
      <w:pPr>
        <w:spacing w:after="0" w:line="240" w:lineRule="auto"/>
        <w:jc w:val="both"/>
        <w:rPr>
          <w:rFonts w:ascii="Arial" w:hAnsi="Arial" w:cs="Arial"/>
          <w:b/>
          <w:bCs/>
        </w:rPr>
      </w:pPr>
      <w:r w:rsidRPr="00791593">
        <w:rPr>
          <w:rFonts w:ascii="Arial" w:hAnsi="Arial" w:cs="Arial"/>
          <w:b/>
          <w:bCs/>
        </w:rPr>
        <w:t>Reparaciones</w:t>
      </w:r>
    </w:p>
    <w:p w14:paraId="1747BBA6" w14:textId="77777777" w:rsidR="00C71861" w:rsidRPr="00791593" w:rsidRDefault="00C71861" w:rsidP="00C71861">
      <w:pPr>
        <w:spacing w:after="0" w:line="240" w:lineRule="auto"/>
        <w:jc w:val="both"/>
        <w:rPr>
          <w:rFonts w:ascii="Arial" w:hAnsi="Arial" w:cs="Arial"/>
        </w:rPr>
      </w:pPr>
      <w:r w:rsidRPr="00791593">
        <w:rPr>
          <w:rFonts w:ascii="Arial" w:hAnsi="Arial" w:cs="Arial"/>
        </w:rPr>
        <w:t>La Corte dispone que:</w:t>
      </w:r>
    </w:p>
    <w:p w14:paraId="35F69CA2" w14:textId="77777777" w:rsidR="00C71861" w:rsidRPr="00791593" w:rsidRDefault="00C71861" w:rsidP="00C71861">
      <w:pPr>
        <w:spacing w:after="0" w:line="240" w:lineRule="auto"/>
        <w:jc w:val="both"/>
        <w:rPr>
          <w:rFonts w:ascii="Arial" w:hAnsi="Arial" w:cs="Arial"/>
        </w:rPr>
      </w:pPr>
    </w:p>
    <w:p w14:paraId="50E3B7B6" w14:textId="08D2C5D4" w:rsidR="00C71861" w:rsidRPr="00791593" w:rsidRDefault="00C71861" w:rsidP="00C71861">
      <w:pPr>
        <w:spacing w:after="0" w:line="240" w:lineRule="auto"/>
        <w:jc w:val="both"/>
        <w:rPr>
          <w:rFonts w:ascii="Arial" w:hAnsi="Arial" w:cs="Arial"/>
        </w:rPr>
      </w:pPr>
      <w:r w:rsidRPr="00791593">
        <w:rPr>
          <w:rFonts w:ascii="Arial" w:hAnsi="Arial" w:cs="Arial"/>
        </w:rPr>
        <w:lastRenderedPageBreak/>
        <w:t>1. Esta Sentencia constituye per se una forma de reparación.</w:t>
      </w:r>
    </w:p>
    <w:p w14:paraId="4B0B982F" w14:textId="77777777" w:rsidR="00C71861" w:rsidRPr="00791593" w:rsidRDefault="00C71861" w:rsidP="00C71861">
      <w:pPr>
        <w:spacing w:after="0" w:line="240" w:lineRule="auto"/>
        <w:jc w:val="both"/>
        <w:rPr>
          <w:rFonts w:ascii="Arial" w:hAnsi="Arial" w:cs="Arial"/>
        </w:rPr>
      </w:pPr>
    </w:p>
    <w:p w14:paraId="16DA1F77" w14:textId="7A7D8B94" w:rsidR="00C71861" w:rsidRPr="00791593" w:rsidRDefault="00C71861" w:rsidP="00C71861">
      <w:pPr>
        <w:spacing w:after="0" w:line="240" w:lineRule="auto"/>
        <w:jc w:val="both"/>
        <w:rPr>
          <w:rFonts w:ascii="Arial" w:hAnsi="Arial" w:cs="Arial"/>
        </w:rPr>
      </w:pPr>
      <w:r w:rsidRPr="00791593">
        <w:rPr>
          <w:rFonts w:ascii="Arial" w:hAnsi="Arial" w:cs="Arial"/>
        </w:rPr>
        <w:t>2.</w:t>
      </w:r>
      <w:r w:rsidR="00BB5894" w:rsidRPr="00791593">
        <w:rPr>
          <w:rFonts w:ascii="Arial" w:hAnsi="Arial" w:cs="Arial"/>
        </w:rPr>
        <w:t xml:space="preserve"> </w:t>
      </w:r>
      <w:r w:rsidRPr="00791593">
        <w:rPr>
          <w:rFonts w:ascii="Arial" w:hAnsi="Arial" w:cs="Arial"/>
        </w:rPr>
        <w:t>El Estado debe adoptar todas las medidas legislativas, administrativas y de cualquier otra índole necesarias para, en el plazo máximo de tres años, entregar física y formalmente a los miembros de la Comunidad Sawhoyamaxa sus tierras tradicionales, en los términos de la presente Sentencia.</w:t>
      </w:r>
    </w:p>
    <w:p w14:paraId="48F5CA48" w14:textId="77777777" w:rsidR="00C71861" w:rsidRPr="00791593" w:rsidRDefault="00C71861" w:rsidP="00C71861">
      <w:pPr>
        <w:spacing w:after="0" w:line="240" w:lineRule="auto"/>
        <w:jc w:val="both"/>
        <w:rPr>
          <w:rFonts w:ascii="Arial" w:hAnsi="Arial" w:cs="Arial"/>
        </w:rPr>
      </w:pPr>
    </w:p>
    <w:p w14:paraId="185E12E3" w14:textId="50ACD017" w:rsidR="00C71861" w:rsidRPr="00791593" w:rsidRDefault="00C71861" w:rsidP="00C71861">
      <w:pPr>
        <w:spacing w:after="0" w:line="240" w:lineRule="auto"/>
        <w:jc w:val="both"/>
        <w:rPr>
          <w:rFonts w:ascii="Arial" w:hAnsi="Arial" w:cs="Arial"/>
        </w:rPr>
      </w:pPr>
      <w:r w:rsidRPr="00791593">
        <w:rPr>
          <w:rFonts w:ascii="Arial" w:hAnsi="Arial" w:cs="Arial"/>
        </w:rPr>
        <w:t>3.</w:t>
      </w:r>
      <w:r w:rsidR="00BB5894" w:rsidRPr="00791593">
        <w:rPr>
          <w:rFonts w:ascii="Arial" w:hAnsi="Arial" w:cs="Arial"/>
        </w:rPr>
        <w:t xml:space="preserve"> </w:t>
      </w:r>
      <w:r w:rsidRPr="00791593">
        <w:rPr>
          <w:rFonts w:ascii="Arial" w:hAnsi="Arial" w:cs="Arial"/>
        </w:rPr>
        <w:t>El Estado deberá implementar un fondo de desarrollo comunitario, en los términos de la presente Sentencia.</w:t>
      </w:r>
    </w:p>
    <w:p w14:paraId="6C074310" w14:textId="77777777" w:rsidR="00C71861" w:rsidRPr="00791593" w:rsidRDefault="00C71861" w:rsidP="00C71861">
      <w:pPr>
        <w:spacing w:after="0" w:line="240" w:lineRule="auto"/>
        <w:jc w:val="both"/>
        <w:rPr>
          <w:rFonts w:ascii="Arial" w:hAnsi="Arial" w:cs="Arial"/>
        </w:rPr>
      </w:pPr>
    </w:p>
    <w:p w14:paraId="6DA4AA48" w14:textId="129FF73C" w:rsidR="00C71861" w:rsidRPr="00791593" w:rsidRDefault="00C71861" w:rsidP="00C71861">
      <w:pPr>
        <w:spacing w:after="0" w:line="240" w:lineRule="auto"/>
        <w:jc w:val="both"/>
        <w:rPr>
          <w:rFonts w:ascii="Arial" w:hAnsi="Arial" w:cs="Arial"/>
        </w:rPr>
      </w:pPr>
      <w:r w:rsidRPr="00791593">
        <w:rPr>
          <w:rFonts w:ascii="Arial" w:hAnsi="Arial" w:cs="Arial"/>
        </w:rPr>
        <w:t>4.</w:t>
      </w:r>
      <w:r w:rsidR="00BB5894" w:rsidRPr="00791593">
        <w:rPr>
          <w:rFonts w:ascii="Arial" w:hAnsi="Arial" w:cs="Arial"/>
        </w:rPr>
        <w:t xml:space="preserve"> </w:t>
      </w:r>
      <w:r w:rsidRPr="00791593">
        <w:rPr>
          <w:rFonts w:ascii="Arial" w:hAnsi="Arial" w:cs="Arial"/>
        </w:rPr>
        <w:t>El Estado deberá efectuar el pago por concepto de daño inmaterial y costas y gastos dentro del plazo de un año, contado a partir de la notificación del presente fallo, en los términos de esta Sentencia.</w:t>
      </w:r>
    </w:p>
    <w:p w14:paraId="61257488" w14:textId="77777777" w:rsidR="00C71861" w:rsidRPr="00791593" w:rsidRDefault="00C71861" w:rsidP="00C71861">
      <w:pPr>
        <w:spacing w:after="0" w:line="240" w:lineRule="auto"/>
        <w:jc w:val="both"/>
        <w:rPr>
          <w:rFonts w:ascii="Arial" w:hAnsi="Arial" w:cs="Arial"/>
        </w:rPr>
      </w:pPr>
    </w:p>
    <w:p w14:paraId="74F4604B" w14:textId="2F34E872" w:rsidR="00C71861" w:rsidRPr="00791593" w:rsidRDefault="00C71861" w:rsidP="00C71861">
      <w:pPr>
        <w:spacing w:after="0" w:line="240" w:lineRule="auto"/>
        <w:jc w:val="both"/>
        <w:rPr>
          <w:rFonts w:ascii="Arial" w:hAnsi="Arial" w:cs="Arial"/>
        </w:rPr>
      </w:pPr>
      <w:r w:rsidRPr="00791593">
        <w:rPr>
          <w:rFonts w:ascii="Arial" w:hAnsi="Arial" w:cs="Arial"/>
        </w:rPr>
        <w:t>5.</w:t>
      </w:r>
      <w:r w:rsidR="00BB5894" w:rsidRPr="00791593">
        <w:rPr>
          <w:rFonts w:ascii="Arial" w:hAnsi="Arial" w:cs="Arial"/>
        </w:rPr>
        <w:t xml:space="preserve"> </w:t>
      </w:r>
      <w:r w:rsidRPr="00791593">
        <w:rPr>
          <w:rFonts w:ascii="Arial" w:hAnsi="Arial" w:cs="Arial"/>
        </w:rPr>
        <w:t xml:space="preserve">Mientras los miembros de la Comunidad indígena Sawhoyamaxa se encuentren sin tierras, el Estado deberá suministrarles los bienes y servicios básicos necesarios para su subsistencia, en los términos de la presente Sentencia. </w:t>
      </w:r>
    </w:p>
    <w:p w14:paraId="5E1F03BF" w14:textId="77777777" w:rsidR="00C71861" w:rsidRPr="00791593" w:rsidRDefault="00C71861" w:rsidP="00C71861">
      <w:pPr>
        <w:spacing w:after="0" w:line="240" w:lineRule="auto"/>
        <w:jc w:val="both"/>
        <w:rPr>
          <w:rFonts w:ascii="Arial" w:hAnsi="Arial" w:cs="Arial"/>
        </w:rPr>
      </w:pPr>
    </w:p>
    <w:p w14:paraId="66DFA2CE" w14:textId="19A7FF50" w:rsidR="00C71861" w:rsidRPr="00791593" w:rsidRDefault="00C71861" w:rsidP="00C71861">
      <w:pPr>
        <w:spacing w:after="0" w:line="240" w:lineRule="auto"/>
        <w:jc w:val="both"/>
        <w:rPr>
          <w:rFonts w:ascii="Arial" w:hAnsi="Arial" w:cs="Arial"/>
        </w:rPr>
      </w:pPr>
      <w:r w:rsidRPr="00791593">
        <w:rPr>
          <w:rFonts w:ascii="Arial" w:hAnsi="Arial" w:cs="Arial"/>
        </w:rPr>
        <w:t>6.</w:t>
      </w:r>
      <w:r w:rsidR="00BB5894" w:rsidRPr="00791593">
        <w:rPr>
          <w:rFonts w:ascii="Arial" w:hAnsi="Arial" w:cs="Arial"/>
        </w:rPr>
        <w:t xml:space="preserve"> </w:t>
      </w:r>
      <w:r w:rsidRPr="00791593">
        <w:rPr>
          <w:rFonts w:ascii="Arial" w:hAnsi="Arial" w:cs="Arial"/>
        </w:rPr>
        <w:t>En el plazo de seis meses contado a partir de la notificación de la presente Sentencia, el Estado deberá establecer en los asientos Santa Elisa y Kilómetro 16 de la Comunidad Sawhoyamaxa un sistema de comunicación que permita a las víctimas contactarse con las autoridades de salud competentes, para la atención de casos de emergencia, en los términos de la presente sentencia.</w:t>
      </w:r>
    </w:p>
    <w:p w14:paraId="2C75B2AC" w14:textId="77777777" w:rsidR="00C71861" w:rsidRPr="00791593" w:rsidRDefault="00C71861" w:rsidP="00C71861">
      <w:pPr>
        <w:spacing w:after="0" w:line="240" w:lineRule="auto"/>
        <w:jc w:val="both"/>
        <w:rPr>
          <w:rFonts w:ascii="Arial" w:hAnsi="Arial" w:cs="Arial"/>
        </w:rPr>
      </w:pPr>
    </w:p>
    <w:p w14:paraId="3A54314C" w14:textId="0A91A4BD" w:rsidR="00C71861" w:rsidRPr="00791593" w:rsidRDefault="00C71861" w:rsidP="00C71861">
      <w:pPr>
        <w:spacing w:after="0" w:line="240" w:lineRule="auto"/>
        <w:jc w:val="both"/>
        <w:rPr>
          <w:rFonts w:ascii="Arial" w:hAnsi="Arial" w:cs="Arial"/>
        </w:rPr>
      </w:pPr>
      <w:r w:rsidRPr="00791593">
        <w:rPr>
          <w:rFonts w:ascii="Arial" w:hAnsi="Arial" w:cs="Arial"/>
        </w:rPr>
        <w:t>7.</w:t>
      </w:r>
      <w:r w:rsidR="00BB5894" w:rsidRPr="00791593">
        <w:rPr>
          <w:rFonts w:ascii="Arial" w:hAnsi="Arial" w:cs="Arial"/>
        </w:rPr>
        <w:t xml:space="preserve"> </w:t>
      </w:r>
      <w:r w:rsidRPr="00791593">
        <w:rPr>
          <w:rFonts w:ascii="Arial" w:hAnsi="Arial" w:cs="Arial"/>
        </w:rPr>
        <w:t>El Estado deberá realizar, en el plazo máximo de un año contado a partir de la notificación de la presente sentencia, un programa de registro y documentación, en los términos de la presente Sentencia.</w:t>
      </w:r>
    </w:p>
    <w:p w14:paraId="4AF40F05" w14:textId="77777777" w:rsidR="00C71861" w:rsidRPr="00791593" w:rsidRDefault="00C71861" w:rsidP="00C71861">
      <w:pPr>
        <w:spacing w:after="0" w:line="240" w:lineRule="auto"/>
        <w:jc w:val="both"/>
        <w:rPr>
          <w:rFonts w:ascii="Arial" w:hAnsi="Arial" w:cs="Arial"/>
        </w:rPr>
      </w:pPr>
    </w:p>
    <w:p w14:paraId="0FF10790" w14:textId="3FD7B08A" w:rsidR="00C71861" w:rsidRPr="00791593" w:rsidRDefault="00C71861" w:rsidP="00C71861">
      <w:pPr>
        <w:spacing w:after="0" w:line="240" w:lineRule="auto"/>
        <w:jc w:val="both"/>
        <w:rPr>
          <w:rFonts w:ascii="Arial" w:hAnsi="Arial" w:cs="Arial"/>
        </w:rPr>
      </w:pPr>
      <w:r w:rsidRPr="00791593">
        <w:rPr>
          <w:rFonts w:ascii="Arial" w:hAnsi="Arial" w:cs="Arial"/>
        </w:rPr>
        <w:t>8.</w:t>
      </w:r>
      <w:r w:rsidR="00BB5894" w:rsidRPr="00791593">
        <w:rPr>
          <w:rFonts w:ascii="Arial" w:hAnsi="Arial" w:cs="Arial"/>
        </w:rPr>
        <w:t xml:space="preserve"> </w:t>
      </w:r>
      <w:r w:rsidRPr="00791593">
        <w:rPr>
          <w:rFonts w:ascii="Arial" w:hAnsi="Arial" w:cs="Arial"/>
        </w:rPr>
        <w:t>El Estado deberá adoptar en su derecho interno, en un plazo razonable, las medidas legislativas, administrativas y de cualquier otro carácter que sean necesarias para crear un mecanismo eficaz de reclamación de tierras ancestrales de los miembros de los pueblos indígenas que haga cierto sus derechos sobre sus tierras tradicionales, en los términos de la presente Sentencia.</w:t>
      </w:r>
    </w:p>
    <w:p w14:paraId="2CBBE380" w14:textId="77777777" w:rsidR="00C71861" w:rsidRPr="00791593" w:rsidRDefault="00C71861" w:rsidP="00C71861">
      <w:pPr>
        <w:spacing w:after="0" w:line="240" w:lineRule="auto"/>
        <w:jc w:val="both"/>
        <w:rPr>
          <w:rFonts w:ascii="Arial" w:hAnsi="Arial" w:cs="Arial"/>
        </w:rPr>
      </w:pPr>
    </w:p>
    <w:p w14:paraId="3F136437" w14:textId="1EA4D245" w:rsidR="00C71861" w:rsidRPr="00791593" w:rsidRDefault="00C71861" w:rsidP="00C71861">
      <w:pPr>
        <w:spacing w:after="0" w:line="240" w:lineRule="auto"/>
        <w:jc w:val="both"/>
        <w:rPr>
          <w:rFonts w:ascii="Arial" w:hAnsi="Arial" w:cs="Arial"/>
        </w:rPr>
      </w:pPr>
      <w:r w:rsidRPr="00791593">
        <w:rPr>
          <w:rFonts w:ascii="Arial" w:hAnsi="Arial" w:cs="Arial"/>
        </w:rPr>
        <w:t>9.</w:t>
      </w:r>
      <w:r w:rsidR="00BB5894" w:rsidRPr="00791593">
        <w:rPr>
          <w:rFonts w:ascii="Arial" w:hAnsi="Arial" w:cs="Arial"/>
        </w:rPr>
        <w:t xml:space="preserve"> </w:t>
      </w:r>
      <w:r w:rsidRPr="00791593">
        <w:rPr>
          <w:rFonts w:ascii="Arial" w:hAnsi="Arial" w:cs="Arial"/>
        </w:rPr>
        <w:t xml:space="preserve">El Estado deberá realizar las publicaciones señaladas en el párrafo 236 de la presente sentencia, dentro del plazo de un año contado a partir de la notificación de la misma. De igual forma, el Estado deberá financiar la transmisión radial de esta Sentencia, en los términos de la misma. </w:t>
      </w:r>
    </w:p>
    <w:p w14:paraId="65F86D17" w14:textId="77777777" w:rsidR="00C71861" w:rsidRPr="00791593" w:rsidRDefault="00C71861" w:rsidP="00C71861">
      <w:pPr>
        <w:spacing w:after="0" w:line="240" w:lineRule="auto"/>
        <w:jc w:val="both"/>
        <w:rPr>
          <w:rFonts w:ascii="Arial" w:hAnsi="Arial" w:cs="Arial"/>
        </w:rPr>
      </w:pPr>
    </w:p>
    <w:p w14:paraId="067E06C4" w14:textId="77777777" w:rsidR="00C71861" w:rsidRPr="00791593" w:rsidRDefault="00C71861" w:rsidP="00C71861">
      <w:pPr>
        <w:spacing w:after="0" w:line="240" w:lineRule="auto"/>
        <w:jc w:val="both"/>
        <w:rPr>
          <w:rFonts w:ascii="Arial" w:hAnsi="Arial" w:cs="Arial"/>
        </w:rPr>
      </w:pPr>
      <w:r w:rsidRPr="00791593">
        <w:rPr>
          <w:rFonts w:ascii="Arial" w:hAnsi="Arial" w:cs="Arial"/>
        </w:rPr>
        <w:t>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2BD646E6" w14:textId="77777777" w:rsidR="00C71861" w:rsidRPr="00791593" w:rsidRDefault="00C71861" w:rsidP="00C71861">
      <w:pPr>
        <w:spacing w:after="0" w:line="240" w:lineRule="auto"/>
        <w:jc w:val="both"/>
        <w:rPr>
          <w:rFonts w:ascii="Arial" w:hAnsi="Arial" w:cs="Arial"/>
        </w:rPr>
      </w:pPr>
    </w:p>
    <w:p w14:paraId="566ABA26" w14:textId="77777777" w:rsidR="00C71861" w:rsidRPr="00791593" w:rsidRDefault="00C71861" w:rsidP="00C71861">
      <w:pPr>
        <w:spacing w:after="0" w:line="240" w:lineRule="auto"/>
        <w:jc w:val="both"/>
        <w:rPr>
          <w:rFonts w:ascii="Arial" w:hAnsi="Arial" w:cs="Arial"/>
        </w:rPr>
      </w:pPr>
    </w:p>
    <w:p w14:paraId="5774206A" w14:textId="77777777" w:rsidR="00C71861" w:rsidRPr="00791593" w:rsidRDefault="00C71861" w:rsidP="00C71861">
      <w:pPr>
        <w:spacing w:after="0" w:line="240" w:lineRule="auto"/>
        <w:jc w:val="both"/>
        <w:rPr>
          <w:rFonts w:ascii="Arial" w:hAnsi="Arial" w:cs="Arial"/>
          <w:b/>
          <w:bCs/>
        </w:rPr>
      </w:pPr>
      <w:r w:rsidRPr="00791593">
        <w:rPr>
          <w:rFonts w:ascii="Arial" w:hAnsi="Arial" w:cs="Arial"/>
          <w:b/>
          <w:bCs/>
        </w:rPr>
        <w:t>Resolutivos</w:t>
      </w:r>
    </w:p>
    <w:p w14:paraId="1D0C6FD5" w14:textId="77777777" w:rsidR="00C71861" w:rsidRPr="00791593" w:rsidRDefault="00C71861" w:rsidP="00C71861">
      <w:pPr>
        <w:spacing w:after="0" w:line="240" w:lineRule="auto"/>
        <w:jc w:val="both"/>
        <w:rPr>
          <w:rFonts w:ascii="Arial" w:hAnsi="Arial" w:cs="Arial"/>
        </w:rPr>
      </w:pPr>
      <w:r w:rsidRPr="00791593">
        <w:rPr>
          <w:rFonts w:ascii="Arial" w:hAnsi="Arial" w:cs="Arial"/>
        </w:rPr>
        <w:t>La Corte declara por unanimidad, que:</w:t>
      </w:r>
    </w:p>
    <w:p w14:paraId="012AF262" w14:textId="77777777" w:rsidR="00C71861" w:rsidRPr="00791593" w:rsidRDefault="00C71861" w:rsidP="00C71861">
      <w:pPr>
        <w:spacing w:after="0" w:line="240" w:lineRule="auto"/>
        <w:jc w:val="both"/>
        <w:rPr>
          <w:rFonts w:ascii="Arial" w:hAnsi="Arial" w:cs="Arial"/>
        </w:rPr>
      </w:pPr>
    </w:p>
    <w:p w14:paraId="67A14F53" w14:textId="02D1A374" w:rsidR="00C71861" w:rsidRPr="00791593" w:rsidRDefault="00C71861" w:rsidP="00C71861">
      <w:pPr>
        <w:spacing w:after="0" w:line="240" w:lineRule="auto"/>
        <w:jc w:val="both"/>
        <w:rPr>
          <w:rFonts w:ascii="Arial" w:hAnsi="Arial" w:cs="Arial"/>
        </w:rPr>
      </w:pPr>
      <w:r w:rsidRPr="00791593">
        <w:rPr>
          <w:rFonts w:ascii="Arial" w:hAnsi="Arial" w:cs="Arial"/>
        </w:rPr>
        <w:lastRenderedPageBreak/>
        <w:t>1.</w:t>
      </w:r>
      <w:r w:rsidR="00FE0297" w:rsidRPr="00791593">
        <w:rPr>
          <w:rFonts w:ascii="Arial" w:hAnsi="Arial" w:cs="Arial"/>
        </w:rPr>
        <w:t xml:space="preserve"> </w:t>
      </w:r>
      <w:r w:rsidRPr="00791593">
        <w:rPr>
          <w:rFonts w:ascii="Arial" w:hAnsi="Arial" w:cs="Arial"/>
        </w:rPr>
        <w:t>El Estado violó los derechos a las Garantías Judiciales y a la Protección Judicial consagrados en los artículos 8 y 25, respectivamente, de la Convención Americana sobre Derechos Humanos, en relación con los artículos 1.1. y 2 de la misma, en perjuicio de los miembros de la Comunidad indígena Sawhoyamaxa, en los términos de la presente Sentencia.</w:t>
      </w:r>
    </w:p>
    <w:p w14:paraId="326D060F" w14:textId="77777777" w:rsidR="00C71861" w:rsidRPr="00791593" w:rsidRDefault="00C71861" w:rsidP="00C71861">
      <w:pPr>
        <w:spacing w:after="0" w:line="240" w:lineRule="auto"/>
        <w:jc w:val="both"/>
        <w:rPr>
          <w:rFonts w:ascii="Arial" w:hAnsi="Arial" w:cs="Arial"/>
        </w:rPr>
      </w:pPr>
    </w:p>
    <w:p w14:paraId="1B8E49C3" w14:textId="0F35461D" w:rsidR="00C71861" w:rsidRPr="00791593" w:rsidRDefault="00C71861" w:rsidP="00C71861">
      <w:pPr>
        <w:spacing w:after="0" w:line="240" w:lineRule="auto"/>
        <w:jc w:val="both"/>
        <w:rPr>
          <w:rFonts w:ascii="Arial" w:hAnsi="Arial" w:cs="Arial"/>
        </w:rPr>
      </w:pPr>
      <w:r w:rsidRPr="00791593">
        <w:rPr>
          <w:rFonts w:ascii="Arial" w:hAnsi="Arial" w:cs="Arial"/>
        </w:rPr>
        <w:t>2.</w:t>
      </w:r>
      <w:r w:rsidR="00FE0297" w:rsidRPr="00791593">
        <w:rPr>
          <w:rFonts w:ascii="Arial" w:hAnsi="Arial" w:cs="Arial"/>
        </w:rPr>
        <w:t xml:space="preserve"> </w:t>
      </w:r>
      <w:r w:rsidRPr="00791593">
        <w:rPr>
          <w:rFonts w:ascii="Arial" w:hAnsi="Arial" w:cs="Arial"/>
        </w:rPr>
        <w:t>El Estado violó el derecho a la Propiedad consagrado en el artículo 21 de la Convención Americana sobre Derechos Humanos, en relación con los artículos 1.1 y 2 de la misma, en perjuicio de los miembros de la Comunidad indígena Sawhoyamaxa, en los términos de la presente Sentencia.</w:t>
      </w:r>
    </w:p>
    <w:p w14:paraId="3CB08F4A" w14:textId="77777777" w:rsidR="00C71861" w:rsidRPr="00791593" w:rsidRDefault="00C71861" w:rsidP="00C71861">
      <w:pPr>
        <w:spacing w:after="0" w:line="240" w:lineRule="auto"/>
        <w:jc w:val="both"/>
        <w:rPr>
          <w:rFonts w:ascii="Arial" w:hAnsi="Arial" w:cs="Arial"/>
        </w:rPr>
      </w:pPr>
    </w:p>
    <w:p w14:paraId="5C75CE5E" w14:textId="5A1DA685" w:rsidR="00C71861" w:rsidRPr="00791593" w:rsidRDefault="00C71861" w:rsidP="00C71861">
      <w:pPr>
        <w:spacing w:after="0" w:line="240" w:lineRule="auto"/>
        <w:jc w:val="both"/>
        <w:rPr>
          <w:rFonts w:ascii="Arial" w:hAnsi="Arial" w:cs="Arial"/>
        </w:rPr>
      </w:pPr>
      <w:r w:rsidRPr="00791593">
        <w:rPr>
          <w:rFonts w:ascii="Arial" w:hAnsi="Arial" w:cs="Arial"/>
        </w:rPr>
        <w:t>3.</w:t>
      </w:r>
      <w:r w:rsidR="00FE0297" w:rsidRPr="00791593">
        <w:rPr>
          <w:rFonts w:ascii="Arial" w:hAnsi="Arial" w:cs="Arial"/>
        </w:rPr>
        <w:t xml:space="preserve"> </w:t>
      </w:r>
      <w:r w:rsidRPr="00791593">
        <w:rPr>
          <w:rFonts w:ascii="Arial" w:hAnsi="Arial" w:cs="Arial"/>
        </w:rPr>
        <w:t>El Estado violó el Derecho a la Vida consagrado en el artículo 4.1 de la Convención Americana sobre Derechos Humanos, en relación con los artículos 1.1. y 19 de la misma, en los términos de la presente Sentencia.</w:t>
      </w:r>
    </w:p>
    <w:p w14:paraId="2E7AC6BD" w14:textId="77777777" w:rsidR="00C71861" w:rsidRPr="00791593" w:rsidRDefault="00C71861" w:rsidP="00C71861">
      <w:pPr>
        <w:spacing w:after="0" w:line="240" w:lineRule="auto"/>
        <w:jc w:val="both"/>
        <w:rPr>
          <w:rFonts w:ascii="Arial" w:hAnsi="Arial" w:cs="Arial"/>
        </w:rPr>
      </w:pPr>
    </w:p>
    <w:p w14:paraId="37270B4A" w14:textId="696210A9" w:rsidR="00C71861" w:rsidRPr="00791593" w:rsidRDefault="00C71861" w:rsidP="00C71861">
      <w:pPr>
        <w:spacing w:after="0" w:line="240" w:lineRule="auto"/>
        <w:jc w:val="both"/>
        <w:rPr>
          <w:rFonts w:ascii="Arial" w:hAnsi="Arial" w:cs="Arial"/>
        </w:rPr>
      </w:pPr>
      <w:r w:rsidRPr="00791593">
        <w:rPr>
          <w:rFonts w:ascii="Arial" w:hAnsi="Arial" w:cs="Arial"/>
        </w:rPr>
        <w:t>4.</w:t>
      </w:r>
      <w:r w:rsidR="00FE0297" w:rsidRPr="00791593">
        <w:rPr>
          <w:rFonts w:ascii="Arial" w:hAnsi="Arial" w:cs="Arial"/>
        </w:rPr>
        <w:t xml:space="preserve"> </w:t>
      </w:r>
      <w:r w:rsidRPr="00791593">
        <w:rPr>
          <w:rFonts w:ascii="Arial" w:hAnsi="Arial" w:cs="Arial"/>
        </w:rPr>
        <w:t>No es necesario pronunciarse sobre el Derecho a la Integridad Personal, en los términos de la presente Sentencia.</w:t>
      </w:r>
    </w:p>
    <w:p w14:paraId="6FE8EC6C" w14:textId="77777777" w:rsidR="00C71861" w:rsidRPr="00791593" w:rsidRDefault="00C71861" w:rsidP="00C71861">
      <w:pPr>
        <w:spacing w:after="0" w:line="240" w:lineRule="auto"/>
        <w:jc w:val="both"/>
        <w:rPr>
          <w:rFonts w:ascii="Arial" w:hAnsi="Arial" w:cs="Arial"/>
        </w:rPr>
      </w:pPr>
    </w:p>
    <w:p w14:paraId="55C2E391" w14:textId="3A4D8BFB" w:rsidR="00C71861" w:rsidRPr="00791593" w:rsidRDefault="00C71861" w:rsidP="00C71861">
      <w:pPr>
        <w:spacing w:after="0" w:line="240" w:lineRule="auto"/>
        <w:jc w:val="both"/>
        <w:rPr>
          <w:rFonts w:ascii="Arial" w:hAnsi="Arial" w:cs="Arial"/>
        </w:rPr>
      </w:pPr>
      <w:r w:rsidRPr="00791593">
        <w:rPr>
          <w:rFonts w:ascii="Arial" w:hAnsi="Arial" w:cs="Arial"/>
        </w:rPr>
        <w:t>5.</w:t>
      </w:r>
      <w:r w:rsidR="00FE0297" w:rsidRPr="00791593">
        <w:rPr>
          <w:rFonts w:ascii="Arial" w:hAnsi="Arial" w:cs="Arial"/>
        </w:rPr>
        <w:t xml:space="preserve"> </w:t>
      </w:r>
      <w:r w:rsidRPr="00791593">
        <w:rPr>
          <w:rFonts w:ascii="Arial" w:hAnsi="Arial" w:cs="Arial"/>
        </w:rPr>
        <w:t>El Estado violó el Derecho a la Personalidad Jurídica consagrado en el artículo 3 de la Convención Americana sobre Derechos Humanos, en relación con el artículo 1.1. de la misma, en perjuicio NN Galarza, Rosana López, Eduardo Cáceres, Eulalio Cáceres, Esteban González Aponte, NN González Aponte, Niño Yegros, Jenny Toledo, Guido Ruiz Díaz, NN González, Luis Torres Chávez, Diego Andrés Ayala, Francisca Britez, Silvia Adela Chávez, Derlis Armando Torres, Juan Ramón González, Arnaldo Galarza y Fátima Galarza, en los términos de la presente Sentencia.</w:t>
      </w:r>
    </w:p>
    <w:p w14:paraId="30A12717" w14:textId="77777777" w:rsidR="00C71861" w:rsidRPr="00791593" w:rsidRDefault="00C71861" w:rsidP="00C71861">
      <w:pPr>
        <w:spacing w:after="0" w:line="240" w:lineRule="auto"/>
        <w:jc w:val="both"/>
        <w:rPr>
          <w:rFonts w:ascii="Arial" w:hAnsi="Arial" w:cs="Arial"/>
        </w:rPr>
      </w:pPr>
    </w:p>
    <w:p w14:paraId="60C8C897" w14:textId="11C43E92" w:rsidR="007700FE" w:rsidRPr="00791593" w:rsidRDefault="007700FE" w:rsidP="007700FE">
      <w:pPr>
        <w:rPr>
          <w:rFonts w:ascii="Arial" w:hAnsi="Arial" w:cs="Arial"/>
        </w:rPr>
      </w:pPr>
    </w:p>
    <w:p w14:paraId="30A1283A" w14:textId="77777777" w:rsidR="007700FE" w:rsidRPr="00791593" w:rsidRDefault="007700FE" w:rsidP="007700FE">
      <w:pPr>
        <w:rPr>
          <w:rFonts w:ascii="Arial" w:hAnsi="Arial" w:cs="Arial"/>
        </w:rPr>
      </w:pPr>
    </w:p>
    <w:p w14:paraId="0F683BDB" w14:textId="41B87C83" w:rsidR="00335852" w:rsidRPr="00791593" w:rsidRDefault="00335852" w:rsidP="00335852">
      <w:pPr>
        <w:rPr>
          <w:rFonts w:ascii="Arial" w:hAnsi="Arial" w:cs="Arial"/>
          <w:lang w:eastAsia="es-MX"/>
        </w:rPr>
      </w:pPr>
    </w:p>
    <w:p w14:paraId="5D8D7FA3" w14:textId="18666616" w:rsidR="006F5238" w:rsidRPr="00791593" w:rsidRDefault="006F5238" w:rsidP="00335852">
      <w:pPr>
        <w:rPr>
          <w:rFonts w:ascii="Arial" w:hAnsi="Arial" w:cs="Arial"/>
          <w:lang w:eastAsia="es-MX"/>
        </w:rPr>
      </w:pPr>
    </w:p>
    <w:p w14:paraId="2B67139D" w14:textId="2C683BAA" w:rsidR="006F5238" w:rsidRPr="00791593" w:rsidRDefault="006F5238" w:rsidP="00335852">
      <w:pPr>
        <w:rPr>
          <w:rFonts w:ascii="Arial" w:hAnsi="Arial" w:cs="Arial"/>
          <w:lang w:eastAsia="es-MX"/>
        </w:rPr>
      </w:pPr>
    </w:p>
    <w:p w14:paraId="35C5A321" w14:textId="7A0FEF91" w:rsidR="006F5238" w:rsidRPr="00791593" w:rsidRDefault="006F5238" w:rsidP="00335852">
      <w:pPr>
        <w:rPr>
          <w:rFonts w:ascii="Arial" w:hAnsi="Arial" w:cs="Arial"/>
          <w:lang w:eastAsia="es-MX"/>
        </w:rPr>
      </w:pPr>
    </w:p>
    <w:p w14:paraId="506691EC" w14:textId="09F8FB81" w:rsidR="006F5238" w:rsidRPr="00791593" w:rsidRDefault="006F5238" w:rsidP="00335852">
      <w:pPr>
        <w:rPr>
          <w:rFonts w:ascii="Arial" w:hAnsi="Arial" w:cs="Arial"/>
          <w:lang w:eastAsia="es-MX"/>
        </w:rPr>
      </w:pPr>
    </w:p>
    <w:p w14:paraId="2FD54580" w14:textId="23D81DD6" w:rsidR="006F5238" w:rsidRPr="00791593" w:rsidRDefault="006F5238" w:rsidP="00335852">
      <w:pPr>
        <w:rPr>
          <w:rFonts w:ascii="Arial" w:hAnsi="Arial" w:cs="Arial"/>
          <w:lang w:eastAsia="es-MX"/>
        </w:rPr>
      </w:pPr>
    </w:p>
    <w:p w14:paraId="34FD6885" w14:textId="789F7E9E" w:rsidR="006F5238" w:rsidRPr="00791593" w:rsidRDefault="006F5238" w:rsidP="00335852">
      <w:pPr>
        <w:rPr>
          <w:rFonts w:ascii="Arial" w:hAnsi="Arial" w:cs="Arial"/>
          <w:lang w:eastAsia="es-MX"/>
        </w:rPr>
      </w:pPr>
    </w:p>
    <w:p w14:paraId="19C97E78" w14:textId="620579DD" w:rsidR="006F5238" w:rsidRPr="00791593" w:rsidRDefault="006F5238" w:rsidP="00335852">
      <w:pPr>
        <w:rPr>
          <w:rFonts w:ascii="Arial" w:hAnsi="Arial" w:cs="Arial"/>
          <w:lang w:eastAsia="es-MX"/>
        </w:rPr>
      </w:pPr>
    </w:p>
    <w:p w14:paraId="0720FCF0" w14:textId="17943B03" w:rsidR="006F5238" w:rsidRPr="00791593" w:rsidRDefault="006F5238" w:rsidP="00335852">
      <w:pPr>
        <w:rPr>
          <w:rFonts w:ascii="Arial" w:hAnsi="Arial" w:cs="Arial"/>
          <w:lang w:eastAsia="es-MX"/>
        </w:rPr>
      </w:pPr>
    </w:p>
    <w:p w14:paraId="2CA8A1EE" w14:textId="5C58F802" w:rsidR="006F5238" w:rsidRPr="00791593" w:rsidRDefault="006F5238" w:rsidP="00335852">
      <w:pPr>
        <w:rPr>
          <w:rFonts w:ascii="Arial" w:hAnsi="Arial" w:cs="Arial"/>
          <w:lang w:eastAsia="es-MX"/>
        </w:rPr>
      </w:pPr>
    </w:p>
    <w:p w14:paraId="5C2F48AE" w14:textId="710A0429" w:rsidR="006F5238" w:rsidRPr="00791593" w:rsidRDefault="006F5238" w:rsidP="00335852">
      <w:pPr>
        <w:rPr>
          <w:rFonts w:ascii="Arial" w:hAnsi="Arial" w:cs="Arial"/>
          <w:lang w:eastAsia="es-MX"/>
        </w:rPr>
      </w:pPr>
    </w:p>
    <w:p w14:paraId="284E99B3" w14:textId="6A6B24CB" w:rsidR="006F5238" w:rsidRPr="00791593" w:rsidRDefault="006F5238" w:rsidP="00335852">
      <w:pPr>
        <w:rPr>
          <w:rFonts w:ascii="Arial" w:hAnsi="Arial" w:cs="Arial"/>
          <w:lang w:eastAsia="es-MX"/>
        </w:rPr>
      </w:pPr>
    </w:p>
    <w:p w14:paraId="2B6F6580" w14:textId="77777777" w:rsidR="006F5238" w:rsidRPr="00791593" w:rsidRDefault="006F5238" w:rsidP="00335852">
      <w:pPr>
        <w:rPr>
          <w:rFonts w:ascii="Arial" w:hAnsi="Arial" w:cs="Arial"/>
          <w:lang w:eastAsia="es-MX"/>
        </w:rPr>
      </w:pPr>
    </w:p>
    <w:p w14:paraId="3712BE1D" w14:textId="7DD00565" w:rsidR="008F144A" w:rsidRPr="00791593" w:rsidRDefault="00335852" w:rsidP="00335852">
      <w:pPr>
        <w:pStyle w:val="Ttulo3"/>
        <w:numPr>
          <w:ilvl w:val="0"/>
          <w:numId w:val="1"/>
        </w:numPr>
        <w:rPr>
          <w:rFonts w:ascii="Arial" w:eastAsia="Times New Roman" w:hAnsi="Arial" w:cs="Arial"/>
          <w:b/>
          <w:bCs/>
          <w:color w:val="auto"/>
          <w:sz w:val="28"/>
          <w:szCs w:val="28"/>
          <w:lang w:eastAsia="es-MX"/>
        </w:rPr>
      </w:pPr>
      <w:r w:rsidRPr="00791593">
        <w:rPr>
          <w:rFonts w:ascii="Arial" w:eastAsia="Times New Roman" w:hAnsi="Arial" w:cs="Arial"/>
          <w:b/>
          <w:bCs/>
          <w:color w:val="auto"/>
          <w:sz w:val="28"/>
          <w:szCs w:val="28"/>
          <w:lang w:eastAsia="es-MX"/>
        </w:rPr>
        <w:lastRenderedPageBreak/>
        <w:t xml:space="preserve">SENTENCIA </w:t>
      </w:r>
      <w:hyperlink r:id="rId16" w:tgtFrame="_blank" w:history="1">
        <w:r w:rsidR="008F144A" w:rsidRPr="00791593">
          <w:rPr>
            <w:rFonts w:ascii="Arial" w:eastAsia="Times New Roman" w:hAnsi="Arial" w:cs="Arial"/>
            <w:b/>
            <w:bCs/>
            <w:color w:val="C00000"/>
            <w:sz w:val="28"/>
            <w:szCs w:val="28"/>
            <w:lang w:eastAsia="es-MX"/>
          </w:rPr>
          <w:t>SUP-REC-834/2014</w:t>
        </w:r>
      </w:hyperlink>
    </w:p>
    <w:p w14:paraId="5024D323" w14:textId="2FC4BB6F" w:rsidR="00335852" w:rsidRPr="00791593" w:rsidRDefault="00335852" w:rsidP="00335852">
      <w:pPr>
        <w:rPr>
          <w:rFonts w:ascii="Arial" w:hAnsi="Arial" w:cs="Arial"/>
          <w:lang w:eastAsia="es-MX"/>
        </w:rPr>
      </w:pPr>
    </w:p>
    <w:p w14:paraId="2957635F" w14:textId="552B1796" w:rsidR="00335852" w:rsidRPr="00791593" w:rsidRDefault="00335852" w:rsidP="00335852">
      <w:pPr>
        <w:rPr>
          <w:rFonts w:ascii="Arial" w:hAnsi="Arial" w:cs="Arial"/>
          <w:lang w:eastAsia="es-MX"/>
        </w:rPr>
      </w:pPr>
    </w:p>
    <w:p w14:paraId="6E95EEC3" w14:textId="77777777" w:rsidR="006F5238" w:rsidRPr="00791593" w:rsidRDefault="006F5238" w:rsidP="006F5238">
      <w:pPr>
        <w:spacing w:before="100" w:beforeAutospacing="1" w:after="100" w:afterAutospacing="1" w:line="240" w:lineRule="auto"/>
        <w:ind w:left="3119"/>
        <w:jc w:val="both"/>
        <w:rPr>
          <w:rFonts w:ascii="Arial" w:eastAsia="Times New Roman" w:hAnsi="Arial" w:cs="Arial"/>
          <w:b/>
          <w:bCs/>
          <w:caps/>
          <w:sz w:val="27"/>
          <w:szCs w:val="27"/>
          <w:lang w:eastAsia="es-ES"/>
        </w:rPr>
      </w:pPr>
      <w:r w:rsidRPr="00791593">
        <w:rPr>
          <w:rFonts w:ascii="Arial" w:eastAsia="Times New Roman" w:hAnsi="Arial" w:cs="Arial"/>
          <w:b/>
          <w:bCs/>
          <w:caps/>
          <w:sz w:val="27"/>
          <w:szCs w:val="27"/>
          <w:lang w:eastAsia="es-ES"/>
        </w:rPr>
        <w:t>RECURSO DE RECONSIDERACIÓN</w:t>
      </w:r>
    </w:p>
    <w:p w14:paraId="08F5ACA6" w14:textId="77777777" w:rsidR="006F5238" w:rsidRPr="00791593" w:rsidRDefault="006F5238" w:rsidP="006F5238">
      <w:pPr>
        <w:spacing w:before="100" w:beforeAutospacing="1" w:after="100" w:afterAutospacing="1" w:line="240" w:lineRule="auto"/>
        <w:ind w:left="3119"/>
        <w:jc w:val="both"/>
        <w:rPr>
          <w:rFonts w:ascii="Arial" w:eastAsia="Times New Roman" w:hAnsi="Arial" w:cs="Arial"/>
          <w:b/>
          <w:bCs/>
          <w:caps/>
          <w:sz w:val="27"/>
          <w:szCs w:val="27"/>
          <w:lang w:eastAsia="es-ES"/>
        </w:rPr>
      </w:pPr>
      <w:r w:rsidRPr="00791593">
        <w:rPr>
          <w:rFonts w:ascii="Arial" w:eastAsia="Times New Roman" w:hAnsi="Arial" w:cs="Arial"/>
          <w:b/>
          <w:bCs/>
          <w:caps/>
          <w:sz w:val="27"/>
          <w:szCs w:val="27"/>
          <w:lang w:eastAsia="es-ES"/>
        </w:rPr>
        <w:t>EXPEDIENTE: SUP-REC-834/2014</w:t>
      </w:r>
    </w:p>
    <w:p w14:paraId="53ED0EE1" w14:textId="77777777" w:rsidR="006F5238" w:rsidRPr="00791593" w:rsidRDefault="006F5238" w:rsidP="006F5238">
      <w:pPr>
        <w:spacing w:before="100" w:beforeAutospacing="1" w:after="100" w:afterAutospacing="1" w:line="240" w:lineRule="auto"/>
        <w:ind w:left="3119"/>
        <w:jc w:val="both"/>
        <w:rPr>
          <w:rFonts w:ascii="Arial" w:eastAsia="Times New Roman" w:hAnsi="Arial" w:cs="Arial"/>
          <w:b/>
          <w:bCs/>
          <w:caps/>
          <w:sz w:val="27"/>
          <w:szCs w:val="27"/>
          <w:lang w:eastAsia="es-ES"/>
        </w:rPr>
      </w:pPr>
      <w:r w:rsidRPr="00791593">
        <w:rPr>
          <w:rFonts w:ascii="Arial" w:eastAsia="Times New Roman" w:hAnsi="Arial" w:cs="Arial"/>
          <w:b/>
          <w:bCs/>
          <w:caps/>
          <w:sz w:val="27"/>
          <w:szCs w:val="27"/>
          <w:lang w:eastAsia="es-ES"/>
        </w:rPr>
        <w:t>RECURRENTES: ALFONSO ALVARADO MARTÍNEZ Y OTROS</w:t>
      </w:r>
    </w:p>
    <w:p w14:paraId="4860BEE1" w14:textId="77777777" w:rsidR="006F5238" w:rsidRPr="00791593" w:rsidRDefault="006F5238" w:rsidP="006F5238">
      <w:pPr>
        <w:spacing w:before="100" w:beforeAutospacing="1" w:after="100" w:afterAutospacing="1" w:line="240" w:lineRule="auto"/>
        <w:ind w:left="3119"/>
        <w:jc w:val="both"/>
        <w:rPr>
          <w:rFonts w:ascii="Arial" w:eastAsia="Times New Roman" w:hAnsi="Arial" w:cs="Arial"/>
          <w:b/>
          <w:bCs/>
          <w:caps/>
          <w:sz w:val="27"/>
          <w:szCs w:val="27"/>
          <w:lang w:val="es-ES" w:eastAsia="es-ES"/>
        </w:rPr>
      </w:pPr>
      <w:r w:rsidRPr="00791593">
        <w:rPr>
          <w:rFonts w:ascii="Arial" w:eastAsia="Times New Roman" w:hAnsi="Arial" w:cs="Arial"/>
          <w:b/>
          <w:bCs/>
          <w:caps/>
          <w:sz w:val="27"/>
          <w:szCs w:val="27"/>
          <w:lang w:eastAsia="es-ES"/>
        </w:rPr>
        <w:t>aUTORIDAD RESPONSABLE:</w:t>
      </w:r>
      <w:r w:rsidRPr="00791593">
        <w:rPr>
          <w:rFonts w:ascii="Arial" w:eastAsia="Times New Roman" w:hAnsi="Arial" w:cs="Arial"/>
          <w:b/>
          <w:bCs/>
          <w:caps/>
          <w:sz w:val="27"/>
          <w:szCs w:val="27"/>
          <w:lang w:val="es-ES" w:eastAsia="es-ES"/>
        </w:rPr>
        <w:t xml:space="preserve"> SALA REGIONAL DEL TRIBUNAL ELECTORAL DEL PODER JUDICIAL DE LA FEDERACIÓN, CORRESPONDIENTE A LA tercera CIRCUNSCRIPCIÓN PLURINOMINAL, CON SEDE EN xalapa, veracruz</w:t>
      </w:r>
    </w:p>
    <w:p w14:paraId="4287A238" w14:textId="77777777" w:rsidR="006F5238" w:rsidRPr="00791593" w:rsidRDefault="006F5238" w:rsidP="006F5238">
      <w:pPr>
        <w:spacing w:before="100" w:beforeAutospacing="1" w:after="100" w:afterAutospacing="1" w:line="240" w:lineRule="auto"/>
        <w:ind w:left="3119"/>
        <w:jc w:val="both"/>
        <w:rPr>
          <w:rFonts w:ascii="Arial" w:eastAsia="Times New Roman" w:hAnsi="Arial" w:cs="Arial"/>
          <w:b/>
          <w:bCs/>
          <w:caps/>
          <w:sz w:val="27"/>
          <w:szCs w:val="27"/>
          <w:lang w:val="es-ES" w:eastAsia="es-ES"/>
        </w:rPr>
      </w:pPr>
      <w:r w:rsidRPr="00791593">
        <w:rPr>
          <w:rFonts w:ascii="Arial" w:eastAsia="Times New Roman" w:hAnsi="Arial" w:cs="Arial"/>
          <w:b/>
          <w:bCs/>
          <w:caps/>
          <w:sz w:val="27"/>
          <w:szCs w:val="27"/>
          <w:lang w:val="es-ES" w:eastAsia="es-ES"/>
        </w:rPr>
        <w:t xml:space="preserve">TErcero interesado: javier rubio rosas </w:t>
      </w:r>
    </w:p>
    <w:p w14:paraId="68670812" w14:textId="77777777" w:rsidR="006F5238" w:rsidRPr="00791593" w:rsidRDefault="006F5238" w:rsidP="006F5238">
      <w:pPr>
        <w:spacing w:before="100" w:beforeAutospacing="1" w:after="100" w:afterAutospacing="1" w:line="240" w:lineRule="auto"/>
        <w:ind w:left="3119"/>
        <w:jc w:val="both"/>
        <w:rPr>
          <w:rFonts w:ascii="Arial" w:eastAsia="Times New Roman" w:hAnsi="Arial" w:cs="Arial"/>
          <w:b/>
          <w:bCs/>
          <w:caps/>
          <w:sz w:val="27"/>
          <w:szCs w:val="27"/>
          <w:lang w:eastAsia="es-ES"/>
        </w:rPr>
      </w:pPr>
      <w:r w:rsidRPr="00791593">
        <w:rPr>
          <w:rFonts w:ascii="Arial" w:eastAsia="Times New Roman" w:hAnsi="Arial" w:cs="Arial"/>
          <w:b/>
          <w:bCs/>
          <w:caps/>
          <w:sz w:val="27"/>
          <w:szCs w:val="27"/>
          <w:lang w:eastAsia="es-ES"/>
        </w:rPr>
        <w:t>Magistrado ponente: flavio galván rivera</w:t>
      </w:r>
    </w:p>
    <w:p w14:paraId="53AD908D" w14:textId="77777777" w:rsidR="006F5238" w:rsidRPr="00791593" w:rsidRDefault="006F5238" w:rsidP="006F5238">
      <w:pPr>
        <w:spacing w:before="100" w:beforeAutospacing="1" w:after="100" w:afterAutospacing="1" w:line="240" w:lineRule="auto"/>
        <w:ind w:left="3119"/>
        <w:jc w:val="both"/>
        <w:rPr>
          <w:rFonts w:ascii="Arial" w:eastAsia="Times New Roman" w:hAnsi="Arial" w:cs="Arial"/>
          <w:b/>
          <w:bCs/>
          <w:caps/>
          <w:sz w:val="27"/>
          <w:szCs w:val="27"/>
          <w:lang w:eastAsia="es-ES"/>
        </w:rPr>
      </w:pPr>
      <w:r w:rsidRPr="00791593">
        <w:rPr>
          <w:rFonts w:ascii="Arial" w:eastAsia="Times New Roman" w:hAnsi="Arial" w:cs="Arial"/>
          <w:b/>
          <w:bCs/>
          <w:caps/>
          <w:sz w:val="27"/>
          <w:szCs w:val="27"/>
          <w:lang w:eastAsia="es-ES"/>
        </w:rPr>
        <w:t>secretarios: Alejandro olvera acevedo, Isaías trejo sánchez y rodrigo quezada goncen</w:t>
      </w:r>
    </w:p>
    <w:p w14:paraId="448F4E49"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México, Distrito Federal, a catorce de mayo de dos mil catorce.</w:t>
      </w:r>
    </w:p>
    <w:p w14:paraId="48BB10EC"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b/>
          <w:sz w:val="28"/>
          <w:szCs w:val="28"/>
          <w:lang w:val="es-ES" w:eastAsia="es-ES"/>
        </w:rPr>
        <w:t>VISTOS</w:t>
      </w:r>
      <w:r w:rsidRPr="00791593">
        <w:rPr>
          <w:rFonts w:ascii="Arial" w:eastAsia="Times New Roman" w:hAnsi="Arial" w:cs="Arial"/>
          <w:sz w:val="28"/>
          <w:szCs w:val="28"/>
          <w:lang w:val="es-ES" w:eastAsia="es-ES"/>
        </w:rPr>
        <w:t xml:space="preserve">, para resolver, los autos del recurso de reconsideración identificado con la clave de expediente </w:t>
      </w:r>
      <w:r w:rsidRPr="00791593">
        <w:rPr>
          <w:rFonts w:ascii="Arial" w:eastAsia="Times New Roman" w:hAnsi="Arial" w:cs="Arial"/>
          <w:bCs/>
          <w:sz w:val="28"/>
          <w:szCs w:val="28"/>
          <w:lang w:val="es-ES" w:eastAsia="es-ES"/>
        </w:rPr>
        <w:t>SUP-REC-834/2014</w:t>
      </w:r>
      <w:r w:rsidRPr="00791593">
        <w:rPr>
          <w:rFonts w:ascii="Arial" w:eastAsia="Times New Roman" w:hAnsi="Arial" w:cs="Arial"/>
          <w:sz w:val="28"/>
          <w:szCs w:val="28"/>
          <w:lang w:val="es-ES" w:eastAsia="es-ES"/>
        </w:rPr>
        <w:t xml:space="preserve">, promovido por Alfonso Alvarado Martínez, José Luis Colores Ramos, José Manuel Luengas C., Javier Alvarado Luna y Adán Zafra Torralba, en contra de la Sala Regional de este Tribunal Electoral del Poder Judicial de la Federación, correspondiente a la Tercera Circunscripción Plurinominal, </w:t>
      </w:r>
      <w:r w:rsidRPr="00791593">
        <w:rPr>
          <w:rFonts w:ascii="Arial" w:eastAsia="Times New Roman" w:hAnsi="Arial" w:cs="Arial"/>
          <w:bCs/>
          <w:sz w:val="28"/>
          <w:szCs w:val="28"/>
          <w:lang w:val="es-ES" w:eastAsia="es-ES"/>
        </w:rPr>
        <w:t>con sede en la Ciudad de Xalapa</w:t>
      </w:r>
      <w:r w:rsidRPr="00791593">
        <w:rPr>
          <w:rFonts w:ascii="Arial" w:eastAsia="Times New Roman" w:hAnsi="Arial" w:cs="Arial"/>
          <w:sz w:val="28"/>
          <w:szCs w:val="28"/>
          <w:lang w:val="es-ES" w:eastAsia="es-ES"/>
        </w:rPr>
        <w:t xml:space="preserve">, Veracruz, a fin de controvertir la </w:t>
      </w:r>
      <w:r w:rsidRPr="00791593">
        <w:rPr>
          <w:rFonts w:ascii="Arial" w:eastAsia="Times New Roman" w:hAnsi="Arial" w:cs="Arial"/>
          <w:sz w:val="28"/>
          <w:szCs w:val="28"/>
          <w:lang w:val="es-ES" w:eastAsia="es-ES"/>
        </w:rPr>
        <w:lastRenderedPageBreak/>
        <w:t>sentencia de diez de abril de dos mil catorce, dictada en el juicio para la protección de los derechos político-electorales del ciudadano identificado con la clave SX-JDC-111/2014, y</w:t>
      </w:r>
    </w:p>
    <w:p w14:paraId="4B8515BC" w14:textId="77777777" w:rsidR="006F5238" w:rsidRPr="00791593" w:rsidRDefault="006F5238" w:rsidP="006F5238">
      <w:pPr>
        <w:spacing w:before="100" w:beforeAutospacing="1" w:after="100" w:afterAutospacing="1" w:line="360" w:lineRule="auto"/>
        <w:ind w:firstLine="709"/>
        <w:jc w:val="center"/>
        <w:rPr>
          <w:rFonts w:ascii="Arial" w:eastAsia="Times New Roman" w:hAnsi="Arial" w:cs="Arial"/>
          <w:sz w:val="28"/>
          <w:szCs w:val="28"/>
          <w:lang w:val="es-ES" w:eastAsia="es-ES"/>
        </w:rPr>
      </w:pPr>
      <w:r w:rsidRPr="00791593">
        <w:rPr>
          <w:rFonts w:ascii="Arial" w:eastAsia="Times New Roman" w:hAnsi="Arial" w:cs="Arial"/>
          <w:b/>
          <w:sz w:val="28"/>
          <w:szCs w:val="28"/>
          <w:lang w:val="es-ES" w:eastAsia="es-ES"/>
        </w:rPr>
        <w:t>R E S U L T A N D O:</w:t>
      </w:r>
    </w:p>
    <w:p w14:paraId="4B9FABA2"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b/>
          <w:sz w:val="28"/>
          <w:szCs w:val="28"/>
          <w:lang w:eastAsia="es-MX"/>
        </w:rPr>
        <w:t>I. Antecedentes.</w:t>
      </w:r>
      <w:r w:rsidRPr="00791593">
        <w:rPr>
          <w:rFonts w:ascii="Arial" w:eastAsia="Times New Roman" w:hAnsi="Arial" w:cs="Arial"/>
          <w:sz w:val="28"/>
          <w:szCs w:val="28"/>
          <w:lang w:eastAsia="es-ES"/>
        </w:rPr>
        <w:t xml:space="preserve"> </w:t>
      </w:r>
      <w:r w:rsidRPr="00791593">
        <w:rPr>
          <w:rFonts w:ascii="Arial" w:eastAsia="Times New Roman" w:hAnsi="Arial" w:cs="Arial"/>
          <w:sz w:val="28"/>
          <w:szCs w:val="28"/>
          <w:lang w:eastAsia="es-MX"/>
        </w:rPr>
        <w:t>De lo narrado por los recurrentes, en su escrito de demanda, así como de las constancias que obran en autos, se advierte lo siguiente:</w:t>
      </w:r>
    </w:p>
    <w:p w14:paraId="478833A1" w14:textId="77777777" w:rsidR="006F5238" w:rsidRPr="00791593" w:rsidRDefault="006F5238" w:rsidP="006F5238">
      <w:pPr>
        <w:spacing w:before="100" w:beforeAutospacing="1" w:after="100" w:afterAutospacing="1" w:line="360" w:lineRule="auto"/>
        <w:ind w:firstLine="720"/>
        <w:jc w:val="both"/>
        <w:rPr>
          <w:rFonts w:ascii="Arial" w:eastAsia="Times New Roman" w:hAnsi="Arial" w:cs="Arial"/>
          <w:sz w:val="28"/>
          <w:szCs w:val="28"/>
          <w:lang w:val="es-ES" w:eastAsia="es-MX"/>
        </w:rPr>
      </w:pPr>
      <w:r w:rsidRPr="00791593">
        <w:rPr>
          <w:rFonts w:ascii="Arial" w:eastAsia="Times New Roman" w:hAnsi="Arial" w:cs="Arial"/>
          <w:b/>
          <w:sz w:val="28"/>
          <w:szCs w:val="28"/>
          <w:lang w:val="es-ES" w:eastAsia="es-ES"/>
        </w:rPr>
        <w:t xml:space="preserve">1. </w:t>
      </w:r>
      <w:r w:rsidRPr="00791593">
        <w:rPr>
          <w:rFonts w:ascii="Arial" w:eastAsia="Times New Roman" w:hAnsi="Arial" w:cs="Arial"/>
          <w:b/>
          <w:bCs/>
          <w:sz w:val="28"/>
          <w:szCs w:val="28"/>
          <w:lang w:val="es-ES" w:eastAsia="es-ES"/>
        </w:rPr>
        <w:t xml:space="preserve">Acuerdo CG-IEEPCO-SNI-1/2012. </w:t>
      </w:r>
      <w:r w:rsidRPr="00791593">
        <w:rPr>
          <w:rFonts w:ascii="Arial" w:eastAsia="Times New Roman" w:hAnsi="Arial" w:cs="Arial"/>
          <w:bCs/>
          <w:sz w:val="28"/>
          <w:szCs w:val="28"/>
          <w:lang w:val="es-ES" w:eastAsia="es-ES"/>
        </w:rPr>
        <w:t xml:space="preserve">El diecisiete de noviembre de dos mil doce, el Consejo General del Instituto Estatal Electoral y de Participación Ciudadana de Oaxaca aprobó </w:t>
      </w:r>
      <w:r w:rsidRPr="00791593">
        <w:rPr>
          <w:rFonts w:ascii="Arial" w:eastAsia="Times New Roman" w:hAnsi="Arial" w:cs="Arial"/>
          <w:sz w:val="28"/>
          <w:szCs w:val="28"/>
          <w:lang w:val="es-ES" w:eastAsia="es-MX"/>
        </w:rPr>
        <w:t>el catálogo general de los municipios que eligen a sus autoridades mediante el régimen de sistemas normativos internos, entre los que está el Municipio de San Sebastián Tecomaxtlahuaca, Juxtlahuaca, Oaxaca.</w:t>
      </w:r>
    </w:p>
    <w:p w14:paraId="4F316FCB" w14:textId="77777777" w:rsidR="006F5238" w:rsidRPr="00791593" w:rsidRDefault="006F5238" w:rsidP="006F5238">
      <w:pPr>
        <w:spacing w:before="100" w:beforeAutospacing="1" w:after="100" w:afterAutospacing="1" w:line="360" w:lineRule="auto"/>
        <w:ind w:firstLine="720"/>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2. Informe del Presidente Municipal.</w:t>
      </w:r>
      <w:r w:rsidRPr="00791593">
        <w:rPr>
          <w:rFonts w:ascii="Arial" w:eastAsia="Times New Roman" w:hAnsi="Arial" w:cs="Arial"/>
          <w:bCs/>
          <w:sz w:val="28"/>
          <w:szCs w:val="28"/>
          <w:lang w:val="es-ES" w:eastAsia="es-ES"/>
        </w:rPr>
        <w:t xml:space="preserve"> Por oficio de veinticuatro de septiembre de dos mil trece, el Presidente Municipal de </w:t>
      </w:r>
      <w:r w:rsidRPr="00791593">
        <w:rPr>
          <w:rFonts w:ascii="Arial" w:eastAsia="Times New Roman" w:hAnsi="Arial" w:cs="Arial"/>
          <w:sz w:val="28"/>
          <w:szCs w:val="28"/>
          <w:lang w:val="es-ES" w:eastAsia="es-MX"/>
        </w:rPr>
        <w:t>San Sebastián Tecomaxtlahuaca, Juxtlahuaca,</w:t>
      </w:r>
      <w:r w:rsidRPr="00791593">
        <w:rPr>
          <w:rFonts w:ascii="Arial" w:eastAsia="Times New Roman" w:hAnsi="Arial" w:cs="Arial"/>
          <w:bCs/>
          <w:sz w:val="28"/>
          <w:szCs w:val="28"/>
          <w:lang w:val="es-ES" w:eastAsia="es-ES"/>
        </w:rPr>
        <w:t xml:space="preserve"> informó, a la Directora Ejecutiva de Sistemas Normativos Internos del Instituto Estatal Electoral y de Participación Ciudadana de esa entidad federativa, que la elección de los concejales, para integrar el Ayuntamiento de ese Municipio, se llevaría a cabo el diecisiete de noviembre del mismo año, </w:t>
      </w:r>
      <w:r w:rsidRPr="00791593">
        <w:rPr>
          <w:rFonts w:ascii="Arial" w:eastAsia="Times New Roman" w:hAnsi="Arial" w:cs="Arial"/>
          <w:sz w:val="28"/>
          <w:szCs w:val="28"/>
          <w:lang w:val="es-ES" w:eastAsia="es-MX"/>
        </w:rPr>
        <w:t>mediante el régimen de sistemas normativos internos.</w:t>
      </w:r>
    </w:p>
    <w:p w14:paraId="369AA373" w14:textId="77777777" w:rsidR="006F5238" w:rsidRPr="00791593" w:rsidRDefault="006F5238" w:rsidP="006F5238">
      <w:pPr>
        <w:spacing w:before="100" w:beforeAutospacing="1" w:after="100" w:afterAutospacing="1" w:line="360" w:lineRule="auto"/>
        <w:ind w:firstLine="720"/>
        <w:jc w:val="both"/>
        <w:rPr>
          <w:rFonts w:ascii="Arial" w:eastAsia="Times New Roman" w:hAnsi="Arial" w:cs="Arial"/>
          <w:bCs/>
          <w:sz w:val="28"/>
          <w:szCs w:val="28"/>
          <w:lang w:eastAsia="es-ES"/>
        </w:rPr>
      </w:pPr>
      <w:r w:rsidRPr="00791593">
        <w:rPr>
          <w:rFonts w:ascii="Arial" w:eastAsia="Times New Roman" w:hAnsi="Arial" w:cs="Arial"/>
          <w:b/>
          <w:bCs/>
          <w:sz w:val="28"/>
          <w:szCs w:val="28"/>
          <w:lang w:val="es-ES" w:eastAsia="es-ES"/>
        </w:rPr>
        <w:t xml:space="preserve">3. </w:t>
      </w:r>
      <w:r w:rsidRPr="00791593">
        <w:rPr>
          <w:rFonts w:ascii="Arial" w:eastAsia="Times New Roman" w:hAnsi="Arial" w:cs="Arial"/>
          <w:b/>
          <w:bCs/>
          <w:sz w:val="28"/>
          <w:szCs w:val="28"/>
          <w:lang w:eastAsia="es-ES"/>
        </w:rPr>
        <w:t xml:space="preserve">Asamblea General Comunitaria de Elección. </w:t>
      </w:r>
      <w:r w:rsidRPr="00791593">
        <w:rPr>
          <w:rFonts w:ascii="Arial" w:eastAsia="Times New Roman" w:hAnsi="Arial" w:cs="Arial"/>
          <w:bCs/>
          <w:sz w:val="28"/>
          <w:szCs w:val="28"/>
          <w:lang w:eastAsia="es-ES"/>
        </w:rPr>
        <w:t xml:space="preserve">El diecisiete de noviembre de dos mil trece se llevó a cabo la Asamblea General Comunitaria, a fin de elegir a los integrantes del Ayuntamiento de </w:t>
      </w:r>
      <w:r w:rsidRPr="00791593">
        <w:rPr>
          <w:rFonts w:ascii="Arial" w:eastAsia="Times New Roman" w:hAnsi="Arial" w:cs="Arial"/>
          <w:sz w:val="28"/>
          <w:szCs w:val="28"/>
          <w:lang w:val="es-ES" w:eastAsia="es-MX"/>
        </w:rPr>
        <w:t xml:space="preserve">San </w:t>
      </w:r>
      <w:r w:rsidRPr="00791593">
        <w:rPr>
          <w:rFonts w:ascii="Arial" w:eastAsia="Times New Roman" w:hAnsi="Arial" w:cs="Arial"/>
          <w:sz w:val="28"/>
          <w:szCs w:val="28"/>
          <w:lang w:val="es-ES" w:eastAsia="es-MX"/>
        </w:rPr>
        <w:lastRenderedPageBreak/>
        <w:t xml:space="preserve">Sebastián Tecomaxtlahuaca, Juxtlahuaca, Oaxaca, </w:t>
      </w:r>
      <w:r w:rsidRPr="00791593">
        <w:rPr>
          <w:rFonts w:ascii="Arial" w:eastAsia="Times New Roman" w:hAnsi="Arial" w:cs="Arial"/>
          <w:bCs/>
          <w:sz w:val="28"/>
          <w:szCs w:val="28"/>
          <w:lang w:eastAsia="es-ES"/>
        </w:rPr>
        <w:t xml:space="preserve">para el periodo dos mil catorce-dos mil dieciséis (2014-2016), en la que resultaron electos </w:t>
      </w:r>
      <w:r w:rsidRPr="00791593">
        <w:rPr>
          <w:rFonts w:ascii="Arial" w:eastAsia="Times New Roman" w:hAnsi="Arial" w:cs="Arial"/>
          <w:sz w:val="28"/>
          <w:szCs w:val="28"/>
          <w:lang w:val="es-ES" w:eastAsia="es-ES"/>
        </w:rPr>
        <w:t>los siguientes ciudadanos, en los cargos que se indican:</w:t>
      </w: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1827"/>
        <w:gridCol w:w="1701"/>
        <w:gridCol w:w="2405"/>
      </w:tblGrid>
      <w:tr w:rsidR="006F5238" w:rsidRPr="00791593" w14:paraId="5842D3EE" w14:textId="77777777" w:rsidTr="006F5238">
        <w:trPr>
          <w:trHeight w:val="265"/>
          <w:tblHeader/>
          <w:jc w:val="center"/>
        </w:trPr>
        <w:tc>
          <w:tcPr>
            <w:tcW w:w="1827" w:type="dxa"/>
            <w:tcBorders>
              <w:top w:val="double" w:sz="4" w:space="0" w:color="76923C"/>
              <w:left w:val="double" w:sz="4" w:space="0" w:color="76923C"/>
              <w:bottom w:val="double" w:sz="4" w:space="0" w:color="76923C"/>
              <w:right w:val="double" w:sz="4" w:space="0" w:color="76923C"/>
            </w:tcBorders>
            <w:shd w:val="pct15" w:color="76923C" w:fill="auto"/>
            <w:hideMark/>
          </w:tcPr>
          <w:p w14:paraId="657D5169"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18"/>
                <w:szCs w:val="18"/>
                <w:lang w:eastAsia="es-MX"/>
              </w:rPr>
            </w:pPr>
            <w:r w:rsidRPr="00791593">
              <w:rPr>
                <w:rFonts w:ascii="Arial" w:eastAsia="Times New Roman" w:hAnsi="Arial" w:cs="Arial"/>
                <w:b/>
                <w:sz w:val="18"/>
                <w:szCs w:val="18"/>
                <w:lang w:eastAsia="es-MX"/>
              </w:rPr>
              <w:t>Cargo</w:t>
            </w:r>
          </w:p>
        </w:tc>
        <w:tc>
          <w:tcPr>
            <w:tcW w:w="4106" w:type="dxa"/>
            <w:gridSpan w:val="2"/>
            <w:tcBorders>
              <w:top w:val="double" w:sz="4" w:space="0" w:color="76923C"/>
              <w:left w:val="double" w:sz="4" w:space="0" w:color="76923C"/>
              <w:bottom w:val="double" w:sz="4" w:space="0" w:color="76923C"/>
              <w:right w:val="double" w:sz="4" w:space="0" w:color="76923C"/>
            </w:tcBorders>
            <w:shd w:val="pct15" w:color="76923C" w:fill="auto"/>
            <w:hideMark/>
          </w:tcPr>
          <w:p w14:paraId="13A912CC"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18"/>
                <w:szCs w:val="18"/>
                <w:lang w:eastAsia="es-MX"/>
              </w:rPr>
            </w:pPr>
            <w:r w:rsidRPr="00791593">
              <w:rPr>
                <w:rFonts w:ascii="Arial" w:eastAsia="Times New Roman" w:hAnsi="Arial" w:cs="Arial"/>
                <w:b/>
                <w:sz w:val="18"/>
                <w:szCs w:val="18"/>
                <w:lang w:eastAsia="es-MX"/>
              </w:rPr>
              <w:t>Nombre</w:t>
            </w:r>
          </w:p>
        </w:tc>
      </w:tr>
      <w:tr w:rsidR="006F5238" w:rsidRPr="00791593" w14:paraId="5E95ED8F" w14:textId="77777777" w:rsidTr="006F5238">
        <w:trPr>
          <w:trHeight w:val="265"/>
          <w:jc w:val="center"/>
        </w:trPr>
        <w:tc>
          <w:tcPr>
            <w:tcW w:w="1827" w:type="dxa"/>
            <w:vMerge w:val="restart"/>
            <w:tcBorders>
              <w:top w:val="double" w:sz="4" w:space="0" w:color="76923C"/>
              <w:left w:val="double" w:sz="4" w:space="0" w:color="76923C"/>
              <w:bottom w:val="double" w:sz="4" w:space="0" w:color="76923C"/>
              <w:right w:val="double" w:sz="4" w:space="0" w:color="76923C"/>
            </w:tcBorders>
            <w:vAlign w:val="center"/>
            <w:hideMark/>
          </w:tcPr>
          <w:p w14:paraId="16C937AA"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Presidente Municipal</w:t>
            </w:r>
          </w:p>
        </w:tc>
        <w:tc>
          <w:tcPr>
            <w:tcW w:w="1701" w:type="dxa"/>
            <w:tcBorders>
              <w:top w:val="double" w:sz="4" w:space="0" w:color="76923C"/>
              <w:left w:val="double" w:sz="4" w:space="0" w:color="76923C"/>
              <w:bottom w:val="double" w:sz="4" w:space="0" w:color="76923C"/>
              <w:right w:val="double" w:sz="4" w:space="0" w:color="76923C"/>
            </w:tcBorders>
            <w:vAlign w:val="center"/>
            <w:hideMark/>
          </w:tcPr>
          <w:p w14:paraId="4069454E"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Propietario</w:t>
            </w:r>
          </w:p>
        </w:tc>
        <w:tc>
          <w:tcPr>
            <w:tcW w:w="2405" w:type="dxa"/>
            <w:tcBorders>
              <w:top w:val="double" w:sz="4" w:space="0" w:color="76923C"/>
              <w:left w:val="double" w:sz="4" w:space="0" w:color="76923C"/>
              <w:bottom w:val="double" w:sz="4" w:space="0" w:color="76923C"/>
              <w:right w:val="double" w:sz="4" w:space="0" w:color="76923C"/>
            </w:tcBorders>
            <w:vAlign w:val="center"/>
            <w:hideMark/>
          </w:tcPr>
          <w:p w14:paraId="2194A54B"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Javier Rubio Rosas</w:t>
            </w:r>
          </w:p>
        </w:tc>
      </w:tr>
      <w:tr w:rsidR="006F5238" w:rsidRPr="00791593" w14:paraId="2967F209" w14:textId="77777777" w:rsidTr="006F5238">
        <w:trPr>
          <w:trHeight w:val="265"/>
          <w:jc w:val="center"/>
        </w:trPr>
        <w:tc>
          <w:tcPr>
            <w:tcW w:w="1827" w:type="dxa"/>
            <w:vMerge/>
            <w:tcBorders>
              <w:top w:val="double" w:sz="4" w:space="0" w:color="76923C"/>
              <w:left w:val="double" w:sz="4" w:space="0" w:color="76923C"/>
              <w:bottom w:val="double" w:sz="4" w:space="0" w:color="76923C"/>
              <w:right w:val="double" w:sz="4" w:space="0" w:color="76923C"/>
            </w:tcBorders>
            <w:vAlign w:val="center"/>
            <w:hideMark/>
          </w:tcPr>
          <w:p w14:paraId="38C77372" w14:textId="77777777" w:rsidR="006F5238" w:rsidRPr="00791593" w:rsidRDefault="006F5238" w:rsidP="006F5238">
            <w:pPr>
              <w:spacing w:after="0" w:line="240" w:lineRule="auto"/>
              <w:rPr>
                <w:rFonts w:ascii="Arial" w:eastAsia="Times New Roman" w:hAnsi="Arial" w:cs="Arial"/>
                <w:sz w:val="18"/>
                <w:szCs w:val="18"/>
                <w:lang w:eastAsia="es-MX"/>
              </w:rPr>
            </w:pPr>
          </w:p>
        </w:tc>
        <w:tc>
          <w:tcPr>
            <w:tcW w:w="1701" w:type="dxa"/>
            <w:tcBorders>
              <w:top w:val="double" w:sz="4" w:space="0" w:color="76923C"/>
              <w:left w:val="double" w:sz="4" w:space="0" w:color="76923C"/>
              <w:bottom w:val="double" w:sz="4" w:space="0" w:color="76923C"/>
              <w:right w:val="double" w:sz="4" w:space="0" w:color="76923C"/>
            </w:tcBorders>
            <w:vAlign w:val="center"/>
            <w:hideMark/>
          </w:tcPr>
          <w:p w14:paraId="56A4B6DA"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Suplente</w:t>
            </w:r>
          </w:p>
        </w:tc>
        <w:tc>
          <w:tcPr>
            <w:tcW w:w="2405" w:type="dxa"/>
            <w:tcBorders>
              <w:top w:val="double" w:sz="4" w:space="0" w:color="76923C"/>
              <w:left w:val="double" w:sz="4" w:space="0" w:color="76923C"/>
              <w:bottom w:val="double" w:sz="4" w:space="0" w:color="76923C"/>
              <w:right w:val="double" w:sz="4" w:space="0" w:color="76923C"/>
            </w:tcBorders>
            <w:vAlign w:val="center"/>
            <w:hideMark/>
          </w:tcPr>
          <w:p w14:paraId="0807AC41"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José Conrado Salazar Guzmán</w:t>
            </w:r>
          </w:p>
        </w:tc>
      </w:tr>
      <w:tr w:rsidR="006F5238" w:rsidRPr="00791593" w14:paraId="2E10826F" w14:textId="77777777" w:rsidTr="006F5238">
        <w:trPr>
          <w:trHeight w:val="560"/>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13BD147F"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Síndico Municipal</w:t>
            </w:r>
          </w:p>
        </w:tc>
        <w:tc>
          <w:tcPr>
            <w:tcW w:w="4106" w:type="dxa"/>
            <w:gridSpan w:val="2"/>
            <w:tcBorders>
              <w:top w:val="double" w:sz="4" w:space="0" w:color="76923C"/>
              <w:left w:val="double" w:sz="4" w:space="0" w:color="76923C"/>
              <w:right w:val="double" w:sz="4" w:space="0" w:color="76923C"/>
            </w:tcBorders>
            <w:vAlign w:val="center"/>
            <w:hideMark/>
          </w:tcPr>
          <w:p w14:paraId="57C7FBB7"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Antonio Isai Galicia Tapia</w:t>
            </w:r>
          </w:p>
        </w:tc>
      </w:tr>
      <w:tr w:rsidR="006F5238" w:rsidRPr="00791593" w14:paraId="63E869AF" w14:textId="77777777" w:rsidTr="006F5238">
        <w:trPr>
          <w:trHeight w:val="681"/>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4A68A5D4"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Regidor Primero o de Hacienda</w:t>
            </w:r>
          </w:p>
        </w:tc>
        <w:tc>
          <w:tcPr>
            <w:tcW w:w="4106" w:type="dxa"/>
            <w:gridSpan w:val="2"/>
            <w:tcBorders>
              <w:top w:val="double" w:sz="4" w:space="0" w:color="76923C"/>
              <w:left w:val="double" w:sz="4" w:space="0" w:color="76923C"/>
              <w:right w:val="double" w:sz="4" w:space="0" w:color="76923C"/>
            </w:tcBorders>
            <w:vAlign w:val="center"/>
            <w:hideMark/>
          </w:tcPr>
          <w:p w14:paraId="2BAE9720"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René Gregorio Salazar Mendoza</w:t>
            </w:r>
          </w:p>
        </w:tc>
      </w:tr>
      <w:tr w:rsidR="006F5238" w:rsidRPr="00791593" w14:paraId="798A7848" w14:textId="77777777" w:rsidTr="006F5238">
        <w:trPr>
          <w:trHeight w:val="691"/>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662B4E37"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Regidor Segundo o de Educación</w:t>
            </w:r>
          </w:p>
        </w:tc>
        <w:tc>
          <w:tcPr>
            <w:tcW w:w="4106" w:type="dxa"/>
            <w:gridSpan w:val="2"/>
            <w:tcBorders>
              <w:top w:val="double" w:sz="4" w:space="0" w:color="76923C"/>
              <w:left w:val="double" w:sz="4" w:space="0" w:color="76923C"/>
              <w:right w:val="double" w:sz="4" w:space="0" w:color="76923C"/>
            </w:tcBorders>
            <w:vAlign w:val="center"/>
            <w:hideMark/>
          </w:tcPr>
          <w:p w14:paraId="2664868C"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Abraham Pacheco Ramírez</w:t>
            </w:r>
          </w:p>
        </w:tc>
      </w:tr>
    </w:tbl>
    <w:p w14:paraId="503550AD" w14:textId="77777777" w:rsidR="006F5238" w:rsidRPr="00791593" w:rsidRDefault="006F5238" w:rsidP="006F5238">
      <w:pPr>
        <w:spacing w:before="100" w:beforeAutospacing="1" w:after="100" w:afterAutospacing="1" w:line="360" w:lineRule="auto"/>
        <w:ind w:firstLine="720"/>
        <w:jc w:val="both"/>
        <w:rPr>
          <w:rFonts w:ascii="Arial" w:eastAsia="Times New Roman" w:hAnsi="Arial" w:cs="Arial"/>
          <w:sz w:val="28"/>
          <w:szCs w:val="28"/>
          <w:lang w:eastAsia="es-MX"/>
        </w:rPr>
      </w:pPr>
      <w:r w:rsidRPr="00791593">
        <w:rPr>
          <w:rFonts w:ascii="Arial" w:eastAsia="Times New Roman" w:hAnsi="Arial" w:cs="Arial"/>
          <w:b/>
          <w:bCs/>
          <w:sz w:val="28"/>
          <w:szCs w:val="28"/>
          <w:lang w:val="es-ES" w:eastAsia="es-ES"/>
        </w:rPr>
        <w:t xml:space="preserve">4. </w:t>
      </w:r>
      <w:r w:rsidRPr="00791593">
        <w:rPr>
          <w:rFonts w:ascii="Arial" w:eastAsia="Times New Roman" w:hAnsi="Arial" w:cs="Arial"/>
          <w:b/>
          <w:bCs/>
          <w:sz w:val="28"/>
          <w:szCs w:val="28"/>
          <w:lang w:eastAsia="es-ES"/>
        </w:rPr>
        <w:t xml:space="preserve">Acta de Asamblea General Comunitaria de Elección. </w:t>
      </w:r>
      <w:r w:rsidRPr="00791593">
        <w:rPr>
          <w:rFonts w:ascii="Arial" w:eastAsia="Times New Roman" w:hAnsi="Arial" w:cs="Arial"/>
          <w:sz w:val="28"/>
          <w:szCs w:val="28"/>
          <w:lang w:eastAsia="es-MX"/>
        </w:rPr>
        <w:t>En el Acta de la Asamblea General Comunitaria, formulada con motivo de la mencionada elección de concejales, se agregó la lista de regidores y representantes municipales electos previamente, en su respectiva comunidad, para integrar el citado Ayuntamiento, como se precisa a continuación:</w:t>
      </w:r>
    </w:p>
    <w:tbl>
      <w:tblPr>
        <w:tblStyle w:val="Tablaconcuadrcula11"/>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1616"/>
        <w:gridCol w:w="2721"/>
        <w:gridCol w:w="2675"/>
      </w:tblGrid>
      <w:tr w:rsidR="006F5238" w:rsidRPr="00791593" w14:paraId="3F19F4C8" w14:textId="77777777" w:rsidTr="006F5238">
        <w:trPr>
          <w:trHeight w:val="244"/>
          <w:tblHeader/>
          <w:jc w:val="center"/>
        </w:trPr>
        <w:tc>
          <w:tcPr>
            <w:tcW w:w="7012" w:type="dxa"/>
            <w:gridSpan w:val="3"/>
            <w:tcBorders>
              <w:top w:val="double" w:sz="4" w:space="0" w:color="76923C"/>
              <w:left w:val="double" w:sz="4" w:space="0" w:color="76923C"/>
              <w:bottom w:val="double" w:sz="4" w:space="0" w:color="76923C"/>
              <w:right w:val="double" w:sz="4" w:space="0" w:color="76923C"/>
            </w:tcBorders>
            <w:shd w:val="pct15" w:color="76923C" w:fill="auto"/>
            <w:hideMark/>
          </w:tcPr>
          <w:p w14:paraId="2864D3B1" w14:textId="77777777" w:rsidR="006F5238" w:rsidRPr="00791593" w:rsidRDefault="006F5238" w:rsidP="006F5238">
            <w:pPr>
              <w:jc w:val="center"/>
              <w:rPr>
                <w:rFonts w:ascii="Arial" w:hAnsi="Arial" w:cs="Arial"/>
                <w:b/>
              </w:rPr>
            </w:pPr>
            <w:r w:rsidRPr="00791593">
              <w:rPr>
                <w:rFonts w:ascii="Arial" w:hAnsi="Arial" w:cs="Arial"/>
                <w:b/>
              </w:rPr>
              <w:t>Autoridades Municipales de las comunidades de San Sebastián Tecomaxtlahuaca</w:t>
            </w:r>
          </w:p>
        </w:tc>
      </w:tr>
      <w:tr w:rsidR="006F5238" w:rsidRPr="00791593" w14:paraId="1C0581B0" w14:textId="77777777" w:rsidTr="006F5238">
        <w:trPr>
          <w:trHeight w:val="186"/>
          <w:tblHeader/>
          <w:jc w:val="center"/>
        </w:trPr>
        <w:tc>
          <w:tcPr>
            <w:tcW w:w="1616" w:type="dxa"/>
            <w:tcBorders>
              <w:top w:val="double" w:sz="4" w:space="0" w:color="76923C"/>
              <w:left w:val="double" w:sz="4" w:space="0" w:color="76923C"/>
              <w:bottom w:val="double" w:sz="4" w:space="0" w:color="76923C"/>
              <w:right w:val="double" w:sz="4" w:space="0" w:color="76923C"/>
            </w:tcBorders>
            <w:shd w:val="pct15" w:color="76923C" w:fill="auto"/>
            <w:hideMark/>
          </w:tcPr>
          <w:p w14:paraId="61D0816F" w14:textId="77777777" w:rsidR="006F5238" w:rsidRPr="00791593" w:rsidRDefault="006F5238" w:rsidP="006F5238">
            <w:pPr>
              <w:jc w:val="center"/>
              <w:rPr>
                <w:rFonts w:ascii="Arial" w:hAnsi="Arial" w:cs="Arial"/>
                <w:b/>
                <w:lang w:val="es-ES"/>
              </w:rPr>
            </w:pPr>
            <w:r w:rsidRPr="00791593">
              <w:rPr>
                <w:rFonts w:ascii="Arial" w:hAnsi="Arial" w:cs="Arial"/>
                <w:b/>
                <w:lang w:val="es-ES"/>
              </w:rPr>
              <w:t>Cargo</w:t>
            </w:r>
          </w:p>
        </w:tc>
        <w:tc>
          <w:tcPr>
            <w:tcW w:w="2721" w:type="dxa"/>
            <w:tcBorders>
              <w:top w:val="double" w:sz="4" w:space="0" w:color="76923C"/>
              <w:left w:val="double" w:sz="4" w:space="0" w:color="76923C"/>
              <w:bottom w:val="double" w:sz="4" w:space="0" w:color="76923C"/>
              <w:right w:val="double" w:sz="4" w:space="0" w:color="76923C"/>
            </w:tcBorders>
            <w:shd w:val="pct15" w:color="76923C" w:fill="auto"/>
            <w:hideMark/>
          </w:tcPr>
          <w:p w14:paraId="170264EE" w14:textId="77777777" w:rsidR="006F5238" w:rsidRPr="00791593" w:rsidRDefault="006F5238" w:rsidP="006F5238">
            <w:pPr>
              <w:jc w:val="center"/>
              <w:rPr>
                <w:rFonts w:ascii="Arial" w:hAnsi="Arial" w:cs="Arial"/>
                <w:b/>
                <w:lang w:val="es-ES"/>
              </w:rPr>
            </w:pPr>
            <w:r w:rsidRPr="00791593">
              <w:rPr>
                <w:rFonts w:ascii="Arial" w:hAnsi="Arial" w:cs="Arial"/>
                <w:b/>
                <w:lang w:val="es-ES"/>
              </w:rPr>
              <w:t>Comunidad</w:t>
            </w:r>
          </w:p>
        </w:tc>
        <w:tc>
          <w:tcPr>
            <w:tcW w:w="2675" w:type="dxa"/>
            <w:tcBorders>
              <w:top w:val="double" w:sz="4" w:space="0" w:color="76923C"/>
              <w:left w:val="double" w:sz="4" w:space="0" w:color="76923C"/>
              <w:bottom w:val="double" w:sz="4" w:space="0" w:color="76923C"/>
              <w:right w:val="double" w:sz="4" w:space="0" w:color="76923C"/>
            </w:tcBorders>
            <w:shd w:val="pct15" w:color="76923C" w:fill="auto"/>
            <w:hideMark/>
          </w:tcPr>
          <w:p w14:paraId="51E6BDA0" w14:textId="77777777" w:rsidR="006F5238" w:rsidRPr="00791593" w:rsidRDefault="006F5238" w:rsidP="006F5238">
            <w:pPr>
              <w:jc w:val="center"/>
              <w:rPr>
                <w:rFonts w:ascii="Arial" w:hAnsi="Arial" w:cs="Arial"/>
                <w:b/>
                <w:lang w:val="es-ES"/>
              </w:rPr>
            </w:pPr>
            <w:r w:rsidRPr="00791593">
              <w:rPr>
                <w:rFonts w:ascii="Arial" w:hAnsi="Arial" w:cs="Arial"/>
                <w:b/>
                <w:lang w:val="es-ES"/>
              </w:rPr>
              <w:t>Nombres</w:t>
            </w:r>
          </w:p>
        </w:tc>
      </w:tr>
      <w:tr w:rsidR="006F5238" w:rsidRPr="00791593" w14:paraId="1A0BB599" w14:textId="77777777" w:rsidTr="006F5238">
        <w:trPr>
          <w:trHeight w:val="205"/>
          <w:jc w:val="center"/>
        </w:trPr>
        <w:tc>
          <w:tcPr>
            <w:tcW w:w="1616" w:type="dxa"/>
            <w:tcBorders>
              <w:top w:val="double" w:sz="4" w:space="0" w:color="76923C"/>
              <w:left w:val="double" w:sz="4" w:space="0" w:color="76923C"/>
              <w:bottom w:val="double" w:sz="4" w:space="0" w:color="76923C"/>
              <w:right w:val="double" w:sz="4" w:space="0" w:color="76923C"/>
            </w:tcBorders>
            <w:hideMark/>
          </w:tcPr>
          <w:p w14:paraId="1A4CF942" w14:textId="77777777" w:rsidR="006F5238" w:rsidRPr="00791593" w:rsidRDefault="006F5238" w:rsidP="006F5238">
            <w:pPr>
              <w:jc w:val="center"/>
              <w:rPr>
                <w:rFonts w:ascii="Arial" w:hAnsi="Arial" w:cs="Arial"/>
                <w:b/>
                <w:lang w:val="es-ES"/>
              </w:rPr>
            </w:pPr>
            <w:r w:rsidRPr="00791593">
              <w:rPr>
                <w:rFonts w:ascii="Arial" w:hAnsi="Arial" w:cs="Arial"/>
                <w:b/>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160314EC" w14:textId="77777777" w:rsidR="006F5238" w:rsidRPr="00791593" w:rsidRDefault="006F5238" w:rsidP="006F5238">
            <w:pPr>
              <w:jc w:val="center"/>
              <w:rPr>
                <w:rFonts w:ascii="Arial" w:hAnsi="Arial" w:cs="Arial"/>
                <w:lang w:val="es-ES"/>
              </w:rPr>
            </w:pPr>
            <w:r w:rsidRPr="00791593">
              <w:rPr>
                <w:rFonts w:ascii="Arial" w:hAnsi="Arial" w:cs="Arial"/>
                <w:lang w:val="es-ES"/>
              </w:rPr>
              <w:t>Barrio de Santa Rosa</w:t>
            </w:r>
          </w:p>
        </w:tc>
        <w:tc>
          <w:tcPr>
            <w:tcW w:w="2675" w:type="dxa"/>
            <w:tcBorders>
              <w:top w:val="double" w:sz="4" w:space="0" w:color="76923C"/>
              <w:left w:val="double" w:sz="4" w:space="0" w:color="76923C"/>
              <w:bottom w:val="double" w:sz="4" w:space="0" w:color="76923C"/>
              <w:right w:val="double" w:sz="4" w:space="0" w:color="76923C"/>
            </w:tcBorders>
            <w:hideMark/>
          </w:tcPr>
          <w:p w14:paraId="0F466134" w14:textId="77777777" w:rsidR="006F5238" w:rsidRPr="00791593" w:rsidRDefault="006F5238" w:rsidP="006F5238">
            <w:pPr>
              <w:jc w:val="center"/>
              <w:rPr>
                <w:rFonts w:ascii="Arial" w:hAnsi="Arial" w:cs="Arial"/>
              </w:rPr>
            </w:pPr>
            <w:r w:rsidRPr="00791593">
              <w:rPr>
                <w:rFonts w:ascii="Arial" w:hAnsi="Arial" w:cs="Arial"/>
              </w:rPr>
              <w:t>Fredy Mendoza Ramírez</w:t>
            </w:r>
          </w:p>
        </w:tc>
      </w:tr>
      <w:tr w:rsidR="006F5238" w:rsidRPr="00791593" w14:paraId="08AA5108" w14:textId="77777777" w:rsidTr="006F5238">
        <w:trPr>
          <w:trHeight w:val="259"/>
          <w:jc w:val="center"/>
        </w:trPr>
        <w:tc>
          <w:tcPr>
            <w:tcW w:w="1616" w:type="dxa"/>
            <w:tcBorders>
              <w:top w:val="double" w:sz="4" w:space="0" w:color="76923C"/>
              <w:left w:val="double" w:sz="4" w:space="0" w:color="76923C"/>
              <w:bottom w:val="double" w:sz="4" w:space="0" w:color="76923C"/>
              <w:right w:val="double" w:sz="4" w:space="0" w:color="76923C"/>
            </w:tcBorders>
            <w:hideMark/>
          </w:tcPr>
          <w:p w14:paraId="4E4280C7" w14:textId="77777777" w:rsidR="006F5238" w:rsidRPr="00791593" w:rsidRDefault="006F5238" w:rsidP="006F5238">
            <w:pPr>
              <w:jc w:val="center"/>
              <w:rPr>
                <w:rFonts w:ascii="Arial" w:hAnsi="Arial" w:cs="Arial"/>
                <w:b/>
                <w:lang w:val="es-ES"/>
              </w:rPr>
            </w:pPr>
            <w:r w:rsidRPr="00791593">
              <w:rPr>
                <w:rFonts w:ascii="Arial" w:hAnsi="Arial" w:cs="Arial"/>
                <w:b/>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68533618" w14:textId="77777777" w:rsidR="006F5238" w:rsidRPr="00791593" w:rsidRDefault="006F5238" w:rsidP="006F5238">
            <w:pPr>
              <w:jc w:val="center"/>
              <w:rPr>
                <w:rFonts w:ascii="Arial" w:hAnsi="Arial" w:cs="Arial"/>
                <w:lang w:val="es-ES"/>
              </w:rPr>
            </w:pPr>
            <w:r w:rsidRPr="00791593">
              <w:rPr>
                <w:rFonts w:ascii="Arial" w:hAnsi="Arial" w:cs="Arial"/>
                <w:lang w:val="es-ES"/>
              </w:rPr>
              <w:t>Barrio de San Sebastián</w:t>
            </w:r>
          </w:p>
        </w:tc>
        <w:tc>
          <w:tcPr>
            <w:tcW w:w="2675" w:type="dxa"/>
            <w:tcBorders>
              <w:top w:val="double" w:sz="4" w:space="0" w:color="76923C"/>
              <w:left w:val="double" w:sz="4" w:space="0" w:color="76923C"/>
              <w:bottom w:val="double" w:sz="4" w:space="0" w:color="76923C"/>
              <w:right w:val="double" w:sz="4" w:space="0" w:color="76923C"/>
            </w:tcBorders>
          </w:tcPr>
          <w:p w14:paraId="5B4F34D2" w14:textId="77777777" w:rsidR="006F5238" w:rsidRPr="00791593" w:rsidRDefault="006F5238" w:rsidP="006F5238">
            <w:pPr>
              <w:jc w:val="center"/>
              <w:rPr>
                <w:rFonts w:ascii="Arial" w:hAnsi="Arial" w:cs="Arial"/>
              </w:rPr>
            </w:pPr>
            <w:r w:rsidRPr="00791593">
              <w:rPr>
                <w:rFonts w:ascii="Arial" w:hAnsi="Arial" w:cs="Arial"/>
              </w:rPr>
              <w:t>José Jorge Martínez Cortes</w:t>
            </w:r>
          </w:p>
        </w:tc>
      </w:tr>
      <w:tr w:rsidR="006F5238" w:rsidRPr="00791593" w14:paraId="673FCC2E" w14:textId="77777777" w:rsidTr="006F5238">
        <w:trPr>
          <w:trHeight w:val="236"/>
          <w:jc w:val="center"/>
        </w:trPr>
        <w:tc>
          <w:tcPr>
            <w:tcW w:w="1616" w:type="dxa"/>
            <w:tcBorders>
              <w:top w:val="double" w:sz="4" w:space="0" w:color="76923C"/>
              <w:left w:val="double" w:sz="4" w:space="0" w:color="76923C"/>
              <w:bottom w:val="double" w:sz="4" w:space="0" w:color="76923C"/>
              <w:right w:val="double" w:sz="4" w:space="0" w:color="76923C"/>
            </w:tcBorders>
            <w:hideMark/>
          </w:tcPr>
          <w:p w14:paraId="08F3533C" w14:textId="77777777" w:rsidR="006F5238" w:rsidRPr="00791593" w:rsidRDefault="006F5238" w:rsidP="006F5238">
            <w:pPr>
              <w:jc w:val="center"/>
              <w:rPr>
                <w:rFonts w:ascii="Arial" w:hAnsi="Arial" w:cs="Arial"/>
                <w:b/>
                <w:lang w:val="es-ES"/>
              </w:rPr>
            </w:pPr>
            <w:r w:rsidRPr="00791593">
              <w:rPr>
                <w:rFonts w:ascii="Arial" w:hAnsi="Arial" w:cs="Arial"/>
                <w:b/>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79CCE887" w14:textId="77777777" w:rsidR="006F5238" w:rsidRPr="00791593" w:rsidRDefault="006F5238" w:rsidP="006F5238">
            <w:pPr>
              <w:jc w:val="center"/>
              <w:rPr>
                <w:rFonts w:ascii="Arial" w:hAnsi="Arial" w:cs="Arial"/>
                <w:lang w:val="es-ES"/>
              </w:rPr>
            </w:pPr>
            <w:r w:rsidRPr="00791593">
              <w:rPr>
                <w:rFonts w:ascii="Arial" w:hAnsi="Arial" w:cs="Arial"/>
                <w:lang w:val="es-ES"/>
              </w:rPr>
              <w:t>Barrio de San Pedro</w:t>
            </w:r>
          </w:p>
        </w:tc>
        <w:tc>
          <w:tcPr>
            <w:tcW w:w="2675" w:type="dxa"/>
            <w:tcBorders>
              <w:top w:val="double" w:sz="4" w:space="0" w:color="76923C"/>
              <w:left w:val="double" w:sz="4" w:space="0" w:color="76923C"/>
              <w:bottom w:val="double" w:sz="4" w:space="0" w:color="76923C"/>
              <w:right w:val="double" w:sz="4" w:space="0" w:color="76923C"/>
            </w:tcBorders>
            <w:hideMark/>
          </w:tcPr>
          <w:p w14:paraId="45018B0A" w14:textId="77777777" w:rsidR="006F5238" w:rsidRPr="00791593" w:rsidRDefault="006F5238" w:rsidP="006F5238">
            <w:pPr>
              <w:jc w:val="center"/>
              <w:rPr>
                <w:rFonts w:ascii="Arial" w:hAnsi="Arial" w:cs="Arial"/>
              </w:rPr>
            </w:pPr>
            <w:r w:rsidRPr="00791593">
              <w:rPr>
                <w:rFonts w:ascii="Arial" w:hAnsi="Arial" w:cs="Arial"/>
              </w:rPr>
              <w:t>Martín Filemón Luengas Vetanso</w:t>
            </w:r>
          </w:p>
        </w:tc>
      </w:tr>
      <w:tr w:rsidR="006F5238" w:rsidRPr="00791593" w14:paraId="0022BFF9" w14:textId="77777777" w:rsidTr="006F5238">
        <w:trPr>
          <w:trHeight w:val="274"/>
          <w:jc w:val="center"/>
        </w:trPr>
        <w:tc>
          <w:tcPr>
            <w:tcW w:w="1616" w:type="dxa"/>
            <w:tcBorders>
              <w:top w:val="double" w:sz="4" w:space="0" w:color="76923C"/>
              <w:left w:val="double" w:sz="4" w:space="0" w:color="76923C"/>
              <w:bottom w:val="double" w:sz="4" w:space="0" w:color="76923C"/>
              <w:right w:val="double" w:sz="4" w:space="0" w:color="76923C"/>
            </w:tcBorders>
            <w:hideMark/>
          </w:tcPr>
          <w:p w14:paraId="158900D7" w14:textId="77777777" w:rsidR="006F5238" w:rsidRPr="00791593" w:rsidRDefault="006F5238" w:rsidP="006F5238">
            <w:pPr>
              <w:jc w:val="center"/>
              <w:rPr>
                <w:rFonts w:ascii="Arial" w:hAnsi="Arial" w:cs="Arial"/>
                <w:b/>
                <w:lang w:val="es-ES"/>
              </w:rPr>
            </w:pPr>
            <w:r w:rsidRPr="00791593">
              <w:rPr>
                <w:rFonts w:ascii="Arial" w:hAnsi="Arial" w:cs="Arial"/>
                <w:b/>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43F202CF" w14:textId="77777777" w:rsidR="006F5238" w:rsidRPr="00791593" w:rsidRDefault="006F5238" w:rsidP="006F5238">
            <w:pPr>
              <w:jc w:val="center"/>
              <w:rPr>
                <w:rFonts w:ascii="Arial" w:hAnsi="Arial" w:cs="Arial"/>
                <w:lang w:val="es-ES"/>
              </w:rPr>
            </w:pPr>
            <w:r w:rsidRPr="00791593">
              <w:rPr>
                <w:rFonts w:ascii="Arial" w:hAnsi="Arial" w:cs="Arial"/>
                <w:lang w:val="es-ES"/>
              </w:rPr>
              <w:t>Sabino Solo</w:t>
            </w:r>
          </w:p>
        </w:tc>
        <w:tc>
          <w:tcPr>
            <w:tcW w:w="2675" w:type="dxa"/>
            <w:tcBorders>
              <w:top w:val="double" w:sz="4" w:space="0" w:color="76923C"/>
              <w:left w:val="double" w:sz="4" w:space="0" w:color="76923C"/>
              <w:bottom w:val="double" w:sz="4" w:space="0" w:color="76923C"/>
              <w:right w:val="double" w:sz="4" w:space="0" w:color="76923C"/>
            </w:tcBorders>
            <w:hideMark/>
          </w:tcPr>
          <w:p w14:paraId="36629CB6" w14:textId="77777777" w:rsidR="006F5238" w:rsidRPr="00791593" w:rsidRDefault="006F5238" w:rsidP="006F5238">
            <w:pPr>
              <w:jc w:val="center"/>
              <w:rPr>
                <w:rFonts w:ascii="Arial" w:hAnsi="Arial" w:cs="Arial"/>
              </w:rPr>
            </w:pPr>
            <w:r w:rsidRPr="00791593">
              <w:rPr>
                <w:rFonts w:ascii="Arial" w:hAnsi="Arial" w:cs="Arial"/>
              </w:rPr>
              <w:t>Carmelo García López</w:t>
            </w:r>
          </w:p>
        </w:tc>
      </w:tr>
      <w:tr w:rsidR="006F5238" w:rsidRPr="00791593" w14:paraId="0B8DB0DA" w14:textId="77777777" w:rsidTr="006F5238">
        <w:trPr>
          <w:trHeight w:val="264"/>
          <w:jc w:val="center"/>
        </w:trPr>
        <w:tc>
          <w:tcPr>
            <w:tcW w:w="1616" w:type="dxa"/>
            <w:tcBorders>
              <w:top w:val="double" w:sz="4" w:space="0" w:color="76923C"/>
              <w:left w:val="double" w:sz="4" w:space="0" w:color="76923C"/>
              <w:bottom w:val="double" w:sz="4" w:space="0" w:color="76923C"/>
              <w:right w:val="double" w:sz="4" w:space="0" w:color="76923C"/>
            </w:tcBorders>
            <w:hideMark/>
          </w:tcPr>
          <w:p w14:paraId="502B5C5E" w14:textId="77777777" w:rsidR="006F5238" w:rsidRPr="00791593" w:rsidRDefault="006F5238" w:rsidP="006F5238">
            <w:pPr>
              <w:jc w:val="center"/>
              <w:rPr>
                <w:rFonts w:ascii="Arial" w:hAnsi="Arial" w:cs="Arial"/>
                <w:b/>
                <w:lang w:val="es-ES"/>
              </w:rPr>
            </w:pPr>
            <w:r w:rsidRPr="00791593">
              <w:rPr>
                <w:rFonts w:ascii="Arial" w:hAnsi="Arial" w:cs="Arial"/>
                <w:b/>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2A8362BC" w14:textId="77777777" w:rsidR="006F5238" w:rsidRPr="00791593" w:rsidRDefault="006F5238" w:rsidP="006F5238">
            <w:pPr>
              <w:jc w:val="center"/>
              <w:rPr>
                <w:rFonts w:ascii="Arial" w:hAnsi="Arial" w:cs="Arial"/>
                <w:lang w:val="es-ES"/>
              </w:rPr>
            </w:pPr>
            <w:r w:rsidRPr="00791593">
              <w:rPr>
                <w:rFonts w:ascii="Arial" w:hAnsi="Arial" w:cs="Arial"/>
                <w:lang w:val="es-ES"/>
              </w:rPr>
              <w:t>Santa Cruz Rancho Viejo</w:t>
            </w:r>
          </w:p>
        </w:tc>
        <w:tc>
          <w:tcPr>
            <w:tcW w:w="2675" w:type="dxa"/>
            <w:tcBorders>
              <w:top w:val="double" w:sz="4" w:space="0" w:color="76923C"/>
              <w:left w:val="double" w:sz="4" w:space="0" w:color="76923C"/>
              <w:bottom w:val="double" w:sz="4" w:space="0" w:color="76923C"/>
              <w:right w:val="double" w:sz="4" w:space="0" w:color="76923C"/>
            </w:tcBorders>
            <w:hideMark/>
          </w:tcPr>
          <w:p w14:paraId="0D6F8D55" w14:textId="77777777" w:rsidR="006F5238" w:rsidRPr="00791593" w:rsidRDefault="006F5238" w:rsidP="006F5238">
            <w:pPr>
              <w:jc w:val="center"/>
              <w:rPr>
                <w:rFonts w:ascii="Arial" w:hAnsi="Arial" w:cs="Arial"/>
              </w:rPr>
            </w:pPr>
            <w:r w:rsidRPr="00791593">
              <w:rPr>
                <w:rFonts w:ascii="Arial" w:hAnsi="Arial" w:cs="Arial"/>
              </w:rPr>
              <w:t>Zacarías Santiago Salazar Guzmán</w:t>
            </w:r>
          </w:p>
        </w:tc>
      </w:tr>
      <w:tr w:rsidR="006F5238" w:rsidRPr="00791593" w14:paraId="05D34FE5" w14:textId="77777777" w:rsidTr="006F5238">
        <w:trPr>
          <w:trHeight w:val="213"/>
          <w:jc w:val="center"/>
        </w:trPr>
        <w:tc>
          <w:tcPr>
            <w:tcW w:w="1616" w:type="dxa"/>
            <w:tcBorders>
              <w:top w:val="double" w:sz="4" w:space="0" w:color="76923C"/>
              <w:left w:val="double" w:sz="4" w:space="0" w:color="76923C"/>
              <w:bottom w:val="double" w:sz="4" w:space="0" w:color="76923C"/>
              <w:right w:val="double" w:sz="4" w:space="0" w:color="76923C"/>
            </w:tcBorders>
            <w:hideMark/>
          </w:tcPr>
          <w:p w14:paraId="55C64CCC" w14:textId="77777777" w:rsidR="006F5238" w:rsidRPr="00791593" w:rsidRDefault="006F5238" w:rsidP="006F5238">
            <w:pPr>
              <w:jc w:val="center"/>
              <w:rPr>
                <w:rFonts w:ascii="Arial" w:hAnsi="Arial" w:cs="Arial"/>
                <w:b/>
                <w:lang w:val="es-ES"/>
              </w:rPr>
            </w:pPr>
            <w:r w:rsidRPr="00791593">
              <w:rPr>
                <w:rFonts w:ascii="Arial" w:hAnsi="Arial" w:cs="Arial"/>
                <w:b/>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337D1164" w14:textId="77777777" w:rsidR="006F5238" w:rsidRPr="00791593" w:rsidRDefault="006F5238" w:rsidP="006F5238">
            <w:pPr>
              <w:jc w:val="center"/>
              <w:rPr>
                <w:rFonts w:ascii="Arial" w:hAnsi="Arial" w:cs="Arial"/>
                <w:lang w:val="es-ES"/>
              </w:rPr>
            </w:pPr>
            <w:r w:rsidRPr="00791593">
              <w:rPr>
                <w:rFonts w:ascii="Arial" w:hAnsi="Arial" w:cs="Arial"/>
                <w:lang w:val="es-ES"/>
              </w:rPr>
              <w:t xml:space="preserve">Agua Buena </w:t>
            </w:r>
          </w:p>
        </w:tc>
        <w:tc>
          <w:tcPr>
            <w:tcW w:w="2675" w:type="dxa"/>
            <w:tcBorders>
              <w:top w:val="double" w:sz="4" w:space="0" w:color="76923C"/>
              <w:left w:val="double" w:sz="4" w:space="0" w:color="76923C"/>
              <w:bottom w:val="double" w:sz="4" w:space="0" w:color="76923C"/>
              <w:right w:val="double" w:sz="4" w:space="0" w:color="76923C"/>
            </w:tcBorders>
            <w:hideMark/>
          </w:tcPr>
          <w:p w14:paraId="6010F6A7" w14:textId="77777777" w:rsidR="006F5238" w:rsidRPr="00791593" w:rsidRDefault="006F5238" w:rsidP="006F5238">
            <w:pPr>
              <w:jc w:val="center"/>
              <w:rPr>
                <w:rFonts w:ascii="Arial" w:hAnsi="Arial" w:cs="Arial"/>
              </w:rPr>
            </w:pPr>
            <w:r w:rsidRPr="00791593">
              <w:rPr>
                <w:rFonts w:ascii="Arial" w:hAnsi="Arial" w:cs="Arial"/>
              </w:rPr>
              <w:t>Santiago Sierra Valverde</w:t>
            </w:r>
          </w:p>
        </w:tc>
      </w:tr>
      <w:tr w:rsidR="006F5238" w:rsidRPr="00791593" w14:paraId="22F3D271" w14:textId="77777777" w:rsidTr="006F5238">
        <w:trPr>
          <w:trHeight w:val="218"/>
          <w:jc w:val="center"/>
        </w:trPr>
        <w:tc>
          <w:tcPr>
            <w:tcW w:w="1616" w:type="dxa"/>
            <w:tcBorders>
              <w:top w:val="double" w:sz="4" w:space="0" w:color="76923C"/>
              <w:left w:val="double" w:sz="4" w:space="0" w:color="76923C"/>
              <w:bottom w:val="double" w:sz="4" w:space="0" w:color="76923C"/>
              <w:right w:val="double" w:sz="4" w:space="0" w:color="76923C"/>
            </w:tcBorders>
            <w:hideMark/>
          </w:tcPr>
          <w:p w14:paraId="16ACB4E6" w14:textId="77777777" w:rsidR="006F5238" w:rsidRPr="00791593" w:rsidRDefault="006F5238" w:rsidP="006F5238">
            <w:pPr>
              <w:jc w:val="center"/>
              <w:rPr>
                <w:rFonts w:ascii="Arial" w:hAnsi="Arial" w:cs="Arial"/>
                <w:b/>
                <w:lang w:val="es-ES"/>
              </w:rPr>
            </w:pPr>
            <w:r w:rsidRPr="00791593">
              <w:rPr>
                <w:rFonts w:ascii="Arial" w:hAnsi="Arial" w:cs="Arial"/>
                <w:b/>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7AA49193" w14:textId="77777777" w:rsidR="006F5238" w:rsidRPr="00791593" w:rsidRDefault="006F5238" w:rsidP="006F5238">
            <w:pPr>
              <w:jc w:val="center"/>
              <w:rPr>
                <w:rFonts w:ascii="Arial" w:hAnsi="Arial" w:cs="Arial"/>
                <w:lang w:val="es-ES"/>
              </w:rPr>
            </w:pPr>
            <w:r w:rsidRPr="00791593">
              <w:rPr>
                <w:rFonts w:ascii="Arial" w:hAnsi="Arial" w:cs="Arial"/>
              </w:rPr>
              <w:t>Tecomaxtlahuaca El Viejo</w:t>
            </w:r>
          </w:p>
        </w:tc>
        <w:tc>
          <w:tcPr>
            <w:tcW w:w="2675" w:type="dxa"/>
            <w:tcBorders>
              <w:top w:val="double" w:sz="4" w:space="0" w:color="76923C"/>
              <w:left w:val="double" w:sz="4" w:space="0" w:color="76923C"/>
              <w:bottom w:val="double" w:sz="4" w:space="0" w:color="76923C"/>
              <w:right w:val="double" w:sz="4" w:space="0" w:color="76923C"/>
            </w:tcBorders>
            <w:hideMark/>
          </w:tcPr>
          <w:p w14:paraId="1671B32F" w14:textId="77777777" w:rsidR="006F5238" w:rsidRPr="00791593" w:rsidRDefault="006F5238" w:rsidP="006F5238">
            <w:pPr>
              <w:jc w:val="center"/>
              <w:rPr>
                <w:rFonts w:ascii="Arial" w:hAnsi="Arial" w:cs="Arial"/>
              </w:rPr>
            </w:pPr>
            <w:r w:rsidRPr="00791593">
              <w:rPr>
                <w:rFonts w:ascii="Arial" w:hAnsi="Arial" w:cs="Arial"/>
              </w:rPr>
              <w:t>Luis Rogelio Mendoza Chávez</w:t>
            </w:r>
          </w:p>
        </w:tc>
      </w:tr>
      <w:tr w:rsidR="006F5238" w:rsidRPr="00791593" w14:paraId="6207E539" w14:textId="77777777" w:rsidTr="006F5238">
        <w:trPr>
          <w:trHeight w:val="218"/>
          <w:jc w:val="center"/>
        </w:trPr>
        <w:tc>
          <w:tcPr>
            <w:tcW w:w="1616" w:type="dxa"/>
            <w:tcBorders>
              <w:top w:val="double" w:sz="4" w:space="0" w:color="76923C"/>
              <w:left w:val="double" w:sz="4" w:space="0" w:color="76923C"/>
              <w:bottom w:val="double" w:sz="4" w:space="0" w:color="76923C"/>
              <w:right w:val="double" w:sz="4" w:space="0" w:color="76923C"/>
            </w:tcBorders>
            <w:hideMark/>
          </w:tcPr>
          <w:p w14:paraId="7EDCEDA6" w14:textId="77777777" w:rsidR="006F5238" w:rsidRPr="00791593" w:rsidRDefault="006F5238" w:rsidP="006F5238">
            <w:pPr>
              <w:jc w:val="center"/>
              <w:rPr>
                <w:rFonts w:ascii="Arial" w:hAnsi="Arial" w:cs="Arial"/>
                <w:b/>
                <w:lang w:val="es-ES"/>
              </w:rPr>
            </w:pPr>
            <w:r w:rsidRPr="00791593">
              <w:rPr>
                <w:rFonts w:ascii="Arial" w:hAnsi="Arial" w:cs="Arial"/>
                <w:b/>
                <w:lang w:val="es-ES"/>
              </w:rPr>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7C95E6C6" w14:textId="77777777" w:rsidR="006F5238" w:rsidRPr="00791593" w:rsidRDefault="006F5238" w:rsidP="006F5238">
            <w:pPr>
              <w:jc w:val="center"/>
              <w:rPr>
                <w:rFonts w:ascii="Arial" w:hAnsi="Arial" w:cs="Arial"/>
                <w:lang w:val="es-ES"/>
              </w:rPr>
            </w:pPr>
            <w:r w:rsidRPr="00791593">
              <w:rPr>
                <w:rFonts w:ascii="Arial" w:hAnsi="Arial" w:cs="Arial"/>
                <w:lang w:val="es-ES"/>
              </w:rPr>
              <w:t>Animas Yucuniciasi</w:t>
            </w:r>
          </w:p>
        </w:tc>
        <w:tc>
          <w:tcPr>
            <w:tcW w:w="2675" w:type="dxa"/>
            <w:tcBorders>
              <w:top w:val="double" w:sz="4" w:space="0" w:color="76923C"/>
              <w:left w:val="double" w:sz="4" w:space="0" w:color="76923C"/>
              <w:bottom w:val="double" w:sz="4" w:space="0" w:color="76923C"/>
              <w:right w:val="double" w:sz="4" w:space="0" w:color="76923C"/>
            </w:tcBorders>
          </w:tcPr>
          <w:p w14:paraId="1DC3224F" w14:textId="77777777" w:rsidR="006F5238" w:rsidRPr="00791593" w:rsidRDefault="006F5238" w:rsidP="006F5238">
            <w:pPr>
              <w:jc w:val="center"/>
              <w:rPr>
                <w:rFonts w:ascii="Arial" w:hAnsi="Arial" w:cs="Arial"/>
              </w:rPr>
            </w:pPr>
            <w:r w:rsidRPr="00791593">
              <w:rPr>
                <w:rFonts w:ascii="Arial" w:hAnsi="Arial" w:cs="Arial"/>
              </w:rPr>
              <w:t>Juan Alberto Luna Caramillo</w:t>
            </w:r>
          </w:p>
        </w:tc>
      </w:tr>
      <w:tr w:rsidR="006F5238" w:rsidRPr="00791593" w14:paraId="067F799B" w14:textId="77777777" w:rsidTr="006F5238">
        <w:trPr>
          <w:trHeight w:val="218"/>
          <w:jc w:val="center"/>
        </w:trPr>
        <w:tc>
          <w:tcPr>
            <w:tcW w:w="1616" w:type="dxa"/>
            <w:tcBorders>
              <w:top w:val="double" w:sz="4" w:space="0" w:color="76923C"/>
              <w:left w:val="double" w:sz="4" w:space="0" w:color="76923C"/>
              <w:bottom w:val="double" w:sz="4" w:space="0" w:color="76923C"/>
              <w:right w:val="double" w:sz="4" w:space="0" w:color="76923C"/>
            </w:tcBorders>
            <w:hideMark/>
          </w:tcPr>
          <w:p w14:paraId="63F1A235" w14:textId="77777777" w:rsidR="006F5238" w:rsidRPr="00791593" w:rsidRDefault="006F5238" w:rsidP="006F5238">
            <w:pPr>
              <w:jc w:val="center"/>
              <w:rPr>
                <w:rFonts w:ascii="Arial" w:hAnsi="Arial" w:cs="Arial"/>
                <w:b/>
                <w:lang w:val="es-ES"/>
              </w:rPr>
            </w:pPr>
            <w:r w:rsidRPr="00791593">
              <w:rPr>
                <w:rFonts w:ascii="Arial" w:hAnsi="Arial" w:cs="Arial"/>
                <w:b/>
                <w:lang w:val="es-ES"/>
              </w:rPr>
              <w:lastRenderedPageBreak/>
              <w:t>Regidor Municipal</w:t>
            </w:r>
          </w:p>
        </w:tc>
        <w:tc>
          <w:tcPr>
            <w:tcW w:w="2721" w:type="dxa"/>
            <w:tcBorders>
              <w:top w:val="double" w:sz="4" w:space="0" w:color="76923C"/>
              <w:left w:val="double" w:sz="4" w:space="0" w:color="76923C"/>
              <w:bottom w:val="double" w:sz="4" w:space="0" w:color="76923C"/>
              <w:right w:val="double" w:sz="4" w:space="0" w:color="76923C"/>
            </w:tcBorders>
            <w:hideMark/>
          </w:tcPr>
          <w:p w14:paraId="47E8B7AD" w14:textId="77777777" w:rsidR="006F5238" w:rsidRPr="00791593" w:rsidRDefault="006F5238" w:rsidP="006F5238">
            <w:pPr>
              <w:jc w:val="center"/>
              <w:rPr>
                <w:rFonts w:ascii="Arial" w:hAnsi="Arial" w:cs="Arial"/>
                <w:lang w:val="es-ES"/>
              </w:rPr>
            </w:pPr>
            <w:r w:rsidRPr="00791593">
              <w:rPr>
                <w:rFonts w:ascii="Arial" w:hAnsi="Arial" w:cs="Arial"/>
                <w:lang w:val="es-ES"/>
              </w:rPr>
              <w:t>Yosoyu</w:t>
            </w:r>
          </w:p>
        </w:tc>
        <w:tc>
          <w:tcPr>
            <w:tcW w:w="2675" w:type="dxa"/>
            <w:tcBorders>
              <w:top w:val="double" w:sz="4" w:space="0" w:color="76923C"/>
              <w:left w:val="double" w:sz="4" w:space="0" w:color="76923C"/>
              <w:bottom w:val="double" w:sz="4" w:space="0" w:color="76923C"/>
              <w:right w:val="double" w:sz="4" w:space="0" w:color="76923C"/>
            </w:tcBorders>
          </w:tcPr>
          <w:p w14:paraId="45DB3B51" w14:textId="77777777" w:rsidR="006F5238" w:rsidRPr="00791593" w:rsidRDefault="006F5238" w:rsidP="006F5238">
            <w:pPr>
              <w:jc w:val="center"/>
              <w:rPr>
                <w:rFonts w:ascii="Arial" w:hAnsi="Arial" w:cs="Arial"/>
              </w:rPr>
            </w:pPr>
            <w:r w:rsidRPr="00791593">
              <w:rPr>
                <w:rFonts w:ascii="Arial" w:hAnsi="Arial" w:cs="Arial"/>
              </w:rPr>
              <w:t>Leobardo Catalino Cruz Hernández</w:t>
            </w:r>
          </w:p>
        </w:tc>
      </w:tr>
      <w:tr w:rsidR="006F5238" w:rsidRPr="00791593" w14:paraId="5940CDE5" w14:textId="77777777" w:rsidTr="006F5238">
        <w:trPr>
          <w:trHeight w:val="218"/>
          <w:jc w:val="center"/>
        </w:trPr>
        <w:tc>
          <w:tcPr>
            <w:tcW w:w="1616" w:type="dxa"/>
            <w:tcBorders>
              <w:top w:val="double" w:sz="4" w:space="0" w:color="76923C"/>
              <w:left w:val="double" w:sz="4" w:space="0" w:color="76923C"/>
              <w:bottom w:val="double" w:sz="4" w:space="0" w:color="76923C"/>
              <w:right w:val="double" w:sz="4" w:space="0" w:color="76923C"/>
            </w:tcBorders>
            <w:hideMark/>
          </w:tcPr>
          <w:p w14:paraId="6368E75A" w14:textId="77777777" w:rsidR="006F5238" w:rsidRPr="00791593" w:rsidRDefault="006F5238" w:rsidP="006F5238">
            <w:pPr>
              <w:jc w:val="center"/>
              <w:rPr>
                <w:rFonts w:ascii="Arial" w:hAnsi="Arial" w:cs="Arial"/>
                <w:b/>
                <w:lang w:val="es-ES"/>
              </w:rPr>
            </w:pPr>
            <w:r w:rsidRPr="00791593">
              <w:rPr>
                <w:rFonts w:ascii="Arial" w:hAnsi="Arial" w:cs="Arial"/>
                <w:b/>
                <w:lang w:val="es-ES"/>
              </w:rPr>
              <w:t>Representante Municipal</w:t>
            </w:r>
          </w:p>
        </w:tc>
        <w:tc>
          <w:tcPr>
            <w:tcW w:w="2721" w:type="dxa"/>
            <w:tcBorders>
              <w:top w:val="double" w:sz="4" w:space="0" w:color="76923C"/>
              <w:left w:val="double" w:sz="4" w:space="0" w:color="76923C"/>
              <w:bottom w:val="double" w:sz="4" w:space="0" w:color="76923C"/>
              <w:right w:val="double" w:sz="4" w:space="0" w:color="76923C"/>
            </w:tcBorders>
            <w:hideMark/>
          </w:tcPr>
          <w:p w14:paraId="4A8062CD" w14:textId="77777777" w:rsidR="006F5238" w:rsidRPr="00791593" w:rsidRDefault="006F5238" w:rsidP="006F5238">
            <w:pPr>
              <w:jc w:val="center"/>
              <w:rPr>
                <w:rFonts w:ascii="Arial" w:hAnsi="Arial" w:cs="Arial"/>
                <w:lang w:val="es-ES"/>
              </w:rPr>
            </w:pPr>
            <w:r w:rsidRPr="00791593">
              <w:rPr>
                <w:rFonts w:ascii="Arial" w:hAnsi="Arial" w:cs="Arial"/>
                <w:lang w:val="es-ES"/>
              </w:rPr>
              <w:t>El Mogote</w:t>
            </w:r>
          </w:p>
        </w:tc>
        <w:tc>
          <w:tcPr>
            <w:tcW w:w="2675" w:type="dxa"/>
            <w:tcBorders>
              <w:top w:val="double" w:sz="4" w:space="0" w:color="76923C"/>
              <w:left w:val="double" w:sz="4" w:space="0" w:color="76923C"/>
              <w:bottom w:val="double" w:sz="4" w:space="0" w:color="76923C"/>
              <w:right w:val="double" w:sz="4" w:space="0" w:color="76923C"/>
            </w:tcBorders>
          </w:tcPr>
          <w:p w14:paraId="3A5B3D05" w14:textId="77777777" w:rsidR="006F5238" w:rsidRPr="00791593" w:rsidRDefault="006F5238" w:rsidP="006F5238">
            <w:pPr>
              <w:jc w:val="center"/>
              <w:rPr>
                <w:rFonts w:ascii="Arial" w:hAnsi="Arial" w:cs="Arial"/>
              </w:rPr>
            </w:pPr>
            <w:r w:rsidRPr="00791593">
              <w:rPr>
                <w:rFonts w:ascii="Arial" w:hAnsi="Arial" w:cs="Arial"/>
              </w:rPr>
              <w:t>Marcial Domínguez Miranda</w:t>
            </w:r>
          </w:p>
        </w:tc>
      </w:tr>
      <w:tr w:rsidR="006F5238" w:rsidRPr="00791593" w14:paraId="57C30334" w14:textId="77777777" w:rsidTr="006F5238">
        <w:trPr>
          <w:trHeight w:val="218"/>
          <w:jc w:val="center"/>
        </w:trPr>
        <w:tc>
          <w:tcPr>
            <w:tcW w:w="1616" w:type="dxa"/>
            <w:tcBorders>
              <w:top w:val="double" w:sz="4" w:space="0" w:color="76923C"/>
              <w:left w:val="double" w:sz="4" w:space="0" w:color="76923C"/>
              <w:bottom w:val="double" w:sz="4" w:space="0" w:color="76923C"/>
              <w:right w:val="double" w:sz="4" w:space="0" w:color="76923C"/>
            </w:tcBorders>
            <w:hideMark/>
          </w:tcPr>
          <w:p w14:paraId="2627A54E" w14:textId="77777777" w:rsidR="006F5238" w:rsidRPr="00791593" w:rsidRDefault="006F5238" w:rsidP="006F5238">
            <w:pPr>
              <w:jc w:val="center"/>
              <w:rPr>
                <w:rFonts w:ascii="Arial" w:hAnsi="Arial" w:cs="Arial"/>
                <w:b/>
                <w:lang w:val="es-ES"/>
              </w:rPr>
            </w:pPr>
            <w:r w:rsidRPr="00791593">
              <w:rPr>
                <w:rFonts w:ascii="Arial" w:hAnsi="Arial" w:cs="Arial"/>
                <w:b/>
                <w:lang w:val="es-ES"/>
              </w:rPr>
              <w:t>Representante Municipal</w:t>
            </w:r>
          </w:p>
        </w:tc>
        <w:tc>
          <w:tcPr>
            <w:tcW w:w="2721" w:type="dxa"/>
            <w:tcBorders>
              <w:top w:val="double" w:sz="4" w:space="0" w:color="76923C"/>
              <w:left w:val="double" w:sz="4" w:space="0" w:color="76923C"/>
              <w:bottom w:val="double" w:sz="4" w:space="0" w:color="76923C"/>
              <w:right w:val="double" w:sz="4" w:space="0" w:color="76923C"/>
            </w:tcBorders>
            <w:hideMark/>
          </w:tcPr>
          <w:p w14:paraId="59FD7661" w14:textId="77777777" w:rsidR="006F5238" w:rsidRPr="00791593" w:rsidRDefault="006F5238" w:rsidP="006F5238">
            <w:pPr>
              <w:jc w:val="center"/>
              <w:rPr>
                <w:rFonts w:ascii="Arial" w:hAnsi="Arial" w:cs="Arial"/>
                <w:lang w:val="es-ES"/>
              </w:rPr>
            </w:pPr>
            <w:r w:rsidRPr="00791593">
              <w:rPr>
                <w:rFonts w:ascii="Arial" w:hAnsi="Arial" w:cs="Arial"/>
                <w:lang w:val="es-ES"/>
              </w:rPr>
              <w:t>Los Rendón</w:t>
            </w:r>
          </w:p>
        </w:tc>
        <w:tc>
          <w:tcPr>
            <w:tcW w:w="2675" w:type="dxa"/>
            <w:tcBorders>
              <w:top w:val="double" w:sz="4" w:space="0" w:color="76923C"/>
              <w:left w:val="double" w:sz="4" w:space="0" w:color="76923C"/>
              <w:bottom w:val="double" w:sz="4" w:space="0" w:color="76923C"/>
              <w:right w:val="double" w:sz="4" w:space="0" w:color="76923C"/>
            </w:tcBorders>
          </w:tcPr>
          <w:p w14:paraId="6BB3474B" w14:textId="77777777" w:rsidR="006F5238" w:rsidRPr="00791593" w:rsidRDefault="006F5238" w:rsidP="006F5238">
            <w:pPr>
              <w:jc w:val="center"/>
              <w:rPr>
                <w:rFonts w:ascii="Arial" w:hAnsi="Arial" w:cs="Arial"/>
              </w:rPr>
            </w:pPr>
            <w:r w:rsidRPr="00791593">
              <w:rPr>
                <w:rFonts w:ascii="Arial" w:hAnsi="Arial" w:cs="Arial"/>
              </w:rPr>
              <w:t>------</w:t>
            </w:r>
          </w:p>
        </w:tc>
      </w:tr>
      <w:tr w:rsidR="006F5238" w:rsidRPr="00791593" w14:paraId="0225E5F6" w14:textId="77777777" w:rsidTr="006F5238">
        <w:trPr>
          <w:trHeight w:val="218"/>
          <w:jc w:val="center"/>
        </w:trPr>
        <w:tc>
          <w:tcPr>
            <w:tcW w:w="1616" w:type="dxa"/>
            <w:tcBorders>
              <w:top w:val="double" w:sz="4" w:space="0" w:color="76923C"/>
              <w:left w:val="double" w:sz="4" w:space="0" w:color="76923C"/>
              <w:bottom w:val="double" w:sz="4" w:space="0" w:color="76923C"/>
              <w:right w:val="double" w:sz="4" w:space="0" w:color="76923C"/>
            </w:tcBorders>
            <w:hideMark/>
          </w:tcPr>
          <w:p w14:paraId="6F5EBE93" w14:textId="77777777" w:rsidR="006F5238" w:rsidRPr="00791593" w:rsidRDefault="006F5238" w:rsidP="006F5238">
            <w:pPr>
              <w:jc w:val="center"/>
              <w:rPr>
                <w:rFonts w:ascii="Arial" w:hAnsi="Arial" w:cs="Arial"/>
                <w:b/>
                <w:lang w:val="es-ES"/>
              </w:rPr>
            </w:pPr>
            <w:r w:rsidRPr="00791593">
              <w:rPr>
                <w:rFonts w:ascii="Arial" w:hAnsi="Arial" w:cs="Arial"/>
                <w:b/>
                <w:lang w:val="es-ES"/>
              </w:rPr>
              <w:t>Representante Municipal</w:t>
            </w:r>
          </w:p>
        </w:tc>
        <w:tc>
          <w:tcPr>
            <w:tcW w:w="2721" w:type="dxa"/>
            <w:tcBorders>
              <w:top w:val="double" w:sz="4" w:space="0" w:color="76923C"/>
              <w:left w:val="double" w:sz="4" w:space="0" w:color="76923C"/>
              <w:bottom w:val="double" w:sz="4" w:space="0" w:color="76923C"/>
              <w:right w:val="double" w:sz="4" w:space="0" w:color="76923C"/>
            </w:tcBorders>
            <w:hideMark/>
          </w:tcPr>
          <w:p w14:paraId="20C201B1" w14:textId="77777777" w:rsidR="006F5238" w:rsidRPr="00791593" w:rsidRDefault="006F5238" w:rsidP="006F5238">
            <w:pPr>
              <w:jc w:val="center"/>
              <w:rPr>
                <w:rFonts w:ascii="Arial" w:hAnsi="Arial" w:cs="Arial"/>
                <w:lang w:val="es-ES"/>
              </w:rPr>
            </w:pPr>
            <w:r w:rsidRPr="00791593">
              <w:rPr>
                <w:rFonts w:ascii="Arial" w:hAnsi="Arial" w:cs="Arial"/>
                <w:lang w:val="es-ES"/>
              </w:rPr>
              <w:t>Los Avarado</w:t>
            </w:r>
          </w:p>
        </w:tc>
        <w:tc>
          <w:tcPr>
            <w:tcW w:w="2675" w:type="dxa"/>
            <w:tcBorders>
              <w:top w:val="double" w:sz="4" w:space="0" w:color="76923C"/>
              <w:left w:val="double" w:sz="4" w:space="0" w:color="76923C"/>
              <w:bottom w:val="double" w:sz="4" w:space="0" w:color="76923C"/>
              <w:right w:val="double" w:sz="4" w:space="0" w:color="76923C"/>
            </w:tcBorders>
          </w:tcPr>
          <w:p w14:paraId="4DC7B98B" w14:textId="77777777" w:rsidR="006F5238" w:rsidRPr="00791593" w:rsidRDefault="006F5238" w:rsidP="006F5238">
            <w:pPr>
              <w:jc w:val="center"/>
              <w:rPr>
                <w:rFonts w:ascii="Arial" w:hAnsi="Arial" w:cs="Arial"/>
              </w:rPr>
            </w:pPr>
            <w:r w:rsidRPr="00791593">
              <w:rPr>
                <w:rFonts w:ascii="Arial" w:hAnsi="Arial" w:cs="Arial"/>
              </w:rPr>
              <w:t>Elesban Sánchez Marín</w:t>
            </w:r>
          </w:p>
        </w:tc>
      </w:tr>
    </w:tbl>
    <w:p w14:paraId="02F3C764" w14:textId="77777777" w:rsidR="006F5238" w:rsidRPr="00791593" w:rsidRDefault="006F5238" w:rsidP="006F5238">
      <w:pPr>
        <w:spacing w:before="100" w:beforeAutospacing="1" w:after="100" w:afterAutospacing="1" w:line="360" w:lineRule="auto"/>
        <w:ind w:firstLine="720"/>
        <w:jc w:val="both"/>
        <w:rPr>
          <w:rFonts w:ascii="Arial" w:eastAsia="Times New Roman" w:hAnsi="Arial" w:cs="Arial"/>
          <w:bCs/>
          <w:sz w:val="28"/>
          <w:szCs w:val="28"/>
          <w:lang w:eastAsia="es-ES"/>
        </w:rPr>
      </w:pPr>
      <w:r w:rsidRPr="00791593">
        <w:rPr>
          <w:rFonts w:ascii="Arial" w:eastAsia="Times New Roman" w:hAnsi="Arial" w:cs="Arial"/>
          <w:bCs/>
          <w:sz w:val="28"/>
          <w:szCs w:val="28"/>
          <w:lang w:eastAsia="es-ES"/>
        </w:rPr>
        <w:t xml:space="preserve">Cabe mencionar que la planilla que obtuvo el segundo lugar, en la aludida elección, estuvo integrada por los siguientes ciudadanos: </w:t>
      </w: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427"/>
        <w:gridCol w:w="1103"/>
        <w:gridCol w:w="2548"/>
      </w:tblGrid>
      <w:tr w:rsidR="006F5238" w:rsidRPr="00791593" w14:paraId="55D6EA60" w14:textId="77777777" w:rsidTr="006F5238">
        <w:trPr>
          <w:trHeight w:val="265"/>
          <w:tblHeader/>
          <w:jc w:val="center"/>
        </w:trPr>
        <w:tc>
          <w:tcPr>
            <w:tcW w:w="6078" w:type="dxa"/>
            <w:gridSpan w:val="3"/>
            <w:tcBorders>
              <w:top w:val="double" w:sz="4" w:space="0" w:color="76923C"/>
              <w:left w:val="double" w:sz="4" w:space="0" w:color="76923C"/>
              <w:bottom w:val="double" w:sz="4" w:space="0" w:color="76923C"/>
              <w:right w:val="double" w:sz="4" w:space="0" w:color="76923C"/>
            </w:tcBorders>
            <w:shd w:val="pct15" w:color="76923C" w:fill="auto"/>
            <w:hideMark/>
          </w:tcPr>
          <w:p w14:paraId="5D350392"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18"/>
                <w:szCs w:val="18"/>
                <w:lang w:eastAsia="es-MX"/>
              </w:rPr>
            </w:pPr>
            <w:r w:rsidRPr="00791593">
              <w:rPr>
                <w:rFonts w:ascii="Arial" w:eastAsia="Times New Roman" w:hAnsi="Arial" w:cs="Arial"/>
                <w:b/>
                <w:sz w:val="18"/>
                <w:szCs w:val="18"/>
                <w:lang w:eastAsia="es-MX"/>
              </w:rPr>
              <w:t>Planilla DOS</w:t>
            </w:r>
          </w:p>
        </w:tc>
      </w:tr>
      <w:tr w:rsidR="006F5238" w:rsidRPr="00791593" w14:paraId="1962966F" w14:textId="77777777" w:rsidTr="006F5238">
        <w:trPr>
          <w:trHeight w:val="265"/>
          <w:tblHeader/>
          <w:jc w:val="center"/>
        </w:trPr>
        <w:tc>
          <w:tcPr>
            <w:tcW w:w="2427" w:type="dxa"/>
            <w:tcBorders>
              <w:top w:val="double" w:sz="4" w:space="0" w:color="76923C"/>
              <w:left w:val="double" w:sz="4" w:space="0" w:color="76923C"/>
              <w:bottom w:val="double" w:sz="4" w:space="0" w:color="76923C"/>
              <w:right w:val="double" w:sz="4" w:space="0" w:color="76923C"/>
            </w:tcBorders>
            <w:shd w:val="pct15" w:color="76923C" w:fill="auto"/>
            <w:hideMark/>
          </w:tcPr>
          <w:p w14:paraId="30EA3E1E"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18"/>
                <w:szCs w:val="18"/>
                <w:lang w:eastAsia="es-MX"/>
              </w:rPr>
            </w:pPr>
            <w:r w:rsidRPr="00791593">
              <w:rPr>
                <w:rFonts w:ascii="Arial" w:eastAsia="Times New Roman" w:hAnsi="Arial" w:cs="Arial"/>
                <w:b/>
                <w:sz w:val="18"/>
                <w:szCs w:val="18"/>
                <w:lang w:eastAsia="es-MX"/>
              </w:rPr>
              <w:t>Cargo</w:t>
            </w:r>
          </w:p>
        </w:tc>
        <w:tc>
          <w:tcPr>
            <w:tcW w:w="3651" w:type="dxa"/>
            <w:gridSpan w:val="2"/>
            <w:tcBorders>
              <w:top w:val="double" w:sz="4" w:space="0" w:color="76923C"/>
              <w:left w:val="double" w:sz="4" w:space="0" w:color="76923C"/>
              <w:bottom w:val="double" w:sz="4" w:space="0" w:color="76923C"/>
              <w:right w:val="double" w:sz="4" w:space="0" w:color="76923C"/>
            </w:tcBorders>
            <w:shd w:val="pct15" w:color="76923C" w:fill="auto"/>
            <w:hideMark/>
          </w:tcPr>
          <w:p w14:paraId="255DC530"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18"/>
                <w:szCs w:val="18"/>
                <w:lang w:eastAsia="es-MX"/>
              </w:rPr>
            </w:pPr>
            <w:r w:rsidRPr="00791593">
              <w:rPr>
                <w:rFonts w:ascii="Arial" w:eastAsia="Times New Roman" w:hAnsi="Arial" w:cs="Arial"/>
                <w:b/>
                <w:sz w:val="18"/>
                <w:szCs w:val="18"/>
                <w:lang w:eastAsia="es-MX"/>
              </w:rPr>
              <w:t>Nombre</w:t>
            </w:r>
          </w:p>
        </w:tc>
      </w:tr>
      <w:tr w:rsidR="006F5238" w:rsidRPr="00791593" w14:paraId="5617B6D3" w14:textId="77777777" w:rsidTr="006F5238">
        <w:trPr>
          <w:trHeight w:val="265"/>
          <w:jc w:val="center"/>
        </w:trPr>
        <w:tc>
          <w:tcPr>
            <w:tcW w:w="2427" w:type="dxa"/>
            <w:vMerge w:val="restart"/>
            <w:tcBorders>
              <w:top w:val="double" w:sz="4" w:space="0" w:color="76923C"/>
              <w:left w:val="double" w:sz="4" w:space="0" w:color="76923C"/>
              <w:bottom w:val="double" w:sz="4" w:space="0" w:color="76923C"/>
              <w:right w:val="double" w:sz="4" w:space="0" w:color="76923C"/>
            </w:tcBorders>
            <w:vAlign w:val="center"/>
            <w:hideMark/>
          </w:tcPr>
          <w:p w14:paraId="7631EB8D"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Presidente Municipal</w:t>
            </w:r>
          </w:p>
        </w:tc>
        <w:tc>
          <w:tcPr>
            <w:tcW w:w="1103" w:type="dxa"/>
            <w:tcBorders>
              <w:top w:val="double" w:sz="4" w:space="0" w:color="76923C"/>
              <w:left w:val="double" w:sz="4" w:space="0" w:color="76923C"/>
              <w:bottom w:val="double" w:sz="4" w:space="0" w:color="76923C"/>
              <w:right w:val="double" w:sz="4" w:space="0" w:color="76923C"/>
            </w:tcBorders>
            <w:vAlign w:val="center"/>
            <w:hideMark/>
          </w:tcPr>
          <w:p w14:paraId="74266825"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Propietario</w:t>
            </w:r>
          </w:p>
        </w:tc>
        <w:tc>
          <w:tcPr>
            <w:tcW w:w="2548" w:type="dxa"/>
            <w:tcBorders>
              <w:top w:val="double" w:sz="4" w:space="0" w:color="76923C"/>
              <w:left w:val="double" w:sz="4" w:space="0" w:color="76923C"/>
              <w:bottom w:val="double" w:sz="4" w:space="0" w:color="76923C"/>
              <w:right w:val="double" w:sz="4" w:space="0" w:color="76923C"/>
            </w:tcBorders>
            <w:vAlign w:val="center"/>
            <w:hideMark/>
          </w:tcPr>
          <w:p w14:paraId="00765140"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Alfonso Alvarado Martínez</w:t>
            </w:r>
          </w:p>
        </w:tc>
      </w:tr>
      <w:tr w:rsidR="006F5238" w:rsidRPr="00791593" w14:paraId="51685478" w14:textId="77777777" w:rsidTr="006F5238">
        <w:trPr>
          <w:trHeight w:val="265"/>
          <w:jc w:val="center"/>
        </w:trPr>
        <w:tc>
          <w:tcPr>
            <w:tcW w:w="2427" w:type="dxa"/>
            <w:vMerge/>
            <w:tcBorders>
              <w:top w:val="double" w:sz="4" w:space="0" w:color="76923C"/>
              <w:left w:val="double" w:sz="4" w:space="0" w:color="76923C"/>
              <w:bottom w:val="double" w:sz="4" w:space="0" w:color="76923C"/>
              <w:right w:val="double" w:sz="4" w:space="0" w:color="76923C"/>
            </w:tcBorders>
            <w:vAlign w:val="center"/>
            <w:hideMark/>
          </w:tcPr>
          <w:p w14:paraId="66CDADCB" w14:textId="77777777" w:rsidR="006F5238" w:rsidRPr="00791593" w:rsidRDefault="006F5238" w:rsidP="006F5238">
            <w:pPr>
              <w:spacing w:after="0" w:line="240" w:lineRule="auto"/>
              <w:rPr>
                <w:rFonts w:ascii="Arial" w:eastAsia="Times New Roman" w:hAnsi="Arial" w:cs="Arial"/>
                <w:sz w:val="18"/>
                <w:szCs w:val="18"/>
                <w:lang w:eastAsia="es-MX"/>
              </w:rPr>
            </w:pPr>
          </w:p>
        </w:tc>
        <w:tc>
          <w:tcPr>
            <w:tcW w:w="1103" w:type="dxa"/>
            <w:tcBorders>
              <w:top w:val="double" w:sz="4" w:space="0" w:color="76923C"/>
              <w:left w:val="double" w:sz="4" w:space="0" w:color="76923C"/>
              <w:bottom w:val="double" w:sz="4" w:space="0" w:color="76923C"/>
              <w:right w:val="double" w:sz="4" w:space="0" w:color="76923C"/>
            </w:tcBorders>
            <w:vAlign w:val="center"/>
            <w:hideMark/>
          </w:tcPr>
          <w:p w14:paraId="7B9134B0"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Suplente</w:t>
            </w:r>
          </w:p>
        </w:tc>
        <w:tc>
          <w:tcPr>
            <w:tcW w:w="2548" w:type="dxa"/>
            <w:tcBorders>
              <w:top w:val="double" w:sz="4" w:space="0" w:color="76923C"/>
              <w:left w:val="double" w:sz="4" w:space="0" w:color="76923C"/>
              <w:bottom w:val="double" w:sz="4" w:space="0" w:color="76923C"/>
              <w:right w:val="double" w:sz="4" w:space="0" w:color="76923C"/>
            </w:tcBorders>
            <w:vAlign w:val="center"/>
            <w:hideMark/>
          </w:tcPr>
          <w:p w14:paraId="0C9F2C04"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Javier Alvarado Luna</w:t>
            </w:r>
          </w:p>
        </w:tc>
      </w:tr>
      <w:tr w:rsidR="006F5238" w:rsidRPr="00791593" w14:paraId="2642D77A" w14:textId="77777777" w:rsidTr="006F5238">
        <w:trPr>
          <w:trHeight w:val="560"/>
          <w:jc w:val="center"/>
        </w:trPr>
        <w:tc>
          <w:tcPr>
            <w:tcW w:w="2427" w:type="dxa"/>
            <w:tcBorders>
              <w:top w:val="double" w:sz="4" w:space="0" w:color="76923C"/>
              <w:left w:val="double" w:sz="4" w:space="0" w:color="76923C"/>
              <w:bottom w:val="double" w:sz="4" w:space="0" w:color="76923C"/>
              <w:right w:val="double" w:sz="4" w:space="0" w:color="76923C"/>
            </w:tcBorders>
            <w:vAlign w:val="center"/>
            <w:hideMark/>
          </w:tcPr>
          <w:p w14:paraId="2A7D5038"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Síndico Municipal</w:t>
            </w:r>
          </w:p>
        </w:tc>
        <w:tc>
          <w:tcPr>
            <w:tcW w:w="3651" w:type="dxa"/>
            <w:gridSpan w:val="2"/>
            <w:tcBorders>
              <w:top w:val="double" w:sz="4" w:space="0" w:color="76923C"/>
              <w:left w:val="double" w:sz="4" w:space="0" w:color="76923C"/>
              <w:right w:val="double" w:sz="4" w:space="0" w:color="76923C"/>
            </w:tcBorders>
            <w:vAlign w:val="center"/>
            <w:hideMark/>
          </w:tcPr>
          <w:p w14:paraId="247B38E8"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Adán Zafra Torralba</w:t>
            </w:r>
          </w:p>
        </w:tc>
      </w:tr>
      <w:tr w:rsidR="006F5238" w:rsidRPr="00791593" w14:paraId="70651F46" w14:textId="77777777" w:rsidTr="006F5238">
        <w:trPr>
          <w:trHeight w:val="683"/>
          <w:jc w:val="center"/>
        </w:trPr>
        <w:tc>
          <w:tcPr>
            <w:tcW w:w="2427" w:type="dxa"/>
            <w:tcBorders>
              <w:top w:val="double" w:sz="4" w:space="0" w:color="76923C"/>
              <w:left w:val="double" w:sz="4" w:space="0" w:color="76923C"/>
              <w:bottom w:val="double" w:sz="4" w:space="0" w:color="76923C"/>
              <w:right w:val="double" w:sz="4" w:space="0" w:color="76923C"/>
            </w:tcBorders>
            <w:vAlign w:val="center"/>
            <w:hideMark/>
          </w:tcPr>
          <w:p w14:paraId="6D5129D3"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Regidor Primero o de Hacienda</w:t>
            </w:r>
          </w:p>
        </w:tc>
        <w:tc>
          <w:tcPr>
            <w:tcW w:w="3651" w:type="dxa"/>
            <w:gridSpan w:val="2"/>
            <w:tcBorders>
              <w:top w:val="double" w:sz="4" w:space="0" w:color="76923C"/>
              <w:left w:val="double" w:sz="4" w:space="0" w:color="76923C"/>
              <w:right w:val="double" w:sz="4" w:space="0" w:color="76923C"/>
            </w:tcBorders>
            <w:vAlign w:val="center"/>
            <w:hideMark/>
          </w:tcPr>
          <w:p w14:paraId="5DBE80EE"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José Luis Colores Ramos</w:t>
            </w:r>
          </w:p>
        </w:tc>
      </w:tr>
      <w:tr w:rsidR="006F5238" w:rsidRPr="00791593" w14:paraId="3E5001EB" w14:textId="77777777" w:rsidTr="006F5238">
        <w:trPr>
          <w:trHeight w:val="665"/>
          <w:jc w:val="center"/>
        </w:trPr>
        <w:tc>
          <w:tcPr>
            <w:tcW w:w="2427" w:type="dxa"/>
            <w:tcBorders>
              <w:top w:val="double" w:sz="4" w:space="0" w:color="76923C"/>
              <w:left w:val="double" w:sz="4" w:space="0" w:color="76923C"/>
              <w:bottom w:val="double" w:sz="4" w:space="0" w:color="76923C"/>
              <w:right w:val="double" w:sz="4" w:space="0" w:color="76923C"/>
            </w:tcBorders>
            <w:vAlign w:val="center"/>
            <w:hideMark/>
          </w:tcPr>
          <w:p w14:paraId="726DA116"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Regidor Segundo o de Educación</w:t>
            </w:r>
          </w:p>
        </w:tc>
        <w:tc>
          <w:tcPr>
            <w:tcW w:w="3651" w:type="dxa"/>
            <w:gridSpan w:val="2"/>
            <w:tcBorders>
              <w:top w:val="double" w:sz="4" w:space="0" w:color="76923C"/>
              <w:left w:val="double" w:sz="4" w:space="0" w:color="76923C"/>
              <w:right w:val="double" w:sz="4" w:space="0" w:color="76923C"/>
            </w:tcBorders>
            <w:vAlign w:val="center"/>
            <w:hideMark/>
          </w:tcPr>
          <w:p w14:paraId="72C9AF1E"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José Manuel Luengas C.</w:t>
            </w:r>
          </w:p>
        </w:tc>
      </w:tr>
    </w:tbl>
    <w:p w14:paraId="1E665D21" w14:textId="77777777" w:rsidR="006F5238" w:rsidRPr="00791593" w:rsidRDefault="006F5238" w:rsidP="006F5238">
      <w:pPr>
        <w:spacing w:before="100" w:beforeAutospacing="1" w:after="100" w:afterAutospacing="1" w:line="324" w:lineRule="auto"/>
        <w:ind w:firstLine="709"/>
        <w:jc w:val="both"/>
        <w:rPr>
          <w:rFonts w:ascii="Arial" w:eastAsia="Times New Roman" w:hAnsi="Arial" w:cs="Arial"/>
          <w:sz w:val="28"/>
          <w:szCs w:val="28"/>
          <w:lang w:val="es-ES" w:eastAsia="es-MX"/>
        </w:rPr>
      </w:pPr>
      <w:r w:rsidRPr="00791593">
        <w:rPr>
          <w:rFonts w:ascii="Arial" w:eastAsia="Times New Roman" w:hAnsi="Arial" w:cs="Arial"/>
          <w:b/>
          <w:bCs/>
          <w:sz w:val="28"/>
          <w:szCs w:val="28"/>
          <w:lang w:val="es-ES" w:eastAsia="es-ES"/>
        </w:rPr>
        <w:t xml:space="preserve">5. Remisión de acta y certificación. </w:t>
      </w:r>
      <w:r w:rsidRPr="00791593">
        <w:rPr>
          <w:rFonts w:ascii="Arial" w:eastAsia="Times New Roman" w:hAnsi="Arial" w:cs="Arial"/>
          <w:bCs/>
          <w:sz w:val="28"/>
          <w:szCs w:val="28"/>
          <w:lang w:val="es-ES" w:eastAsia="es-ES"/>
        </w:rPr>
        <w:t xml:space="preserve">Por escrito de veintiuno de noviembre de dos mil trece, el Secretario de la Mesa de Debates de la citada </w:t>
      </w:r>
      <w:r w:rsidRPr="00791593">
        <w:rPr>
          <w:rFonts w:ascii="Arial" w:eastAsia="Times New Roman" w:hAnsi="Arial" w:cs="Arial"/>
          <w:bCs/>
          <w:sz w:val="28"/>
          <w:szCs w:val="28"/>
          <w:lang w:eastAsia="es-ES"/>
        </w:rPr>
        <w:t>Asamblea General Comunitaria</w:t>
      </w:r>
      <w:r w:rsidRPr="00791593">
        <w:rPr>
          <w:rFonts w:ascii="Arial" w:eastAsia="Times New Roman" w:hAnsi="Arial" w:cs="Arial"/>
          <w:bCs/>
          <w:sz w:val="28"/>
          <w:szCs w:val="28"/>
          <w:lang w:val="es-ES" w:eastAsia="es-ES"/>
        </w:rPr>
        <w:t xml:space="preserve"> remitió, al Instituto Estatal Electoral y de Participación Ciudadana de la citada entidad federativa, el Acta de la correspondiente Asamblea General Comunitaria de la elección de </w:t>
      </w:r>
      <w:r w:rsidRPr="00791593">
        <w:rPr>
          <w:rFonts w:ascii="Arial" w:eastAsia="Times New Roman" w:hAnsi="Arial" w:cs="Arial"/>
          <w:bCs/>
          <w:sz w:val="28"/>
          <w:szCs w:val="28"/>
          <w:lang w:eastAsia="es-ES"/>
        </w:rPr>
        <w:t xml:space="preserve">integrantes del Ayuntamiento de </w:t>
      </w:r>
      <w:r w:rsidRPr="00791593">
        <w:rPr>
          <w:rFonts w:ascii="Arial" w:eastAsia="Times New Roman" w:hAnsi="Arial" w:cs="Arial"/>
          <w:sz w:val="28"/>
          <w:szCs w:val="28"/>
          <w:lang w:val="es-ES" w:eastAsia="es-MX"/>
        </w:rPr>
        <w:t xml:space="preserve">San Sebastián Tecomaxtlahuaca, Juxtlahuaca, Oaxaca, así como la certificación de que el Presidente de la Mesa de  Debates y algunos escrutadores, así como autoridades del citado Ayuntamiento, se negaron a firmar el Acta de referencia. </w:t>
      </w:r>
    </w:p>
    <w:p w14:paraId="580F7CC6" w14:textId="77777777" w:rsidR="006F5238" w:rsidRPr="00791593" w:rsidRDefault="006F5238" w:rsidP="006F5238">
      <w:pPr>
        <w:spacing w:after="200" w:line="360" w:lineRule="auto"/>
        <w:ind w:firstLine="708"/>
        <w:jc w:val="both"/>
        <w:rPr>
          <w:rFonts w:ascii="Arial" w:eastAsia="Times New Roman" w:hAnsi="Arial" w:cs="Arial"/>
          <w:sz w:val="28"/>
          <w:szCs w:val="28"/>
          <w:lang w:eastAsia="es-MX"/>
        </w:rPr>
      </w:pPr>
      <w:r w:rsidRPr="00791593">
        <w:rPr>
          <w:rFonts w:ascii="Arial" w:eastAsia="Times New Roman" w:hAnsi="Arial" w:cs="Arial"/>
          <w:b/>
          <w:sz w:val="28"/>
          <w:szCs w:val="28"/>
          <w:lang w:val="es-ES" w:eastAsia="es-ES"/>
        </w:rPr>
        <w:lastRenderedPageBreak/>
        <w:t>6. Asamblea General de Comunidades del Municipio.</w:t>
      </w:r>
      <w:r w:rsidRPr="00791593">
        <w:rPr>
          <w:rFonts w:ascii="Arial" w:eastAsia="Times New Roman" w:hAnsi="Arial" w:cs="Arial"/>
          <w:sz w:val="28"/>
          <w:szCs w:val="28"/>
          <w:lang w:eastAsia="es-MX"/>
        </w:rPr>
        <w:t xml:space="preserve"> El veinticuatro de noviembre de dos mil trece se llevó a cabo la “</w:t>
      </w:r>
      <w:r w:rsidRPr="00791593">
        <w:rPr>
          <w:rFonts w:ascii="Arial" w:eastAsia="Times New Roman" w:hAnsi="Arial" w:cs="Arial"/>
          <w:i/>
          <w:sz w:val="28"/>
          <w:szCs w:val="28"/>
          <w:lang w:eastAsia="es-MX"/>
        </w:rPr>
        <w:t>Asamblea General de Comunidades</w:t>
      </w:r>
      <w:r w:rsidRPr="00791593">
        <w:rPr>
          <w:rFonts w:ascii="Arial" w:eastAsia="Times New Roman" w:hAnsi="Arial" w:cs="Arial"/>
          <w:sz w:val="28"/>
          <w:szCs w:val="28"/>
          <w:lang w:eastAsia="es-MX"/>
        </w:rPr>
        <w:t>” que integran el citado Municipio, en la cual los regidores, agentes y representantes municipales, acordaron solicitar la nulidad de la mencionada elección de concejales, debido a las diversas irregularidades ocurridas el día de la elección, consistentes en que personas que no “</w:t>
      </w:r>
      <w:r w:rsidRPr="00791593">
        <w:rPr>
          <w:rFonts w:ascii="Arial" w:eastAsia="Times New Roman" w:hAnsi="Arial" w:cs="Arial"/>
          <w:i/>
          <w:sz w:val="28"/>
          <w:szCs w:val="28"/>
          <w:lang w:eastAsia="es-MX"/>
        </w:rPr>
        <w:t>pertenecían al Municipio</w:t>
      </w:r>
      <w:r w:rsidRPr="00791593">
        <w:rPr>
          <w:rFonts w:ascii="Arial" w:eastAsia="Times New Roman" w:hAnsi="Arial" w:cs="Arial"/>
          <w:sz w:val="28"/>
          <w:szCs w:val="28"/>
          <w:lang w:eastAsia="es-MX"/>
        </w:rPr>
        <w:t>” emitieron su voto, además que “</w:t>
      </w:r>
      <w:r w:rsidRPr="00791593">
        <w:rPr>
          <w:rFonts w:ascii="Arial" w:eastAsia="Times New Roman" w:hAnsi="Arial" w:cs="Arial"/>
          <w:i/>
          <w:sz w:val="28"/>
          <w:szCs w:val="28"/>
          <w:lang w:eastAsia="es-MX"/>
        </w:rPr>
        <w:t>los ciudadanos del casco insultaron y agredieron verbalmente a vecinos de las agencias municipales por no votar a favor de Javier Rubio Rosas</w:t>
      </w:r>
      <w:r w:rsidRPr="00791593">
        <w:rPr>
          <w:rFonts w:ascii="Arial" w:eastAsia="Times New Roman" w:hAnsi="Arial" w:cs="Arial"/>
          <w:sz w:val="28"/>
          <w:szCs w:val="28"/>
          <w:lang w:eastAsia="es-MX"/>
        </w:rPr>
        <w:t>”.</w:t>
      </w:r>
    </w:p>
    <w:p w14:paraId="6532A433" w14:textId="77777777" w:rsidR="006F5238" w:rsidRPr="00791593" w:rsidRDefault="006F5238" w:rsidP="006F5238">
      <w:pPr>
        <w:spacing w:after="200" w:line="360" w:lineRule="auto"/>
        <w:ind w:firstLine="708"/>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7. Escrito de inconformidad de las Agencias de San Sebastián Tecomaxtlahuaca, Juxtlahuaca, Oaxaca.</w:t>
      </w:r>
      <w:r w:rsidRPr="00791593">
        <w:rPr>
          <w:rFonts w:ascii="Arial" w:eastAsia="Times New Roman" w:hAnsi="Arial" w:cs="Arial"/>
          <w:bCs/>
          <w:sz w:val="28"/>
          <w:szCs w:val="28"/>
          <w:lang w:val="es-ES" w:eastAsia="es-ES"/>
        </w:rPr>
        <w:t xml:space="preserve"> El veintiséis de noviembre de dos mil trece, diversas autoridades municipales y comunitarias e integrantes de la Mesa de Debates que se conformó con motivo de la elección celebrada el diecisiete de noviembre de dos mil trece, presentaron un escrito en la Oficialía de Partes del Instituto Estatal Electoral y de Participación Ciudadana de Oaxaca, por el cual solicitaron, al Presidente de ese Instituto electoral local, que declarara la nulidad de la elección, porque se cometieron las siguientes irregularidades: 1) </w:t>
      </w:r>
      <w:r w:rsidRPr="00791593">
        <w:rPr>
          <w:rFonts w:ascii="Arial" w:eastAsia="Times New Roman" w:hAnsi="Arial" w:cs="Arial"/>
          <w:bCs/>
          <w:i/>
          <w:sz w:val="28"/>
          <w:szCs w:val="28"/>
          <w:lang w:val="es-ES" w:eastAsia="es-ES"/>
        </w:rPr>
        <w:t>“acarreo de personas de otras comunidades que no pertenecen al municipio</w:t>
      </w:r>
      <w:r w:rsidRPr="00791593">
        <w:rPr>
          <w:rFonts w:ascii="Arial" w:eastAsia="Times New Roman" w:hAnsi="Arial" w:cs="Arial"/>
          <w:bCs/>
          <w:sz w:val="28"/>
          <w:szCs w:val="28"/>
          <w:lang w:val="es-ES" w:eastAsia="es-ES"/>
        </w:rPr>
        <w:t>”; 2) Algunas personas votaron más de dos veces, y 3) Se impidió, por medio de la violencia y amenazas, que se redactara el acta de cómputo municipal.</w:t>
      </w:r>
    </w:p>
    <w:p w14:paraId="62D2246C" w14:textId="77777777" w:rsidR="006F5238" w:rsidRPr="00791593" w:rsidRDefault="006F5238" w:rsidP="006F5238">
      <w:pPr>
        <w:spacing w:before="100" w:beforeAutospacing="1" w:after="100" w:afterAutospacing="1" w:line="324"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8.</w:t>
      </w:r>
      <w:r w:rsidRPr="00791593">
        <w:rPr>
          <w:rFonts w:ascii="Arial" w:eastAsia="Times New Roman" w:hAnsi="Arial" w:cs="Arial"/>
          <w:bCs/>
          <w:sz w:val="28"/>
          <w:szCs w:val="28"/>
          <w:lang w:val="es-ES" w:eastAsia="es-ES"/>
        </w:rPr>
        <w:t xml:space="preserve"> </w:t>
      </w:r>
      <w:r w:rsidRPr="00791593">
        <w:rPr>
          <w:rFonts w:ascii="Arial" w:eastAsia="Times New Roman" w:hAnsi="Arial" w:cs="Arial"/>
          <w:b/>
          <w:bCs/>
          <w:sz w:val="28"/>
          <w:szCs w:val="28"/>
          <w:lang w:val="es-ES" w:eastAsia="es-ES"/>
        </w:rPr>
        <w:t>Convocatoria a reunión de trabajo</w:t>
      </w:r>
      <w:r w:rsidRPr="00791593">
        <w:rPr>
          <w:rFonts w:ascii="Arial" w:eastAsia="Times New Roman" w:hAnsi="Arial" w:cs="Arial"/>
          <w:bCs/>
          <w:sz w:val="28"/>
          <w:szCs w:val="28"/>
          <w:lang w:val="es-ES" w:eastAsia="es-ES"/>
        </w:rPr>
        <w:t xml:space="preserve">. El veintiocho de noviembre de dos mil trece, la Directora Ejecutiva de Sistemas Normativos Internos del Instituto Estatal Electoral y de Participación </w:t>
      </w:r>
      <w:r w:rsidRPr="00791593">
        <w:rPr>
          <w:rFonts w:ascii="Arial" w:eastAsia="Times New Roman" w:hAnsi="Arial" w:cs="Arial"/>
          <w:bCs/>
          <w:sz w:val="28"/>
          <w:szCs w:val="28"/>
          <w:lang w:val="es-ES" w:eastAsia="es-ES"/>
        </w:rPr>
        <w:lastRenderedPageBreak/>
        <w:t>Ciudadana de Oaxaca emitió sendos oficios, para convocar al respectivo Presidente Municipal, al Secretario de la Mesa de  Debates; a Javier Rubio Rosas, candidato a Presidente Municipal que obtuvo la mayoría de votos, y al ahora recurrente, Alfonso Alvarado Martínez, así como a los Agentes Municipales y de Policía, Representantes de Rancherías y Núcleos Rurales, integrantes del mencionado Ayuntamiento, para que asistieran a la reunión de trabajo que se llevaría a cabo el día cuatro de diciembre de dos mil trece, en las instalaciones de la Dirección Ejecutiva de Sistemas Normativos Internos.</w:t>
      </w:r>
    </w:p>
    <w:p w14:paraId="32CC32A7" w14:textId="77777777" w:rsidR="006F5238" w:rsidRPr="00791593" w:rsidRDefault="006F5238" w:rsidP="006F5238">
      <w:pPr>
        <w:spacing w:before="100" w:beforeAutospacing="1" w:after="100" w:afterAutospacing="1" w:line="324" w:lineRule="auto"/>
        <w:ind w:firstLine="709"/>
        <w:jc w:val="both"/>
        <w:rPr>
          <w:rFonts w:ascii="Arial" w:eastAsia="Times New Roman" w:hAnsi="Arial" w:cs="Arial"/>
          <w:sz w:val="28"/>
          <w:szCs w:val="28"/>
          <w:lang w:eastAsia="es-MX"/>
        </w:rPr>
      </w:pPr>
      <w:r w:rsidRPr="00791593">
        <w:rPr>
          <w:rFonts w:ascii="Arial" w:eastAsia="Times New Roman" w:hAnsi="Arial" w:cs="Arial"/>
          <w:b/>
          <w:bCs/>
          <w:sz w:val="28"/>
          <w:szCs w:val="28"/>
          <w:lang w:val="es-ES" w:eastAsia="es-ES"/>
        </w:rPr>
        <w:t>9.</w:t>
      </w:r>
      <w:r w:rsidRPr="00791593">
        <w:rPr>
          <w:rFonts w:ascii="Arial" w:eastAsia="Times New Roman" w:hAnsi="Arial" w:cs="Arial"/>
          <w:bCs/>
          <w:sz w:val="28"/>
          <w:szCs w:val="28"/>
          <w:lang w:val="es-ES" w:eastAsia="es-ES"/>
        </w:rPr>
        <w:t xml:space="preserve"> </w:t>
      </w:r>
      <w:r w:rsidRPr="00791593">
        <w:rPr>
          <w:rFonts w:ascii="Arial" w:eastAsia="Times New Roman" w:hAnsi="Arial" w:cs="Arial"/>
          <w:b/>
          <w:bCs/>
          <w:sz w:val="28"/>
          <w:szCs w:val="28"/>
          <w:lang w:val="es-ES" w:eastAsia="es-ES"/>
        </w:rPr>
        <w:t xml:space="preserve">Reunión de trabajo. </w:t>
      </w:r>
      <w:r w:rsidRPr="00791593">
        <w:rPr>
          <w:rFonts w:ascii="Arial" w:eastAsia="Times New Roman" w:hAnsi="Arial" w:cs="Arial"/>
          <w:bCs/>
          <w:sz w:val="28"/>
          <w:szCs w:val="28"/>
          <w:lang w:val="es-ES" w:eastAsia="es-ES"/>
        </w:rPr>
        <w:t>El día cuatro de diciembre de dos mil trece, se llevó a cabo la mencionada reunión de trabajo en la cual arribaron a las “</w:t>
      </w:r>
      <w:r w:rsidRPr="00791593">
        <w:rPr>
          <w:rFonts w:ascii="Arial" w:eastAsia="Times New Roman" w:hAnsi="Arial" w:cs="Arial"/>
          <w:bCs/>
          <w:i/>
          <w:sz w:val="28"/>
          <w:szCs w:val="28"/>
          <w:lang w:val="es-ES" w:eastAsia="es-ES"/>
        </w:rPr>
        <w:t>siguientes conclusiones</w:t>
      </w:r>
      <w:r w:rsidRPr="00791593">
        <w:rPr>
          <w:rFonts w:ascii="Arial" w:eastAsia="Times New Roman" w:hAnsi="Arial" w:cs="Arial"/>
          <w:bCs/>
          <w:sz w:val="28"/>
          <w:szCs w:val="28"/>
          <w:lang w:val="es-ES" w:eastAsia="es-ES"/>
        </w:rPr>
        <w:t xml:space="preserve">”: </w:t>
      </w:r>
      <w:r w:rsidRPr="00791593">
        <w:rPr>
          <w:rFonts w:ascii="Arial" w:eastAsia="Times New Roman" w:hAnsi="Arial" w:cs="Arial"/>
          <w:b/>
          <w:sz w:val="28"/>
          <w:szCs w:val="28"/>
          <w:lang w:val="es-ES" w:eastAsia="es-ES"/>
        </w:rPr>
        <w:t>1.</w:t>
      </w:r>
      <w:r w:rsidRPr="00791593">
        <w:rPr>
          <w:rFonts w:ascii="Arial" w:eastAsia="Times New Roman" w:hAnsi="Arial" w:cs="Arial"/>
          <w:sz w:val="28"/>
          <w:szCs w:val="28"/>
          <w:lang w:val="es-ES" w:eastAsia="es-ES"/>
        </w:rPr>
        <w:t xml:space="preserve"> El grupo de Agencias Municipales de San Sebastián Tecomaxtlahuaca, solicita que se declare la nulidad de la elección; </w:t>
      </w:r>
      <w:r w:rsidRPr="00791593">
        <w:rPr>
          <w:rFonts w:ascii="Arial" w:eastAsia="Times New Roman" w:hAnsi="Arial" w:cs="Arial"/>
          <w:b/>
          <w:sz w:val="28"/>
          <w:szCs w:val="28"/>
          <w:lang w:eastAsia="es-MX"/>
        </w:rPr>
        <w:t>2</w:t>
      </w:r>
      <w:r w:rsidRPr="00791593">
        <w:rPr>
          <w:rFonts w:ascii="Arial" w:eastAsia="Times New Roman" w:hAnsi="Arial" w:cs="Arial"/>
          <w:sz w:val="28"/>
          <w:szCs w:val="28"/>
          <w:lang w:eastAsia="es-MX"/>
        </w:rPr>
        <w:t xml:space="preserve">. Javier Rubio Rosas, </w:t>
      </w:r>
      <w:r w:rsidRPr="00791593">
        <w:rPr>
          <w:rFonts w:ascii="Arial" w:eastAsia="Times New Roman" w:hAnsi="Arial" w:cs="Arial"/>
          <w:bCs/>
          <w:sz w:val="28"/>
          <w:szCs w:val="28"/>
          <w:lang w:val="es-ES" w:eastAsia="es-ES"/>
        </w:rPr>
        <w:t xml:space="preserve">candidato a Presidente Municipal que obtuvo la mayoría de votos, </w:t>
      </w:r>
      <w:r w:rsidRPr="00791593">
        <w:rPr>
          <w:rFonts w:ascii="Arial" w:eastAsia="Times New Roman" w:hAnsi="Arial" w:cs="Arial"/>
          <w:sz w:val="28"/>
          <w:szCs w:val="28"/>
          <w:lang w:eastAsia="es-MX"/>
        </w:rPr>
        <w:t xml:space="preserve">solicita se reconozca la validez de la elección, y </w:t>
      </w:r>
      <w:r w:rsidRPr="00791593">
        <w:rPr>
          <w:rFonts w:ascii="Arial" w:eastAsia="Times New Roman" w:hAnsi="Arial" w:cs="Arial"/>
          <w:b/>
          <w:sz w:val="28"/>
          <w:szCs w:val="28"/>
          <w:lang w:eastAsia="es-MX"/>
        </w:rPr>
        <w:t>3</w:t>
      </w:r>
      <w:r w:rsidRPr="00791593">
        <w:rPr>
          <w:rFonts w:ascii="Arial" w:eastAsia="Times New Roman" w:hAnsi="Arial" w:cs="Arial"/>
          <w:sz w:val="28"/>
          <w:szCs w:val="28"/>
          <w:lang w:eastAsia="es-MX"/>
        </w:rPr>
        <w:t>. La autoridad municipal consideró que si se declara la nulidad de la elección se puede acordar, con las agencias y comunidades, la celebración de una nueva jornada electiva.</w:t>
      </w:r>
    </w:p>
    <w:p w14:paraId="5EC00E54" w14:textId="77777777" w:rsidR="006F5238" w:rsidRPr="00791593" w:rsidRDefault="006F5238" w:rsidP="006F5238">
      <w:pPr>
        <w:spacing w:before="100" w:beforeAutospacing="1" w:after="100" w:afterAutospacing="1" w:line="324" w:lineRule="auto"/>
        <w:ind w:firstLine="709"/>
        <w:jc w:val="both"/>
        <w:rPr>
          <w:rFonts w:ascii="Arial" w:eastAsia="Times New Roman" w:hAnsi="Arial" w:cs="Arial"/>
          <w:bCs/>
          <w:sz w:val="28"/>
          <w:szCs w:val="28"/>
          <w:lang w:val="es-ES" w:eastAsia="es-ES"/>
        </w:rPr>
      </w:pPr>
      <w:r w:rsidRPr="00791593">
        <w:rPr>
          <w:rFonts w:ascii="Arial" w:eastAsia="Times New Roman" w:hAnsi="Arial" w:cs="Arial"/>
          <w:b/>
          <w:sz w:val="28"/>
          <w:szCs w:val="28"/>
          <w:lang w:val="es-ES" w:eastAsia="es-ES"/>
        </w:rPr>
        <w:t>10. Solicitud de declaración de validez de la elección.</w:t>
      </w:r>
      <w:r w:rsidRPr="00791593">
        <w:rPr>
          <w:rFonts w:ascii="Arial" w:eastAsia="Times New Roman" w:hAnsi="Arial" w:cs="Arial"/>
          <w:sz w:val="28"/>
          <w:szCs w:val="28"/>
          <w:lang w:val="es-ES" w:eastAsia="es-ES"/>
        </w:rPr>
        <w:t xml:space="preserve"> Por</w:t>
      </w:r>
      <w:r w:rsidRPr="00791593">
        <w:rPr>
          <w:rFonts w:ascii="Arial" w:eastAsia="Times New Roman" w:hAnsi="Arial" w:cs="Arial"/>
          <w:bCs/>
          <w:sz w:val="28"/>
          <w:szCs w:val="28"/>
          <w:lang w:val="es-ES" w:eastAsia="es-ES"/>
        </w:rPr>
        <w:t xml:space="preserve"> escrito de veintinueve de noviembre de dos mil trece, Javier Rubio Rosas, candidato a Presidente Municipal que obtuvo la mayoría de votos, solicitó a la Directora Ejecutiva de Sistemas Normativos Internos del Instituto Estatal Electoral y de Participación Ciudadana de Oaxaca, que el Consejo General local reconociera la validez de la elección de integrantes del aludido Ayuntamiento, celebrada el </w:t>
      </w:r>
      <w:r w:rsidRPr="00791593">
        <w:rPr>
          <w:rFonts w:ascii="Arial" w:eastAsia="Times New Roman" w:hAnsi="Arial" w:cs="Arial"/>
          <w:bCs/>
          <w:sz w:val="28"/>
          <w:szCs w:val="28"/>
          <w:lang w:eastAsia="es-ES"/>
        </w:rPr>
        <w:t>diecisiete de noviembre de dos mil trece</w:t>
      </w:r>
      <w:r w:rsidRPr="00791593">
        <w:rPr>
          <w:rFonts w:ascii="Arial" w:eastAsia="Times New Roman" w:hAnsi="Arial" w:cs="Arial"/>
          <w:bCs/>
          <w:sz w:val="28"/>
          <w:szCs w:val="28"/>
          <w:lang w:val="es-ES" w:eastAsia="es-ES"/>
        </w:rPr>
        <w:t>.</w:t>
      </w:r>
    </w:p>
    <w:p w14:paraId="08F2884E" w14:textId="77777777" w:rsidR="006F5238" w:rsidRPr="00791593" w:rsidRDefault="006F5238" w:rsidP="006F5238">
      <w:pPr>
        <w:spacing w:before="100" w:beforeAutospacing="1" w:after="100" w:afterAutospacing="1" w:line="324" w:lineRule="auto"/>
        <w:ind w:firstLine="709"/>
        <w:jc w:val="both"/>
        <w:rPr>
          <w:rFonts w:ascii="Arial" w:eastAsia="Times New Roman" w:hAnsi="Arial" w:cs="Arial"/>
          <w:sz w:val="28"/>
          <w:szCs w:val="28"/>
          <w:lang w:eastAsia="es-ES"/>
        </w:rPr>
      </w:pPr>
      <w:r w:rsidRPr="00791593">
        <w:rPr>
          <w:rFonts w:ascii="Arial" w:eastAsia="Times New Roman" w:hAnsi="Arial" w:cs="Arial"/>
          <w:bCs/>
          <w:sz w:val="28"/>
          <w:szCs w:val="28"/>
          <w:lang w:val="es-ES" w:eastAsia="es-ES"/>
        </w:rPr>
        <w:t xml:space="preserve">Asimismo remitió el </w:t>
      </w:r>
      <w:r w:rsidRPr="00791593">
        <w:rPr>
          <w:rFonts w:ascii="Arial" w:eastAsia="Times New Roman" w:hAnsi="Arial" w:cs="Arial"/>
          <w:sz w:val="28"/>
          <w:szCs w:val="28"/>
          <w:lang w:eastAsia="es-ES"/>
        </w:rPr>
        <w:t xml:space="preserve">Primer testimonio notarial del </w:t>
      </w:r>
      <w:r w:rsidRPr="00791593">
        <w:rPr>
          <w:rFonts w:ascii="Arial" w:eastAsia="Times New Roman" w:hAnsi="Arial" w:cs="Arial"/>
          <w:bCs/>
          <w:sz w:val="28"/>
          <w:szCs w:val="28"/>
          <w:lang w:val="es-ES" w:eastAsia="es-ES"/>
        </w:rPr>
        <w:t xml:space="preserve">instrumento notarial treinta y tres mil ochocientos cincuenta y tres (33,853), del </w:t>
      </w:r>
      <w:r w:rsidRPr="00791593">
        <w:rPr>
          <w:rFonts w:ascii="Arial" w:eastAsia="Times New Roman" w:hAnsi="Arial" w:cs="Arial"/>
          <w:bCs/>
          <w:sz w:val="28"/>
          <w:szCs w:val="28"/>
          <w:lang w:val="es-ES" w:eastAsia="es-ES"/>
        </w:rPr>
        <w:lastRenderedPageBreak/>
        <w:t xml:space="preserve">Protocolo del Notario Público </w:t>
      </w:r>
      <w:r w:rsidRPr="00791593">
        <w:rPr>
          <w:rFonts w:ascii="Arial" w:eastAsia="Times New Roman" w:hAnsi="Arial" w:cs="Arial"/>
          <w:sz w:val="28"/>
          <w:szCs w:val="28"/>
          <w:lang w:eastAsia="es-ES"/>
        </w:rPr>
        <w:t>diecinueve (19), del Estado de Oaxaca, Licenciado Rodolfo Morales Moreno, expedido el veinte de noviembre de dos mil trece, en el cual hace una certificación de los hechos ocurridos el día diecisiete del citado mes y año, relativos a la Asamblea General Comunitaria para la elección de integrantes del mencionado Ayuntamiento.</w:t>
      </w:r>
    </w:p>
    <w:p w14:paraId="5B63DF5E" w14:textId="77777777" w:rsidR="006F5238" w:rsidRPr="00791593" w:rsidRDefault="006F5238" w:rsidP="006F5238">
      <w:pPr>
        <w:spacing w:before="480"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b/>
          <w:sz w:val="28"/>
          <w:szCs w:val="28"/>
          <w:lang w:val="es-ES" w:eastAsia="es-ES"/>
        </w:rPr>
        <w:t>11. “</w:t>
      </w:r>
      <w:r w:rsidRPr="00791593">
        <w:rPr>
          <w:rFonts w:ascii="Arial" w:eastAsia="Times New Roman" w:hAnsi="Arial" w:cs="Arial"/>
          <w:b/>
          <w:sz w:val="28"/>
          <w:szCs w:val="28"/>
          <w:lang w:eastAsia="es-MX"/>
        </w:rPr>
        <w:t xml:space="preserve">Escritos de inconformidad” de las Agencias de San Sebastián Tecomaxtlahuaca, Juxtlahuaca, Oaxaca. </w:t>
      </w:r>
      <w:r w:rsidRPr="00791593">
        <w:rPr>
          <w:rFonts w:ascii="Arial" w:eastAsia="Times New Roman" w:hAnsi="Arial" w:cs="Arial"/>
          <w:sz w:val="28"/>
          <w:szCs w:val="28"/>
          <w:lang w:eastAsia="es-MX"/>
        </w:rPr>
        <w:t>El once de diciembre de dos mil trece, diversas autoridades de treinta Agencias Municipales del citado Ayuntamiento, entre ellas Agentes Municipales y Agentes de Policía, presentaron, en la Oficialía de Partes del Instituto Estatal Electoral y de Participación Ciudadana de Oaxaca, treinta “</w:t>
      </w:r>
      <w:r w:rsidRPr="00791593">
        <w:rPr>
          <w:rFonts w:ascii="Arial" w:eastAsia="Times New Roman" w:hAnsi="Arial" w:cs="Arial"/>
          <w:i/>
          <w:sz w:val="28"/>
          <w:szCs w:val="28"/>
          <w:lang w:eastAsia="es-MX"/>
        </w:rPr>
        <w:t>escritos de inconformidad</w:t>
      </w:r>
      <w:r w:rsidRPr="00791593">
        <w:rPr>
          <w:rFonts w:ascii="Arial" w:eastAsia="Times New Roman" w:hAnsi="Arial" w:cs="Arial"/>
          <w:sz w:val="28"/>
          <w:szCs w:val="28"/>
          <w:lang w:eastAsia="es-MX"/>
        </w:rPr>
        <w:t>”, a los cuales adjuntaron diversas listas de ciudadanos inconformes con la celebración de la Asamblea General electiva de diecisiete de noviembre de dos mil trece.</w:t>
      </w:r>
    </w:p>
    <w:p w14:paraId="217CFA7C" w14:textId="77777777" w:rsidR="006F5238" w:rsidRPr="00791593" w:rsidRDefault="006F5238" w:rsidP="006F5238">
      <w:pPr>
        <w:spacing w:before="480" w:after="100" w:afterAutospacing="1"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sz w:val="28"/>
          <w:szCs w:val="28"/>
          <w:lang w:eastAsia="es-MX"/>
        </w:rPr>
        <w:t>En los mencionados “</w:t>
      </w:r>
      <w:r w:rsidRPr="00791593">
        <w:rPr>
          <w:rFonts w:ascii="Arial" w:eastAsia="Times New Roman" w:hAnsi="Arial" w:cs="Arial"/>
          <w:i/>
          <w:sz w:val="28"/>
          <w:szCs w:val="28"/>
          <w:lang w:eastAsia="es-MX"/>
        </w:rPr>
        <w:t>escritos de inconformidad</w:t>
      </w:r>
      <w:r w:rsidRPr="00791593">
        <w:rPr>
          <w:rFonts w:ascii="Arial" w:eastAsia="Times New Roman" w:hAnsi="Arial" w:cs="Arial"/>
          <w:sz w:val="28"/>
          <w:szCs w:val="28"/>
          <w:lang w:eastAsia="es-MX"/>
        </w:rPr>
        <w:t xml:space="preserve">” solicitaron, al Consejo General de la citada autoridad administrativa electoral local, que declara la nulidad de la elección de integrantes del aludido Ayuntamiento </w:t>
      </w:r>
      <w:r w:rsidRPr="00791593">
        <w:rPr>
          <w:rFonts w:ascii="Arial" w:eastAsia="Times New Roman" w:hAnsi="Arial" w:cs="Arial"/>
          <w:bCs/>
          <w:sz w:val="28"/>
          <w:szCs w:val="28"/>
          <w:lang w:val="es-ES" w:eastAsia="es-ES"/>
        </w:rPr>
        <w:t xml:space="preserve">y que se convocara a elecciones extraordinarias, porque la elección no se apegó a las normas establecidas por la comunidad, teniendo en consideración que el día de la elección ocurrieron diversas irregularidades. </w:t>
      </w:r>
    </w:p>
    <w:p w14:paraId="52A218A6" w14:textId="77777777" w:rsidR="006F5238" w:rsidRPr="00791593" w:rsidRDefault="006F5238" w:rsidP="006F5238">
      <w:pPr>
        <w:spacing w:before="100" w:beforeAutospacing="1" w:after="100" w:afterAutospacing="1" w:line="324" w:lineRule="auto"/>
        <w:ind w:firstLine="709"/>
        <w:jc w:val="both"/>
        <w:rPr>
          <w:rFonts w:ascii="Arial" w:eastAsia="Times New Roman" w:hAnsi="Arial" w:cs="Arial"/>
          <w:sz w:val="28"/>
          <w:szCs w:val="28"/>
          <w:lang w:eastAsia="es-MX"/>
        </w:rPr>
      </w:pPr>
      <w:r w:rsidRPr="00791593">
        <w:rPr>
          <w:rFonts w:ascii="Arial" w:eastAsia="Times New Roman" w:hAnsi="Arial" w:cs="Arial"/>
          <w:b/>
          <w:sz w:val="28"/>
          <w:szCs w:val="28"/>
          <w:lang w:val="es-ES" w:eastAsia="es-ES"/>
        </w:rPr>
        <w:t xml:space="preserve">12. Reconocimiento de la validez de la elección. </w:t>
      </w:r>
      <w:r w:rsidRPr="00791593">
        <w:rPr>
          <w:rFonts w:ascii="Arial" w:eastAsia="Times New Roman" w:hAnsi="Arial" w:cs="Arial"/>
          <w:sz w:val="28"/>
          <w:szCs w:val="28"/>
          <w:lang w:eastAsia="es-MX"/>
        </w:rPr>
        <w:t xml:space="preserve">El veintiuno de diciembre de dos mil trece, el mencionado Consejo General emitió el acuerdo </w:t>
      </w:r>
      <w:r w:rsidRPr="00791593">
        <w:rPr>
          <w:rFonts w:ascii="Arial" w:eastAsia="Times New Roman" w:hAnsi="Arial" w:cs="Arial"/>
          <w:b/>
          <w:sz w:val="28"/>
          <w:szCs w:val="28"/>
          <w:lang w:eastAsia="es-MX"/>
        </w:rPr>
        <w:t>CG-IEEPCO-SNI-97/2013</w:t>
      </w:r>
      <w:r w:rsidRPr="00791593">
        <w:rPr>
          <w:rFonts w:ascii="Arial" w:eastAsia="Times New Roman" w:hAnsi="Arial" w:cs="Arial"/>
          <w:sz w:val="28"/>
          <w:szCs w:val="28"/>
          <w:lang w:eastAsia="es-MX"/>
        </w:rPr>
        <w:t xml:space="preserve">, en el que reconoció la validez de la </w:t>
      </w:r>
      <w:r w:rsidRPr="00791593">
        <w:rPr>
          <w:rFonts w:ascii="Arial" w:eastAsia="Times New Roman" w:hAnsi="Arial" w:cs="Arial"/>
          <w:sz w:val="28"/>
          <w:szCs w:val="28"/>
          <w:lang w:eastAsia="es-MX"/>
        </w:rPr>
        <w:lastRenderedPageBreak/>
        <w:t>elección de integrantes del Ayuntamiento de San Sebastián Tecomaxtlahuaca, Juxtlahuaca, Oaxaca, y ordenó expedir las constancias de mayoría a la Planilla integrada por los siguientes ciudadanos:</w:t>
      </w: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1827"/>
        <w:gridCol w:w="1701"/>
        <w:gridCol w:w="2405"/>
      </w:tblGrid>
      <w:tr w:rsidR="006F5238" w:rsidRPr="00791593" w14:paraId="6A0E9B25" w14:textId="77777777" w:rsidTr="006F5238">
        <w:trPr>
          <w:trHeight w:val="265"/>
          <w:tblHeader/>
          <w:jc w:val="center"/>
        </w:trPr>
        <w:tc>
          <w:tcPr>
            <w:tcW w:w="1827" w:type="dxa"/>
            <w:tcBorders>
              <w:top w:val="double" w:sz="4" w:space="0" w:color="76923C"/>
              <w:left w:val="double" w:sz="4" w:space="0" w:color="76923C"/>
              <w:bottom w:val="double" w:sz="4" w:space="0" w:color="76923C"/>
              <w:right w:val="double" w:sz="4" w:space="0" w:color="76923C"/>
            </w:tcBorders>
            <w:shd w:val="pct15" w:color="76923C" w:fill="auto"/>
            <w:hideMark/>
          </w:tcPr>
          <w:p w14:paraId="2F987B96"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18"/>
                <w:szCs w:val="18"/>
                <w:lang w:eastAsia="es-MX"/>
              </w:rPr>
            </w:pPr>
            <w:r w:rsidRPr="00791593">
              <w:rPr>
                <w:rFonts w:ascii="Arial" w:eastAsia="Times New Roman" w:hAnsi="Arial" w:cs="Arial"/>
                <w:b/>
                <w:sz w:val="18"/>
                <w:szCs w:val="18"/>
                <w:lang w:eastAsia="es-MX"/>
              </w:rPr>
              <w:t>Cargo</w:t>
            </w:r>
          </w:p>
        </w:tc>
        <w:tc>
          <w:tcPr>
            <w:tcW w:w="4106" w:type="dxa"/>
            <w:gridSpan w:val="2"/>
            <w:tcBorders>
              <w:top w:val="double" w:sz="4" w:space="0" w:color="76923C"/>
              <w:left w:val="double" w:sz="4" w:space="0" w:color="76923C"/>
              <w:bottom w:val="double" w:sz="4" w:space="0" w:color="76923C"/>
              <w:right w:val="double" w:sz="4" w:space="0" w:color="76923C"/>
            </w:tcBorders>
            <w:shd w:val="pct15" w:color="76923C" w:fill="auto"/>
            <w:hideMark/>
          </w:tcPr>
          <w:p w14:paraId="07C9F6D2"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18"/>
                <w:szCs w:val="18"/>
                <w:lang w:eastAsia="es-MX"/>
              </w:rPr>
            </w:pPr>
            <w:r w:rsidRPr="00791593">
              <w:rPr>
                <w:rFonts w:ascii="Arial" w:eastAsia="Times New Roman" w:hAnsi="Arial" w:cs="Arial"/>
                <w:b/>
                <w:sz w:val="18"/>
                <w:szCs w:val="18"/>
                <w:lang w:eastAsia="es-MX"/>
              </w:rPr>
              <w:t>Nombre</w:t>
            </w:r>
          </w:p>
        </w:tc>
      </w:tr>
      <w:tr w:rsidR="006F5238" w:rsidRPr="00791593" w14:paraId="0BE3D153" w14:textId="77777777" w:rsidTr="006F5238">
        <w:trPr>
          <w:trHeight w:val="265"/>
          <w:jc w:val="center"/>
        </w:trPr>
        <w:tc>
          <w:tcPr>
            <w:tcW w:w="1827" w:type="dxa"/>
            <w:vMerge w:val="restart"/>
            <w:tcBorders>
              <w:top w:val="double" w:sz="4" w:space="0" w:color="76923C"/>
              <w:left w:val="double" w:sz="4" w:space="0" w:color="76923C"/>
              <w:bottom w:val="double" w:sz="4" w:space="0" w:color="76923C"/>
              <w:right w:val="double" w:sz="4" w:space="0" w:color="76923C"/>
            </w:tcBorders>
            <w:vAlign w:val="center"/>
            <w:hideMark/>
          </w:tcPr>
          <w:p w14:paraId="4D62D7DF"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Presidente Municipal</w:t>
            </w:r>
          </w:p>
        </w:tc>
        <w:tc>
          <w:tcPr>
            <w:tcW w:w="1701" w:type="dxa"/>
            <w:tcBorders>
              <w:top w:val="double" w:sz="4" w:space="0" w:color="76923C"/>
              <w:left w:val="double" w:sz="4" w:space="0" w:color="76923C"/>
              <w:bottom w:val="double" w:sz="4" w:space="0" w:color="76923C"/>
              <w:right w:val="double" w:sz="4" w:space="0" w:color="76923C"/>
            </w:tcBorders>
            <w:vAlign w:val="center"/>
            <w:hideMark/>
          </w:tcPr>
          <w:p w14:paraId="64006265"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Propietario</w:t>
            </w:r>
          </w:p>
        </w:tc>
        <w:tc>
          <w:tcPr>
            <w:tcW w:w="2405" w:type="dxa"/>
            <w:tcBorders>
              <w:top w:val="double" w:sz="4" w:space="0" w:color="76923C"/>
              <w:left w:val="double" w:sz="4" w:space="0" w:color="76923C"/>
              <w:bottom w:val="double" w:sz="4" w:space="0" w:color="76923C"/>
              <w:right w:val="double" w:sz="4" w:space="0" w:color="76923C"/>
            </w:tcBorders>
            <w:vAlign w:val="center"/>
            <w:hideMark/>
          </w:tcPr>
          <w:p w14:paraId="7DCBBB77"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Javier Rubio Rosas</w:t>
            </w:r>
          </w:p>
        </w:tc>
      </w:tr>
      <w:tr w:rsidR="006F5238" w:rsidRPr="00791593" w14:paraId="1E0D59FE" w14:textId="77777777" w:rsidTr="006F5238">
        <w:trPr>
          <w:trHeight w:val="265"/>
          <w:jc w:val="center"/>
        </w:trPr>
        <w:tc>
          <w:tcPr>
            <w:tcW w:w="1827" w:type="dxa"/>
            <w:vMerge/>
            <w:tcBorders>
              <w:top w:val="double" w:sz="4" w:space="0" w:color="76923C"/>
              <w:left w:val="double" w:sz="4" w:space="0" w:color="76923C"/>
              <w:bottom w:val="double" w:sz="4" w:space="0" w:color="76923C"/>
              <w:right w:val="double" w:sz="4" w:space="0" w:color="76923C"/>
            </w:tcBorders>
            <w:vAlign w:val="center"/>
            <w:hideMark/>
          </w:tcPr>
          <w:p w14:paraId="3DE211D4" w14:textId="77777777" w:rsidR="006F5238" w:rsidRPr="00791593" w:rsidRDefault="006F5238" w:rsidP="006F5238">
            <w:pPr>
              <w:spacing w:after="0" w:line="240" w:lineRule="auto"/>
              <w:rPr>
                <w:rFonts w:ascii="Arial" w:eastAsia="Times New Roman" w:hAnsi="Arial" w:cs="Arial"/>
                <w:sz w:val="18"/>
                <w:szCs w:val="18"/>
                <w:lang w:eastAsia="es-MX"/>
              </w:rPr>
            </w:pPr>
          </w:p>
        </w:tc>
        <w:tc>
          <w:tcPr>
            <w:tcW w:w="1701" w:type="dxa"/>
            <w:tcBorders>
              <w:top w:val="double" w:sz="4" w:space="0" w:color="76923C"/>
              <w:left w:val="double" w:sz="4" w:space="0" w:color="76923C"/>
              <w:bottom w:val="double" w:sz="4" w:space="0" w:color="76923C"/>
              <w:right w:val="double" w:sz="4" w:space="0" w:color="76923C"/>
            </w:tcBorders>
            <w:vAlign w:val="center"/>
            <w:hideMark/>
          </w:tcPr>
          <w:p w14:paraId="24D2C018"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Suplente</w:t>
            </w:r>
          </w:p>
        </w:tc>
        <w:tc>
          <w:tcPr>
            <w:tcW w:w="2405" w:type="dxa"/>
            <w:tcBorders>
              <w:top w:val="double" w:sz="4" w:space="0" w:color="76923C"/>
              <w:left w:val="double" w:sz="4" w:space="0" w:color="76923C"/>
              <w:bottom w:val="double" w:sz="4" w:space="0" w:color="76923C"/>
              <w:right w:val="double" w:sz="4" w:space="0" w:color="76923C"/>
            </w:tcBorders>
            <w:vAlign w:val="center"/>
            <w:hideMark/>
          </w:tcPr>
          <w:p w14:paraId="44201689"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José Conrado Salazar Guzmán</w:t>
            </w:r>
          </w:p>
        </w:tc>
      </w:tr>
      <w:tr w:rsidR="006F5238" w:rsidRPr="00791593" w14:paraId="055A7A72" w14:textId="77777777" w:rsidTr="006F5238">
        <w:trPr>
          <w:trHeight w:val="560"/>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01421F0C"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Síndico Municipal</w:t>
            </w:r>
          </w:p>
        </w:tc>
        <w:tc>
          <w:tcPr>
            <w:tcW w:w="4106" w:type="dxa"/>
            <w:gridSpan w:val="2"/>
            <w:tcBorders>
              <w:top w:val="double" w:sz="4" w:space="0" w:color="76923C"/>
              <w:left w:val="double" w:sz="4" w:space="0" w:color="76923C"/>
              <w:right w:val="double" w:sz="4" w:space="0" w:color="76923C"/>
            </w:tcBorders>
            <w:vAlign w:val="center"/>
            <w:hideMark/>
          </w:tcPr>
          <w:p w14:paraId="60ADC48F"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Antonio Isai Galicia Tapia</w:t>
            </w:r>
          </w:p>
        </w:tc>
      </w:tr>
      <w:tr w:rsidR="006F5238" w:rsidRPr="00791593" w14:paraId="4DDD1C2B" w14:textId="77777777" w:rsidTr="006F5238">
        <w:trPr>
          <w:trHeight w:val="681"/>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7B1813D8"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Regidor Primero o de Hacienda</w:t>
            </w:r>
          </w:p>
        </w:tc>
        <w:tc>
          <w:tcPr>
            <w:tcW w:w="4106" w:type="dxa"/>
            <w:gridSpan w:val="2"/>
            <w:tcBorders>
              <w:top w:val="double" w:sz="4" w:space="0" w:color="76923C"/>
              <w:left w:val="double" w:sz="4" w:space="0" w:color="76923C"/>
              <w:right w:val="double" w:sz="4" w:space="0" w:color="76923C"/>
            </w:tcBorders>
            <w:vAlign w:val="center"/>
            <w:hideMark/>
          </w:tcPr>
          <w:p w14:paraId="65BE3AA8"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René Gregorio Salazar Mendoza</w:t>
            </w:r>
          </w:p>
        </w:tc>
      </w:tr>
      <w:tr w:rsidR="006F5238" w:rsidRPr="00791593" w14:paraId="1BD7B8E1" w14:textId="77777777" w:rsidTr="006F5238">
        <w:trPr>
          <w:trHeight w:val="691"/>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368E6EFE"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Regidor Segundo o de Educación</w:t>
            </w:r>
          </w:p>
        </w:tc>
        <w:tc>
          <w:tcPr>
            <w:tcW w:w="4106" w:type="dxa"/>
            <w:gridSpan w:val="2"/>
            <w:tcBorders>
              <w:top w:val="double" w:sz="4" w:space="0" w:color="76923C"/>
              <w:left w:val="double" w:sz="4" w:space="0" w:color="76923C"/>
              <w:right w:val="double" w:sz="4" w:space="0" w:color="76923C"/>
            </w:tcBorders>
            <w:vAlign w:val="center"/>
            <w:hideMark/>
          </w:tcPr>
          <w:p w14:paraId="1144EA28"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Abraham Pacheco Ramírez</w:t>
            </w:r>
          </w:p>
        </w:tc>
      </w:tr>
    </w:tbl>
    <w:p w14:paraId="3DDC59FE" w14:textId="77777777" w:rsidR="006F5238" w:rsidRPr="00791593" w:rsidRDefault="006F5238" w:rsidP="006F5238">
      <w:pPr>
        <w:spacing w:before="100" w:beforeAutospacing="1" w:after="100" w:afterAutospacing="1" w:line="324" w:lineRule="auto"/>
        <w:ind w:firstLine="709"/>
        <w:jc w:val="both"/>
        <w:rPr>
          <w:rFonts w:ascii="Arial" w:eastAsia="Times New Roman" w:hAnsi="Arial" w:cs="Arial"/>
          <w:sz w:val="28"/>
          <w:szCs w:val="28"/>
          <w:lang w:val="es-ES" w:eastAsia="es-ES"/>
        </w:rPr>
      </w:pPr>
      <w:r w:rsidRPr="00791593">
        <w:rPr>
          <w:rFonts w:ascii="Arial" w:eastAsia="Times New Roman" w:hAnsi="Arial" w:cs="Arial"/>
          <w:b/>
          <w:sz w:val="28"/>
          <w:szCs w:val="28"/>
          <w:lang w:val="es-ES" w:eastAsia="es-ES"/>
        </w:rPr>
        <w:t>13</w:t>
      </w:r>
      <w:r w:rsidRPr="00791593">
        <w:rPr>
          <w:rFonts w:ascii="Arial" w:eastAsia="Times New Roman" w:hAnsi="Arial" w:cs="Arial"/>
          <w:b/>
          <w:bCs/>
          <w:sz w:val="28"/>
          <w:szCs w:val="28"/>
          <w:lang w:val="es-ES" w:eastAsia="es-ES"/>
        </w:rPr>
        <w:t>. J</w:t>
      </w:r>
      <w:r w:rsidRPr="00791593">
        <w:rPr>
          <w:rFonts w:ascii="Arial" w:eastAsia="Times New Roman" w:hAnsi="Arial" w:cs="Arial"/>
          <w:b/>
          <w:bCs/>
          <w:sz w:val="28"/>
          <w:szCs w:val="28"/>
          <w:lang w:eastAsia="es-ES"/>
        </w:rPr>
        <w:t>uicio para la protección de los derechos político-electorales del ciudadano</w:t>
      </w:r>
      <w:r w:rsidRPr="00791593">
        <w:rPr>
          <w:rFonts w:ascii="Arial" w:eastAsia="Times New Roman" w:hAnsi="Arial" w:cs="Arial"/>
          <w:b/>
          <w:bCs/>
          <w:sz w:val="28"/>
          <w:szCs w:val="28"/>
          <w:lang w:val="es-ES" w:eastAsia="es-ES"/>
        </w:rPr>
        <w:t xml:space="preserve">. </w:t>
      </w:r>
      <w:r w:rsidRPr="00791593">
        <w:rPr>
          <w:rFonts w:ascii="Arial" w:eastAsia="Times New Roman" w:hAnsi="Arial" w:cs="Arial"/>
          <w:bCs/>
          <w:sz w:val="28"/>
          <w:szCs w:val="28"/>
          <w:lang w:val="es-ES" w:eastAsia="es-ES"/>
        </w:rPr>
        <w:t xml:space="preserve">Disconformes con el mencionado reconocimiento de validez, mediante ocurso presentado el veinticinco </w:t>
      </w:r>
      <w:r w:rsidRPr="00791593">
        <w:rPr>
          <w:rFonts w:ascii="Arial" w:eastAsia="Times New Roman" w:hAnsi="Arial" w:cs="Arial"/>
          <w:sz w:val="28"/>
          <w:szCs w:val="28"/>
          <w:lang w:val="es-ES" w:eastAsia="es-ES"/>
        </w:rPr>
        <w:t xml:space="preserve">de diciembre de dos mil trece, en la Oficialía de Partes del Instituto Estatal Electoral y de Participación Ciudadana de Oaxaca, Alfonso Alvarado Martínez, José Luis Colores Ramos, José Manuel Luengas C., Javier Alvarado Luna y Adán Zafra Torralba promovieron, </w:t>
      </w:r>
      <w:r w:rsidRPr="00791593">
        <w:rPr>
          <w:rFonts w:ascii="Arial" w:eastAsia="Times New Roman" w:hAnsi="Arial" w:cs="Arial"/>
          <w:i/>
          <w:sz w:val="28"/>
          <w:szCs w:val="28"/>
          <w:lang w:val="es-ES" w:eastAsia="es-ES"/>
        </w:rPr>
        <w:t xml:space="preserve">per saltum, </w:t>
      </w:r>
      <w:r w:rsidRPr="00791593">
        <w:rPr>
          <w:rFonts w:ascii="Arial" w:eastAsia="Times New Roman" w:hAnsi="Arial" w:cs="Arial"/>
          <w:sz w:val="28"/>
          <w:szCs w:val="28"/>
          <w:lang w:val="es-ES" w:eastAsia="es-ES"/>
        </w:rPr>
        <w:t xml:space="preserve">juicio para la protección de los derechos político-electorales del ciudadano, a fin de controvertir el acuerdo indicado en el apartado doce (12),que antecede. </w:t>
      </w:r>
    </w:p>
    <w:p w14:paraId="49753F56"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val="es-ES" w:eastAsia="es-ES"/>
        </w:rPr>
        <w:t xml:space="preserve">14. </w:t>
      </w:r>
      <w:r w:rsidRPr="00791593">
        <w:rPr>
          <w:rFonts w:ascii="Arial" w:eastAsia="Times New Roman" w:hAnsi="Arial" w:cs="Arial"/>
          <w:b/>
          <w:bCs/>
          <w:sz w:val="28"/>
          <w:szCs w:val="28"/>
          <w:lang w:eastAsia="es-ES"/>
        </w:rPr>
        <w:t xml:space="preserve">Reencausamiento a instancia local. </w:t>
      </w:r>
      <w:r w:rsidRPr="00791593">
        <w:rPr>
          <w:rFonts w:ascii="Arial" w:eastAsia="Times New Roman" w:hAnsi="Arial" w:cs="Arial"/>
          <w:bCs/>
          <w:sz w:val="28"/>
          <w:szCs w:val="28"/>
          <w:lang w:eastAsia="es-ES"/>
        </w:rPr>
        <w:t>El treinta de diciembre de dos mil trece, la Sala Regional Xalapa reencausó el juicio señalado en el apartado trece (13) que antecede, a juicio electoral de los sistemas normativos internos, competencia del Tribunal Estatal Electoral del Poder Judicial de Oaxaca.</w:t>
      </w:r>
    </w:p>
    <w:p w14:paraId="320BACD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791593">
        <w:rPr>
          <w:rFonts w:ascii="Arial" w:eastAsia="Times New Roman" w:hAnsi="Arial" w:cs="Arial"/>
          <w:bCs/>
          <w:sz w:val="28"/>
          <w:szCs w:val="28"/>
          <w:lang w:eastAsia="es-ES"/>
        </w:rPr>
        <w:lastRenderedPageBreak/>
        <w:t>El Tribunal Electoral local radicó el aludido medio de impugnación en el expediente identificado con la clave JNI/09/2014.</w:t>
      </w:r>
    </w:p>
    <w:p w14:paraId="04F1C15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b/>
          <w:bCs/>
          <w:sz w:val="28"/>
          <w:szCs w:val="28"/>
          <w:lang w:val="es-ES" w:eastAsia="es-ES"/>
        </w:rPr>
        <w:t>15. Sentencia del Tribunal Electoral local.</w:t>
      </w:r>
      <w:r w:rsidRPr="00791593">
        <w:rPr>
          <w:rFonts w:ascii="Arial" w:eastAsia="Times New Roman" w:hAnsi="Arial" w:cs="Arial"/>
          <w:sz w:val="28"/>
          <w:szCs w:val="28"/>
          <w:lang w:val="es-ES" w:eastAsia="es-ES"/>
        </w:rPr>
        <w:t xml:space="preserve"> El veintiocho de febrero de dos mil catorce, el Tribunal Estatal Electoral del Poder Judicial del Estado de Oaxaca resolvió el juicio electoral precisado en el apartado catorce (14) que antecede, en el sentido de revocar el acuerdo </w:t>
      </w:r>
      <w:r w:rsidRPr="00791593">
        <w:rPr>
          <w:rFonts w:ascii="Arial" w:eastAsia="Times New Roman" w:hAnsi="Arial" w:cs="Arial"/>
          <w:b/>
          <w:sz w:val="28"/>
          <w:szCs w:val="28"/>
          <w:lang w:eastAsia="es-MX"/>
        </w:rPr>
        <w:t>CG-IEEPCO-SNI-97/2013</w:t>
      </w:r>
      <w:r w:rsidRPr="00791593">
        <w:rPr>
          <w:rFonts w:ascii="Arial" w:eastAsia="Times New Roman" w:hAnsi="Arial" w:cs="Arial"/>
          <w:sz w:val="28"/>
          <w:szCs w:val="28"/>
          <w:lang w:eastAsia="es-MX"/>
        </w:rPr>
        <w:t>, relativo a la elección de integrantes del mencionado Ayuntamiento;</w:t>
      </w:r>
      <w:r w:rsidRPr="00791593">
        <w:rPr>
          <w:rFonts w:ascii="Arial" w:eastAsia="Times New Roman" w:hAnsi="Arial" w:cs="Arial"/>
          <w:bCs/>
          <w:sz w:val="28"/>
          <w:szCs w:val="28"/>
          <w:lang w:val="es-ES" w:eastAsia="es-ES"/>
        </w:rPr>
        <w:t xml:space="preserve"> </w:t>
      </w:r>
      <w:r w:rsidRPr="00791593">
        <w:rPr>
          <w:rFonts w:ascii="Arial" w:eastAsia="Times New Roman" w:hAnsi="Arial" w:cs="Arial"/>
          <w:sz w:val="28"/>
          <w:szCs w:val="28"/>
          <w:lang w:eastAsia="es-MX"/>
        </w:rPr>
        <w:t>dejar sin efecto las constancias de mayoría expedidas a los ciudadanos electos en la Asamblea General Comunitaria de diecisiete de noviembre de dos mil trece, y dar vista a la Sexagésima Segunda Legislatura del Congreso del Estado, para que emita el decreto correspondiente a la convocatoria de elección extraordinaria de integrantes del Ayuntamiento de San Sebastián Tecomaxtlahuaca, Juxtlahuaca, Oaxaca.</w:t>
      </w:r>
    </w:p>
    <w:p w14:paraId="49920FC6"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eastAsia="es-ES"/>
        </w:rPr>
        <w:t xml:space="preserve">16. Juicio para la protección de los derechos político-electorales del ciudadano. </w:t>
      </w:r>
      <w:r w:rsidRPr="00791593">
        <w:rPr>
          <w:rFonts w:ascii="Arial" w:eastAsia="Times New Roman" w:hAnsi="Arial" w:cs="Arial"/>
          <w:bCs/>
          <w:sz w:val="28"/>
          <w:szCs w:val="28"/>
          <w:lang w:eastAsia="es-ES"/>
        </w:rPr>
        <w:t>El cinco de marzo de dos mil catorce, Javier Rubio Rosas, José Conrado Salazar Guzmán, Fredy Mendoza Ramírez, Abraham Félix Pacheco Ramírez, René Gregorio Salazar Mendoza, José Jorge Martínez Cortés, Martín Filemón Luengas Vetanso, Zacarías Santiago Salazar Guzmán, Luis Rogelio Mendoza Chávez, Juan Alberto Luna Camarillo y Leobardo Catalino Cruz Hernández, p</w:t>
      </w:r>
      <w:r w:rsidRPr="00791593">
        <w:rPr>
          <w:rFonts w:ascii="Arial" w:eastAsia="Times New Roman" w:hAnsi="Arial" w:cs="Arial"/>
          <w:sz w:val="28"/>
          <w:szCs w:val="28"/>
          <w:lang w:eastAsia="es-MX"/>
        </w:rPr>
        <w:t xml:space="preserve">romovieron </w:t>
      </w:r>
      <w:r w:rsidRPr="00791593">
        <w:rPr>
          <w:rFonts w:ascii="Arial" w:eastAsia="Times New Roman" w:hAnsi="Arial" w:cs="Arial"/>
          <w:bCs/>
          <w:sz w:val="28"/>
          <w:szCs w:val="28"/>
          <w:lang w:eastAsia="es-ES"/>
        </w:rPr>
        <w:t>juicio para la protección de los derechos político-electorales del ciudadano, a fin de controvertir la sentencia señalada en el apartado quince (15) que antecede.</w:t>
      </w:r>
    </w:p>
    <w:p w14:paraId="0374067C"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791593">
        <w:rPr>
          <w:rFonts w:ascii="Arial" w:eastAsia="Times New Roman" w:hAnsi="Arial" w:cs="Arial"/>
          <w:bCs/>
          <w:sz w:val="28"/>
          <w:szCs w:val="28"/>
          <w:lang w:eastAsia="es-ES"/>
        </w:rPr>
        <w:t xml:space="preserve">El citado medio de impugnación quedó radicado, en la Sala </w:t>
      </w:r>
      <w:r w:rsidRPr="00791593">
        <w:rPr>
          <w:rFonts w:ascii="Arial" w:eastAsia="Times New Roman" w:hAnsi="Arial" w:cs="Arial"/>
          <w:bCs/>
          <w:sz w:val="28"/>
          <w:szCs w:val="28"/>
          <w:lang w:eastAsia="es-ES"/>
        </w:rPr>
        <w:lastRenderedPageBreak/>
        <w:t>Regional Xalapa de este Tribunal Electoral del Poder Judicial de la Federación, en el expediente identificado con la clave SX-JDC-111/2014.</w:t>
      </w:r>
    </w:p>
    <w:p w14:paraId="15297793"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eastAsia="es-ES"/>
        </w:rPr>
        <w:t xml:space="preserve">17. Sentencia impugnada. </w:t>
      </w:r>
      <w:r w:rsidRPr="00791593">
        <w:rPr>
          <w:rFonts w:ascii="Arial" w:eastAsia="Times New Roman" w:hAnsi="Arial" w:cs="Arial"/>
          <w:bCs/>
          <w:sz w:val="28"/>
          <w:szCs w:val="28"/>
          <w:lang w:eastAsia="es-ES"/>
        </w:rPr>
        <w:t>El diez de abril de dos mil catorce, la Sala Regional Xalapa resolvió el aludido medio de impugnación, al tenor de las siguientes consideraciones y puntos resolutivos:</w:t>
      </w:r>
    </w:p>
    <w:p w14:paraId="72DD028A" w14:textId="77777777" w:rsidR="006F5238" w:rsidRPr="00791593" w:rsidRDefault="006F5238" w:rsidP="006F5238">
      <w:pPr>
        <w:spacing w:before="100" w:beforeAutospacing="1" w:after="100" w:afterAutospacing="1" w:line="360" w:lineRule="auto"/>
        <w:ind w:firstLine="709"/>
        <w:jc w:val="both"/>
        <w:rPr>
          <w:rFonts w:ascii="Arial" w:eastAsia="Calibri" w:hAnsi="Arial" w:cs="Arial"/>
          <w:b/>
          <w:sz w:val="24"/>
          <w:szCs w:val="24"/>
        </w:rPr>
      </w:pPr>
      <w:r w:rsidRPr="00791593">
        <w:rPr>
          <w:rFonts w:ascii="Arial" w:eastAsia="Times New Roman" w:hAnsi="Arial" w:cs="Arial"/>
          <w:bCs/>
          <w:sz w:val="28"/>
          <w:szCs w:val="28"/>
          <w:lang w:val="es-ES" w:eastAsia="es-ES"/>
        </w:rPr>
        <w:t>[…]</w:t>
      </w:r>
    </w:p>
    <w:p w14:paraId="23B7548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PRIMERO. Jurisdicción y competencia. </w:t>
      </w:r>
      <w:r w:rsidRPr="00791593">
        <w:rPr>
          <w:rFonts w:ascii="Arial" w:eastAsia="Calibri" w:hAnsi="Arial" w:cs="Arial"/>
          <w:sz w:val="24"/>
          <w:szCs w:val="24"/>
        </w:rPr>
        <w:t xml:space="preserve">El Tribunal Electoral del Poder Judicial de la Federación ejerce jurisdicción, y esta Sala Regional de la Tercera Circunscripción Plurinominal es competente para conocer y resolver este juicio, por razones de geografía política al vincularse con la elección de Concejales del Ayuntamiento de </w:t>
      </w:r>
      <w:r w:rsidRPr="00791593">
        <w:rPr>
          <w:rFonts w:ascii="Arial" w:eastAsia="Calibri" w:hAnsi="Arial" w:cs="Arial"/>
          <w:b/>
          <w:sz w:val="24"/>
          <w:szCs w:val="24"/>
        </w:rPr>
        <w:t xml:space="preserve">San Sebastián Tecomaxtlahuaca, Juxtlahuaca, Oaxaca, </w:t>
      </w:r>
      <w:r w:rsidRPr="00791593">
        <w:rPr>
          <w:rFonts w:ascii="Arial" w:eastAsia="Calibri" w:hAnsi="Arial" w:cs="Arial"/>
          <w:sz w:val="24"/>
          <w:szCs w:val="24"/>
        </w:rPr>
        <w:t>entidad correspondiente a esta circunscripción y, por nivel de gobierno, ya que se trata de un asunto relacionado con la integración de una autoridad municipal.</w:t>
      </w:r>
    </w:p>
    <w:p w14:paraId="4B339F2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 anterior, de conformidad con lo dispuesto en los artículos 41, base VI, 99, párrafos 1, 2 y 4, fracción V, de la Constitución Política de los Estados Unidos Mexicanos; 184, 185, 186, fracción III, inciso c), 192 y 195, fracción IV, inciso c), de la Ley Orgánica del Poder Judicial de la Federación; así como los diversos numerales 3, párrafos 1 y 2, inciso c), 4, párrafo 1, 79, párrafo 1, 80, párrafo 1, inciso f) y 83, párrafo 1, inciso b), fracción III, de la Ley General del Sistema de Medios de Impugnación en Materia Electoral.</w:t>
      </w:r>
    </w:p>
    <w:p w14:paraId="166CA32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SEGUNDO. Reparabilidad. </w:t>
      </w:r>
      <w:r w:rsidRPr="00791593">
        <w:rPr>
          <w:rFonts w:ascii="Arial" w:eastAsia="Calibri" w:hAnsi="Arial" w:cs="Arial"/>
          <w:sz w:val="24"/>
          <w:szCs w:val="24"/>
        </w:rPr>
        <w:t xml:space="preserve">Resulta necesario precisar que, en el caso, no se actualiza la improcedencia del juicio derivado de la instalación del Ayuntamiento de </w:t>
      </w:r>
      <w:r w:rsidRPr="00791593">
        <w:rPr>
          <w:rFonts w:ascii="Arial" w:eastAsia="Calibri" w:hAnsi="Arial" w:cs="Arial"/>
          <w:b/>
          <w:sz w:val="24"/>
          <w:szCs w:val="24"/>
        </w:rPr>
        <w:t xml:space="preserve">San Sebastián Tecomaxtlahuaca, Juxtlahuaca, Oaxaca </w:t>
      </w:r>
      <w:r w:rsidRPr="00791593">
        <w:rPr>
          <w:rFonts w:ascii="Arial" w:eastAsia="Calibri" w:hAnsi="Arial" w:cs="Arial"/>
          <w:sz w:val="24"/>
          <w:szCs w:val="24"/>
        </w:rPr>
        <w:t>no obstante que conforme con lo previsto en el artículo 113, fracción I, de la Constitución Política del Estado Libre y Soberano de Oaxaca, los Concejales que integren los Ayuntamientos, debieron tomar posesión el día primero de enero del presente año.</w:t>
      </w:r>
    </w:p>
    <w:p w14:paraId="60BB29A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Lo anterior, en razón de que la Sala Superior de este Tribunal Electoral del Poder Judicial de la Federación, en la jurisprudencia que derivó de resolver la contradicción de criterios identificada con la clave </w:t>
      </w:r>
      <w:r w:rsidRPr="00791593">
        <w:rPr>
          <w:rFonts w:ascii="Arial" w:eastAsia="Calibri" w:hAnsi="Arial" w:cs="Arial"/>
          <w:b/>
          <w:sz w:val="24"/>
          <w:szCs w:val="24"/>
        </w:rPr>
        <w:t>SUP-CDC-3/2011</w:t>
      </w:r>
      <w:r w:rsidRPr="00791593">
        <w:rPr>
          <w:rFonts w:ascii="Arial" w:eastAsia="Calibri" w:hAnsi="Arial" w:cs="Arial"/>
          <w:sz w:val="24"/>
          <w:szCs w:val="24"/>
        </w:rPr>
        <w:t>, estableció las pautas para analizar los casos en los que no se actualiza la irreparabilidad por toma de protesta o instalación de los órganos.</w:t>
      </w:r>
    </w:p>
    <w:p w14:paraId="07394DB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 xml:space="preserve">En efecto, conforme con la jurisprudencia </w:t>
      </w:r>
      <w:r w:rsidRPr="00791593">
        <w:rPr>
          <w:rFonts w:ascii="Arial" w:eastAsia="Calibri" w:hAnsi="Arial" w:cs="Arial"/>
          <w:b/>
          <w:sz w:val="24"/>
          <w:szCs w:val="24"/>
        </w:rPr>
        <w:t>8/2011</w:t>
      </w:r>
      <w:r w:rsidRPr="00791593">
        <w:rPr>
          <w:rFonts w:ascii="Arial" w:eastAsia="Calibri" w:hAnsi="Arial" w:cs="Arial"/>
          <w:sz w:val="24"/>
          <w:szCs w:val="24"/>
        </w:rPr>
        <w:t xml:space="preserve">, de rubro: </w:t>
      </w:r>
      <w:r w:rsidRPr="00791593">
        <w:rPr>
          <w:rFonts w:ascii="Arial" w:eastAsia="Calibri" w:hAnsi="Arial" w:cs="Arial"/>
          <w:b/>
          <w:sz w:val="24"/>
          <w:szCs w:val="24"/>
        </w:rPr>
        <w:t>“IRREPARABILIDAD. ELECCIÓN DE AUTORIDADES MUNICIPALES. SE ACTUALIZA CUANDO EL PLAZO FIJADO EN LA CONVOCATORIA, ENTRE LA CALIFICACIÓN DE LA ELECCIÓN Y LA TOMA DE POSESIÓN PERMITE EL ACCESO PLENO A LA JURISDICCIÓN”</w:t>
      </w:r>
      <w:r w:rsidRPr="00791593">
        <w:rPr>
          <w:rFonts w:ascii="Arial" w:eastAsia="Calibri" w:hAnsi="Arial" w:cs="Arial"/>
          <w:sz w:val="24"/>
          <w:szCs w:val="24"/>
          <w:vertAlign w:val="superscript"/>
        </w:rPr>
        <w:t>59</w:t>
      </w:r>
      <w:r w:rsidRPr="00791593">
        <w:rPr>
          <w:rFonts w:ascii="Arial" w:eastAsia="Calibri" w:hAnsi="Arial" w:cs="Arial"/>
          <w:sz w:val="24"/>
          <w:szCs w:val="24"/>
        </w:rPr>
        <w:t>, la causa de improcedencia de consumación irreparable se surte cuando en la convocatoria que efectúan las autoridades encargadas de la organización de los comicios fijan –entre la calificación de la elección y la toma de posesión– un periodo suficiente para permitir el desahogo de la cadena impugnativa.</w:t>
      </w:r>
    </w:p>
    <w:p w14:paraId="3C668CB1"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59 Consultable en la “Compilación 1997-2013, Jurisprudencia y tesis en materia electoral”, Jurisprudencia, Volumen 1, pp. 403-404.</w:t>
      </w:r>
    </w:p>
    <w:p w14:paraId="453032C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 anterior, en la inteligencia de que, ésta culmina hasta el conocimiento de los órganos jurisdiccionales federales –Sala Superior y Sala Regional del Tribunal Electoral del Poder Judicial de la Federación– en virtud de que sólo de esta manera se materializa el sistema de medios de impugnación diseñado desde la Constitución y las leyes.</w:t>
      </w:r>
    </w:p>
    <w:p w14:paraId="6518B2E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acuerdo con los criterios de la Sala Superior de este órgano jurisdiccional, existen supuestos que constituyen excepciones a la improcedencia del juicio por irreparabilidad derivada de la toma de protesta, los cuales deben ser analizados en cada caso.</w:t>
      </w:r>
    </w:p>
    <w:p w14:paraId="7F94A4C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el presente asunto, conforme con las constancias que obran en autos, se advierte que la elección se celebró el pasado diecisiete de noviembre de dos mil trece, y fue hasta el veintiuno de diciembre siguiente que el Consejo General del Instituto Estatal Electoral y de Participación Ciudadana de Oaxaca emitió la declaración de validez de la elección y expidió las correspondientes constancias de mayoría a los ciudadanos electos a Concejales Municipales.</w:t>
      </w:r>
    </w:p>
    <w:p w14:paraId="04835EF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Por tanto, si como se apuntó, conforme al mandato de la Constitución local, la toma de protesta ocurrió el primero de enero del año que transcurre, resulta evidente que no se contó con el tiempo suficiente para desahogar toda la cadena impugnativa, en razón de que deben agotarse los medios de defensa jurisdiccionales, tanto locales como federales.</w:t>
      </w:r>
    </w:p>
    <w:p w14:paraId="3EDEBB0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consecuencia, no podría actualizarse la improcedencia del juicio por irreparabilidad, aun cuando se haya realizado la toma de protesta.</w:t>
      </w:r>
    </w:p>
    <w:p w14:paraId="01BA46E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TERCERO. Suplencia total de la queja.</w:t>
      </w:r>
      <w:r w:rsidRPr="00791593">
        <w:rPr>
          <w:rFonts w:ascii="Arial" w:eastAsia="Calibri" w:hAnsi="Arial" w:cs="Arial"/>
          <w:sz w:val="24"/>
          <w:szCs w:val="24"/>
        </w:rPr>
        <w:t xml:space="preserve"> En atención al imperativo legal contenido en el artículo 23 de la Ley General del Sistema de Medios de Impugnación en Materia Electoral, se parte de la premisa de que, para resolver los juicios para la protección de los derechos político-electorales del ciudadano, la Sala competente del Tribunal Electoral del Poder Judicial de la Federación debe suplir las deficiencias u omisiones en los agravios cuando los mismos no puedan ser deducidos claramente de los hechos expuestos.</w:t>
      </w:r>
    </w:p>
    <w:p w14:paraId="623EBE58"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rPr>
        <w:lastRenderedPageBreak/>
        <w:t xml:space="preserve">En el caso, la materia de fondo es la impugnación de un ciudadano integrante de una comunidad indígena relacionada con una elección regida por sistemas normativos internos, por lo cual cobra aplicación concreta la jurisprudencia </w:t>
      </w:r>
      <w:r w:rsidRPr="00791593">
        <w:rPr>
          <w:rFonts w:ascii="Arial" w:eastAsia="Calibri" w:hAnsi="Arial" w:cs="Arial"/>
          <w:b/>
          <w:sz w:val="24"/>
          <w:szCs w:val="24"/>
        </w:rPr>
        <w:t>13/2008</w:t>
      </w:r>
      <w:r w:rsidRPr="00791593">
        <w:rPr>
          <w:rFonts w:ascii="Arial" w:eastAsia="Calibri" w:hAnsi="Arial" w:cs="Arial"/>
          <w:sz w:val="24"/>
          <w:szCs w:val="24"/>
        </w:rPr>
        <w:t xml:space="preserve">, de rubro: </w:t>
      </w:r>
      <w:r w:rsidRPr="00791593">
        <w:rPr>
          <w:rFonts w:ascii="Arial" w:eastAsia="Calibri" w:hAnsi="Arial" w:cs="Arial"/>
          <w:b/>
          <w:sz w:val="24"/>
          <w:szCs w:val="24"/>
        </w:rPr>
        <w:t>“COMUNIDADES INDÍGENAS. SUPLENCIA DE LA QUEJA EN LOS JUICIOS ELECTORALES PROMOVIDOS POR SUS INTEGRANTES”</w:t>
      </w:r>
      <w:r w:rsidRPr="00791593">
        <w:rPr>
          <w:rFonts w:ascii="Arial" w:eastAsia="Calibri" w:hAnsi="Arial" w:cs="Arial"/>
          <w:sz w:val="24"/>
          <w:szCs w:val="24"/>
        </w:rPr>
        <w:t>.</w:t>
      </w:r>
      <w:r w:rsidRPr="00791593">
        <w:rPr>
          <w:rFonts w:ascii="Arial" w:eastAsia="Calibri" w:hAnsi="Arial" w:cs="Arial"/>
          <w:sz w:val="24"/>
          <w:szCs w:val="24"/>
          <w:vertAlign w:val="superscript"/>
        </w:rPr>
        <w:t>60</w:t>
      </w:r>
    </w:p>
    <w:p w14:paraId="1C19192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vertAlign w:val="superscript"/>
        </w:rPr>
        <w:t>60 Consultable en: “Compilación de Jurisprudencia y tesis en materia electoral” 1997-2013, Jurisprudencia, Volumen 1, pp. 225-226.</w:t>
      </w:r>
    </w:p>
    <w:p w14:paraId="09E7B0B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En adición a lo anterior, se considera suficiente que la parte actora exprese con claridad la causa de pedir, precisando la lesión o agravio que le causa el acto o resolución impugnada y los motivos que originaron ese agravio, para que sea procedente su estudio, con independencia de su presentación, enunciación o construcción lógica; tal y como se desprende de la razón esencial contenida en la jurisprudencia </w:t>
      </w:r>
      <w:r w:rsidRPr="00791593">
        <w:rPr>
          <w:rFonts w:ascii="Arial" w:eastAsia="Calibri" w:hAnsi="Arial" w:cs="Arial"/>
          <w:b/>
          <w:sz w:val="24"/>
          <w:szCs w:val="24"/>
        </w:rPr>
        <w:t>03/2000</w:t>
      </w:r>
      <w:r w:rsidRPr="00791593">
        <w:rPr>
          <w:rFonts w:ascii="Arial" w:eastAsia="Calibri" w:hAnsi="Arial" w:cs="Arial"/>
          <w:sz w:val="24"/>
          <w:szCs w:val="24"/>
        </w:rPr>
        <w:t xml:space="preserve">, de rubro: </w:t>
      </w:r>
      <w:r w:rsidRPr="00791593">
        <w:rPr>
          <w:rFonts w:ascii="Arial" w:eastAsia="Calibri" w:hAnsi="Arial" w:cs="Arial"/>
          <w:b/>
          <w:sz w:val="24"/>
          <w:szCs w:val="24"/>
        </w:rPr>
        <w:t>“AGRAVIOS, PARA TENERLOS POR DEBIDAMENTE CONFIGURADOS ES SUFICIENTE CON EXPRESAR LA CAUSA DE PEDIR”</w:t>
      </w:r>
      <w:r w:rsidRPr="00791593">
        <w:rPr>
          <w:rFonts w:ascii="Arial" w:eastAsia="Calibri" w:hAnsi="Arial" w:cs="Arial"/>
          <w:sz w:val="24"/>
          <w:szCs w:val="24"/>
        </w:rPr>
        <w:t>.</w:t>
      </w:r>
      <w:r w:rsidRPr="00791593">
        <w:rPr>
          <w:rFonts w:ascii="Arial" w:eastAsia="Calibri" w:hAnsi="Arial" w:cs="Arial"/>
          <w:sz w:val="24"/>
          <w:szCs w:val="24"/>
          <w:vertAlign w:val="superscript"/>
        </w:rPr>
        <w:t>61</w:t>
      </w:r>
    </w:p>
    <w:p w14:paraId="1872F609"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 xml:space="preserve">61 Consultable en: “Compilación de Jurisprudencia y tesis en materia electoral” 1997-2013, Jurisprudencia, Volumen 1, pp. 122-123. </w:t>
      </w:r>
    </w:p>
    <w:p w14:paraId="0D55686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En el mismo orden, este Tribunal Electoral ha precisado que los agravios pueden tenerse por formulados, independientemente de su ubicación en cierto capítulo o sección de la demanda, de conformidad con la jurisprudencia </w:t>
      </w:r>
      <w:r w:rsidRPr="00791593">
        <w:rPr>
          <w:rFonts w:ascii="Arial" w:eastAsia="Calibri" w:hAnsi="Arial" w:cs="Arial"/>
          <w:b/>
          <w:sz w:val="24"/>
          <w:szCs w:val="24"/>
        </w:rPr>
        <w:t>02/98</w:t>
      </w:r>
      <w:r w:rsidRPr="00791593">
        <w:rPr>
          <w:rFonts w:ascii="Arial" w:eastAsia="Calibri" w:hAnsi="Arial" w:cs="Arial"/>
          <w:sz w:val="24"/>
          <w:szCs w:val="24"/>
        </w:rPr>
        <w:t xml:space="preserve">, de rubro: </w:t>
      </w:r>
      <w:r w:rsidRPr="00791593">
        <w:rPr>
          <w:rFonts w:ascii="Arial" w:eastAsia="Calibri" w:hAnsi="Arial" w:cs="Arial"/>
          <w:b/>
          <w:sz w:val="24"/>
          <w:szCs w:val="24"/>
        </w:rPr>
        <w:t>“AGRAVIOS. PUEDEN ENCONTRARSE EN CUALQUIER PARTE DEL ESCRITO INICIAL”</w:t>
      </w:r>
      <w:r w:rsidRPr="00791593">
        <w:rPr>
          <w:rFonts w:ascii="Arial" w:eastAsia="Calibri" w:hAnsi="Arial" w:cs="Arial"/>
          <w:sz w:val="24"/>
          <w:szCs w:val="24"/>
        </w:rPr>
        <w:t>.</w:t>
      </w:r>
      <w:r w:rsidRPr="00791593">
        <w:rPr>
          <w:rFonts w:ascii="Arial" w:eastAsia="Calibri" w:hAnsi="Arial" w:cs="Arial"/>
          <w:sz w:val="24"/>
          <w:szCs w:val="24"/>
          <w:vertAlign w:val="superscript"/>
        </w:rPr>
        <w:t>62</w:t>
      </w:r>
    </w:p>
    <w:p w14:paraId="2093D712"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 xml:space="preserve">62 Consultable en: “Compilación de Jurisprudencia y tesis en materia electoral” 1997-2013, Jurisprudencia, Volumen 1, pp. 123-124. </w:t>
      </w:r>
    </w:p>
    <w:p w14:paraId="62AE8D3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CUARTO. Requisitos de procedencia. </w:t>
      </w:r>
      <w:r w:rsidRPr="00791593">
        <w:rPr>
          <w:rFonts w:ascii="Arial" w:eastAsia="Calibri" w:hAnsi="Arial" w:cs="Arial"/>
          <w:sz w:val="24"/>
          <w:szCs w:val="24"/>
        </w:rPr>
        <w:t>El presente medio de impugnación satisface los requisitos generales y especiales establecidos en los artículos 7, párrafo 1; 8, párrafo 1; 9, párrafo 1; 13, párrafo 1, inciso b); 79, párrafo 1; 80, párrafo 1, inciso f), y párrafo 2, todos de la Ley General del Sistema de Medios de Impugnación en Materia Electoral, como a continuación se expone:</w:t>
      </w:r>
    </w:p>
    <w:p w14:paraId="5D6CD30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a. Forma.</w:t>
      </w:r>
      <w:r w:rsidRPr="00791593">
        <w:rPr>
          <w:rFonts w:ascii="Arial" w:eastAsia="Calibri" w:hAnsi="Arial" w:cs="Arial"/>
          <w:sz w:val="24"/>
          <w:szCs w:val="24"/>
        </w:rPr>
        <w:t xml:space="preserve"> La demanda se presentó por escrito ante el Tribunal Electoral responsable, en ella consta el nombre y firma autógrafa de los promoventes, se identifica el acto impugnado, el órgano responsable y se expresan los agravios que los actores estimaron pertinentes.</w:t>
      </w:r>
    </w:p>
    <w:p w14:paraId="32E9393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b. Oportunidad. </w:t>
      </w:r>
      <w:r w:rsidRPr="00791593">
        <w:rPr>
          <w:rFonts w:ascii="Arial" w:eastAsia="Calibri" w:hAnsi="Arial" w:cs="Arial"/>
          <w:sz w:val="24"/>
          <w:szCs w:val="24"/>
        </w:rPr>
        <w:t>El juicio se promovió oportunamente, toda vez que la sentencia impugnada fue notificada por estrados el uno de marzo del año en curso</w:t>
      </w:r>
      <w:r w:rsidRPr="00791593">
        <w:rPr>
          <w:rFonts w:ascii="Arial" w:eastAsia="Calibri" w:hAnsi="Arial" w:cs="Arial"/>
          <w:sz w:val="24"/>
          <w:szCs w:val="24"/>
          <w:vertAlign w:val="superscript"/>
        </w:rPr>
        <w:t>63</w:t>
      </w:r>
      <w:r w:rsidRPr="00791593">
        <w:rPr>
          <w:rFonts w:ascii="Arial" w:eastAsia="Calibri" w:hAnsi="Arial" w:cs="Arial"/>
          <w:sz w:val="24"/>
          <w:szCs w:val="24"/>
        </w:rPr>
        <w:t>, mientras que el escrito de demanda fue presentado ante el Tribunal responsable, el cinco de marzo siguiente, como se advierte del sello de recibido de la demanda</w:t>
      </w:r>
      <w:r w:rsidRPr="00791593">
        <w:rPr>
          <w:rFonts w:ascii="Arial" w:eastAsia="Calibri" w:hAnsi="Arial" w:cs="Arial"/>
          <w:sz w:val="24"/>
          <w:szCs w:val="24"/>
          <w:vertAlign w:val="superscript"/>
        </w:rPr>
        <w:t>64</w:t>
      </w:r>
      <w:r w:rsidRPr="00791593">
        <w:rPr>
          <w:rFonts w:ascii="Arial" w:eastAsia="Calibri" w:hAnsi="Arial" w:cs="Arial"/>
          <w:sz w:val="24"/>
          <w:szCs w:val="24"/>
        </w:rPr>
        <w:t>; por tanto, el juicio se promovió dentro del plazo legal de cuatro días previsto por el artículo 8, de la Ley General del Sistema de Medios de Impugnación en Materia Electoral.</w:t>
      </w:r>
    </w:p>
    <w:p w14:paraId="3843F1BB"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lastRenderedPageBreak/>
        <w:t>63 Cédula y razón de notificación agregada a fojas 928 a 929 del cuaderno accesorio UNO.</w:t>
      </w:r>
    </w:p>
    <w:p w14:paraId="219D601D"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64 Sello a foja 4 del expediente PRINCIPAL.</w:t>
      </w:r>
    </w:p>
    <w:p w14:paraId="2D7CEF7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c. Legitimación. </w:t>
      </w:r>
      <w:r w:rsidRPr="00791593">
        <w:rPr>
          <w:rFonts w:ascii="Arial" w:eastAsia="Calibri" w:hAnsi="Arial" w:cs="Arial"/>
          <w:sz w:val="24"/>
          <w:szCs w:val="24"/>
        </w:rPr>
        <w:t xml:space="preserve">Se satisface este requisito, toda vez que los actores promueven por derecho propio, y en su carácter de candidatos electos a Concejales de </w:t>
      </w:r>
      <w:r w:rsidRPr="00791593">
        <w:rPr>
          <w:rFonts w:ascii="Arial" w:eastAsia="Calibri" w:hAnsi="Arial" w:cs="Arial"/>
          <w:b/>
          <w:sz w:val="24"/>
          <w:szCs w:val="24"/>
        </w:rPr>
        <w:t xml:space="preserve">San Sebastián Tecomaxtlahuaca, Juxtlahuaca, Oaxaca </w:t>
      </w:r>
      <w:r w:rsidRPr="00791593">
        <w:rPr>
          <w:rFonts w:ascii="Arial" w:eastAsia="Calibri" w:hAnsi="Arial" w:cs="Arial"/>
          <w:sz w:val="24"/>
          <w:szCs w:val="24"/>
        </w:rPr>
        <w:t>por Asamblea General Comunitaria de diecisiete de noviembre de dos mil trece, elección declarada válida por el Consejo General del Instituto Estatal Electoral y de Participación Ciudadana de Oaxaca y revocada a través de la sentencia impugnada, de ahí que se encuentren legitimados para controvertirla.</w:t>
      </w:r>
    </w:p>
    <w:p w14:paraId="2CFB3AD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d. Definitividad. </w:t>
      </w:r>
      <w:r w:rsidRPr="00791593">
        <w:rPr>
          <w:rFonts w:ascii="Arial" w:eastAsia="Calibri" w:hAnsi="Arial" w:cs="Arial"/>
          <w:sz w:val="24"/>
          <w:szCs w:val="24"/>
        </w:rPr>
        <w:t>Se satisface este requisito, en atención a que la sentencia combatida no admite medio de defensa alguno que deba ser agotado previamente, acorde a lo dispuesto en los artículos 111, fracción I, y su apartado A, de la Constitución Política del Estado Libre y Soberano de Oaxaca, así como, 25, de la Ley del Sistema de Medios de Impugnación y Participación Ciudadana de dicho Estado, ya que de su lectura conjunta se advierte que las sentencias que dicte el Tribunal Estatal Electoral, en el ámbito de su competencia, serán definitivas e inatacables en el orden local.</w:t>
      </w:r>
    </w:p>
    <w:p w14:paraId="3D0C193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QUINTO. Tercero interesado. </w:t>
      </w:r>
      <w:r w:rsidRPr="00791593">
        <w:rPr>
          <w:rFonts w:ascii="Arial" w:eastAsia="Calibri" w:hAnsi="Arial" w:cs="Arial"/>
          <w:sz w:val="24"/>
          <w:szCs w:val="24"/>
        </w:rPr>
        <w:t xml:space="preserve">Al juicio compareció Alfonso Alvarado Martínez y tres ciudadanos más, en su calidad de candidatos a Concejales de </w:t>
      </w:r>
      <w:r w:rsidRPr="00791593">
        <w:rPr>
          <w:rFonts w:ascii="Arial" w:eastAsia="Calibri" w:hAnsi="Arial" w:cs="Arial"/>
          <w:b/>
          <w:sz w:val="24"/>
          <w:szCs w:val="24"/>
        </w:rPr>
        <w:t xml:space="preserve">San Sebastián Tecomaxtlahuaca, Juxtlahuaca, Oaxaca, </w:t>
      </w:r>
      <w:r w:rsidRPr="00791593">
        <w:rPr>
          <w:rFonts w:ascii="Arial" w:eastAsia="Calibri" w:hAnsi="Arial" w:cs="Arial"/>
          <w:sz w:val="24"/>
          <w:szCs w:val="24"/>
        </w:rPr>
        <w:t>y promoventes del juicio primigenio, quienes solicitan se les reconozca su intervención de terceros interesados, calidad que es de reconocerse en atención a las siguientes consideraciones:</w:t>
      </w:r>
    </w:p>
    <w:p w14:paraId="142F98F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a. Calidad.</w:t>
      </w:r>
      <w:r w:rsidRPr="00791593">
        <w:rPr>
          <w:rFonts w:ascii="Arial" w:eastAsia="Calibri" w:hAnsi="Arial" w:cs="Arial"/>
          <w:sz w:val="24"/>
          <w:szCs w:val="24"/>
        </w:rPr>
        <w:t xml:space="preserve"> De conformidad con el artículo 12, párrafo 1, inciso c), de la Ley General del Sistema de Medios de Impugnación en Materia Electoral, el tercero interesado es el ciudadano, el partido político, la coalición, el candidato, la organización o la agrupación política o de ciudadanos, según corresponda, con un interés legítimo en la causa, derivado de un derecho incompatible con el que pretende el actor.</w:t>
      </w:r>
    </w:p>
    <w:p w14:paraId="010CE52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Así, los ciudadanos comparecientes, tienen ese carácter, al ser quienes participaron en la jornada electiva de diecisiete de noviembre de dos mil trece, relativa a la elección de Concejales de </w:t>
      </w:r>
      <w:r w:rsidRPr="00791593">
        <w:rPr>
          <w:rFonts w:ascii="Arial" w:eastAsia="Calibri" w:hAnsi="Arial" w:cs="Arial"/>
          <w:b/>
          <w:sz w:val="24"/>
          <w:szCs w:val="24"/>
        </w:rPr>
        <w:t xml:space="preserve">San Sebastián Tecomaxtlahuaca, Juxtlahuaca, Oaxaca, </w:t>
      </w:r>
      <w:r w:rsidRPr="00791593">
        <w:rPr>
          <w:rFonts w:ascii="Arial" w:eastAsia="Calibri" w:hAnsi="Arial" w:cs="Arial"/>
          <w:sz w:val="24"/>
          <w:szCs w:val="24"/>
        </w:rPr>
        <w:t>de la que se declaró ganadora a diversa planilla integrada por los ahora actores de presente juicio, cuya validez fue decretada por el Instituto Estatal Electoral y de Participación Ciudadana de Oaxaca, el veintiuno de diciembre siguiente, y revocada por el Tribunal Local derivado del juicio promovido por los quienes pretenden comparecer como terceros.</w:t>
      </w:r>
    </w:p>
    <w:p w14:paraId="66BEAD7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ahí que, si la pretensión de los enjuiciantes es que se revoque la resolución que anuló la elección, y sí los terceros pretenden que subsistan los efectos de la sentencia local, es indudable que cuentan con un derecho incompatible al de los actores.</w:t>
      </w:r>
    </w:p>
    <w:p w14:paraId="3C120BA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lastRenderedPageBreak/>
        <w:t xml:space="preserve">b. Legitimación y personería. </w:t>
      </w:r>
      <w:r w:rsidRPr="00791593">
        <w:rPr>
          <w:rFonts w:ascii="Arial" w:eastAsia="Calibri" w:hAnsi="Arial" w:cs="Arial"/>
          <w:sz w:val="24"/>
          <w:szCs w:val="24"/>
        </w:rPr>
        <w:t>El párrafo 2, del artículo 12, de la ley citada, refiere que el tercero interesado deberá presentar su escrito, por sí mismo o a través de la persona que lo represente, siempre y cuando justifique plenamente la legitimación para ello.</w:t>
      </w:r>
    </w:p>
    <w:p w14:paraId="1B55949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 numeral 13 de la misma ley señala que la presentación de los medios de impugnación corresponde, entre otros, a los ciudadanos y candidatos por su propio derecho, sin que sea admisible representación alguna. También, que los candidatos deberán acompañar el original o la copia certificada del documento en el que conste su registro.</w:t>
      </w:r>
    </w:p>
    <w:p w14:paraId="3D31D13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Los comparecientes acuden a este órgano jurisdiccional como candidatos a Concejales y promoventes del juicio primigenio, carácter reconocido por la responsable, de ahí que se encuentre satisfecho el requisito en análisis.</w:t>
      </w:r>
    </w:p>
    <w:p w14:paraId="3B346148"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c. Oportunidad. </w:t>
      </w:r>
      <w:r w:rsidRPr="00791593">
        <w:rPr>
          <w:rFonts w:ascii="Arial" w:eastAsia="Calibri" w:hAnsi="Arial" w:cs="Arial"/>
          <w:sz w:val="24"/>
          <w:szCs w:val="24"/>
        </w:rPr>
        <w:t>Ahora bien, de conformidad con el artículo 17, párrafo 1, inciso b), de la ley referida, la autoridad u órgano partidista, según sea el caso, que reciba un medio de impugnación en contra de sus propios actos o resoluciones, bajo su más estricta responsabilidad y de inmediato deberá hacerlo del conocimiento público mediante cédula que durante un plazo de setenta y dos horas fije en los estrados respectivos o por cualquier otro procedimiento que garantice fehacientemente la publicidad del escrito.</w:t>
      </w:r>
    </w:p>
    <w:p w14:paraId="6384DE5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 párrafo 4 del mismo artículo indica que dentro del plazo referido, los terceros interesados podrán comparecer mediante los escritos que consideren pertinentes.</w:t>
      </w:r>
    </w:p>
    <w:p w14:paraId="7B53CCD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el caso, la demanda que dio origen al presente juicio se hizo del conocimiento público en los estrados del Tribunal Electoral local, a partir de las doce horas con treinta minutos del seis de marzo del año en curso, y concluyó a la misma hora del nueve siguiente, lo que se corrobora con la certificación secretarial de dicho plazo</w:t>
      </w:r>
      <w:r w:rsidRPr="00791593">
        <w:rPr>
          <w:rFonts w:ascii="Arial" w:eastAsia="Calibri" w:hAnsi="Arial" w:cs="Arial"/>
          <w:sz w:val="24"/>
          <w:szCs w:val="24"/>
          <w:vertAlign w:val="superscript"/>
        </w:rPr>
        <w:t>65</w:t>
      </w:r>
      <w:r w:rsidRPr="00791593">
        <w:rPr>
          <w:rFonts w:ascii="Arial" w:eastAsia="Calibri" w:hAnsi="Arial" w:cs="Arial"/>
          <w:sz w:val="24"/>
          <w:szCs w:val="24"/>
        </w:rPr>
        <w:t>. En ese sentido, el acuse</w:t>
      </w:r>
      <w:r w:rsidRPr="00791593">
        <w:rPr>
          <w:rFonts w:ascii="Arial" w:eastAsia="Calibri" w:hAnsi="Arial" w:cs="Arial"/>
          <w:sz w:val="24"/>
          <w:szCs w:val="24"/>
          <w:vertAlign w:val="superscript"/>
        </w:rPr>
        <w:t>66</w:t>
      </w:r>
      <w:r w:rsidRPr="00791593">
        <w:rPr>
          <w:rFonts w:ascii="Arial" w:eastAsia="Calibri" w:hAnsi="Arial" w:cs="Arial"/>
          <w:sz w:val="24"/>
          <w:szCs w:val="24"/>
        </w:rPr>
        <w:t xml:space="preserve"> del escrito de comparecencia indica que fue presentado el nueve de marzo a las once horas con cincuenta y seis minutos, esto es dentro del plazo legalmente establecido, por lo que su presentación es oportuna.</w:t>
      </w:r>
    </w:p>
    <w:p w14:paraId="58E5FDEA"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65 Certificación visible a foja 177 reverso, del expediente PRINCIPAL.</w:t>
      </w:r>
    </w:p>
    <w:p w14:paraId="0A4AE1A3"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66 Sello a foja 178 del expediente PRINCIPAL.</w:t>
      </w:r>
    </w:p>
    <w:p w14:paraId="75BEE5B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Consecuentemente, al estimarse colmados los requisitos de procedibilidad de los comparecientes, se les reconoce el carácter de terceros interesados en el juicio.</w:t>
      </w:r>
    </w:p>
    <w:p w14:paraId="377F332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SEXTO. Causal de improcedencia. </w:t>
      </w:r>
      <w:r w:rsidRPr="00791593">
        <w:rPr>
          <w:rFonts w:ascii="Arial" w:eastAsia="Calibri" w:hAnsi="Arial" w:cs="Arial"/>
          <w:sz w:val="24"/>
          <w:szCs w:val="24"/>
        </w:rPr>
        <w:t>Los terceros interesados estiman que los diversos actores, no cumplen el requisito previsto por el artículo 10, inciso c) de la Ley General del Sistema de Medios de Impugnación en Materia Electoral, consistente en la legitimación, por no haberse apersonado en la instancia local.</w:t>
      </w:r>
    </w:p>
    <w:p w14:paraId="25D98C3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No es dable, el motivo de improcedencia por las razones siguientes.</w:t>
      </w:r>
    </w:p>
    <w:p w14:paraId="25E53DA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Con independencia de que los ahora actores no hayan comparecido en la instancia primigenia, como terceros interesados, su legitimación para promover el presente medio de defensa, surge de la necesidad de ejercitar su derecho de defensa a partir de la existencia de la resolución que resultó adversa a sus intereses, sin que la comparecencia en el juicio natural constituya un requisito para la impugnación del fallo.</w:t>
      </w:r>
    </w:p>
    <w:p w14:paraId="6679F193"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rPr>
        <w:t xml:space="preserve">Lo anterior, en términos de lo dispuesto en la jurisprudencia </w:t>
      </w:r>
      <w:r w:rsidRPr="00791593">
        <w:rPr>
          <w:rFonts w:ascii="Arial" w:eastAsia="Calibri" w:hAnsi="Arial" w:cs="Arial"/>
          <w:b/>
          <w:sz w:val="24"/>
          <w:szCs w:val="24"/>
        </w:rPr>
        <w:t>8/2004</w:t>
      </w:r>
      <w:r w:rsidRPr="00791593">
        <w:rPr>
          <w:rFonts w:ascii="Arial" w:eastAsia="Calibri" w:hAnsi="Arial" w:cs="Arial"/>
          <w:sz w:val="24"/>
          <w:szCs w:val="24"/>
        </w:rPr>
        <w:t xml:space="preserve">, de rubro: </w:t>
      </w:r>
      <w:r w:rsidRPr="00791593">
        <w:rPr>
          <w:rFonts w:ascii="Arial" w:eastAsia="Calibri" w:hAnsi="Arial" w:cs="Arial"/>
          <w:b/>
          <w:sz w:val="24"/>
          <w:szCs w:val="24"/>
        </w:rPr>
        <w:t>“LEGITIMACIÓN ACTIVA EN ULTERIOR MEDIO DE DEFENSA. LA TIENE EL TERCERO INTERESADO EN EL PROCEDIMIENTO DEL QUE EMANÓ EL ACTO IMPUGNADO AUNQUE NO SE HAYA APERSONADO EN ÉSTE”</w:t>
      </w:r>
      <w:r w:rsidRPr="00791593">
        <w:rPr>
          <w:rFonts w:ascii="Arial" w:eastAsia="Calibri" w:hAnsi="Arial" w:cs="Arial"/>
          <w:sz w:val="24"/>
          <w:szCs w:val="24"/>
        </w:rPr>
        <w:t>.</w:t>
      </w:r>
      <w:r w:rsidRPr="00791593">
        <w:rPr>
          <w:rFonts w:ascii="Arial" w:eastAsia="Calibri" w:hAnsi="Arial" w:cs="Arial"/>
          <w:sz w:val="24"/>
          <w:szCs w:val="24"/>
          <w:vertAlign w:val="superscript"/>
        </w:rPr>
        <w:t>67</w:t>
      </w:r>
    </w:p>
    <w:p w14:paraId="6F35750F"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 xml:space="preserve">67 Consultable en: “Compilación de Jurisprudencia y tesis en materia electoral” 1997-2013, Tesis, Volumen 1, pp. 1087 a 1088. </w:t>
      </w:r>
    </w:p>
    <w:p w14:paraId="70D8A66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Por tanto, no asiste la razón a los terceros en el sentido de que no debe reconocerse la calidad como actores de quienes no comparecieron en la instancia primigenia, vez que a ellos, se les había declarado electos por la autoridad administrativa electoral local, y de la impugnación de ese acto derivó la revocación a dicha elección. De ahí que con la emisión de la sentencia surgió el acto adverso a sus intereses, por tanto, en términos de la jurisprudencia en cita, no sea posible acoger la pretensión de los terceros.</w:t>
      </w:r>
    </w:p>
    <w:p w14:paraId="427585A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Conforme a lo anterior, al no advertirse algún supuesto de improcedencia o de sobreseimiento previstos en los artículos 10 y 11 de la ley procesal de la materia, esta Sala Regional se pronunciará sobre el fondo del asunto.</w:t>
      </w:r>
    </w:p>
    <w:p w14:paraId="3196353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SÉPTIMO. Marco jurídico de los sistemas normativos internos. </w:t>
      </w:r>
      <w:r w:rsidRPr="00791593">
        <w:rPr>
          <w:rFonts w:ascii="Arial" w:eastAsia="Calibri" w:hAnsi="Arial" w:cs="Arial"/>
          <w:sz w:val="24"/>
          <w:szCs w:val="24"/>
        </w:rPr>
        <w:t>Por la especialidad del tema, se estima pertinente citar el marco constitucional, convencional y legal, así como algunos conceptos propios de las elecciones regidas por sistemas normativos internos de los pueblos indígenas.</w:t>
      </w:r>
    </w:p>
    <w:p w14:paraId="6A8419A7"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I. Autodeterminación de los pueblos indígenas.</w:t>
      </w:r>
    </w:p>
    <w:p w14:paraId="68D90EF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conformidad con el artículo 2° de la Constitución Política de los Estados Unidos Mexicanos, son comunidades integrantes de un pueblo indígena, aquellas que formen una unidad social, económica y cultural, asentadas en un territorio y que reconocen autoridades propias de acuerdo con sus usos y costumbres.</w:t>
      </w:r>
    </w:p>
    <w:p w14:paraId="6A20A1E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w:t>
      </w:r>
      <w:r w:rsidRPr="00791593">
        <w:rPr>
          <w:rFonts w:ascii="Arial" w:eastAsia="Calibri" w:hAnsi="Arial" w:cs="Arial"/>
          <w:sz w:val="24"/>
          <w:szCs w:val="24"/>
        </w:rPr>
        <w:lastRenderedPageBreak/>
        <w:t>párrafos anteriores de este artículo, criterios etnolingüísticos y de asentamiento físico.</w:t>
      </w:r>
    </w:p>
    <w:p w14:paraId="00F0ECC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En el apartado A, de dicho artículo, se reconoce y garantiza el derecho de los pueblos y las comunidades indígenas a la libre determinación y, en consecuencia, a la autonomía para: </w:t>
      </w:r>
    </w:p>
    <w:p w14:paraId="35B81C1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a. </w:t>
      </w:r>
      <w:r w:rsidRPr="00791593">
        <w:rPr>
          <w:rFonts w:ascii="Arial" w:eastAsia="Calibri" w:hAnsi="Arial" w:cs="Arial"/>
          <w:sz w:val="24"/>
          <w:szCs w:val="24"/>
        </w:rPr>
        <w:t>Decidir sus formas internas de convivencia y organización social, económica, política y cultural.</w:t>
      </w:r>
    </w:p>
    <w:p w14:paraId="731A154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b.</w:t>
      </w:r>
      <w:r w:rsidRPr="00791593">
        <w:rPr>
          <w:rFonts w:ascii="Arial" w:eastAsia="Calibri" w:hAnsi="Arial" w:cs="Arial"/>
          <w:sz w:val="24"/>
          <w:szCs w:val="24"/>
        </w:rPr>
        <w:t xml:space="preserve"> Aplicar sus propios sistemas normativos en la regulación y solución de sus conflictos internos, sujetándose a los principios generales de la Constitución, respetando los </w:t>
      </w:r>
      <w:r w:rsidRPr="00791593">
        <w:rPr>
          <w:rFonts w:ascii="Arial" w:eastAsia="Calibri" w:hAnsi="Arial" w:cs="Arial"/>
          <w:b/>
          <w:sz w:val="24"/>
          <w:szCs w:val="24"/>
        </w:rPr>
        <w:t>derechos humanos</w:t>
      </w:r>
      <w:r w:rsidRPr="00791593">
        <w:rPr>
          <w:rFonts w:ascii="Arial" w:eastAsia="Calibri" w:hAnsi="Arial" w:cs="Arial"/>
          <w:sz w:val="24"/>
          <w:szCs w:val="24"/>
        </w:rPr>
        <w:t xml:space="preserve"> y, de manera relevante, la dignidad e integridad de las mujeres.</w:t>
      </w:r>
    </w:p>
    <w:p w14:paraId="4AAF9E0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c. </w:t>
      </w:r>
      <w:r w:rsidRPr="00791593">
        <w:rPr>
          <w:rFonts w:ascii="Arial" w:eastAsia="Calibri" w:hAnsi="Arial" w:cs="Arial"/>
          <w:sz w:val="24"/>
          <w:szCs w:val="24"/>
        </w:rPr>
        <w:t>Elegir, de acuerdo con sus normas, procedimientos y prácticas tradicionales, a las autoridades o representantes para el ejercicio de sus formas propias de gobierno interno, garantizando la participación de las mujeres en condiciones de equidad frente a los varones, en un marco que respete el pacto federal y la soberanía de los estados.</w:t>
      </w:r>
    </w:p>
    <w:p w14:paraId="4E4DA2B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d. </w:t>
      </w:r>
      <w:r w:rsidRPr="00791593">
        <w:rPr>
          <w:rFonts w:ascii="Arial" w:eastAsia="Calibri" w:hAnsi="Arial" w:cs="Arial"/>
          <w:sz w:val="24"/>
          <w:szCs w:val="24"/>
        </w:rPr>
        <w:t>Elegir, en los municipios, como en las poblaciones indígenas, a los representantes ante los ayuntamientos. Las constituciones y leyes de las entidades federativas reconocerán y regularán estos derechos en los municipios, con el propósito de fortalecer la participación y representación política de conformidad con sus tradiciones y normas internas.</w:t>
      </w:r>
    </w:p>
    <w:p w14:paraId="1369421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Como se aprecia, la propia Constitución establece que quienes se asuman descendientes de aquéllos que habitaban en el país al inicio de la colonización, tienen derecho a la aplicación del marco de regulación indígena.</w:t>
      </w:r>
    </w:p>
    <w:p w14:paraId="4818675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Aunado a esto, dentro de los instrumentos internacionales que vinculan al Estado Mexicano en relación al derecho a la libre determinación de las comunidades indígenas encontramos los siguientes:</w:t>
      </w:r>
    </w:p>
    <w:p w14:paraId="6B41FE73"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sz w:val="24"/>
          <w:szCs w:val="24"/>
        </w:rPr>
        <w:t xml:space="preserve">El Convenio 169 de la Organización Internacional del Trabajo establece en su artículo 8, párrafo primero, que </w:t>
      </w:r>
      <w:r w:rsidRPr="00791593">
        <w:rPr>
          <w:rFonts w:ascii="Arial" w:eastAsia="Calibri" w:hAnsi="Arial" w:cs="Arial"/>
          <w:b/>
          <w:sz w:val="24"/>
          <w:szCs w:val="24"/>
        </w:rPr>
        <w:t>al aplicar la legislación nacional a los pueblos interesados deberá tomarse debidamente en consideración sus costumbres o su derecho consuetudinario.</w:t>
      </w:r>
    </w:p>
    <w:p w14:paraId="5DCB6D4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Por su parte, el párrafo segundo, señala que los pueblos indígenas deberán tener </w:t>
      </w:r>
      <w:r w:rsidRPr="00791593">
        <w:rPr>
          <w:rFonts w:ascii="Arial" w:eastAsia="Calibri" w:hAnsi="Arial" w:cs="Arial"/>
          <w:b/>
          <w:sz w:val="24"/>
          <w:szCs w:val="24"/>
        </w:rPr>
        <w:t xml:space="preserve">el derecho de conservar sus costumbres e instituciones propias, siempre que éstas no sean incompatibles con los derechos fundamentales </w:t>
      </w:r>
      <w:r w:rsidRPr="00791593">
        <w:rPr>
          <w:rFonts w:ascii="Arial" w:eastAsia="Calibri" w:hAnsi="Arial" w:cs="Arial"/>
          <w:sz w:val="24"/>
          <w:szCs w:val="24"/>
        </w:rPr>
        <w:t>definidos por el sistema jurídico nacional ni con los derechos internacionalmente reconocidos.</w:t>
      </w:r>
    </w:p>
    <w:p w14:paraId="602CEF9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La Declaración de las Naciones Unidas sobre los derechos de los pueblos indígenas</w:t>
      </w:r>
      <w:r w:rsidRPr="00791593">
        <w:rPr>
          <w:rFonts w:ascii="Arial" w:eastAsia="Calibri" w:hAnsi="Arial" w:cs="Arial"/>
          <w:sz w:val="24"/>
          <w:szCs w:val="24"/>
          <w:vertAlign w:val="superscript"/>
        </w:rPr>
        <w:t>68</w:t>
      </w:r>
      <w:r w:rsidRPr="00791593">
        <w:rPr>
          <w:rFonts w:ascii="Arial" w:eastAsia="Calibri" w:hAnsi="Arial" w:cs="Arial"/>
          <w:sz w:val="24"/>
          <w:szCs w:val="24"/>
        </w:rPr>
        <w:t xml:space="preserve">, menciona en su artículo 3 que los pueblos indígenas tienen </w:t>
      </w:r>
      <w:r w:rsidRPr="00791593">
        <w:rPr>
          <w:rFonts w:ascii="Arial" w:eastAsia="Calibri" w:hAnsi="Arial" w:cs="Arial"/>
          <w:b/>
          <w:sz w:val="24"/>
          <w:szCs w:val="24"/>
        </w:rPr>
        <w:t xml:space="preserve">derecho a la libre determinación </w:t>
      </w:r>
      <w:r w:rsidRPr="00791593">
        <w:rPr>
          <w:rFonts w:ascii="Arial" w:eastAsia="Calibri" w:hAnsi="Arial" w:cs="Arial"/>
          <w:sz w:val="24"/>
          <w:szCs w:val="24"/>
        </w:rPr>
        <w:t xml:space="preserve">y que en virtud de ese derecho </w:t>
      </w:r>
      <w:r w:rsidRPr="00791593">
        <w:rPr>
          <w:rFonts w:ascii="Arial" w:eastAsia="Calibri" w:hAnsi="Arial" w:cs="Arial"/>
          <w:sz w:val="24"/>
          <w:szCs w:val="24"/>
        </w:rPr>
        <w:lastRenderedPageBreak/>
        <w:t>determinan libremente su condición política y persiguen libremente su desarrollo económico, social y cultural.</w:t>
      </w:r>
    </w:p>
    <w:p w14:paraId="36F19FFF"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68 Aprobada por la Asamblea General de la Organización de las Naciones Unidas el 13 de septiembre de 2007.</w:t>
      </w:r>
    </w:p>
    <w:p w14:paraId="6E93CF6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El artículo 4 establece que los pueblos indígenas, en ejercicio de su libre determinación, tienen el derecho a la </w:t>
      </w:r>
      <w:r w:rsidRPr="00791593">
        <w:rPr>
          <w:rFonts w:ascii="Arial" w:eastAsia="Calibri" w:hAnsi="Arial" w:cs="Arial"/>
          <w:b/>
          <w:sz w:val="24"/>
          <w:szCs w:val="24"/>
        </w:rPr>
        <w:t xml:space="preserve">autonomía o al autogobierno en las cuestiones relacionadas con sus asuntos internos y locales, </w:t>
      </w:r>
      <w:r w:rsidRPr="00791593">
        <w:rPr>
          <w:rFonts w:ascii="Arial" w:eastAsia="Calibri" w:hAnsi="Arial" w:cs="Arial"/>
          <w:sz w:val="24"/>
          <w:szCs w:val="24"/>
        </w:rPr>
        <w:t>así como a disponer de los medios para financiar sus funciones autónomas.</w:t>
      </w:r>
    </w:p>
    <w:p w14:paraId="378987F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En el mismo sentido, el artículo 5 refiere que tales pueblos tienen derecho </w:t>
      </w:r>
      <w:r w:rsidRPr="00791593">
        <w:rPr>
          <w:rFonts w:ascii="Arial" w:eastAsia="Calibri" w:hAnsi="Arial" w:cs="Arial"/>
          <w:b/>
          <w:sz w:val="24"/>
          <w:szCs w:val="24"/>
        </w:rPr>
        <w:t xml:space="preserve">a conservar y reforzar sus propias instituciones políticas, jurídicas, </w:t>
      </w:r>
      <w:r w:rsidRPr="00791593">
        <w:rPr>
          <w:rFonts w:ascii="Arial" w:eastAsia="Calibri" w:hAnsi="Arial" w:cs="Arial"/>
          <w:sz w:val="24"/>
          <w:szCs w:val="24"/>
        </w:rPr>
        <w:t>económicas, sociales y culturales, manteniendo a la vez su derecho a participar plenamente, si lo desean, en la vida política, económica, social y cultural del Estado.</w:t>
      </w:r>
    </w:p>
    <w:p w14:paraId="32325391"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sz w:val="24"/>
          <w:szCs w:val="24"/>
        </w:rPr>
        <w:t xml:space="preserve">El artículo 33, párrafo segundo, menciona que los pueblos indígenas tienen derecho a determinar las estructuras </w:t>
      </w:r>
      <w:r w:rsidRPr="00791593">
        <w:rPr>
          <w:rFonts w:ascii="Arial" w:eastAsia="Calibri" w:hAnsi="Arial" w:cs="Arial"/>
          <w:b/>
          <w:sz w:val="24"/>
          <w:szCs w:val="24"/>
        </w:rPr>
        <w:t>y a elegir la composición de sus instituciones de conformidad con sus propios procedimientos.</w:t>
      </w:r>
    </w:p>
    <w:p w14:paraId="4FBCC208"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sz w:val="24"/>
          <w:szCs w:val="24"/>
        </w:rPr>
        <w:t xml:space="preserve">En un sentido más específico, el artículo 34 menciona que los pueblos indígenas tienen derecho a promover, desarrollar y mantener sus estructuras institucionales y sus propias costumbres, espiritualidad, tradiciones, procedimientos, prácticas </w:t>
      </w:r>
      <w:r w:rsidRPr="00791593">
        <w:rPr>
          <w:rFonts w:ascii="Arial" w:eastAsia="Calibri" w:hAnsi="Arial" w:cs="Arial"/>
          <w:b/>
          <w:sz w:val="24"/>
          <w:szCs w:val="24"/>
        </w:rPr>
        <w:t>y, cuando existan, costumbres o sistemas jurídicos, de conformidad con las normas internacionales de derechos humanos.</w:t>
      </w:r>
    </w:p>
    <w:p w14:paraId="176C9D60"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sz w:val="24"/>
          <w:szCs w:val="24"/>
        </w:rPr>
        <w:t xml:space="preserve">El numeral 40 de dicha declaración establece, que los </w:t>
      </w:r>
      <w:r w:rsidRPr="00791593">
        <w:rPr>
          <w:rFonts w:ascii="Arial" w:eastAsia="Calibri" w:hAnsi="Arial" w:cs="Arial"/>
          <w:b/>
          <w:sz w:val="24"/>
          <w:szCs w:val="24"/>
        </w:rPr>
        <w:t xml:space="preserve">pueblos indígenas tienen derecho a procedimientos equitativos y justos para el arreglo de controversias con los Estados u otras partes, </w:t>
      </w:r>
      <w:r w:rsidRPr="00791593">
        <w:rPr>
          <w:rFonts w:ascii="Arial" w:eastAsia="Calibri" w:hAnsi="Arial" w:cs="Arial"/>
          <w:sz w:val="24"/>
          <w:szCs w:val="24"/>
        </w:rPr>
        <w:t xml:space="preserve">y a una pronta decisión sobre esas controversias, así como a una reparación efectiva de toda lesión en sus derechos individuales y colectivos. </w:t>
      </w:r>
      <w:r w:rsidRPr="00791593">
        <w:rPr>
          <w:rFonts w:ascii="Arial" w:eastAsia="Calibri" w:hAnsi="Arial" w:cs="Arial"/>
          <w:b/>
          <w:sz w:val="24"/>
          <w:szCs w:val="24"/>
        </w:rPr>
        <w:t>En esas decisiones se tendrán debidamente en consideración las costumbres, las tradiciones, las normas y los sistemas jurídicos de los pueblos indígenas interesados y las normas internacionales de derechos humanos.</w:t>
      </w:r>
    </w:p>
    <w:p w14:paraId="3CDE3801"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sz w:val="24"/>
          <w:szCs w:val="24"/>
        </w:rPr>
        <w:t xml:space="preserve">Finalmente, el artículo 43 señala que los derechos reconocidos en la Declaración </w:t>
      </w:r>
      <w:r w:rsidRPr="00791593">
        <w:rPr>
          <w:rFonts w:ascii="Arial" w:eastAsia="Calibri" w:hAnsi="Arial" w:cs="Arial"/>
          <w:b/>
          <w:sz w:val="24"/>
          <w:szCs w:val="24"/>
        </w:rPr>
        <w:t>constituyen normas mínimas para la supervivencia, la dignidad y el bienestar de los pueblos indígenas del mundo.</w:t>
      </w:r>
    </w:p>
    <w:p w14:paraId="341746D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Los citados dispositivos se tienen en cuenta en el quehacer jurisdiccional de nuestro país, en los términos resueltos por la Suprema Corte de Justicia de la Nación en cumplimiento a la condena</w:t>
      </w:r>
      <w:r w:rsidRPr="00791593">
        <w:rPr>
          <w:rFonts w:ascii="Arial" w:eastAsia="Calibri" w:hAnsi="Arial" w:cs="Arial"/>
          <w:sz w:val="24"/>
          <w:szCs w:val="24"/>
          <w:vertAlign w:val="superscript"/>
        </w:rPr>
        <w:t>69</w:t>
      </w:r>
      <w:r w:rsidRPr="00791593">
        <w:rPr>
          <w:rFonts w:ascii="Arial" w:eastAsia="Calibri" w:hAnsi="Arial" w:cs="Arial"/>
          <w:sz w:val="24"/>
          <w:szCs w:val="24"/>
        </w:rPr>
        <w:t xml:space="preserve"> del Estado Mexicano en el caso </w:t>
      </w:r>
      <w:r w:rsidRPr="00791593">
        <w:rPr>
          <w:rFonts w:ascii="Arial" w:eastAsia="Calibri" w:hAnsi="Arial" w:cs="Arial"/>
          <w:i/>
          <w:sz w:val="24"/>
          <w:szCs w:val="24"/>
        </w:rPr>
        <w:t>Rosendo Radilla contra el Estado Mexicano</w:t>
      </w:r>
      <w:r w:rsidRPr="00791593">
        <w:rPr>
          <w:rFonts w:ascii="Arial" w:eastAsia="Calibri" w:hAnsi="Arial" w:cs="Arial"/>
          <w:sz w:val="24"/>
          <w:szCs w:val="24"/>
        </w:rPr>
        <w:t xml:space="preserve">; y conforme con lo establecido por la Segunda Sala de la Suprema Corte de Justicia de la Nación en la jurisprudencia </w:t>
      </w:r>
      <w:r w:rsidRPr="00791593">
        <w:rPr>
          <w:rFonts w:ascii="Arial" w:eastAsia="Calibri" w:hAnsi="Arial" w:cs="Arial"/>
          <w:b/>
          <w:sz w:val="24"/>
          <w:szCs w:val="24"/>
        </w:rPr>
        <w:t>1a./J.18/2012</w:t>
      </w:r>
      <w:r w:rsidRPr="00791593">
        <w:rPr>
          <w:rFonts w:ascii="Arial" w:eastAsia="Calibri" w:hAnsi="Arial" w:cs="Arial"/>
          <w:sz w:val="24"/>
          <w:szCs w:val="24"/>
        </w:rPr>
        <w:t xml:space="preserve">, de rubro: </w:t>
      </w:r>
      <w:r w:rsidRPr="00791593">
        <w:rPr>
          <w:rFonts w:ascii="Arial" w:eastAsia="Calibri" w:hAnsi="Arial" w:cs="Arial"/>
          <w:b/>
          <w:sz w:val="24"/>
          <w:szCs w:val="24"/>
        </w:rPr>
        <w:t>“CONTROL DE CONSTITUCIONALIDAD Y DE CONVENCIONALIDAD (REFORMA CONSTITUCIONAL DE 10 DE JUNIO DE 2011)”</w:t>
      </w:r>
      <w:r w:rsidRPr="00791593">
        <w:rPr>
          <w:rFonts w:ascii="Arial" w:eastAsia="Calibri" w:hAnsi="Arial" w:cs="Arial"/>
          <w:sz w:val="24"/>
          <w:szCs w:val="24"/>
        </w:rPr>
        <w:t xml:space="preserve">. </w:t>
      </w:r>
      <w:r w:rsidRPr="00791593">
        <w:rPr>
          <w:rFonts w:ascii="Arial" w:eastAsia="Calibri" w:hAnsi="Arial" w:cs="Arial"/>
          <w:sz w:val="24"/>
          <w:szCs w:val="24"/>
          <w:vertAlign w:val="superscript"/>
        </w:rPr>
        <w:t>70</w:t>
      </w:r>
    </w:p>
    <w:p w14:paraId="7C04B290"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lastRenderedPageBreak/>
        <w:t>69 Expediente varios 912/2011 del Índice de la Suprema Corte de Justicia de la Nación.</w:t>
      </w:r>
    </w:p>
    <w:p w14:paraId="5B433B11"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70 Consultable en el Semanario Judicial de la Federación y su Gaceta; Décima Época, Libro XV, Jurisprudencia, p. 420.</w:t>
      </w:r>
    </w:p>
    <w:p w14:paraId="3D3DE5A6"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sz w:val="24"/>
          <w:szCs w:val="24"/>
        </w:rPr>
        <w:t xml:space="preserve">Sobre el tema de usos y costumbres, la Corte Interamericana de Derechos Humanos sostuvo en el caso de </w:t>
      </w:r>
      <w:r w:rsidRPr="00791593">
        <w:rPr>
          <w:rFonts w:ascii="Arial" w:eastAsia="Calibri" w:hAnsi="Arial" w:cs="Arial"/>
          <w:i/>
          <w:sz w:val="24"/>
          <w:szCs w:val="24"/>
        </w:rPr>
        <w:t>Yatama vs Nicaragua</w:t>
      </w:r>
      <w:r w:rsidRPr="00791593">
        <w:rPr>
          <w:rFonts w:ascii="Arial" w:eastAsia="Calibri" w:hAnsi="Arial" w:cs="Arial"/>
          <w:sz w:val="24"/>
          <w:szCs w:val="24"/>
          <w:vertAlign w:val="superscript"/>
        </w:rPr>
        <w:t>71</w:t>
      </w:r>
      <w:r w:rsidRPr="00791593">
        <w:rPr>
          <w:rFonts w:ascii="Arial" w:eastAsia="Calibri" w:hAnsi="Arial" w:cs="Arial"/>
          <w:sz w:val="24"/>
          <w:szCs w:val="24"/>
        </w:rPr>
        <w:t xml:space="preserve"> que el Estado debe integrar a las comunidades indígenas a las instituciones y órganos estatales y participar de manera directa y proporcional a su población en la dirección de los asuntos públicos, así </w:t>
      </w:r>
      <w:r w:rsidRPr="00791593">
        <w:rPr>
          <w:rFonts w:ascii="Arial" w:eastAsia="Calibri" w:hAnsi="Arial" w:cs="Arial"/>
          <w:b/>
          <w:sz w:val="24"/>
          <w:szCs w:val="24"/>
        </w:rPr>
        <w:t>como hacerlo desde sus propias instituciones y de acuerdo a sus valores, usos, costumbres y formas de organización, siempre que sean compatibles con los derechos humanos consagrados en la Convención.</w:t>
      </w:r>
    </w:p>
    <w:p w14:paraId="0A9FEF6B"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71 Sentencia de 23 de junio de 2005, párrafo 225.</w:t>
      </w:r>
    </w:p>
    <w:p w14:paraId="34B094B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Como se relató, tanto en la normativa nacional, internacional, así como en los criterios adoptados por la Corte Interamericana, se encuentra reconocido el derecho de autodeterminación de los pueblos indígenas, dentro del cual se encuentra la posibilidad de organizar sus formas de gobierno o representación.</w:t>
      </w:r>
    </w:p>
    <w:p w14:paraId="754711B1"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II. Regulación del procedimiento de elección por sistemas normativos internos en Oaxaca.</w:t>
      </w:r>
    </w:p>
    <w:p w14:paraId="427E96E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Ahora bien, por lo que hace a la normatividad aplicable del Estado de Oaxaca, se tiene lo siguiente:</w:t>
      </w:r>
    </w:p>
    <w:p w14:paraId="0D6F1F0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La Constitución Política del Estado Libre y Soberano de Oaxaca, desarrolla una tutela normativa favorable para los pueblos y comunidades indígenas, prevista en los artículos 16 y 25.</w:t>
      </w:r>
    </w:p>
    <w:p w14:paraId="7B0597C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Dichos numerales en esencia señalan, que el Estado de Oaxaca tiene una composición étnica plural, sustentada en la presencia y diversidad de los pueblos y comunidades que lo integran.</w:t>
      </w:r>
    </w:p>
    <w:p w14:paraId="209D418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La libre determinación de los pueblos y comunidades indígenas se expresa como autonomía, en tanto partes integrantes del Estado de Oaxaca, en el marco del orden jurídico vigente; por tanto, dichos pueblos y comunidades tienen personalidad jurídica de derecho público y gozan de derechos sociales.</w:t>
      </w:r>
    </w:p>
    <w:p w14:paraId="4BE8B35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Se reconocen los sistemas normativos internos de los pueblos y comunidades indígenas, así como jurisdicción a las autoridades comunitarias de los mismos.</w:t>
      </w:r>
    </w:p>
    <w:p w14:paraId="3934C06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 Estado, en el ámbito de su competencia, reconoce a los pueblos y comunidades indígenas el derecho social al uso y disfrute de los recursos naturales de sus tierras y territorios, en los términos de la ley reglamentaria; asimismo, de acuerdo a sus programas presupuestales, dictará medidas tendientes a procurar el desarrollo económico, social y cultural de los pueblos y comunidades indígenas.</w:t>
      </w:r>
    </w:p>
    <w:p w14:paraId="37C651A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La ley protegerá y propiciará las prácticas democráticas en todas las comunidades del Estado de Oaxaca, para la elección de sus Ayuntamientos, en los términos establecidos por el artículo 2º., apartado A, fracciones III y VII, de la Constitución Política de los Estados Unidos Mexicanos y 16, de la Constitución Política del Estado Libre y Soberano de Oaxaca.</w:t>
      </w:r>
    </w:p>
    <w:p w14:paraId="4E36BDB8"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Establecerá los mecanismos para garantizar la plena y total participación de la mujer en dichos procesos electorales y el ejercicio de su derecho a votar y ser votada en condiciones de igualdad con el de los varones y sancionará su contravención.</w:t>
      </w:r>
    </w:p>
    <w:p w14:paraId="25191E1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los preceptos anteriormente referidos, se concluye que el máximo ordenamiento del Estado de Oaxaca otorga a las comunidades indígenas el reconocimiento a sus sistemas normativos internos y jurisdicción a sus autoridades comunitarias. Adicionalmente, protege y propicia las prácticas democráticas en todas sus comunidades, sin que dichas prácticas limiten los derechos políticos y electorales de las ciudadanas oaxaqueñas.</w:t>
      </w:r>
    </w:p>
    <w:p w14:paraId="4FA39DC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La única limitante estriba en que dichos usos y costumbres no sean contrarios a los derechos fundamentales establecidos en su Constitución, en los tratados internacionales ratificados por el Estado Mexicano y en la Constitución Política de la República.</w:t>
      </w:r>
    </w:p>
    <w:p w14:paraId="52E81A08"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Por lo que respecta al ámbito legal, el Código de Instituciones Políticas y Procedimientos Electorales del Estado de Oaxaca en sus artículos 12, 83 y 85, así como en lo dispuesto en el </w:t>
      </w:r>
      <w:r w:rsidRPr="00791593">
        <w:rPr>
          <w:rFonts w:ascii="Arial" w:eastAsia="Calibri" w:hAnsi="Arial" w:cs="Arial"/>
          <w:i/>
          <w:sz w:val="24"/>
          <w:szCs w:val="24"/>
        </w:rPr>
        <w:t>“Libro Sexto. De la Renovación de los Ayuntamientos en Municipios que Electoralmente se rigen por Sistemas Normativos Internos”</w:t>
      </w:r>
      <w:r w:rsidRPr="00791593">
        <w:rPr>
          <w:rFonts w:ascii="Arial" w:eastAsia="Calibri" w:hAnsi="Arial" w:cs="Arial"/>
          <w:sz w:val="24"/>
          <w:szCs w:val="24"/>
        </w:rPr>
        <w:t>, se prevé la instrumentación de los procedimientos electivos en los municipios que se rigen por el mencionado sistema, así como los parámetros a que se deben de ajustar las autoridades en caso de que se realicen elecciones extraordinarias en los referidos ayuntamientos.</w:t>
      </w:r>
    </w:p>
    <w:p w14:paraId="2D3B76B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efecto, el numeral 12 de dicho Código señala que en aquellos municipios que eligen a sus ayuntamientos mediante sus sistemas normativos internos, los requisitos para el ejercicio del voto, los derechos y sus restricciones así como las obligaciones de los ciudadanos, se harán conforme a sus normas, instituciones, prácticas y tradiciones democráticas, sólo en lo que corresponde a la elección de Concejales, siempre que no violen derechos humanos reconocidos por la Constitución Federal, por los tratados internacionales y por la Constitución Estatal.</w:t>
      </w:r>
    </w:p>
    <w:p w14:paraId="5D46A4E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 artículo 83, establece que las elecciones para la renovación de los poderes públicos serán ordinarias y extraordinarias.</w:t>
      </w:r>
    </w:p>
    <w:p w14:paraId="7A30D18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Aquellos municipios que electoralmente se rigen bajo sus sistemas normativos internos, realizarán su elección en las fechas que sus </w:t>
      </w:r>
      <w:r w:rsidRPr="00791593">
        <w:rPr>
          <w:rFonts w:ascii="Arial" w:eastAsia="Calibri" w:hAnsi="Arial" w:cs="Arial"/>
          <w:sz w:val="24"/>
          <w:szCs w:val="24"/>
        </w:rPr>
        <w:lastRenderedPageBreak/>
        <w:t>prácticas democráticas lo determinen, o en su caso, sus estatutos electorales comunitarios, inscritos ante el Instituto Local.</w:t>
      </w:r>
    </w:p>
    <w:p w14:paraId="3DE367A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 numeral 255 del referido Código, reconoce y garantiza el derecho de los pueblos y las comunidades indígenas del Estado de Oaxaca a la libre determinación expresada en la autonomía para decidir sus formas internas de convivencia y organización política, así como para elegir, de acuerdo con sus normas, procedimientos y prácticas tradicionales, a las autoridades o representantes para el ejercicio de sus formas propias de gobierno, garantizando la participación de las mujeres en condiciones de igualdad frente a los hombres, en un marco que respete la Constitución Federal, Local y la Soberanía del Estado.</w:t>
      </w:r>
    </w:p>
    <w:p w14:paraId="580B9D3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Ahora bien, por cuanto hace al procedimiento de elección de las autoridades municipales, el numeral citado establece que el procedimiento electoral en el régimen de sistemas normativos internos, comprende el conjunto de actos realizados por los ciudadanos y las autoridades competentes de los municipios que se rigen bajo el sistema consuetudinario, para la renovación y prestación de cargos y servicios municipales. Estos actos comprenden desde la preparación de las Asambleas electivas, el desarrollo de las mismas y el levantamiento de las actas correspondientes.</w:t>
      </w:r>
    </w:p>
    <w:p w14:paraId="509B78B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cada una de estas etapas, el Instituto Estatal Electoral y de Participación Ciudadana de Oaxaca será garante de los derechos tutelados por los artículos 1 y 2 de la Constitución Federal; 16 y 25, fracción II, del apartado A, de la Constitución Estatal, para salvaguardar el derecho a la libre determinación de los pueblos indígenas expresada en sus sistemas normativos internos y la autonomía para elegir a sus autoridades o gobiernos locales; así como en el reconocimiento a la diversidad de culturas y sistemas normativos existentes en el Estado.</w:t>
      </w:r>
    </w:p>
    <w:p w14:paraId="7772B24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Las normas, procedimientos y prácticas tradicionales, garantizarán que las mujeres disfruten y ejerzan su derecho a votar y ser votadas, en condiciones de igualdad frente a los hombres; así como a acceder y desempeñar los cargos públicos y de elección popular para los que hayan sido electas o designadas.</w:t>
      </w:r>
    </w:p>
    <w:p w14:paraId="062D8D82"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 Actos previos a la elección.</w:t>
      </w:r>
    </w:p>
    <w:p w14:paraId="1C9A6DB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En relación a este tema, el artículo 259 del Código de Instituciones Políticas y Procedimientos Electorales para el Estado de Oaxaca, dispone que en el mes de enero del año previo a la elección ordinaria del régimen de partidos políticos, el Instituto Estatal Electoral y de Participación Ciudadana de Oaxaca a través de la Dirección Ejecutiva de Sistemas Normativos Internos de dicho Instituto solicitará a las autoridades de los municipios que se rigen por el sistema de usos y costumbres, para que en un plazo no mayor de noventa días contados a partir de su notificación, informen por escrito sobre las reglas de sus sistemas normativos internos relativos a la elección de sus autoridades o </w:t>
      </w:r>
      <w:r w:rsidRPr="00791593">
        <w:rPr>
          <w:rFonts w:ascii="Arial" w:eastAsia="Calibri" w:hAnsi="Arial" w:cs="Arial"/>
          <w:sz w:val="24"/>
          <w:szCs w:val="24"/>
        </w:rPr>
        <w:lastRenderedPageBreak/>
        <w:t>en su caso, presenten sus estatutos electorales comunitarios, conteniendo, entre otros los puntos siguientes:</w:t>
      </w:r>
    </w:p>
    <w:p w14:paraId="6B6F2BB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a.</w:t>
      </w:r>
      <w:r w:rsidRPr="00791593">
        <w:rPr>
          <w:rFonts w:ascii="Arial" w:eastAsia="Calibri" w:hAnsi="Arial" w:cs="Arial"/>
          <w:sz w:val="24"/>
          <w:szCs w:val="24"/>
        </w:rPr>
        <w:t xml:space="preserve"> La duración en el cargo de las autoridades locales.</w:t>
      </w:r>
    </w:p>
    <w:p w14:paraId="22ECF47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b.</w:t>
      </w:r>
      <w:r w:rsidRPr="00791593">
        <w:rPr>
          <w:rFonts w:ascii="Arial" w:eastAsia="Calibri" w:hAnsi="Arial" w:cs="Arial"/>
          <w:sz w:val="24"/>
          <w:szCs w:val="24"/>
        </w:rPr>
        <w:t xml:space="preserve"> El procedimiento de elección de sus autoridades.</w:t>
      </w:r>
    </w:p>
    <w:p w14:paraId="776AF26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c.</w:t>
      </w:r>
      <w:r w:rsidRPr="00791593">
        <w:rPr>
          <w:rFonts w:ascii="Arial" w:eastAsia="Calibri" w:hAnsi="Arial" w:cs="Arial"/>
          <w:sz w:val="24"/>
          <w:szCs w:val="24"/>
        </w:rPr>
        <w:t xml:space="preserve"> Los requisitos para la participación ciudadana.</w:t>
      </w:r>
    </w:p>
    <w:p w14:paraId="5CE2920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d.</w:t>
      </w:r>
      <w:r w:rsidRPr="00791593">
        <w:rPr>
          <w:rFonts w:ascii="Arial" w:eastAsia="Calibri" w:hAnsi="Arial" w:cs="Arial"/>
          <w:sz w:val="24"/>
          <w:szCs w:val="24"/>
        </w:rPr>
        <w:t xml:space="preserve"> Los requisitos de elegibilidad para ocupar los cargos a elegir.</w:t>
      </w:r>
    </w:p>
    <w:p w14:paraId="7B09790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e.</w:t>
      </w:r>
      <w:r w:rsidRPr="00791593">
        <w:rPr>
          <w:rFonts w:ascii="Arial" w:eastAsia="Calibri" w:hAnsi="Arial" w:cs="Arial"/>
          <w:sz w:val="24"/>
          <w:szCs w:val="24"/>
        </w:rPr>
        <w:t xml:space="preserve"> Las instituciones comunitarias que intervienen para conducir el proceso de elección.</w:t>
      </w:r>
    </w:p>
    <w:p w14:paraId="3575C56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f. </w:t>
      </w:r>
      <w:r w:rsidRPr="00791593">
        <w:rPr>
          <w:rFonts w:ascii="Arial" w:eastAsia="Calibri" w:hAnsi="Arial" w:cs="Arial"/>
          <w:sz w:val="24"/>
          <w:szCs w:val="24"/>
        </w:rPr>
        <w:t>Los principios generales y valores colectivos en que se fundamenta su sistema normativo interno, o en su caso, la documentación de las tres últimas elecciones.</w:t>
      </w:r>
    </w:p>
    <w:p w14:paraId="02221C8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g.</w:t>
      </w:r>
      <w:r w:rsidRPr="00791593">
        <w:rPr>
          <w:rFonts w:ascii="Arial" w:eastAsia="Calibri" w:hAnsi="Arial" w:cs="Arial"/>
          <w:sz w:val="24"/>
          <w:szCs w:val="24"/>
        </w:rPr>
        <w:t xml:space="preserve"> De haberse presentado disenso en la elección anterior, respecto a alguno de los puntos señalados en los incisos anteriores, señalar las nuevas reglas consensadas para la elección.</w:t>
      </w:r>
    </w:p>
    <w:p w14:paraId="71ADAF1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Una vez que se venza el plazo ya referido, el Instituto Local tiene la facultad de requerir dicha información por única ocasión, para que en un plazo de treinta días contados a partir de la notificación, presenten el informe, o en su caso, el estatuto correspondiente.</w:t>
      </w:r>
    </w:p>
    <w:p w14:paraId="2F23518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Cumplido lo anterior, la Dirección Ejecutiva de Sistemas Normativos Internos del Instituto Electoral local elaborará dictámenes en lo individual, con el único propósito de identificar sustancialmente el método de elección comunitaria de aquellos municipios que entregaron su documentación, y los presentará al Consejo General del Instituto Estatal Electoral y de Participación Ciudadana de Oaxaca para su aprobación. Asimismo, la Dirección Ejecutiva manifestará los municipios que omitieron la entrega de su documentación y ofrecerá como dictamen, el catálogo de elección que rigió la pasada elección en el municipio de que se trate.</w:t>
      </w:r>
    </w:p>
    <w:p w14:paraId="78FBE47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Una vez que el Consejo General del Instituto Estatal Electoral y de Participación Ciudadana de Oaxaca haya aprobado los informes sobre las reglas de sus sistemas normativos internos, en el que se precisa la forma de elección municipal, dicho órgano ordenará la publicación de cada uno de ellos en el Periódico Oficial y solicitará a la autoridad municipal de que se trate, la coadyuvancia para fijar los acuerdos en los lugares de mayor publicidad en sus localidades.</w:t>
      </w:r>
    </w:p>
    <w:p w14:paraId="7279629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Hecho lo anterior, la Dirección Ejecutiva de Sistemas Normativos Internos, realizará el Catálogo General de los municipios que hayan decidido elegir a sus autoridades bajo sistemas normativos internos, con un mínimo de seis meses de anticipación al inicio del proceso electoral. Dicho catálogo deberá ser aprobado por el Consejo General del Instituto Estatal Electoral y de Participación Ciudadana de Oaxaca en la sesión </w:t>
      </w:r>
      <w:r w:rsidRPr="00791593">
        <w:rPr>
          <w:rFonts w:ascii="Arial" w:eastAsia="Calibri" w:hAnsi="Arial" w:cs="Arial"/>
          <w:sz w:val="24"/>
          <w:szCs w:val="24"/>
        </w:rPr>
        <w:lastRenderedPageBreak/>
        <w:t>de inicio del proceso electoral ordinario, el cual ordenará su publicación en el Periódico Oficial.</w:t>
      </w:r>
    </w:p>
    <w:p w14:paraId="35C7B995"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 Asamblea general comunitaria y jornada electoral.</w:t>
      </w:r>
    </w:p>
    <w:p w14:paraId="4A275FA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lo que respecta a la Asamblea General Comunitaria, de conformidad con el numeral 260 del multireferido Código, la autoridad municipal competente encargada de la renovación del Ayuntamiento, informará por lo menos con noventa días de anticipación y por escrito al Instituto Estatal Electoral y de Participación Ciudadana de Oaxaca de la fecha, hora y lugar de la celebración del acto de renovación de Concejales del Ayuntamiento.</w:t>
      </w:r>
    </w:p>
    <w:p w14:paraId="638E1B7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caso de que la autoridad municipal competente no emitiera la convocatoria en los términos del párrafo anterior, el Instituto Local requerirá se informe de los motivos de tal situación y acordará lo procedente.</w:t>
      </w:r>
    </w:p>
    <w:p w14:paraId="5DC0266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relación con la jornada electoral, el artículo 261 del aludido Código señala que se observarán las disposiciones, procedimientos y mecanismos, definidos en sus sistemas normativos internos para el desarrollo de la elección.</w:t>
      </w:r>
    </w:p>
    <w:p w14:paraId="2F8E218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Una vez terminada ésta, se elaborará un acta en la que deberán firmar los integrantes del órgano que presidió el procedimiento de elección, las personas de la municipalidad que por costumbre deban hacerlo y que hayan asistido, así como por los ciudadanos que en ella intervinieron y quienes se considere pertinente.</w:t>
      </w:r>
    </w:p>
    <w:p w14:paraId="7AA8DEE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Los órganos y personas que presidieron el procedimiento de elección, harán llegar al Instituto Estatal Electoral y de Participación Ciudadana de Oaxaca el resultado de la elección, a más tardar a los cinco días de su celebración.</w:t>
      </w:r>
    </w:p>
    <w:p w14:paraId="3B7D34B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igual modo, se respetarán fechas, horarios y lugares que tradicionalmente acostumbren la mayoría de ciudadanos y ciudadanas, para el procedimiento de elección de autoridades locales.</w:t>
      </w:r>
    </w:p>
    <w:p w14:paraId="4D5C2BD1"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 Declaración de validez de la elección.</w:t>
      </w:r>
    </w:p>
    <w:p w14:paraId="6409DAD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 efecto de realizar la declaración de validez de una elección así como la entrega de las constancias mayoría a los candidatos ganadores, el artículo 263 del Código Comicial para el Estado de Oaxaca, establece que el Consejo General del Instituto Estatal Electoral y de Participación Ciudadana de Oaxaca sesionará con el único objeto de revisar si se cumplieron los siguientes requisitos:</w:t>
      </w:r>
    </w:p>
    <w:p w14:paraId="691E971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a.</w:t>
      </w:r>
      <w:r w:rsidRPr="00791593">
        <w:rPr>
          <w:rFonts w:ascii="Arial" w:eastAsia="Calibri" w:hAnsi="Arial" w:cs="Arial"/>
          <w:sz w:val="24"/>
          <w:szCs w:val="24"/>
        </w:rPr>
        <w:t xml:space="preserve"> El apego a las normas establecidas por la comunidad y, en su caso, los acuerdos previos a la elección.</w:t>
      </w:r>
    </w:p>
    <w:p w14:paraId="5596634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b.</w:t>
      </w:r>
      <w:r w:rsidRPr="00791593">
        <w:rPr>
          <w:rFonts w:ascii="Arial" w:eastAsia="Calibri" w:hAnsi="Arial" w:cs="Arial"/>
          <w:sz w:val="24"/>
          <w:szCs w:val="24"/>
        </w:rPr>
        <w:t xml:space="preserve"> Que la autoridad electa haya obtenido la mayoría de votos.</w:t>
      </w:r>
    </w:p>
    <w:p w14:paraId="056AAD0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c.</w:t>
      </w:r>
      <w:r w:rsidRPr="00791593">
        <w:rPr>
          <w:rFonts w:ascii="Arial" w:eastAsia="Calibri" w:hAnsi="Arial" w:cs="Arial"/>
          <w:sz w:val="24"/>
          <w:szCs w:val="24"/>
        </w:rPr>
        <w:t xml:space="preserve"> La debida integración del expediente.</w:t>
      </w:r>
    </w:p>
    <w:p w14:paraId="687C950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Corroborado lo anterior, dicho Instituto Estatal Electoral y de Participación Ciudadana de Oaxaca deberá declarar la validez de la elección y expedir las constancias respectivas de los Concejales electos, las que serán firmadas por el presidente y el secretario de dicho Consejo.</w:t>
      </w:r>
    </w:p>
    <w:p w14:paraId="0E6ECD59"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 Mediación y procedimientos para la resolución de conflictos electorales.</w:t>
      </w:r>
    </w:p>
    <w:p w14:paraId="4BC87698"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aquellos casos en los que, posterior a una elección existan controversias o conflictos respecto a las normas o procesos de elección en los municipios que se rigen por sus sistemas normativos internos éstos, de conformidad con el artículo 264, agotarán los mecanismos internos de resolución de conflictos antes de acudir a cualquier instancia estatal.</w:t>
      </w:r>
    </w:p>
    <w:p w14:paraId="647A85F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Para ello, el Consejo General del Instituto Estatal Electoral y de Participación Ciudadana de Oaxaca conocerá en su oportunidad los casos de controversias que surjan respecto de la renovación e integración de los órganos de gobierno locales bajo los sistemas normativos internos. Previamente a cualquier resolución se buscará la conciliación entre las partes.</w:t>
      </w:r>
    </w:p>
    <w:p w14:paraId="4B71A83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Asimismo, cuando se manifieste alguna inconformidad con las reglas del sistema normativo interno, se iniciará un proceso de mediación cuya metodología y principios generales serán regulados por los lineamientos que al efecto apruebe el Consejo General del Instituto Estatal Electoral y de Participación Ciudadana de Oaxaca.</w:t>
      </w:r>
    </w:p>
    <w:p w14:paraId="624F709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acuerdo con el artículo 266 del Código Electoral Local, la mediación electoral es un método de resolución alternativa de conflictos electorales, basado en la democracia, la pacificación social, la tolerancia, el diálogo, el respeto y el consenso, implementado por el Instituto Estatal Electoral y de Participación Ciudadana de Oaxaca con el objeto de construir acuerdos justos, aceptables y pacíficos, en los procesos electorales en municipios que se rigen por sus sistemas normativos internos.</w:t>
      </w:r>
    </w:p>
    <w:p w14:paraId="1C9F418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Dicho procedimiento de mediación deberá ajustarse a los estándares nacionales e internacionales en la materia.</w:t>
      </w:r>
    </w:p>
    <w:p w14:paraId="24A278E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Los acuerdos logrados en el proceso de mediación, serán notificados de inmediato al Consejo General del Instituto Estatal Electoral y de Participación Ciudadana de Oaxaca a través del Director. Por cada acuerdo que se logre, se levantará la minuta correspondiente, misma que será firmada por las partes si así lo desean.</w:t>
      </w:r>
    </w:p>
    <w:p w14:paraId="0804A54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Aunado a ello, el Consejo General del Instituto Estatal Electoral y de Participación Ciudadana de Oaxaca dará seguimiento, para que los acuerdos logrados en los procesos de mediación electoral se cumplan en tiempo y forma.</w:t>
      </w:r>
    </w:p>
    <w:p w14:paraId="3545AEEC"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 Toma de protesta.</w:t>
      </w:r>
    </w:p>
    <w:p w14:paraId="4D545F9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El numeral 267 del Código de Instituciones Políticas y Procedimientos Electorales para el Estado de Oaxaca señala que, los Concejales electos tomarán posesión de sus cargos el primer día de enero del año siguiente al de la elección o, en la fecha en que determinen sus sistemas normativos internos.</w:t>
      </w:r>
    </w:p>
    <w:p w14:paraId="38E2EA4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Por su parte, el artículo 268 prevé que los miembros del Ayuntamiento desempeñarán sus cargos durante el tiempo que sus tradiciones y prácticas democráticas de elección determinen. En ningún caso podrá exceder de tres años.</w:t>
      </w:r>
    </w:p>
    <w:p w14:paraId="7441C2B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Sentado lo anterior, a continuación se procederá a realizar el análisis del contexto de la elección.</w:t>
      </w:r>
    </w:p>
    <w:p w14:paraId="19D8A18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OCTAVO. Contexto social de la comunidad.</w:t>
      </w:r>
      <w:r w:rsidRPr="00791593">
        <w:rPr>
          <w:rFonts w:ascii="Arial" w:eastAsia="Calibri" w:hAnsi="Arial" w:cs="Arial"/>
          <w:sz w:val="24"/>
          <w:szCs w:val="24"/>
        </w:rPr>
        <w:t xml:space="preserve"> En reiteradas ocasiones, esta Sala Regional ha sostenido que para comprender las controversias relacionadas con las comunidades que se rigen por sistemas normativos internos es necesario, además de conocer los antecedentes concretos de cada caso, acercarse al contexto en que se desarrolla su realidad.</w:t>
      </w:r>
    </w:p>
    <w:p w14:paraId="26BA96C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Ello, porque la visión mediante la cual el juez debe abordar los asuntos de esa índole es distinta. La resolución de los conflictos en los que se involucran los usos y costumbres de las comunidades indígenas requiere ser partícipes de su realidad para comprender el origen de sus conflictos y las razones por las que tales comunidades han decidido dotarse de determinadas normas.</w:t>
      </w:r>
    </w:p>
    <w:p w14:paraId="5F375A7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razón de lo anterior, este apartado se compondrá, de aquellos datos que permitan conocer de mejor forma la problemática.</w:t>
      </w:r>
    </w:p>
    <w:p w14:paraId="6996389B"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a. Datos generales</w:t>
      </w:r>
    </w:p>
    <w:p w14:paraId="4306870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El Municipio de </w:t>
      </w:r>
      <w:r w:rsidRPr="00791593">
        <w:rPr>
          <w:rFonts w:ascii="Arial" w:eastAsia="Calibri" w:hAnsi="Arial" w:cs="Arial"/>
          <w:b/>
          <w:sz w:val="24"/>
          <w:szCs w:val="24"/>
        </w:rPr>
        <w:t xml:space="preserve">San Sebastián Tecomaxtlahuaca, </w:t>
      </w:r>
      <w:r w:rsidRPr="00791593">
        <w:rPr>
          <w:rFonts w:ascii="Arial" w:eastAsia="Calibri" w:hAnsi="Arial" w:cs="Arial"/>
          <w:sz w:val="24"/>
          <w:szCs w:val="24"/>
        </w:rPr>
        <w:t>pertenece al Estado de Oaxaca. Se encuentra en el Distrito Juxtlahuaca.</w:t>
      </w:r>
    </w:p>
    <w:p w14:paraId="6C77B10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 pueblo de Tecomaxtlahuaca fue fundado, según sus tradiciones en el siglo XIV, en el lugar que hasta la fecha existe, nombrado Tecomaxtlahuaca El Viejo, pueblo sumamente antiguo; se considera que fue el más grande por su número de habitantes y aún en la actualidad se hallan vestigios de muchos edificios llamados momoxtles y tetales.</w:t>
      </w:r>
    </w:p>
    <w:p w14:paraId="46D00375"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rPr>
        <w:t>El nombre Tecomaxtlahuaca significa: “En el llano de los Tecomates”, proviene de las voces Tecomatl: Tecomate (recipiente hecho de cáscaras de calabaza), Ixtlahuaca: Llano o llanura y Co: en.</w:t>
      </w:r>
      <w:r w:rsidRPr="00791593">
        <w:rPr>
          <w:rFonts w:ascii="Arial" w:eastAsia="Calibri" w:hAnsi="Arial" w:cs="Arial"/>
          <w:sz w:val="24"/>
          <w:szCs w:val="24"/>
          <w:vertAlign w:val="superscript"/>
        </w:rPr>
        <w:t>72</w:t>
      </w:r>
    </w:p>
    <w:p w14:paraId="3521812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vertAlign w:val="superscript"/>
        </w:rPr>
        <w:t>72 Enciclopedia de los Municipios y Delegaciones de México: http://www.e-local.gob.mx/work/templates/enciclo/EMM20oaxaca/municipios/20348a.html.</w:t>
      </w:r>
    </w:p>
    <w:p w14:paraId="6163E930"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b. Ubicación Geográfica</w:t>
      </w:r>
    </w:p>
    <w:p w14:paraId="50F5CF99"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rPr>
        <w:t xml:space="preserve">El municipio de </w:t>
      </w:r>
      <w:r w:rsidRPr="00791593">
        <w:rPr>
          <w:rFonts w:ascii="Arial" w:eastAsia="Calibri" w:hAnsi="Arial" w:cs="Arial"/>
          <w:b/>
          <w:sz w:val="24"/>
          <w:szCs w:val="24"/>
        </w:rPr>
        <w:t>San Sebastián Tecomaxtlahuaca</w:t>
      </w:r>
      <w:r w:rsidRPr="00791593">
        <w:rPr>
          <w:rFonts w:ascii="Arial" w:eastAsia="Calibri" w:hAnsi="Arial" w:cs="Arial"/>
          <w:sz w:val="24"/>
          <w:szCs w:val="24"/>
        </w:rPr>
        <w:t xml:space="preserve"> se encuentra dentro de la Región de la Mixteca Baja, al Noroeste de la capital del estado a </w:t>
      </w:r>
      <w:r w:rsidRPr="00791593">
        <w:rPr>
          <w:rFonts w:ascii="Arial" w:eastAsia="Calibri" w:hAnsi="Arial" w:cs="Arial"/>
          <w:sz w:val="24"/>
          <w:szCs w:val="24"/>
        </w:rPr>
        <w:lastRenderedPageBreak/>
        <w:t>doscientos noventa y dos kilómetros y a cien kilómetros de la Ciudad de Huajuapan de León.</w:t>
      </w:r>
      <w:r w:rsidRPr="00791593">
        <w:rPr>
          <w:rFonts w:ascii="Arial" w:eastAsia="Calibri" w:hAnsi="Arial" w:cs="Arial"/>
          <w:sz w:val="24"/>
          <w:szCs w:val="24"/>
          <w:vertAlign w:val="superscript"/>
        </w:rPr>
        <w:t>73</w:t>
      </w:r>
    </w:p>
    <w:p w14:paraId="0129EF6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vertAlign w:val="superscript"/>
        </w:rPr>
        <w:t xml:space="preserve">73 </w:t>
      </w:r>
      <w:r w:rsidRPr="00791593">
        <w:rPr>
          <w:rFonts w:ascii="Arial" w:eastAsia="Calibri" w:hAnsi="Arial" w:cs="Arial"/>
          <w:i/>
          <w:sz w:val="24"/>
          <w:szCs w:val="24"/>
          <w:vertAlign w:val="superscript"/>
        </w:rPr>
        <w:t>Ídem.</w:t>
      </w:r>
    </w:p>
    <w:p w14:paraId="40D245E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Limita al norte con San Miguel Tlacotepec, Santiago del Río y Silacayoapan; al sur con Coicoyán de las Flores y Santiago Juxtlahuaca; al oriente con San Juan Mixtepec y Santiago Juxtlahuaca; al poniente con San Martín Peras.</w:t>
      </w:r>
    </w:p>
    <w:p w14:paraId="5DD119BE"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c. Lengua</w:t>
      </w:r>
    </w:p>
    <w:p w14:paraId="39D57D5E"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rPr>
        <w:t xml:space="preserve">Según el </w:t>
      </w:r>
      <w:r w:rsidRPr="00791593">
        <w:rPr>
          <w:rFonts w:ascii="Arial" w:eastAsia="Calibri" w:hAnsi="Arial" w:cs="Arial"/>
          <w:i/>
          <w:sz w:val="24"/>
          <w:szCs w:val="24"/>
        </w:rPr>
        <w:t>Catálogo de Lenguas Indígenas Nacionales: Variantes Lingüísticas de México con sus autodenominaciones y referencias geoestadísticas</w:t>
      </w:r>
      <w:r w:rsidRPr="00791593">
        <w:rPr>
          <w:rFonts w:ascii="Arial" w:eastAsia="Calibri" w:hAnsi="Arial" w:cs="Arial"/>
          <w:sz w:val="24"/>
          <w:szCs w:val="24"/>
        </w:rPr>
        <w:t xml:space="preserve"> del Instituto Nacional de Lenguas Indígenas, en las comunidades del Municipio de </w:t>
      </w:r>
      <w:r w:rsidRPr="00791593">
        <w:rPr>
          <w:rFonts w:ascii="Arial" w:eastAsia="Calibri" w:hAnsi="Arial" w:cs="Arial"/>
          <w:b/>
          <w:sz w:val="24"/>
          <w:szCs w:val="24"/>
        </w:rPr>
        <w:t>San Sebastián Tecomaxtlahuaca</w:t>
      </w:r>
      <w:r w:rsidRPr="00791593">
        <w:rPr>
          <w:rFonts w:ascii="Arial" w:eastAsia="Calibri" w:hAnsi="Arial" w:cs="Arial"/>
          <w:sz w:val="24"/>
          <w:szCs w:val="24"/>
        </w:rPr>
        <w:t xml:space="preserve">, la variante lingüística que se habla es el </w:t>
      </w:r>
      <w:r w:rsidRPr="00791593">
        <w:rPr>
          <w:rFonts w:ascii="Arial" w:eastAsia="Calibri" w:hAnsi="Arial" w:cs="Arial"/>
          <w:i/>
          <w:sz w:val="24"/>
          <w:szCs w:val="24"/>
        </w:rPr>
        <w:t>to’on savi (del oeste)</w:t>
      </w:r>
      <w:r w:rsidRPr="00791593">
        <w:rPr>
          <w:rFonts w:ascii="Arial" w:eastAsia="Calibri" w:hAnsi="Arial" w:cs="Arial"/>
          <w:sz w:val="24"/>
          <w:szCs w:val="24"/>
        </w:rPr>
        <w:t>, es decir, Mixteco del Oeste.</w:t>
      </w:r>
      <w:r w:rsidRPr="00791593">
        <w:rPr>
          <w:rFonts w:ascii="Arial" w:eastAsia="Calibri" w:hAnsi="Arial" w:cs="Arial"/>
          <w:sz w:val="24"/>
          <w:szCs w:val="24"/>
          <w:vertAlign w:val="superscript"/>
        </w:rPr>
        <w:t>74</w:t>
      </w:r>
    </w:p>
    <w:p w14:paraId="4E3755D7"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74 Consultable en: http://www.inali.gob.mx/clin-inali/html/v_mixteco.html.</w:t>
      </w:r>
    </w:p>
    <w:p w14:paraId="3BE4F904"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rPr>
        <w:t>En el territorio del municipio de San Sebastián Tecomaxtlahuaca el 64.5% de la población habla el idioma Mixteco, principalmente en la comunidad de San Martín Duraznos y sus rancherías, Guadalupe Nundaca, Cañada de Lobo, San Mateo Tunuchi y una que otra persona en la cabecera municipal.</w:t>
      </w:r>
      <w:r w:rsidRPr="00791593">
        <w:rPr>
          <w:rFonts w:ascii="Arial" w:eastAsia="Calibri" w:hAnsi="Arial" w:cs="Arial"/>
          <w:sz w:val="24"/>
          <w:szCs w:val="24"/>
          <w:vertAlign w:val="superscript"/>
        </w:rPr>
        <w:t>75</w:t>
      </w:r>
    </w:p>
    <w:p w14:paraId="5A31D51C"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75 Diagnostico Municipal Participativo y Plan Municipal de San Sebastián Tecomaxtlahuaca, Juxtlahuaca, Oaxaca. Consultable en:</w:t>
      </w:r>
    </w:p>
    <w:p w14:paraId="44C9780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vertAlign w:val="superscript"/>
        </w:rPr>
        <w:t>http://www.finanzasoaxaca.gob.mx/pdf/inversion_publica/pmds/08_10/348.pdf</w:t>
      </w:r>
    </w:p>
    <w:p w14:paraId="000E6AC1"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d. Conformación del municipio</w:t>
      </w:r>
    </w:p>
    <w:p w14:paraId="44222928"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rPr>
        <w:t xml:space="preserve">A continuación se detallan la distribución de la población de </w:t>
      </w:r>
      <w:r w:rsidRPr="00791593">
        <w:rPr>
          <w:rFonts w:ascii="Arial" w:eastAsia="Calibri" w:hAnsi="Arial" w:cs="Arial"/>
          <w:b/>
          <w:sz w:val="24"/>
          <w:szCs w:val="24"/>
        </w:rPr>
        <w:t>San Sebastián Tecomaxtlahuaca</w:t>
      </w:r>
      <w:r w:rsidRPr="00791593">
        <w:rPr>
          <w:rFonts w:ascii="Arial" w:eastAsia="Calibri" w:hAnsi="Arial" w:cs="Arial"/>
          <w:sz w:val="24"/>
          <w:szCs w:val="24"/>
        </w:rPr>
        <w:t xml:space="preserve"> con base en los datos del Instituto Nacional de Estadística y Geografía:</w:t>
      </w:r>
      <w:r w:rsidRPr="00791593">
        <w:rPr>
          <w:rFonts w:ascii="Arial" w:eastAsia="Calibri" w:hAnsi="Arial" w:cs="Arial"/>
          <w:sz w:val="24"/>
          <w:szCs w:val="24"/>
          <w:vertAlign w:val="superscript"/>
        </w:rPr>
        <w:t>76</w:t>
      </w:r>
    </w:p>
    <w:p w14:paraId="6D91C277"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76 Consultable en:</w:t>
      </w:r>
    </w:p>
    <w:p w14:paraId="0BDE3C08" w14:textId="77777777" w:rsidR="006F5238" w:rsidRPr="00791593" w:rsidRDefault="00003E8D" w:rsidP="006F5238">
      <w:pPr>
        <w:spacing w:before="120" w:after="120" w:line="240" w:lineRule="auto"/>
        <w:ind w:left="567" w:right="567"/>
        <w:jc w:val="both"/>
        <w:rPr>
          <w:rFonts w:ascii="Arial" w:eastAsia="Calibri" w:hAnsi="Arial" w:cs="Arial"/>
          <w:sz w:val="24"/>
          <w:szCs w:val="24"/>
          <w:vertAlign w:val="superscript"/>
        </w:rPr>
      </w:pPr>
      <w:hyperlink r:id="rId17" w:history="1">
        <w:r w:rsidR="006F5238" w:rsidRPr="00791593">
          <w:rPr>
            <w:rFonts w:ascii="Arial" w:eastAsia="Calibri" w:hAnsi="Arial" w:cs="Arial"/>
            <w:color w:val="0000FF"/>
            <w:sz w:val="24"/>
            <w:szCs w:val="24"/>
            <w:u w:val="single"/>
            <w:vertAlign w:val="superscript"/>
          </w:rPr>
          <w:t>http://www.microrregiones.gob.mx/catloc/LocdeMun.aspx?tipo=clave&amp;campo=loc&amp;ent=20&amp;mun=348</w:t>
        </w:r>
      </w:hyperlink>
    </w:p>
    <w:p w14:paraId="67B1A87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467"/>
        <w:gridCol w:w="3499"/>
        <w:gridCol w:w="1172"/>
        <w:gridCol w:w="1172"/>
      </w:tblGrid>
      <w:tr w:rsidR="006F5238" w:rsidRPr="00791593" w14:paraId="15DB5C41" w14:textId="77777777" w:rsidTr="006F5238">
        <w:trPr>
          <w:trHeight w:val="265"/>
          <w:tblHeader/>
          <w:jc w:val="center"/>
        </w:trPr>
        <w:tc>
          <w:tcPr>
            <w:tcW w:w="6310" w:type="dxa"/>
            <w:gridSpan w:val="4"/>
            <w:tcBorders>
              <w:top w:val="double" w:sz="4" w:space="0" w:color="76923C"/>
              <w:left w:val="double" w:sz="4" w:space="0" w:color="76923C"/>
              <w:bottom w:val="double" w:sz="4" w:space="0" w:color="76923C"/>
              <w:right w:val="double" w:sz="4" w:space="0" w:color="76923C"/>
            </w:tcBorders>
            <w:shd w:val="pct15" w:color="76923C" w:fill="auto"/>
          </w:tcPr>
          <w:p w14:paraId="2599BC59"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20"/>
                <w:szCs w:val="20"/>
                <w:lang w:eastAsia="es-MX"/>
              </w:rPr>
            </w:pPr>
            <w:r w:rsidRPr="00791593">
              <w:rPr>
                <w:rFonts w:ascii="Arial" w:eastAsia="Times New Roman" w:hAnsi="Arial" w:cs="Arial"/>
                <w:b/>
                <w:sz w:val="20"/>
                <w:szCs w:val="20"/>
                <w:lang w:eastAsia="es-MX"/>
              </w:rPr>
              <w:t>San Sebastián Tecomaxtlahuaca</w:t>
            </w:r>
          </w:p>
        </w:tc>
      </w:tr>
      <w:tr w:rsidR="006F5238" w:rsidRPr="00791593" w14:paraId="607AE398" w14:textId="77777777" w:rsidTr="006F5238">
        <w:trPr>
          <w:trHeight w:val="265"/>
          <w:tblHeader/>
          <w:jc w:val="center"/>
        </w:trPr>
        <w:tc>
          <w:tcPr>
            <w:tcW w:w="467" w:type="dxa"/>
            <w:tcBorders>
              <w:top w:val="double" w:sz="4" w:space="0" w:color="76923C"/>
              <w:left w:val="double" w:sz="4" w:space="0" w:color="76923C"/>
              <w:bottom w:val="double" w:sz="4" w:space="0" w:color="76923C"/>
              <w:right w:val="double" w:sz="4" w:space="0" w:color="76923C"/>
            </w:tcBorders>
            <w:shd w:val="pct15" w:color="76923C" w:fill="auto"/>
          </w:tcPr>
          <w:p w14:paraId="1B6EECC0"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20"/>
                <w:szCs w:val="20"/>
                <w:lang w:eastAsia="es-MX"/>
              </w:rPr>
            </w:pPr>
          </w:p>
        </w:tc>
        <w:tc>
          <w:tcPr>
            <w:tcW w:w="3499" w:type="dxa"/>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097D5200"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20"/>
                <w:szCs w:val="20"/>
                <w:lang w:eastAsia="es-MX"/>
              </w:rPr>
            </w:pPr>
            <w:r w:rsidRPr="00791593">
              <w:rPr>
                <w:rFonts w:ascii="Arial" w:eastAsia="Times New Roman" w:hAnsi="Arial" w:cs="Arial"/>
                <w:b/>
                <w:sz w:val="20"/>
                <w:szCs w:val="20"/>
                <w:lang w:eastAsia="es-MX"/>
              </w:rPr>
              <w:t>Nombre de la Localidad</w:t>
            </w:r>
          </w:p>
        </w:tc>
        <w:tc>
          <w:tcPr>
            <w:tcW w:w="1172" w:type="dxa"/>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27BF9215"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20"/>
                <w:szCs w:val="20"/>
                <w:lang w:eastAsia="es-MX"/>
              </w:rPr>
            </w:pPr>
            <w:r w:rsidRPr="00791593">
              <w:rPr>
                <w:rFonts w:ascii="Arial" w:eastAsia="Times New Roman" w:hAnsi="Arial" w:cs="Arial"/>
                <w:b/>
                <w:sz w:val="20"/>
                <w:szCs w:val="20"/>
                <w:lang w:eastAsia="es-MX"/>
              </w:rPr>
              <w:t>Población Total</w:t>
            </w:r>
          </w:p>
        </w:tc>
        <w:tc>
          <w:tcPr>
            <w:tcW w:w="1172" w:type="dxa"/>
            <w:tcBorders>
              <w:top w:val="double" w:sz="4" w:space="0" w:color="76923C"/>
              <w:left w:val="double" w:sz="4" w:space="0" w:color="76923C"/>
              <w:bottom w:val="double" w:sz="4" w:space="0" w:color="76923C"/>
              <w:right w:val="double" w:sz="4" w:space="0" w:color="76923C"/>
            </w:tcBorders>
            <w:shd w:val="pct15" w:color="76923C" w:fill="auto"/>
          </w:tcPr>
          <w:p w14:paraId="7B53FF6D"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20"/>
                <w:szCs w:val="20"/>
                <w:lang w:eastAsia="es-MX"/>
              </w:rPr>
            </w:pPr>
            <w:r w:rsidRPr="00791593">
              <w:rPr>
                <w:rFonts w:ascii="Arial" w:eastAsia="Times New Roman" w:hAnsi="Arial" w:cs="Arial"/>
                <w:b/>
                <w:sz w:val="20"/>
                <w:szCs w:val="20"/>
                <w:lang w:eastAsia="es-MX"/>
              </w:rPr>
              <w:t>Población mayor de 18 años</w:t>
            </w:r>
          </w:p>
        </w:tc>
      </w:tr>
      <w:tr w:rsidR="006F5238" w:rsidRPr="00791593" w14:paraId="1D34E045"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57A26B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w:t>
            </w:r>
          </w:p>
        </w:tc>
        <w:tc>
          <w:tcPr>
            <w:tcW w:w="3499" w:type="dxa"/>
            <w:tcBorders>
              <w:top w:val="double" w:sz="4" w:space="0" w:color="76923C"/>
              <w:left w:val="double" w:sz="4" w:space="0" w:color="76923C"/>
              <w:bottom w:val="double" w:sz="4" w:space="0" w:color="76923C"/>
              <w:right w:val="double" w:sz="4" w:space="0" w:color="76923C"/>
            </w:tcBorders>
            <w:hideMark/>
          </w:tcPr>
          <w:p w14:paraId="1A2D2FC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Río Ratón</w:t>
            </w:r>
          </w:p>
        </w:tc>
        <w:tc>
          <w:tcPr>
            <w:tcW w:w="1172" w:type="dxa"/>
            <w:tcBorders>
              <w:top w:val="double" w:sz="4" w:space="0" w:color="76923C"/>
              <w:left w:val="double" w:sz="4" w:space="0" w:color="76923C"/>
              <w:bottom w:val="double" w:sz="4" w:space="0" w:color="76923C"/>
              <w:right w:val="double" w:sz="4" w:space="0" w:color="76923C"/>
            </w:tcBorders>
            <w:hideMark/>
          </w:tcPr>
          <w:p w14:paraId="528E963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15</w:t>
            </w:r>
          </w:p>
        </w:tc>
        <w:tc>
          <w:tcPr>
            <w:tcW w:w="1172" w:type="dxa"/>
            <w:tcBorders>
              <w:top w:val="double" w:sz="4" w:space="0" w:color="76923C"/>
              <w:left w:val="double" w:sz="4" w:space="0" w:color="76923C"/>
              <w:bottom w:val="double" w:sz="4" w:space="0" w:color="76923C"/>
              <w:right w:val="double" w:sz="4" w:space="0" w:color="76923C"/>
            </w:tcBorders>
          </w:tcPr>
          <w:p w14:paraId="4325D3A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6</w:t>
            </w:r>
          </w:p>
        </w:tc>
      </w:tr>
      <w:tr w:rsidR="006F5238" w:rsidRPr="00791593" w14:paraId="1832892F"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08C788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w:t>
            </w:r>
          </w:p>
        </w:tc>
        <w:tc>
          <w:tcPr>
            <w:tcW w:w="3499" w:type="dxa"/>
            <w:tcBorders>
              <w:top w:val="double" w:sz="4" w:space="0" w:color="76923C"/>
              <w:left w:val="double" w:sz="4" w:space="0" w:color="76923C"/>
              <w:bottom w:val="double" w:sz="4" w:space="0" w:color="76923C"/>
              <w:right w:val="double" w:sz="4" w:space="0" w:color="76923C"/>
            </w:tcBorders>
            <w:hideMark/>
          </w:tcPr>
          <w:p w14:paraId="77F9AFFB"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Rancho de los Colores</w:t>
            </w:r>
          </w:p>
        </w:tc>
        <w:tc>
          <w:tcPr>
            <w:tcW w:w="1172" w:type="dxa"/>
            <w:tcBorders>
              <w:top w:val="double" w:sz="4" w:space="0" w:color="76923C"/>
              <w:left w:val="double" w:sz="4" w:space="0" w:color="76923C"/>
              <w:bottom w:val="double" w:sz="4" w:space="0" w:color="76923C"/>
              <w:right w:val="double" w:sz="4" w:space="0" w:color="76923C"/>
            </w:tcBorders>
            <w:hideMark/>
          </w:tcPr>
          <w:p w14:paraId="40E12C9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71</w:t>
            </w:r>
          </w:p>
        </w:tc>
        <w:tc>
          <w:tcPr>
            <w:tcW w:w="1172" w:type="dxa"/>
            <w:tcBorders>
              <w:top w:val="double" w:sz="4" w:space="0" w:color="76923C"/>
              <w:left w:val="double" w:sz="4" w:space="0" w:color="76923C"/>
              <w:bottom w:val="double" w:sz="4" w:space="0" w:color="76923C"/>
              <w:right w:val="double" w:sz="4" w:space="0" w:color="76923C"/>
            </w:tcBorders>
          </w:tcPr>
          <w:p w14:paraId="19777E3C"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45</w:t>
            </w:r>
          </w:p>
        </w:tc>
      </w:tr>
      <w:tr w:rsidR="006F5238" w:rsidRPr="00791593" w14:paraId="42B83F73"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5C58B3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w:t>
            </w:r>
          </w:p>
        </w:tc>
        <w:tc>
          <w:tcPr>
            <w:tcW w:w="3499" w:type="dxa"/>
            <w:tcBorders>
              <w:top w:val="double" w:sz="4" w:space="0" w:color="76923C"/>
              <w:left w:val="double" w:sz="4" w:space="0" w:color="76923C"/>
              <w:bottom w:val="double" w:sz="4" w:space="0" w:color="76923C"/>
              <w:right w:val="double" w:sz="4" w:space="0" w:color="76923C"/>
            </w:tcBorders>
            <w:hideMark/>
          </w:tcPr>
          <w:p w14:paraId="6679BCB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Barrio Guadalupe</w:t>
            </w:r>
          </w:p>
        </w:tc>
        <w:tc>
          <w:tcPr>
            <w:tcW w:w="1172" w:type="dxa"/>
            <w:tcBorders>
              <w:top w:val="double" w:sz="4" w:space="0" w:color="76923C"/>
              <w:left w:val="double" w:sz="4" w:space="0" w:color="76923C"/>
              <w:bottom w:val="double" w:sz="4" w:space="0" w:color="76923C"/>
              <w:right w:val="double" w:sz="4" w:space="0" w:color="76923C"/>
            </w:tcBorders>
            <w:hideMark/>
          </w:tcPr>
          <w:p w14:paraId="6749206D"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60</w:t>
            </w:r>
          </w:p>
        </w:tc>
        <w:tc>
          <w:tcPr>
            <w:tcW w:w="1172" w:type="dxa"/>
            <w:tcBorders>
              <w:top w:val="double" w:sz="4" w:space="0" w:color="76923C"/>
              <w:left w:val="double" w:sz="4" w:space="0" w:color="76923C"/>
              <w:bottom w:val="double" w:sz="4" w:space="0" w:color="76923C"/>
              <w:right w:val="double" w:sz="4" w:space="0" w:color="76923C"/>
            </w:tcBorders>
          </w:tcPr>
          <w:p w14:paraId="7B6DEA0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31</w:t>
            </w:r>
          </w:p>
        </w:tc>
      </w:tr>
      <w:tr w:rsidR="006F5238" w:rsidRPr="00791593" w14:paraId="2BAE9863"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166F31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w:t>
            </w:r>
          </w:p>
        </w:tc>
        <w:tc>
          <w:tcPr>
            <w:tcW w:w="3499" w:type="dxa"/>
            <w:tcBorders>
              <w:top w:val="double" w:sz="4" w:space="0" w:color="76923C"/>
              <w:left w:val="double" w:sz="4" w:space="0" w:color="76923C"/>
              <w:bottom w:val="double" w:sz="4" w:space="0" w:color="76923C"/>
              <w:right w:val="double" w:sz="4" w:space="0" w:color="76923C"/>
            </w:tcBorders>
            <w:hideMark/>
          </w:tcPr>
          <w:p w14:paraId="5587E0A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 Antonio</w:t>
            </w:r>
          </w:p>
        </w:tc>
        <w:tc>
          <w:tcPr>
            <w:tcW w:w="1172" w:type="dxa"/>
            <w:tcBorders>
              <w:top w:val="double" w:sz="4" w:space="0" w:color="76923C"/>
              <w:left w:val="double" w:sz="4" w:space="0" w:color="76923C"/>
              <w:bottom w:val="double" w:sz="4" w:space="0" w:color="76923C"/>
              <w:right w:val="double" w:sz="4" w:space="0" w:color="76923C"/>
            </w:tcBorders>
            <w:hideMark/>
          </w:tcPr>
          <w:p w14:paraId="58C1CB0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34</w:t>
            </w:r>
          </w:p>
        </w:tc>
        <w:tc>
          <w:tcPr>
            <w:tcW w:w="1172" w:type="dxa"/>
            <w:tcBorders>
              <w:top w:val="double" w:sz="4" w:space="0" w:color="76923C"/>
              <w:left w:val="double" w:sz="4" w:space="0" w:color="76923C"/>
              <w:bottom w:val="double" w:sz="4" w:space="0" w:color="76923C"/>
              <w:right w:val="double" w:sz="4" w:space="0" w:color="76923C"/>
            </w:tcBorders>
          </w:tcPr>
          <w:p w14:paraId="1D9657A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13</w:t>
            </w:r>
          </w:p>
        </w:tc>
      </w:tr>
      <w:tr w:rsidR="006F5238" w:rsidRPr="00791593" w14:paraId="66C46EA4"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418D03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w:t>
            </w:r>
          </w:p>
        </w:tc>
        <w:tc>
          <w:tcPr>
            <w:tcW w:w="3499" w:type="dxa"/>
            <w:tcBorders>
              <w:top w:val="double" w:sz="4" w:space="0" w:color="76923C"/>
              <w:left w:val="double" w:sz="4" w:space="0" w:color="76923C"/>
              <w:bottom w:val="double" w:sz="4" w:space="0" w:color="76923C"/>
              <w:right w:val="double" w:sz="4" w:space="0" w:color="76923C"/>
            </w:tcBorders>
            <w:hideMark/>
          </w:tcPr>
          <w:p w14:paraId="26F8243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Cañada Nuchi</w:t>
            </w:r>
          </w:p>
        </w:tc>
        <w:tc>
          <w:tcPr>
            <w:tcW w:w="1172" w:type="dxa"/>
            <w:tcBorders>
              <w:top w:val="double" w:sz="4" w:space="0" w:color="76923C"/>
              <w:left w:val="double" w:sz="4" w:space="0" w:color="76923C"/>
              <w:bottom w:val="double" w:sz="4" w:space="0" w:color="76923C"/>
              <w:right w:val="double" w:sz="4" w:space="0" w:color="76923C"/>
            </w:tcBorders>
            <w:hideMark/>
          </w:tcPr>
          <w:p w14:paraId="1893580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17</w:t>
            </w:r>
          </w:p>
        </w:tc>
        <w:tc>
          <w:tcPr>
            <w:tcW w:w="1172" w:type="dxa"/>
            <w:tcBorders>
              <w:top w:val="double" w:sz="4" w:space="0" w:color="76923C"/>
              <w:left w:val="double" w:sz="4" w:space="0" w:color="76923C"/>
              <w:bottom w:val="double" w:sz="4" w:space="0" w:color="76923C"/>
              <w:right w:val="double" w:sz="4" w:space="0" w:color="76923C"/>
            </w:tcBorders>
          </w:tcPr>
          <w:p w14:paraId="67A602C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11</w:t>
            </w:r>
          </w:p>
        </w:tc>
      </w:tr>
      <w:tr w:rsidR="006F5238" w:rsidRPr="00791593" w14:paraId="66CF3A81"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8D5833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6</w:t>
            </w:r>
          </w:p>
        </w:tc>
        <w:tc>
          <w:tcPr>
            <w:tcW w:w="3499" w:type="dxa"/>
            <w:tcBorders>
              <w:top w:val="double" w:sz="4" w:space="0" w:color="76923C"/>
              <w:left w:val="double" w:sz="4" w:space="0" w:color="76923C"/>
              <w:bottom w:val="double" w:sz="4" w:space="0" w:color="76923C"/>
              <w:right w:val="double" w:sz="4" w:space="0" w:color="76923C"/>
            </w:tcBorders>
            <w:hideMark/>
          </w:tcPr>
          <w:p w14:paraId="52169AB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Cruz Verde</w:t>
            </w:r>
          </w:p>
        </w:tc>
        <w:tc>
          <w:tcPr>
            <w:tcW w:w="1172" w:type="dxa"/>
            <w:tcBorders>
              <w:top w:val="double" w:sz="4" w:space="0" w:color="76923C"/>
              <w:left w:val="double" w:sz="4" w:space="0" w:color="76923C"/>
              <w:bottom w:val="double" w:sz="4" w:space="0" w:color="76923C"/>
              <w:right w:val="double" w:sz="4" w:space="0" w:color="76923C"/>
            </w:tcBorders>
            <w:hideMark/>
          </w:tcPr>
          <w:p w14:paraId="4839FC8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112</w:t>
            </w:r>
          </w:p>
        </w:tc>
        <w:tc>
          <w:tcPr>
            <w:tcW w:w="1172" w:type="dxa"/>
            <w:tcBorders>
              <w:top w:val="double" w:sz="4" w:space="0" w:color="76923C"/>
              <w:left w:val="double" w:sz="4" w:space="0" w:color="76923C"/>
              <w:bottom w:val="double" w:sz="4" w:space="0" w:color="76923C"/>
              <w:right w:val="double" w:sz="4" w:space="0" w:color="76923C"/>
            </w:tcBorders>
          </w:tcPr>
          <w:p w14:paraId="73999AA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67</w:t>
            </w:r>
          </w:p>
        </w:tc>
      </w:tr>
      <w:tr w:rsidR="006F5238" w:rsidRPr="00791593" w14:paraId="14DBE8DE"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704637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lastRenderedPageBreak/>
              <w:t>7</w:t>
            </w:r>
          </w:p>
        </w:tc>
        <w:tc>
          <w:tcPr>
            <w:tcW w:w="3499" w:type="dxa"/>
            <w:tcBorders>
              <w:top w:val="double" w:sz="4" w:space="0" w:color="76923C"/>
              <w:left w:val="double" w:sz="4" w:space="0" w:color="76923C"/>
              <w:bottom w:val="double" w:sz="4" w:space="0" w:color="76923C"/>
              <w:right w:val="double" w:sz="4" w:space="0" w:color="76923C"/>
            </w:tcBorders>
            <w:hideMark/>
          </w:tcPr>
          <w:p w14:paraId="3E68CF0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El Temazcal</w:t>
            </w:r>
          </w:p>
        </w:tc>
        <w:tc>
          <w:tcPr>
            <w:tcW w:w="1172" w:type="dxa"/>
            <w:tcBorders>
              <w:top w:val="double" w:sz="4" w:space="0" w:color="76923C"/>
              <w:left w:val="double" w:sz="4" w:space="0" w:color="76923C"/>
              <w:bottom w:val="double" w:sz="4" w:space="0" w:color="76923C"/>
              <w:right w:val="double" w:sz="4" w:space="0" w:color="76923C"/>
            </w:tcBorders>
            <w:hideMark/>
          </w:tcPr>
          <w:p w14:paraId="55DC2B7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14</w:t>
            </w:r>
          </w:p>
        </w:tc>
        <w:tc>
          <w:tcPr>
            <w:tcW w:w="1172" w:type="dxa"/>
            <w:tcBorders>
              <w:top w:val="double" w:sz="4" w:space="0" w:color="76923C"/>
              <w:left w:val="double" w:sz="4" w:space="0" w:color="76923C"/>
              <w:bottom w:val="double" w:sz="4" w:space="0" w:color="76923C"/>
              <w:right w:val="double" w:sz="4" w:space="0" w:color="76923C"/>
            </w:tcBorders>
          </w:tcPr>
          <w:p w14:paraId="7A7C7D3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11</w:t>
            </w:r>
          </w:p>
        </w:tc>
      </w:tr>
      <w:tr w:rsidR="006F5238" w:rsidRPr="00791593" w14:paraId="795C4086"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381504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8</w:t>
            </w:r>
          </w:p>
        </w:tc>
        <w:tc>
          <w:tcPr>
            <w:tcW w:w="3499" w:type="dxa"/>
            <w:tcBorders>
              <w:top w:val="double" w:sz="4" w:space="0" w:color="76923C"/>
              <w:left w:val="double" w:sz="4" w:space="0" w:color="76923C"/>
              <w:bottom w:val="double" w:sz="4" w:space="0" w:color="76923C"/>
              <w:right w:val="double" w:sz="4" w:space="0" w:color="76923C"/>
            </w:tcBorders>
            <w:hideMark/>
          </w:tcPr>
          <w:p w14:paraId="22F2C15D"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 Sebastián Tecomaxtlahuaca</w:t>
            </w:r>
          </w:p>
        </w:tc>
        <w:tc>
          <w:tcPr>
            <w:tcW w:w="1172" w:type="dxa"/>
            <w:tcBorders>
              <w:top w:val="double" w:sz="4" w:space="0" w:color="76923C"/>
              <w:left w:val="double" w:sz="4" w:space="0" w:color="76923C"/>
              <w:bottom w:val="double" w:sz="4" w:space="0" w:color="76923C"/>
              <w:right w:val="double" w:sz="4" w:space="0" w:color="76923C"/>
            </w:tcBorders>
            <w:hideMark/>
          </w:tcPr>
          <w:p w14:paraId="55F0DE6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2,402</w:t>
            </w:r>
          </w:p>
        </w:tc>
        <w:tc>
          <w:tcPr>
            <w:tcW w:w="1172" w:type="dxa"/>
            <w:tcBorders>
              <w:top w:val="double" w:sz="4" w:space="0" w:color="76923C"/>
              <w:left w:val="double" w:sz="4" w:space="0" w:color="76923C"/>
              <w:bottom w:val="double" w:sz="4" w:space="0" w:color="76923C"/>
              <w:right w:val="double" w:sz="4" w:space="0" w:color="76923C"/>
            </w:tcBorders>
          </w:tcPr>
          <w:p w14:paraId="1490280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1,552</w:t>
            </w:r>
          </w:p>
        </w:tc>
      </w:tr>
      <w:tr w:rsidR="006F5238" w:rsidRPr="00791593" w14:paraId="73BAE265"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324466B"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9</w:t>
            </w:r>
          </w:p>
        </w:tc>
        <w:tc>
          <w:tcPr>
            <w:tcW w:w="3499" w:type="dxa"/>
            <w:tcBorders>
              <w:top w:val="double" w:sz="4" w:space="0" w:color="76923C"/>
              <w:left w:val="double" w:sz="4" w:space="0" w:color="76923C"/>
              <w:bottom w:val="double" w:sz="4" w:space="0" w:color="76923C"/>
              <w:right w:val="double" w:sz="4" w:space="0" w:color="76923C"/>
            </w:tcBorders>
            <w:hideMark/>
          </w:tcPr>
          <w:p w14:paraId="01AE6CE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Agua Buena</w:t>
            </w:r>
          </w:p>
        </w:tc>
        <w:tc>
          <w:tcPr>
            <w:tcW w:w="1172" w:type="dxa"/>
            <w:tcBorders>
              <w:top w:val="double" w:sz="4" w:space="0" w:color="76923C"/>
              <w:left w:val="double" w:sz="4" w:space="0" w:color="76923C"/>
              <w:bottom w:val="double" w:sz="4" w:space="0" w:color="76923C"/>
              <w:right w:val="double" w:sz="4" w:space="0" w:color="76923C"/>
            </w:tcBorders>
            <w:hideMark/>
          </w:tcPr>
          <w:p w14:paraId="1B93F72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158</w:t>
            </w:r>
          </w:p>
        </w:tc>
        <w:tc>
          <w:tcPr>
            <w:tcW w:w="1172" w:type="dxa"/>
            <w:tcBorders>
              <w:top w:val="double" w:sz="4" w:space="0" w:color="76923C"/>
              <w:left w:val="double" w:sz="4" w:space="0" w:color="76923C"/>
              <w:bottom w:val="double" w:sz="4" w:space="0" w:color="76923C"/>
              <w:right w:val="double" w:sz="4" w:space="0" w:color="76923C"/>
            </w:tcBorders>
          </w:tcPr>
          <w:p w14:paraId="167DD0AB"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107</w:t>
            </w:r>
          </w:p>
        </w:tc>
      </w:tr>
      <w:tr w:rsidR="006F5238" w:rsidRPr="00791593" w14:paraId="4BB7778D"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38C385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10</w:t>
            </w:r>
          </w:p>
        </w:tc>
        <w:tc>
          <w:tcPr>
            <w:tcW w:w="3499" w:type="dxa"/>
            <w:tcBorders>
              <w:top w:val="double" w:sz="4" w:space="0" w:color="76923C"/>
              <w:left w:val="double" w:sz="4" w:space="0" w:color="76923C"/>
              <w:bottom w:val="double" w:sz="4" w:space="0" w:color="76923C"/>
              <w:right w:val="double" w:sz="4" w:space="0" w:color="76923C"/>
            </w:tcBorders>
            <w:hideMark/>
          </w:tcPr>
          <w:p w14:paraId="155996E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Cahuayá</w:t>
            </w:r>
          </w:p>
        </w:tc>
        <w:tc>
          <w:tcPr>
            <w:tcW w:w="1172" w:type="dxa"/>
            <w:tcBorders>
              <w:top w:val="double" w:sz="4" w:space="0" w:color="76923C"/>
              <w:left w:val="double" w:sz="4" w:space="0" w:color="76923C"/>
              <w:bottom w:val="double" w:sz="4" w:space="0" w:color="76923C"/>
              <w:right w:val="double" w:sz="4" w:space="0" w:color="76923C"/>
            </w:tcBorders>
            <w:hideMark/>
          </w:tcPr>
          <w:p w14:paraId="28FEF216"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35</w:t>
            </w:r>
          </w:p>
        </w:tc>
        <w:tc>
          <w:tcPr>
            <w:tcW w:w="1172" w:type="dxa"/>
            <w:tcBorders>
              <w:top w:val="double" w:sz="4" w:space="0" w:color="76923C"/>
              <w:left w:val="double" w:sz="4" w:space="0" w:color="76923C"/>
              <w:bottom w:val="double" w:sz="4" w:space="0" w:color="76923C"/>
              <w:right w:val="double" w:sz="4" w:space="0" w:color="76923C"/>
            </w:tcBorders>
          </w:tcPr>
          <w:p w14:paraId="579A0B7C"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23</w:t>
            </w:r>
          </w:p>
        </w:tc>
      </w:tr>
      <w:tr w:rsidR="006F5238" w:rsidRPr="00791593" w14:paraId="79B11B16"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8723E7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11</w:t>
            </w:r>
          </w:p>
        </w:tc>
        <w:tc>
          <w:tcPr>
            <w:tcW w:w="3499" w:type="dxa"/>
            <w:tcBorders>
              <w:top w:val="double" w:sz="4" w:space="0" w:color="76923C"/>
              <w:left w:val="double" w:sz="4" w:space="0" w:color="76923C"/>
              <w:bottom w:val="double" w:sz="4" w:space="0" w:color="76923C"/>
              <w:right w:val="double" w:sz="4" w:space="0" w:color="76923C"/>
            </w:tcBorders>
            <w:hideMark/>
          </w:tcPr>
          <w:p w14:paraId="31D2C70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Cañada de Lobo</w:t>
            </w:r>
          </w:p>
        </w:tc>
        <w:tc>
          <w:tcPr>
            <w:tcW w:w="1172" w:type="dxa"/>
            <w:tcBorders>
              <w:top w:val="double" w:sz="4" w:space="0" w:color="76923C"/>
              <w:left w:val="double" w:sz="4" w:space="0" w:color="76923C"/>
              <w:bottom w:val="double" w:sz="4" w:space="0" w:color="76923C"/>
              <w:right w:val="double" w:sz="4" w:space="0" w:color="76923C"/>
            </w:tcBorders>
            <w:hideMark/>
          </w:tcPr>
          <w:p w14:paraId="7E29233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106</w:t>
            </w:r>
          </w:p>
        </w:tc>
        <w:tc>
          <w:tcPr>
            <w:tcW w:w="1172" w:type="dxa"/>
            <w:tcBorders>
              <w:top w:val="double" w:sz="4" w:space="0" w:color="76923C"/>
              <w:left w:val="double" w:sz="4" w:space="0" w:color="76923C"/>
              <w:bottom w:val="double" w:sz="4" w:space="0" w:color="76923C"/>
              <w:right w:val="double" w:sz="4" w:space="0" w:color="76923C"/>
            </w:tcBorders>
          </w:tcPr>
          <w:p w14:paraId="0B37E0A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56</w:t>
            </w:r>
          </w:p>
        </w:tc>
      </w:tr>
      <w:tr w:rsidR="006F5238" w:rsidRPr="00791593" w14:paraId="536E5024"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A69075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12</w:t>
            </w:r>
          </w:p>
        </w:tc>
        <w:tc>
          <w:tcPr>
            <w:tcW w:w="3499" w:type="dxa"/>
            <w:tcBorders>
              <w:top w:val="double" w:sz="4" w:space="0" w:color="76923C"/>
              <w:left w:val="double" w:sz="4" w:space="0" w:color="76923C"/>
              <w:bottom w:val="double" w:sz="4" w:space="0" w:color="76923C"/>
              <w:right w:val="double" w:sz="4" w:space="0" w:color="76923C"/>
            </w:tcBorders>
            <w:hideMark/>
          </w:tcPr>
          <w:p w14:paraId="4A4B614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 José el Espinal</w:t>
            </w:r>
          </w:p>
        </w:tc>
        <w:tc>
          <w:tcPr>
            <w:tcW w:w="1172" w:type="dxa"/>
            <w:tcBorders>
              <w:top w:val="double" w:sz="4" w:space="0" w:color="76923C"/>
              <w:left w:val="double" w:sz="4" w:space="0" w:color="76923C"/>
              <w:bottom w:val="double" w:sz="4" w:space="0" w:color="76923C"/>
              <w:right w:val="double" w:sz="4" w:space="0" w:color="76923C"/>
            </w:tcBorders>
            <w:hideMark/>
          </w:tcPr>
          <w:p w14:paraId="48DEF3D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106</w:t>
            </w:r>
          </w:p>
        </w:tc>
        <w:tc>
          <w:tcPr>
            <w:tcW w:w="1172" w:type="dxa"/>
            <w:tcBorders>
              <w:top w:val="double" w:sz="4" w:space="0" w:color="76923C"/>
              <w:left w:val="double" w:sz="4" w:space="0" w:color="76923C"/>
              <w:bottom w:val="double" w:sz="4" w:space="0" w:color="76923C"/>
              <w:right w:val="double" w:sz="4" w:space="0" w:color="76923C"/>
            </w:tcBorders>
          </w:tcPr>
          <w:p w14:paraId="2C3DA1A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46</w:t>
            </w:r>
          </w:p>
        </w:tc>
      </w:tr>
      <w:tr w:rsidR="006F5238" w:rsidRPr="00791593" w14:paraId="406F6DB4"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4A0546D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13</w:t>
            </w:r>
          </w:p>
        </w:tc>
        <w:tc>
          <w:tcPr>
            <w:tcW w:w="3499" w:type="dxa"/>
            <w:tcBorders>
              <w:top w:val="double" w:sz="4" w:space="0" w:color="76923C"/>
              <w:left w:val="double" w:sz="4" w:space="0" w:color="76923C"/>
              <w:bottom w:val="double" w:sz="4" w:space="0" w:color="76923C"/>
              <w:right w:val="double" w:sz="4" w:space="0" w:color="76923C"/>
            </w:tcBorders>
            <w:hideMark/>
          </w:tcPr>
          <w:p w14:paraId="477AED0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Guadalupe Nundaca</w:t>
            </w:r>
          </w:p>
        </w:tc>
        <w:tc>
          <w:tcPr>
            <w:tcW w:w="1172" w:type="dxa"/>
            <w:tcBorders>
              <w:top w:val="double" w:sz="4" w:space="0" w:color="76923C"/>
              <w:left w:val="double" w:sz="4" w:space="0" w:color="76923C"/>
              <w:bottom w:val="double" w:sz="4" w:space="0" w:color="76923C"/>
              <w:right w:val="double" w:sz="4" w:space="0" w:color="76923C"/>
            </w:tcBorders>
            <w:hideMark/>
          </w:tcPr>
          <w:p w14:paraId="51E3563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449</w:t>
            </w:r>
          </w:p>
        </w:tc>
        <w:tc>
          <w:tcPr>
            <w:tcW w:w="1172" w:type="dxa"/>
            <w:tcBorders>
              <w:top w:val="double" w:sz="4" w:space="0" w:color="76923C"/>
              <w:left w:val="double" w:sz="4" w:space="0" w:color="76923C"/>
              <w:bottom w:val="double" w:sz="4" w:space="0" w:color="76923C"/>
              <w:right w:val="double" w:sz="4" w:space="0" w:color="76923C"/>
            </w:tcBorders>
          </w:tcPr>
          <w:p w14:paraId="196E884B"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230</w:t>
            </w:r>
          </w:p>
        </w:tc>
      </w:tr>
      <w:tr w:rsidR="006F5238" w:rsidRPr="00791593" w14:paraId="40302227"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DD05EAC"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14</w:t>
            </w:r>
          </w:p>
        </w:tc>
        <w:tc>
          <w:tcPr>
            <w:tcW w:w="3499" w:type="dxa"/>
            <w:tcBorders>
              <w:top w:val="double" w:sz="4" w:space="0" w:color="76923C"/>
              <w:left w:val="double" w:sz="4" w:space="0" w:color="76923C"/>
              <w:bottom w:val="double" w:sz="4" w:space="0" w:color="76923C"/>
              <w:right w:val="double" w:sz="4" w:space="0" w:color="76923C"/>
            </w:tcBorders>
            <w:hideMark/>
          </w:tcPr>
          <w:p w14:paraId="0DCC9C8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La Joya del Gavilán</w:t>
            </w:r>
          </w:p>
        </w:tc>
        <w:tc>
          <w:tcPr>
            <w:tcW w:w="1172" w:type="dxa"/>
            <w:tcBorders>
              <w:top w:val="double" w:sz="4" w:space="0" w:color="76923C"/>
              <w:left w:val="double" w:sz="4" w:space="0" w:color="76923C"/>
              <w:bottom w:val="double" w:sz="4" w:space="0" w:color="76923C"/>
              <w:right w:val="double" w:sz="4" w:space="0" w:color="76923C"/>
            </w:tcBorders>
            <w:hideMark/>
          </w:tcPr>
          <w:p w14:paraId="7D9D37FC"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57</w:t>
            </w:r>
          </w:p>
        </w:tc>
        <w:tc>
          <w:tcPr>
            <w:tcW w:w="1172" w:type="dxa"/>
            <w:tcBorders>
              <w:top w:val="double" w:sz="4" w:space="0" w:color="76923C"/>
              <w:left w:val="double" w:sz="4" w:space="0" w:color="76923C"/>
              <w:bottom w:val="double" w:sz="4" w:space="0" w:color="76923C"/>
              <w:right w:val="double" w:sz="4" w:space="0" w:color="76923C"/>
            </w:tcBorders>
          </w:tcPr>
          <w:p w14:paraId="1379BC0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30</w:t>
            </w:r>
          </w:p>
        </w:tc>
      </w:tr>
      <w:tr w:rsidR="006F5238" w:rsidRPr="00791593" w14:paraId="10EDE658"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19B0D6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15</w:t>
            </w:r>
          </w:p>
        </w:tc>
        <w:tc>
          <w:tcPr>
            <w:tcW w:w="3499" w:type="dxa"/>
            <w:tcBorders>
              <w:top w:val="double" w:sz="4" w:space="0" w:color="76923C"/>
              <w:left w:val="double" w:sz="4" w:space="0" w:color="76923C"/>
              <w:bottom w:val="double" w:sz="4" w:space="0" w:color="76923C"/>
              <w:right w:val="double" w:sz="4" w:space="0" w:color="76923C"/>
            </w:tcBorders>
            <w:hideMark/>
          </w:tcPr>
          <w:p w14:paraId="045F17F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 Antonio el Mogote (El Mogote)</w:t>
            </w:r>
          </w:p>
        </w:tc>
        <w:tc>
          <w:tcPr>
            <w:tcW w:w="1172" w:type="dxa"/>
            <w:tcBorders>
              <w:top w:val="double" w:sz="4" w:space="0" w:color="76923C"/>
              <w:left w:val="double" w:sz="4" w:space="0" w:color="76923C"/>
              <w:bottom w:val="double" w:sz="4" w:space="0" w:color="76923C"/>
              <w:right w:val="double" w:sz="4" w:space="0" w:color="76923C"/>
            </w:tcBorders>
            <w:hideMark/>
          </w:tcPr>
          <w:p w14:paraId="4F26505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96</w:t>
            </w:r>
          </w:p>
        </w:tc>
        <w:tc>
          <w:tcPr>
            <w:tcW w:w="1172" w:type="dxa"/>
            <w:tcBorders>
              <w:top w:val="double" w:sz="4" w:space="0" w:color="76923C"/>
              <w:left w:val="double" w:sz="4" w:space="0" w:color="76923C"/>
              <w:bottom w:val="double" w:sz="4" w:space="0" w:color="76923C"/>
              <w:right w:val="double" w:sz="4" w:space="0" w:color="76923C"/>
            </w:tcBorders>
          </w:tcPr>
          <w:p w14:paraId="0BE5FB7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59</w:t>
            </w:r>
          </w:p>
        </w:tc>
      </w:tr>
      <w:tr w:rsidR="006F5238" w:rsidRPr="00791593" w14:paraId="76DA8EAF"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1AA821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16</w:t>
            </w:r>
          </w:p>
        </w:tc>
        <w:tc>
          <w:tcPr>
            <w:tcW w:w="3499" w:type="dxa"/>
            <w:tcBorders>
              <w:top w:val="double" w:sz="4" w:space="0" w:color="76923C"/>
              <w:left w:val="double" w:sz="4" w:space="0" w:color="76923C"/>
              <w:bottom w:val="double" w:sz="4" w:space="0" w:color="76923C"/>
              <w:right w:val="double" w:sz="4" w:space="0" w:color="76923C"/>
            </w:tcBorders>
            <w:hideMark/>
          </w:tcPr>
          <w:p w14:paraId="554D176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Peña Prieta</w:t>
            </w:r>
          </w:p>
        </w:tc>
        <w:tc>
          <w:tcPr>
            <w:tcW w:w="1172" w:type="dxa"/>
            <w:tcBorders>
              <w:top w:val="double" w:sz="4" w:space="0" w:color="76923C"/>
              <w:left w:val="double" w:sz="4" w:space="0" w:color="76923C"/>
              <w:bottom w:val="double" w:sz="4" w:space="0" w:color="76923C"/>
              <w:right w:val="double" w:sz="4" w:space="0" w:color="76923C"/>
            </w:tcBorders>
            <w:hideMark/>
          </w:tcPr>
          <w:p w14:paraId="09869D1D"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63</w:t>
            </w:r>
          </w:p>
        </w:tc>
        <w:tc>
          <w:tcPr>
            <w:tcW w:w="1172" w:type="dxa"/>
            <w:tcBorders>
              <w:top w:val="double" w:sz="4" w:space="0" w:color="76923C"/>
              <w:left w:val="double" w:sz="4" w:space="0" w:color="76923C"/>
              <w:bottom w:val="double" w:sz="4" w:space="0" w:color="76923C"/>
              <w:right w:val="double" w:sz="4" w:space="0" w:color="76923C"/>
            </w:tcBorders>
          </w:tcPr>
          <w:p w14:paraId="0C460FD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49</w:t>
            </w:r>
          </w:p>
        </w:tc>
      </w:tr>
      <w:tr w:rsidR="006F5238" w:rsidRPr="00791593" w14:paraId="71B4BAF4"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9A0B8C6"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17</w:t>
            </w:r>
          </w:p>
        </w:tc>
        <w:tc>
          <w:tcPr>
            <w:tcW w:w="3499" w:type="dxa"/>
            <w:tcBorders>
              <w:top w:val="double" w:sz="4" w:space="0" w:color="76923C"/>
              <w:left w:val="double" w:sz="4" w:space="0" w:color="76923C"/>
              <w:bottom w:val="double" w:sz="4" w:space="0" w:color="76923C"/>
              <w:right w:val="double" w:sz="4" w:space="0" w:color="76923C"/>
            </w:tcBorders>
            <w:hideMark/>
          </w:tcPr>
          <w:p w14:paraId="65DD5EA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El Portezuelo</w:t>
            </w:r>
          </w:p>
        </w:tc>
        <w:tc>
          <w:tcPr>
            <w:tcW w:w="1172" w:type="dxa"/>
            <w:tcBorders>
              <w:top w:val="double" w:sz="4" w:space="0" w:color="76923C"/>
              <w:left w:val="double" w:sz="4" w:space="0" w:color="76923C"/>
              <w:bottom w:val="double" w:sz="4" w:space="0" w:color="76923C"/>
              <w:right w:val="double" w:sz="4" w:space="0" w:color="76923C"/>
            </w:tcBorders>
            <w:hideMark/>
          </w:tcPr>
          <w:p w14:paraId="78859EA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179</w:t>
            </w:r>
          </w:p>
        </w:tc>
        <w:tc>
          <w:tcPr>
            <w:tcW w:w="1172" w:type="dxa"/>
            <w:tcBorders>
              <w:top w:val="double" w:sz="4" w:space="0" w:color="76923C"/>
              <w:left w:val="double" w:sz="4" w:space="0" w:color="76923C"/>
              <w:bottom w:val="double" w:sz="4" w:space="0" w:color="76923C"/>
              <w:right w:val="double" w:sz="4" w:space="0" w:color="76923C"/>
            </w:tcBorders>
          </w:tcPr>
          <w:p w14:paraId="3925943D"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113</w:t>
            </w:r>
          </w:p>
        </w:tc>
      </w:tr>
      <w:tr w:rsidR="006F5238" w:rsidRPr="00791593" w14:paraId="269EFDE0"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D7517D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18</w:t>
            </w:r>
          </w:p>
        </w:tc>
        <w:tc>
          <w:tcPr>
            <w:tcW w:w="3499" w:type="dxa"/>
            <w:tcBorders>
              <w:top w:val="double" w:sz="4" w:space="0" w:color="76923C"/>
              <w:left w:val="double" w:sz="4" w:space="0" w:color="76923C"/>
              <w:bottom w:val="double" w:sz="4" w:space="0" w:color="76923C"/>
              <w:right w:val="double" w:sz="4" w:space="0" w:color="76923C"/>
            </w:tcBorders>
            <w:hideMark/>
          </w:tcPr>
          <w:p w14:paraId="501FFD2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Los Rendón</w:t>
            </w:r>
          </w:p>
        </w:tc>
        <w:tc>
          <w:tcPr>
            <w:tcW w:w="1172" w:type="dxa"/>
            <w:tcBorders>
              <w:top w:val="double" w:sz="4" w:space="0" w:color="76923C"/>
              <w:left w:val="double" w:sz="4" w:space="0" w:color="76923C"/>
              <w:bottom w:val="double" w:sz="4" w:space="0" w:color="76923C"/>
              <w:right w:val="double" w:sz="4" w:space="0" w:color="76923C"/>
            </w:tcBorders>
            <w:hideMark/>
          </w:tcPr>
          <w:p w14:paraId="763F928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33</w:t>
            </w:r>
          </w:p>
        </w:tc>
        <w:tc>
          <w:tcPr>
            <w:tcW w:w="1172" w:type="dxa"/>
            <w:tcBorders>
              <w:top w:val="double" w:sz="4" w:space="0" w:color="76923C"/>
              <w:left w:val="double" w:sz="4" w:space="0" w:color="76923C"/>
              <w:bottom w:val="double" w:sz="4" w:space="0" w:color="76923C"/>
              <w:right w:val="double" w:sz="4" w:space="0" w:color="76923C"/>
            </w:tcBorders>
          </w:tcPr>
          <w:p w14:paraId="7FE59C0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24</w:t>
            </w:r>
          </w:p>
        </w:tc>
      </w:tr>
      <w:tr w:rsidR="006F5238" w:rsidRPr="00791593" w14:paraId="2E194889"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C7E4BAC"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19</w:t>
            </w:r>
          </w:p>
        </w:tc>
        <w:tc>
          <w:tcPr>
            <w:tcW w:w="3499" w:type="dxa"/>
            <w:tcBorders>
              <w:top w:val="double" w:sz="4" w:space="0" w:color="76923C"/>
              <w:left w:val="double" w:sz="4" w:space="0" w:color="76923C"/>
              <w:bottom w:val="double" w:sz="4" w:space="0" w:color="76923C"/>
              <w:right w:val="double" w:sz="4" w:space="0" w:color="76923C"/>
            </w:tcBorders>
            <w:hideMark/>
          </w:tcPr>
          <w:p w14:paraId="5429E26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Sabino Solo</w:t>
            </w:r>
          </w:p>
        </w:tc>
        <w:tc>
          <w:tcPr>
            <w:tcW w:w="1172" w:type="dxa"/>
            <w:tcBorders>
              <w:top w:val="double" w:sz="4" w:space="0" w:color="76923C"/>
              <w:left w:val="double" w:sz="4" w:space="0" w:color="76923C"/>
              <w:bottom w:val="double" w:sz="4" w:space="0" w:color="76923C"/>
              <w:right w:val="double" w:sz="4" w:space="0" w:color="76923C"/>
            </w:tcBorders>
            <w:hideMark/>
          </w:tcPr>
          <w:p w14:paraId="65DF1F8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223</w:t>
            </w:r>
          </w:p>
        </w:tc>
        <w:tc>
          <w:tcPr>
            <w:tcW w:w="1172" w:type="dxa"/>
            <w:tcBorders>
              <w:top w:val="double" w:sz="4" w:space="0" w:color="76923C"/>
              <w:left w:val="double" w:sz="4" w:space="0" w:color="76923C"/>
              <w:bottom w:val="double" w:sz="4" w:space="0" w:color="76923C"/>
              <w:right w:val="double" w:sz="4" w:space="0" w:color="76923C"/>
            </w:tcBorders>
          </w:tcPr>
          <w:p w14:paraId="3BC9218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133</w:t>
            </w:r>
          </w:p>
        </w:tc>
      </w:tr>
      <w:tr w:rsidR="006F5238" w:rsidRPr="00791593" w14:paraId="488FCD13"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B00849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20</w:t>
            </w:r>
          </w:p>
        </w:tc>
        <w:tc>
          <w:tcPr>
            <w:tcW w:w="3499" w:type="dxa"/>
            <w:tcBorders>
              <w:top w:val="double" w:sz="4" w:space="0" w:color="76923C"/>
              <w:left w:val="double" w:sz="4" w:space="0" w:color="76923C"/>
              <w:bottom w:val="double" w:sz="4" w:space="0" w:color="76923C"/>
              <w:right w:val="double" w:sz="4" w:space="0" w:color="76923C"/>
            </w:tcBorders>
            <w:hideMark/>
          </w:tcPr>
          <w:p w14:paraId="7DEB600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 Martín Duraznos</w:t>
            </w:r>
          </w:p>
        </w:tc>
        <w:tc>
          <w:tcPr>
            <w:tcW w:w="1172" w:type="dxa"/>
            <w:tcBorders>
              <w:top w:val="double" w:sz="4" w:space="0" w:color="76923C"/>
              <w:left w:val="double" w:sz="4" w:space="0" w:color="76923C"/>
              <w:bottom w:val="double" w:sz="4" w:space="0" w:color="76923C"/>
              <w:right w:val="double" w:sz="4" w:space="0" w:color="76923C"/>
            </w:tcBorders>
            <w:hideMark/>
          </w:tcPr>
          <w:p w14:paraId="49CF0DA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460</w:t>
            </w:r>
          </w:p>
        </w:tc>
        <w:tc>
          <w:tcPr>
            <w:tcW w:w="1172" w:type="dxa"/>
            <w:tcBorders>
              <w:top w:val="double" w:sz="4" w:space="0" w:color="76923C"/>
              <w:left w:val="double" w:sz="4" w:space="0" w:color="76923C"/>
              <w:bottom w:val="double" w:sz="4" w:space="0" w:color="76923C"/>
              <w:right w:val="double" w:sz="4" w:space="0" w:color="76923C"/>
            </w:tcBorders>
          </w:tcPr>
          <w:p w14:paraId="274CCE3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262</w:t>
            </w:r>
          </w:p>
        </w:tc>
      </w:tr>
      <w:tr w:rsidR="006F5238" w:rsidRPr="00791593" w14:paraId="1D6D2275"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4FBB3B7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21</w:t>
            </w:r>
          </w:p>
        </w:tc>
        <w:tc>
          <w:tcPr>
            <w:tcW w:w="3499" w:type="dxa"/>
            <w:tcBorders>
              <w:top w:val="double" w:sz="4" w:space="0" w:color="76923C"/>
              <w:left w:val="double" w:sz="4" w:space="0" w:color="76923C"/>
              <w:bottom w:val="double" w:sz="4" w:space="0" w:color="76923C"/>
              <w:right w:val="double" w:sz="4" w:space="0" w:color="76923C"/>
            </w:tcBorders>
            <w:hideMark/>
          </w:tcPr>
          <w:p w14:paraId="5CE58E8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 Mateo Tunuchi</w:t>
            </w:r>
          </w:p>
        </w:tc>
        <w:tc>
          <w:tcPr>
            <w:tcW w:w="1172" w:type="dxa"/>
            <w:tcBorders>
              <w:top w:val="double" w:sz="4" w:space="0" w:color="76923C"/>
              <w:left w:val="double" w:sz="4" w:space="0" w:color="76923C"/>
              <w:bottom w:val="double" w:sz="4" w:space="0" w:color="76923C"/>
              <w:right w:val="double" w:sz="4" w:space="0" w:color="76923C"/>
            </w:tcBorders>
            <w:hideMark/>
          </w:tcPr>
          <w:p w14:paraId="6D9A081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340</w:t>
            </w:r>
          </w:p>
        </w:tc>
        <w:tc>
          <w:tcPr>
            <w:tcW w:w="1172" w:type="dxa"/>
            <w:tcBorders>
              <w:top w:val="double" w:sz="4" w:space="0" w:color="76923C"/>
              <w:left w:val="double" w:sz="4" w:space="0" w:color="76923C"/>
              <w:bottom w:val="double" w:sz="4" w:space="0" w:color="76923C"/>
              <w:right w:val="double" w:sz="4" w:space="0" w:color="76923C"/>
            </w:tcBorders>
          </w:tcPr>
          <w:p w14:paraId="493550E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249</w:t>
            </w:r>
          </w:p>
        </w:tc>
      </w:tr>
      <w:tr w:rsidR="006F5238" w:rsidRPr="00791593" w14:paraId="25890BDD"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ECF9DF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22</w:t>
            </w:r>
          </w:p>
        </w:tc>
        <w:tc>
          <w:tcPr>
            <w:tcW w:w="3499" w:type="dxa"/>
            <w:tcBorders>
              <w:top w:val="double" w:sz="4" w:space="0" w:color="76923C"/>
              <w:left w:val="double" w:sz="4" w:space="0" w:color="76923C"/>
              <w:bottom w:val="double" w:sz="4" w:space="0" w:color="76923C"/>
              <w:right w:val="double" w:sz="4" w:space="0" w:color="76923C"/>
            </w:tcBorders>
            <w:hideMark/>
          </w:tcPr>
          <w:p w14:paraId="7DED220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Santa Cruz Rancho Viejo</w:t>
            </w:r>
          </w:p>
        </w:tc>
        <w:tc>
          <w:tcPr>
            <w:tcW w:w="1172" w:type="dxa"/>
            <w:tcBorders>
              <w:top w:val="double" w:sz="4" w:space="0" w:color="76923C"/>
              <w:left w:val="double" w:sz="4" w:space="0" w:color="76923C"/>
              <w:bottom w:val="double" w:sz="4" w:space="0" w:color="76923C"/>
              <w:right w:val="double" w:sz="4" w:space="0" w:color="76923C"/>
            </w:tcBorders>
            <w:hideMark/>
          </w:tcPr>
          <w:p w14:paraId="0D3EE05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160</w:t>
            </w:r>
          </w:p>
        </w:tc>
        <w:tc>
          <w:tcPr>
            <w:tcW w:w="1172" w:type="dxa"/>
            <w:tcBorders>
              <w:top w:val="double" w:sz="4" w:space="0" w:color="76923C"/>
              <w:left w:val="double" w:sz="4" w:space="0" w:color="76923C"/>
              <w:bottom w:val="double" w:sz="4" w:space="0" w:color="76923C"/>
              <w:right w:val="double" w:sz="4" w:space="0" w:color="76923C"/>
            </w:tcBorders>
          </w:tcPr>
          <w:p w14:paraId="4030A72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115</w:t>
            </w:r>
          </w:p>
        </w:tc>
      </w:tr>
      <w:tr w:rsidR="006F5238" w:rsidRPr="00791593" w14:paraId="6E937C2E"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598D376"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23</w:t>
            </w:r>
          </w:p>
        </w:tc>
        <w:tc>
          <w:tcPr>
            <w:tcW w:w="3499" w:type="dxa"/>
            <w:tcBorders>
              <w:top w:val="double" w:sz="4" w:space="0" w:color="76923C"/>
              <w:left w:val="double" w:sz="4" w:space="0" w:color="76923C"/>
              <w:bottom w:val="double" w:sz="4" w:space="0" w:color="76923C"/>
              <w:right w:val="double" w:sz="4" w:space="0" w:color="76923C"/>
            </w:tcBorders>
            <w:hideMark/>
          </w:tcPr>
          <w:p w14:paraId="22F515DC"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Santa Cruz Yosondica</w:t>
            </w:r>
          </w:p>
        </w:tc>
        <w:tc>
          <w:tcPr>
            <w:tcW w:w="1172" w:type="dxa"/>
            <w:tcBorders>
              <w:top w:val="double" w:sz="4" w:space="0" w:color="76923C"/>
              <w:left w:val="double" w:sz="4" w:space="0" w:color="76923C"/>
              <w:bottom w:val="double" w:sz="4" w:space="0" w:color="76923C"/>
              <w:right w:val="double" w:sz="4" w:space="0" w:color="76923C"/>
            </w:tcBorders>
            <w:hideMark/>
          </w:tcPr>
          <w:p w14:paraId="2F54510B"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156</w:t>
            </w:r>
          </w:p>
        </w:tc>
        <w:tc>
          <w:tcPr>
            <w:tcW w:w="1172" w:type="dxa"/>
            <w:tcBorders>
              <w:top w:val="double" w:sz="4" w:space="0" w:color="76923C"/>
              <w:left w:val="double" w:sz="4" w:space="0" w:color="76923C"/>
              <w:bottom w:val="double" w:sz="4" w:space="0" w:color="76923C"/>
              <w:right w:val="double" w:sz="4" w:space="0" w:color="76923C"/>
            </w:tcBorders>
          </w:tcPr>
          <w:p w14:paraId="50B5EEB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103</w:t>
            </w:r>
          </w:p>
        </w:tc>
      </w:tr>
      <w:tr w:rsidR="006F5238" w:rsidRPr="00791593" w14:paraId="7CD26D7C"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B0FD62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24</w:t>
            </w:r>
          </w:p>
        </w:tc>
        <w:tc>
          <w:tcPr>
            <w:tcW w:w="3499" w:type="dxa"/>
            <w:tcBorders>
              <w:top w:val="double" w:sz="4" w:space="0" w:color="76923C"/>
              <w:left w:val="double" w:sz="4" w:space="0" w:color="76923C"/>
              <w:bottom w:val="double" w:sz="4" w:space="0" w:color="76923C"/>
              <w:right w:val="double" w:sz="4" w:space="0" w:color="76923C"/>
            </w:tcBorders>
            <w:hideMark/>
          </w:tcPr>
          <w:p w14:paraId="1997E10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Yosondova</w:t>
            </w:r>
          </w:p>
        </w:tc>
        <w:tc>
          <w:tcPr>
            <w:tcW w:w="1172" w:type="dxa"/>
            <w:tcBorders>
              <w:top w:val="double" w:sz="4" w:space="0" w:color="76923C"/>
              <w:left w:val="double" w:sz="4" w:space="0" w:color="76923C"/>
              <w:bottom w:val="double" w:sz="4" w:space="0" w:color="76923C"/>
              <w:right w:val="double" w:sz="4" w:space="0" w:color="76923C"/>
            </w:tcBorders>
            <w:hideMark/>
          </w:tcPr>
          <w:p w14:paraId="729F8B5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24</w:t>
            </w:r>
          </w:p>
        </w:tc>
        <w:tc>
          <w:tcPr>
            <w:tcW w:w="1172" w:type="dxa"/>
            <w:tcBorders>
              <w:top w:val="double" w:sz="4" w:space="0" w:color="76923C"/>
              <w:left w:val="double" w:sz="4" w:space="0" w:color="76923C"/>
              <w:bottom w:val="double" w:sz="4" w:space="0" w:color="76923C"/>
              <w:right w:val="double" w:sz="4" w:space="0" w:color="76923C"/>
            </w:tcBorders>
          </w:tcPr>
          <w:p w14:paraId="6DB2BB9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14</w:t>
            </w:r>
          </w:p>
        </w:tc>
      </w:tr>
      <w:tr w:rsidR="006F5238" w:rsidRPr="00791593" w14:paraId="5108F75C"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FBF16B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25</w:t>
            </w:r>
          </w:p>
        </w:tc>
        <w:tc>
          <w:tcPr>
            <w:tcW w:w="3499" w:type="dxa"/>
            <w:tcBorders>
              <w:top w:val="double" w:sz="4" w:space="0" w:color="76923C"/>
              <w:left w:val="double" w:sz="4" w:space="0" w:color="76923C"/>
              <w:bottom w:val="double" w:sz="4" w:space="0" w:color="76923C"/>
              <w:right w:val="double" w:sz="4" w:space="0" w:color="76923C"/>
            </w:tcBorders>
            <w:hideMark/>
          </w:tcPr>
          <w:p w14:paraId="50D7879B"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Yosoyú</w:t>
            </w:r>
          </w:p>
        </w:tc>
        <w:tc>
          <w:tcPr>
            <w:tcW w:w="1172" w:type="dxa"/>
            <w:tcBorders>
              <w:top w:val="double" w:sz="4" w:space="0" w:color="76923C"/>
              <w:left w:val="double" w:sz="4" w:space="0" w:color="76923C"/>
              <w:bottom w:val="double" w:sz="4" w:space="0" w:color="76923C"/>
              <w:right w:val="double" w:sz="4" w:space="0" w:color="76923C"/>
            </w:tcBorders>
            <w:hideMark/>
          </w:tcPr>
          <w:p w14:paraId="777A1B5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84</w:t>
            </w:r>
          </w:p>
        </w:tc>
        <w:tc>
          <w:tcPr>
            <w:tcW w:w="1172" w:type="dxa"/>
            <w:tcBorders>
              <w:top w:val="double" w:sz="4" w:space="0" w:color="76923C"/>
              <w:left w:val="double" w:sz="4" w:space="0" w:color="76923C"/>
              <w:bottom w:val="double" w:sz="4" w:space="0" w:color="76923C"/>
              <w:right w:val="double" w:sz="4" w:space="0" w:color="76923C"/>
            </w:tcBorders>
          </w:tcPr>
          <w:p w14:paraId="22772D1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56</w:t>
            </w:r>
          </w:p>
        </w:tc>
      </w:tr>
      <w:tr w:rsidR="006F5238" w:rsidRPr="00791593" w14:paraId="53D8455A"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0066CD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26</w:t>
            </w:r>
          </w:p>
        </w:tc>
        <w:tc>
          <w:tcPr>
            <w:tcW w:w="3499" w:type="dxa"/>
            <w:tcBorders>
              <w:top w:val="double" w:sz="4" w:space="0" w:color="76923C"/>
              <w:left w:val="double" w:sz="4" w:space="0" w:color="76923C"/>
              <w:bottom w:val="double" w:sz="4" w:space="0" w:color="76923C"/>
              <w:right w:val="double" w:sz="4" w:space="0" w:color="76923C"/>
            </w:tcBorders>
            <w:hideMark/>
          </w:tcPr>
          <w:p w14:paraId="718B88C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Ánimas Yucuniciasi o Yucunicani</w:t>
            </w:r>
          </w:p>
        </w:tc>
        <w:tc>
          <w:tcPr>
            <w:tcW w:w="1172" w:type="dxa"/>
            <w:tcBorders>
              <w:top w:val="double" w:sz="4" w:space="0" w:color="76923C"/>
              <w:left w:val="double" w:sz="4" w:space="0" w:color="76923C"/>
              <w:bottom w:val="double" w:sz="4" w:space="0" w:color="76923C"/>
              <w:right w:val="double" w:sz="4" w:space="0" w:color="76923C"/>
            </w:tcBorders>
            <w:hideMark/>
          </w:tcPr>
          <w:p w14:paraId="110BAF2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113</w:t>
            </w:r>
          </w:p>
        </w:tc>
        <w:tc>
          <w:tcPr>
            <w:tcW w:w="1172" w:type="dxa"/>
            <w:tcBorders>
              <w:top w:val="double" w:sz="4" w:space="0" w:color="76923C"/>
              <w:left w:val="double" w:sz="4" w:space="0" w:color="76923C"/>
              <w:bottom w:val="double" w:sz="4" w:space="0" w:color="76923C"/>
              <w:right w:val="double" w:sz="4" w:space="0" w:color="76923C"/>
            </w:tcBorders>
          </w:tcPr>
          <w:p w14:paraId="084B827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81</w:t>
            </w:r>
          </w:p>
        </w:tc>
      </w:tr>
      <w:tr w:rsidR="006F5238" w:rsidRPr="00791593" w14:paraId="53BFE418"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AE963C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27</w:t>
            </w:r>
          </w:p>
        </w:tc>
        <w:tc>
          <w:tcPr>
            <w:tcW w:w="3499" w:type="dxa"/>
            <w:tcBorders>
              <w:top w:val="double" w:sz="4" w:space="0" w:color="76923C"/>
              <w:left w:val="double" w:sz="4" w:space="0" w:color="76923C"/>
              <w:bottom w:val="double" w:sz="4" w:space="0" w:color="76923C"/>
              <w:right w:val="double" w:sz="4" w:space="0" w:color="76923C"/>
            </w:tcBorders>
            <w:hideMark/>
          </w:tcPr>
          <w:p w14:paraId="56A60AE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Santo Niño Jesús Yucuyi</w:t>
            </w:r>
          </w:p>
        </w:tc>
        <w:tc>
          <w:tcPr>
            <w:tcW w:w="1172" w:type="dxa"/>
            <w:tcBorders>
              <w:top w:val="double" w:sz="4" w:space="0" w:color="76923C"/>
              <w:left w:val="double" w:sz="4" w:space="0" w:color="76923C"/>
              <w:bottom w:val="double" w:sz="4" w:space="0" w:color="76923C"/>
              <w:right w:val="double" w:sz="4" w:space="0" w:color="76923C"/>
            </w:tcBorders>
            <w:hideMark/>
          </w:tcPr>
          <w:p w14:paraId="3AFD4DE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231</w:t>
            </w:r>
          </w:p>
        </w:tc>
        <w:tc>
          <w:tcPr>
            <w:tcW w:w="1172" w:type="dxa"/>
            <w:tcBorders>
              <w:top w:val="double" w:sz="4" w:space="0" w:color="76923C"/>
              <w:left w:val="double" w:sz="4" w:space="0" w:color="76923C"/>
              <w:bottom w:val="double" w:sz="4" w:space="0" w:color="76923C"/>
              <w:right w:val="double" w:sz="4" w:space="0" w:color="76923C"/>
            </w:tcBorders>
          </w:tcPr>
          <w:p w14:paraId="22A29F2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w:t>
            </w:r>
          </w:p>
        </w:tc>
      </w:tr>
      <w:tr w:rsidR="006F5238" w:rsidRPr="00791593" w14:paraId="514A0A9E"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39E598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28</w:t>
            </w:r>
          </w:p>
        </w:tc>
        <w:tc>
          <w:tcPr>
            <w:tcW w:w="3499" w:type="dxa"/>
            <w:tcBorders>
              <w:top w:val="double" w:sz="4" w:space="0" w:color="76923C"/>
              <w:left w:val="double" w:sz="4" w:space="0" w:color="76923C"/>
              <w:bottom w:val="double" w:sz="4" w:space="0" w:color="76923C"/>
              <w:right w:val="double" w:sz="4" w:space="0" w:color="76923C"/>
            </w:tcBorders>
            <w:hideMark/>
          </w:tcPr>
          <w:p w14:paraId="6CDCECE6"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La Tortolita</w:t>
            </w:r>
          </w:p>
        </w:tc>
        <w:tc>
          <w:tcPr>
            <w:tcW w:w="1172" w:type="dxa"/>
            <w:tcBorders>
              <w:top w:val="double" w:sz="4" w:space="0" w:color="76923C"/>
              <w:left w:val="double" w:sz="4" w:space="0" w:color="76923C"/>
              <w:bottom w:val="double" w:sz="4" w:space="0" w:color="76923C"/>
              <w:right w:val="double" w:sz="4" w:space="0" w:color="76923C"/>
            </w:tcBorders>
            <w:hideMark/>
          </w:tcPr>
          <w:p w14:paraId="72792C7C"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49</w:t>
            </w:r>
          </w:p>
        </w:tc>
        <w:tc>
          <w:tcPr>
            <w:tcW w:w="1172" w:type="dxa"/>
            <w:tcBorders>
              <w:top w:val="double" w:sz="4" w:space="0" w:color="76923C"/>
              <w:left w:val="double" w:sz="4" w:space="0" w:color="76923C"/>
              <w:bottom w:val="double" w:sz="4" w:space="0" w:color="76923C"/>
              <w:right w:val="double" w:sz="4" w:space="0" w:color="76923C"/>
            </w:tcBorders>
          </w:tcPr>
          <w:p w14:paraId="2DAC97D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30</w:t>
            </w:r>
          </w:p>
        </w:tc>
      </w:tr>
      <w:tr w:rsidR="006F5238" w:rsidRPr="00791593" w14:paraId="65798811"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0861E6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29</w:t>
            </w:r>
          </w:p>
        </w:tc>
        <w:tc>
          <w:tcPr>
            <w:tcW w:w="3499" w:type="dxa"/>
            <w:tcBorders>
              <w:top w:val="double" w:sz="4" w:space="0" w:color="76923C"/>
              <w:left w:val="double" w:sz="4" w:space="0" w:color="76923C"/>
              <w:bottom w:val="double" w:sz="4" w:space="0" w:color="76923C"/>
              <w:right w:val="double" w:sz="4" w:space="0" w:color="76923C"/>
            </w:tcBorders>
            <w:hideMark/>
          </w:tcPr>
          <w:p w14:paraId="54480D9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El Palmarillo</w:t>
            </w:r>
          </w:p>
        </w:tc>
        <w:tc>
          <w:tcPr>
            <w:tcW w:w="1172" w:type="dxa"/>
            <w:tcBorders>
              <w:top w:val="double" w:sz="4" w:space="0" w:color="76923C"/>
              <w:left w:val="double" w:sz="4" w:space="0" w:color="76923C"/>
              <w:bottom w:val="double" w:sz="4" w:space="0" w:color="76923C"/>
              <w:right w:val="double" w:sz="4" w:space="0" w:color="76923C"/>
            </w:tcBorders>
            <w:hideMark/>
          </w:tcPr>
          <w:p w14:paraId="6B3DFC9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43</w:t>
            </w:r>
          </w:p>
        </w:tc>
        <w:tc>
          <w:tcPr>
            <w:tcW w:w="1172" w:type="dxa"/>
            <w:tcBorders>
              <w:top w:val="double" w:sz="4" w:space="0" w:color="76923C"/>
              <w:left w:val="double" w:sz="4" w:space="0" w:color="76923C"/>
              <w:bottom w:val="double" w:sz="4" w:space="0" w:color="76923C"/>
              <w:right w:val="double" w:sz="4" w:space="0" w:color="76923C"/>
            </w:tcBorders>
          </w:tcPr>
          <w:p w14:paraId="4411446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25</w:t>
            </w:r>
          </w:p>
        </w:tc>
      </w:tr>
      <w:tr w:rsidR="006F5238" w:rsidRPr="00791593" w14:paraId="7CD599BA"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265E8EB"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30</w:t>
            </w:r>
          </w:p>
        </w:tc>
        <w:tc>
          <w:tcPr>
            <w:tcW w:w="3499" w:type="dxa"/>
            <w:tcBorders>
              <w:top w:val="double" w:sz="4" w:space="0" w:color="76923C"/>
              <w:left w:val="double" w:sz="4" w:space="0" w:color="76923C"/>
              <w:bottom w:val="double" w:sz="4" w:space="0" w:color="76923C"/>
              <w:right w:val="double" w:sz="4" w:space="0" w:color="76923C"/>
            </w:tcBorders>
            <w:hideMark/>
          </w:tcPr>
          <w:p w14:paraId="1AA532B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Buenavista</w:t>
            </w:r>
          </w:p>
        </w:tc>
        <w:tc>
          <w:tcPr>
            <w:tcW w:w="1172" w:type="dxa"/>
            <w:tcBorders>
              <w:top w:val="double" w:sz="4" w:space="0" w:color="76923C"/>
              <w:left w:val="double" w:sz="4" w:space="0" w:color="76923C"/>
              <w:bottom w:val="double" w:sz="4" w:space="0" w:color="76923C"/>
              <w:right w:val="double" w:sz="4" w:space="0" w:color="76923C"/>
            </w:tcBorders>
            <w:hideMark/>
          </w:tcPr>
          <w:p w14:paraId="4E96C0C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94</w:t>
            </w:r>
          </w:p>
        </w:tc>
        <w:tc>
          <w:tcPr>
            <w:tcW w:w="1172" w:type="dxa"/>
            <w:tcBorders>
              <w:top w:val="double" w:sz="4" w:space="0" w:color="76923C"/>
              <w:left w:val="double" w:sz="4" w:space="0" w:color="76923C"/>
              <w:bottom w:val="double" w:sz="4" w:space="0" w:color="76923C"/>
              <w:right w:val="double" w:sz="4" w:space="0" w:color="76923C"/>
            </w:tcBorders>
          </w:tcPr>
          <w:p w14:paraId="086DF17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67</w:t>
            </w:r>
          </w:p>
        </w:tc>
      </w:tr>
      <w:tr w:rsidR="006F5238" w:rsidRPr="00791593" w14:paraId="70707AB8"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9776E8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31</w:t>
            </w:r>
          </w:p>
        </w:tc>
        <w:tc>
          <w:tcPr>
            <w:tcW w:w="3499" w:type="dxa"/>
            <w:tcBorders>
              <w:top w:val="double" w:sz="4" w:space="0" w:color="76923C"/>
              <w:left w:val="double" w:sz="4" w:space="0" w:color="76923C"/>
              <w:bottom w:val="double" w:sz="4" w:space="0" w:color="76923C"/>
              <w:right w:val="double" w:sz="4" w:space="0" w:color="76923C"/>
            </w:tcBorders>
            <w:hideMark/>
          </w:tcPr>
          <w:p w14:paraId="65D90C5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Tecomaxtlahuaca el Viejo</w:t>
            </w:r>
          </w:p>
        </w:tc>
        <w:tc>
          <w:tcPr>
            <w:tcW w:w="1172" w:type="dxa"/>
            <w:tcBorders>
              <w:top w:val="double" w:sz="4" w:space="0" w:color="76923C"/>
              <w:left w:val="double" w:sz="4" w:space="0" w:color="76923C"/>
              <w:bottom w:val="double" w:sz="4" w:space="0" w:color="76923C"/>
              <w:right w:val="double" w:sz="4" w:space="0" w:color="76923C"/>
            </w:tcBorders>
            <w:hideMark/>
          </w:tcPr>
          <w:p w14:paraId="52BB156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97</w:t>
            </w:r>
          </w:p>
        </w:tc>
        <w:tc>
          <w:tcPr>
            <w:tcW w:w="1172" w:type="dxa"/>
            <w:tcBorders>
              <w:top w:val="double" w:sz="4" w:space="0" w:color="76923C"/>
              <w:left w:val="double" w:sz="4" w:space="0" w:color="76923C"/>
              <w:bottom w:val="double" w:sz="4" w:space="0" w:color="76923C"/>
              <w:right w:val="double" w:sz="4" w:space="0" w:color="76923C"/>
            </w:tcBorders>
          </w:tcPr>
          <w:p w14:paraId="6E3132A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72</w:t>
            </w:r>
          </w:p>
        </w:tc>
      </w:tr>
      <w:tr w:rsidR="006F5238" w:rsidRPr="00791593" w14:paraId="6CD2EE19"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620C71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32</w:t>
            </w:r>
          </w:p>
        </w:tc>
        <w:tc>
          <w:tcPr>
            <w:tcW w:w="3499" w:type="dxa"/>
            <w:tcBorders>
              <w:top w:val="double" w:sz="4" w:space="0" w:color="76923C"/>
              <w:left w:val="double" w:sz="4" w:space="0" w:color="76923C"/>
              <w:bottom w:val="double" w:sz="4" w:space="0" w:color="76923C"/>
              <w:right w:val="double" w:sz="4" w:space="0" w:color="76923C"/>
            </w:tcBorders>
            <w:hideMark/>
          </w:tcPr>
          <w:p w14:paraId="528202D6"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Los Silva (La Sabinera los Silva)</w:t>
            </w:r>
          </w:p>
        </w:tc>
        <w:tc>
          <w:tcPr>
            <w:tcW w:w="1172" w:type="dxa"/>
            <w:tcBorders>
              <w:top w:val="double" w:sz="4" w:space="0" w:color="76923C"/>
              <w:left w:val="double" w:sz="4" w:space="0" w:color="76923C"/>
              <w:bottom w:val="double" w:sz="4" w:space="0" w:color="76923C"/>
              <w:right w:val="double" w:sz="4" w:space="0" w:color="76923C"/>
            </w:tcBorders>
            <w:hideMark/>
          </w:tcPr>
          <w:p w14:paraId="60B3AAE6"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30</w:t>
            </w:r>
          </w:p>
        </w:tc>
        <w:tc>
          <w:tcPr>
            <w:tcW w:w="1172" w:type="dxa"/>
            <w:tcBorders>
              <w:top w:val="double" w:sz="4" w:space="0" w:color="76923C"/>
              <w:left w:val="double" w:sz="4" w:space="0" w:color="76923C"/>
              <w:bottom w:val="double" w:sz="4" w:space="0" w:color="76923C"/>
              <w:right w:val="double" w:sz="4" w:space="0" w:color="76923C"/>
            </w:tcBorders>
          </w:tcPr>
          <w:p w14:paraId="67B02D9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19</w:t>
            </w:r>
          </w:p>
        </w:tc>
      </w:tr>
      <w:tr w:rsidR="006F5238" w:rsidRPr="00791593" w14:paraId="23316D44"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3051DE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33</w:t>
            </w:r>
          </w:p>
        </w:tc>
        <w:tc>
          <w:tcPr>
            <w:tcW w:w="3499" w:type="dxa"/>
            <w:tcBorders>
              <w:top w:val="double" w:sz="4" w:space="0" w:color="76923C"/>
              <w:left w:val="double" w:sz="4" w:space="0" w:color="76923C"/>
              <w:bottom w:val="double" w:sz="4" w:space="0" w:color="76923C"/>
              <w:right w:val="double" w:sz="4" w:space="0" w:color="76923C"/>
            </w:tcBorders>
            <w:hideMark/>
          </w:tcPr>
          <w:p w14:paraId="26592B9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 Marcos Xinicuesta</w:t>
            </w:r>
          </w:p>
        </w:tc>
        <w:tc>
          <w:tcPr>
            <w:tcW w:w="1172" w:type="dxa"/>
            <w:tcBorders>
              <w:top w:val="double" w:sz="4" w:space="0" w:color="76923C"/>
              <w:left w:val="double" w:sz="4" w:space="0" w:color="76923C"/>
              <w:bottom w:val="double" w:sz="4" w:space="0" w:color="76923C"/>
              <w:right w:val="double" w:sz="4" w:space="0" w:color="76923C"/>
            </w:tcBorders>
            <w:hideMark/>
          </w:tcPr>
          <w:p w14:paraId="45EB1A4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682</w:t>
            </w:r>
          </w:p>
        </w:tc>
        <w:tc>
          <w:tcPr>
            <w:tcW w:w="1172" w:type="dxa"/>
            <w:tcBorders>
              <w:top w:val="double" w:sz="4" w:space="0" w:color="76923C"/>
              <w:left w:val="double" w:sz="4" w:space="0" w:color="76923C"/>
              <w:bottom w:val="double" w:sz="4" w:space="0" w:color="76923C"/>
              <w:right w:val="double" w:sz="4" w:space="0" w:color="76923C"/>
            </w:tcBorders>
          </w:tcPr>
          <w:p w14:paraId="675AD886"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430</w:t>
            </w:r>
          </w:p>
        </w:tc>
      </w:tr>
      <w:tr w:rsidR="006F5238" w:rsidRPr="00791593" w14:paraId="20BB0FB8"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A39825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34</w:t>
            </w:r>
          </w:p>
        </w:tc>
        <w:tc>
          <w:tcPr>
            <w:tcW w:w="3499" w:type="dxa"/>
            <w:tcBorders>
              <w:top w:val="double" w:sz="4" w:space="0" w:color="76923C"/>
              <w:left w:val="double" w:sz="4" w:space="0" w:color="76923C"/>
              <w:bottom w:val="double" w:sz="4" w:space="0" w:color="76923C"/>
              <w:right w:val="double" w:sz="4" w:space="0" w:color="76923C"/>
            </w:tcBorders>
            <w:hideMark/>
          </w:tcPr>
          <w:p w14:paraId="4B4A767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Río de Hielo Juárez</w:t>
            </w:r>
          </w:p>
        </w:tc>
        <w:tc>
          <w:tcPr>
            <w:tcW w:w="1172" w:type="dxa"/>
            <w:tcBorders>
              <w:top w:val="double" w:sz="4" w:space="0" w:color="76923C"/>
              <w:left w:val="double" w:sz="4" w:space="0" w:color="76923C"/>
              <w:bottom w:val="double" w:sz="4" w:space="0" w:color="76923C"/>
              <w:right w:val="double" w:sz="4" w:space="0" w:color="76923C"/>
            </w:tcBorders>
            <w:hideMark/>
          </w:tcPr>
          <w:p w14:paraId="02AF567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276</w:t>
            </w:r>
          </w:p>
        </w:tc>
        <w:tc>
          <w:tcPr>
            <w:tcW w:w="1172" w:type="dxa"/>
            <w:tcBorders>
              <w:top w:val="double" w:sz="4" w:space="0" w:color="76923C"/>
              <w:left w:val="double" w:sz="4" w:space="0" w:color="76923C"/>
              <w:bottom w:val="double" w:sz="4" w:space="0" w:color="76923C"/>
              <w:right w:val="double" w:sz="4" w:space="0" w:color="76923C"/>
            </w:tcBorders>
          </w:tcPr>
          <w:p w14:paraId="1B943B7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164</w:t>
            </w:r>
          </w:p>
        </w:tc>
      </w:tr>
      <w:tr w:rsidR="006F5238" w:rsidRPr="00791593" w14:paraId="5D1E2738"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4356C02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35</w:t>
            </w:r>
          </w:p>
        </w:tc>
        <w:tc>
          <w:tcPr>
            <w:tcW w:w="3499" w:type="dxa"/>
            <w:tcBorders>
              <w:top w:val="double" w:sz="4" w:space="0" w:color="76923C"/>
              <w:left w:val="double" w:sz="4" w:space="0" w:color="76923C"/>
              <w:bottom w:val="double" w:sz="4" w:space="0" w:color="76923C"/>
              <w:right w:val="double" w:sz="4" w:space="0" w:color="76923C"/>
            </w:tcBorders>
            <w:hideMark/>
          </w:tcPr>
          <w:p w14:paraId="7215E4B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 Isidro</w:t>
            </w:r>
          </w:p>
        </w:tc>
        <w:tc>
          <w:tcPr>
            <w:tcW w:w="1172" w:type="dxa"/>
            <w:tcBorders>
              <w:top w:val="double" w:sz="4" w:space="0" w:color="76923C"/>
              <w:left w:val="double" w:sz="4" w:space="0" w:color="76923C"/>
              <w:bottom w:val="double" w:sz="4" w:space="0" w:color="76923C"/>
              <w:right w:val="double" w:sz="4" w:space="0" w:color="76923C"/>
            </w:tcBorders>
            <w:hideMark/>
          </w:tcPr>
          <w:p w14:paraId="4CF33C4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25</w:t>
            </w:r>
          </w:p>
        </w:tc>
        <w:tc>
          <w:tcPr>
            <w:tcW w:w="1172" w:type="dxa"/>
            <w:tcBorders>
              <w:top w:val="double" w:sz="4" w:space="0" w:color="76923C"/>
              <w:left w:val="double" w:sz="4" w:space="0" w:color="76923C"/>
              <w:bottom w:val="double" w:sz="4" w:space="0" w:color="76923C"/>
              <w:right w:val="double" w:sz="4" w:space="0" w:color="76923C"/>
            </w:tcBorders>
          </w:tcPr>
          <w:p w14:paraId="2A5D6CA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17</w:t>
            </w:r>
          </w:p>
        </w:tc>
      </w:tr>
      <w:tr w:rsidR="006F5238" w:rsidRPr="00791593" w14:paraId="02A730FB"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8D3866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36</w:t>
            </w:r>
          </w:p>
        </w:tc>
        <w:tc>
          <w:tcPr>
            <w:tcW w:w="3499" w:type="dxa"/>
            <w:tcBorders>
              <w:top w:val="double" w:sz="4" w:space="0" w:color="76923C"/>
              <w:left w:val="double" w:sz="4" w:space="0" w:color="76923C"/>
              <w:bottom w:val="double" w:sz="4" w:space="0" w:color="76923C"/>
              <w:right w:val="double" w:sz="4" w:space="0" w:color="76923C"/>
            </w:tcBorders>
            <w:hideMark/>
          </w:tcPr>
          <w:p w14:paraId="15D80F5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Los Alvarado</w:t>
            </w:r>
          </w:p>
        </w:tc>
        <w:tc>
          <w:tcPr>
            <w:tcW w:w="1172" w:type="dxa"/>
            <w:tcBorders>
              <w:top w:val="double" w:sz="4" w:space="0" w:color="76923C"/>
              <w:left w:val="double" w:sz="4" w:space="0" w:color="76923C"/>
              <w:bottom w:val="double" w:sz="4" w:space="0" w:color="76923C"/>
              <w:right w:val="double" w:sz="4" w:space="0" w:color="76923C"/>
            </w:tcBorders>
            <w:hideMark/>
          </w:tcPr>
          <w:p w14:paraId="1CD0272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41</w:t>
            </w:r>
          </w:p>
        </w:tc>
        <w:tc>
          <w:tcPr>
            <w:tcW w:w="1172" w:type="dxa"/>
            <w:tcBorders>
              <w:top w:val="double" w:sz="4" w:space="0" w:color="76923C"/>
              <w:left w:val="double" w:sz="4" w:space="0" w:color="76923C"/>
              <w:bottom w:val="double" w:sz="4" w:space="0" w:color="76923C"/>
              <w:right w:val="double" w:sz="4" w:space="0" w:color="76923C"/>
            </w:tcBorders>
          </w:tcPr>
          <w:p w14:paraId="787A309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31</w:t>
            </w:r>
          </w:p>
        </w:tc>
      </w:tr>
      <w:tr w:rsidR="006F5238" w:rsidRPr="00791593" w14:paraId="28FCEDD7"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30EC71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37</w:t>
            </w:r>
          </w:p>
        </w:tc>
        <w:tc>
          <w:tcPr>
            <w:tcW w:w="3499" w:type="dxa"/>
            <w:tcBorders>
              <w:top w:val="double" w:sz="4" w:space="0" w:color="76923C"/>
              <w:left w:val="double" w:sz="4" w:space="0" w:color="76923C"/>
              <w:bottom w:val="double" w:sz="4" w:space="0" w:color="76923C"/>
              <w:right w:val="double" w:sz="4" w:space="0" w:color="76923C"/>
            </w:tcBorders>
            <w:hideMark/>
          </w:tcPr>
          <w:p w14:paraId="48F919F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Zaragoza Alacranes</w:t>
            </w:r>
          </w:p>
        </w:tc>
        <w:tc>
          <w:tcPr>
            <w:tcW w:w="1172" w:type="dxa"/>
            <w:tcBorders>
              <w:top w:val="double" w:sz="4" w:space="0" w:color="76923C"/>
              <w:left w:val="double" w:sz="4" w:space="0" w:color="76923C"/>
              <w:bottom w:val="double" w:sz="4" w:space="0" w:color="76923C"/>
              <w:right w:val="double" w:sz="4" w:space="0" w:color="76923C"/>
            </w:tcBorders>
            <w:hideMark/>
          </w:tcPr>
          <w:p w14:paraId="1765402B"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158</w:t>
            </w:r>
          </w:p>
        </w:tc>
        <w:tc>
          <w:tcPr>
            <w:tcW w:w="1172" w:type="dxa"/>
            <w:tcBorders>
              <w:top w:val="double" w:sz="4" w:space="0" w:color="76923C"/>
              <w:left w:val="double" w:sz="4" w:space="0" w:color="76923C"/>
              <w:bottom w:val="double" w:sz="4" w:space="0" w:color="76923C"/>
              <w:right w:val="double" w:sz="4" w:space="0" w:color="76923C"/>
            </w:tcBorders>
          </w:tcPr>
          <w:p w14:paraId="225B70A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91</w:t>
            </w:r>
          </w:p>
        </w:tc>
      </w:tr>
      <w:tr w:rsidR="006F5238" w:rsidRPr="00791593" w14:paraId="455CCF79"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A3D15AB"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38</w:t>
            </w:r>
          </w:p>
        </w:tc>
        <w:tc>
          <w:tcPr>
            <w:tcW w:w="3499" w:type="dxa"/>
            <w:tcBorders>
              <w:top w:val="double" w:sz="4" w:space="0" w:color="76923C"/>
              <w:left w:val="double" w:sz="4" w:space="0" w:color="76923C"/>
              <w:bottom w:val="double" w:sz="4" w:space="0" w:color="76923C"/>
              <w:right w:val="double" w:sz="4" w:space="0" w:color="76923C"/>
            </w:tcBorders>
            <w:hideMark/>
          </w:tcPr>
          <w:p w14:paraId="6474FC5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Yucundívi</w:t>
            </w:r>
          </w:p>
        </w:tc>
        <w:tc>
          <w:tcPr>
            <w:tcW w:w="1172" w:type="dxa"/>
            <w:tcBorders>
              <w:top w:val="double" w:sz="4" w:space="0" w:color="76923C"/>
              <w:left w:val="double" w:sz="4" w:space="0" w:color="76923C"/>
              <w:bottom w:val="double" w:sz="4" w:space="0" w:color="76923C"/>
              <w:right w:val="double" w:sz="4" w:space="0" w:color="76923C"/>
            </w:tcBorders>
            <w:hideMark/>
          </w:tcPr>
          <w:p w14:paraId="770075E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84</w:t>
            </w:r>
          </w:p>
        </w:tc>
        <w:tc>
          <w:tcPr>
            <w:tcW w:w="1172" w:type="dxa"/>
            <w:tcBorders>
              <w:top w:val="double" w:sz="4" w:space="0" w:color="76923C"/>
              <w:left w:val="double" w:sz="4" w:space="0" w:color="76923C"/>
              <w:bottom w:val="double" w:sz="4" w:space="0" w:color="76923C"/>
              <w:right w:val="double" w:sz="4" w:space="0" w:color="76923C"/>
            </w:tcBorders>
          </w:tcPr>
          <w:p w14:paraId="67B928BD"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48</w:t>
            </w:r>
          </w:p>
        </w:tc>
      </w:tr>
      <w:tr w:rsidR="006F5238" w:rsidRPr="00791593" w14:paraId="278B25D3"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490359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39</w:t>
            </w:r>
          </w:p>
        </w:tc>
        <w:tc>
          <w:tcPr>
            <w:tcW w:w="3499" w:type="dxa"/>
            <w:tcBorders>
              <w:top w:val="double" w:sz="4" w:space="0" w:color="76923C"/>
              <w:left w:val="double" w:sz="4" w:space="0" w:color="76923C"/>
              <w:bottom w:val="double" w:sz="4" w:space="0" w:color="76923C"/>
              <w:right w:val="double" w:sz="4" w:space="0" w:color="76923C"/>
            </w:tcBorders>
            <w:hideMark/>
          </w:tcPr>
          <w:p w14:paraId="7B65AE0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Ciénega Rabona (San Isidro)</w:t>
            </w:r>
          </w:p>
        </w:tc>
        <w:tc>
          <w:tcPr>
            <w:tcW w:w="1172" w:type="dxa"/>
            <w:tcBorders>
              <w:top w:val="double" w:sz="4" w:space="0" w:color="76923C"/>
              <w:left w:val="double" w:sz="4" w:space="0" w:color="76923C"/>
              <w:bottom w:val="double" w:sz="4" w:space="0" w:color="76923C"/>
              <w:right w:val="double" w:sz="4" w:space="0" w:color="76923C"/>
            </w:tcBorders>
            <w:hideMark/>
          </w:tcPr>
          <w:p w14:paraId="06D18B1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89</w:t>
            </w:r>
          </w:p>
        </w:tc>
        <w:tc>
          <w:tcPr>
            <w:tcW w:w="1172" w:type="dxa"/>
            <w:tcBorders>
              <w:top w:val="double" w:sz="4" w:space="0" w:color="76923C"/>
              <w:left w:val="double" w:sz="4" w:space="0" w:color="76923C"/>
              <w:bottom w:val="double" w:sz="4" w:space="0" w:color="76923C"/>
              <w:right w:val="double" w:sz="4" w:space="0" w:color="76923C"/>
            </w:tcBorders>
          </w:tcPr>
          <w:p w14:paraId="2FD2080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53</w:t>
            </w:r>
          </w:p>
        </w:tc>
      </w:tr>
      <w:tr w:rsidR="006F5238" w:rsidRPr="00791593" w14:paraId="1B36DD6C"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036E05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40</w:t>
            </w:r>
          </w:p>
        </w:tc>
        <w:tc>
          <w:tcPr>
            <w:tcW w:w="3499" w:type="dxa"/>
            <w:tcBorders>
              <w:top w:val="double" w:sz="4" w:space="0" w:color="76923C"/>
              <w:left w:val="double" w:sz="4" w:space="0" w:color="76923C"/>
              <w:bottom w:val="double" w:sz="4" w:space="0" w:color="76923C"/>
              <w:right w:val="double" w:sz="4" w:space="0" w:color="76923C"/>
            </w:tcBorders>
            <w:hideMark/>
          </w:tcPr>
          <w:p w14:paraId="7449A83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Santa Cruz Huachichiqui</w:t>
            </w:r>
          </w:p>
        </w:tc>
        <w:tc>
          <w:tcPr>
            <w:tcW w:w="1172" w:type="dxa"/>
            <w:tcBorders>
              <w:top w:val="double" w:sz="4" w:space="0" w:color="76923C"/>
              <w:left w:val="double" w:sz="4" w:space="0" w:color="76923C"/>
              <w:bottom w:val="double" w:sz="4" w:space="0" w:color="76923C"/>
              <w:right w:val="double" w:sz="4" w:space="0" w:color="76923C"/>
            </w:tcBorders>
            <w:hideMark/>
          </w:tcPr>
          <w:p w14:paraId="48C7702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29</w:t>
            </w:r>
          </w:p>
        </w:tc>
        <w:tc>
          <w:tcPr>
            <w:tcW w:w="1172" w:type="dxa"/>
            <w:tcBorders>
              <w:top w:val="double" w:sz="4" w:space="0" w:color="76923C"/>
              <w:left w:val="double" w:sz="4" w:space="0" w:color="76923C"/>
              <w:bottom w:val="double" w:sz="4" w:space="0" w:color="76923C"/>
              <w:right w:val="double" w:sz="4" w:space="0" w:color="76923C"/>
            </w:tcBorders>
          </w:tcPr>
          <w:p w14:paraId="2626026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14</w:t>
            </w:r>
          </w:p>
        </w:tc>
      </w:tr>
      <w:tr w:rsidR="006F5238" w:rsidRPr="00791593" w14:paraId="1CD080DC"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2D92DF6"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41</w:t>
            </w:r>
          </w:p>
        </w:tc>
        <w:tc>
          <w:tcPr>
            <w:tcW w:w="3499" w:type="dxa"/>
            <w:tcBorders>
              <w:top w:val="double" w:sz="4" w:space="0" w:color="76923C"/>
              <w:left w:val="double" w:sz="4" w:space="0" w:color="76923C"/>
              <w:bottom w:val="double" w:sz="4" w:space="0" w:color="76923C"/>
              <w:right w:val="double" w:sz="4" w:space="0" w:color="76923C"/>
            </w:tcBorders>
            <w:hideMark/>
          </w:tcPr>
          <w:p w14:paraId="00C4F2E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Barranca Chinche</w:t>
            </w:r>
          </w:p>
        </w:tc>
        <w:tc>
          <w:tcPr>
            <w:tcW w:w="1172" w:type="dxa"/>
            <w:tcBorders>
              <w:top w:val="double" w:sz="4" w:space="0" w:color="76923C"/>
              <w:left w:val="double" w:sz="4" w:space="0" w:color="76923C"/>
              <w:bottom w:val="double" w:sz="4" w:space="0" w:color="76923C"/>
              <w:right w:val="double" w:sz="4" w:space="0" w:color="76923C"/>
            </w:tcBorders>
            <w:hideMark/>
          </w:tcPr>
          <w:p w14:paraId="1EA7A57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20</w:t>
            </w:r>
          </w:p>
        </w:tc>
        <w:tc>
          <w:tcPr>
            <w:tcW w:w="1172" w:type="dxa"/>
            <w:tcBorders>
              <w:top w:val="double" w:sz="4" w:space="0" w:color="76923C"/>
              <w:left w:val="double" w:sz="4" w:space="0" w:color="76923C"/>
              <w:bottom w:val="double" w:sz="4" w:space="0" w:color="76923C"/>
              <w:right w:val="double" w:sz="4" w:space="0" w:color="76923C"/>
            </w:tcBorders>
          </w:tcPr>
          <w:p w14:paraId="2084AC3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12</w:t>
            </w:r>
          </w:p>
        </w:tc>
      </w:tr>
      <w:tr w:rsidR="006F5238" w:rsidRPr="00791593" w14:paraId="70806102"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5EC27D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42</w:t>
            </w:r>
          </w:p>
        </w:tc>
        <w:tc>
          <w:tcPr>
            <w:tcW w:w="3499" w:type="dxa"/>
            <w:tcBorders>
              <w:top w:val="double" w:sz="4" w:space="0" w:color="76923C"/>
              <w:left w:val="double" w:sz="4" w:space="0" w:color="76923C"/>
              <w:bottom w:val="double" w:sz="4" w:space="0" w:color="76923C"/>
              <w:right w:val="double" w:sz="4" w:space="0" w:color="76923C"/>
            </w:tcBorders>
            <w:hideMark/>
          </w:tcPr>
          <w:p w14:paraId="4FC12FD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 Sebastián los Cholula</w:t>
            </w:r>
          </w:p>
        </w:tc>
        <w:tc>
          <w:tcPr>
            <w:tcW w:w="1172" w:type="dxa"/>
            <w:tcBorders>
              <w:top w:val="double" w:sz="4" w:space="0" w:color="76923C"/>
              <w:left w:val="double" w:sz="4" w:space="0" w:color="76923C"/>
              <w:bottom w:val="double" w:sz="4" w:space="0" w:color="76923C"/>
              <w:right w:val="double" w:sz="4" w:space="0" w:color="76923C"/>
            </w:tcBorders>
            <w:hideMark/>
          </w:tcPr>
          <w:p w14:paraId="4156482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61</w:t>
            </w:r>
          </w:p>
        </w:tc>
        <w:tc>
          <w:tcPr>
            <w:tcW w:w="1172" w:type="dxa"/>
            <w:tcBorders>
              <w:top w:val="double" w:sz="4" w:space="0" w:color="76923C"/>
              <w:left w:val="double" w:sz="4" w:space="0" w:color="76923C"/>
              <w:bottom w:val="double" w:sz="4" w:space="0" w:color="76923C"/>
              <w:right w:val="double" w:sz="4" w:space="0" w:color="76923C"/>
            </w:tcBorders>
          </w:tcPr>
          <w:p w14:paraId="261AE2ED"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37</w:t>
            </w:r>
          </w:p>
        </w:tc>
      </w:tr>
      <w:tr w:rsidR="006F5238" w:rsidRPr="00791593" w14:paraId="474344D2"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8166B7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43</w:t>
            </w:r>
          </w:p>
        </w:tc>
        <w:tc>
          <w:tcPr>
            <w:tcW w:w="3499" w:type="dxa"/>
            <w:tcBorders>
              <w:top w:val="double" w:sz="4" w:space="0" w:color="76923C"/>
              <w:left w:val="double" w:sz="4" w:space="0" w:color="76923C"/>
              <w:bottom w:val="double" w:sz="4" w:space="0" w:color="76923C"/>
              <w:right w:val="double" w:sz="4" w:space="0" w:color="76923C"/>
            </w:tcBorders>
            <w:hideMark/>
          </w:tcPr>
          <w:p w14:paraId="5F2455C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Yosocú</w:t>
            </w:r>
          </w:p>
        </w:tc>
        <w:tc>
          <w:tcPr>
            <w:tcW w:w="1172" w:type="dxa"/>
            <w:tcBorders>
              <w:top w:val="double" w:sz="4" w:space="0" w:color="76923C"/>
              <w:left w:val="double" w:sz="4" w:space="0" w:color="76923C"/>
              <w:bottom w:val="double" w:sz="4" w:space="0" w:color="76923C"/>
              <w:right w:val="double" w:sz="4" w:space="0" w:color="76923C"/>
            </w:tcBorders>
            <w:hideMark/>
          </w:tcPr>
          <w:p w14:paraId="0FFB353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9</w:t>
            </w:r>
          </w:p>
        </w:tc>
        <w:tc>
          <w:tcPr>
            <w:tcW w:w="1172" w:type="dxa"/>
            <w:tcBorders>
              <w:top w:val="double" w:sz="4" w:space="0" w:color="76923C"/>
              <w:left w:val="double" w:sz="4" w:space="0" w:color="76923C"/>
              <w:bottom w:val="double" w:sz="4" w:space="0" w:color="76923C"/>
              <w:right w:val="double" w:sz="4" w:space="0" w:color="76923C"/>
            </w:tcBorders>
          </w:tcPr>
          <w:p w14:paraId="33365AB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8</w:t>
            </w:r>
          </w:p>
        </w:tc>
      </w:tr>
      <w:tr w:rsidR="006F5238" w:rsidRPr="00791593" w14:paraId="3AD9BC2D"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AB40F6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44</w:t>
            </w:r>
          </w:p>
        </w:tc>
        <w:tc>
          <w:tcPr>
            <w:tcW w:w="3499" w:type="dxa"/>
            <w:tcBorders>
              <w:top w:val="double" w:sz="4" w:space="0" w:color="76923C"/>
              <w:left w:val="double" w:sz="4" w:space="0" w:color="76923C"/>
              <w:bottom w:val="double" w:sz="4" w:space="0" w:color="76923C"/>
              <w:right w:val="double" w:sz="4" w:space="0" w:color="76923C"/>
            </w:tcBorders>
            <w:hideMark/>
          </w:tcPr>
          <w:p w14:paraId="68C0619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Llano de Ajo</w:t>
            </w:r>
          </w:p>
        </w:tc>
        <w:tc>
          <w:tcPr>
            <w:tcW w:w="1172" w:type="dxa"/>
            <w:tcBorders>
              <w:top w:val="double" w:sz="4" w:space="0" w:color="76923C"/>
              <w:left w:val="double" w:sz="4" w:space="0" w:color="76923C"/>
              <w:bottom w:val="double" w:sz="4" w:space="0" w:color="76923C"/>
              <w:right w:val="double" w:sz="4" w:space="0" w:color="76923C"/>
            </w:tcBorders>
            <w:hideMark/>
          </w:tcPr>
          <w:p w14:paraId="376E046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18</w:t>
            </w:r>
          </w:p>
        </w:tc>
        <w:tc>
          <w:tcPr>
            <w:tcW w:w="1172" w:type="dxa"/>
            <w:tcBorders>
              <w:top w:val="double" w:sz="4" w:space="0" w:color="76923C"/>
              <w:left w:val="double" w:sz="4" w:space="0" w:color="76923C"/>
              <w:bottom w:val="double" w:sz="4" w:space="0" w:color="76923C"/>
              <w:right w:val="double" w:sz="4" w:space="0" w:color="76923C"/>
            </w:tcBorders>
          </w:tcPr>
          <w:p w14:paraId="12AABB2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12</w:t>
            </w:r>
          </w:p>
        </w:tc>
      </w:tr>
      <w:tr w:rsidR="006F5238" w:rsidRPr="00791593" w14:paraId="256A4F97"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4E14E65C"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45</w:t>
            </w:r>
          </w:p>
        </w:tc>
        <w:tc>
          <w:tcPr>
            <w:tcW w:w="3499" w:type="dxa"/>
            <w:tcBorders>
              <w:top w:val="double" w:sz="4" w:space="0" w:color="76923C"/>
              <w:left w:val="double" w:sz="4" w:space="0" w:color="76923C"/>
              <w:bottom w:val="double" w:sz="4" w:space="0" w:color="76923C"/>
              <w:right w:val="double" w:sz="4" w:space="0" w:color="76923C"/>
            </w:tcBorders>
            <w:hideMark/>
          </w:tcPr>
          <w:p w14:paraId="12D6335D"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Guadalupe la Sabinera</w:t>
            </w:r>
          </w:p>
        </w:tc>
        <w:tc>
          <w:tcPr>
            <w:tcW w:w="1172" w:type="dxa"/>
            <w:tcBorders>
              <w:top w:val="double" w:sz="4" w:space="0" w:color="76923C"/>
              <w:left w:val="double" w:sz="4" w:space="0" w:color="76923C"/>
              <w:bottom w:val="double" w:sz="4" w:space="0" w:color="76923C"/>
              <w:right w:val="double" w:sz="4" w:space="0" w:color="76923C"/>
            </w:tcBorders>
            <w:hideMark/>
          </w:tcPr>
          <w:p w14:paraId="3E7D256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52</w:t>
            </w:r>
          </w:p>
        </w:tc>
        <w:tc>
          <w:tcPr>
            <w:tcW w:w="1172" w:type="dxa"/>
            <w:tcBorders>
              <w:top w:val="double" w:sz="4" w:space="0" w:color="76923C"/>
              <w:left w:val="double" w:sz="4" w:space="0" w:color="76923C"/>
              <w:bottom w:val="double" w:sz="4" w:space="0" w:color="76923C"/>
              <w:right w:val="double" w:sz="4" w:space="0" w:color="76923C"/>
            </w:tcBorders>
          </w:tcPr>
          <w:p w14:paraId="6210466B"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37</w:t>
            </w:r>
          </w:p>
        </w:tc>
      </w:tr>
      <w:tr w:rsidR="006F5238" w:rsidRPr="00791593" w14:paraId="44513DD5"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A7C09B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46</w:t>
            </w:r>
          </w:p>
        </w:tc>
        <w:tc>
          <w:tcPr>
            <w:tcW w:w="3499" w:type="dxa"/>
            <w:tcBorders>
              <w:top w:val="double" w:sz="4" w:space="0" w:color="76923C"/>
              <w:left w:val="double" w:sz="4" w:space="0" w:color="76923C"/>
              <w:bottom w:val="double" w:sz="4" w:space="0" w:color="76923C"/>
              <w:right w:val="double" w:sz="4" w:space="0" w:color="76923C"/>
            </w:tcBorders>
            <w:hideMark/>
          </w:tcPr>
          <w:p w14:paraId="038E156B"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Laguna Encantada</w:t>
            </w:r>
          </w:p>
        </w:tc>
        <w:tc>
          <w:tcPr>
            <w:tcW w:w="1172" w:type="dxa"/>
            <w:tcBorders>
              <w:top w:val="double" w:sz="4" w:space="0" w:color="76923C"/>
              <w:left w:val="double" w:sz="4" w:space="0" w:color="76923C"/>
              <w:bottom w:val="double" w:sz="4" w:space="0" w:color="76923C"/>
              <w:right w:val="double" w:sz="4" w:space="0" w:color="76923C"/>
            </w:tcBorders>
            <w:hideMark/>
          </w:tcPr>
          <w:p w14:paraId="7CD84C4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69</w:t>
            </w:r>
          </w:p>
        </w:tc>
        <w:tc>
          <w:tcPr>
            <w:tcW w:w="1172" w:type="dxa"/>
            <w:tcBorders>
              <w:top w:val="double" w:sz="4" w:space="0" w:color="76923C"/>
              <w:left w:val="double" w:sz="4" w:space="0" w:color="76923C"/>
              <w:bottom w:val="double" w:sz="4" w:space="0" w:color="76923C"/>
              <w:right w:val="double" w:sz="4" w:space="0" w:color="76923C"/>
            </w:tcBorders>
          </w:tcPr>
          <w:p w14:paraId="10F28E7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38</w:t>
            </w:r>
          </w:p>
        </w:tc>
      </w:tr>
      <w:tr w:rsidR="006F5238" w:rsidRPr="00791593" w14:paraId="6F1B39F1"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BBDE7D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lastRenderedPageBreak/>
              <w:t>47</w:t>
            </w:r>
          </w:p>
        </w:tc>
        <w:tc>
          <w:tcPr>
            <w:tcW w:w="3499" w:type="dxa"/>
            <w:tcBorders>
              <w:top w:val="double" w:sz="4" w:space="0" w:color="76923C"/>
              <w:left w:val="double" w:sz="4" w:space="0" w:color="76923C"/>
              <w:bottom w:val="double" w:sz="4" w:space="0" w:color="76923C"/>
              <w:right w:val="double" w:sz="4" w:space="0" w:color="76923C"/>
            </w:tcBorders>
            <w:hideMark/>
          </w:tcPr>
          <w:p w14:paraId="3F74570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El Calvario</w:t>
            </w:r>
          </w:p>
        </w:tc>
        <w:tc>
          <w:tcPr>
            <w:tcW w:w="1172" w:type="dxa"/>
            <w:tcBorders>
              <w:top w:val="double" w:sz="4" w:space="0" w:color="76923C"/>
              <w:left w:val="double" w:sz="4" w:space="0" w:color="76923C"/>
              <w:bottom w:val="double" w:sz="4" w:space="0" w:color="76923C"/>
              <w:right w:val="double" w:sz="4" w:space="0" w:color="76923C"/>
            </w:tcBorders>
            <w:hideMark/>
          </w:tcPr>
          <w:p w14:paraId="6D3AC63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224</w:t>
            </w:r>
          </w:p>
        </w:tc>
        <w:tc>
          <w:tcPr>
            <w:tcW w:w="1172" w:type="dxa"/>
            <w:tcBorders>
              <w:top w:val="double" w:sz="4" w:space="0" w:color="76923C"/>
              <w:left w:val="double" w:sz="4" w:space="0" w:color="76923C"/>
              <w:bottom w:val="double" w:sz="4" w:space="0" w:color="76923C"/>
              <w:right w:val="double" w:sz="4" w:space="0" w:color="76923C"/>
            </w:tcBorders>
          </w:tcPr>
          <w:p w14:paraId="02D2E15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132</w:t>
            </w:r>
          </w:p>
        </w:tc>
      </w:tr>
      <w:tr w:rsidR="006F5238" w:rsidRPr="00791593" w14:paraId="1C0CA549"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028AB80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48</w:t>
            </w:r>
          </w:p>
        </w:tc>
        <w:tc>
          <w:tcPr>
            <w:tcW w:w="3499" w:type="dxa"/>
            <w:tcBorders>
              <w:top w:val="double" w:sz="4" w:space="0" w:color="76923C"/>
              <w:left w:val="double" w:sz="4" w:space="0" w:color="76923C"/>
              <w:bottom w:val="double" w:sz="4" w:space="0" w:color="76923C"/>
              <w:right w:val="double" w:sz="4" w:space="0" w:color="76923C"/>
            </w:tcBorders>
            <w:hideMark/>
          </w:tcPr>
          <w:p w14:paraId="1EC1ED0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Barrio del Zopilote</w:t>
            </w:r>
          </w:p>
        </w:tc>
        <w:tc>
          <w:tcPr>
            <w:tcW w:w="1172" w:type="dxa"/>
            <w:tcBorders>
              <w:top w:val="double" w:sz="4" w:space="0" w:color="76923C"/>
              <w:left w:val="double" w:sz="4" w:space="0" w:color="76923C"/>
              <w:bottom w:val="double" w:sz="4" w:space="0" w:color="76923C"/>
              <w:right w:val="double" w:sz="4" w:space="0" w:color="76923C"/>
            </w:tcBorders>
            <w:hideMark/>
          </w:tcPr>
          <w:p w14:paraId="10AF309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96</w:t>
            </w:r>
          </w:p>
        </w:tc>
        <w:tc>
          <w:tcPr>
            <w:tcW w:w="1172" w:type="dxa"/>
            <w:tcBorders>
              <w:top w:val="double" w:sz="4" w:space="0" w:color="76923C"/>
              <w:left w:val="double" w:sz="4" w:space="0" w:color="76923C"/>
              <w:bottom w:val="double" w:sz="4" w:space="0" w:color="76923C"/>
              <w:right w:val="double" w:sz="4" w:space="0" w:color="76923C"/>
            </w:tcBorders>
          </w:tcPr>
          <w:p w14:paraId="2BE8C65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58</w:t>
            </w:r>
          </w:p>
        </w:tc>
      </w:tr>
      <w:tr w:rsidR="006F5238" w:rsidRPr="00791593" w14:paraId="593D5815"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C2D9A2B"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49</w:t>
            </w:r>
          </w:p>
        </w:tc>
        <w:tc>
          <w:tcPr>
            <w:tcW w:w="3499" w:type="dxa"/>
            <w:tcBorders>
              <w:top w:val="double" w:sz="4" w:space="0" w:color="76923C"/>
              <w:left w:val="double" w:sz="4" w:space="0" w:color="76923C"/>
              <w:bottom w:val="double" w:sz="4" w:space="0" w:color="76923C"/>
              <w:right w:val="double" w:sz="4" w:space="0" w:color="76923C"/>
            </w:tcBorders>
            <w:hideMark/>
          </w:tcPr>
          <w:p w14:paraId="6C80236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Arroyo Seco</w:t>
            </w:r>
          </w:p>
        </w:tc>
        <w:tc>
          <w:tcPr>
            <w:tcW w:w="1172" w:type="dxa"/>
            <w:tcBorders>
              <w:top w:val="double" w:sz="4" w:space="0" w:color="76923C"/>
              <w:left w:val="double" w:sz="4" w:space="0" w:color="76923C"/>
              <w:bottom w:val="double" w:sz="4" w:space="0" w:color="76923C"/>
              <w:right w:val="double" w:sz="4" w:space="0" w:color="76923C"/>
            </w:tcBorders>
            <w:hideMark/>
          </w:tcPr>
          <w:p w14:paraId="0ADA568C"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18</w:t>
            </w:r>
          </w:p>
        </w:tc>
        <w:tc>
          <w:tcPr>
            <w:tcW w:w="1172" w:type="dxa"/>
            <w:tcBorders>
              <w:top w:val="double" w:sz="4" w:space="0" w:color="76923C"/>
              <w:left w:val="double" w:sz="4" w:space="0" w:color="76923C"/>
              <w:bottom w:val="double" w:sz="4" w:space="0" w:color="76923C"/>
              <w:right w:val="double" w:sz="4" w:space="0" w:color="76923C"/>
            </w:tcBorders>
          </w:tcPr>
          <w:p w14:paraId="7536FAB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9</w:t>
            </w:r>
          </w:p>
        </w:tc>
      </w:tr>
      <w:tr w:rsidR="006F5238" w:rsidRPr="00791593" w14:paraId="6BB5C909"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169058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50</w:t>
            </w:r>
          </w:p>
        </w:tc>
        <w:tc>
          <w:tcPr>
            <w:tcW w:w="3499" w:type="dxa"/>
            <w:tcBorders>
              <w:top w:val="double" w:sz="4" w:space="0" w:color="76923C"/>
              <w:left w:val="double" w:sz="4" w:space="0" w:color="76923C"/>
              <w:bottom w:val="double" w:sz="4" w:space="0" w:color="76923C"/>
              <w:right w:val="double" w:sz="4" w:space="0" w:color="76923C"/>
            </w:tcBorders>
            <w:hideMark/>
          </w:tcPr>
          <w:p w14:paraId="5506EFF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Rancho los Luengas</w:t>
            </w:r>
          </w:p>
        </w:tc>
        <w:tc>
          <w:tcPr>
            <w:tcW w:w="1172" w:type="dxa"/>
            <w:tcBorders>
              <w:top w:val="double" w:sz="4" w:space="0" w:color="76923C"/>
              <w:left w:val="double" w:sz="4" w:space="0" w:color="76923C"/>
              <w:bottom w:val="double" w:sz="4" w:space="0" w:color="76923C"/>
              <w:right w:val="double" w:sz="4" w:space="0" w:color="76923C"/>
            </w:tcBorders>
            <w:hideMark/>
          </w:tcPr>
          <w:p w14:paraId="0630358B"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50</w:t>
            </w:r>
          </w:p>
        </w:tc>
        <w:tc>
          <w:tcPr>
            <w:tcW w:w="1172" w:type="dxa"/>
            <w:tcBorders>
              <w:top w:val="double" w:sz="4" w:space="0" w:color="76923C"/>
              <w:left w:val="double" w:sz="4" w:space="0" w:color="76923C"/>
              <w:bottom w:val="double" w:sz="4" w:space="0" w:color="76923C"/>
              <w:right w:val="double" w:sz="4" w:space="0" w:color="76923C"/>
            </w:tcBorders>
          </w:tcPr>
          <w:p w14:paraId="0282B71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27</w:t>
            </w:r>
          </w:p>
        </w:tc>
      </w:tr>
      <w:tr w:rsidR="006F5238" w:rsidRPr="00791593" w14:paraId="12B1121A"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7EE518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51</w:t>
            </w:r>
          </w:p>
        </w:tc>
        <w:tc>
          <w:tcPr>
            <w:tcW w:w="3499" w:type="dxa"/>
            <w:tcBorders>
              <w:top w:val="double" w:sz="4" w:space="0" w:color="76923C"/>
              <w:left w:val="double" w:sz="4" w:space="0" w:color="76923C"/>
              <w:bottom w:val="double" w:sz="4" w:space="0" w:color="76923C"/>
              <w:right w:val="double" w:sz="4" w:space="0" w:color="76923C"/>
            </w:tcBorders>
            <w:hideMark/>
          </w:tcPr>
          <w:p w14:paraId="4CB9E71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San José Duraznos</w:t>
            </w:r>
          </w:p>
        </w:tc>
        <w:tc>
          <w:tcPr>
            <w:tcW w:w="1172" w:type="dxa"/>
            <w:tcBorders>
              <w:top w:val="double" w:sz="4" w:space="0" w:color="76923C"/>
              <w:left w:val="double" w:sz="4" w:space="0" w:color="76923C"/>
              <w:bottom w:val="double" w:sz="4" w:space="0" w:color="76923C"/>
              <w:right w:val="double" w:sz="4" w:space="0" w:color="76923C"/>
            </w:tcBorders>
            <w:hideMark/>
          </w:tcPr>
          <w:p w14:paraId="12E2D7F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97</w:t>
            </w:r>
          </w:p>
        </w:tc>
        <w:tc>
          <w:tcPr>
            <w:tcW w:w="1172" w:type="dxa"/>
            <w:tcBorders>
              <w:top w:val="double" w:sz="4" w:space="0" w:color="76923C"/>
              <w:left w:val="double" w:sz="4" w:space="0" w:color="76923C"/>
              <w:bottom w:val="double" w:sz="4" w:space="0" w:color="76923C"/>
              <w:right w:val="double" w:sz="4" w:space="0" w:color="76923C"/>
            </w:tcBorders>
          </w:tcPr>
          <w:p w14:paraId="2383CF36"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63</w:t>
            </w:r>
          </w:p>
        </w:tc>
      </w:tr>
      <w:tr w:rsidR="006F5238" w:rsidRPr="00791593" w14:paraId="74C89964"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2E102DDD"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52</w:t>
            </w:r>
          </w:p>
        </w:tc>
        <w:tc>
          <w:tcPr>
            <w:tcW w:w="3499" w:type="dxa"/>
            <w:tcBorders>
              <w:top w:val="double" w:sz="4" w:space="0" w:color="76923C"/>
              <w:left w:val="double" w:sz="4" w:space="0" w:color="76923C"/>
              <w:bottom w:val="double" w:sz="4" w:space="0" w:color="76923C"/>
              <w:right w:val="double" w:sz="4" w:space="0" w:color="76923C"/>
            </w:tcBorders>
            <w:hideMark/>
          </w:tcPr>
          <w:p w14:paraId="3DBC3686"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El Carrizal (Rancho el Carrizal)</w:t>
            </w:r>
          </w:p>
        </w:tc>
        <w:tc>
          <w:tcPr>
            <w:tcW w:w="1172" w:type="dxa"/>
            <w:tcBorders>
              <w:top w:val="double" w:sz="4" w:space="0" w:color="76923C"/>
              <w:left w:val="double" w:sz="4" w:space="0" w:color="76923C"/>
              <w:bottom w:val="double" w:sz="4" w:space="0" w:color="76923C"/>
              <w:right w:val="double" w:sz="4" w:space="0" w:color="76923C"/>
            </w:tcBorders>
            <w:hideMark/>
          </w:tcPr>
          <w:p w14:paraId="7884983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w:t>
            </w:r>
          </w:p>
        </w:tc>
        <w:tc>
          <w:tcPr>
            <w:tcW w:w="1172" w:type="dxa"/>
            <w:tcBorders>
              <w:top w:val="double" w:sz="4" w:space="0" w:color="76923C"/>
              <w:left w:val="double" w:sz="4" w:space="0" w:color="76923C"/>
              <w:bottom w:val="double" w:sz="4" w:space="0" w:color="76923C"/>
              <w:right w:val="double" w:sz="4" w:space="0" w:color="76923C"/>
            </w:tcBorders>
          </w:tcPr>
          <w:p w14:paraId="11D007D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w:t>
            </w:r>
          </w:p>
        </w:tc>
      </w:tr>
      <w:tr w:rsidR="006F5238" w:rsidRPr="00791593" w14:paraId="089F458B"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4EB1819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53</w:t>
            </w:r>
          </w:p>
        </w:tc>
        <w:tc>
          <w:tcPr>
            <w:tcW w:w="3499" w:type="dxa"/>
            <w:tcBorders>
              <w:top w:val="double" w:sz="4" w:space="0" w:color="76923C"/>
              <w:left w:val="double" w:sz="4" w:space="0" w:color="76923C"/>
              <w:bottom w:val="double" w:sz="4" w:space="0" w:color="76923C"/>
              <w:right w:val="double" w:sz="4" w:space="0" w:color="76923C"/>
            </w:tcBorders>
            <w:hideMark/>
          </w:tcPr>
          <w:p w14:paraId="0AC49BC7"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Ciénega Grande</w:t>
            </w:r>
          </w:p>
        </w:tc>
        <w:tc>
          <w:tcPr>
            <w:tcW w:w="1172" w:type="dxa"/>
            <w:tcBorders>
              <w:top w:val="double" w:sz="4" w:space="0" w:color="76923C"/>
              <w:left w:val="double" w:sz="4" w:space="0" w:color="76923C"/>
              <w:bottom w:val="double" w:sz="4" w:space="0" w:color="76923C"/>
              <w:right w:val="double" w:sz="4" w:space="0" w:color="76923C"/>
            </w:tcBorders>
            <w:hideMark/>
          </w:tcPr>
          <w:p w14:paraId="3398DDB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14</w:t>
            </w:r>
          </w:p>
        </w:tc>
        <w:tc>
          <w:tcPr>
            <w:tcW w:w="1172" w:type="dxa"/>
            <w:tcBorders>
              <w:top w:val="double" w:sz="4" w:space="0" w:color="76923C"/>
              <w:left w:val="double" w:sz="4" w:space="0" w:color="76923C"/>
              <w:bottom w:val="double" w:sz="4" w:space="0" w:color="76923C"/>
              <w:right w:val="double" w:sz="4" w:space="0" w:color="76923C"/>
            </w:tcBorders>
          </w:tcPr>
          <w:p w14:paraId="0A7D6BD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w:t>
            </w:r>
          </w:p>
        </w:tc>
      </w:tr>
      <w:tr w:rsidR="006F5238" w:rsidRPr="00791593" w14:paraId="12EBCE6B"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13B939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54</w:t>
            </w:r>
          </w:p>
        </w:tc>
        <w:tc>
          <w:tcPr>
            <w:tcW w:w="3499" w:type="dxa"/>
            <w:tcBorders>
              <w:top w:val="double" w:sz="4" w:space="0" w:color="76923C"/>
              <w:left w:val="double" w:sz="4" w:space="0" w:color="76923C"/>
              <w:bottom w:val="double" w:sz="4" w:space="0" w:color="76923C"/>
              <w:right w:val="double" w:sz="4" w:space="0" w:color="76923C"/>
            </w:tcBorders>
            <w:hideMark/>
          </w:tcPr>
          <w:p w14:paraId="4599637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Barranca del Venado</w:t>
            </w:r>
          </w:p>
        </w:tc>
        <w:tc>
          <w:tcPr>
            <w:tcW w:w="1172" w:type="dxa"/>
            <w:tcBorders>
              <w:top w:val="double" w:sz="4" w:space="0" w:color="76923C"/>
              <w:left w:val="double" w:sz="4" w:space="0" w:color="76923C"/>
              <w:bottom w:val="double" w:sz="4" w:space="0" w:color="76923C"/>
              <w:right w:val="double" w:sz="4" w:space="0" w:color="76923C"/>
            </w:tcBorders>
            <w:hideMark/>
          </w:tcPr>
          <w:p w14:paraId="2888B54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0</w:t>
            </w:r>
          </w:p>
        </w:tc>
        <w:tc>
          <w:tcPr>
            <w:tcW w:w="1172" w:type="dxa"/>
            <w:tcBorders>
              <w:top w:val="double" w:sz="4" w:space="0" w:color="76923C"/>
              <w:left w:val="double" w:sz="4" w:space="0" w:color="76923C"/>
              <w:bottom w:val="double" w:sz="4" w:space="0" w:color="76923C"/>
              <w:right w:val="double" w:sz="4" w:space="0" w:color="76923C"/>
            </w:tcBorders>
          </w:tcPr>
          <w:p w14:paraId="1F9E31D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w:t>
            </w:r>
          </w:p>
        </w:tc>
      </w:tr>
      <w:tr w:rsidR="006F5238" w:rsidRPr="00791593" w14:paraId="21F3C5EC"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7B5A9E4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55</w:t>
            </w:r>
          </w:p>
        </w:tc>
        <w:tc>
          <w:tcPr>
            <w:tcW w:w="3499" w:type="dxa"/>
            <w:tcBorders>
              <w:top w:val="double" w:sz="4" w:space="0" w:color="76923C"/>
              <w:left w:val="double" w:sz="4" w:space="0" w:color="76923C"/>
              <w:bottom w:val="double" w:sz="4" w:space="0" w:color="76923C"/>
              <w:right w:val="double" w:sz="4" w:space="0" w:color="76923C"/>
            </w:tcBorders>
            <w:hideMark/>
          </w:tcPr>
          <w:p w14:paraId="5E763D7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El Capulín</w:t>
            </w:r>
          </w:p>
        </w:tc>
        <w:tc>
          <w:tcPr>
            <w:tcW w:w="1172" w:type="dxa"/>
            <w:tcBorders>
              <w:top w:val="double" w:sz="4" w:space="0" w:color="76923C"/>
              <w:left w:val="double" w:sz="4" w:space="0" w:color="76923C"/>
              <w:bottom w:val="double" w:sz="4" w:space="0" w:color="76923C"/>
              <w:right w:val="double" w:sz="4" w:space="0" w:color="76923C"/>
            </w:tcBorders>
            <w:hideMark/>
          </w:tcPr>
          <w:p w14:paraId="791FEE7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6</w:t>
            </w:r>
          </w:p>
        </w:tc>
        <w:tc>
          <w:tcPr>
            <w:tcW w:w="1172" w:type="dxa"/>
            <w:tcBorders>
              <w:top w:val="double" w:sz="4" w:space="0" w:color="76923C"/>
              <w:left w:val="double" w:sz="4" w:space="0" w:color="76923C"/>
              <w:bottom w:val="double" w:sz="4" w:space="0" w:color="76923C"/>
              <w:right w:val="double" w:sz="4" w:space="0" w:color="76923C"/>
            </w:tcBorders>
          </w:tcPr>
          <w:p w14:paraId="590B4F7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w:t>
            </w:r>
          </w:p>
        </w:tc>
      </w:tr>
      <w:tr w:rsidR="006F5238" w:rsidRPr="00791593" w14:paraId="1E634EA6"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FFCABB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56</w:t>
            </w:r>
          </w:p>
        </w:tc>
        <w:tc>
          <w:tcPr>
            <w:tcW w:w="3499" w:type="dxa"/>
            <w:tcBorders>
              <w:top w:val="double" w:sz="4" w:space="0" w:color="76923C"/>
              <w:left w:val="double" w:sz="4" w:space="0" w:color="76923C"/>
              <w:bottom w:val="double" w:sz="4" w:space="0" w:color="76923C"/>
              <w:right w:val="double" w:sz="4" w:space="0" w:color="76923C"/>
            </w:tcBorders>
            <w:hideMark/>
          </w:tcPr>
          <w:p w14:paraId="3B54D2DE"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Barranca Torcida</w:t>
            </w:r>
          </w:p>
        </w:tc>
        <w:tc>
          <w:tcPr>
            <w:tcW w:w="1172" w:type="dxa"/>
            <w:tcBorders>
              <w:top w:val="double" w:sz="4" w:space="0" w:color="76923C"/>
              <w:left w:val="double" w:sz="4" w:space="0" w:color="76923C"/>
              <w:bottom w:val="double" w:sz="4" w:space="0" w:color="76923C"/>
              <w:right w:val="double" w:sz="4" w:space="0" w:color="76923C"/>
            </w:tcBorders>
            <w:hideMark/>
          </w:tcPr>
          <w:p w14:paraId="402A4F63"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13</w:t>
            </w:r>
          </w:p>
        </w:tc>
        <w:tc>
          <w:tcPr>
            <w:tcW w:w="1172" w:type="dxa"/>
            <w:tcBorders>
              <w:top w:val="double" w:sz="4" w:space="0" w:color="76923C"/>
              <w:left w:val="double" w:sz="4" w:space="0" w:color="76923C"/>
              <w:bottom w:val="double" w:sz="4" w:space="0" w:color="76923C"/>
              <w:right w:val="double" w:sz="4" w:space="0" w:color="76923C"/>
            </w:tcBorders>
          </w:tcPr>
          <w:p w14:paraId="3234606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w:t>
            </w:r>
          </w:p>
        </w:tc>
      </w:tr>
      <w:tr w:rsidR="006F5238" w:rsidRPr="00791593" w14:paraId="3DA8E95E"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62CCFA1D"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57</w:t>
            </w:r>
          </w:p>
        </w:tc>
        <w:tc>
          <w:tcPr>
            <w:tcW w:w="3499" w:type="dxa"/>
            <w:tcBorders>
              <w:top w:val="double" w:sz="4" w:space="0" w:color="76923C"/>
              <w:left w:val="double" w:sz="4" w:space="0" w:color="76923C"/>
              <w:bottom w:val="double" w:sz="4" w:space="0" w:color="76923C"/>
              <w:right w:val="double" w:sz="4" w:space="0" w:color="76923C"/>
            </w:tcBorders>
            <w:hideMark/>
          </w:tcPr>
          <w:p w14:paraId="6CA41322"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Rancho los Pinos</w:t>
            </w:r>
          </w:p>
        </w:tc>
        <w:tc>
          <w:tcPr>
            <w:tcW w:w="1172" w:type="dxa"/>
            <w:tcBorders>
              <w:top w:val="double" w:sz="4" w:space="0" w:color="76923C"/>
              <w:left w:val="double" w:sz="4" w:space="0" w:color="76923C"/>
              <w:bottom w:val="double" w:sz="4" w:space="0" w:color="76923C"/>
              <w:right w:val="double" w:sz="4" w:space="0" w:color="76923C"/>
            </w:tcBorders>
            <w:hideMark/>
          </w:tcPr>
          <w:p w14:paraId="6D7EEF1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0</w:t>
            </w:r>
          </w:p>
        </w:tc>
        <w:tc>
          <w:tcPr>
            <w:tcW w:w="1172" w:type="dxa"/>
            <w:tcBorders>
              <w:top w:val="double" w:sz="4" w:space="0" w:color="76923C"/>
              <w:left w:val="double" w:sz="4" w:space="0" w:color="76923C"/>
              <w:bottom w:val="double" w:sz="4" w:space="0" w:color="76923C"/>
              <w:right w:val="double" w:sz="4" w:space="0" w:color="76923C"/>
            </w:tcBorders>
          </w:tcPr>
          <w:p w14:paraId="39A658C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w:t>
            </w:r>
          </w:p>
        </w:tc>
      </w:tr>
      <w:tr w:rsidR="006F5238" w:rsidRPr="00791593" w14:paraId="4D3A5E08"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140D8688"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58</w:t>
            </w:r>
          </w:p>
        </w:tc>
        <w:tc>
          <w:tcPr>
            <w:tcW w:w="3499" w:type="dxa"/>
            <w:tcBorders>
              <w:top w:val="double" w:sz="4" w:space="0" w:color="76923C"/>
              <w:left w:val="double" w:sz="4" w:space="0" w:color="76923C"/>
              <w:bottom w:val="double" w:sz="4" w:space="0" w:color="76923C"/>
              <w:right w:val="double" w:sz="4" w:space="0" w:color="76923C"/>
            </w:tcBorders>
            <w:hideMark/>
          </w:tcPr>
          <w:p w14:paraId="65EEB88A"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Laguna Miniyagua</w:t>
            </w:r>
          </w:p>
        </w:tc>
        <w:tc>
          <w:tcPr>
            <w:tcW w:w="1172" w:type="dxa"/>
            <w:tcBorders>
              <w:top w:val="double" w:sz="4" w:space="0" w:color="76923C"/>
              <w:left w:val="double" w:sz="4" w:space="0" w:color="76923C"/>
              <w:bottom w:val="double" w:sz="4" w:space="0" w:color="76923C"/>
              <w:right w:val="double" w:sz="4" w:space="0" w:color="76923C"/>
            </w:tcBorders>
            <w:hideMark/>
          </w:tcPr>
          <w:p w14:paraId="122A7BA0"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0</w:t>
            </w:r>
          </w:p>
        </w:tc>
        <w:tc>
          <w:tcPr>
            <w:tcW w:w="1172" w:type="dxa"/>
            <w:tcBorders>
              <w:top w:val="double" w:sz="4" w:space="0" w:color="76923C"/>
              <w:left w:val="double" w:sz="4" w:space="0" w:color="76923C"/>
              <w:bottom w:val="double" w:sz="4" w:space="0" w:color="76923C"/>
              <w:right w:val="double" w:sz="4" w:space="0" w:color="76923C"/>
            </w:tcBorders>
          </w:tcPr>
          <w:p w14:paraId="02D5556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w:t>
            </w:r>
          </w:p>
        </w:tc>
      </w:tr>
      <w:tr w:rsidR="006F5238" w:rsidRPr="00791593" w14:paraId="6EA452B4"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53363E4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59</w:t>
            </w:r>
          </w:p>
        </w:tc>
        <w:tc>
          <w:tcPr>
            <w:tcW w:w="3499" w:type="dxa"/>
            <w:tcBorders>
              <w:top w:val="double" w:sz="4" w:space="0" w:color="76923C"/>
              <w:left w:val="double" w:sz="4" w:space="0" w:color="76923C"/>
              <w:bottom w:val="double" w:sz="4" w:space="0" w:color="76923C"/>
              <w:right w:val="double" w:sz="4" w:space="0" w:color="76923C"/>
            </w:tcBorders>
            <w:hideMark/>
          </w:tcPr>
          <w:p w14:paraId="63005E25"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El Organal</w:t>
            </w:r>
          </w:p>
        </w:tc>
        <w:tc>
          <w:tcPr>
            <w:tcW w:w="1172" w:type="dxa"/>
            <w:tcBorders>
              <w:top w:val="double" w:sz="4" w:space="0" w:color="76923C"/>
              <w:left w:val="double" w:sz="4" w:space="0" w:color="76923C"/>
              <w:bottom w:val="double" w:sz="4" w:space="0" w:color="76923C"/>
              <w:right w:val="double" w:sz="4" w:space="0" w:color="76923C"/>
            </w:tcBorders>
            <w:hideMark/>
          </w:tcPr>
          <w:p w14:paraId="2028934D"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0</w:t>
            </w:r>
          </w:p>
        </w:tc>
        <w:tc>
          <w:tcPr>
            <w:tcW w:w="1172" w:type="dxa"/>
            <w:tcBorders>
              <w:top w:val="double" w:sz="4" w:space="0" w:color="76923C"/>
              <w:left w:val="double" w:sz="4" w:space="0" w:color="76923C"/>
              <w:bottom w:val="double" w:sz="4" w:space="0" w:color="76923C"/>
              <w:right w:val="double" w:sz="4" w:space="0" w:color="76923C"/>
            </w:tcBorders>
          </w:tcPr>
          <w:p w14:paraId="4FA7ACFD"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w:t>
            </w:r>
          </w:p>
        </w:tc>
      </w:tr>
      <w:tr w:rsidR="006F5238" w:rsidRPr="00791593" w14:paraId="0F18694A"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vAlign w:val="center"/>
          </w:tcPr>
          <w:p w14:paraId="3105B9B4"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60</w:t>
            </w:r>
          </w:p>
        </w:tc>
        <w:tc>
          <w:tcPr>
            <w:tcW w:w="3499" w:type="dxa"/>
            <w:tcBorders>
              <w:top w:val="double" w:sz="4" w:space="0" w:color="76923C"/>
              <w:left w:val="double" w:sz="4" w:space="0" w:color="76923C"/>
              <w:bottom w:val="double" w:sz="4" w:space="0" w:color="76923C"/>
              <w:right w:val="double" w:sz="4" w:space="0" w:color="76923C"/>
            </w:tcBorders>
            <w:hideMark/>
          </w:tcPr>
          <w:p w14:paraId="43B20109"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Rancho del Carmen</w:t>
            </w:r>
          </w:p>
        </w:tc>
        <w:tc>
          <w:tcPr>
            <w:tcW w:w="1172" w:type="dxa"/>
            <w:tcBorders>
              <w:top w:val="double" w:sz="4" w:space="0" w:color="76923C"/>
              <w:left w:val="double" w:sz="4" w:space="0" w:color="76923C"/>
              <w:bottom w:val="double" w:sz="4" w:space="0" w:color="76923C"/>
              <w:right w:val="double" w:sz="4" w:space="0" w:color="76923C"/>
            </w:tcBorders>
            <w:hideMark/>
          </w:tcPr>
          <w:p w14:paraId="1EDE9D86"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0</w:t>
            </w:r>
          </w:p>
        </w:tc>
        <w:tc>
          <w:tcPr>
            <w:tcW w:w="1172" w:type="dxa"/>
            <w:tcBorders>
              <w:top w:val="double" w:sz="4" w:space="0" w:color="76923C"/>
              <w:left w:val="double" w:sz="4" w:space="0" w:color="76923C"/>
              <w:bottom w:val="double" w:sz="4" w:space="0" w:color="76923C"/>
              <w:right w:val="double" w:sz="4" w:space="0" w:color="76923C"/>
            </w:tcBorders>
          </w:tcPr>
          <w:p w14:paraId="5D4DDCB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w:t>
            </w:r>
          </w:p>
        </w:tc>
      </w:tr>
      <w:tr w:rsidR="006F5238" w:rsidRPr="00791593" w14:paraId="16A08CF1" w14:textId="77777777" w:rsidTr="006F5238">
        <w:trPr>
          <w:trHeight w:val="265"/>
          <w:jc w:val="center"/>
        </w:trPr>
        <w:tc>
          <w:tcPr>
            <w:tcW w:w="467" w:type="dxa"/>
            <w:tcBorders>
              <w:top w:val="double" w:sz="4" w:space="0" w:color="76923C"/>
              <w:left w:val="double" w:sz="4" w:space="0" w:color="76923C"/>
              <w:bottom w:val="double" w:sz="4" w:space="0" w:color="76923C"/>
              <w:right w:val="double" w:sz="4" w:space="0" w:color="76923C"/>
            </w:tcBorders>
          </w:tcPr>
          <w:p w14:paraId="368C0071" w14:textId="77777777" w:rsidR="006F5238" w:rsidRPr="00791593" w:rsidRDefault="006F5238" w:rsidP="006F5238">
            <w:pPr>
              <w:spacing w:after="0" w:line="240" w:lineRule="auto"/>
              <w:jc w:val="center"/>
              <w:rPr>
                <w:rFonts w:ascii="Arial" w:eastAsia="Times New Roman" w:hAnsi="Arial" w:cs="Arial"/>
                <w:sz w:val="20"/>
                <w:szCs w:val="20"/>
                <w:lang w:eastAsia="es-MX"/>
              </w:rPr>
            </w:pPr>
          </w:p>
        </w:tc>
        <w:tc>
          <w:tcPr>
            <w:tcW w:w="3499" w:type="dxa"/>
            <w:tcBorders>
              <w:top w:val="double" w:sz="4" w:space="0" w:color="76923C"/>
              <w:left w:val="double" w:sz="4" w:space="0" w:color="76923C"/>
              <w:bottom w:val="double" w:sz="4" w:space="0" w:color="76923C"/>
              <w:right w:val="double" w:sz="4" w:space="0" w:color="76923C"/>
            </w:tcBorders>
            <w:hideMark/>
          </w:tcPr>
          <w:p w14:paraId="33F9D09C"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Total</w:t>
            </w:r>
          </w:p>
        </w:tc>
        <w:tc>
          <w:tcPr>
            <w:tcW w:w="1172" w:type="dxa"/>
            <w:tcBorders>
              <w:top w:val="double" w:sz="4" w:space="0" w:color="76923C"/>
              <w:left w:val="double" w:sz="4" w:space="0" w:color="76923C"/>
              <w:bottom w:val="double" w:sz="4" w:space="0" w:color="76923C"/>
              <w:right w:val="double" w:sz="4" w:space="0" w:color="76923C"/>
            </w:tcBorders>
            <w:hideMark/>
          </w:tcPr>
          <w:p w14:paraId="11C4B72F"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8,246</w:t>
            </w:r>
          </w:p>
        </w:tc>
        <w:tc>
          <w:tcPr>
            <w:tcW w:w="1172" w:type="dxa"/>
            <w:tcBorders>
              <w:top w:val="double" w:sz="4" w:space="0" w:color="76923C"/>
              <w:left w:val="double" w:sz="4" w:space="0" w:color="76923C"/>
              <w:bottom w:val="double" w:sz="4" w:space="0" w:color="76923C"/>
              <w:right w:val="double" w:sz="4" w:space="0" w:color="76923C"/>
            </w:tcBorders>
          </w:tcPr>
          <w:p w14:paraId="42B436A1" w14:textId="77777777" w:rsidR="006F5238" w:rsidRPr="00791593" w:rsidRDefault="006F5238" w:rsidP="006F5238">
            <w:pPr>
              <w:spacing w:after="0" w:line="240" w:lineRule="auto"/>
              <w:jc w:val="center"/>
              <w:rPr>
                <w:rFonts w:ascii="Arial" w:eastAsia="Times New Roman" w:hAnsi="Arial" w:cs="Arial"/>
                <w:sz w:val="20"/>
                <w:szCs w:val="20"/>
                <w:lang w:eastAsia="es-MX"/>
              </w:rPr>
            </w:pPr>
            <w:r w:rsidRPr="00791593">
              <w:rPr>
                <w:rFonts w:ascii="Arial" w:eastAsia="Times New Roman" w:hAnsi="Arial" w:cs="Arial"/>
                <w:sz w:val="20"/>
                <w:szCs w:val="20"/>
                <w:lang w:eastAsia="es-MX"/>
              </w:rPr>
              <w:t>4,980</w:t>
            </w:r>
          </w:p>
        </w:tc>
      </w:tr>
    </w:tbl>
    <w:p w14:paraId="284BB3D9"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e. Caminos y carreteras</w:t>
      </w:r>
    </w:p>
    <w:p w14:paraId="7B3F4B7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 municipio cuenta con una carretera federal pavimentada número ciento quince que parte de Huajuapan de León, la cual comunica al norte con Ixpantepec Nieves, Silacayoapan, San Agustín Atenango; al sur pasa por Santiago Juxtlahuaca hasta entroncar en el Carrizal Cópala, con la carretera federal ciento veinticinco que viene de la desviación de Yucudaa, pasando por Tlaxiaco, para continuar hacia Putla de Guerrero hasta Pinotepa Nacional.</w:t>
      </w:r>
    </w:p>
    <w:p w14:paraId="463E366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La cabecera municipal del municipio de </w:t>
      </w:r>
      <w:r w:rsidRPr="00791593">
        <w:rPr>
          <w:rFonts w:ascii="Arial" w:eastAsia="Calibri" w:hAnsi="Arial" w:cs="Arial"/>
          <w:b/>
          <w:sz w:val="24"/>
          <w:szCs w:val="24"/>
        </w:rPr>
        <w:t xml:space="preserve">San Sebastián Tecomaxtlahuaca </w:t>
      </w:r>
      <w:r w:rsidRPr="00791593">
        <w:rPr>
          <w:rFonts w:ascii="Arial" w:eastAsia="Calibri" w:hAnsi="Arial" w:cs="Arial"/>
          <w:sz w:val="24"/>
          <w:szCs w:val="24"/>
        </w:rPr>
        <w:t>se comunica con una carretera pavimentada de cuatro carriles de dos kilómetros, que parte del entronque de la carretera federal número ciento quince, que sale de Huajuapan de León a Juxtlahuaca.</w:t>
      </w:r>
    </w:p>
    <w:p w14:paraId="5BBA9730"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f. Características para ocupar cargos</w:t>
      </w:r>
    </w:p>
    <w:p w14:paraId="2046F0F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Para el desempeño de los principales cargos en el municipio, se toma en cuenta que los ciudadanos sean honestos, respetuosos, y que no cuenten con antecedentes penales.</w:t>
      </w:r>
    </w:p>
    <w:p w14:paraId="5C9810F8"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La edad para iniciar los servicios es de dieciocho años, y para finalizarlos es de setenta.</w:t>
      </w:r>
    </w:p>
    <w:p w14:paraId="50CFEBF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Entre el primer y último cargo pasan aproximadamente veinte años, y se tiene que prestar como mínimo seis años de servicio comunitario.</w:t>
      </w:r>
    </w:p>
    <w:p w14:paraId="539CFFF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Los Principales y ciudadanos conforman el órgano de consulta para la designación de los cargos más importantes.</w:t>
      </w:r>
    </w:p>
    <w:p w14:paraId="49152D6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Todos los hombres mayores de dieciocho años tienen la obligación de prestar servicios. Las mujeres tienen la obligación de prestar servicios y pueden desempeñar los cargos comunitarios ó municipales.</w:t>
      </w:r>
    </w:p>
    <w:p w14:paraId="4C7CA85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Las personas que no nacieron en la comunidad, pero que viven ahí están obligadas a prestar servicios y pueden ocupar cargos municipales. Aquellas personas que no se le dan cargos, son las que tienen una incapacidad mental, antecedentes penales y que no hayan dado servicios.</w:t>
      </w:r>
    </w:p>
    <w:p w14:paraId="65538B4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Las personas que radican fuera de la población cooperan con la comunidad, pero no pueden desempeñar cargos. Las personas mayores que ya cumplieron con todos los servicios se les llama Principales y su función fundamental es la de opinar y dar ideas.</w:t>
      </w:r>
    </w:p>
    <w:p w14:paraId="5112923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 cargo considerado de mayor responsabilidad y respeto es el de Presidente Municipal.</w:t>
      </w:r>
    </w:p>
    <w:p w14:paraId="5080DC2A"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g. Elección de autoridades municipales</w:t>
      </w:r>
    </w:p>
    <w:p w14:paraId="7A8B255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Actos preparatorios</w:t>
      </w:r>
    </w:p>
    <w:p w14:paraId="4723DAD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En </w:t>
      </w:r>
      <w:r w:rsidRPr="00791593">
        <w:rPr>
          <w:rFonts w:ascii="Arial" w:eastAsia="Calibri" w:hAnsi="Arial" w:cs="Arial"/>
          <w:b/>
          <w:sz w:val="24"/>
          <w:szCs w:val="24"/>
        </w:rPr>
        <w:t>San Sebastián Tecomaxtlahuaca</w:t>
      </w:r>
      <w:r w:rsidRPr="00791593">
        <w:rPr>
          <w:rFonts w:ascii="Arial" w:eastAsia="Calibri" w:hAnsi="Arial" w:cs="Arial"/>
          <w:sz w:val="24"/>
          <w:szCs w:val="24"/>
        </w:rPr>
        <w:t xml:space="preserve"> se nombra a sus Autoridades Municipales a través de la Asamblea General Comunitaria, quien también es quien determina la fecha de la elección.</w:t>
      </w:r>
    </w:p>
    <w:p w14:paraId="458F1CF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Las autoridades municipales son los encargados de convocar a la Asamblea de nombramiento, y lo harán a través de oficios que se mandaran a los Agentes, quienes por medio de aparato de sonido avisan, al igual que en la Cabecera.</w:t>
      </w:r>
    </w:p>
    <w:p w14:paraId="1E57AFD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Acostumbran a convocar por medio de altavoz e invitaciones que se llevara a cabo la Asamblea de nombramiento de la Autoridad Municipal. No avisan a las personas originarias del lugar que radican fuera de la comunidad.</w:t>
      </w:r>
    </w:p>
    <w:p w14:paraId="250178B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la celebración de Asamblea de elección acostumbran invitar a un representante del Instituto Electoral local para observar, así como para anunciar el inicio de la Asamblea utilizan el altavoz.</w:t>
      </w:r>
    </w:p>
    <w:p w14:paraId="4481B5E3"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Instalación de la Asamblea</w:t>
      </w:r>
    </w:p>
    <w:p w14:paraId="3F2BAD6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Se acostumbra celebrar la Asamblea de elección de las autoridades municipales en el mes de septiembre de cada tres años, en el Portal Municipal.</w:t>
      </w:r>
    </w:p>
    <w:p w14:paraId="09A7ACB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Se realiza una Asamblea la cual es iniciada por el Presidente Municipal y presidida por la mesa de los debates, la cual se integra por ternas, de Presidente, un Secretario y ocho escrutadores.</w:t>
      </w:r>
    </w:p>
    <w:p w14:paraId="0098FA9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Las funciones de la mesa de los debates es:</w:t>
      </w:r>
    </w:p>
    <w:p w14:paraId="07D12E3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El Presidente dirige y coordina el desarrollo de la Asamblea;</w:t>
      </w:r>
    </w:p>
    <w:p w14:paraId="7EE7E8B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 El Secretario toma nota de todos los acuerdos y levanta el acta de la Asamblea.</w:t>
      </w:r>
    </w:p>
    <w:p w14:paraId="21D8E62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Los escrutadores llevan el conteo de los votos.</w:t>
      </w:r>
    </w:p>
    <w:p w14:paraId="1901501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la Asamblea de nombramiento se toma lista de asistencia y se firma la misma. Existe un padrón comunitario y lo utilizan para control de los ciudadanos.</w:t>
      </w:r>
    </w:p>
    <w:p w14:paraId="626A3C80"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Participantes en la Asamblea</w:t>
      </w:r>
    </w:p>
    <w:p w14:paraId="209FD28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la Asamblea participan con derecho a voz y voto los hombres y mujeres mayores de dieciocho años, con residencia permanente, y pueden ocupar los cargos de Concejales a integrar el Ayuntamiento. No podrán participan en la elección aquellas personas que vivan fuera del municipio, aunque sean originarias del mismo.</w:t>
      </w:r>
    </w:p>
    <w:p w14:paraId="2E5CE26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Participan con voz y voto en la elección de Autoridades Municipales los avecindados y los ciudadanos de religión distinta a la católica, mismos que pueden ocupar el cargo de hasta Regidor en el Ayuntamiento.</w:t>
      </w:r>
    </w:p>
    <w:p w14:paraId="3C6592C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Los ciudadanos de las Agencias participan en la Asamblea de nombramiento de Autoridades Municipales con voz y voto, pero no pueden ocupar cargos en el Cabildo.</w:t>
      </w:r>
    </w:p>
    <w:p w14:paraId="1FBDD46F"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Sistema de votación en la Asamblea</w:t>
      </w:r>
    </w:p>
    <w:p w14:paraId="508B79D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Los candidatos a cargos municipales son propuestos por opción múltiple.</w:t>
      </w:r>
    </w:p>
    <w:p w14:paraId="11CF27C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Se establece una serie de requisitos ó cualidades que deben reunir los candidatos a cargos municipales, consideran que los más importantes son:</w:t>
      </w:r>
    </w:p>
    <w:p w14:paraId="5336710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Cumplir con los cargos conferidos;</w:t>
      </w:r>
    </w:p>
    <w:p w14:paraId="6A9B3B6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 Responsabilidad; </w:t>
      </w:r>
    </w:p>
    <w:p w14:paraId="60422BF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Honestidad;</w:t>
      </w:r>
    </w:p>
    <w:p w14:paraId="659E7FB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 Trabajador; y </w:t>
      </w:r>
    </w:p>
    <w:p w14:paraId="0C979F6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No contar con antecedentes penales.</w:t>
      </w:r>
    </w:p>
    <w:p w14:paraId="2FC9E95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 día de la elección se nombra a todos los Concejales al Ayuntamiento, incluyendo suplentes. Se lleva a cabo el procedimiento el cual consiste en debatir ampliamente con una interacción lingüística particular y posteriormente se elige por opción múltiple.</w:t>
      </w:r>
    </w:p>
    <w:p w14:paraId="700867D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 sistema de votación lo determina la Asamblea General Comunitaria y tradicionalmente los asambleístas votan pintando una raya en un pizarrón. El conteo de los votos estará a cargo de los escrutadores.</w:t>
      </w:r>
    </w:p>
    <w:p w14:paraId="0D83C14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 presidente de la mesa de los debates realiza el anuncio de los resultados de la votación y de los nuevos nombramientos, los cuales no son fijados.</w:t>
      </w:r>
    </w:p>
    <w:p w14:paraId="129985B3"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Clausura de la Asamblea</w:t>
      </w:r>
    </w:p>
    <w:p w14:paraId="26AAE88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El Presidente Municipal es el encargado de realizar la clausura la Asamblea.</w:t>
      </w:r>
    </w:p>
    <w:p w14:paraId="05A6C42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Se levanta el acta de Asamblea el mismo día de la celebración de la elección, que es elaborada por el Secretario de la mesa de los debates, y es firmada por la Autoridad Municipal, Ciudadanos que participaron y mesa de debates; en la misma se hace la aceptación de los nuevos cargos.</w:t>
      </w:r>
    </w:p>
    <w:p w14:paraId="69C0E35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Al final de la Asamblea se da lectura del acta, así mismo elaboran un padrón con las personas que participaron en la votación.</w:t>
      </w:r>
    </w:p>
    <w:p w14:paraId="27DE572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Se integra un expediente electoral, el cual está conformado con el acta de Asamblea, lista de ciudadanos que participan, constancia de antecedentes no penales, copia de la credencial de elector, acta de nacimiento y constancia de origen y vecindad; el expediente es resguardado por la Autoridad Municipal, mismo que será entregado al Instituto Estatal Electoral una vez recabada la documentación de los Concejales electos.</w:t>
      </w:r>
    </w:p>
    <w:p w14:paraId="17C21EC7"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NOVENO. Agravios, precisión de la litis y metodología de análisis.</w:t>
      </w:r>
    </w:p>
    <w:p w14:paraId="0D23873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1. Agravios.</w:t>
      </w:r>
      <w:r w:rsidRPr="00791593">
        <w:rPr>
          <w:rFonts w:ascii="Arial" w:eastAsia="Calibri" w:hAnsi="Arial" w:cs="Arial"/>
          <w:sz w:val="24"/>
          <w:szCs w:val="24"/>
        </w:rPr>
        <w:t xml:space="preserve"> De la demanda, se advierte que los actores identifican agravios, del “primero” al “quinto”; sin embargo, de la lectura detallada de cada uno de ellos es posible advertir que éstos constituyen planteamientos sobre dos temas esenciales: </w:t>
      </w:r>
      <w:r w:rsidRPr="00791593">
        <w:rPr>
          <w:rFonts w:ascii="Arial" w:eastAsia="Calibri" w:hAnsi="Arial" w:cs="Arial"/>
          <w:b/>
          <w:sz w:val="24"/>
          <w:szCs w:val="24"/>
        </w:rPr>
        <w:t>a.</w:t>
      </w:r>
      <w:r w:rsidRPr="00791593">
        <w:rPr>
          <w:rFonts w:ascii="Arial" w:eastAsia="Calibri" w:hAnsi="Arial" w:cs="Arial"/>
          <w:sz w:val="24"/>
          <w:szCs w:val="24"/>
        </w:rPr>
        <w:t xml:space="preserve"> el relacionado con la falta de fundamentación del fallo; y </w:t>
      </w:r>
      <w:r w:rsidRPr="00791593">
        <w:rPr>
          <w:rFonts w:ascii="Arial" w:eastAsia="Calibri" w:hAnsi="Arial" w:cs="Arial"/>
          <w:b/>
          <w:sz w:val="24"/>
          <w:szCs w:val="24"/>
        </w:rPr>
        <w:t>b.</w:t>
      </w:r>
      <w:r w:rsidRPr="00791593">
        <w:rPr>
          <w:rFonts w:ascii="Arial" w:eastAsia="Calibri" w:hAnsi="Arial" w:cs="Arial"/>
          <w:sz w:val="24"/>
          <w:szCs w:val="24"/>
        </w:rPr>
        <w:t xml:space="preserve"> los argumentos dirigidos a evidenciar como incorrectas las razones del tribunal responsable para haber concluido la falta de certeza sobre la asamblea electiva.</w:t>
      </w:r>
    </w:p>
    <w:p w14:paraId="270646E8"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Bajo, esa temática, y para mejor referencia se deducen los planteamientos de los actores en los términos siguientes:</w:t>
      </w:r>
    </w:p>
    <w:p w14:paraId="36DAFF89"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a. Falta de fundamentación.</w:t>
      </w:r>
    </w:p>
    <w:p w14:paraId="0A89E8A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Los enjuiciantes sostienen que la responsable no invocó precepto legal alguno en el considerando de fondo.</w:t>
      </w:r>
    </w:p>
    <w:p w14:paraId="67AF7695"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b. Indebida motivación para concluir una falta de certeza en la realización de la Asamblea.</w:t>
      </w:r>
    </w:p>
    <w:p w14:paraId="51650E24"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Valoración del instrumento notarial.</w:t>
      </w:r>
    </w:p>
    <w:p w14:paraId="2CDC570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 Indebida valoración del instrumento notarial. </w:t>
      </w:r>
      <w:r w:rsidRPr="00791593">
        <w:rPr>
          <w:rFonts w:ascii="Arial" w:eastAsia="Calibri" w:hAnsi="Arial" w:cs="Arial"/>
          <w:sz w:val="24"/>
          <w:szCs w:val="24"/>
        </w:rPr>
        <w:t>Que la responsable debió conceder valor probatorio pleno al instrumento notarial por haber sido levantado por el notario en ejercicio de sus funciones, el cual no fue controvertido por cuanto a su valor y alcance, ni tampoco revocado por autoridad competente. Contrario a lo referido por los inconformes del juicio primigenio, en autos consta el aviso del fedatario público de su salida a la población el día de la elección para realizar una certificación de hechos.</w:t>
      </w:r>
    </w:p>
    <w:p w14:paraId="1C03096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De haberlo hecho así, se hubiera percatado que la asamblea se realizó conforme a los usos y costumbres de la comunidad, ya que se desprenden hechos que robustecen y confirman lo sucedido en la asamblea electiva.</w:t>
      </w:r>
    </w:p>
    <w:p w14:paraId="3B8D4D5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Así, la responsable infringió el sistema de valoración de pruebas previsto por la Ley de medios local, que establece que la documental pública tienen valor probatorio pleno. Conforme con la ley del notariado, los actos notariales prevén la satisfacción de requisitos para su validez; ante su ausencia, o por encuadrar en algún supuesto de nulidad, no podrá concedérseles valor probatorio pleno, de lo contrario debe ser valorado.</w:t>
      </w:r>
    </w:p>
    <w:p w14:paraId="36DC41D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Variación de la objeción del Acta Notarial.</w:t>
      </w:r>
      <w:r w:rsidRPr="00791593">
        <w:rPr>
          <w:rFonts w:ascii="Arial" w:eastAsia="Calibri" w:hAnsi="Arial" w:cs="Arial"/>
          <w:sz w:val="24"/>
          <w:szCs w:val="24"/>
        </w:rPr>
        <w:t xml:space="preserve"> El Tribunal determinó que el instrumento notarial carecía de valor probatorio por haberse levantado con fecha posterior, cuando los enjuiciantes únicamente adujeron la falta de aviso del Notario Público a la Dirección de Notarías sobre su salida; y que en el acta únicamente anotó tres escrutadores, cuando fueron diecinueve.</w:t>
      </w:r>
    </w:p>
    <w:p w14:paraId="3AD7BDE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Inexacto que la falta de inmediatez reste valor al acta notarial.</w:t>
      </w:r>
      <w:r w:rsidRPr="00791593">
        <w:rPr>
          <w:rFonts w:ascii="Arial" w:eastAsia="Calibri" w:hAnsi="Arial" w:cs="Arial"/>
          <w:sz w:val="24"/>
          <w:szCs w:val="24"/>
        </w:rPr>
        <w:t xml:space="preserve"> Los actores no comparten que del instrumento notarial no se desprendía la veracidad de los hechos por no cumplir con la inmediatez, porque no toma en cuenta las circunstancias que rodearon su expedición. La responsable no tomó en cuenta que el diecisiete de noviembre de dos mil trece por ser domingo fue inhábil, pudiendo resultar lógica que el instrumento se haya levantado con fecha posterior.</w:t>
      </w:r>
    </w:p>
    <w:p w14:paraId="019C77F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Discrepancia justificada sobre el número de escrutadores.</w:t>
      </w:r>
      <w:r w:rsidRPr="00791593">
        <w:rPr>
          <w:rFonts w:ascii="Arial" w:eastAsia="Calibri" w:hAnsi="Arial" w:cs="Arial"/>
          <w:sz w:val="24"/>
          <w:szCs w:val="24"/>
        </w:rPr>
        <w:t xml:space="preserve"> Consideran incorrecto que la responsable argumente que el Notario Público certificó la existencia de tres escrutadores, cuando en realidad eran diecinueve, porque si la responsable hubiera analizado el cuerpo del instrumento, se habría percatado que el notario asentó a más de tres personas; además señalan que el fedatario pudo confundirse al no conocer los usos y costumbres, y por eso asentó sólo los nombres de escrutadores más visibles en la asamblea.</w:t>
      </w:r>
    </w:p>
    <w:p w14:paraId="6AB2478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Contratación de servicios notariales.</w:t>
      </w:r>
      <w:r w:rsidRPr="00791593">
        <w:rPr>
          <w:rFonts w:ascii="Arial" w:eastAsia="Calibri" w:hAnsi="Arial" w:cs="Arial"/>
          <w:sz w:val="24"/>
          <w:szCs w:val="24"/>
        </w:rPr>
        <w:t xml:space="preserve"> Consideran incorrecto que derivado de que ellos solicitaron los servicios del fedatario, reste valor al acta notarial porque, la ley del notariado, de medios de impugnación de Oaxaca, o el código comicial local, no restringe el derecho de acudir a solicitar tales servicios notariales.</w:t>
      </w:r>
    </w:p>
    <w:p w14:paraId="546E9388"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Conclusión incorrecta</w:t>
      </w:r>
    </w:p>
    <w:p w14:paraId="311EA20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Variación de la litis.</w:t>
      </w:r>
      <w:r w:rsidRPr="00791593">
        <w:rPr>
          <w:rFonts w:ascii="Arial" w:eastAsia="Calibri" w:hAnsi="Arial" w:cs="Arial"/>
          <w:sz w:val="24"/>
          <w:szCs w:val="24"/>
        </w:rPr>
        <w:t xml:space="preserve"> Que los actores primigenios no adujeron la inexistencia de la Asamblea electiva como lo afirmó el Tribunal responsable, sino que su pretensión fue la anulación por irregularidades, de la propia Asamblea, premisa de la que incluso se advierte la afirmación tácita sobre la existencia de la misma. Que la elección de los regidores tampoco fue controvertida y el Tribunal indebidamente se </w:t>
      </w:r>
      <w:r w:rsidRPr="00791593">
        <w:rPr>
          <w:rFonts w:ascii="Arial" w:eastAsia="Calibri" w:hAnsi="Arial" w:cs="Arial"/>
          <w:sz w:val="24"/>
          <w:szCs w:val="24"/>
        </w:rPr>
        <w:lastRenderedPageBreak/>
        <w:t>pronunció sobre dicha elección para anular la elección de diecisiete de noviembre.</w:t>
      </w:r>
    </w:p>
    <w:p w14:paraId="7F3A7CF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Del análisis conjunto debía sostener la certeza de la asamblea.</w:t>
      </w:r>
      <w:r w:rsidRPr="00791593">
        <w:rPr>
          <w:rFonts w:ascii="Arial" w:eastAsia="Calibri" w:hAnsi="Arial" w:cs="Arial"/>
          <w:sz w:val="24"/>
          <w:szCs w:val="24"/>
        </w:rPr>
        <w:t xml:space="preserve"> La responsable debió valorar las documentales que obran en autos, de acuerdo a las reglas de la lógica, y la sana crítica, y no limitarse a restarle valor al Testimonio Notarial debiendo subsanar cualquier imprecisión con los demás elementos del expediente. Consideran que el acta notarial debió valorarse conjuntamente con el acta de asamblea y la certificación presentada por el Secretario, las cuales son coincidentes en los resultados.</w:t>
      </w:r>
    </w:p>
    <w:p w14:paraId="01D835A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 Falta de firmas de funcionarios. </w:t>
      </w:r>
      <w:r w:rsidRPr="00791593">
        <w:rPr>
          <w:rFonts w:ascii="Arial" w:eastAsia="Calibri" w:hAnsi="Arial" w:cs="Arial"/>
          <w:sz w:val="24"/>
          <w:szCs w:val="24"/>
        </w:rPr>
        <w:t>Si bien el acta de asamblea carece de firmas de la autoridad municipal y algunos miembros de la mesa de debates, no puede traer como consecuencia la nulidad de la elección, porque acorde con lo establecido por el numeral 2, del artículo 261, del Código Local el acta únicamente debe ser firmada por el órgano que presidió la elección.</w:t>
      </w:r>
    </w:p>
    <w:p w14:paraId="5E8FAE5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Que tal circunstancia obedeció a que los funcionarios no quisieron firmar por no verse favorecidos con los resultados, quizá, por presiones de la autoridad saliente. Lo que puede corroborarse en la secuencia de las placas fotográficas y los videos aportados.</w:t>
      </w:r>
    </w:p>
    <w:p w14:paraId="492156C5"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Valoración conjunta</w:t>
      </w:r>
    </w:p>
    <w:p w14:paraId="1F0A8F6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Indebida apreciación conjunta de las constancias del expediente.</w:t>
      </w:r>
      <w:r w:rsidRPr="00791593">
        <w:rPr>
          <w:rFonts w:ascii="Arial" w:eastAsia="Calibri" w:hAnsi="Arial" w:cs="Arial"/>
          <w:sz w:val="24"/>
          <w:szCs w:val="24"/>
        </w:rPr>
        <w:t xml:space="preserve"> Que de los demás elementos del expediente: fotografías anexas al instrumento notarial; videos tomados el día de la elección; que concatenados con el acta de asamblea; y con el dicho de los inconformes primigenios eran verificables: la realización de la asamblea conforme a las prácticas y tradiciones de la comunidad, así como una amplia participación de los ciudadanos; que las autoridades municipales y escrutadores estuvieron presentes y participaron activamente; que éstos se negaron a firmar, valoración que no fue realizada, de tal manera que se privilegiara la conservación de la libre determinación de las comunidades para elegir a sus autoridades.</w:t>
      </w:r>
    </w:p>
    <w:p w14:paraId="732BE8A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Indebida apreciación de la certificación.</w:t>
      </w:r>
      <w:r w:rsidRPr="00791593">
        <w:rPr>
          <w:rFonts w:ascii="Arial" w:eastAsia="Calibri" w:hAnsi="Arial" w:cs="Arial"/>
          <w:sz w:val="24"/>
          <w:szCs w:val="24"/>
        </w:rPr>
        <w:t xml:space="preserve"> Que el Secretario de la Mesa de los Debates fue electo por la asamblea para ese cargo, lo cual no fue apreciado por la responsable sino que la responsable lo consideró como un ciudadano común, a los demás integrantes de la mesa de los debates. </w:t>
      </w:r>
    </w:p>
    <w:p w14:paraId="768891F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Indebida apreciación sobre la falta de firmas de escrutadores.</w:t>
      </w:r>
      <w:r w:rsidRPr="00791593">
        <w:rPr>
          <w:rFonts w:ascii="Arial" w:eastAsia="Calibri" w:hAnsi="Arial" w:cs="Arial"/>
          <w:sz w:val="24"/>
          <w:szCs w:val="24"/>
        </w:rPr>
        <w:t xml:space="preserve"> La responsable no valoró que los ciudadanos que se eligen para integrar la mesa de debates son electores con preferencia por algún candidato, situación que provoca que no todos firmen las actas, aun cuando deban hacerlo, lo que se corrobora con el acta de veintidós de septiembre, relativa al método de la elección, en la que algunos integrantes de la mesa de debates, tampoco quisieron firmar el acta por no estar de </w:t>
      </w:r>
      <w:r w:rsidRPr="00791593">
        <w:rPr>
          <w:rFonts w:ascii="Arial" w:eastAsia="Calibri" w:hAnsi="Arial" w:cs="Arial"/>
          <w:sz w:val="24"/>
          <w:szCs w:val="24"/>
        </w:rPr>
        <w:lastRenderedPageBreak/>
        <w:t>acuerdo. Sin embargo, fue firmada por el Secretario de la mesa de los debates y los escrutadores conformes.</w:t>
      </w:r>
    </w:p>
    <w:p w14:paraId="7054F8D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 Indebida apreciación sobre la falta de firmas de la autoridad municipal. </w:t>
      </w:r>
      <w:r w:rsidRPr="00791593">
        <w:rPr>
          <w:rFonts w:ascii="Arial" w:eastAsia="Calibri" w:hAnsi="Arial" w:cs="Arial"/>
          <w:sz w:val="24"/>
          <w:szCs w:val="24"/>
        </w:rPr>
        <w:t>Que la autoridad municipal, al verse afectada en sus intereses trataron de desestabilizar la asamblea, lo que no fue permitido por la mayoría de los ciudadanos por lo que la asamblea concluyó de manera pacífica; sin embargo seguidores del candidato integrantes del Cabildo se negaron a firmar el acta.</w:t>
      </w:r>
    </w:p>
    <w:p w14:paraId="06DC166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Coincidencia en el número de asistentes y votos.</w:t>
      </w:r>
      <w:r w:rsidRPr="00791593">
        <w:rPr>
          <w:rFonts w:ascii="Arial" w:eastAsia="Calibri" w:hAnsi="Arial" w:cs="Arial"/>
          <w:sz w:val="24"/>
          <w:szCs w:val="24"/>
        </w:rPr>
        <w:t xml:space="preserve"> Si la responsable hubiera hecho una correcta apreciación de las constancias se habría percatado que el número de ciudadanos asistentes a la asamblea, coinciden a los votos obtenidos por cada candidato.</w:t>
      </w:r>
    </w:p>
    <w:p w14:paraId="4454E28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 Certeza en el número de escrutadores. </w:t>
      </w:r>
      <w:r w:rsidRPr="00791593">
        <w:rPr>
          <w:rFonts w:ascii="Arial" w:eastAsia="Calibri" w:hAnsi="Arial" w:cs="Arial"/>
          <w:sz w:val="24"/>
          <w:szCs w:val="24"/>
        </w:rPr>
        <w:t>Que basta revisar de manera conjunta el acta de la asamblea, las placas fotográficas y los videos que se ofrecen como prueba para verificar que los escrutadores sí fueron designados en la asamblea y estuvieron fungiendo durante su desarrollo.</w:t>
      </w:r>
    </w:p>
    <w:p w14:paraId="078274B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Indebida valoración a inconformidades.</w:t>
      </w:r>
      <w:r w:rsidRPr="00791593">
        <w:rPr>
          <w:rFonts w:ascii="Arial" w:eastAsia="Calibri" w:hAnsi="Arial" w:cs="Arial"/>
          <w:sz w:val="24"/>
          <w:szCs w:val="24"/>
        </w:rPr>
        <w:t xml:space="preserve"> Que el Tribunal Local otorgó valor probatorio a los treinta escritos de quienes solicitaron la nulidad de la elección por irregularidades; sin embargo, no tienen carácter de medios de impugnación, y no demuestran las irregularidades aducidas, además que de ellos puede inferirse que son de simpatizantes del otro candidato, que probablemente votaron a su favor, lo que no fue advertido por la responsable, sino que los adminículo para invalidar la elección.</w:t>
      </w:r>
    </w:p>
    <w:p w14:paraId="32C34726"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Designación de regidores</w:t>
      </w:r>
    </w:p>
    <w:p w14:paraId="088D540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 Inobservancia de la norma consuetudinaria. </w:t>
      </w:r>
      <w:r w:rsidRPr="00791593">
        <w:rPr>
          <w:rFonts w:ascii="Arial" w:eastAsia="Calibri" w:hAnsi="Arial" w:cs="Arial"/>
          <w:sz w:val="24"/>
          <w:szCs w:val="24"/>
        </w:rPr>
        <w:t>Que el tribunal debió valorar como se ha desarrollado ancestralmente su elección, que las comunidades indígenas no están sujetas a formalismos para que les sean exigibles las actas en las que conste la designación de los regidores. Que en el municipio, en Asamblea General Comunitaria únicamente se eligen los cargos de Presidente, Síndico y Regidores, de hacienda y de educación, ya que las comunidades por ser independientes previamente eligen a sus regidores conforme a sus usos y costumbres, sin que en la asamblea les sea requerida el acta de cada comunidad, porque sus procedimientos son de buena fe, así, en la Asamblea no se trata el tema de los regidores.</w:t>
      </w:r>
    </w:p>
    <w:p w14:paraId="30DD2E2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Que la responsable, no intentó allegarse de elementos para constatar tal hecho, incluso no advirtió que en el acta de la elección anterior agregada al expediente, se advierte su dicho.</w:t>
      </w:r>
    </w:p>
    <w:p w14:paraId="303FEB4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La sentencia genera un cambio drástico a su costumbre.</w:t>
      </w:r>
      <w:r w:rsidRPr="00791593">
        <w:rPr>
          <w:rFonts w:ascii="Arial" w:eastAsia="Calibri" w:hAnsi="Arial" w:cs="Arial"/>
          <w:sz w:val="24"/>
          <w:szCs w:val="24"/>
        </w:rPr>
        <w:t xml:space="preserve"> La responsable pretende cambiar drásticamente su costumbre, no obstante su encomiendo de proteger los sistemas normativos internos, consideran que previo a cualquier decisión en la que entrañen derechos de las </w:t>
      </w:r>
      <w:r w:rsidRPr="00791593">
        <w:rPr>
          <w:rFonts w:ascii="Arial" w:eastAsia="Calibri" w:hAnsi="Arial" w:cs="Arial"/>
          <w:sz w:val="24"/>
          <w:szCs w:val="24"/>
        </w:rPr>
        <w:lastRenderedPageBreak/>
        <w:t>Comunidades Indígenas, deben adoptarse medidas que salvaguarden las instituciones de éstas comunidades.</w:t>
      </w:r>
    </w:p>
    <w:p w14:paraId="1F30DDB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Falta de estudio del acuerdo de validez.</w:t>
      </w:r>
      <w:r w:rsidRPr="00791593">
        <w:rPr>
          <w:rFonts w:ascii="Arial" w:eastAsia="Calibri" w:hAnsi="Arial" w:cs="Arial"/>
          <w:sz w:val="24"/>
          <w:szCs w:val="24"/>
        </w:rPr>
        <w:t xml:space="preserve"> Que para arribar a la revocación de la elección la responsable debió analizar las razones vertidas en el acuerdo de validez, emitido por la autoridad administrativa electoral.</w:t>
      </w:r>
    </w:p>
    <w:p w14:paraId="30B6FC7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Falta de listas no era motivo de nulidad.</w:t>
      </w:r>
      <w:r w:rsidRPr="00791593">
        <w:rPr>
          <w:rFonts w:ascii="Arial" w:eastAsia="Calibri" w:hAnsi="Arial" w:cs="Arial"/>
          <w:sz w:val="24"/>
          <w:szCs w:val="24"/>
        </w:rPr>
        <w:t xml:space="preserve"> Que ante la inexistencia de listas de asistencia de la asamblea electiva no derivó la falta de certeza sobre la realización de la asamblea, porque no tomó en cuenta que se trata de una comunidad indígena en donde las personas que integran las mesas de los debates no son profesionales, de ahí que no debe exigirse formalismos excesivos en el llenado de las actas, y de documentos, o que el expediente se integre a la perfección.</w:t>
      </w:r>
    </w:p>
    <w:p w14:paraId="77013208"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Omisión de allegarse de elementos para resolver.</w:t>
      </w:r>
      <w:r w:rsidRPr="00791593">
        <w:rPr>
          <w:rFonts w:ascii="Arial" w:eastAsia="Calibri" w:hAnsi="Arial" w:cs="Arial"/>
          <w:sz w:val="24"/>
          <w:szCs w:val="24"/>
        </w:rPr>
        <w:t xml:space="preserve"> Que por tratarse de una elección de sistemas normativos internos, la responsable al percatarse de que no se anexaron las listas de asistentes, en todo caso, debió requerir su exhibición a la autoridad electoral, e incluso a quienes integraron la mesa de los debates.</w:t>
      </w:r>
    </w:p>
    <w:p w14:paraId="03E948F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 Elementos supervenientes. </w:t>
      </w:r>
      <w:r w:rsidRPr="00791593">
        <w:rPr>
          <w:rFonts w:ascii="Arial" w:eastAsia="Calibri" w:hAnsi="Arial" w:cs="Arial"/>
          <w:sz w:val="24"/>
          <w:szCs w:val="24"/>
        </w:rPr>
        <w:t>Que a la fecha de la presentación del presente juicio se enteraron que el Secretario de la Mesa de los Debates Abraham Abdiel Santos Cortes, omitió la entrega de las listas de asistencia, y que el cuatro de diciembre del dos mil trece, fueron exhibidas, como consta en el acuse de recibo al presente juicio las cuales aportan sus originales con las que consideran acreditada la existencia de las listas de asistencia.</w:t>
      </w:r>
    </w:p>
    <w:p w14:paraId="27A08FC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2. Precisión de la litis.</w:t>
      </w:r>
      <w:r w:rsidRPr="00791593">
        <w:rPr>
          <w:rFonts w:ascii="Arial" w:eastAsia="Calibri" w:hAnsi="Arial" w:cs="Arial"/>
          <w:sz w:val="24"/>
          <w:szCs w:val="24"/>
        </w:rPr>
        <w:t xml:space="preserve"> En todo medio de impugnación el juzgador tiene el deber de leer detenida y cuidadosamente la demanda y anexos, para que, de su correcta comprensión, advierta y atienda preferentemente a lo que se quiso decir y no a lo que aparentemente se dijo.</w:t>
      </w:r>
    </w:p>
    <w:p w14:paraId="55B8CF0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Lo anterior, con el objeto de determinar con exactitud la intención del promovente, ya que sólo de esta forma se puede lograr una correcta impartición de justicia, por tanto, todo medio de impugnación, debe ser analizado en conjunto para que, el juzgador pueda, válidamente, interpretar el sentido de lo que se pretende. Lo anterior encuentra sustento en la jurisprudencia </w:t>
      </w:r>
      <w:r w:rsidRPr="00791593">
        <w:rPr>
          <w:rFonts w:ascii="Arial" w:eastAsia="Calibri" w:hAnsi="Arial" w:cs="Arial"/>
          <w:b/>
          <w:sz w:val="24"/>
          <w:szCs w:val="24"/>
        </w:rPr>
        <w:t>4/99</w:t>
      </w:r>
      <w:r w:rsidRPr="00791593">
        <w:rPr>
          <w:rFonts w:ascii="Arial" w:eastAsia="Calibri" w:hAnsi="Arial" w:cs="Arial"/>
          <w:sz w:val="24"/>
          <w:szCs w:val="24"/>
        </w:rPr>
        <w:t xml:space="preserve">, de rubro: </w:t>
      </w:r>
      <w:r w:rsidRPr="00791593">
        <w:rPr>
          <w:rFonts w:ascii="Arial" w:eastAsia="Calibri" w:hAnsi="Arial" w:cs="Arial"/>
          <w:b/>
          <w:sz w:val="24"/>
          <w:szCs w:val="24"/>
        </w:rPr>
        <w:t>“MEDIOS DE IMPUGNACIÓN EN MATERIA ELECTORAL. EL RESOLUTOR DEBE INTERPRETAR EL OCURSO QUE LOS CONTENGA PARA DETERMINAR LA VERDADERA INTENCIÓN DEL ACTOR”</w:t>
      </w:r>
      <w:r w:rsidRPr="00791593">
        <w:rPr>
          <w:rFonts w:ascii="Arial" w:eastAsia="Calibri" w:hAnsi="Arial" w:cs="Arial"/>
          <w:sz w:val="24"/>
          <w:szCs w:val="24"/>
        </w:rPr>
        <w:t>.</w:t>
      </w:r>
      <w:r w:rsidRPr="00791593">
        <w:rPr>
          <w:rFonts w:ascii="Arial" w:eastAsia="Calibri" w:hAnsi="Arial" w:cs="Arial"/>
          <w:sz w:val="24"/>
          <w:szCs w:val="24"/>
          <w:vertAlign w:val="superscript"/>
        </w:rPr>
        <w:t>77</w:t>
      </w:r>
    </w:p>
    <w:p w14:paraId="2DEA7A63" w14:textId="77777777" w:rsidR="006F5238" w:rsidRPr="00791593" w:rsidRDefault="006F5238" w:rsidP="006F5238">
      <w:pPr>
        <w:spacing w:before="120" w:after="120" w:line="240" w:lineRule="auto"/>
        <w:ind w:left="567" w:right="567"/>
        <w:jc w:val="both"/>
        <w:rPr>
          <w:rFonts w:ascii="Arial" w:eastAsia="Calibri" w:hAnsi="Arial" w:cs="Arial"/>
          <w:sz w:val="20"/>
          <w:szCs w:val="20"/>
          <w:vertAlign w:val="superscript"/>
        </w:rPr>
      </w:pPr>
      <w:r w:rsidRPr="00791593">
        <w:rPr>
          <w:rFonts w:ascii="Arial" w:eastAsia="Calibri" w:hAnsi="Arial" w:cs="Arial"/>
          <w:sz w:val="20"/>
          <w:szCs w:val="20"/>
          <w:vertAlign w:val="superscript"/>
        </w:rPr>
        <w:t xml:space="preserve">77 Consultable en: “Compilación de Jurisprudencia y tesis en materia electoral” 1997-2013, Jurisprudencia, Volumen 1, pp. 445-446. </w:t>
      </w:r>
    </w:p>
    <w:p w14:paraId="1765E8B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En ese orden, corresponde a este órgano jurisdiccional de la lectura detenida de la demanda, constancias y de la sentencia impugnada para determinar si las razones de la responsable para determinar la nulidad de la elección fueron correctas; o por el contrario, si los planteamientos </w:t>
      </w:r>
      <w:r w:rsidRPr="00791593">
        <w:rPr>
          <w:rFonts w:ascii="Arial" w:eastAsia="Calibri" w:hAnsi="Arial" w:cs="Arial"/>
          <w:sz w:val="24"/>
          <w:szCs w:val="24"/>
        </w:rPr>
        <w:lastRenderedPageBreak/>
        <w:t>del enjuiciante se tornan fundados y suficientes para modificar los efectos del fallo.</w:t>
      </w:r>
    </w:p>
    <w:p w14:paraId="3B9D18D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 xml:space="preserve">3. Metodología de análisis. </w:t>
      </w:r>
      <w:r w:rsidRPr="00791593">
        <w:rPr>
          <w:rFonts w:ascii="Arial" w:eastAsia="Calibri" w:hAnsi="Arial" w:cs="Arial"/>
          <w:sz w:val="24"/>
          <w:szCs w:val="24"/>
        </w:rPr>
        <w:t>Los planteamientos serán estudiados de la manera siguiente:</w:t>
      </w:r>
    </w:p>
    <w:p w14:paraId="14CE7C3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primer lugar, se analizara la falta de fundamentación de la sentencia, por tratarse de una violación formal del fallo, en el que se habrá de verificar detenidamente si la responsable fundó o no su determinación.</w:t>
      </w:r>
    </w:p>
    <w:p w14:paraId="508140B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Posteriormente, se analizaran los planteamientos tendentes a evidenciar que fue incorrecta la conclusión de que no existía certeza sobre el desarrollo de la asamblea electiva y sus resultados, en cuyo caso para su estudio se atenderá al método de mayor beneficio, es decir, de alguno de los planteamientos que sean suficientes para revocar la sentencia impugnada, o por el contrario si habiéndose analizado cada uno de ellos, derivan en infundados por demostrarse como correctas las consideraciones de la responsable para anular la elección, quedarían firmes sus efectos y tendría que prevalecer la nulidad decretada del proceso electivo.</w:t>
      </w:r>
    </w:p>
    <w:p w14:paraId="099BD54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El análisis a mayor beneficio, se aborda en términos de la jurisprudencia </w:t>
      </w:r>
      <w:r w:rsidRPr="00791593">
        <w:rPr>
          <w:rFonts w:ascii="Arial" w:eastAsia="Calibri" w:hAnsi="Arial" w:cs="Arial"/>
          <w:b/>
          <w:sz w:val="24"/>
          <w:szCs w:val="24"/>
        </w:rPr>
        <w:t>P./J.3/2005</w:t>
      </w:r>
      <w:r w:rsidRPr="00791593">
        <w:rPr>
          <w:rFonts w:ascii="Arial" w:eastAsia="Calibri" w:hAnsi="Arial" w:cs="Arial"/>
          <w:sz w:val="24"/>
          <w:szCs w:val="24"/>
        </w:rPr>
        <w:t xml:space="preserve">, emitida por el Pleno de la Suprema Corte de Justicia de la Nación, de rubro: </w:t>
      </w:r>
      <w:r w:rsidRPr="00791593">
        <w:rPr>
          <w:rFonts w:ascii="Arial" w:eastAsia="Calibri" w:hAnsi="Arial" w:cs="Arial"/>
          <w:b/>
          <w:sz w:val="24"/>
          <w:szCs w:val="24"/>
        </w:rPr>
        <w:t>“CONCEPTOS DE VIOLACIÓN EN AMPARO DIRECTO. EL ESTUDIO DE LOS QUE DETERMINEN SU CONCESIÓN DEBE ATENDER AL PRINCIPIO DE MAYOR BENEFICIO, PUDIÉNDOSE OMITIR EL DE AQUELLOS QUE AUNQUE RESULTEN FUNDADOS, NO MEJOREN LO YA ALCANZADO POR EL QUEJOSO, INCLUSIVE LOS QUE SE REFIEREN A CONSTITUCIONALIDAD DE LEYES”</w:t>
      </w:r>
      <w:r w:rsidRPr="00791593">
        <w:rPr>
          <w:rFonts w:ascii="Arial" w:eastAsia="Calibri" w:hAnsi="Arial" w:cs="Arial"/>
          <w:sz w:val="24"/>
          <w:szCs w:val="24"/>
        </w:rPr>
        <w:t>.</w:t>
      </w:r>
      <w:r w:rsidRPr="00791593">
        <w:rPr>
          <w:rFonts w:ascii="Arial" w:eastAsia="Calibri" w:hAnsi="Arial" w:cs="Arial"/>
          <w:sz w:val="24"/>
          <w:szCs w:val="24"/>
          <w:vertAlign w:val="superscript"/>
        </w:rPr>
        <w:t>78</w:t>
      </w:r>
    </w:p>
    <w:p w14:paraId="3A515B0F" w14:textId="77777777" w:rsidR="006F5238" w:rsidRPr="00791593" w:rsidRDefault="006F5238" w:rsidP="006F5238">
      <w:pPr>
        <w:spacing w:before="120" w:after="120" w:line="240" w:lineRule="auto"/>
        <w:ind w:left="567" w:right="567"/>
        <w:jc w:val="both"/>
        <w:rPr>
          <w:rFonts w:ascii="Arial" w:eastAsia="Calibri" w:hAnsi="Arial" w:cs="Arial"/>
          <w:sz w:val="20"/>
          <w:szCs w:val="20"/>
          <w:vertAlign w:val="superscript"/>
        </w:rPr>
      </w:pPr>
      <w:r w:rsidRPr="00791593">
        <w:rPr>
          <w:rFonts w:ascii="Arial" w:eastAsia="Calibri" w:hAnsi="Arial" w:cs="Arial"/>
          <w:sz w:val="20"/>
          <w:szCs w:val="20"/>
          <w:vertAlign w:val="superscript"/>
        </w:rPr>
        <w:t xml:space="preserve">78 Semanario Judicial de la Federación y su Gaceta, novena época, tomo XXI, febrero de dos mil cinco. </w:t>
      </w:r>
    </w:p>
    <w:p w14:paraId="5E1F219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ella, se ha determinado que el estudio de los conceptos de agravio debe atender al principio de mayor beneficio a fin de privilegiar el derecho contenido en el artículo 17, segundo párrafo, de la Constitución Política de los Estados Unidos Mexicanos, consistente en garantizar a los ciudadanos el acceso real, completo y efectivo a la administración de justicia, esto para que se diluciden de manera preferente aquellas cuestiones que originen un mayor beneficio jurídico para el gobernado, afectado con un acto de autoridad</w:t>
      </w:r>
      <w:r w:rsidRPr="00791593">
        <w:rPr>
          <w:rFonts w:ascii="Arial" w:eastAsia="Calibri" w:hAnsi="Arial" w:cs="Arial"/>
          <w:sz w:val="24"/>
          <w:szCs w:val="24"/>
          <w:vertAlign w:val="superscript"/>
        </w:rPr>
        <w:t>79</w:t>
      </w:r>
      <w:r w:rsidRPr="00791593">
        <w:rPr>
          <w:rFonts w:ascii="Arial" w:eastAsia="Calibri" w:hAnsi="Arial" w:cs="Arial"/>
          <w:sz w:val="24"/>
          <w:szCs w:val="24"/>
        </w:rPr>
        <w:t>.</w:t>
      </w:r>
    </w:p>
    <w:p w14:paraId="6B599C10" w14:textId="77777777" w:rsidR="006F5238" w:rsidRPr="00791593" w:rsidRDefault="006F5238" w:rsidP="006F5238">
      <w:pPr>
        <w:spacing w:before="120" w:after="120" w:line="240" w:lineRule="auto"/>
        <w:ind w:left="567" w:right="567"/>
        <w:jc w:val="both"/>
        <w:rPr>
          <w:rFonts w:ascii="Arial" w:eastAsia="Calibri" w:hAnsi="Arial" w:cs="Arial"/>
          <w:sz w:val="20"/>
          <w:szCs w:val="20"/>
          <w:vertAlign w:val="superscript"/>
        </w:rPr>
      </w:pPr>
      <w:r w:rsidRPr="00791593">
        <w:rPr>
          <w:rFonts w:ascii="Arial" w:eastAsia="Calibri" w:hAnsi="Arial" w:cs="Arial"/>
          <w:sz w:val="20"/>
          <w:szCs w:val="20"/>
          <w:vertAlign w:val="superscript"/>
        </w:rPr>
        <w:t>79 Dicho método también ha sido empleado por la Sala Superior de este tribunal, al resolver los juicios ciudadanos y de revisión constitucional electoral SUP-JDC-55/2010, SUP-JRC-39/2011, SUP-JRC-257/2011, SUP-JDC-176/2012, entre otros.</w:t>
      </w:r>
    </w:p>
    <w:p w14:paraId="67C500B4"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a. Falta de fundamentación</w:t>
      </w:r>
    </w:p>
    <w:p w14:paraId="0BB8F30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Los enjuiciantes sostienen que la responsable omitió fundar el considerando de fondo de la sentencia.</w:t>
      </w:r>
    </w:p>
    <w:p w14:paraId="514F194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El planteamiento es </w:t>
      </w:r>
      <w:r w:rsidRPr="00791593">
        <w:rPr>
          <w:rFonts w:ascii="Arial" w:eastAsia="Calibri" w:hAnsi="Arial" w:cs="Arial"/>
          <w:b/>
          <w:sz w:val="24"/>
          <w:szCs w:val="24"/>
        </w:rPr>
        <w:t>infundado</w:t>
      </w:r>
      <w:r w:rsidRPr="00791593">
        <w:rPr>
          <w:rFonts w:ascii="Arial" w:eastAsia="Calibri" w:hAnsi="Arial" w:cs="Arial"/>
          <w:sz w:val="24"/>
          <w:szCs w:val="24"/>
        </w:rPr>
        <w:t xml:space="preserve"> como a continuación se explica.</w:t>
      </w:r>
    </w:p>
    <w:p w14:paraId="628956D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En efecto, es un requisito establecido en el artículo 16 Constitucional que todo acto de autoridad habrá de ser fundado y motivado, esto es, debe contener, entre otros requisitos, los fundamentos jurídicos y razonamientos lógico-jurídicos que sirvan de base a la sentencia, resolución o acuerdo. En ese sentido, la obligación de fundar consiste en expresar con claridad y precisión los preceptos legales aplicables al caso concreto; es decir, exponiendo las disposiciones normativas que rigen la medida adoptada.</w:t>
      </w:r>
    </w:p>
    <w:p w14:paraId="49D549B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Se violenta la garantía de fundamentación cuando dentro del acto reclamado no se invoquen los preceptos legales en los que se sustenta el criterio contenido, y no se proporcionen elementos suficientes al gobernado para defender sus derechos.</w:t>
      </w:r>
    </w:p>
    <w:p w14:paraId="167A335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 efecto de cumplir con la garantía de fundamentación, basta que se señale en cualquier parte de la resolución o sentencia los fundamentos jurídicos y razonamientos lógico-jurídicos que sirvan de base para la resolución de la litis planteada, es decir, la sentencia o resolución entendida como un acto jurídico completo, no permite suponer que se deba fundar cada uno de los considerandos en que, por razones metodológicas la divide, sino que al ser considerada como una unidad.</w:t>
      </w:r>
    </w:p>
    <w:p w14:paraId="690FA6F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ahí que para que se cumpla con las exigencias constitucionales y legales de la debida fundamentación, basta que a lo largo de la misma se expresen las razones y motivos que conducen a la autoridad emisora a adoptar determinada solución jurídica a un caso sometido a su competencia o jurisdicción y que señale con precisión los preceptos constitucionales y legales que sustenten la determinación que adopta.</w:t>
      </w:r>
    </w:p>
    <w:p w14:paraId="1884DA8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Tal criterio se encuentra contenido en la jurisprudencia, </w:t>
      </w:r>
      <w:r w:rsidRPr="00791593">
        <w:rPr>
          <w:rFonts w:ascii="Arial" w:eastAsia="Calibri" w:hAnsi="Arial" w:cs="Arial"/>
          <w:b/>
          <w:sz w:val="24"/>
          <w:szCs w:val="24"/>
        </w:rPr>
        <w:t>5/2002</w:t>
      </w:r>
      <w:r w:rsidRPr="00791593">
        <w:rPr>
          <w:rFonts w:ascii="Arial" w:eastAsia="Calibri" w:hAnsi="Arial" w:cs="Arial"/>
          <w:sz w:val="24"/>
          <w:szCs w:val="24"/>
        </w:rPr>
        <w:t xml:space="preserve">, de rubro: </w:t>
      </w:r>
      <w:r w:rsidRPr="00791593">
        <w:rPr>
          <w:rFonts w:ascii="Arial" w:eastAsia="Calibri" w:hAnsi="Arial" w:cs="Arial"/>
          <w:b/>
          <w:sz w:val="24"/>
          <w:szCs w:val="24"/>
        </w:rPr>
        <w:t>“FUNDAMENTACIÓN Y MOTIVACIÓN. SE CUMPLE SI EN CUALQUIER PARTE DE LA RESOLUCIÓN SE EXPRESAN LAS RAZONES Y FUNDAMENTOS QUE LA SUSTENTAN (LEGISLACIÓN DEL ESTADO DE AGUASCALIENTES Y SIMILARES)”</w:t>
      </w:r>
      <w:r w:rsidRPr="00791593">
        <w:rPr>
          <w:rFonts w:ascii="Arial" w:eastAsia="Calibri" w:hAnsi="Arial" w:cs="Arial"/>
          <w:sz w:val="24"/>
          <w:szCs w:val="24"/>
          <w:vertAlign w:val="superscript"/>
        </w:rPr>
        <w:t>80</w:t>
      </w:r>
      <w:r w:rsidRPr="00791593">
        <w:rPr>
          <w:rFonts w:ascii="Arial" w:eastAsia="Calibri" w:hAnsi="Arial" w:cs="Arial"/>
          <w:sz w:val="24"/>
          <w:szCs w:val="24"/>
        </w:rPr>
        <w:t xml:space="preserve">. </w:t>
      </w:r>
    </w:p>
    <w:p w14:paraId="3BBF1DA4" w14:textId="77777777" w:rsidR="006F5238" w:rsidRPr="00791593" w:rsidRDefault="006F5238" w:rsidP="006F5238">
      <w:pPr>
        <w:spacing w:before="120" w:after="120" w:line="240" w:lineRule="auto"/>
        <w:ind w:left="567" w:right="567"/>
        <w:jc w:val="both"/>
        <w:rPr>
          <w:rFonts w:ascii="Arial" w:eastAsia="Calibri" w:hAnsi="Arial" w:cs="Arial"/>
          <w:sz w:val="20"/>
          <w:szCs w:val="20"/>
          <w:vertAlign w:val="superscript"/>
        </w:rPr>
      </w:pPr>
      <w:r w:rsidRPr="00791593">
        <w:rPr>
          <w:rFonts w:ascii="Arial" w:eastAsia="Calibri" w:hAnsi="Arial" w:cs="Arial"/>
          <w:sz w:val="20"/>
          <w:szCs w:val="20"/>
          <w:vertAlign w:val="superscript"/>
        </w:rPr>
        <w:t>80 Visible en las páginas 370 y 371, de la Compilación 1997-2013, Jurisprudencia y tesis en materia electoral, Jurisprudencia, Volumen 1.</w:t>
      </w:r>
    </w:p>
    <w:p w14:paraId="2DE0FEC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tal sentido, la fundamentación, entendida como el deber que tiene la autoridad de expresar en el mandamiento escrito los preceptos legales que regulen el hecho y las consecuencias jurídicas que pretenda imponer el acto de autoridad, tiene su origen en el principio de legalidad que en su aspecto imperativo consiste en que las autoridades sólo pueden hacer lo que la ley les permite.</w:t>
      </w:r>
    </w:p>
    <w:p w14:paraId="2B9C2A0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el caso, los actores sostienen que la sentencia impugnada carece del primero de los requisitos; porque en el fondo la responsable omitió citar algún precepto legal, sin embargo, contrario a ello el Tribunal Local para sostener el fallo utilizó fundamentos jurídicos, esto es, sí fundó su determinación. Para dejar constatado dicho extremo es conveniente traer a juicio las consideraciones de la sentencia impugnada.</w:t>
      </w:r>
    </w:p>
    <w:p w14:paraId="210659A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Conforme a lo señalado por la responsable en el considerando “primero” dicho tribunal local para establecer su competencia a fin de conocer del juicio electoral de los sistemas normativos internos, señaló que ésta se surtía, en términos de lo dispuesto en los artículos 25, aparado D y 111, apartado A, fracción I, de la Constitución Política del Estado Libre y Soberano de Oaxaca; 145, 153, 154 y 155 de la Ley Orgánica del Poder Judicial del Estado de Oaxaca; 4, apartado 3, inciso f), 19, apartado 5, 88 y 91 de la Ley del Sistema de Medios de Impugnación en Materia Electoral y de Participación Ciudadana para el Estado de Oaxaca.</w:t>
      </w:r>
    </w:p>
    <w:p w14:paraId="0BA9BA6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Por otra parte, el Tribunal Local para analizar los requisitos de procedencia del juicio, fundó su estudio en el artículo 9, numeral 1, de la Ley del Sistema de Medios de Impugnación en Materia Electoral y de Participación Ciudadana para el Estado de Oaxaca, para concluir que el medio cumplía con los requisitos de procedencia, como consta a foja seis de la sentencia impugnada.</w:t>
      </w:r>
    </w:p>
    <w:p w14:paraId="0960C26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El Tribunal Local, como cuestión previa, justificó la posibilidad de suplir la deficiencia en la expresión de agravios, para lo cual fundó su determinación en los diversos criterios jurisprudenciales: </w:t>
      </w:r>
      <w:r w:rsidRPr="00791593">
        <w:rPr>
          <w:rFonts w:ascii="Arial" w:eastAsia="Calibri" w:hAnsi="Arial" w:cs="Arial"/>
          <w:b/>
          <w:sz w:val="24"/>
          <w:szCs w:val="24"/>
        </w:rPr>
        <w:t>04/99</w:t>
      </w:r>
      <w:r w:rsidRPr="00791593">
        <w:rPr>
          <w:rFonts w:ascii="Arial" w:eastAsia="Calibri" w:hAnsi="Arial" w:cs="Arial"/>
          <w:sz w:val="24"/>
          <w:szCs w:val="24"/>
        </w:rPr>
        <w:t xml:space="preserve">, de rubro: </w:t>
      </w:r>
      <w:r w:rsidRPr="00791593">
        <w:rPr>
          <w:rFonts w:ascii="Arial" w:eastAsia="Calibri" w:hAnsi="Arial" w:cs="Arial"/>
          <w:b/>
          <w:sz w:val="24"/>
          <w:szCs w:val="24"/>
        </w:rPr>
        <w:t>“MEDIOS DE IMPUGNACIÓN EN MATERIA ELECTORAL. EL RESOLUTOR DEBE INTERPRETAR EL OCURSO QUE LOS CONTENGA PARA DETERMINAR LA VERDADERA INTENCIÓN DEL ACTOR”</w:t>
      </w:r>
      <w:r w:rsidRPr="00791593">
        <w:rPr>
          <w:rFonts w:ascii="Arial" w:eastAsia="Calibri" w:hAnsi="Arial" w:cs="Arial"/>
          <w:sz w:val="24"/>
          <w:szCs w:val="24"/>
          <w:vertAlign w:val="superscript"/>
        </w:rPr>
        <w:t>81</w:t>
      </w:r>
      <w:r w:rsidRPr="00791593">
        <w:rPr>
          <w:rFonts w:ascii="Arial" w:eastAsia="Calibri" w:hAnsi="Arial" w:cs="Arial"/>
          <w:b/>
          <w:sz w:val="24"/>
          <w:szCs w:val="24"/>
        </w:rPr>
        <w:t>; la 02/98, de rubro: “AGRAVIOS. PUEDEN ENCONTRARSE EN CUALQUIER PARTE DEL ESCRITO INICIAL”</w:t>
      </w:r>
      <w:r w:rsidRPr="00791593">
        <w:rPr>
          <w:rFonts w:ascii="Arial" w:eastAsia="Calibri" w:hAnsi="Arial" w:cs="Arial"/>
          <w:sz w:val="24"/>
          <w:szCs w:val="24"/>
          <w:vertAlign w:val="superscript"/>
        </w:rPr>
        <w:t>82</w:t>
      </w:r>
      <w:r w:rsidRPr="00791593">
        <w:rPr>
          <w:rFonts w:ascii="Arial" w:eastAsia="Calibri" w:hAnsi="Arial" w:cs="Arial"/>
          <w:b/>
          <w:sz w:val="24"/>
          <w:szCs w:val="24"/>
        </w:rPr>
        <w:t>, así como, 13/2008, de rubro: “COMUNIDADES INDÍGENAS. SUPLENCIA DE LA QUEJA EN LOS JUICIOS ELECTORALES PROMOVIDOS POR SUS INTEGRANTES”</w:t>
      </w:r>
      <w:r w:rsidRPr="00791593">
        <w:rPr>
          <w:rFonts w:ascii="Arial" w:eastAsia="Calibri" w:hAnsi="Arial" w:cs="Arial"/>
          <w:sz w:val="24"/>
          <w:szCs w:val="24"/>
          <w:vertAlign w:val="superscript"/>
        </w:rPr>
        <w:t>83</w:t>
      </w:r>
      <w:r w:rsidRPr="00791593">
        <w:rPr>
          <w:rFonts w:ascii="Arial" w:eastAsia="Calibri" w:hAnsi="Arial" w:cs="Arial"/>
          <w:sz w:val="24"/>
          <w:szCs w:val="24"/>
        </w:rPr>
        <w:t>, como se puede advertir a fojas catorce y quince de la sentencia.</w:t>
      </w:r>
    </w:p>
    <w:p w14:paraId="600DEF95" w14:textId="77777777" w:rsidR="006F5238" w:rsidRPr="00791593" w:rsidRDefault="006F5238" w:rsidP="006F5238">
      <w:pPr>
        <w:spacing w:before="120" w:after="120" w:line="240" w:lineRule="auto"/>
        <w:ind w:left="567" w:right="567"/>
        <w:jc w:val="both"/>
        <w:rPr>
          <w:rFonts w:ascii="Arial" w:eastAsia="Calibri" w:hAnsi="Arial" w:cs="Arial"/>
          <w:sz w:val="20"/>
          <w:szCs w:val="20"/>
          <w:vertAlign w:val="superscript"/>
        </w:rPr>
      </w:pPr>
      <w:r w:rsidRPr="00791593">
        <w:rPr>
          <w:rFonts w:ascii="Arial" w:eastAsia="Calibri" w:hAnsi="Arial" w:cs="Arial"/>
          <w:sz w:val="20"/>
          <w:szCs w:val="20"/>
          <w:vertAlign w:val="superscript"/>
        </w:rPr>
        <w:t>81 Consultable en la Compilación 1997-2013, Jurisprudencia y tesis en materia electoral 1997-2013, volumen 1, pp. 445 a 446.</w:t>
      </w:r>
    </w:p>
    <w:p w14:paraId="11AD19FF" w14:textId="77777777" w:rsidR="006F5238" w:rsidRPr="00791593" w:rsidRDefault="006F5238" w:rsidP="006F5238">
      <w:pPr>
        <w:spacing w:before="120" w:after="120" w:line="240" w:lineRule="auto"/>
        <w:ind w:left="567" w:right="567"/>
        <w:jc w:val="both"/>
        <w:rPr>
          <w:rFonts w:ascii="Arial" w:eastAsia="Calibri" w:hAnsi="Arial" w:cs="Arial"/>
          <w:sz w:val="20"/>
          <w:szCs w:val="20"/>
          <w:vertAlign w:val="superscript"/>
        </w:rPr>
      </w:pPr>
      <w:r w:rsidRPr="00791593">
        <w:rPr>
          <w:rFonts w:ascii="Arial" w:eastAsia="Calibri" w:hAnsi="Arial" w:cs="Arial"/>
          <w:sz w:val="20"/>
          <w:szCs w:val="20"/>
          <w:vertAlign w:val="superscript"/>
        </w:rPr>
        <w:t>82 Consultable en la Compilación 1997-2013, Jurisprudencia y tesis en materia electoral 1997-2013, volumen 1, pp. 123 a 124.</w:t>
      </w:r>
    </w:p>
    <w:p w14:paraId="38CB1092" w14:textId="77777777" w:rsidR="006F5238" w:rsidRPr="00791593" w:rsidRDefault="006F5238" w:rsidP="006F5238">
      <w:pPr>
        <w:spacing w:before="120" w:after="120" w:line="240" w:lineRule="auto"/>
        <w:ind w:left="567" w:right="567"/>
        <w:jc w:val="both"/>
        <w:rPr>
          <w:rFonts w:ascii="Arial" w:eastAsia="Calibri" w:hAnsi="Arial" w:cs="Arial"/>
          <w:sz w:val="20"/>
          <w:szCs w:val="20"/>
          <w:vertAlign w:val="superscript"/>
        </w:rPr>
      </w:pPr>
      <w:r w:rsidRPr="00791593">
        <w:rPr>
          <w:rFonts w:ascii="Arial" w:eastAsia="Calibri" w:hAnsi="Arial" w:cs="Arial"/>
          <w:sz w:val="20"/>
          <w:szCs w:val="20"/>
          <w:vertAlign w:val="superscript"/>
        </w:rPr>
        <w:t>83 Consultable en la Compilación 1997-2013, Jurisprudencia y tesis en materia electoral 1997-2013, volumen 1, pp. 225 a 226.</w:t>
      </w:r>
    </w:p>
    <w:p w14:paraId="61478F1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Por otra parte, para fundar el método en que estudiaría sus agravios, lo fundó en la jurisprudencia de rubro: </w:t>
      </w:r>
      <w:r w:rsidRPr="00791593">
        <w:rPr>
          <w:rFonts w:ascii="Arial" w:eastAsia="Calibri" w:hAnsi="Arial" w:cs="Arial"/>
          <w:b/>
          <w:sz w:val="24"/>
          <w:szCs w:val="24"/>
        </w:rPr>
        <w:t>“AGRAVIOS, SU EXAMEN EN CONJUNTO O SEPARADO, NO CAUSA LESIÓN”,</w:t>
      </w:r>
      <w:r w:rsidRPr="00791593">
        <w:rPr>
          <w:rFonts w:ascii="Arial" w:eastAsia="Calibri" w:hAnsi="Arial" w:cs="Arial"/>
          <w:sz w:val="24"/>
          <w:szCs w:val="24"/>
          <w:vertAlign w:val="superscript"/>
        </w:rPr>
        <w:t>84</w:t>
      </w:r>
      <w:r w:rsidRPr="00791593">
        <w:rPr>
          <w:rFonts w:ascii="Arial" w:eastAsia="Calibri" w:hAnsi="Arial" w:cs="Arial"/>
          <w:sz w:val="24"/>
          <w:szCs w:val="24"/>
        </w:rPr>
        <w:t xml:space="preserve"> tal y como se advierte de folio catorce del fallo.</w:t>
      </w:r>
    </w:p>
    <w:p w14:paraId="1148A42C"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84 Consultable en la Compilación 1997-2013, Jurisprudencia y tesis en materia electoral 1997-2013, volumen 1, p. 125.</w:t>
      </w:r>
    </w:p>
    <w:p w14:paraId="2ACEDE6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el fondo, considerando “cuarto”, apreció que se tomarían en cuenta para resolver el juicio el cuadernillo de copias certificadas del expediente de la elección, fundando su valoración en los artículos 14 y 16, apartados 1 y 2, de la Ley del Sistema de Medios de Impugnación en Materia Electoral y de Participación Ciudadana para el Estado de Oaxaca.</w:t>
      </w:r>
    </w:p>
    <w:p w14:paraId="5D37455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En dicho apartado, el Tribunal Electoral Local, para valorar las documentales privadas ofrecidas por los actor en el juicio primigenio, </w:t>
      </w:r>
      <w:r w:rsidRPr="00791593">
        <w:rPr>
          <w:rFonts w:ascii="Arial" w:eastAsia="Calibri" w:hAnsi="Arial" w:cs="Arial"/>
          <w:sz w:val="24"/>
          <w:szCs w:val="24"/>
        </w:rPr>
        <w:lastRenderedPageBreak/>
        <w:t>tomo en cuenta lo previsto por los artículos 14 y 16, apartados 1 y 3, de la Ley de Medios para esa entidad, citando dichos preceptos en la sentencia, como se advierte a fojas nueve y diez de la misma.</w:t>
      </w:r>
    </w:p>
    <w:p w14:paraId="2C6C540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su sentencia, el Tribunal Local ordenó dar vista a la Sexagésima Segunda Legislatura Constitucional del Congreso del Estado de Oaxaca, para que emitiera decreto correspondiente a la convocatoria de la elección extraordinaria para el Municipio de San Sebastián Tecomaxtlahuaca, Juxtlahuaca, Oaxaca, para lo cual utilizó como fundamento el numeral 40, de la Ley Orgánica Municipal, tal como consta a foja quince de la sentencia que se analiza.</w:t>
      </w:r>
    </w:p>
    <w:p w14:paraId="52E1661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Finalmente, el Tribunal responsable señaló que una vez emitido el decreto antes referido la Dirección Ejecutiva de Sistemas Normativos Internos del Instituto Estatal Electoral y de Participación Ciudadana conforme con el artículo 41, fracción X, del Código de Instituciones Políticas y Procedimientos Electorales para el Estado de Oaxaca, en un plazo de treinta días naturales contados a partir de la emisión del decreto referido, coadyuvará en la organización y desarrollo de la elección de Concejales, en ese municipio, según consta a foja dieciséis de la sentencia.</w:t>
      </w:r>
    </w:p>
    <w:p w14:paraId="2C1570D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Así, a consideración de esta Sala Regional, el fallo impugnado sí estuvo fundamentado, ya que el Tribunal Electoral de Oaxaca a lo largo de las consideraciones con las que resolvió el juicio fijó las disposiciones jurídicas que estimó aplicables al caso, sometido a su consideración.</w:t>
      </w:r>
    </w:p>
    <w:p w14:paraId="4D97D48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 anterior es así, porque el Tribunal Local fijó los preceptos tanto de la Constitución del Estado de Oaxaca, así como del Código Electoral local, de los que deriva su competencia para conocer del medio de impugnación primigenio, igualmente citó los artículos mediante los cuales analizó su procedencia; y a través de criterios jurisprudenciales sostuvo como es que, en el medio de impugnación bajo su análisis, opera la suplencia en la expresión de los agravios; así como, la metodología a utilizar para su estudio; y en el fondo sostuvo que la ilegalidad del acuerdo validez de la elección se encontraba fundamentado en los dispositivos constitucionales y legales locales, relativos a las elecciones regidas por sistemas normativos internos, lo cual estimó fue considerado inexacto por parte del Consejo General del Instituto Electoral local.</w:t>
      </w:r>
    </w:p>
    <w:p w14:paraId="54C2389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ahí que, no asiste razón al justiciable para sostener la carencia de fundamentación del fallo controvertido por no haber citado precepto legal en el considerando de fondo de la sentencia, porque aun cuando en el caso sí se citaron preceptos en el considerando de fondo, como se estableció previo a analizar la consideraciones del fallo, la garantía de fundamentación se cumple, con que dichos preceptos se citen en cualquier parte de la resolución, al ser vista como un todo.</w:t>
      </w:r>
    </w:p>
    <w:p w14:paraId="3A02772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Al haberse hecho el análisis por cuanto a la falta de fundamentación planteada, tal como se demostró, el planteamiento bajo análisis deviene </w:t>
      </w:r>
      <w:r w:rsidRPr="00791593">
        <w:rPr>
          <w:rFonts w:ascii="Arial" w:eastAsia="Calibri" w:hAnsi="Arial" w:cs="Arial"/>
          <w:sz w:val="24"/>
          <w:szCs w:val="24"/>
        </w:rPr>
        <w:lastRenderedPageBreak/>
        <w:t>infundado, sin perjuicio de que del análisis de los motivos concedidos en el fallo impugnado derive en una correcta aplicación de los mismos, ya que ello será analizado al revisar el planteamiento de fondo del presente juicio.</w:t>
      </w:r>
    </w:p>
    <w:p w14:paraId="0BA24C78"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b. Indebida motivación para concluir la falta de certeza en la realización de la Asamblea.</w:t>
      </w:r>
    </w:p>
    <w:p w14:paraId="6C5C52A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Algunos de los planteamientos previamente expuestos tendentes a sostener la anterior premisa, son sustanciosamente </w:t>
      </w:r>
      <w:r w:rsidRPr="00791593">
        <w:rPr>
          <w:rFonts w:ascii="Arial" w:eastAsia="Calibri" w:hAnsi="Arial" w:cs="Arial"/>
          <w:b/>
          <w:sz w:val="24"/>
          <w:szCs w:val="24"/>
        </w:rPr>
        <w:t>fundados</w:t>
      </w:r>
      <w:r w:rsidRPr="00791593">
        <w:rPr>
          <w:rFonts w:ascii="Arial" w:eastAsia="Calibri" w:hAnsi="Arial" w:cs="Arial"/>
          <w:sz w:val="24"/>
          <w:szCs w:val="24"/>
        </w:rPr>
        <w:t xml:space="preserve"> y suficientes para revocar la sentencia impugnada.</w:t>
      </w:r>
    </w:p>
    <w:p w14:paraId="2CDB162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 anterior, porque contrario a lo razonado por la responsable, sí existe certeza sobre la realización de la Asamblea electiva porque tanto en el acta realizada con motivo del desarrollo de la elección, así como, en el acta levantada por el Notario Público contienen elementos suficientes para deducir la realización de dicha asamblea y sus resultados. Sin que pueda sostenerse la falta de inmediatez del acta notarial, porque como se demostrará a continuación, el Tribunal Local no advirtió que la fecha a que refiere dicho documento, es la relativa a la expedición del primer testimonio con base en los archivos del Notario Público, más no, a aquella en la que se hicieron constar los hechos, tal y como se advierte de la lectura de dicho documento.</w:t>
      </w:r>
    </w:p>
    <w:p w14:paraId="6BED8F0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principio, debe quedar sentado que asiste la razón a los enjuiciantes cuando señalan que los actores primigenios no adujeron la inexistencia de la Asamblea electiva de diecisiete de noviembre de dos mil trece, como lo afirmó el Tribunal responsable, sino que su pretensión fue la anulación al haber aducido irregularidades en su desarrollo.</w:t>
      </w:r>
    </w:p>
    <w:p w14:paraId="1395474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efecto conforme con el contenido de la demanda primigenia, los entonces actores no se dolieron de la falta de certeza en la realización de la jornada electiva, sino que en la misma se habían realizado actos graves que ponían en duda los resultados de la elección.</w:t>
      </w:r>
    </w:p>
    <w:p w14:paraId="60DD38B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Las irregularidades aducidas en la instancia local, fueron:</w:t>
      </w:r>
    </w:p>
    <w:p w14:paraId="21D5222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El supuesto acarreo de ciudadanos que no pertenecían al municipio para votar a favor del candidato ganador, irregularidad que no quedó acreditada en el juicio primigenio.</w:t>
      </w:r>
    </w:p>
    <w:p w14:paraId="088C77C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La falta de firma de la autoridad municipal y algunos integrantes de la mesa de los debates, con lo que sostuvieron que el cómputo no se había realizado.</w:t>
      </w:r>
    </w:p>
    <w:p w14:paraId="0FDB006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ahí que, tal como lo sostienen los actores del presente juicio, en el juicio primigenio no existió inconformidad relacionada con la falta de certeza respecto a la realización de la asamblea electiva, sino que, por el contrario de las irregularidades es posible advertir que la misma si se efectuó.</w:t>
      </w:r>
    </w:p>
    <w:p w14:paraId="5FAC433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Lo anterior, es así porque se tiene en cuenta que lo que se adujo en la primera instancia fue el acarreo de ciudadanos para votar a favor del candidato ganador, hecho que no tuvo sustento probatorio, y si bien señalaron que el cómputo no se concluyó, dicha premisa es contraria a las constancias del juicio de las que se advierten la conclusión de cómputo como más a delante se demostrará.</w:t>
      </w:r>
    </w:p>
    <w:p w14:paraId="6E9B8B3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 planteamiento de los inconformes en la instancia primigenia es de relevancia para el presente juicio, porque la responsable concluyó la nulidad del procedimiento electivo derivado de que no existían elementos para verificar la asistencia de los ciudadanos ni sus resultados, y por tanto, señaló que no había certeza de que la Asamblea respectiva se hubiera llevado a cabo.</w:t>
      </w:r>
    </w:p>
    <w:p w14:paraId="6038AEF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Ahora bien, resulta dable conceder razón a los actores del presente juicio en el sentido de que la responsable debió conceder valor probatorio pleno al testimonio notarial por haber sido levantado por el funcionario en ejercicio de sus atribuciones, ya que la supuesta falta de inmediatez afirmada por la responsable es inexacta, con independencia de que los actores de la instancia local no hayan objetado dicha documental por esa causa.</w:t>
      </w:r>
    </w:p>
    <w:p w14:paraId="799C5E6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principio, debe señalarse que por tratarse de una documental pública con pleno valor probatorio en términos del artículo 14, párrafo 3 inciso d), en relación con el 16, párrafo 2, ambos, de la Ley de Medios de Impugnación en Materia Electoral y de Participación Ciudadana de Oaxaca.</w:t>
      </w:r>
    </w:p>
    <w:p w14:paraId="7EDE126B"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rPr>
        <w:t xml:space="preserve">Al efecto, se estima conveniente referir que Hernando Devis Echandía, explica que el </w:t>
      </w:r>
      <w:r w:rsidRPr="00791593">
        <w:rPr>
          <w:rFonts w:ascii="Arial" w:eastAsia="Calibri" w:hAnsi="Arial" w:cs="Arial"/>
          <w:i/>
          <w:sz w:val="24"/>
          <w:szCs w:val="24"/>
        </w:rPr>
        <w:t>valor probatorio</w:t>
      </w:r>
      <w:r w:rsidRPr="00791593">
        <w:rPr>
          <w:rFonts w:ascii="Arial" w:eastAsia="Calibri" w:hAnsi="Arial" w:cs="Arial"/>
          <w:sz w:val="24"/>
          <w:szCs w:val="24"/>
        </w:rPr>
        <w:t xml:space="preserve"> de un documento, es la fuerza de los argumentos o las razones de prueba que el juez encuentra en él para la formación de su convencimiento. Este valor varía, si el documento es público o privado.</w:t>
      </w:r>
      <w:r w:rsidRPr="00791593">
        <w:rPr>
          <w:rFonts w:ascii="Arial" w:eastAsia="Calibri" w:hAnsi="Arial" w:cs="Arial"/>
          <w:sz w:val="24"/>
          <w:szCs w:val="24"/>
          <w:vertAlign w:val="superscript"/>
        </w:rPr>
        <w:t>85</w:t>
      </w:r>
    </w:p>
    <w:p w14:paraId="287588E3"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 xml:space="preserve">85 </w:t>
      </w:r>
      <w:r w:rsidRPr="00791593">
        <w:rPr>
          <w:rFonts w:ascii="Arial" w:eastAsia="Calibri" w:hAnsi="Arial" w:cs="Arial"/>
          <w:i/>
          <w:sz w:val="24"/>
          <w:szCs w:val="24"/>
          <w:vertAlign w:val="superscript"/>
        </w:rPr>
        <w:t>Teoría General de la Prueba Judicial</w:t>
      </w:r>
      <w:r w:rsidRPr="00791593">
        <w:rPr>
          <w:rFonts w:ascii="Arial" w:eastAsia="Calibri" w:hAnsi="Arial" w:cs="Arial"/>
          <w:sz w:val="24"/>
          <w:szCs w:val="24"/>
          <w:vertAlign w:val="superscript"/>
        </w:rPr>
        <w:t>, Editor Alber 835, Buenos Aires, 1981, p. 571</w:t>
      </w:r>
    </w:p>
    <w:p w14:paraId="4011233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Los documentos públicos, ya sean escrituras públicas u otros instrumentos provenientes de funcionarios públicos en ejercicio de sus funciones, gozan de un valor probatorio pleno, como consecuencia de la fe pública que el legislador les reconoce, mientras no se demuestre lo contrario o sean impugnados.</w:t>
      </w:r>
      <w:r w:rsidRPr="00791593">
        <w:rPr>
          <w:rFonts w:ascii="Arial" w:eastAsia="Calibri" w:hAnsi="Arial" w:cs="Arial"/>
          <w:sz w:val="24"/>
          <w:szCs w:val="24"/>
          <w:vertAlign w:val="superscript"/>
        </w:rPr>
        <w:t>86</w:t>
      </w:r>
    </w:p>
    <w:p w14:paraId="6C81AC88"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 xml:space="preserve">86 </w:t>
      </w:r>
      <w:r w:rsidRPr="00791593">
        <w:rPr>
          <w:rFonts w:ascii="Arial" w:eastAsia="Calibri" w:hAnsi="Arial" w:cs="Arial"/>
          <w:i/>
          <w:sz w:val="24"/>
          <w:szCs w:val="24"/>
          <w:vertAlign w:val="superscript"/>
        </w:rPr>
        <w:t>Ídem</w:t>
      </w:r>
      <w:r w:rsidRPr="00791593">
        <w:rPr>
          <w:rFonts w:ascii="Arial" w:eastAsia="Calibri" w:hAnsi="Arial" w:cs="Arial"/>
          <w:sz w:val="24"/>
          <w:szCs w:val="24"/>
          <w:vertAlign w:val="superscript"/>
        </w:rPr>
        <w:t>.</w:t>
      </w:r>
    </w:p>
    <w:p w14:paraId="45C4C14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De conformidad con el artículo 2, de la Ley del Notariado para el Estado de Oaxaca, el Notario es el profesional del derecho investido de fe pública, facultado para hacer constar la autenticidad de los actos y hechos a los que por disposición de la ley o por voluntad de los interesados, se les deba dar formalidad de carácter público. </w:t>
      </w:r>
    </w:p>
    <w:p w14:paraId="2837EC4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Por tanto, los instrumentos notariales gozan de pleno valor probatorio, en cuanto a su contenido, salvo prueba suficiente en contrario.</w:t>
      </w:r>
    </w:p>
    <w:p w14:paraId="04713D9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 xml:space="preserve">Ahora bien, conforme con los planteamientos vertidos en juicio local, dicho documento, fue objetado de manera reiterada por los entonces actores, por la falta de aviso por parte del Notario para constituirse el diecisiete de noviembre de dos mil trece en el Municipio de </w:t>
      </w:r>
      <w:r w:rsidRPr="00791593">
        <w:rPr>
          <w:rFonts w:ascii="Arial" w:eastAsia="Calibri" w:hAnsi="Arial" w:cs="Arial"/>
          <w:b/>
          <w:sz w:val="24"/>
          <w:szCs w:val="24"/>
        </w:rPr>
        <w:t>San Sebastián Tecomaxtlahuaca, Juxtlahuaca, Oaxaca</w:t>
      </w:r>
      <w:r w:rsidRPr="00791593">
        <w:rPr>
          <w:rFonts w:ascii="Arial" w:eastAsia="Calibri" w:hAnsi="Arial" w:cs="Arial"/>
          <w:sz w:val="24"/>
          <w:szCs w:val="24"/>
        </w:rPr>
        <w:t>, en contravención a lo previsto por el artículo 28, de la Ley del Notariado del Estado de Oaxaca.</w:t>
      </w:r>
    </w:p>
    <w:p w14:paraId="07536CE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Sin embargo, el Tribunal Local, concluyó que el Testimonio notarial incumplió con el requisito de inmediatez, lo cual es inexacto.</w:t>
      </w:r>
    </w:p>
    <w:p w14:paraId="26854DC8"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efecto, el Tribunal Local no advirtió, que si bien, la elección municipal se realizó el diecisiete de noviembre y el primer testimonio se expidió el veinte de noviembre, ello no implica que en esa fecha el Notario haya hecho constar los hechos que presenció el día de la jornada, sino que corresponde al día en que el Notario Público expidió el testimonio con base en los archivos del protocolo del propio Notario.</w:t>
      </w:r>
    </w:p>
    <w:p w14:paraId="6305BB2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conformidad con el artículo 40, inciso a) de la Ley del Notariado del Estado de Oaxaca el protocolo de los Notarios Públicos estará integrado, entre otros, por los libros en los que el Notario deberá asentar las escrituras y actas notariales que contengan los actos o hechos jurídicos que autentifique el Notario.</w:t>
      </w:r>
    </w:p>
    <w:p w14:paraId="6DE9F50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Por su parte, el artículo 91 de dicha ley establece que el Testimonio es la copia en la que se transcribe o reproduce íntegramente o en lo conducente un instrumento redactado </w:t>
      </w:r>
      <w:r w:rsidRPr="00791593">
        <w:rPr>
          <w:rFonts w:ascii="Arial" w:eastAsia="Calibri" w:hAnsi="Arial" w:cs="Arial"/>
          <w:b/>
          <w:sz w:val="24"/>
          <w:szCs w:val="24"/>
        </w:rPr>
        <w:t>en el protocolo a su cargo</w:t>
      </w:r>
      <w:r w:rsidRPr="00791593">
        <w:rPr>
          <w:rFonts w:ascii="Arial" w:eastAsia="Calibri" w:hAnsi="Arial" w:cs="Arial"/>
          <w:sz w:val="24"/>
          <w:szCs w:val="24"/>
        </w:rPr>
        <w:t>, así como los documentos que obren en el apéndice, con excepción de los que estén redactados en idioma extranjero, de los que se transcribirá o reproducirá la traducción que de ellos se haga y de los que se inserten en el instrumento.</w:t>
      </w:r>
    </w:p>
    <w:p w14:paraId="4368EA6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El artículo 93, señala que al final de cada testimonio se hará constar el nombre de aquél a quien se expida, su derecho, </w:t>
      </w:r>
      <w:r w:rsidRPr="00791593">
        <w:rPr>
          <w:rFonts w:ascii="Arial" w:eastAsia="Calibri" w:hAnsi="Arial" w:cs="Arial"/>
          <w:b/>
          <w:sz w:val="24"/>
          <w:szCs w:val="24"/>
        </w:rPr>
        <w:t>fecha de expedición</w:t>
      </w:r>
      <w:r w:rsidRPr="00791593">
        <w:rPr>
          <w:rFonts w:ascii="Arial" w:eastAsia="Calibri" w:hAnsi="Arial" w:cs="Arial"/>
          <w:sz w:val="24"/>
          <w:szCs w:val="24"/>
        </w:rPr>
        <w:t>, el número de hojas de que conste el propio testimonio, se salvarán las tachaduras y entrerrenglonaduras de la manera prevista para las escrituras. El testimonio será autorizado por el Notario con su firma y sello.</w:t>
      </w:r>
    </w:p>
    <w:p w14:paraId="2AF620F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conformidad con el artículo 96 de dicha Ley Notarial, a cada parte o interesado el Notario podrá expedir un primer testimonio, un segundo o de número ulterior, siempre que no se trate de actos en virtud de los que pueda exigirse el cumplimiento de la obligación, tantas cuantas veces se presentaré el instrumento, ya que en estos casos, para la expedición de un nuevo testimonio será necesario el mandato judicial.</w:t>
      </w:r>
    </w:p>
    <w:p w14:paraId="3F5B03D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De lo anterior, se desprende que el testimonio notarial constituye el acto por el cual los Notarios Públicos entregan a los interesados la constancia sobre el acto que pasó ante ellos en cualquier fecha siempre que obre en su protocolo; y que dicho testimonio habrá de contener, entre otros, la fecha en que se expide, es decir, la fecha en que el Notario Público, </w:t>
      </w:r>
      <w:r w:rsidRPr="00791593">
        <w:rPr>
          <w:rFonts w:ascii="Arial" w:eastAsia="Calibri" w:hAnsi="Arial" w:cs="Arial"/>
          <w:sz w:val="24"/>
          <w:szCs w:val="24"/>
        </w:rPr>
        <w:lastRenderedPageBreak/>
        <w:t>extrae de sus libros de protocolo el hecho que hizo constar para tal efecto lo deja en sus archivos.</w:t>
      </w:r>
    </w:p>
    <w:p w14:paraId="21AE0DD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tal manera que, el Notario Público en su protocolo deja constancia de los actos en los que intervienen a fin de que con certeza jurídica, posteriormente pueda dar tantos testimonios notariales como le sean requeridos, sobre certificaciones, actas notariales, insertos en instrumentos en los que haya intervenido.</w:t>
      </w:r>
    </w:p>
    <w:p w14:paraId="2D56C62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 anterior, atiende a la lógica que los testimonios notariales contienen un folio que se inserta a cada foja que los integra, de tal manera que la cronología y numeración guarden congruencia ascendente, según el momento en que se acuda a la notaría a solicitar el testimonio.</w:t>
      </w:r>
    </w:p>
    <w:p w14:paraId="74FDA5F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ese sentido, la Notaria y Ministra de la Suprema Corte de Justicia de la Nación, Olga María Sánchez Cordero de García Villegas simplifica</w:t>
      </w:r>
      <w:r w:rsidRPr="00791593">
        <w:rPr>
          <w:rFonts w:ascii="Arial" w:eastAsia="Calibri" w:hAnsi="Arial" w:cs="Arial"/>
          <w:sz w:val="24"/>
          <w:szCs w:val="24"/>
          <w:vertAlign w:val="superscript"/>
        </w:rPr>
        <w:t>87</w:t>
      </w:r>
      <w:r w:rsidRPr="00791593">
        <w:rPr>
          <w:rFonts w:ascii="Arial" w:eastAsia="Calibri" w:hAnsi="Arial" w:cs="Arial"/>
          <w:sz w:val="24"/>
          <w:szCs w:val="24"/>
        </w:rPr>
        <w:t xml:space="preserve"> que, en términos legales la escritura pública es el original que el notario asienta en folios, para hacer constar uno o más actos jurídicos para que, firmados por los comparecientes, el notario autorice con su sello y firma. La escritura pública obra en poder del Notario o en su caso transcurrido determinado tiempo en el archivo correspondiente, por otra parte, el testimonio es la copia en la que se transcribe íntegramente una escritura o un acta.</w:t>
      </w:r>
    </w:p>
    <w:p w14:paraId="41D47A47" w14:textId="77777777" w:rsidR="006F5238" w:rsidRPr="00791593" w:rsidRDefault="006F5238" w:rsidP="006F5238">
      <w:pPr>
        <w:spacing w:after="0" w:line="240" w:lineRule="auto"/>
        <w:ind w:left="567" w:right="567"/>
        <w:jc w:val="both"/>
        <w:rPr>
          <w:rFonts w:ascii="Arial" w:eastAsia="Calibri" w:hAnsi="Arial" w:cs="Arial"/>
          <w:sz w:val="20"/>
          <w:szCs w:val="20"/>
          <w:vertAlign w:val="superscript"/>
        </w:rPr>
      </w:pPr>
      <w:r w:rsidRPr="00791593">
        <w:rPr>
          <w:rFonts w:ascii="Arial" w:eastAsia="Calibri" w:hAnsi="Arial" w:cs="Arial"/>
          <w:sz w:val="20"/>
          <w:szCs w:val="20"/>
          <w:vertAlign w:val="superscript"/>
        </w:rPr>
        <w:t>87 Participación de la Señora Ministra Olga Sánchez Cordero de García Villegas, en el Cuarto Seminario de Derecho Notarial organizado por la Dirección General Jurídica y de Estudios Legislativos y el Colegio de Notarios del Distrito Federal, el 21 de Agosto de 2006 en la Ciudad de México consultable en: https://www.scjn.gob.mx/conocelacorte/ministra/la-suprema-corte-y-la-funcion-notarial.pdf.</w:t>
      </w:r>
    </w:p>
    <w:p w14:paraId="0F63BA5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el caso, el Tribunal local no advirtió que lo que el Notario asentó en su testimonio es la fecha de su expedición de conformidad con 93, de la Ley de Notariado respectiva, sin embargo del propio testimonio puede advertirse, que el Notario Público hizo constar que el acta se levantó el diecisiete de noviembre de dos mil trece, lo que puede verificarse de la propia documental que para pronta referencia se inserta:</w:t>
      </w:r>
    </w:p>
    <w:p w14:paraId="7FF0F040" w14:textId="77777777" w:rsidR="006F5238" w:rsidRPr="00791593" w:rsidRDefault="006F5238" w:rsidP="006F5238">
      <w:pPr>
        <w:spacing w:before="120" w:after="120" w:line="240" w:lineRule="auto"/>
        <w:ind w:left="567" w:right="567"/>
        <w:jc w:val="center"/>
        <w:rPr>
          <w:rFonts w:ascii="Arial" w:eastAsia="Calibri" w:hAnsi="Arial" w:cs="Arial"/>
          <w:sz w:val="24"/>
          <w:szCs w:val="24"/>
        </w:rPr>
      </w:pPr>
      <w:r w:rsidRPr="00791593">
        <w:rPr>
          <w:rFonts w:ascii="Arial" w:eastAsia="Calibri" w:hAnsi="Arial" w:cs="Arial"/>
          <w:noProof/>
          <w:lang w:eastAsia="es-MX"/>
        </w:rPr>
        <w:drawing>
          <wp:inline distT="0" distB="0" distL="0" distR="0" wp14:anchorId="363FA2BE" wp14:editId="42532405">
            <wp:extent cx="4392291" cy="1932589"/>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4077" cy="1933375"/>
                    </a:xfrm>
                    <a:prstGeom prst="rect">
                      <a:avLst/>
                    </a:prstGeom>
                    <a:noFill/>
                    <a:ln>
                      <a:noFill/>
                    </a:ln>
                  </pic:spPr>
                </pic:pic>
              </a:graphicData>
            </a:graphic>
          </wp:inline>
        </w:drawing>
      </w:r>
    </w:p>
    <w:p w14:paraId="593DB41F" w14:textId="77777777" w:rsidR="006F5238" w:rsidRPr="00791593" w:rsidRDefault="006F5238" w:rsidP="006F5238">
      <w:pPr>
        <w:spacing w:before="120" w:after="120" w:line="240" w:lineRule="auto"/>
        <w:ind w:left="567" w:right="567"/>
        <w:jc w:val="center"/>
        <w:rPr>
          <w:rFonts w:ascii="Arial" w:eastAsia="Calibri" w:hAnsi="Arial" w:cs="Arial"/>
          <w:sz w:val="24"/>
          <w:szCs w:val="24"/>
        </w:rPr>
      </w:pPr>
      <w:r w:rsidRPr="00791593">
        <w:rPr>
          <w:rFonts w:ascii="Arial" w:eastAsia="Calibri" w:hAnsi="Arial" w:cs="Arial"/>
          <w:noProof/>
          <w:lang w:eastAsia="es-MX"/>
        </w:rPr>
        <w:lastRenderedPageBreak/>
        <w:drawing>
          <wp:inline distT="0" distB="0" distL="0" distR="0" wp14:anchorId="0A99BB39" wp14:editId="46B0204C">
            <wp:extent cx="4239011" cy="2795310"/>
            <wp:effectExtent l="0" t="0" r="952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56" r="7768"/>
                    <a:stretch/>
                  </pic:blipFill>
                  <pic:spPr bwMode="auto">
                    <a:xfrm>
                      <a:off x="0" y="0"/>
                      <a:ext cx="4240733" cy="2796446"/>
                    </a:xfrm>
                    <a:prstGeom prst="rect">
                      <a:avLst/>
                    </a:prstGeom>
                    <a:noFill/>
                    <a:ln>
                      <a:noFill/>
                    </a:ln>
                    <a:extLst>
                      <a:ext uri="{53640926-AAD7-44D8-BBD7-CCE9431645EC}">
                        <a14:shadowObscured xmlns:a14="http://schemas.microsoft.com/office/drawing/2010/main"/>
                      </a:ext>
                    </a:extLst>
                  </pic:spPr>
                </pic:pic>
              </a:graphicData>
            </a:graphic>
          </wp:inline>
        </w:drawing>
      </w:r>
    </w:p>
    <w:p w14:paraId="2F33E04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742EF30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efecto, el Notario Público 19 para el Estado de Oaxaca Rodolfo Morales Moreno en el Instrumento Público número treinta y tres mil ochocientos cincuenta y tres, hizo constar la expedición al solicitante del primer testimonio sobre el acta de hechos levantada en diecisiete de noviembre de dos mil trece, en la que presenció el desarrollo de la jornada electiva.</w:t>
      </w:r>
    </w:p>
    <w:p w14:paraId="482E567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34B7137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ahí que, además respecto de la objeción hecha en la instancia primigenia al instrumento notarial, asiste la razón a los actores del presente juicio, de que constan los avisos previo y posterior del fedatario público, esto es, los documentos mediante los cuales notificó a la Dirección del Archivo General de Notarías sobre su salida el diecisiete de noviembre de dos mil trece a la población de San Sebastián Tecomaxtlahuaca, Juxtlahuaca, Oaxaca para realizar una certificación de hechos relacionados con la Asamblea General Comunitaria, constancias que para pronta referencia a continuación se insertan:</w:t>
      </w:r>
    </w:p>
    <w:p w14:paraId="6E7314C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4FF0C78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noProof/>
          <w:sz w:val="28"/>
          <w:szCs w:val="28"/>
          <w:lang w:eastAsia="es-MX"/>
        </w:rPr>
        <w:lastRenderedPageBreak/>
        <w:drawing>
          <wp:inline distT="0" distB="0" distL="0" distR="0" wp14:anchorId="6DD3CBFD" wp14:editId="71459494">
            <wp:extent cx="4313008" cy="49417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6504" cy="4945730"/>
                    </a:xfrm>
                    <a:prstGeom prst="rect">
                      <a:avLst/>
                    </a:prstGeom>
                    <a:noFill/>
                    <a:ln>
                      <a:noFill/>
                    </a:ln>
                  </pic:spPr>
                </pic:pic>
              </a:graphicData>
            </a:graphic>
          </wp:inline>
        </w:drawing>
      </w:r>
    </w:p>
    <w:p w14:paraId="6323203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5596E0B3" w14:textId="77777777" w:rsidR="006F5238" w:rsidRPr="00791593" w:rsidRDefault="006F5238" w:rsidP="006F5238">
      <w:pPr>
        <w:spacing w:before="120" w:after="120" w:line="240" w:lineRule="auto"/>
        <w:ind w:left="567" w:right="567"/>
        <w:jc w:val="center"/>
        <w:rPr>
          <w:rFonts w:ascii="Arial" w:eastAsia="Calibri" w:hAnsi="Arial" w:cs="Arial"/>
          <w:sz w:val="24"/>
          <w:szCs w:val="24"/>
        </w:rPr>
      </w:pPr>
      <w:r w:rsidRPr="00791593">
        <w:rPr>
          <w:rFonts w:ascii="Arial" w:eastAsia="Calibri" w:hAnsi="Arial" w:cs="Arial"/>
          <w:noProof/>
          <w:lang w:eastAsia="es-MX"/>
        </w:rPr>
        <w:lastRenderedPageBreak/>
        <w:drawing>
          <wp:inline distT="0" distB="0" distL="0" distR="0" wp14:anchorId="1561F2B8" wp14:editId="69A9478C">
            <wp:extent cx="4482145" cy="5592111"/>
            <wp:effectExtent l="0" t="0" r="0" b="889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2062" cy="5592007"/>
                    </a:xfrm>
                    <a:prstGeom prst="rect">
                      <a:avLst/>
                    </a:prstGeom>
                    <a:noFill/>
                    <a:ln>
                      <a:noFill/>
                    </a:ln>
                  </pic:spPr>
                </pic:pic>
              </a:graphicData>
            </a:graphic>
          </wp:inline>
        </w:drawing>
      </w:r>
    </w:p>
    <w:p w14:paraId="1837184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14AA5EA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Con lo anterior se demuestra que el Notario Público dio cumplimiento a lo dispuesto en el artículo 28 de la Ley del Notariado que establece que los Notarios para actuar fuera de su Distrito darán aviso previo al Director General de Notarías indicando el nombre del solicitante y el Distrito Judicial en el que actuarán.</w:t>
      </w:r>
    </w:p>
    <w:p w14:paraId="66FE6C8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49978AC2"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sz w:val="24"/>
          <w:szCs w:val="24"/>
        </w:rPr>
        <w:t xml:space="preserve">Dicho artículo, también señala que si el Notario que hubiere actuado fuera del lugar de su residencia no diere los avisos que se mencionan en el párrafo inmediato anterior, </w:t>
      </w:r>
      <w:r w:rsidRPr="00791593">
        <w:rPr>
          <w:rFonts w:ascii="Arial" w:eastAsia="Calibri" w:hAnsi="Arial" w:cs="Arial"/>
          <w:b/>
          <w:sz w:val="24"/>
          <w:szCs w:val="24"/>
        </w:rPr>
        <w:t>será sancionado en los términos del artículo 134 de esta ley.</w:t>
      </w:r>
    </w:p>
    <w:p w14:paraId="55B30207"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p>
    <w:p w14:paraId="4F61A04E"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sz w:val="24"/>
          <w:szCs w:val="24"/>
        </w:rPr>
        <w:lastRenderedPageBreak/>
        <w:t xml:space="preserve">A su regreso, el Notario informará a dicha Dirección de los actos o hechos que hubiere autentificado, en un plazo no mayor de cinco días hábiles posteriores al otorgamiento de la escritura o al levantamiento del acta correspondiente, </w:t>
      </w:r>
      <w:r w:rsidRPr="00791593">
        <w:rPr>
          <w:rFonts w:ascii="Arial" w:eastAsia="Calibri" w:hAnsi="Arial" w:cs="Arial"/>
          <w:b/>
          <w:sz w:val="24"/>
          <w:szCs w:val="24"/>
        </w:rPr>
        <w:t>bajo pena de amonestación</w:t>
      </w:r>
      <w:r w:rsidRPr="00791593">
        <w:rPr>
          <w:rFonts w:ascii="Arial" w:eastAsia="Calibri" w:hAnsi="Arial" w:cs="Arial"/>
          <w:sz w:val="24"/>
          <w:szCs w:val="24"/>
        </w:rPr>
        <w:t xml:space="preserve">. En los testimonios correspondientes el Notario insertará copia de dichos avisos. </w:t>
      </w:r>
      <w:r w:rsidRPr="00791593">
        <w:rPr>
          <w:rFonts w:ascii="Arial" w:eastAsia="Calibri" w:hAnsi="Arial" w:cs="Arial"/>
          <w:b/>
          <w:sz w:val="24"/>
          <w:szCs w:val="24"/>
        </w:rPr>
        <w:t>Si el aviso no pudiera darse oportunamente, por tratarse de días u horas inhábiles, el Notario, en este único caso, a su regreso, entregará los avisos de salida y su informe de actuaciones.</w:t>
      </w:r>
    </w:p>
    <w:p w14:paraId="6F4FC166"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p>
    <w:p w14:paraId="61BB69E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Ahora bien, no pase inadvertido, que si bien el aviso previo fue signado el dieciocho de noviembre, esto es, al día siguiente de la Asamblea electiva, tal situación encuentra explicación en la circunstancia de que la Asamblea electiva se realizó el domingo diecisiete de noviembre, de ahí que el aviso se haya rendido hasta siguiente día hábil, esto es, el lunes dieciocho de noviembre de dos mil trece.</w:t>
      </w:r>
    </w:p>
    <w:p w14:paraId="6DDB9D4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1D2ED55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 anterior, sin perjuicio de que esta Sala Regional</w:t>
      </w:r>
      <w:r w:rsidRPr="00791593">
        <w:rPr>
          <w:rFonts w:ascii="Arial" w:eastAsia="Calibri" w:hAnsi="Arial" w:cs="Arial"/>
          <w:sz w:val="24"/>
          <w:szCs w:val="24"/>
          <w:vertAlign w:val="superscript"/>
        </w:rPr>
        <w:t>88</w:t>
      </w:r>
      <w:r w:rsidRPr="00791593">
        <w:rPr>
          <w:rFonts w:ascii="Arial" w:eastAsia="Calibri" w:hAnsi="Arial" w:cs="Arial"/>
          <w:sz w:val="24"/>
          <w:szCs w:val="24"/>
        </w:rPr>
        <w:t xml:space="preserve"> ha sostenido que el incumplimiento por parte del fedatario en rendir los avisos del referido artículo 28 de la Ley del Notariado para el Estado de Oaxaca, tiene como consecuencia la imposición de una sanción, que eventualmente la autoridad competente impondría al funcionario de conformidad con las disposiciones de la propia Ley del Notariado, pero no implica la invalidez </w:t>
      </w:r>
      <w:r w:rsidRPr="00791593">
        <w:rPr>
          <w:rFonts w:ascii="Arial" w:eastAsia="Calibri" w:hAnsi="Arial" w:cs="Arial"/>
          <w:i/>
          <w:sz w:val="24"/>
          <w:szCs w:val="24"/>
        </w:rPr>
        <w:t>per</w:t>
      </w:r>
      <w:r w:rsidRPr="00791593">
        <w:rPr>
          <w:rFonts w:ascii="Arial" w:eastAsia="Calibri" w:hAnsi="Arial" w:cs="Arial"/>
          <w:sz w:val="24"/>
          <w:szCs w:val="24"/>
        </w:rPr>
        <w:t xml:space="preserve"> </w:t>
      </w:r>
      <w:r w:rsidRPr="00791593">
        <w:rPr>
          <w:rFonts w:ascii="Arial" w:eastAsia="Calibri" w:hAnsi="Arial" w:cs="Arial"/>
          <w:i/>
          <w:sz w:val="24"/>
          <w:szCs w:val="24"/>
        </w:rPr>
        <w:t>se</w:t>
      </w:r>
      <w:r w:rsidRPr="00791593">
        <w:rPr>
          <w:rFonts w:ascii="Arial" w:eastAsia="Calibri" w:hAnsi="Arial" w:cs="Arial"/>
          <w:sz w:val="24"/>
          <w:szCs w:val="24"/>
        </w:rPr>
        <w:t xml:space="preserve"> del acto constatado por éste.</w:t>
      </w:r>
    </w:p>
    <w:p w14:paraId="28BB24FA"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88 En el mismo sentido se razonó al resolver el juicio ciudadano identificado con la clave SX-JDC-252/2013</w:t>
      </w:r>
    </w:p>
    <w:p w14:paraId="2E86516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71EDBA4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Por lo anterior, habiéndose constando la premisa incorrecta del tribunal local para considerar que el documento carecía de valor probatorio derivado de su falta de inmediatez, dicha documental por tratarse de una documental pública, a consideración de esta Sala Regional tiene pleno valor probatorio y alcance, respecto de los hechos que en ella constan.</w:t>
      </w:r>
    </w:p>
    <w:p w14:paraId="48110CA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511FB6C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En concordancia con lo anterior, la tesis </w:t>
      </w:r>
      <w:r w:rsidRPr="00791593">
        <w:rPr>
          <w:rFonts w:ascii="Arial" w:eastAsia="Calibri" w:hAnsi="Arial" w:cs="Arial"/>
          <w:b/>
          <w:sz w:val="24"/>
          <w:szCs w:val="24"/>
        </w:rPr>
        <w:t>LXV/98</w:t>
      </w:r>
      <w:r w:rsidRPr="00791593">
        <w:rPr>
          <w:rFonts w:ascii="Arial" w:eastAsia="Calibri" w:hAnsi="Arial" w:cs="Arial"/>
          <w:sz w:val="24"/>
          <w:szCs w:val="24"/>
        </w:rPr>
        <w:t xml:space="preserve">, de rubro: </w:t>
      </w:r>
      <w:r w:rsidRPr="00791593">
        <w:rPr>
          <w:rFonts w:ascii="Arial" w:eastAsia="Calibri" w:hAnsi="Arial" w:cs="Arial"/>
          <w:b/>
          <w:sz w:val="24"/>
          <w:szCs w:val="24"/>
        </w:rPr>
        <w:t>“ACTA NOTARIAL. VARIOS TESTIMONIOS DISCREPANTES SOBRE LA MISMA, CARECEN DE EFICACIA PROBATORIA”</w:t>
      </w:r>
      <w:r w:rsidRPr="00791593">
        <w:rPr>
          <w:rFonts w:ascii="Arial" w:eastAsia="Calibri" w:hAnsi="Arial" w:cs="Arial"/>
          <w:sz w:val="24"/>
          <w:szCs w:val="24"/>
          <w:vertAlign w:val="superscript"/>
        </w:rPr>
        <w:t>89</w:t>
      </w:r>
      <w:r w:rsidRPr="00791593">
        <w:rPr>
          <w:rFonts w:ascii="Arial" w:eastAsia="Calibri" w:hAnsi="Arial" w:cs="Arial"/>
          <w:sz w:val="24"/>
          <w:szCs w:val="24"/>
        </w:rPr>
        <w:t xml:space="preserve">, establece que cuando en un acta notarial se consignan hechos sucedidos en determinado evento, </w:t>
      </w:r>
      <w:r w:rsidRPr="00791593">
        <w:rPr>
          <w:rFonts w:ascii="Arial" w:eastAsia="Calibri" w:hAnsi="Arial" w:cs="Arial"/>
          <w:b/>
          <w:sz w:val="24"/>
          <w:szCs w:val="24"/>
        </w:rPr>
        <w:t>se tiene la certeza de que los mismos ocurrieron de la forma en que quedaron asentados en ese documento,</w:t>
      </w:r>
      <w:r w:rsidRPr="00791593">
        <w:rPr>
          <w:rFonts w:ascii="Arial" w:eastAsia="Calibri" w:hAnsi="Arial" w:cs="Arial"/>
          <w:sz w:val="24"/>
          <w:szCs w:val="24"/>
        </w:rPr>
        <w:t xml:space="preserve"> en virtud de que precisamente el Notario Público tiene la facultad de autentificar los hechos ahí descritos. </w:t>
      </w:r>
    </w:p>
    <w:p w14:paraId="48B445D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46E81682"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89 Compilación 1997-2013, Jurisprudencia y tesis en materia electoral. Tesis, Volumen 2, Tomo I, Tribunal Electoral del Poder Judicial de la Federación, p.883-884.</w:t>
      </w:r>
    </w:p>
    <w:p w14:paraId="50B4450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La citada tesis también aclara, que cuando en dos o más actas notariales exhibidas por alguna de las partes en un juicio determinado, se describen hechos distintos, que sucedieron respecto del mismo evento, en igual fecha, en el mismo lugar y levantadas por el mismo fedatario, resulta evidente que, como en el mismo ámbito espacial no pueden converger circunstancias distintas respecto del mismo evento, entonces, no hay certeza alguna de lo consignado en cualquiera de estas actas notariales, al existir discordancia en los hechos narrados en ellas.</w:t>
      </w:r>
    </w:p>
    <w:p w14:paraId="2EC9FD08"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15FCF8A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ese sentido, tal criterio sirve de fundamento para estimar demostrada la realización de la Asamblea, así como los resultados del cómputo, ante una amplia participación de los ciudadanos, y la presencia de las autoridades municipales, porque tal y como lo sostienen los enjuiciantes, lo anterior por haber sido constatado, por el Notario Público en su Acta Notarial la cual guarda coincidencia con los datos que se obtienen del acta electiva, lo que para pronta referencia, se deja de relieve en el siguiente cuadro comparativo.</w:t>
      </w:r>
    </w:p>
    <w:p w14:paraId="24DC8D0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tbl>
      <w:tblPr>
        <w:tblStyle w:val="Tablaconcuadrcula5"/>
        <w:tblW w:w="8375" w:type="dxa"/>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ayout w:type="fixed"/>
        <w:tblLook w:val="04A0" w:firstRow="1" w:lastRow="0" w:firstColumn="1" w:lastColumn="0" w:noHBand="0" w:noVBand="1"/>
      </w:tblPr>
      <w:tblGrid>
        <w:gridCol w:w="1101"/>
        <w:gridCol w:w="141"/>
        <w:gridCol w:w="7133"/>
      </w:tblGrid>
      <w:tr w:rsidR="006F5238" w:rsidRPr="00791593" w14:paraId="6528783D" w14:textId="77777777" w:rsidTr="006F5238">
        <w:tc>
          <w:tcPr>
            <w:tcW w:w="8375" w:type="dxa"/>
            <w:gridSpan w:val="3"/>
            <w:shd w:val="pct15" w:color="76923C" w:fill="auto"/>
          </w:tcPr>
          <w:p w14:paraId="3C1AA493" w14:textId="77777777" w:rsidR="006F5238" w:rsidRPr="00791593" w:rsidRDefault="006F5238" w:rsidP="006F5238">
            <w:pPr>
              <w:jc w:val="center"/>
              <w:rPr>
                <w:rFonts w:ascii="Arial" w:hAnsi="Arial" w:cs="Arial"/>
                <w:b/>
              </w:rPr>
            </w:pPr>
            <w:r w:rsidRPr="00791593">
              <w:rPr>
                <w:rFonts w:ascii="Arial" w:hAnsi="Arial" w:cs="Arial"/>
                <w:b/>
              </w:rPr>
              <w:t>Comparativa: Acta Notarial y Acta de Asamblea Electiva</w:t>
            </w:r>
          </w:p>
        </w:tc>
      </w:tr>
      <w:tr w:rsidR="006F5238" w:rsidRPr="00791593" w14:paraId="0B69EC2F" w14:textId="77777777" w:rsidTr="006F5238">
        <w:tc>
          <w:tcPr>
            <w:tcW w:w="8375" w:type="dxa"/>
            <w:gridSpan w:val="3"/>
            <w:shd w:val="pct15" w:color="76923C" w:fill="auto"/>
          </w:tcPr>
          <w:p w14:paraId="5C999805" w14:textId="77777777" w:rsidR="006F5238" w:rsidRPr="00791593" w:rsidRDefault="006F5238" w:rsidP="006F5238">
            <w:pPr>
              <w:jc w:val="center"/>
              <w:rPr>
                <w:rFonts w:ascii="Arial" w:hAnsi="Arial" w:cs="Arial"/>
                <w:b/>
              </w:rPr>
            </w:pPr>
            <w:r w:rsidRPr="00791593">
              <w:rPr>
                <w:rFonts w:ascii="Arial" w:hAnsi="Arial" w:cs="Arial"/>
                <w:b/>
              </w:rPr>
              <w:t>• Pase de lista</w:t>
            </w:r>
          </w:p>
        </w:tc>
      </w:tr>
      <w:tr w:rsidR="006F5238" w:rsidRPr="00791593" w14:paraId="78087BBC" w14:textId="77777777" w:rsidTr="006F5238">
        <w:tc>
          <w:tcPr>
            <w:tcW w:w="1242" w:type="dxa"/>
            <w:gridSpan w:val="2"/>
          </w:tcPr>
          <w:p w14:paraId="79967DEB" w14:textId="77777777" w:rsidR="006F5238" w:rsidRPr="00791593" w:rsidRDefault="006F5238" w:rsidP="006F5238">
            <w:pPr>
              <w:rPr>
                <w:rFonts w:ascii="Arial" w:hAnsi="Arial" w:cs="Arial"/>
              </w:rPr>
            </w:pPr>
            <w:r w:rsidRPr="00791593">
              <w:rPr>
                <w:rFonts w:ascii="Arial" w:hAnsi="Arial" w:cs="Arial"/>
              </w:rPr>
              <w:t>Notarial</w:t>
            </w:r>
          </w:p>
        </w:tc>
        <w:tc>
          <w:tcPr>
            <w:tcW w:w="7133" w:type="dxa"/>
          </w:tcPr>
          <w:p w14:paraId="1D699F14"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1E2AA35F" wp14:editId="64CA415C">
                  <wp:extent cx="4340882" cy="754380"/>
                  <wp:effectExtent l="0" t="0" r="254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0882" cy="754380"/>
                          </a:xfrm>
                          <a:prstGeom prst="rect">
                            <a:avLst/>
                          </a:prstGeom>
                          <a:noFill/>
                          <a:ln>
                            <a:noFill/>
                          </a:ln>
                        </pic:spPr>
                      </pic:pic>
                    </a:graphicData>
                  </a:graphic>
                </wp:inline>
              </w:drawing>
            </w:r>
          </w:p>
        </w:tc>
      </w:tr>
      <w:tr w:rsidR="006F5238" w:rsidRPr="00791593" w14:paraId="45CCC859" w14:textId="77777777" w:rsidTr="006F5238">
        <w:tc>
          <w:tcPr>
            <w:tcW w:w="1242" w:type="dxa"/>
            <w:gridSpan w:val="2"/>
            <w:tcBorders>
              <w:bottom w:val="double" w:sz="4" w:space="0" w:color="76923C"/>
            </w:tcBorders>
          </w:tcPr>
          <w:p w14:paraId="787FC159" w14:textId="77777777" w:rsidR="006F5238" w:rsidRPr="00791593" w:rsidRDefault="006F5238" w:rsidP="006F5238">
            <w:pPr>
              <w:rPr>
                <w:rFonts w:ascii="Arial" w:hAnsi="Arial" w:cs="Arial"/>
              </w:rPr>
            </w:pPr>
            <w:r w:rsidRPr="00791593">
              <w:rPr>
                <w:rFonts w:ascii="Arial" w:hAnsi="Arial" w:cs="Arial"/>
              </w:rPr>
              <w:t>Electiva</w:t>
            </w:r>
          </w:p>
        </w:tc>
        <w:tc>
          <w:tcPr>
            <w:tcW w:w="7133" w:type="dxa"/>
            <w:tcBorders>
              <w:bottom w:val="double" w:sz="4" w:space="0" w:color="76923C"/>
            </w:tcBorders>
          </w:tcPr>
          <w:p w14:paraId="58295C75"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3E3A5C0F" wp14:editId="5FEA8C08">
                  <wp:extent cx="4389120" cy="6705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0" cy="670560"/>
                          </a:xfrm>
                          <a:prstGeom prst="rect">
                            <a:avLst/>
                          </a:prstGeom>
                          <a:noFill/>
                          <a:ln>
                            <a:noFill/>
                          </a:ln>
                        </pic:spPr>
                      </pic:pic>
                    </a:graphicData>
                  </a:graphic>
                </wp:inline>
              </w:drawing>
            </w:r>
          </w:p>
        </w:tc>
      </w:tr>
      <w:tr w:rsidR="006F5238" w:rsidRPr="00791593" w14:paraId="0DA070B8" w14:textId="77777777" w:rsidTr="006F5238">
        <w:tc>
          <w:tcPr>
            <w:tcW w:w="8375" w:type="dxa"/>
            <w:gridSpan w:val="3"/>
            <w:shd w:val="pct15" w:color="76923C" w:fill="auto"/>
          </w:tcPr>
          <w:p w14:paraId="5C2EE1FC" w14:textId="77777777" w:rsidR="006F5238" w:rsidRPr="00791593" w:rsidRDefault="006F5238" w:rsidP="006F5238">
            <w:pPr>
              <w:jc w:val="center"/>
              <w:rPr>
                <w:rFonts w:ascii="Arial" w:hAnsi="Arial" w:cs="Arial"/>
                <w:b/>
              </w:rPr>
            </w:pPr>
            <w:r w:rsidRPr="00791593">
              <w:rPr>
                <w:rFonts w:ascii="Arial" w:hAnsi="Arial" w:cs="Arial"/>
                <w:b/>
              </w:rPr>
              <w:t>Comparativa: Acta Notarial y Acta de Asamblea Electiva</w:t>
            </w:r>
          </w:p>
        </w:tc>
      </w:tr>
      <w:tr w:rsidR="006F5238" w:rsidRPr="00791593" w14:paraId="284ADF06" w14:textId="77777777" w:rsidTr="006F5238">
        <w:tc>
          <w:tcPr>
            <w:tcW w:w="8375" w:type="dxa"/>
            <w:gridSpan w:val="3"/>
            <w:shd w:val="pct15" w:color="76923C" w:fill="auto"/>
          </w:tcPr>
          <w:p w14:paraId="5F10F319" w14:textId="77777777" w:rsidR="006F5238" w:rsidRPr="00791593" w:rsidRDefault="006F5238" w:rsidP="006F5238">
            <w:pPr>
              <w:jc w:val="center"/>
              <w:rPr>
                <w:rFonts w:ascii="Arial" w:hAnsi="Arial" w:cs="Arial"/>
                <w:b/>
              </w:rPr>
            </w:pPr>
            <w:r w:rsidRPr="00791593">
              <w:rPr>
                <w:rFonts w:ascii="Arial" w:hAnsi="Arial" w:cs="Arial"/>
                <w:b/>
              </w:rPr>
              <w:t>• Instalación de la Asamblea</w:t>
            </w:r>
          </w:p>
        </w:tc>
      </w:tr>
      <w:tr w:rsidR="006F5238" w:rsidRPr="00791593" w14:paraId="168438C7" w14:textId="77777777" w:rsidTr="006F5238">
        <w:tc>
          <w:tcPr>
            <w:tcW w:w="1101" w:type="dxa"/>
          </w:tcPr>
          <w:p w14:paraId="5B5AB3F5" w14:textId="77777777" w:rsidR="006F5238" w:rsidRPr="00791593" w:rsidRDefault="006F5238" w:rsidP="006F5238">
            <w:pPr>
              <w:rPr>
                <w:rFonts w:ascii="Arial" w:hAnsi="Arial" w:cs="Arial"/>
              </w:rPr>
            </w:pPr>
            <w:r w:rsidRPr="00791593">
              <w:rPr>
                <w:rFonts w:ascii="Arial" w:hAnsi="Arial" w:cs="Arial"/>
              </w:rPr>
              <w:t>Notarial</w:t>
            </w:r>
          </w:p>
        </w:tc>
        <w:tc>
          <w:tcPr>
            <w:tcW w:w="7274" w:type="dxa"/>
            <w:gridSpan w:val="2"/>
          </w:tcPr>
          <w:p w14:paraId="41B6A27C"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440AEDEA" wp14:editId="72561022">
                  <wp:extent cx="4605867" cy="609600"/>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5867" cy="609600"/>
                          </a:xfrm>
                          <a:prstGeom prst="rect">
                            <a:avLst/>
                          </a:prstGeom>
                          <a:noFill/>
                          <a:ln>
                            <a:noFill/>
                          </a:ln>
                        </pic:spPr>
                      </pic:pic>
                    </a:graphicData>
                  </a:graphic>
                </wp:inline>
              </w:drawing>
            </w:r>
          </w:p>
        </w:tc>
      </w:tr>
      <w:tr w:rsidR="006F5238" w:rsidRPr="00791593" w14:paraId="11B5A471" w14:textId="77777777" w:rsidTr="006F5238">
        <w:tc>
          <w:tcPr>
            <w:tcW w:w="1101" w:type="dxa"/>
            <w:tcBorders>
              <w:bottom w:val="double" w:sz="4" w:space="0" w:color="76923C"/>
            </w:tcBorders>
          </w:tcPr>
          <w:p w14:paraId="6982F9F1" w14:textId="77777777" w:rsidR="006F5238" w:rsidRPr="00791593" w:rsidRDefault="006F5238" w:rsidP="006F5238">
            <w:pPr>
              <w:rPr>
                <w:rFonts w:ascii="Arial" w:hAnsi="Arial" w:cs="Arial"/>
              </w:rPr>
            </w:pPr>
            <w:r w:rsidRPr="00791593">
              <w:rPr>
                <w:rFonts w:ascii="Arial" w:hAnsi="Arial" w:cs="Arial"/>
              </w:rPr>
              <w:t>Electiva</w:t>
            </w:r>
          </w:p>
        </w:tc>
        <w:tc>
          <w:tcPr>
            <w:tcW w:w="7274" w:type="dxa"/>
            <w:gridSpan w:val="2"/>
            <w:tcBorders>
              <w:bottom w:val="double" w:sz="4" w:space="0" w:color="76923C"/>
            </w:tcBorders>
          </w:tcPr>
          <w:p w14:paraId="60BB6F9C"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6AB5D84B" wp14:editId="5D379D78">
                  <wp:extent cx="4480560" cy="571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0560" cy="571500"/>
                          </a:xfrm>
                          <a:prstGeom prst="rect">
                            <a:avLst/>
                          </a:prstGeom>
                          <a:noFill/>
                          <a:ln>
                            <a:noFill/>
                          </a:ln>
                        </pic:spPr>
                      </pic:pic>
                    </a:graphicData>
                  </a:graphic>
                </wp:inline>
              </w:drawing>
            </w:r>
          </w:p>
        </w:tc>
      </w:tr>
      <w:tr w:rsidR="006F5238" w:rsidRPr="00791593" w14:paraId="3AC1F246" w14:textId="77777777" w:rsidTr="006F5238">
        <w:tc>
          <w:tcPr>
            <w:tcW w:w="8375" w:type="dxa"/>
            <w:gridSpan w:val="3"/>
            <w:shd w:val="pct15" w:color="76923C" w:fill="auto"/>
          </w:tcPr>
          <w:p w14:paraId="007244B1" w14:textId="77777777" w:rsidR="006F5238" w:rsidRPr="00791593" w:rsidRDefault="006F5238" w:rsidP="006F5238">
            <w:pPr>
              <w:jc w:val="center"/>
              <w:rPr>
                <w:rFonts w:ascii="Arial" w:hAnsi="Arial" w:cs="Arial"/>
              </w:rPr>
            </w:pPr>
            <w:r w:rsidRPr="00791593">
              <w:rPr>
                <w:rFonts w:ascii="Arial" w:hAnsi="Arial" w:cs="Arial"/>
              </w:rPr>
              <w:t>Comparativa: Acta Notarial y Acta de Asamblea Electiva</w:t>
            </w:r>
          </w:p>
        </w:tc>
      </w:tr>
      <w:tr w:rsidR="006F5238" w:rsidRPr="00791593" w14:paraId="479E0606" w14:textId="77777777" w:rsidTr="006F5238">
        <w:tc>
          <w:tcPr>
            <w:tcW w:w="8375" w:type="dxa"/>
            <w:gridSpan w:val="3"/>
            <w:shd w:val="pct15" w:color="76923C" w:fill="auto"/>
          </w:tcPr>
          <w:p w14:paraId="3D783535" w14:textId="77777777" w:rsidR="006F5238" w:rsidRPr="00791593" w:rsidRDefault="006F5238" w:rsidP="006F5238">
            <w:pPr>
              <w:jc w:val="center"/>
              <w:rPr>
                <w:rFonts w:ascii="Arial" w:hAnsi="Arial" w:cs="Arial"/>
                <w:b/>
              </w:rPr>
            </w:pPr>
            <w:r w:rsidRPr="00791593">
              <w:rPr>
                <w:rFonts w:ascii="Arial" w:hAnsi="Arial" w:cs="Arial"/>
                <w:b/>
              </w:rPr>
              <w:t>• Instalación de Mesa de los Debates</w:t>
            </w:r>
          </w:p>
        </w:tc>
      </w:tr>
      <w:tr w:rsidR="006F5238" w:rsidRPr="00791593" w14:paraId="4258D7A5" w14:textId="77777777" w:rsidTr="006F5238">
        <w:tc>
          <w:tcPr>
            <w:tcW w:w="1101" w:type="dxa"/>
          </w:tcPr>
          <w:p w14:paraId="1459F0DE" w14:textId="77777777" w:rsidR="006F5238" w:rsidRPr="00791593" w:rsidRDefault="006F5238" w:rsidP="006F5238">
            <w:pPr>
              <w:rPr>
                <w:rFonts w:ascii="Arial" w:hAnsi="Arial" w:cs="Arial"/>
              </w:rPr>
            </w:pPr>
            <w:r w:rsidRPr="00791593">
              <w:rPr>
                <w:rFonts w:ascii="Arial" w:hAnsi="Arial" w:cs="Arial"/>
              </w:rPr>
              <w:t>Notarial</w:t>
            </w:r>
          </w:p>
        </w:tc>
        <w:tc>
          <w:tcPr>
            <w:tcW w:w="7274" w:type="dxa"/>
            <w:gridSpan w:val="2"/>
          </w:tcPr>
          <w:p w14:paraId="597A4293"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39A0F7D6" wp14:editId="6F508E27">
                  <wp:extent cx="4480560" cy="81534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0560" cy="815340"/>
                          </a:xfrm>
                          <a:prstGeom prst="rect">
                            <a:avLst/>
                          </a:prstGeom>
                          <a:noFill/>
                          <a:ln>
                            <a:noFill/>
                          </a:ln>
                        </pic:spPr>
                      </pic:pic>
                    </a:graphicData>
                  </a:graphic>
                </wp:inline>
              </w:drawing>
            </w:r>
          </w:p>
        </w:tc>
      </w:tr>
      <w:tr w:rsidR="006F5238" w:rsidRPr="00791593" w14:paraId="0AFCEA15" w14:textId="77777777" w:rsidTr="006F5238">
        <w:tc>
          <w:tcPr>
            <w:tcW w:w="1101" w:type="dxa"/>
            <w:tcBorders>
              <w:bottom w:val="double" w:sz="4" w:space="0" w:color="76923C"/>
            </w:tcBorders>
          </w:tcPr>
          <w:p w14:paraId="6555B167" w14:textId="77777777" w:rsidR="006F5238" w:rsidRPr="00791593" w:rsidRDefault="006F5238" w:rsidP="006F5238">
            <w:pPr>
              <w:rPr>
                <w:rFonts w:ascii="Arial" w:hAnsi="Arial" w:cs="Arial"/>
              </w:rPr>
            </w:pPr>
            <w:r w:rsidRPr="00791593">
              <w:rPr>
                <w:rFonts w:ascii="Arial" w:hAnsi="Arial" w:cs="Arial"/>
              </w:rPr>
              <w:lastRenderedPageBreak/>
              <w:t>Electiva</w:t>
            </w:r>
          </w:p>
        </w:tc>
        <w:tc>
          <w:tcPr>
            <w:tcW w:w="7274" w:type="dxa"/>
            <w:gridSpan w:val="2"/>
            <w:tcBorders>
              <w:bottom w:val="double" w:sz="4" w:space="0" w:color="76923C"/>
            </w:tcBorders>
          </w:tcPr>
          <w:p w14:paraId="23839BCE"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006A5DF7" wp14:editId="0BA38082">
                  <wp:extent cx="4480560" cy="34747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0560" cy="3474720"/>
                          </a:xfrm>
                          <a:prstGeom prst="rect">
                            <a:avLst/>
                          </a:prstGeom>
                          <a:noFill/>
                          <a:ln>
                            <a:noFill/>
                          </a:ln>
                        </pic:spPr>
                      </pic:pic>
                    </a:graphicData>
                  </a:graphic>
                </wp:inline>
              </w:drawing>
            </w:r>
          </w:p>
        </w:tc>
      </w:tr>
      <w:tr w:rsidR="006F5238" w:rsidRPr="00791593" w14:paraId="3997E9E5" w14:textId="77777777" w:rsidTr="006F5238">
        <w:tc>
          <w:tcPr>
            <w:tcW w:w="8375" w:type="dxa"/>
            <w:gridSpan w:val="3"/>
            <w:shd w:val="pct15" w:color="76923C" w:fill="auto"/>
          </w:tcPr>
          <w:p w14:paraId="23ACDC9B" w14:textId="77777777" w:rsidR="006F5238" w:rsidRPr="00791593" w:rsidRDefault="006F5238" w:rsidP="006F5238">
            <w:pPr>
              <w:jc w:val="center"/>
              <w:rPr>
                <w:rFonts w:ascii="Arial" w:hAnsi="Arial" w:cs="Arial"/>
                <w:b/>
              </w:rPr>
            </w:pPr>
            <w:r w:rsidRPr="00791593">
              <w:rPr>
                <w:rFonts w:ascii="Arial" w:hAnsi="Arial" w:cs="Arial"/>
                <w:b/>
              </w:rPr>
              <w:t>Comparativa: Acta Notarial y Acta de Asamblea Electiva</w:t>
            </w:r>
          </w:p>
        </w:tc>
      </w:tr>
      <w:tr w:rsidR="006F5238" w:rsidRPr="00791593" w14:paraId="30F1DF2F" w14:textId="77777777" w:rsidTr="006F5238">
        <w:tc>
          <w:tcPr>
            <w:tcW w:w="8375" w:type="dxa"/>
            <w:gridSpan w:val="3"/>
            <w:shd w:val="pct15" w:color="76923C" w:fill="auto"/>
          </w:tcPr>
          <w:p w14:paraId="13F4C9E4" w14:textId="77777777" w:rsidR="006F5238" w:rsidRPr="00791593" w:rsidRDefault="006F5238" w:rsidP="006F5238">
            <w:pPr>
              <w:jc w:val="center"/>
              <w:rPr>
                <w:rFonts w:ascii="Arial" w:hAnsi="Arial" w:cs="Arial"/>
                <w:b/>
              </w:rPr>
            </w:pPr>
            <w:r w:rsidRPr="00791593">
              <w:rPr>
                <w:rFonts w:ascii="Arial" w:hAnsi="Arial" w:cs="Arial"/>
                <w:b/>
              </w:rPr>
              <w:t>• Registro de planillas</w:t>
            </w:r>
          </w:p>
        </w:tc>
      </w:tr>
      <w:tr w:rsidR="006F5238" w:rsidRPr="00791593" w14:paraId="106060FA" w14:textId="77777777" w:rsidTr="006F5238">
        <w:tc>
          <w:tcPr>
            <w:tcW w:w="1101" w:type="dxa"/>
          </w:tcPr>
          <w:p w14:paraId="4A0BE01F" w14:textId="77777777" w:rsidR="006F5238" w:rsidRPr="00791593" w:rsidRDefault="006F5238" w:rsidP="006F5238">
            <w:pPr>
              <w:rPr>
                <w:rFonts w:ascii="Arial" w:hAnsi="Arial" w:cs="Arial"/>
              </w:rPr>
            </w:pPr>
            <w:r w:rsidRPr="00791593">
              <w:rPr>
                <w:rFonts w:ascii="Arial" w:hAnsi="Arial" w:cs="Arial"/>
              </w:rPr>
              <w:t>Notarial</w:t>
            </w:r>
          </w:p>
        </w:tc>
        <w:tc>
          <w:tcPr>
            <w:tcW w:w="7274" w:type="dxa"/>
            <w:gridSpan w:val="2"/>
          </w:tcPr>
          <w:p w14:paraId="44A1DB21"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1A85C26A" wp14:editId="18800A8E">
                  <wp:extent cx="4480560" cy="18669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0560" cy="1866900"/>
                          </a:xfrm>
                          <a:prstGeom prst="rect">
                            <a:avLst/>
                          </a:prstGeom>
                          <a:noFill/>
                          <a:ln>
                            <a:noFill/>
                          </a:ln>
                        </pic:spPr>
                      </pic:pic>
                    </a:graphicData>
                  </a:graphic>
                </wp:inline>
              </w:drawing>
            </w:r>
          </w:p>
        </w:tc>
      </w:tr>
      <w:tr w:rsidR="006F5238" w:rsidRPr="00791593" w14:paraId="078EBE0A" w14:textId="77777777" w:rsidTr="006F5238">
        <w:tc>
          <w:tcPr>
            <w:tcW w:w="1101" w:type="dxa"/>
            <w:tcBorders>
              <w:bottom w:val="double" w:sz="4" w:space="0" w:color="76923C"/>
            </w:tcBorders>
          </w:tcPr>
          <w:p w14:paraId="5C74FE15" w14:textId="77777777" w:rsidR="006F5238" w:rsidRPr="00791593" w:rsidRDefault="006F5238" w:rsidP="006F5238">
            <w:pPr>
              <w:rPr>
                <w:rFonts w:ascii="Arial" w:hAnsi="Arial" w:cs="Arial"/>
              </w:rPr>
            </w:pPr>
            <w:r w:rsidRPr="00791593">
              <w:rPr>
                <w:rFonts w:ascii="Arial" w:hAnsi="Arial" w:cs="Arial"/>
              </w:rPr>
              <w:t>Electiva</w:t>
            </w:r>
          </w:p>
        </w:tc>
        <w:tc>
          <w:tcPr>
            <w:tcW w:w="7274" w:type="dxa"/>
            <w:gridSpan w:val="2"/>
            <w:tcBorders>
              <w:bottom w:val="double" w:sz="4" w:space="0" w:color="76923C"/>
            </w:tcBorders>
          </w:tcPr>
          <w:p w14:paraId="0F444C5D"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0321A199" wp14:editId="3C4128A9">
                  <wp:extent cx="4472940" cy="320040"/>
                  <wp:effectExtent l="0" t="0" r="381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2940" cy="320040"/>
                          </a:xfrm>
                          <a:prstGeom prst="rect">
                            <a:avLst/>
                          </a:prstGeom>
                          <a:noFill/>
                          <a:ln>
                            <a:noFill/>
                          </a:ln>
                        </pic:spPr>
                      </pic:pic>
                    </a:graphicData>
                  </a:graphic>
                </wp:inline>
              </w:drawing>
            </w:r>
          </w:p>
          <w:p w14:paraId="4A32525E"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2AC1B4D3" wp14:editId="6442D825">
                  <wp:extent cx="4472940" cy="1341120"/>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2940" cy="1341120"/>
                          </a:xfrm>
                          <a:prstGeom prst="rect">
                            <a:avLst/>
                          </a:prstGeom>
                          <a:noFill/>
                          <a:ln>
                            <a:noFill/>
                          </a:ln>
                        </pic:spPr>
                      </pic:pic>
                    </a:graphicData>
                  </a:graphic>
                </wp:inline>
              </w:drawing>
            </w:r>
          </w:p>
        </w:tc>
      </w:tr>
      <w:tr w:rsidR="006F5238" w:rsidRPr="00791593" w14:paraId="1BD1B39E" w14:textId="77777777" w:rsidTr="006F5238">
        <w:tc>
          <w:tcPr>
            <w:tcW w:w="8375" w:type="dxa"/>
            <w:gridSpan w:val="3"/>
            <w:shd w:val="pct15" w:color="76923C" w:fill="auto"/>
          </w:tcPr>
          <w:p w14:paraId="0A1D299A" w14:textId="77777777" w:rsidR="006F5238" w:rsidRPr="00791593" w:rsidRDefault="006F5238" w:rsidP="006F5238">
            <w:pPr>
              <w:jc w:val="center"/>
              <w:rPr>
                <w:rFonts w:ascii="Arial" w:hAnsi="Arial" w:cs="Arial"/>
                <w:b/>
              </w:rPr>
            </w:pPr>
            <w:r w:rsidRPr="00791593">
              <w:rPr>
                <w:rFonts w:ascii="Arial" w:hAnsi="Arial" w:cs="Arial"/>
                <w:b/>
              </w:rPr>
              <w:t>Comparativa: Acta Notarial y Acta de Asamblea Electiva</w:t>
            </w:r>
          </w:p>
        </w:tc>
      </w:tr>
      <w:tr w:rsidR="006F5238" w:rsidRPr="00791593" w14:paraId="14BC5F2D" w14:textId="77777777" w:rsidTr="006F5238">
        <w:tc>
          <w:tcPr>
            <w:tcW w:w="8375" w:type="dxa"/>
            <w:gridSpan w:val="3"/>
            <w:shd w:val="pct15" w:color="76923C" w:fill="auto"/>
          </w:tcPr>
          <w:p w14:paraId="56E4707D" w14:textId="77777777" w:rsidR="006F5238" w:rsidRPr="00791593" w:rsidRDefault="006F5238" w:rsidP="006F5238">
            <w:pPr>
              <w:jc w:val="center"/>
              <w:rPr>
                <w:rFonts w:ascii="Arial" w:hAnsi="Arial" w:cs="Arial"/>
                <w:b/>
              </w:rPr>
            </w:pPr>
            <w:r w:rsidRPr="00791593">
              <w:rPr>
                <w:rFonts w:ascii="Arial" w:hAnsi="Arial" w:cs="Arial"/>
                <w:b/>
              </w:rPr>
              <w:t>• Deliberación de propuestas de los candidatos</w:t>
            </w:r>
          </w:p>
        </w:tc>
      </w:tr>
      <w:tr w:rsidR="006F5238" w:rsidRPr="00791593" w14:paraId="5CD8FC02" w14:textId="77777777" w:rsidTr="006F5238">
        <w:tc>
          <w:tcPr>
            <w:tcW w:w="1101" w:type="dxa"/>
          </w:tcPr>
          <w:p w14:paraId="199C0D2E" w14:textId="77777777" w:rsidR="006F5238" w:rsidRPr="00791593" w:rsidRDefault="006F5238" w:rsidP="006F5238">
            <w:pPr>
              <w:rPr>
                <w:rFonts w:ascii="Arial" w:hAnsi="Arial" w:cs="Arial"/>
              </w:rPr>
            </w:pPr>
            <w:r w:rsidRPr="00791593">
              <w:rPr>
                <w:rFonts w:ascii="Arial" w:hAnsi="Arial" w:cs="Arial"/>
              </w:rPr>
              <w:t>Notarial</w:t>
            </w:r>
          </w:p>
        </w:tc>
        <w:tc>
          <w:tcPr>
            <w:tcW w:w="7274" w:type="dxa"/>
            <w:gridSpan w:val="2"/>
          </w:tcPr>
          <w:p w14:paraId="12B24A4C"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736AE6F2" wp14:editId="672AB425">
                  <wp:extent cx="4480560" cy="4953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0560" cy="495300"/>
                          </a:xfrm>
                          <a:prstGeom prst="rect">
                            <a:avLst/>
                          </a:prstGeom>
                          <a:noFill/>
                          <a:ln>
                            <a:noFill/>
                          </a:ln>
                        </pic:spPr>
                      </pic:pic>
                    </a:graphicData>
                  </a:graphic>
                </wp:inline>
              </w:drawing>
            </w:r>
          </w:p>
        </w:tc>
      </w:tr>
      <w:tr w:rsidR="006F5238" w:rsidRPr="00791593" w14:paraId="7EC580EF" w14:textId="77777777" w:rsidTr="006F5238">
        <w:tc>
          <w:tcPr>
            <w:tcW w:w="1101" w:type="dxa"/>
            <w:tcBorders>
              <w:bottom w:val="double" w:sz="4" w:space="0" w:color="76923C"/>
            </w:tcBorders>
          </w:tcPr>
          <w:p w14:paraId="0B48ADA0" w14:textId="77777777" w:rsidR="006F5238" w:rsidRPr="00791593" w:rsidRDefault="006F5238" w:rsidP="006F5238">
            <w:pPr>
              <w:rPr>
                <w:rFonts w:ascii="Arial" w:hAnsi="Arial" w:cs="Arial"/>
              </w:rPr>
            </w:pPr>
            <w:r w:rsidRPr="00791593">
              <w:rPr>
                <w:rFonts w:ascii="Arial" w:hAnsi="Arial" w:cs="Arial"/>
              </w:rPr>
              <w:lastRenderedPageBreak/>
              <w:t>Electiva</w:t>
            </w:r>
          </w:p>
        </w:tc>
        <w:tc>
          <w:tcPr>
            <w:tcW w:w="7274" w:type="dxa"/>
            <w:gridSpan w:val="2"/>
            <w:tcBorders>
              <w:bottom w:val="double" w:sz="4" w:space="0" w:color="76923C"/>
            </w:tcBorders>
          </w:tcPr>
          <w:p w14:paraId="7E397EE1"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6C4DCE60" wp14:editId="7FF31808">
                  <wp:extent cx="4480560" cy="6553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0560" cy="655320"/>
                          </a:xfrm>
                          <a:prstGeom prst="rect">
                            <a:avLst/>
                          </a:prstGeom>
                          <a:noFill/>
                          <a:ln>
                            <a:noFill/>
                          </a:ln>
                        </pic:spPr>
                      </pic:pic>
                    </a:graphicData>
                  </a:graphic>
                </wp:inline>
              </w:drawing>
            </w:r>
          </w:p>
        </w:tc>
      </w:tr>
      <w:tr w:rsidR="006F5238" w:rsidRPr="00791593" w14:paraId="13B1C7AC" w14:textId="77777777" w:rsidTr="006F5238">
        <w:tc>
          <w:tcPr>
            <w:tcW w:w="8375" w:type="dxa"/>
            <w:gridSpan w:val="3"/>
            <w:shd w:val="pct15" w:color="76923C" w:fill="auto"/>
          </w:tcPr>
          <w:p w14:paraId="79F0531F" w14:textId="77777777" w:rsidR="006F5238" w:rsidRPr="00791593" w:rsidRDefault="006F5238" w:rsidP="006F5238">
            <w:pPr>
              <w:jc w:val="center"/>
              <w:rPr>
                <w:rFonts w:ascii="Arial" w:hAnsi="Arial" w:cs="Arial"/>
                <w:b/>
              </w:rPr>
            </w:pPr>
            <w:r w:rsidRPr="00791593">
              <w:rPr>
                <w:rFonts w:ascii="Arial" w:hAnsi="Arial" w:cs="Arial"/>
                <w:b/>
              </w:rPr>
              <w:t>Comparativa: Acta Notarial y Acta de Asamblea Electiva</w:t>
            </w:r>
          </w:p>
        </w:tc>
      </w:tr>
      <w:tr w:rsidR="006F5238" w:rsidRPr="00791593" w14:paraId="5E93582D" w14:textId="77777777" w:rsidTr="006F5238">
        <w:tc>
          <w:tcPr>
            <w:tcW w:w="8375" w:type="dxa"/>
            <w:gridSpan w:val="3"/>
            <w:shd w:val="pct15" w:color="76923C" w:fill="auto"/>
          </w:tcPr>
          <w:p w14:paraId="2645CB42" w14:textId="77777777" w:rsidR="006F5238" w:rsidRPr="00791593" w:rsidRDefault="006F5238" w:rsidP="006F5238">
            <w:pPr>
              <w:jc w:val="center"/>
              <w:rPr>
                <w:rFonts w:ascii="Arial" w:hAnsi="Arial" w:cs="Arial"/>
                <w:b/>
              </w:rPr>
            </w:pPr>
            <w:r w:rsidRPr="00791593">
              <w:rPr>
                <w:rFonts w:ascii="Arial" w:hAnsi="Arial" w:cs="Arial"/>
                <w:b/>
              </w:rPr>
              <w:t>• Desahogo de votación</w:t>
            </w:r>
          </w:p>
        </w:tc>
      </w:tr>
      <w:tr w:rsidR="006F5238" w:rsidRPr="00791593" w14:paraId="480FC087" w14:textId="77777777" w:rsidTr="006F5238">
        <w:tc>
          <w:tcPr>
            <w:tcW w:w="1101" w:type="dxa"/>
          </w:tcPr>
          <w:p w14:paraId="55AA8ED6" w14:textId="77777777" w:rsidR="006F5238" w:rsidRPr="00791593" w:rsidRDefault="006F5238" w:rsidP="006F5238">
            <w:pPr>
              <w:rPr>
                <w:rFonts w:ascii="Arial" w:hAnsi="Arial" w:cs="Arial"/>
              </w:rPr>
            </w:pPr>
            <w:r w:rsidRPr="00791593">
              <w:rPr>
                <w:rFonts w:ascii="Arial" w:hAnsi="Arial" w:cs="Arial"/>
              </w:rPr>
              <w:t>Notarial</w:t>
            </w:r>
          </w:p>
        </w:tc>
        <w:tc>
          <w:tcPr>
            <w:tcW w:w="7274" w:type="dxa"/>
            <w:gridSpan w:val="2"/>
          </w:tcPr>
          <w:p w14:paraId="0B369571"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2BEDDF1F" wp14:editId="5F95779C">
                  <wp:extent cx="4480560" cy="287274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80560" cy="2872740"/>
                          </a:xfrm>
                          <a:prstGeom prst="rect">
                            <a:avLst/>
                          </a:prstGeom>
                          <a:noFill/>
                          <a:ln>
                            <a:noFill/>
                          </a:ln>
                        </pic:spPr>
                      </pic:pic>
                    </a:graphicData>
                  </a:graphic>
                </wp:inline>
              </w:drawing>
            </w:r>
          </w:p>
        </w:tc>
      </w:tr>
      <w:tr w:rsidR="006F5238" w:rsidRPr="00791593" w14:paraId="0795FD21" w14:textId="77777777" w:rsidTr="006F5238">
        <w:tc>
          <w:tcPr>
            <w:tcW w:w="1101" w:type="dxa"/>
            <w:tcBorders>
              <w:bottom w:val="double" w:sz="4" w:space="0" w:color="76923C"/>
            </w:tcBorders>
          </w:tcPr>
          <w:p w14:paraId="1F59E8E4" w14:textId="77777777" w:rsidR="006F5238" w:rsidRPr="00791593" w:rsidRDefault="006F5238" w:rsidP="006F5238">
            <w:pPr>
              <w:rPr>
                <w:rFonts w:ascii="Arial" w:hAnsi="Arial" w:cs="Arial"/>
              </w:rPr>
            </w:pPr>
            <w:r w:rsidRPr="00791593">
              <w:rPr>
                <w:rFonts w:ascii="Arial" w:hAnsi="Arial" w:cs="Arial"/>
              </w:rPr>
              <w:t>Electiva</w:t>
            </w:r>
          </w:p>
        </w:tc>
        <w:tc>
          <w:tcPr>
            <w:tcW w:w="7274" w:type="dxa"/>
            <w:gridSpan w:val="2"/>
            <w:tcBorders>
              <w:bottom w:val="double" w:sz="4" w:space="0" w:color="76923C"/>
            </w:tcBorders>
          </w:tcPr>
          <w:p w14:paraId="5748313E" w14:textId="77777777" w:rsidR="006F5238" w:rsidRPr="00791593" w:rsidRDefault="006F5238" w:rsidP="006F5238">
            <w:pPr>
              <w:rPr>
                <w:rFonts w:ascii="Arial" w:hAnsi="Arial" w:cs="Arial"/>
              </w:rPr>
            </w:pPr>
            <w:r w:rsidRPr="00791593">
              <w:rPr>
                <w:rFonts w:ascii="Arial" w:hAnsi="Arial" w:cs="Arial"/>
              </w:rPr>
              <w:t>No contiene este rubro</w:t>
            </w:r>
          </w:p>
        </w:tc>
      </w:tr>
      <w:tr w:rsidR="006F5238" w:rsidRPr="00791593" w14:paraId="0452A8BB" w14:textId="77777777" w:rsidTr="006F5238">
        <w:tc>
          <w:tcPr>
            <w:tcW w:w="8375" w:type="dxa"/>
            <w:gridSpan w:val="3"/>
            <w:shd w:val="pct15" w:color="76923C" w:fill="auto"/>
          </w:tcPr>
          <w:p w14:paraId="201C9A28" w14:textId="77777777" w:rsidR="006F5238" w:rsidRPr="00791593" w:rsidRDefault="006F5238" w:rsidP="006F5238">
            <w:pPr>
              <w:jc w:val="center"/>
              <w:rPr>
                <w:rFonts w:ascii="Arial" w:hAnsi="Arial" w:cs="Arial"/>
                <w:b/>
              </w:rPr>
            </w:pPr>
            <w:r w:rsidRPr="00791593">
              <w:rPr>
                <w:rFonts w:ascii="Arial" w:hAnsi="Arial" w:cs="Arial"/>
                <w:b/>
              </w:rPr>
              <w:t>Comparativa: Acta Notarial y Acta de Asamblea Electiva</w:t>
            </w:r>
          </w:p>
        </w:tc>
      </w:tr>
      <w:tr w:rsidR="006F5238" w:rsidRPr="00791593" w14:paraId="489EDB8E" w14:textId="77777777" w:rsidTr="006F5238">
        <w:tc>
          <w:tcPr>
            <w:tcW w:w="8375" w:type="dxa"/>
            <w:gridSpan w:val="3"/>
            <w:shd w:val="pct15" w:color="76923C" w:fill="auto"/>
          </w:tcPr>
          <w:p w14:paraId="721FCA40" w14:textId="77777777" w:rsidR="006F5238" w:rsidRPr="00791593" w:rsidRDefault="006F5238" w:rsidP="006F5238">
            <w:pPr>
              <w:jc w:val="center"/>
              <w:rPr>
                <w:rFonts w:ascii="Arial" w:hAnsi="Arial" w:cs="Arial"/>
                <w:b/>
              </w:rPr>
            </w:pPr>
            <w:r w:rsidRPr="00791593">
              <w:rPr>
                <w:rFonts w:ascii="Arial" w:hAnsi="Arial" w:cs="Arial"/>
                <w:b/>
              </w:rPr>
              <w:t>• Resultados</w:t>
            </w:r>
          </w:p>
        </w:tc>
      </w:tr>
      <w:tr w:rsidR="006F5238" w:rsidRPr="00791593" w14:paraId="5AD5B9F6" w14:textId="77777777" w:rsidTr="006F5238">
        <w:tc>
          <w:tcPr>
            <w:tcW w:w="1101" w:type="dxa"/>
          </w:tcPr>
          <w:p w14:paraId="1159BC6B" w14:textId="77777777" w:rsidR="006F5238" w:rsidRPr="00791593" w:rsidRDefault="006F5238" w:rsidP="006F5238">
            <w:pPr>
              <w:rPr>
                <w:rFonts w:ascii="Arial" w:hAnsi="Arial" w:cs="Arial"/>
              </w:rPr>
            </w:pPr>
            <w:r w:rsidRPr="00791593">
              <w:rPr>
                <w:rFonts w:ascii="Arial" w:hAnsi="Arial" w:cs="Arial"/>
              </w:rPr>
              <w:t>Notarial</w:t>
            </w:r>
          </w:p>
        </w:tc>
        <w:tc>
          <w:tcPr>
            <w:tcW w:w="7274" w:type="dxa"/>
            <w:gridSpan w:val="2"/>
          </w:tcPr>
          <w:p w14:paraId="3A9E0294"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041A833A" wp14:editId="0828FC99">
                  <wp:extent cx="4480560" cy="21259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80560" cy="2125980"/>
                          </a:xfrm>
                          <a:prstGeom prst="rect">
                            <a:avLst/>
                          </a:prstGeom>
                          <a:noFill/>
                          <a:ln>
                            <a:noFill/>
                          </a:ln>
                        </pic:spPr>
                      </pic:pic>
                    </a:graphicData>
                  </a:graphic>
                </wp:inline>
              </w:drawing>
            </w:r>
          </w:p>
        </w:tc>
      </w:tr>
      <w:tr w:rsidR="006F5238" w:rsidRPr="00791593" w14:paraId="21F426F3" w14:textId="77777777" w:rsidTr="006F5238">
        <w:tc>
          <w:tcPr>
            <w:tcW w:w="1101" w:type="dxa"/>
            <w:tcBorders>
              <w:bottom w:val="double" w:sz="4" w:space="0" w:color="76923C"/>
            </w:tcBorders>
          </w:tcPr>
          <w:p w14:paraId="544BF62C" w14:textId="77777777" w:rsidR="006F5238" w:rsidRPr="00791593" w:rsidRDefault="006F5238" w:rsidP="006F5238">
            <w:pPr>
              <w:rPr>
                <w:rFonts w:ascii="Arial" w:hAnsi="Arial" w:cs="Arial"/>
              </w:rPr>
            </w:pPr>
            <w:r w:rsidRPr="00791593">
              <w:rPr>
                <w:rFonts w:ascii="Arial" w:hAnsi="Arial" w:cs="Arial"/>
              </w:rPr>
              <w:t>Electiva</w:t>
            </w:r>
          </w:p>
        </w:tc>
        <w:tc>
          <w:tcPr>
            <w:tcW w:w="7274" w:type="dxa"/>
            <w:gridSpan w:val="2"/>
            <w:tcBorders>
              <w:bottom w:val="double" w:sz="4" w:space="0" w:color="76923C"/>
            </w:tcBorders>
          </w:tcPr>
          <w:p w14:paraId="012FCDBB" w14:textId="77777777" w:rsidR="006F5238" w:rsidRPr="00791593" w:rsidRDefault="006F5238" w:rsidP="006F5238">
            <w:pPr>
              <w:rPr>
                <w:rFonts w:ascii="Arial" w:hAnsi="Arial" w:cs="Arial"/>
              </w:rPr>
            </w:pPr>
            <w:r w:rsidRPr="00791593">
              <w:rPr>
                <w:rFonts w:ascii="Arial" w:hAnsi="Arial" w:cs="Arial"/>
                <w:noProof/>
              </w:rPr>
              <w:drawing>
                <wp:inline distT="0" distB="0" distL="0" distR="0" wp14:anchorId="276F39B9" wp14:editId="71063443">
                  <wp:extent cx="4480560" cy="3505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0560" cy="350520"/>
                          </a:xfrm>
                          <a:prstGeom prst="rect">
                            <a:avLst/>
                          </a:prstGeom>
                          <a:noFill/>
                          <a:ln>
                            <a:noFill/>
                          </a:ln>
                        </pic:spPr>
                      </pic:pic>
                    </a:graphicData>
                  </a:graphic>
                </wp:inline>
              </w:drawing>
            </w:r>
          </w:p>
        </w:tc>
      </w:tr>
    </w:tbl>
    <w:p w14:paraId="2E86EB9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ahí que, como se colige de las documentales referidas, esto es acta notarial, y el acta realizada con motivo de la Asamblea por parte de la Mesa de los Debates, ambas son coincidentes y dan cuenta de la certeza de la realización de la Asamblea, su instalación, el número de asistentes, la realización del cómputo y sus resultados.</w:t>
      </w:r>
    </w:p>
    <w:p w14:paraId="0909688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48FC8CC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Debe destacarse la alta participación de los ciudadanos, porque como se puede advertir del contexto, la participación representa un sesenta y tres por ciento (63%) de las personas en posibilidad de ejercer su derecho al sufragio, lo que se ejemplifica por regla de tres en la siguiente tabla.</w:t>
      </w:r>
    </w:p>
    <w:tbl>
      <w:tblPr>
        <w:tblStyle w:val="Tablaconcuadrcula3"/>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693"/>
        <w:gridCol w:w="1801"/>
        <w:gridCol w:w="2055"/>
      </w:tblGrid>
      <w:tr w:rsidR="006F5238" w:rsidRPr="00791593" w14:paraId="59D646FB" w14:textId="77777777" w:rsidTr="006F5238">
        <w:trPr>
          <w:jc w:val="center"/>
        </w:trPr>
        <w:tc>
          <w:tcPr>
            <w:tcW w:w="2693" w:type="dxa"/>
          </w:tcPr>
          <w:p w14:paraId="1BB17C2F"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Ciudadanos</w:t>
            </w:r>
          </w:p>
        </w:tc>
        <w:tc>
          <w:tcPr>
            <w:tcW w:w="1801" w:type="dxa"/>
          </w:tcPr>
          <w:p w14:paraId="02F5D69E"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w:t>
            </w:r>
          </w:p>
        </w:tc>
        <w:tc>
          <w:tcPr>
            <w:tcW w:w="2055" w:type="dxa"/>
          </w:tcPr>
          <w:p w14:paraId="2C372013"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w:t>
            </w:r>
          </w:p>
        </w:tc>
      </w:tr>
      <w:tr w:rsidR="006F5238" w:rsidRPr="00791593" w14:paraId="1E386749" w14:textId="77777777" w:rsidTr="006F5238">
        <w:trPr>
          <w:jc w:val="center"/>
        </w:trPr>
        <w:tc>
          <w:tcPr>
            <w:tcW w:w="2693" w:type="dxa"/>
          </w:tcPr>
          <w:p w14:paraId="0C6DE002"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Mayores de 18 años</w:t>
            </w:r>
          </w:p>
        </w:tc>
        <w:tc>
          <w:tcPr>
            <w:tcW w:w="1801" w:type="dxa"/>
          </w:tcPr>
          <w:p w14:paraId="6E375184"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5,123</w:t>
            </w:r>
          </w:p>
        </w:tc>
        <w:tc>
          <w:tcPr>
            <w:tcW w:w="2055" w:type="dxa"/>
          </w:tcPr>
          <w:p w14:paraId="5B3F15E9"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100</w:t>
            </w:r>
          </w:p>
        </w:tc>
      </w:tr>
      <w:tr w:rsidR="006F5238" w:rsidRPr="00791593" w14:paraId="29CB1DA9" w14:textId="77777777" w:rsidTr="006F5238">
        <w:trPr>
          <w:jc w:val="center"/>
        </w:trPr>
        <w:tc>
          <w:tcPr>
            <w:tcW w:w="2693" w:type="dxa"/>
          </w:tcPr>
          <w:p w14:paraId="74DF149D"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Asistentes en la Asamblea</w:t>
            </w:r>
          </w:p>
        </w:tc>
        <w:tc>
          <w:tcPr>
            <w:tcW w:w="1801" w:type="dxa"/>
          </w:tcPr>
          <w:p w14:paraId="2D26B49C"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3,220</w:t>
            </w:r>
          </w:p>
        </w:tc>
        <w:tc>
          <w:tcPr>
            <w:tcW w:w="2055" w:type="dxa"/>
          </w:tcPr>
          <w:p w14:paraId="40EB9BF7"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62.8537</w:t>
            </w:r>
          </w:p>
        </w:tc>
      </w:tr>
    </w:tbl>
    <w:p w14:paraId="703DA87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esa participación se obtuvieron los resultados que por regla de tres, y que para pronta referencia se describen de manera numérica y porcentual.</w:t>
      </w:r>
    </w:p>
    <w:tbl>
      <w:tblPr>
        <w:tblStyle w:val="Tablaconcuadrcula3"/>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693"/>
        <w:gridCol w:w="1801"/>
        <w:gridCol w:w="2055"/>
      </w:tblGrid>
      <w:tr w:rsidR="006F5238" w:rsidRPr="00791593" w14:paraId="357A4192" w14:textId="77777777" w:rsidTr="006F5238">
        <w:trPr>
          <w:jc w:val="center"/>
        </w:trPr>
        <w:tc>
          <w:tcPr>
            <w:tcW w:w="2693" w:type="dxa"/>
          </w:tcPr>
          <w:p w14:paraId="08740545" w14:textId="77777777" w:rsidR="006F5238" w:rsidRPr="00791593" w:rsidRDefault="006F5238" w:rsidP="006F5238">
            <w:pPr>
              <w:spacing w:before="120" w:after="120"/>
              <w:ind w:left="567" w:right="567"/>
              <w:rPr>
                <w:rFonts w:ascii="Arial" w:hAnsi="Arial" w:cs="Arial"/>
                <w:sz w:val="18"/>
                <w:szCs w:val="18"/>
                <w:lang w:eastAsia="en-US"/>
              </w:rPr>
            </w:pPr>
          </w:p>
        </w:tc>
        <w:tc>
          <w:tcPr>
            <w:tcW w:w="1801" w:type="dxa"/>
          </w:tcPr>
          <w:p w14:paraId="65FAD240"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w:t>
            </w:r>
          </w:p>
        </w:tc>
        <w:tc>
          <w:tcPr>
            <w:tcW w:w="2055" w:type="dxa"/>
          </w:tcPr>
          <w:p w14:paraId="6260C534"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w:t>
            </w:r>
          </w:p>
        </w:tc>
      </w:tr>
      <w:tr w:rsidR="006F5238" w:rsidRPr="00791593" w14:paraId="28DD55AB" w14:textId="77777777" w:rsidTr="006F5238">
        <w:trPr>
          <w:jc w:val="center"/>
        </w:trPr>
        <w:tc>
          <w:tcPr>
            <w:tcW w:w="2693" w:type="dxa"/>
          </w:tcPr>
          <w:p w14:paraId="2E32442C"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Votación total</w:t>
            </w:r>
          </w:p>
        </w:tc>
        <w:tc>
          <w:tcPr>
            <w:tcW w:w="1801" w:type="dxa"/>
          </w:tcPr>
          <w:p w14:paraId="596E266C"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3,220</w:t>
            </w:r>
          </w:p>
        </w:tc>
        <w:tc>
          <w:tcPr>
            <w:tcW w:w="2055" w:type="dxa"/>
          </w:tcPr>
          <w:p w14:paraId="71C4E049"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100</w:t>
            </w:r>
          </w:p>
        </w:tc>
      </w:tr>
      <w:tr w:rsidR="006F5238" w:rsidRPr="00791593" w14:paraId="0CE17B4B" w14:textId="77777777" w:rsidTr="006F5238">
        <w:trPr>
          <w:jc w:val="center"/>
        </w:trPr>
        <w:tc>
          <w:tcPr>
            <w:tcW w:w="2693" w:type="dxa"/>
          </w:tcPr>
          <w:p w14:paraId="4E2C526B"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Primer Lugar</w:t>
            </w:r>
          </w:p>
        </w:tc>
        <w:tc>
          <w:tcPr>
            <w:tcW w:w="1801" w:type="dxa"/>
          </w:tcPr>
          <w:p w14:paraId="1562AFC9"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1,794</w:t>
            </w:r>
          </w:p>
        </w:tc>
        <w:tc>
          <w:tcPr>
            <w:tcW w:w="2055" w:type="dxa"/>
          </w:tcPr>
          <w:p w14:paraId="05FE6E7E"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55.7142</w:t>
            </w:r>
          </w:p>
        </w:tc>
      </w:tr>
      <w:tr w:rsidR="006F5238" w:rsidRPr="00791593" w14:paraId="67AA8C5A" w14:textId="77777777" w:rsidTr="006F5238">
        <w:trPr>
          <w:jc w:val="center"/>
        </w:trPr>
        <w:tc>
          <w:tcPr>
            <w:tcW w:w="2693" w:type="dxa"/>
          </w:tcPr>
          <w:p w14:paraId="4143A378"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Segundo lugar</w:t>
            </w:r>
          </w:p>
        </w:tc>
        <w:tc>
          <w:tcPr>
            <w:tcW w:w="1801" w:type="dxa"/>
          </w:tcPr>
          <w:p w14:paraId="5AE30769"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1,426</w:t>
            </w:r>
          </w:p>
        </w:tc>
        <w:tc>
          <w:tcPr>
            <w:tcW w:w="2055" w:type="dxa"/>
          </w:tcPr>
          <w:p w14:paraId="52A038A9"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44.2857</w:t>
            </w:r>
          </w:p>
        </w:tc>
      </w:tr>
      <w:tr w:rsidR="006F5238" w:rsidRPr="00791593" w14:paraId="395624BD" w14:textId="77777777" w:rsidTr="006F5238">
        <w:trPr>
          <w:jc w:val="center"/>
        </w:trPr>
        <w:tc>
          <w:tcPr>
            <w:tcW w:w="2693" w:type="dxa"/>
          </w:tcPr>
          <w:p w14:paraId="14D73430"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Diferencia</w:t>
            </w:r>
          </w:p>
        </w:tc>
        <w:tc>
          <w:tcPr>
            <w:tcW w:w="1801" w:type="dxa"/>
          </w:tcPr>
          <w:p w14:paraId="1EF9C099"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368</w:t>
            </w:r>
          </w:p>
        </w:tc>
        <w:tc>
          <w:tcPr>
            <w:tcW w:w="2055" w:type="dxa"/>
          </w:tcPr>
          <w:p w14:paraId="6E5E7908"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11.42</w:t>
            </w:r>
          </w:p>
        </w:tc>
      </w:tr>
    </w:tbl>
    <w:p w14:paraId="38CC31D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Expresión de la voluntad ciudadana que no puede verse sancionada por pequeñas inconsistencias formales, que encuentra explicación y son subsanables.</w:t>
      </w:r>
    </w:p>
    <w:p w14:paraId="0C9FD98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Ahora bien, debe señalarse que no obstante de que el acta electiva no contiene el total de firmas de quienes fungieron como mesa de los debates, sí contiene la de los siguientes funcionarios:</w:t>
      </w: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221"/>
        <w:gridCol w:w="3197"/>
      </w:tblGrid>
      <w:tr w:rsidR="006F5238" w:rsidRPr="00791593" w14:paraId="27A1165C" w14:textId="77777777" w:rsidTr="006F5238">
        <w:trPr>
          <w:trHeight w:val="20"/>
          <w:tblHeader/>
          <w:jc w:val="center"/>
        </w:trPr>
        <w:tc>
          <w:tcPr>
            <w:tcW w:w="5418" w:type="dxa"/>
            <w:gridSpan w:val="2"/>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6B689ECD" w14:textId="77777777" w:rsidR="006F5238" w:rsidRPr="00791593" w:rsidRDefault="006F5238" w:rsidP="006F5238">
            <w:pPr>
              <w:spacing w:before="120" w:after="120" w:line="240" w:lineRule="auto"/>
              <w:ind w:left="567" w:right="567"/>
              <w:jc w:val="center"/>
              <w:rPr>
                <w:rFonts w:ascii="Arial" w:eastAsia="Calibri" w:hAnsi="Arial" w:cs="Arial"/>
                <w:b/>
                <w:sz w:val="18"/>
                <w:szCs w:val="18"/>
              </w:rPr>
            </w:pPr>
            <w:r w:rsidRPr="00791593">
              <w:rPr>
                <w:rFonts w:ascii="Arial" w:eastAsia="Calibri" w:hAnsi="Arial" w:cs="Arial"/>
                <w:b/>
                <w:sz w:val="18"/>
                <w:szCs w:val="18"/>
              </w:rPr>
              <w:t>Autoridades que firman el Acta de elección de autoridades Municipales</w:t>
            </w:r>
          </w:p>
        </w:tc>
      </w:tr>
      <w:tr w:rsidR="006F5238" w:rsidRPr="00791593" w14:paraId="72CA3678" w14:textId="77777777" w:rsidTr="006F5238">
        <w:trPr>
          <w:trHeight w:val="20"/>
          <w:tblHeader/>
          <w:jc w:val="center"/>
        </w:trPr>
        <w:tc>
          <w:tcPr>
            <w:tcW w:w="2221" w:type="dxa"/>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69E392DF" w14:textId="77777777" w:rsidR="006F5238" w:rsidRPr="00791593" w:rsidRDefault="006F5238" w:rsidP="006F5238">
            <w:pPr>
              <w:spacing w:before="120" w:after="120" w:line="240" w:lineRule="auto"/>
              <w:ind w:left="567" w:right="567"/>
              <w:jc w:val="center"/>
              <w:rPr>
                <w:rFonts w:ascii="Arial" w:eastAsia="Calibri" w:hAnsi="Arial" w:cs="Arial"/>
                <w:b/>
                <w:sz w:val="18"/>
                <w:szCs w:val="18"/>
              </w:rPr>
            </w:pPr>
            <w:r w:rsidRPr="00791593">
              <w:rPr>
                <w:rFonts w:ascii="Arial" w:eastAsia="Calibri" w:hAnsi="Arial" w:cs="Arial"/>
                <w:b/>
                <w:sz w:val="18"/>
                <w:szCs w:val="18"/>
              </w:rPr>
              <w:t>Cargo</w:t>
            </w:r>
          </w:p>
        </w:tc>
        <w:tc>
          <w:tcPr>
            <w:tcW w:w="3197" w:type="dxa"/>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5A8671D7" w14:textId="77777777" w:rsidR="006F5238" w:rsidRPr="00791593" w:rsidRDefault="006F5238" w:rsidP="006F5238">
            <w:pPr>
              <w:spacing w:before="120" w:after="120" w:line="240" w:lineRule="auto"/>
              <w:ind w:left="567" w:right="567"/>
              <w:jc w:val="center"/>
              <w:rPr>
                <w:rFonts w:ascii="Arial" w:eastAsia="Calibri" w:hAnsi="Arial" w:cs="Arial"/>
                <w:b/>
                <w:sz w:val="18"/>
                <w:szCs w:val="18"/>
              </w:rPr>
            </w:pPr>
            <w:r w:rsidRPr="00791593">
              <w:rPr>
                <w:rFonts w:ascii="Arial" w:eastAsia="Calibri" w:hAnsi="Arial" w:cs="Arial"/>
                <w:b/>
                <w:sz w:val="18"/>
                <w:szCs w:val="18"/>
              </w:rPr>
              <w:t>Nombre</w:t>
            </w:r>
          </w:p>
        </w:tc>
      </w:tr>
      <w:tr w:rsidR="006F5238" w:rsidRPr="00791593" w14:paraId="615D45FE" w14:textId="77777777" w:rsidTr="006F5238">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529892FA"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Secretario</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424B648D"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Abraham Abdiel Santos Cortes</w:t>
            </w:r>
          </w:p>
        </w:tc>
      </w:tr>
      <w:tr w:rsidR="006F5238" w:rsidRPr="00791593" w14:paraId="7DE25E60" w14:textId="77777777" w:rsidTr="006F5238">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52531A22"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Primer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591E63AA"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Teresa Zavaleta Cruz</w:t>
            </w:r>
          </w:p>
        </w:tc>
      </w:tr>
      <w:tr w:rsidR="006F5238" w:rsidRPr="00791593" w14:paraId="24B3ADF0" w14:textId="77777777" w:rsidTr="006F5238">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704B7F1C"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Segundo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1B58474A"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Oscar López Ramírez</w:t>
            </w:r>
          </w:p>
        </w:tc>
      </w:tr>
      <w:tr w:rsidR="006F5238" w:rsidRPr="00791593" w14:paraId="7EF9C8E7" w14:textId="77777777" w:rsidTr="006F5238">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1C2491AD"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Tercer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41F56A3F"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Miguel Ávila Trujillo</w:t>
            </w:r>
          </w:p>
        </w:tc>
      </w:tr>
      <w:tr w:rsidR="006F5238" w:rsidRPr="00791593" w14:paraId="461C70C3" w14:textId="77777777" w:rsidTr="006F5238">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4F9D33D6"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lastRenderedPageBreak/>
              <w:t>Octavo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5CDA8490"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Ubaldo Morales Salazar</w:t>
            </w:r>
          </w:p>
        </w:tc>
      </w:tr>
      <w:tr w:rsidR="006F5238" w:rsidRPr="00791593" w14:paraId="1EAFB5E7" w14:textId="77777777" w:rsidTr="006F5238">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4C1ECA9F"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Noveno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5450112C"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Felipe Pérez de Jesús</w:t>
            </w:r>
          </w:p>
        </w:tc>
      </w:tr>
      <w:tr w:rsidR="006F5238" w:rsidRPr="00791593" w14:paraId="6769AC2C" w14:textId="77777777" w:rsidTr="006F5238">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55E22E7E"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Décimo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611E6DDD"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Rosa Elia García López</w:t>
            </w:r>
          </w:p>
        </w:tc>
      </w:tr>
      <w:tr w:rsidR="006F5238" w:rsidRPr="00791593" w14:paraId="189B2A6D" w14:textId="77777777" w:rsidTr="006F5238">
        <w:trPr>
          <w:trHeight w:val="20"/>
          <w:jc w:val="center"/>
        </w:trPr>
        <w:tc>
          <w:tcPr>
            <w:tcW w:w="2221" w:type="dxa"/>
            <w:tcBorders>
              <w:top w:val="double" w:sz="4" w:space="0" w:color="76923C"/>
              <w:left w:val="double" w:sz="4" w:space="0" w:color="76923C"/>
              <w:bottom w:val="double" w:sz="4" w:space="0" w:color="76923C"/>
              <w:right w:val="double" w:sz="4" w:space="0" w:color="76923C"/>
            </w:tcBorders>
            <w:vAlign w:val="center"/>
            <w:hideMark/>
          </w:tcPr>
          <w:p w14:paraId="5BFEFB9C"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Doceavo Escrutador</w:t>
            </w:r>
          </w:p>
        </w:tc>
        <w:tc>
          <w:tcPr>
            <w:tcW w:w="3197" w:type="dxa"/>
            <w:tcBorders>
              <w:top w:val="double" w:sz="4" w:space="0" w:color="76923C"/>
              <w:left w:val="double" w:sz="4" w:space="0" w:color="76923C"/>
              <w:bottom w:val="double" w:sz="4" w:space="0" w:color="76923C"/>
              <w:right w:val="double" w:sz="4" w:space="0" w:color="76923C"/>
            </w:tcBorders>
            <w:vAlign w:val="center"/>
            <w:hideMark/>
          </w:tcPr>
          <w:p w14:paraId="60077187" w14:textId="77777777" w:rsidR="006F5238" w:rsidRPr="00791593" w:rsidRDefault="006F5238" w:rsidP="006F5238">
            <w:pPr>
              <w:spacing w:before="120" w:after="120" w:line="240" w:lineRule="auto"/>
              <w:ind w:left="567" w:right="567"/>
              <w:jc w:val="center"/>
              <w:rPr>
                <w:rFonts w:ascii="Arial" w:eastAsia="Calibri" w:hAnsi="Arial" w:cs="Arial"/>
                <w:sz w:val="18"/>
                <w:szCs w:val="18"/>
              </w:rPr>
            </w:pPr>
            <w:r w:rsidRPr="00791593">
              <w:rPr>
                <w:rFonts w:ascii="Arial" w:eastAsia="Calibri" w:hAnsi="Arial" w:cs="Arial"/>
                <w:sz w:val="18"/>
                <w:szCs w:val="18"/>
              </w:rPr>
              <w:t>Gilberto Félix Gracida Luengas</w:t>
            </w:r>
          </w:p>
        </w:tc>
      </w:tr>
    </w:tbl>
    <w:p w14:paraId="13B75E09"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ahí que, no obstante de que la autoridad Municipal ni doce escrutadores quisieron firmar, tal circunstancia no es suficiente para dejar invalidada la asamblea electiva.</w:t>
      </w:r>
    </w:p>
    <w:p w14:paraId="7C9F28D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00EF2C2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 anterior, porque en el caso, debe privilegiarse la conservación del acto público válidamente celebrado, que implica que lo útil no puede ser viciado por lo inútil; y bajo ese principio se estima que no puede quedar en la potestad de los ciudadanos que dirigen la asamblea, y que a la postre se nieguen a firmar el acta, la libre determinación de la comunidad de decidir en la elección de sus autoridades, de lo contrario se incurriría en el absurdo de sostener que la validez de los actos electivos realizados por el órgano soberano —Asamblea General Comunitaria —, se encontraría sujeto a una minoría por el hecho de dirigir el acto, lo cual no es posible, porque ello implicaría someter la decisión de su validez, a una minoría, cuando en la decisión electiva reside en el citado órgano soberano.</w:t>
      </w:r>
    </w:p>
    <w:p w14:paraId="727CCE6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3907D64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También, se considera que no es dable sostener, como lo señaló el Tribunal local que la certificación del Secretario de la Mesa de los Debates relativa a la falta de firmas de los escrutadores y de la autoridad municipal, no tenga tal alcance por haberse suscrito por un ciudadano más que participó en el acto electivo, porque tal premisa, desnaturaliza las facultades que como todo Secretario de un órgano tiene, de ahí que contario a lo expuesto por el tribunal responsable para el caso de la Mesa de los Debates, el Secretario ti3ene fe para hacer constar, cualquier tipo de incidencia.</w:t>
      </w:r>
    </w:p>
    <w:p w14:paraId="7CB5683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566D00A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En ese sentido, al tener en cuenta tanto la fe de hechos notarial como la certificación dan cuenta de tal incidencia, según se deja de relieve en el siguiente recuadro:</w:t>
      </w:r>
    </w:p>
    <w:p w14:paraId="2EBF7A9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tbl>
      <w:tblPr>
        <w:tblStyle w:val="Tablaconcuadrcula4"/>
        <w:tblW w:w="7845" w:type="dxa"/>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ayout w:type="fixed"/>
        <w:tblLook w:val="04A0" w:firstRow="1" w:lastRow="0" w:firstColumn="1" w:lastColumn="0" w:noHBand="0" w:noVBand="1"/>
      </w:tblPr>
      <w:tblGrid>
        <w:gridCol w:w="1163"/>
        <w:gridCol w:w="6682"/>
      </w:tblGrid>
      <w:tr w:rsidR="006F5238" w:rsidRPr="00791593" w14:paraId="25F33C26" w14:textId="77777777" w:rsidTr="006F5238">
        <w:trPr>
          <w:trHeight w:val="222"/>
        </w:trPr>
        <w:tc>
          <w:tcPr>
            <w:tcW w:w="7845" w:type="dxa"/>
            <w:gridSpan w:val="2"/>
            <w:shd w:val="pct15" w:color="76923C" w:fill="auto"/>
          </w:tcPr>
          <w:p w14:paraId="02CDA302" w14:textId="77777777" w:rsidR="006F5238" w:rsidRPr="00791593" w:rsidRDefault="006F5238" w:rsidP="006F5238">
            <w:pPr>
              <w:jc w:val="center"/>
              <w:rPr>
                <w:rFonts w:ascii="Arial" w:hAnsi="Arial" w:cs="Arial"/>
                <w:b/>
              </w:rPr>
            </w:pPr>
            <w:r w:rsidRPr="00791593">
              <w:rPr>
                <w:rFonts w:ascii="Arial" w:hAnsi="Arial" w:cs="Arial"/>
                <w:b/>
              </w:rPr>
              <w:t>Comparativa: Acta Notarial y Certificación del Secretario</w:t>
            </w:r>
          </w:p>
        </w:tc>
      </w:tr>
      <w:tr w:rsidR="006F5238" w:rsidRPr="00791593" w14:paraId="537FAC7D" w14:textId="77777777" w:rsidTr="006F5238">
        <w:trPr>
          <w:trHeight w:val="214"/>
        </w:trPr>
        <w:tc>
          <w:tcPr>
            <w:tcW w:w="7845" w:type="dxa"/>
            <w:gridSpan w:val="2"/>
            <w:shd w:val="pct15" w:color="76923C" w:fill="auto"/>
          </w:tcPr>
          <w:p w14:paraId="7F574F07" w14:textId="77777777" w:rsidR="006F5238" w:rsidRPr="00791593" w:rsidRDefault="006F5238" w:rsidP="006F5238">
            <w:pPr>
              <w:jc w:val="center"/>
              <w:rPr>
                <w:rFonts w:ascii="Arial" w:hAnsi="Arial" w:cs="Arial"/>
                <w:b/>
              </w:rPr>
            </w:pPr>
            <w:r w:rsidRPr="00791593">
              <w:rPr>
                <w:rFonts w:ascii="Arial" w:hAnsi="Arial" w:cs="Arial"/>
                <w:b/>
              </w:rPr>
              <w:t>• Resultados</w:t>
            </w:r>
          </w:p>
        </w:tc>
      </w:tr>
      <w:tr w:rsidR="006F5238" w:rsidRPr="00791593" w14:paraId="50D68200" w14:textId="77777777" w:rsidTr="006F5238">
        <w:trPr>
          <w:trHeight w:val="1266"/>
        </w:trPr>
        <w:tc>
          <w:tcPr>
            <w:tcW w:w="1163" w:type="dxa"/>
          </w:tcPr>
          <w:p w14:paraId="64091571" w14:textId="77777777" w:rsidR="006F5238" w:rsidRPr="00791593" w:rsidRDefault="006F5238" w:rsidP="006F5238">
            <w:pPr>
              <w:jc w:val="both"/>
              <w:rPr>
                <w:rFonts w:ascii="Arial" w:hAnsi="Arial" w:cs="Arial"/>
              </w:rPr>
            </w:pPr>
            <w:r w:rsidRPr="00791593">
              <w:rPr>
                <w:rFonts w:ascii="Arial" w:hAnsi="Arial" w:cs="Arial"/>
              </w:rPr>
              <w:t>Notarial</w:t>
            </w:r>
          </w:p>
        </w:tc>
        <w:tc>
          <w:tcPr>
            <w:tcW w:w="6682" w:type="dxa"/>
          </w:tcPr>
          <w:p w14:paraId="4B888EAE" w14:textId="77777777" w:rsidR="006F5238" w:rsidRPr="00791593" w:rsidRDefault="006F5238" w:rsidP="006F5238">
            <w:pPr>
              <w:jc w:val="both"/>
              <w:rPr>
                <w:rFonts w:ascii="Arial" w:hAnsi="Arial" w:cs="Arial"/>
              </w:rPr>
            </w:pPr>
            <w:r w:rsidRPr="00791593">
              <w:rPr>
                <w:rFonts w:ascii="Arial" w:hAnsi="Arial" w:cs="Arial"/>
                <w:noProof/>
              </w:rPr>
              <w:drawing>
                <wp:inline distT="0" distB="0" distL="0" distR="0" wp14:anchorId="160FE82D" wp14:editId="7B4AC74F">
                  <wp:extent cx="4128447" cy="859809"/>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4454" cy="861060"/>
                          </a:xfrm>
                          <a:prstGeom prst="rect">
                            <a:avLst/>
                          </a:prstGeom>
                          <a:noFill/>
                          <a:ln>
                            <a:noFill/>
                          </a:ln>
                        </pic:spPr>
                      </pic:pic>
                    </a:graphicData>
                  </a:graphic>
                </wp:inline>
              </w:drawing>
            </w:r>
          </w:p>
        </w:tc>
      </w:tr>
      <w:tr w:rsidR="006F5238" w:rsidRPr="00791593" w14:paraId="724A9003" w14:textId="77777777" w:rsidTr="006F5238">
        <w:trPr>
          <w:trHeight w:val="3634"/>
        </w:trPr>
        <w:tc>
          <w:tcPr>
            <w:tcW w:w="1163" w:type="dxa"/>
            <w:tcBorders>
              <w:bottom w:val="double" w:sz="4" w:space="0" w:color="76923C"/>
            </w:tcBorders>
          </w:tcPr>
          <w:p w14:paraId="50461D34" w14:textId="77777777" w:rsidR="006F5238" w:rsidRPr="00791593" w:rsidRDefault="006F5238" w:rsidP="006F5238">
            <w:pPr>
              <w:jc w:val="both"/>
              <w:rPr>
                <w:rFonts w:ascii="Arial" w:hAnsi="Arial" w:cs="Arial"/>
                <w:sz w:val="19"/>
                <w:szCs w:val="19"/>
              </w:rPr>
            </w:pPr>
            <w:r w:rsidRPr="00791593">
              <w:rPr>
                <w:rFonts w:ascii="Arial" w:hAnsi="Arial" w:cs="Arial"/>
                <w:sz w:val="19"/>
                <w:szCs w:val="19"/>
              </w:rPr>
              <w:t>Secretarial</w:t>
            </w:r>
          </w:p>
        </w:tc>
        <w:tc>
          <w:tcPr>
            <w:tcW w:w="6682" w:type="dxa"/>
            <w:tcBorders>
              <w:bottom w:val="double" w:sz="4" w:space="0" w:color="76923C"/>
            </w:tcBorders>
          </w:tcPr>
          <w:p w14:paraId="2CDB409D" w14:textId="77777777" w:rsidR="006F5238" w:rsidRPr="00791593" w:rsidRDefault="006F5238" w:rsidP="006F5238">
            <w:pPr>
              <w:jc w:val="both"/>
              <w:rPr>
                <w:rFonts w:ascii="Arial" w:hAnsi="Arial" w:cs="Arial"/>
              </w:rPr>
            </w:pPr>
            <w:r w:rsidRPr="00791593">
              <w:rPr>
                <w:rFonts w:ascii="Arial" w:hAnsi="Arial" w:cs="Arial"/>
                <w:noProof/>
              </w:rPr>
              <w:drawing>
                <wp:inline distT="0" distB="0" distL="0" distR="0" wp14:anchorId="7ECD0E0B" wp14:editId="1BA0AF03">
                  <wp:extent cx="4148920" cy="2468113"/>
                  <wp:effectExtent l="0" t="0" r="444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50210" cy="2468880"/>
                          </a:xfrm>
                          <a:prstGeom prst="rect">
                            <a:avLst/>
                          </a:prstGeom>
                          <a:noFill/>
                          <a:ln>
                            <a:noFill/>
                          </a:ln>
                        </pic:spPr>
                      </pic:pic>
                    </a:graphicData>
                  </a:graphic>
                </wp:inline>
              </w:drawing>
            </w:r>
          </w:p>
        </w:tc>
      </w:tr>
    </w:tbl>
    <w:p w14:paraId="3183C02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Así, a consideración de esta Sala Regional la certificación levantada por Secretario de la Mesa de los Debates en la que hizo constar la negativa de diversos escrutadores y la autoridad municipal de firmar el acta del desarrollo de la Asamblea electiva, adquiere pleno valor probatorio, máxime cuando la circunstancia que hizo constar dicho Secretario es coincidente con la hecha constar por el Notario Público.</w:t>
      </w:r>
    </w:p>
    <w:p w14:paraId="266F2B6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 lo que se advierte que tanto diversos integrantes de la mesa de los debates, así como la autoridad municipal, una vez que se les hicieron saber los resultados optaron por negarse a firmar el acta, lo que deja de relieve que el cómputo concluyó, y que su falta de firma no obedeció a que no se encontraran presentes, sino a su negativa a firmar dicho documento, lo que de modo alguno le resta certeza.</w:t>
      </w:r>
    </w:p>
    <w:p w14:paraId="11E1C23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Conforme con lo anterior, se estima que la responsable debió apreciar las constancias en las que se puede verificar la celebración del acto electivo de acuerdo a las reglas de la experiencia, la lógica, y la sana crítica, teniendo en cuenta las circuntancias que rodean este tipo de elecciones y no sólo bajo la exigencias de formalidades.</w:t>
      </w:r>
    </w:p>
    <w:p w14:paraId="1CE4E57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En efecto, no puede soslayarse que los ciudadanos que se eligen para integrar la Mesa de los Debates son electores con preferencia por algún </w:t>
      </w:r>
      <w:r w:rsidRPr="00791593">
        <w:rPr>
          <w:rFonts w:ascii="Arial" w:eastAsia="Calibri" w:hAnsi="Arial" w:cs="Arial"/>
          <w:sz w:val="24"/>
          <w:szCs w:val="24"/>
        </w:rPr>
        <w:lastRenderedPageBreak/>
        <w:t>candidato, situación que provoca que no todos firmen las actas, aun cuando deban hacerlo, incluso asiste la razón al enjuiciante que en el acta de veintidós de septiembre, relativa a la determinación del método de la elección, algunos integrantes de la Mesa de los Debates, tampoco quisieron firmarla por no estar de acuerdo con lo ahí acordado.</w:t>
      </w:r>
    </w:p>
    <w:p w14:paraId="1442E6A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Cabe referir sobre el tema, que quienes no quisieron firmar el acta, pretendían que el método se realizara mediante boletas, urnas y credencial de elector, bajo la premisa de dotar de certeza el acto electivo, propuesta hecha por el candidato que finalmente resultó ganador la cual no fue aceptada, ya que se acordó que se realizara conforme a sus costumbres que sería anotando en un pizarrón voto a voto de los ciudadanos presentes en la asamblea.</w:t>
      </w:r>
    </w:p>
    <w:p w14:paraId="6596B2BC"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La conducta anterior, se corrobora dado que en última minuta de trabajo, levantada con motivo de la reunión conciliatoria celebrada el cuatro de diciembre de dos mil trece, ante la Dirección Ejecutiva de Sistemas Normativos Internos del Instituto Estatal Electoral y de Participación Ciudadana de Oaxaca, entre la autoridad municipal, autoridades de los centros de población, ante la falta de avenencia de los inconformes, éstos se negaron a firmar dicha minuta.</w:t>
      </w:r>
    </w:p>
    <w:p w14:paraId="6153C6F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 anterior, permite concluir conforme, que para ambos grupos representativos, los electos y los inconformes con los resultados, no firmar las actas como constancia de su inconformidad, pero ello de modo alguno deja inexistente el acto.</w:t>
      </w:r>
    </w:p>
    <w:p w14:paraId="6605B8F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Aunado al hecho, que en el caso existen elementos para constatar de manera indubitable la participación electiva y sus resultados, es suficiente para superar la inconsistencia relativa a la falta de firma de la autoridad municipal y de la mayoría de los escrutadores.</w:t>
      </w:r>
    </w:p>
    <w:p w14:paraId="0494D80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Por otra parte, tal como lo sostiene los enjuiciantes aun ante la falta de listas de asistentes de la asamblea electiva, ese hecho no conlleva por sí sólo a la falta de certeza sobre la realización de la asamblea, porque como se señaló, en el caso existen otros elementos a través de los cuales es verificable el acto electivo.</w:t>
      </w:r>
    </w:p>
    <w:p w14:paraId="5D2F922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 anterior, se sostiene porque si bien lo deseable es contar con elementos que dejen constancia de todo lo realizado en los procesos electivos, la responsable pasó por alto que se trata de una comunidad indígena en donde las personas que integran las mesas de los debates no son profesionales, ni personas capacitadas para las actividades de la Asamblea, de ahí que no debe exigirse formalismos excesivos en la conformación de las actas, y documentos, o que el expediente deba ser integrado perfectamente.</w:t>
      </w:r>
    </w:p>
    <w:p w14:paraId="0505C7D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efecto, el Tribunal local no tomó en cuenta que quienes participan en la conformación del órgano de dirección del proceso comicial, son personas cuya profesionalización no puede constatarse y por tanto exigir una actuación impecable.</w:t>
      </w:r>
    </w:p>
    <w:p w14:paraId="49CF6FD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 xml:space="preserve">Incluso, esta premisa constituye una razón esencial de la jurisprudencia </w:t>
      </w:r>
      <w:r w:rsidRPr="00791593">
        <w:rPr>
          <w:rFonts w:ascii="Arial" w:eastAsia="Calibri" w:hAnsi="Arial" w:cs="Arial"/>
          <w:b/>
          <w:sz w:val="24"/>
          <w:szCs w:val="24"/>
        </w:rPr>
        <w:t>9/98</w:t>
      </w:r>
      <w:r w:rsidRPr="00791593">
        <w:rPr>
          <w:rFonts w:ascii="Arial" w:eastAsia="Calibri" w:hAnsi="Arial" w:cs="Arial"/>
          <w:sz w:val="24"/>
          <w:szCs w:val="24"/>
        </w:rPr>
        <w:t xml:space="preserve"> de rubro: </w:t>
      </w:r>
      <w:r w:rsidRPr="00791593">
        <w:rPr>
          <w:rFonts w:ascii="Arial" w:eastAsia="Calibri" w:hAnsi="Arial" w:cs="Arial"/>
          <w:b/>
          <w:sz w:val="24"/>
          <w:szCs w:val="24"/>
        </w:rPr>
        <w:t>“PRINCIPIO DE CONSERVACIÓN DE LOS ACTOS PÚBLICOS VÁLIDAMENTE CELEBRADOS. SU APLICACIÓN EN LA DETERMINACIÓN DE LA NULIDAD DE CIERTA VOTACIÓN, CÓMPUTO O ELECCIÓN”</w:t>
      </w:r>
      <w:r w:rsidRPr="00791593">
        <w:rPr>
          <w:rFonts w:ascii="Arial" w:eastAsia="Calibri" w:hAnsi="Arial" w:cs="Arial"/>
          <w:sz w:val="24"/>
          <w:szCs w:val="24"/>
          <w:vertAlign w:val="superscript"/>
        </w:rPr>
        <w:t>90</w:t>
      </w:r>
      <w:r w:rsidRPr="00791593">
        <w:rPr>
          <w:rFonts w:ascii="Arial" w:eastAsia="Calibri" w:hAnsi="Arial" w:cs="Arial"/>
          <w:sz w:val="24"/>
          <w:szCs w:val="24"/>
        </w:rPr>
        <w:t xml:space="preserve"> la cual razona sobre el tema que la votación obtenida en una casilla no debe ser viciada por las irregularidades e imperfecciones menores que sean cometidas por un órgano electoral no especializado ni profesional.</w:t>
      </w:r>
    </w:p>
    <w:p w14:paraId="36039AC6" w14:textId="77777777" w:rsidR="006F5238" w:rsidRPr="00791593" w:rsidRDefault="006F5238" w:rsidP="006F5238">
      <w:pPr>
        <w:spacing w:before="120" w:after="120" w:line="240" w:lineRule="auto"/>
        <w:ind w:left="567" w:right="567"/>
        <w:jc w:val="both"/>
        <w:rPr>
          <w:rFonts w:ascii="Arial" w:eastAsia="Calibri" w:hAnsi="Arial" w:cs="Arial"/>
          <w:sz w:val="24"/>
          <w:szCs w:val="24"/>
          <w:vertAlign w:val="superscript"/>
        </w:rPr>
      </w:pPr>
      <w:r w:rsidRPr="00791593">
        <w:rPr>
          <w:rFonts w:ascii="Arial" w:eastAsia="Calibri" w:hAnsi="Arial" w:cs="Arial"/>
          <w:sz w:val="24"/>
          <w:szCs w:val="24"/>
          <w:vertAlign w:val="superscript"/>
        </w:rPr>
        <w:t>90 Consultable en la Compilación 1997-2013, Jurisprudencia y tesis en materia electoral 1997-2013, Jurisprudencia, Volumen 1, pp. 532 a 534.</w:t>
      </w:r>
    </w:p>
    <w:p w14:paraId="435572D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Criterio, que si bien evidentemente deriva del análisis de elecciones de partidos políticos, por mayoría de razón resulta orientadora para sostener que en el caso de elecciones regidas por sistemas normativos internos no puede exigírsele a las actas levantadas con motivo de las Asambleas Electivas, requisitos formales en demasía, si se tiene en cuenta, que las personas encargadas de formularlas son habitantes de la comunidad, a quienes incluso no se les capacita para dicho acto, no trabajan sobre un formato, como si ocurre en las elecciones de partidos políticos, a quienes se les instruye detalladamente sobre la conformación del expediente electoral.</w:t>
      </w:r>
    </w:p>
    <w:p w14:paraId="4022DAC6"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Además, no puede establecerse como válida la exigencia de contar con un listado de ciudadanos participantes en el procedimiento electivo, si tenemos en cuenta que conforme con lo dispuesto por el artículo 261, párrafo 2, del código comicial local del Estado de Oaxaca únicamente señala que en la jornada electoral habrán de observarse las disposiciones, procedimientos y mecanismos, definidos en sus sistemas normativos internos para el desarrollo de la elección, y que al final de la elección se elaborará un acta en la que deberán firmar los integrantes del órgano que presidió el procedimiento de elección, las personas de la municipalidad que por costumbre deban hacerlo y que hayan asistido, así como por los ciudadanos que en ella intervinieron y quienes se considere pertinente.</w:t>
      </w:r>
    </w:p>
    <w:p w14:paraId="142FBAC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tal sentido, se estima que para verificar el tamiz de legalidad de los actos realizados con motivo de las elecciones de Sistemas Normativos Internos no pueden pedirse mayores requisitos a los establecidos por el legislador local, por el contrario para analizar su regularidad legal, deben ser flexibilizados los dispositivos a fin de no anular el acto público por pequeñas inconsistencias.</w:t>
      </w:r>
    </w:p>
    <w:p w14:paraId="061CCD12"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Ahora bien, debe señalarse que tal y como lo sostienen los enjuiciantes el Tribunal Local, en todo caso, al percatarse de la inexistencia de las listas debió requerir su exhibición a la autoridad electoral, e incluso a quienes fungieron como mesa de los debates y no anular sin más, la elección.</w:t>
      </w:r>
    </w:p>
    <w:p w14:paraId="19F3D32E"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En efecto, porque cuando se trata de analizar la validez de una elección, es decir, un acto público consistente en la expresión de ciudadana sobre su voluntad para determinar de manera democrática a sus representantes, no puede concluirse su nulidad mediante una apreciación prima facie de la falta de certeza, sino que ante la consumación del acto público, habrá de verificarse si efectivamente esa falta de certeza se encuentra constatada.</w:t>
      </w:r>
    </w:p>
    <w:p w14:paraId="39F9428F"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El anterior pronunciamiento resulta necesario, porque los enjuciantes exhiben de manera superveniente un legajo de firmas con las que pretenden probar la existencia de las listas de asistencia en el procedimiento electivo, sin embargo derivado de que son aportadas por una de las partes, y si bien pueden generar presunción de haber sido las utilizadas en el desarrollo de la asamblea electiva, su fuerza convictiva se encuentra desvanecida, ya que al tratarse de listados de nombres y firmas, sin mecanismos de seguridad sobre su manejo, no se les puede conceder el pleno valor para probar lo deseado por los enjuiciantes.</w:t>
      </w:r>
    </w:p>
    <w:p w14:paraId="2A7B404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Sobre tal extremo, asiste la razón a los actores de que dichos documentos debieron ser requeridos por la responsable al órgano que dirigió a la Asamblea, máxime cuando la falta de estos, sirvió de base para considerar la falta de certeza en el procedimiento electivo, la cual como se dijo, no se comparte.</w:t>
      </w:r>
    </w:p>
    <w:p w14:paraId="555E36A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Por otra parte, tampoco resulta dable la apreciación del Tribunal local consistente en que el testimonio notarial perdió fuerza, porque quien contrato los servicios notariales fueron los propios actores del presente juicio, ya que con tal premisa además de ir en contra de las disposiciones del código comicial local que permite que cualquier ciudadano pueda contratar los servicios notariales, va en contra del principio de imparcialidad y objetividad que rige la función notarial, la cual no puede verse mermada bajo el quien esté a cargo del costo de los honorarios del Notario.</w:t>
      </w:r>
    </w:p>
    <w:p w14:paraId="1A6310AA"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Lo anterior es así, porque los Notarios Públicos tienen el deber de hacer constar, de conformidad con lo dispuesto por el artículo 63, fracción XIII, inciso e), de la Ley del Notariado para el Estado de Oaxaca sólo lo percibido por sus sentidos sin que se pueda sostener su envestidura de buena fe, bajo el argumento de quien contrato sus servicios, en todo caso lo constatado por el notario para ser desvirtuado debe ser probado, lo que en el caso no acontece.</w:t>
      </w:r>
    </w:p>
    <w:p w14:paraId="6583107D"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sz w:val="24"/>
          <w:szCs w:val="24"/>
        </w:rPr>
        <w:t xml:space="preserve">No es óbice a lo referido, que el Tribunal Electoral responsable para anular la elección también haya considerado que no existían en autos las actas de las asambleas de los nueve regidores que también integran el cabildo, lo cual en su concepto resta certeza a la elección de Concejales del Municipio de </w:t>
      </w:r>
      <w:r w:rsidRPr="00791593">
        <w:rPr>
          <w:rFonts w:ascii="Arial" w:eastAsia="Calibri" w:hAnsi="Arial" w:cs="Arial"/>
          <w:b/>
          <w:sz w:val="24"/>
          <w:szCs w:val="24"/>
        </w:rPr>
        <w:t>San Sebastián Tecomaxtlahuaca, Juxtlahuaca, Oaxaca.</w:t>
      </w:r>
    </w:p>
    <w:p w14:paraId="701C773B"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lastRenderedPageBreak/>
        <w:t>Lo anterior, en primer lugar porque de conformidad con las constancias que obran en autos, se advierte que por costumbre la elección de los Regidores, con excepción del de Hacienda y Educación, se realiza previamente en las comunidades que forman parte del municipio citado.</w:t>
      </w:r>
    </w:p>
    <w:p w14:paraId="0F16FAE3"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Así, en la Acta General Comunitaria de la pasada elección de siete de noviembre de dos mil diez, de Concejales de autoridades municipales de las comunidades de </w:t>
      </w:r>
      <w:r w:rsidRPr="00791593">
        <w:rPr>
          <w:rFonts w:ascii="Arial" w:eastAsia="Calibri" w:hAnsi="Arial" w:cs="Arial"/>
          <w:b/>
          <w:sz w:val="24"/>
          <w:szCs w:val="24"/>
        </w:rPr>
        <w:t>San Sebastián Tecomaxtlahuaca, Juxtlahuaca, Oaxaca,</w:t>
      </w:r>
      <w:r w:rsidRPr="00791593">
        <w:rPr>
          <w:rFonts w:ascii="Arial" w:eastAsia="Calibri" w:hAnsi="Arial" w:cs="Arial"/>
          <w:sz w:val="24"/>
          <w:szCs w:val="24"/>
        </w:rPr>
        <w:t xml:space="preserve"> se señala que los regidores que fueron nombrados previamente por sus respectivas comunidades eran:</w:t>
      </w:r>
    </w:p>
    <w:p w14:paraId="7FA3920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tbl>
      <w:tblPr>
        <w:tblStyle w:val="Tablaconcuadrcula3"/>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601"/>
        <w:gridCol w:w="2771"/>
        <w:gridCol w:w="2377"/>
      </w:tblGrid>
      <w:tr w:rsidR="006F5238" w:rsidRPr="00791593" w14:paraId="6F96746F" w14:textId="77777777" w:rsidTr="006F5238">
        <w:trPr>
          <w:trHeight w:val="20"/>
          <w:tblHeader/>
          <w:jc w:val="center"/>
        </w:trPr>
        <w:tc>
          <w:tcPr>
            <w:tcW w:w="6100" w:type="dxa"/>
            <w:gridSpan w:val="3"/>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41262641" w14:textId="77777777" w:rsidR="006F5238" w:rsidRPr="00791593" w:rsidRDefault="006F5238" w:rsidP="006F5238">
            <w:pPr>
              <w:spacing w:before="120" w:after="120"/>
              <w:ind w:left="567" w:right="567"/>
              <w:rPr>
                <w:rFonts w:ascii="Arial" w:hAnsi="Arial" w:cs="Arial"/>
                <w:b/>
                <w:sz w:val="18"/>
                <w:szCs w:val="18"/>
                <w:lang w:eastAsia="en-US"/>
              </w:rPr>
            </w:pPr>
            <w:r w:rsidRPr="00791593">
              <w:rPr>
                <w:rFonts w:ascii="Arial" w:hAnsi="Arial" w:cs="Arial"/>
                <w:b/>
                <w:sz w:val="18"/>
                <w:szCs w:val="18"/>
                <w:lang w:eastAsia="en-US"/>
              </w:rPr>
              <w:t>Asamblea electiva de siete de noviembre de dos mil diez autoridades municipales de las comunidades de San Sebastián Tecomaxtlahuaca</w:t>
            </w:r>
          </w:p>
        </w:tc>
      </w:tr>
      <w:tr w:rsidR="006F5238" w:rsidRPr="00791593" w14:paraId="0FA6C3DB" w14:textId="77777777" w:rsidTr="006F5238">
        <w:trPr>
          <w:trHeight w:val="20"/>
          <w:tblHeader/>
          <w:jc w:val="center"/>
        </w:trPr>
        <w:tc>
          <w:tcPr>
            <w:tcW w:w="1464" w:type="dxa"/>
            <w:tcBorders>
              <w:top w:val="double" w:sz="4" w:space="0" w:color="76923C"/>
              <w:left w:val="double" w:sz="4" w:space="0" w:color="76923C"/>
              <w:bottom w:val="double" w:sz="4" w:space="0" w:color="76923C"/>
              <w:right w:val="double" w:sz="4" w:space="0" w:color="76923C"/>
            </w:tcBorders>
            <w:shd w:val="pct15" w:color="76923C" w:fill="auto"/>
            <w:hideMark/>
          </w:tcPr>
          <w:p w14:paraId="79FDCAF2"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Cargo</w:t>
            </w:r>
          </w:p>
        </w:tc>
        <w:tc>
          <w:tcPr>
            <w:tcW w:w="2259" w:type="dxa"/>
            <w:tcBorders>
              <w:top w:val="double" w:sz="4" w:space="0" w:color="76923C"/>
              <w:left w:val="double" w:sz="4" w:space="0" w:color="76923C"/>
              <w:bottom w:val="double" w:sz="4" w:space="0" w:color="76923C"/>
              <w:right w:val="double" w:sz="4" w:space="0" w:color="76923C"/>
            </w:tcBorders>
            <w:shd w:val="pct15" w:color="76923C" w:fill="auto"/>
            <w:hideMark/>
          </w:tcPr>
          <w:p w14:paraId="185F933D"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Comunidad</w:t>
            </w:r>
          </w:p>
        </w:tc>
        <w:tc>
          <w:tcPr>
            <w:tcW w:w="2377" w:type="dxa"/>
            <w:tcBorders>
              <w:top w:val="double" w:sz="4" w:space="0" w:color="76923C"/>
              <w:left w:val="double" w:sz="4" w:space="0" w:color="76923C"/>
              <w:bottom w:val="double" w:sz="4" w:space="0" w:color="76923C"/>
              <w:right w:val="double" w:sz="4" w:space="0" w:color="76923C"/>
            </w:tcBorders>
            <w:shd w:val="pct15" w:color="76923C" w:fill="auto"/>
            <w:hideMark/>
          </w:tcPr>
          <w:p w14:paraId="25A03F3D"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Nombres</w:t>
            </w:r>
          </w:p>
        </w:tc>
      </w:tr>
      <w:tr w:rsidR="006F5238" w:rsidRPr="00791593" w14:paraId="19B1BD29" w14:textId="77777777" w:rsidTr="006F5238">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0BB460FC"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21F94E68"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Barrio de Santa Rosa</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7441C1B9"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Eloy Ricardo Zafra Cortes</w:t>
            </w:r>
          </w:p>
        </w:tc>
      </w:tr>
      <w:tr w:rsidR="006F5238" w:rsidRPr="00791593" w14:paraId="4E45B679" w14:textId="77777777" w:rsidTr="006F5238">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52B2978C"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286CC4E8"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Barrio de San Sebastián</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6FCAB319"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José Manuel Herrera Juárez</w:t>
            </w:r>
          </w:p>
        </w:tc>
      </w:tr>
      <w:tr w:rsidR="006F5238" w:rsidRPr="00791593" w14:paraId="69210C6F" w14:textId="77777777" w:rsidTr="006F5238">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63762B7A"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476EDA43"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Barrio de San Pedro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02B8083F"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Jesús Luna Salgado</w:t>
            </w:r>
          </w:p>
        </w:tc>
      </w:tr>
      <w:tr w:rsidR="006F5238" w:rsidRPr="00791593" w14:paraId="777AA56C" w14:textId="77777777" w:rsidTr="006F5238">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33E6FD55"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3F916BCA"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Sabino Solo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48E0E9EB"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Félix Cervantes López</w:t>
            </w:r>
          </w:p>
        </w:tc>
      </w:tr>
      <w:tr w:rsidR="006F5238" w:rsidRPr="00791593" w14:paraId="0C632BEA" w14:textId="77777777" w:rsidTr="006F5238">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37292442"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4060D3EA"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Santa Cruz Rancho Viejo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5DAE8CFA"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Ramiro Artemio Rendón Rendón</w:t>
            </w:r>
          </w:p>
        </w:tc>
      </w:tr>
      <w:tr w:rsidR="006F5238" w:rsidRPr="00791593" w14:paraId="239B59FC" w14:textId="77777777" w:rsidTr="006F5238">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5398625C"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18023FA9"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Agua Buena</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295100E0"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Tereso Abel Valverde Miranda</w:t>
            </w:r>
          </w:p>
        </w:tc>
      </w:tr>
      <w:tr w:rsidR="006F5238" w:rsidRPr="00791593" w14:paraId="703878BB" w14:textId="77777777" w:rsidTr="006F5238">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19D7CC66"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06C93335"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eastAsia="en-US"/>
              </w:rPr>
              <w:t>Tecomaxtlahuaca El Viejo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6FBE3D09"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Miguel Cortes Luna</w:t>
            </w:r>
          </w:p>
        </w:tc>
      </w:tr>
      <w:tr w:rsidR="006F5238" w:rsidRPr="00791593" w14:paraId="727ADE9B" w14:textId="77777777" w:rsidTr="006F5238">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417C7E84"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600E6D09"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Animas Yucuniciasi</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2479DF5E"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Octavio Catalino Luengas Ramos</w:t>
            </w:r>
          </w:p>
        </w:tc>
      </w:tr>
      <w:tr w:rsidR="006F5238" w:rsidRPr="00791593" w14:paraId="76435988" w14:textId="77777777" w:rsidTr="006F5238">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6EBAC8C2"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0EB49C69"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Yosoyu</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41E12B35"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Silvino Pérez Bárcenas</w:t>
            </w:r>
          </w:p>
        </w:tc>
      </w:tr>
      <w:tr w:rsidR="006F5238" w:rsidRPr="00791593" w14:paraId="117A11A3" w14:textId="77777777" w:rsidTr="006F5238">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10CEA8FA"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lastRenderedPageBreak/>
              <w:t>Representante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633527F4"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El Mogote</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094AB122"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Félix Javier López Zavaleta</w:t>
            </w:r>
          </w:p>
        </w:tc>
      </w:tr>
      <w:tr w:rsidR="006F5238" w:rsidRPr="00791593" w14:paraId="6D2F1C5A" w14:textId="77777777" w:rsidTr="006F5238">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13035B1B"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Representante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02CAD9D4"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Los Rendón</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3B134447"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Juan Joel Herrera Pastrana</w:t>
            </w:r>
          </w:p>
        </w:tc>
      </w:tr>
      <w:tr w:rsidR="006F5238" w:rsidRPr="00791593" w14:paraId="7E6FAD4C" w14:textId="77777777" w:rsidTr="006F5238">
        <w:trPr>
          <w:trHeight w:val="20"/>
          <w:jc w:val="center"/>
        </w:trPr>
        <w:tc>
          <w:tcPr>
            <w:tcW w:w="1464" w:type="dxa"/>
            <w:tcBorders>
              <w:top w:val="double" w:sz="4" w:space="0" w:color="76923C"/>
              <w:left w:val="double" w:sz="4" w:space="0" w:color="76923C"/>
              <w:bottom w:val="double" w:sz="4" w:space="0" w:color="76923C"/>
              <w:right w:val="double" w:sz="4" w:space="0" w:color="76923C"/>
            </w:tcBorders>
            <w:vAlign w:val="center"/>
            <w:hideMark/>
          </w:tcPr>
          <w:p w14:paraId="435FA141"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Representante Municipal</w:t>
            </w:r>
          </w:p>
        </w:tc>
        <w:tc>
          <w:tcPr>
            <w:tcW w:w="2259" w:type="dxa"/>
            <w:tcBorders>
              <w:top w:val="double" w:sz="4" w:space="0" w:color="76923C"/>
              <w:left w:val="double" w:sz="4" w:space="0" w:color="76923C"/>
              <w:bottom w:val="double" w:sz="4" w:space="0" w:color="76923C"/>
              <w:right w:val="double" w:sz="4" w:space="0" w:color="76923C"/>
            </w:tcBorders>
            <w:vAlign w:val="center"/>
            <w:hideMark/>
          </w:tcPr>
          <w:p w14:paraId="46BA1E7E"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Los Avarado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6D30A67B"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René Alvarado López</w:t>
            </w:r>
          </w:p>
        </w:tc>
      </w:tr>
    </w:tbl>
    <w:p w14:paraId="1D583D1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Igualmente, en el acta de la Asamblea electiva de diecisiete de noviembre de dos mil trece, del municipio referido señala que los regidores nombrados por las comunidades son:</w:t>
      </w:r>
    </w:p>
    <w:tbl>
      <w:tblPr>
        <w:tblStyle w:val="Tablaconcuadrcula3"/>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601"/>
        <w:gridCol w:w="2771"/>
        <w:gridCol w:w="2377"/>
      </w:tblGrid>
      <w:tr w:rsidR="006F5238" w:rsidRPr="00791593" w14:paraId="2D4E639F" w14:textId="77777777" w:rsidTr="006F5238">
        <w:trPr>
          <w:trHeight w:val="20"/>
          <w:tblHeader/>
          <w:jc w:val="center"/>
        </w:trPr>
        <w:tc>
          <w:tcPr>
            <w:tcW w:w="7749" w:type="dxa"/>
            <w:gridSpan w:val="3"/>
            <w:tcBorders>
              <w:top w:val="double" w:sz="4" w:space="0" w:color="76923C"/>
              <w:left w:val="double" w:sz="4" w:space="0" w:color="76923C"/>
              <w:bottom w:val="double" w:sz="4" w:space="0" w:color="76923C"/>
              <w:right w:val="double" w:sz="4" w:space="0" w:color="76923C"/>
            </w:tcBorders>
            <w:shd w:val="pct15" w:color="76923C" w:fill="auto"/>
            <w:vAlign w:val="center"/>
            <w:hideMark/>
          </w:tcPr>
          <w:p w14:paraId="5D2D48CA" w14:textId="77777777" w:rsidR="006F5238" w:rsidRPr="00791593" w:rsidRDefault="006F5238" w:rsidP="006F5238">
            <w:pPr>
              <w:spacing w:before="120" w:after="120"/>
              <w:ind w:left="567" w:right="567"/>
              <w:rPr>
                <w:rFonts w:ascii="Arial" w:hAnsi="Arial" w:cs="Arial"/>
                <w:b/>
                <w:sz w:val="18"/>
                <w:szCs w:val="18"/>
                <w:lang w:eastAsia="en-US"/>
              </w:rPr>
            </w:pPr>
            <w:r w:rsidRPr="00791593">
              <w:rPr>
                <w:rFonts w:ascii="Arial" w:hAnsi="Arial" w:cs="Arial"/>
                <w:b/>
                <w:sz w:val="18"/>
                <w:szCs w:val="18"/>
                <w:lang w:eastAsia="en-US"/>
              </w:rPr>
              <w:t>Asamblea electiva de diecisiete de noviembre de dos mil trece autoridades municipales de las comunidades de San Sebastián Tecomaxtlahuaca</w:t>
            </w:r>
          </w:p>
        </w:tc>
      </w:tr>
      <w:tr w:rsidR="006F5238" w:rsidRPr="00791593" w14:paraId="47A33C15" w14:textId="77777777" w:rsidTr="006F5238">
        <w:trPr>
          <w:trHeight w:val="20"/>
          <w:tblHeader/>
          <w:jc w:val="center"/>
        </w:trPr>
        <w:tc>
          <w:tcPr>
            <w:tcW w:w="2601" w:type="dxa"/>
            <w:tcBorders>
              <w:top w:val="double" w:sz="4" w:space="0" w:color="76923C"/>
              <w:left w:val="double" w:sz="4" w:space="0" w:color="76923C"/>
              <w:bottom w:val="double" w:sz="4" w:space="0" w:color="76923C"/>
              <w:right w:val="double" w:sz="4" w:space="0" w:color="76923C"/>
            </w:tcBorders>
            <w:shd w:val="pct15" w:color="76923C" w:fill="auto"/>
            <w:hideMark/>
          </w:tcPr>
          <w:p w14:paraId="3350965E"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Cargo</w:t>
            </w:r>
          </w:p>
        </w:tc>
        <w:tc>
          <w:tcPr>
            <w:tcW w:w="2771" w:type="dxa"/>
            <w:tcBorders>
              <w:top w:val="double" w:sz="4" w:space="0" w:color="76923C"/>
              <w:left w:val="double" w:sz="4" w:space="0" w:color="76923C"/>
              <w:bottom w:val="double" w:sz="4" w:space="0" w:color="76923C"/>
              <w:right w:val="double" w:sz="4" w:space="0" w:color="76923C"/>
            </w:tcBorders>
            <w:shd w:val="pct15" w:color="76923C" w:fill="auto"/>
            <w:hideMark/>
          </w:tcPr>
          <w:p w14:paraId="35A55231"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Comunidad</w:t>
            </w:r>
          </w:p>
        </w:tc>
        <w:tc>
          <w:tcPr>
            <w:tcW w:w="2377" w:type="dxa"/>
            <w:tcBorders>
              <w:top w:val="double" w:sz="4" w:space="0" w:color="76923C"/>
              <w:left w:val="double" w:sz="4" w:space="0" w:color="76923C"/>
              <w:bottom w:val="double" w:sz="4" w:space="0" w:color="76923C"/>
              <w:right w:val="double" w:sz="4" w:space="0" w:color="76923C"/>
            </w:tcBorders>
            <w:shd w:val="pct15" w:color="76923C" w:fill="auto"/>
            <w:hideMark/>
          </w:tcPr>
          <w:p w14:paraId="224EE490"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Nombres</w:t>
            </w:r>
          </w:p>
        </w:tc>
      </w:tr>
      <w:tr w:rsidR="006F5238" w:rsidRPr="00791593" w14:paraId="33B6DCA6" w14:textId="77777777" w:rsidTr="006F5238">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5C44CE50"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56ABC75A"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Barrio de Santa Rosa</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170B9DF1"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Fredy Mendoza Ramírez</w:t>
            </w:r>
          </w:p>
        </w:tc>
      </w:tr>
      <w:tr w:rsidR="006F5238" w:rsidRPr="00791593" w14:paraId="3EB29154" w14:textId="77777777" w:rsidTr="006F5238">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093BABB1"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5136618B"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Barrio de San Sebastián</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2E48ECD6"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José Jorge Martínez Cortes</w:t>
            </w:r>
          </w:p>
        </w:tc>
      </w:tr>
      <w:tr w:rsidR="006F5238" w:rsidRPr="00791593" w14:paraId="362235D4" w14:textId="77777777" w:rsidTr="006F5238">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637E1735"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774D4855"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Barrio de San Pedro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6ADCDD49"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Martín Filemón Luengas Vetanzo</w:t>
            </w:r>
          </w:p>
        </w:tc>
      </w:tr>
      <w:tr w:rsidR="006F5238" w:rsidRPr="00791593" w14:paraId="2DBF6EC0" w14:textId="77777777" w:rsidTr="006F5238">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5977C6AD"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630DD1AF"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Sabino Solo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24320390"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Carmelo García López</w:t>
            </w:r>
          </w:p>
        </w:tc>
      </w:tr>
      <w:tr w:rsidR="006F5238" w:rsidRPr="00791593" w14:paraId="2AC72949" w14:textId="77777777" w:rsidTr="006F5238">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24088183"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755D362F"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Santa Cruz Rancho Viejo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13F4A0BD"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Zacarías Santiago Salazar Guzmán</w:t>
            </w:r>
          </w:p>
        </w:tc>
      </w:tr>
      <w:tr w:rsidR="006F5238" w:rsidRPr="00791593" w14:paraId="6185DBC5" w14:textId="77777777" w:rsidTr="006F5238">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358798F5"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2E03B4C3"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Agua Buena</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5F3A7ACC"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Santiago Sierra Valverde</w:t>
            </w:r>
          </w:p>
        </w:tc>
      </w:tr>
      <w:tr w:rsidR="006F5238" w:rsidRPr="00791593" w14:paraId="5BDFFBF2" w14:textId="77777777" w:rsidTr="006F5238">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674CF17A"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0DD8B827"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eastAsia="en-US"/>
              </w:rPr>
              <w:t>Tecomaxtlahuaca El Viejo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4E1D7A0C"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Luis Rogelio Mendoza Chávez</w:t>
            </w:r>
          </w:p>
        </w:tc>
      </w:tr>
      <w:tr w:rsidR="006F5238" w:rsidRPr="00791593" w14:paraId="725485C8" w14:textId="77777777" w:rsidTr="006F5238">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3AD147BC"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lastRenderedPageBreak/>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09B9C274"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Animas Yucuniciasi</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366596BC"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Juan Alberto Luna Caramillo</w:t>
            </w:r>
          </w:p>
        </w:tc>
      </w:tr>
      <w:tr w:rsidR="006F5238" w:rsidRPr="00791593" w14:paraId="6830C663" w14:textId="77777777" w:rsidTr="006F5238">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2F9D418B"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Regidor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3EE83CF3"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Yosoyu</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6E770CBE"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Leobardo Catalino Cruz Hernández</w:t>
            </w:r>
          </w:p>
        </w:tc>
      </w:tr>
      <w:tr w:rsidR="006F5238" w:rsidRPr="00791593" w14:paraId="6D227630" w14:textId="77777777" w:rsidTr="006F5238">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3237BD6D"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Representante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1F6AC2EF"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El Mogote</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5DC51779"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Marcial Domínguez Miranda</w:t>
            </w:r>
          </w:p>
        </w:tc>
      </w:tr>
      <w:tr w:rsidR="006F5238" w:rsidRPr="00791593" w14:paraId="315028BF" w14:textId="77777777" w:rsidTr="006F5238">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5E1D0B98"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Representante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1B529F50"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Los Rendón</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4BB6726A"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w:t>
            </w:r>
          </w:p>
        </w:tc>
      </w:tr>
      <w:tr w:rsidR="006F5238" w:rsidRPr="00791593" w14:paraId="45EF3809" w14:textId="77777777" w:rsidTr="006F5238">
        <w:trPr>
          <w:trHeight w:val="20"/>
          <w:jc w:val="center"/>
        </w:trPr>
        <w:tc>
          <w:tcPr>
            <w:tcW w:w="2601" w:type="dxa"/>
            <w:tcBorders>
              <w:top w:val="double" w:sz="4" w:space="0" w:color="76923C"/>
              <w:left w:val="double" w:sz="4" w:space="0" w:color="76923C"/>
              <w:bottom w:val="double" w:sz="4" w:space="0" w:color="76923C"/>
              <w:right w:val="double" w:sz="4" w:space="0" w:color="76923C"/>
            </w:tcBorders>
            <w:vAlign w:val="center"/>
            <w:hideMark/>
          </w:tcPr>
          <w:p w14:paraId="6B37F1DD" w14:textId="77777777" w:rsidR="006F5238" w:rsidRPr="00791593" w:rsidRDefault="006F5238" w:rsidP="006F5238">
            <w:pPr>
              <w:spacing w:before="120" w:after="120"/>
              <w:ind w:left="567" w:right="567"/>
              <w:rPr>
                <w:rFonts w:ascii="Arial" w:hAnsi="Arial" w:cs="Arial"/>
                <w:b/>
                <w:sz w:val="18"/>
                <w:szCs w:val="18"/>
                <w:lang w:val="es-ES" w:eastAsia="en-US"/>
              </w:rPr>
            </w:pPr>
            <w:r w:rsidRPr="00791593">
              <w:rPr>
                <w:rFonts w:ascii="Arial" w:hAnsi="Arial" w:cs="Arial"/>
                <w:b/>
                <w:sz w:val="18"/>
                <w:szCs w:val="18"/>
                <w:lang w:val="es-ES" w:eastAsia="en-US"/>
              </w:rPr>
              <w:t>Representante Municipal</w:t>
            </w:r>
          </w:p>
        </w:tc>
        <w:tc>
          <w:tcPr>
            <w:tcW w:w="2771" w:type="dxa"/>
            <w:tcBorders>
              <w:top w:val="double" w:sz="4" w:space="0" w:color="76923C"/>
              <w:left w:val="double" w:sz="4" w:space="0" w:color="76923C"/>
              <w:bottom w:val="double" w:sz="4" w:space="0" w:color="76923C"/>
              <w:right w:val="double" w:sz="4" w:space="0" w:color="76923C"/>
            </w:tcBorders>
            <w:vAlign w:val="center"/>
            <w:hideMark/>
          </w:tcPr>
          <w:p w14:paraId="5C469A41" w14:textId="77777777" w:rsidR="006F5238" w:rsidRPr="00791593" w:rsidRDefault="006F5238" w:rsidP="006F5238">
            <w:pPr>
              <w:spacing w:before="120" w:after="120"/>
              <w:ind w:left="567" w:right="567"/>
              <w:rPr>
                <w:rFonts w:ascii="Arial" w:hAnsi="Arial" w:cs="Arial"/>
                <w:sz w:val="18"/>
                <w:szCs w:val="18"/>
                <w:lang w:val="es-ES" w:eastAsia="en-US"/>
              </w:rPr>
            </w:pPr>
            <w:r w:rsidRPr="00791593">
              <w:rPr>
                <w:rFonts w:ascii="Arial" w:hAnsi="Arial" w:cs="Arial"/>
                <w:sz w:val="18"/>
                <w:szCs w:val="18"/>
                <w:lang w:val="es-ES" w:eastAsia="en-US"/>
              </w:rPr>
              <w:t>Los Avarado</w:t>
            </w:r>
          </w:p>
        </w:tc>
        <w:tc>
          <w:tcPr>
            <w:tcW w:w="2377" w:type="dxa"/>
            <w:tcBorders>
              <w:top w:val="double" w:sz="4" w:space="0" w:color="76923C"/>
              <w:left w:val="double" w:sz="4" w:space="0" w:color="76923C"/>
              <w:bottom w:val="double" w:sz="4" w:space="0" w:color="76923C"/>
              <w:right w:val="double" w:sz="4" w:space="0" w:color="76923C"/>
            </w:tcBorders>
            <w:vAlign w:val="center"/>
            <w:hideMark/>
          </w:tcPr>
          <w:p w14:paraId="1B9889E8" w14:textId="77777777" w:rsidR="006F5238" w:rsidRPr="00791593" w:rsidRDefault="006F5238" w:rsidP="006F5238">
            <w:pPr>
              <w:spacing w:before="120" w:after="120"/>
              <w:ind w:left="567" w:right="567"/>
              <w:rPr>
                <w:rFonts w:ascii="Arial" w:hAnsi="Arial" w:cs="Arial"/>
                <w:sz w:val="18"/>
                <w:szCs w:val="18"/>
                <w:lang w:eastAsia="en-US"/>
              </w:rPr>
            </w:pPr>
            <w:r w:rsidRPr="00791593">
              <w:rPr>
                <w:rFonts w:ascii="Arial" w:hAnsi="Arial" w:cs="Arial"/>
                <w:sz w:val="18"/>
                <w:szCs w:val="18"/>
                <w:lang w:eastAsia="en-US"/>
              </w:rPr>
              <w:t>Elesban Sánchez Marín</w:t>
            </w:r>
          </w:p>
        </w:tc>
      </w:tr>
    </w:tbl>
    <w:p w14:paraId="0545984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p>
    <w:p w14:paraId="59F06C15"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Como se ve, en ambas actas consta que la elección de los regidores se efectúa con anterioridad a la elección del Presidente Municipal, Síndico, así como de los Regidores de Hacienda y Educación.</w:t>
      </w:r>
    </w:p>
    <w:p w14:paraId="776F3E9D"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Lo anterior evidencia, que en la renovación de los integrantes del Ayuntamiento de </w:t>
      </w:r>
      <w:r w:rsidRPr="00791593">
        <w:rPr>
          <w:rFonts w:ascii="Arial" w:eastAsia="Calibri" w:hAnsi="Arial" w:cs="Arial"/>
          <w:b/>
          <w:sz w:val="24"/>
          <w:szCs w:val="24"/>
        </w:rPr>
        <w:t>San Sebastián Tecomaxtlahuaca, Juxtlahuaca, Oaxaca,</w:t>
      </w:r>
      <w:r w:rsidRPr="00791593">
        <w:rPr>
          <w:rFonts w:ascii="Arial" w:eastAsia="Calibri" w:hAnsi="Arial" w:cs="Arial"/>
          <w:sz w:val="24"/>
          <w:szCs w:val="24"/>
        </w:rPr>
        <w:t xml:space="preserve"> se respeta la universalidad del voto, al participar tanto en la cabecera municipal, como las agencias que pertenecen a éste.</w:t>
      </w:r>
    </w:p>
    <w:p w14:paraId="01C1F6D7"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En segundo lugar, porque de la lectura de los escritos de inconformidad presentados ante el Instituto Estatal Electoral y de Participación Ciudadana de Oaxaca, así como de la demanda presentada ante el Tribunal responsable, no se advierte que se haya cuestionado que la elección de los regidores no se haya efectuado conforme a sus usos y costumbres, es decir por las diversas comunidades antes de la elección del Presidente Municipal, Síndico, así como los Regidores de Hacienda y Educación.</w:t>
      </w:r>
    </w:p>
    <w:p w14:paraId="09273581"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Desde la instancia administrativa la controversia fue únicamente respecto a la Asamblea de diecisiete de noviembre de dos mil trece, esto es en la que se eligió al Presidente Municipal, al Síndico, así como a los Regidores de Hacienda y Educación, por considerar que en la misma votaron personas que no pertenecían al municipio, la falta de cómputo, y diversas irregularidades propias del desarrollo de la Asamblea referida.</w:t>
      </w:r>
    </w:p>
    <w:p w14:paraId="403C4D76"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sz w:val="24"/>
          <w:szCs w:val="24"/>
        </w:rPr>
        <w:lastRenderedPageBreak/>
        <w:t xml:space="preserve">En ese orden de ideas, fue indebido que el Tribunal responsable considerara la falta de actas de asambleas de la elección de los regidores, cuando ello no era parte de la litis en el asunto que le fue planteado por diversos ciudadanos de </w:t>
      </w:r>
      <w:r w:rsidRPr="00791593">
        <w:rPr>
          <w:rFonts w:ascii="Arial" w:eastAsia="Calibri" w:hAnsi="Arial" w:cs="Arial"/>
          <w:b/>
          <w:sz w:val="24"/>
          <w:szCs w:val="24"/>
        </w:rPr>
        <w:t>San Sebastián Tecomaxtlahuaca, Juxtlahuaca, Oaxaca.</w:t>
      </w:r>
    </w:p>
    <w:p w14:paraId="64749028"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 xml:space="preserve">Por tanto, al haberse acreditado los agravios del actor, y al encontrarse razones que justifiquen el levantamiento de la nulidad de la elección a Concejales al Ayuntamiento de </w:t>
      </w:r>
      <w:r w:rsidRPr="00791593">
        <w:rPr>
          <w:rFonts w:ascii="Arial" w:eastAsia="Calibri" w:hAnsi="Arial" w:cs="Arial"/>
          <w:b/>
          <w:sz w:val="24"/>
          <w:szCs w:val="24"/>
        </w:rPr>
        <w:t>San Sebastián Tecomaxtlahuaca, Juxtlahuaca, Oaxaca,</w:t>
      </w:r>
      <w:r w:rsidRPr="00791593">
        <w:rPr>
          <w:rFonts w:ascii="Arial" w:eastAsia="Calibri" w:hAnsi="Arial" w:cs="Arial"/>
          <w:sz w:val="24"/>
          <w:szCs w:val="24"/>
        </w:rPr>
        <w:t xml:space="preserve"> lo procedente es revocar la sentencia dictada por el Tribunal Estatal Electoral del Poder Judicial de Oaxaca en el juicio </w:t>
      </w:r>
      <w:r w:rsidRPr="00791593">
        <w:rPr>
          <w:rFonts w:ascii="Arial" w:eastAsia="Calibri" w:hAnsi="Arial" w:cs="Arial"/>
          <w:b/>
          <w:sz w:val="24"/>
          <w:szCs w:val="24"/>
        </w:rPr>
        <w:t>JNI/09/2014</w:t>
      </w:r>
      <w:r w:rsidRPr="00791593">
        <w:rPr>
          <w:rFonts w:ascii="Arial" w:eastAsia="Calibri" w:hAnsi="Arial" w:cs="Arial"/>
          <w:sz w:val="24"/>
          <w:szCs w:val="24"/>
        </w:rPr>
        <w:t xml:space="preserve">, que revocó el acuerdo </w:t>
      </w:r>
      <w:r w:rsidRPr="00791593">
        <w:rPr>
          <w:rFonts w:ascii="Arial" w:eastAsia="Calibri" w:hAnsi="Arial" w:cs="Arial"/>
          <w:b/>
          <w:sz w:val="24"/>
          <w:szCs w:val="24"/>
        </w:rPr>
        <w:t xml:space="preserve">CG-IEEPCO-SIN-97/2013 </w:t>
      </w:r>
      <w:r w:rsidRPr="00791593">
        <w:rPr>
          <w:rFonts w:ascii="Arial" w:eastAsia="Calibri" w:hAnsi="Arial" w:cs="Arial"/>
          <w:sz w:val="24"/>
          <w:szCs w:val="24"/>
        </w:rPr>
        <w:t>del Consejo General del Instituto Estatal Electoral y de Participación Ciudadana de Oaxaca.</w:t>
      </w:r>
    </w:p>
    <w:p w14:paraId="66CB3974"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sz w:val="24"/>
          <w:szCs w:val="24"/>
        </w:rPr>
        <w:t>Por lo expuesto y fundado, se</w:t>
      </w:r>
    </w:p>
    <w:p w14:paraId="1D67F8B3" w14:textId="77777777" w:rsidR="006F5238" w:rsidRPr="00791593" w:rsidRDefault="006F5238" w:rsidP="006F5238">
      <w:pPr>
        <w:spacing w:before="120" w:after="120" w:line="240" w:lineRule="auto"/>
        <w:ind w:left="567" w:right="567"/>
        <w:jc w:val="center"/>
        <w:rPr>
          <w:rFonts w:ascii="Arial" w:eastAsia="Calibri" w:hAnsi="Arial" w:cs="Arial"/>
          <w:sz w:val="24"/>
          <w:szCs w:val="24"/>
        </w:rPr>
      </w:pPr>
      <w:r w:rsidRPr="00791593">
        <w:rPr>
          <w:rFonts w:ascii="Arial" w:eastAsia="Calibri" w:hAnsi="Arial" w:cs="Arial"/>
          <w:b/>
          <w:sz w:val="24"/>
          <w:szCs w:val="24"/>
        </w:rPr>
        <w:t>RESUELVE</w:t>
      </w:r>
    </w:p>
    <w:p w14:paraId="38BCB189" w14:textId="77777777" w:rsidR="006F5238" w:rsidRPr="00791593" w:rsidRDefault="006F5238" w:rsidP="006F5238">
      <w:pPr>
        <w:spacing w:before="120" w:after="120" w:line="240" w:lineRule="auto"/>
        <w:ind w:left="567" w:right="567"/>
        <w:jc w:val="both"/>
        <w:rPr>
          <w:rFonts w:ascii="Arial" w:eastAsia="Calibri" w:hAnsi="Arial" w:cs="Arial"/>
          <w:b/>
          <w:sz w:val="24"/>
          <w:szCs w:val="24"/>
        </w:rPr>
      </w:pPr>
      <w:r w:rsidRPr="00791593">
        <w:rPr>
          <w:rFonts w:ascii="Arial" w:eastAsia="Calibri" w:hAnsi="Arial" w:cs="Arial"/>
          <w:b/>
          <w:sz w:val="24"/>
          <w:szCs w:val="24"/>
        </w:rPr>
        <w:t>PRIMERO.</w:t>
      </w:r>
      <w:r w:rsidRPr="00791593">
        <w:rPr>
          <w:rFonts w:ascii="Arial" w:eastAsia="Calibri" w:hAnsi="Arial" w:cs="Arial"/>
          <w:sz w:val="24"/>
          <w:szCs w:val="24"/>
        </w:rPr>
        <w:t xml:space="preserve"> </w:t>
      </w:r>
      <w:r w:rsidRPr="00791593">
        <w:rPr>
          <w:rFonts w:ascii="Arial" w:eastAsia="Calibri" w:hAnsi="Arial" w:cs="Arial"/>
          <w:b/>
          <w:sz w:val="24"/>
          <w:szCs w:val="24"/>
        </w:rPr>
        <w:t>Se revoca</w:t>
      </w:r>
      <w:r w:rsidRPr="00791593">
        <w:rPr>
          <w:rFonts w:ascii="Arial" w:eastAsia="Calibri" w:hAnsi="Arial" w:cs="Arial"/>
          <w:sz w:val="24"/>
          <w:szCs w:val="24"/>
        </w:rPr>
        <w:t xml:space="preserve"> la sentencia de veintiocho de febrero del presente año, dictada por el Tribunal Estatal Electoral del Poder Judicial de Oaxaca, en el expediente </w:t>
      </w:r>
      <w:r w:rsidRPr="00791593">
        <w:rPr>
          <w:rFonts w:ascii="Arial" w:eastAsia="Calibri" w:hAnsi="Arial" w:cs="Arial"/>
          <w:b/>
          <w:sz w:val="24"/>
          <w:szCs w:val="24"/>
        </w:rPr>
        <w:t>JNI/09/2014</w:t>
      </w:r>
      <w:r w:rsidRPr="00791593">
        <w:rPr>
          <w:rFonts w:ascii="Arial" w:eastAsia="Calibri" w:hAnsi="Arial" w:cs="Arial"/>
          <w:sz w:val="24"/>
          <w:szCs w:val="24"/>
        </w:rPr>
        <w:t xml:space="preserve">, que revocó el acuerdo </w:t>
      </w:r>
      <w:r w:rsidRPr="00791593">
        <w:rPr>
          <w:rFonts w:ascii="Arial" w:eastAsia="Calibri" w:hAnsi="Arial" w:cs="Arial"/>
          <w:b/>
          <w:sz w:val="24"/>
          <w:szCs w:val="24"/>
        </w:rPr>
        <w:t>CG-IEEPCO-SNI-97/2013,</w:t>
      </w:r>
      <w:r w:rsidRPr="00791593">
        <w:rPr>
          <w:rFonts w:ascii="Arial" w:eastAsia="Calibri" w:hAnsi="Arial" w:cs="Arial"/>
          <w:sz w:val="24"/>
          <w:szCs w:val="24"/>
        </w:rPr>
        <w:t xml:space="preserve"> emitido por el Consejo General del Instituto Estatal Electoral y de Participación Ciudadana de Oaxaca y dejo sin efectos las constancias de mayoría de los candidatos electos a Concejales al Ayuntamiento de </w:t>
      </w:r>
      <w:r w:rsidRPr="00791593">
        <w:rPr>
          <w:rFonts w:ascii="Arial" w:eastAsia="Calibri" w:hAnsi="Arial" w:cs="Arial"/>
          <w:b/>
          <w:sz w:val="24"/>
          <w:szCs w:val="24"/>
        </w:rPr>
        <w:t>San Sebastián Tecomaxtlahuaca, Juxtlahuaca, Oaxaca.</w:t>
      </w:r>
    </w:p>
    <w:p w14:paraId="39F3ABB0" w14:textId="77777777" w:rsidR="006F5238" w:rsidRPr="00791593" w:rsidRDefault="006F5238" w:rsidP="006F5238">
      <w:pPr>
        <w:spacing w:before="120" w:after="120" w:line="240" w:lineRule="auto"/>
        <w:ind w:left="567" w:right="567"/>
        <w:jc w:val="both"/>
        <w:rPr>
          <w:rFonts w:ascii="Arial" w:eastAsia="Calibri" w:hAnsi="Arial" w:cs="Arial"/>
          <w:sz w:val="24"/>
          <w:szCs w:val="24"/>
        </w:rPr>
      </w:pPr>
      <w:r w:rsidRPr="00791593">
        <w:rPr>
          <w:rFonts w:ascii="Arial" w:eastAsia="Calibri" w:hAnsi="Arial" w:cs="Arial"/>
          <w:b/>
          <w:sz w:val="24"/>
          <w:szCs w:val="24"/>
        </w:rPr>
        <w:t>SEGUNDO.</w:t>
      </w:r>
      <w:r w:rsidRPr="00791593">
        <w:rPr>
          <w:rFonts w:ascii="Arial" w:eastAsia="Calibri" w:hAnsi="Arial" w:cs="Arial"/>
          <w:sz w:val="24"/>
          <w:szCs w:val="24"/>
        </w:rPr>
        <w:t xml:space="preserve"> Se </w:t>
      </w:r>
      <w:r w:rsidRPr="00791593">
        <w:rPr>
          <w:rFonts w:ascii="Arial" w:eastAsia="Calibri" w:hAnsi="Arial" w:cs="Arial"/>
          <w:b/>
          <w:sz w:val="24"/>
          <w:szCs w:val="24"/>
        </w:rPr>
        <w:t>confirma</w:t>
      </w:r>
      <w:r w:rsidRPr="00791593">
        <w:rPr>
          <w:rFonts w:ascii="Arial" w:eastAsia="Calibri" w:hAnsi="Arial" w:cs="Arial"/>
          <w:sz w:val="24"/>
          <w:szCs w:val="24"/>
        </w:rPr>
        <w:t xml:space="preserve"> el acuerdo </w:t>
      </w:r>
      <w:r w:rsidRPr="00791593">
        <w:rPr>
          <w:rFonts w:ascii="Arial" w:eastAsia="Calibri" w:hAnsi="Arial" w:cs="Arial"/>
          <w:b/>
          <w:sz w:val="24"/>
          <w:szCs w:val="24"/>
        </w:rPr>
        <w:t>CG-IEEPCO-SNI-97/2013</w:t>
      </w:r>
      <w:r w:rsidRPr="00791593">
        <w:rPr>
          <w:rFonts w:ascii="Arial" w:eastAsia="Calibri" w:hAnsi="Arial" w:cs="Arial"/>
          <w:sz w:val="24"/>
          <w:szCs w:val="24"/>
        </w:rPr>
        <w:t xml:space="preserve">, emitido el veintiuno de diciembre de dos mil trece por el Consejo General del Instituto Estatal Electoral y de Participación Ciudadana de Oaxaca y que calificó como válida la Asamblea General Comunitaria de diecisiete de noviembre de dos mil trece relativa a la elección de Concejales al Ayuntamiento de </w:t>
      </w:r>
      <w:r w:rsidRPr="00791593">
        <w:rPr>
          <w:rFonts w:ascii="Arial" w:eastAsia="Calibri" w:hAnsi="Arial" w:cs="Arial"/>
          <w:b/>
          <w:sz w:val="24"/>
          <w:szCs w:val="24"/>
        </w:rPr>
        <w:t>San Sebastián Tecomaxtlahuaca, Juxtlahuaca, Oaxaca</w:t>
      </w:r>
      <w:r w:rsidRPr="00791593">
        <w:rPr>
          <w:rFonts w:ascii="Arial" w:eastAsia="Calibri" w:hAnsi="Arial" w:cs="Arial"/>
          <w:sz w:val="24"/>
          <w:szCs w:val="24"/>
        </w:rPr>
        <w:t xml:space="preserve"> y ordenó la expedición de las correspondientes constancias de mayoría de los candidatos electos.</w:t>
      </w:r>
    </w:p>
    <w:p w14:paraId="540E4D63"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w:t>
      </w:r>
    </w:p>
    <w:p w14:paraId="43BBAF9F"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La sentencia de mérito, emitida por la Sala Regional Xalapa de este Tribunal Electoral, fue notificada a los ahora recurrentes el viernes once de abril de dos mil catorce, en su calidad de terceros interesados, en el mencionado juicio para la protección de los derechos político-electorales del ciudadano.</w:t>
      </w:r>
    </w:p>
    <w:p w14:paraId="124D4CB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eastAsia="es-ES"/>
        </w:rPr>
        <w:lastRenderedPageBreak/>
        <w:t>II. Recurso de reconsideración.</w:t>
      </w:r>
      <w:r w:rsidRPr="00791593">
        <w:rPr>
          <w:rFonts w:ascii="Arial" w:eastAsia="Times New Roman" w:hAnsi="Arial" w:cs="Arial"/>
          <w:bCs/>
          <w:sz w:val="28"/>
          <w:szCs w:val="28"/>
          <w:lang w:eastAsia="es-ES"/>
        </w:rPr>
        <w:t xml:space="preserve"> Disconformes con lo resuelto por la Sala Regional Xalapa de este Tribunal Electoral, el catorce de abril de dos mil catorce, Alfonso Alvarado Martínez, </w:t>
      </w:r>
      <w:r w:rsidRPr="00791593">
        <w:rPr>
          <w:rFonts w:ascii="Arial" w:eastAsia="Times New Roman" w:hAnsi="Arial" w:cs="Arial"/>
          <w:sz w:val="28"/>
          <w:szCs w:val="28"/>
          <w:lang w:val="es-ES" w:eastAsia="es-ES"/>
        </w:rPr>
        <w:t>Adán Zafra Torralba,</w:t>
      </w:r>
      <w:r w:rsidRPr="00791593">
        <w:rPr>
          <w:rFonts w:ascii="Arial" w:eastAsia="Times New Roman" w:hAnsi="Arial" w:cs="Arial"/>
          <w:bCs/>
          <w:sz w:val="28"/>
          <w:szCs w:val="28"/>
          <w:lang w:eastAsia="es-ES"/>
        </w:rPr>
        <w:t xml:space="preserve"> José Luis Colores Ramos, José Manuel Luengas C. y Javier Alvarado Luna,</w:t>
      </w:r>
      <w:r w:rsidRPr="00791593">
        <w:rPr>
          <w:rFonts w:ascii="Arial" w:eastAsia="Times New Roman" w:hAnsi="Arial" w:cs="Arial"/>
          <w:sz w:val="28"/>
          <w:szCs w:val="28"/>
          <w:lang w:val="es-ES" w:eastAsia="es-ES"/>
        </w:rPr>
        <w:t xml:space="preserve"> </w:t>
      </w:r>
      <w:r w:rsidRPr="00791593">
        <w:rPr>
          <w:rFonts w:ascii="Arial" w:eastAsia="Times New Roman" w:hAnsi="Arial" w:cs="Arial"/>
          <w:bCs/>
          <w:sz w:val="28"/>
          <w:szCs w:val="28"/>
          <w:lang w:eastAsia="es-ES"/>
        </w:rPr>
        <w:t>presentaron demanda de reconsideración, en la Oficialía de Partes de la Sala Regional responsable.</w:t>
      </w:r>
    </w:p>
    <w:p w14:paraId="3A85D0AB"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eastAsia="es-ES"/>
        </w:rPr>
        <w:t>III. Recepción en Sala Superior</w:t>
      </w:r>
      <w:r w:rsidRPr="00791593">
        <w:rPr>
          <w:rFonts w:ascii="Arial" w:eastAsia="Times New Roman" w:hAnsi="Arial" w:cs="Arial"/>
          <w:bCs/>
          <w:sz w:val="28"/>
          <w:szCs w:val="28"/>
          <w:lang w:eastAsia="es-ES"/>
        </w:rPr>
        <w:t>. Por oficio TEPJF/SRX/SGA-1144/2014, de catorce de abril de dos mil catorce, recibido en la Oficialía de Partes de esta Sala Superior el inmediato día quince, el Secretario General de Acuerdos de la Sala Regional Xalapa, de este Tribunal Electoral, remitió la demanda de reconsideración, con sus anexos.</w:t>
      </w:r>
    </w:p>
    <w:p w14:paraId="3AA2FA13"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eastAsia="es-ES"/>
        </w:rPr>
        <w:t>IV. Turno a Ponencia.</w:t>
      </w:r>
      <w:r w:rsidRPr="00791593">
        <w:rPr>
          <w:rFonts w:ascii="Arial" w:eastAsia="Times New Roman" w:hAnsi="Arial" w:cs="Arial"/>
          <w:bCs/>
          <w:sz w:val="28"/>
          <w:szCs w:val="28"/>
          <w:lang w:eastAsia="es-ES"/>
        </w:rPr>
        <w:t xml:space="preserve"> Por proveído de quince de abril de dos mil catorce, el Magistrado Presidente de este Tribunal Electoral acordó integrar el expediente identificado con la clave </w:t>
      </w:r>
      <w:r w:rsidRPr="00791593">
        <w:rPr>
          <w:rFonts w:ascii="Arial" w:eastAsia="Times New Roman" w:hAnsi="Arial" w:cs="Arial"/>
          <w:b/>
          <w:bCs/>
          <w:sz w:val="28"/>
          <w:szCs w:val="28"/>
          <w:lang w:eastAsia="es-ES"/>
        </w:rPr>
        <w:t>SUP-REC-834/2014</w:t>
      </w:r>
      <w:r w:rsidRPr="00791593">
        <w:rPr>
          <w:rFonts w:ascii="Arial" w:eastAsia="Times New Roman" w:hAnsi="Arial" w:cs="Arial"/>
          <w:bCs/>
          <w:sz w:val="28"/>
          <w:szCs w:val="28"/>
          <w:lang w:eastAsia="es-ES"/>
        </w:rPr>
        <w:t xml:space="preserve">, con motivo de la demanda presentada por Alfonso Alvarado Martínez, </w:t>
      </w:r>
      <w:r w:rsidRPr="00791593">
        <w:rPr>
          <w:rFonts w:ascii="Arial" w:eastAsia="Times New Roman" w:hAnsi="Arial" w:cs="Arial"/>
          <w:sz w:val="28"/>
          <w:szCs w:val="28"/>
          <w:lang w:val="es-ES" w:eastAsia="es-ES"/>
        </w:rPr>
        <w:t>Adán Zafra Torralba,</w:t>
      </w:r>
      <w:r w:rsidRPr="00791593">
        <w:rPr>
          <w:rFonts w:ascii="Arial" w:eastAsia="Times New Roman" w:hAnsi="Arial" w:cs="Arial"/>
          <w:bCs/>
          <w:sz w:val="28"/>
          <w:szCs w:val="28"/>
          <w:lang w:eastAsia="es-ES"/>
        </w:rPr>
        <w:t xml:space="preserve"> José Luis Colores Ramos, José Manuel Luengas C. y Javier Alvarado Luna.</w:t>
      </w:r>
    </w:p>
    <w:p w14:paraId="19608F75"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términos del citado proveído, el expediente fue turnado a la Ponencia del Magistrado Flavio Galván Rivera, para los efectos previstos en los artículos 19 y 68, de la Ley General del Sistema de Medios de Impugnación en Materia Electoral.</w:t>
      </w:r>
    </w:p>
    <w:p w14:paraId="286C4C3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eastAsia="es-ES"/>
        </w:rPr>
        <w:t>V. Radicación</w:t>
      </w:r>
      <w:r w:rsidRPr="00791593">
        <w:rPr>
          <w:rFonts w:ascii="Arial" w:eastAsia="Times New Roman" w:hAnsi="Arial" w:cs="Arial"/>
          <w:bCs/>
          <w:sz w:val="28"/>
          <w:szCs w:val="28"/>
          <w:lang w:eastAsia="es-ES"/>
        </w:rPr>
        <w:t>. Por auto de dieciséis de abril de dos mil catorce, el Magistrado Flavio Galván Rivera acordó radicar, en la Ponencia a su cargo, el recurso de reconsideración al rubro indicado.</w:t>
      </w:r>
    </w:p>
    <w:p w14:paraId="5DB4326B"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b/>
          <w:bCs/>
          <w:sz w:val="28"/>
          <w:szCs w:val="28"/>
          <w:lang w:eastAsia="es-ES"/>
        </w:rPr>
        <w:lastRenderedPageBreak/>
        <w:t xml:space="preserve">VI. Admisión y reserva. </w:t>
      </w:r>
      <w:r w:rsidRPr="00791593">
        <w:rPr>
          <w:rFonts w:ascii="Arial" w:eastAsia="Times New Roman" w:hAnsi="Arial" w:cs="Arial"/>
          <w:sz w:val="28"/>
          <w:szCs w:val="28"/>
          <w:lang w:val="es-ES" w:eastAsia="es-ES"/>
        </w:rPr>
        <w:t xml:space="preserve">Por acuerdo de veinticinco de abril dos mil catorce, el Magistrado Instructor, </w:t>
      </w:r>
      <w:r w:rsidRPr="00791593">
        <w:rPr>
          <w:rFonts w:ascii="Arial" w:eastAsia="Times New Roman" w:hAnsi="Arial" w:cs="Arial"/>
          <w:bCs/>
          <w:sz w:val="28"/>
          <w:szCs w:val="28"/>
          <w:lang w:eastAsia="es-ES"/>
        </w:rPr>
        <w:t>Flavio Galván Rivera,</w:t>
      </w:r>
      <w:r w:rsidRPr="00791593">
        <w:rPr>
          <w:rFonts w:ascii="Arial" w:eastAsia="Times New Roman" w:hAnsi="Arial" w:cs="Arial"/>
          <w:sz w:val="28"/>
          <w:szCs w:val="28"/>
          <w:lang w:val="es-ES" w:eastAsia="es-ES"/>
        </w:rPr>
        <w:t xml:space="preserve"> admitió el escrito de recurso de reconsideración al rubro identificado y determinó reservar, en general, el estudio de los requisitos especiales de procedibilidad del medio de impugnación que se resuelve, así como la procedibilidad del recurso respecto de </w:t>
      </w:r>
      <w:r w:rsidRPr="00791593">
        <w:rPr>
          <w:rFonts w:ascii="Arial" w:eastAsia="Times New Roman" w:hAnsi="Arial" w:cs="Arial"/>
          <w:sz w:val="28"/>
          <w:szCs w:val="28"/>
          <w:lang w:eastAsia="es-MX"/>
        </w:rPr>
        <w:t>Adán Zafra Torralba</w:t>
      </w:r>
      <w:r w:rsidRPr="00791593">
        <w:rPr>
          <w:rFonts w:ascii="Arial" w:eastAsia="Times New Roman" w:hAnsi="Arial" w:cs="Arial"/>
          <w:sz w:val="28"/>
          <w:szCs w:val="28"/>
          <w:lang w:val="es-ES" w:eastAsia="es-ES"/>
        </w:rPr>
        <w:t>, quien no firmo el escrito de impugnación.</w:t>
      </w:r>
    </w:p>
    <w:p w14:paraId="64FF104E" w14:textId="77777777" w:rsidR="006F5238" w:rsidRPr="00791593" w:rsidRDefault="006F5238" w:rsidP="006F5238">
      <w:pPr>
        <w:widowControl w:val="0"/>
        <w:spacing w:before="100" w:beforeAutospacing="1" w:after="100" w:afterAutospacing="1" w:line="360" w:lineRule="auto"/>
        <w:ind w:firstLine="709"/>
        <w:jc w:val="center"/>
        <w:rPr>
          <w:rFonts w:ascii="Arial" w:eastAsia="Times New Roman" w:hAnsi="Arial" w:cs="Arial"/>
          <w:sz w:val="28"/>
          <w:szCs w:val="28"/>
          <w:lang w:val="es-ES" w:eastAsia="es-ES"/>
        </w:rPr>
      </w:pPr>
      <w:r w:rsidRPr="00791593">
        <w:rPr>
          <w:rFonts w:ascii="Arial" w:eastAsia="Times New Roman" w:hAnsi="Arial" w:cs="Arial"/>
          <w:b/>
          <w:bCs/>
          <w:sz w:val="28"/>
          <w:szCs w:val="28"/>
          <w:lang w:val="es-ES" w:eastAsia="es-ES"/>
        </w:rPr>
        <w:t>C O N S I D E R A N D O :</w:t>
      </w:r>
    </w:p>
    <w:p w14:paraId="28216D95"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bCs/>
          <w:sz w:val="28"/>
          <w:szCs w:val="28"/>
          <w:lang w:eastAsia="es-ES"/>
        </w:rPr>
        <w:t>PRIMERO. Competencia.</w:t>
      </w:r>
      <w:r w:rsidRPr="00791593">
        <w:rPr>
          <w:rFonts w:ascii="Arial" w:eastAsia="Times New Roman" w:hAnsi="Arial" w:cs="Arial"/>
          <w:sz w:val="28"/>
          <w:szCs w:val="28"/>
          <w:lang w:eastAsia="es-ES"/>
        </w:rPr>
        <w:t xml:space="preserve"> Esta Sala Superior del Tribunal Electoral del Poder Judicial de la Federación es competente para conocer y resolver el medio de impugnación al rubro indicado, de conformidad con lo previsto en los artículos 41, párrafo segundo, base VI, y 99, párrafo cuarto, fracción IX, de la Constitución Política de los Estados Unidos Mexicanos; 186, fracción X, y 189, fracción XIX, de la Ley Orgánica del Poder Judicial de la Federación, y 64, de la Ley General del Sistema de Medios de Impugnación en Materia Electoral, porque se trata de un recurso de reconsideración promovido por ciudadanos, para controvertir la sentencia dictada por la Sala Regional Xalapa de este Tribunal Electoral, al resolver el juicio para la protección de los derechos político-electorales del ciudadano identificado con la clave SX-JDC-111/2014.</w:t>
      </w:r>
    </w:p>
    <w:p w14:paraId="2575C08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bCs/>
          <w:sz w:val="28"/>
          <w:szCs w:val="28"/>
          <w:lang w:eastAsia="es-ES"/>
        </w:rPr>
        <w:t>SEGUNDO. Improcedencia y s</w:t>
      </w:r>
      <w:r w:rsidRPr="00791593">
        <w:rPr>
          <w:rFonts w:ascii="Arial" w:eastAsia="Times New Roman" w:hAnsi="Arial" w:cs="Arial"/>
          <w:b/>
          <w:sz w:val="28"/>
          <w:szCs w:val="28"/>
          <w:lang w:eastAsia="es-ES"/>
        </w:rPr>
        <w:t>obreseimiento por falta de firma</w:t>
      </w:r>
      <w:r w:rsidRPr="00791593">
        <w:rPr>
          <w:rFonts w:ascii="Arial" w:eastAsia="Times New Roman" w:hAnsi="Arial" w:cs="Arial"/>
          <w:sz w:val="28"/>
          <w:szCs w:val="28"/>
          <w:lang w:eastAsia="es-ES"/>
        </w:rPr>
        <w:t xml:space="preserve">. Esta Sala Superior advierte que, respecto de </w:t>
      </w:r>
      <w:r w:rsidRPr="00791593">
        <w:rPr>
          <w:rFonts w:ascii="Arial" w:eastAsia="Times New Roman" w:hAnsi="Arial" w:cs="Arial"/>
          <w:sz w:val="28"/>
          <w:szCs w:val="28"/>
          <w:lang w:eastAsia="es-MX"/>
        </w:rPr>
        <w:t xml:space="preserve">Adán Zafra Torralba, </w:t>
      </w:r>
      <w:r w:rsidRPr="00791593">
        <w:rPr>
          <w:rFonts w:ascii="Arial" w:eastAsia="Times New Roman" w:hAnsi="Arial" w:cs="Arial"/>
          <w:sz w:val="28"/>
          <w:szCs w:val="28"/>
          <w:lang w:eastAsia="es-ES"/>
        </w:rPr>
        <w:t xml:space="preserve">se actualiza la causal de notoria improcedencia del medio de impugnación prevista en el artículo 9, párrafo 1, inciso g) y párrafo 3, de </w:t>
      </w:r>
      <w:r w:rsidRPr="00791593">
        <w:rPr>
          <w:rFonts w:ascii="Arial" w:eastAsia="Times New Roman" w:hAnsi="Arial" w:cs="Arial"/>
          <w:sz w:val="28"/>
          <w:szCs w:val="28"/>
          <w:lang w:eastAsia="es-ES"/>
        </w:rPr>
        <w:lastRenderedPageBreak/>
        <w:t>la Ley General del Sistema de Medios de Impugnación en Materia Electoral, consistente en que el escrito de impugnación carezca de la firma autógrafa del promovente.</w:t>
      </w:r>
    </w:p>
    <w:p w14:paraId="3167B4E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En el particular, del análisis detallado del escrito de reconsideración, que obra a fojas nueve a treinta y nueve del expediente al rubro indicado, se advierte con toda claridad que carece de firma autógrafa, rúbrica o huella digital, de </w:t>
      </w:r>
      <w:r w:rsidRPr="00791593">
        <w:rPr>
          <w:rFonts w:ascii="Arial" w:eastAsia="Times New Roman" w:hAnsi="Arial" w:cs="Arial"/>
          <w:sz w:val="28"/>
          <w:szCs w:val="28"/>
          <w:lang w:eastAsia="es-MX"/>
        </w:rPr>
        <w:t>Adán Zafra Torralba, razón por la cual resulta improcedente el medio de impugnación respecto de este ciudadano</w:t>
      </w:r>
      <w:r w:rsidRPr="00791593">
        <w:rPr>
          <w:rFonts w:ascii="Arial" w:eastAsia="Times New Roman" w:hAnsi="Arial" w:cs="Arial"/>
          <w:sz w:val="28"/>
          <w:szCs w:val="28"/>
          <w:lang w:eastAsia="es-ES"/>
        </w:rPr>
        <w:t>.</w:t>
      </w:r>
    </w:p>
    <w:p w14:paraId="72934AF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Por tanto, resulta evidente que en el recurso que se analiza, respecto de </w:t>
      </w:r>
      <w:r w:rsidRPr="00791593">
        <w:rPr>
          <w:rFonts w:ascii="Arial" w:eastAsia="Times New Roman" w:hAnsi="Arial" w:cs="Arial"/>
          <w:sz w:val="28"/>
          <w:szCs w:val="28"/>
          <w:lang w:eastAsia="es-MX"/>
        </w:rPr>
        <w:t xml:space="preserve">Adán Zafra Torralba, </w:t>
      </w:r>
      <w:r w:rsidRPr="00791593">
        <w:rPr>
          <w:rFonts w:ascii="Arial" w:eastAsia="Times New Roman" w:hAnsi="Arial" w:cs="Arial"/>
          <w:sz w:val="28"/>
          <w:szCs w:val="28"/>
          <w:lang w:eastAsia="es-ES"/>
        </w:rPr>
        <w:t>se actualiza la causal de notoria improcedencia de la impugnación, prevista en el artículo 9, párrafo 1, inciso g), relacionado con el párrafo 3, del mismo numeral, de la Ley General del Sistema de Medios de Impugnación en Materia Electoral, motivo por el cual resulta conforme a Derecho decretar el sobreseimiento respectivo, con fundamento en el artículo 11, párrafo 1, inciso c), del citado ordenamiento adjetivo federal.</w:t>
      </w:r>
    </w:p>
    <w:p w14:paraId="17B0ED0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bCs/>
          <w:sz w:val="28"/>
          <w:szCs w:val="28"/>
          <w:lang w:eastAsia="es-ES"/>
        </w:rPr>
        <w:t>TERCERO. Requisitos especiales de procedibilidad y causales de improcedencia</w:t>
      </w:r>
      <w:r w:rsidRPr="00791593">
        <w:rPr>
          <w:rFonts w:ascii="Arial" w:eastAsia="Times New Roman" w:hAnsi="Arial" w:cs="Arial"/>
          <w:sz w:val="28"/>
          <w:szCs w:val="28"/>
          <w:lang w:eastAsia="es-ES"/>
        </w:rPr>
        <w:t>. En el recurso de reconsideración que ahora se resuelve se satisfacen los requisitos especiales de procedibilidad, previstos en la Ley General del Sistema de Medios de Impugnación en Materia Electoral, como se precisa a continuación.</w:t>
      </w:r>
    </w:p>
    <w:p w14:paraId="79812D9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bCs/>
          <w:sz w:val="28"/>
          <w:szCs w:val="28"/>
          <w:lang w:eastAsia="es-ES"/>
        </w:rPr>
        <w:t>1. Sentencia de fondo</w:t>
      </w:r>
      <w:r w:rsidRPr="00791593">
        <w:rPr>
          <w:rFonts w:ascii="Arial" w:eastAsia="Times New Roman" w:hAnsi="Arial" w:cs="Arial"/>
          <w:sz w:val="28"/>
          <w:szCs w:val="28"/>
          <w:lang w:eastAsia="es-ES"/>
        </w:rPr>
        <w:t xml:space="preserve">. El requisito establecido en el artículo 61 de la Ley General del Sistema de Medios de Impugnación en Materia </w:t>
      </w:r>
      <w:r w:rsidRPr="00791593">
        <w:rPr>
          <w:rFonts w:ascii="Arial" w:eastAsia="Times New Roman" w:hAnsi="Arial" w:cs="Arial"/>
          <w:sz w:val="28"/>
          <w:szCs w:val="28"/>
          <w:lang w:eastAsia="es-ES"/>
        </w:rPr>
        <w:lastRenderedPageBreak/>
        <w:t xml:space="preserve">Electoral, se cumple en el particular, toda vez que el acto impugnado es una sentencia definitiva que resolvió el fondo de la </w:t>
      </w:r>
      <w:r w:rsidRPr="00791593">
        <w:rPr>
          <w:rFonts w:ascii="Arial" w:eastAsia="Times New Roman" w:hAnsi="Arial" w:cs="Arial"/>
          <w:i/>
          <w:iCs/>
          <w:sz w:val="28"/>
          <w:szCs w:val="28"/>
          <w:lang w:eastAsia="es-ES"/>
        </w:rPr>
        <w:t>litis</w:t>
      </w:r>
      <w:r w:rsidRPr="00791593">
        <w:rPr>
          <w:rFonts w:ascii="Arial" w:eastAsia="Times New Roman" w:hAnsi="Arial" w:cs="Arial"/>
          <w:sz w:val="28"/>
          <w:szCs w:val="28"/>
          <w:lang w:eastAsia="es-ES"/>
        </w:rPr>
        <w:t xml:space="preserve"> planteada ante la Sala Regional Xalapa de este Tribunal Electoral, en el juicio para la protección de los derechos político-electorales del ciudadano radicado en el expediente identificado con la clave SX-JDC-111/2014, incoado por </w:t>
      </w:r>
      <w:r w:rsidRPr="00791593">
        <w:rPr>
          <w:rFonts w:ascii="Arial" w:eastAsia="Times New Roman" w:hAnsi="Arial" w:cs="Arial"/>
          <w:bCs/>
          <w:sz w:val="28"/>
          <w:szCs w:val="28"/>
          <w:lang w:eastAsia="es-ES"/>
        </w:rPr>
        <w:t>Javier Rubio Rosas, José Conrado Salazar Guzmán, Fredy Mendoza Ramírez, Abraham Félix Pacheco Ramírez, René Gregorio Salazar Mendoza, José Jorge Martínez Cortés, Martín Filemón Luengas Vetanso, Zacarías Santiago Salazar Guzmán, Luis Rogelio Mendoza Chávez, Juan Alberto Luna Camarillo y Leobardo Catalino Cruz Hernández.</w:t>
      </w:r>
    </w:p>
    <w:p w14:paraId="6BBE8E6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bCs/>
          <w:sz w:val="28"/>
          <w:szCs w:val="28"/>
          <w:lang w:eastAsia="es-ES"/>
        </w:rPr>
        <w:t>2. Presupuesto del recurso</w:t>
      </w:r>
      <w:r w:rsidRPr="00791593">
        <w:rPr>
          <w:rFonts w:ascii="Arial" w:eastAsia="Times New Roman" w:hAnsi="Arial" w:cs="Arial"/>
          <w:sz w:val="28"/>
          <w:szCs w:val="28"/>
          <w:lang w:eastAsia="es-ES"/>
        </w:rPr>
        <w:t>. Al promover el recurso de reconsideración que se analiza, se cumplen los requisitos especiales de procedibilidad previstos en los artículos 61, párrafo 1, inciso b), y 62, párrafo 1, inciso a), fracción IV, de la Ley General del Sistema de Medios de Impugnación en Materia Electoral, conforme a las siguientes consideraciones.</w:t>
      </w:r>
    </w:p>
    <w:p w14:paraId="08693D1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términos del artículo 99, de la Constitución Política de los Estados Unidos Mexicanos, las Salas del Tribunal Electoral del Poder Judicial de la Federación tienen competencia para resolver sobre la no aplicación de leyes en materia electoral, por ser contrarias a la Constitución federal, con las previsiones y salvedades que el propio numeral indica; esto es, se deben limitar a la controversia que se analiza y dar aviso, en su caso, a la Suprema Corte de Justicia de la Nación.</w:t>
      </w:r>
    </w:p>
    <w:p w14:paraId="485A5096"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En este sentido, el numeral 61, de la Ley General del Sistema de </w:t>
      </w:r>
      <w:r w:rsidRPr="00791593">
        <w:rPr>
          <w:rFonts w:ascii="Arial" w:eastAsia="Times New Roman" w:hAnsi="Arial" w:cs="Arial"/>
          <w:sz w:val="28"/>
          <w:szCs w:val="28"/>
          <w:lang w:eastAsia="es-ES"/>
        </w:rPr>
        <w:lastRenderedPageBreak/>
        <w:t>Medios de Impugnación en Materia Electoral, establece:</w:t>
      </w:r>
    </w:p>
    <w:p w14:paraId="4BD2562B"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b/>
          <w:bCs/>
          <w:sz w:val="24"/>
          <w:szCs w:val="27"/>
          <w:lang w:eastAsia="es-ES"/>
        </w:rPr>
      </w:pPr>
      <w:r w:rsidRPr="00791593">
        <w:rPr>
          <w:rFonts w:ascii="Arial" w:eastAsia="Times New Roman" w:hAnsi="Arial" w:cs="Arial"/>
          <w:b/>
          <w:bCs/>
          <w:sz w:val="24"/>
          <w:szCs w:val="27"/>
          <w:lang w:eastAsia="es-ES"/>
        </w:rPr>
        <w:t>Artículo 61</w:t>
      </w:r>
    </w:p>
    <w:p w14:paraId="5F409AFE"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7"/>
          <w:lang w:eastAsia="es-ES"/>
        </w:rPr>
      </w:pPr>
      <w:r w:rsidRPr="00791593">
        <w:rPr>
          <w:rFonts w:ascii="Arial" w:eastAsia="Times New Roman" w:hAnsi="Arial" w:cs="Arial"/>
          <w:b/>
          <w:bCs/>
          <w:sz w:val="24"/>
          <w:szCs w:val="27"/>
          <w:lang w:eastAsia="es-ES"/>
        </w:rPr>
        <w:t>1.</w:t>
      </w:r>
      <w:r w:rsidRPr="00791593">
        <w:rPr>
          <w:rFonts w:ascii="Arial" w:eastAsia="Times New Roman" w:hAnsi="Arial" w:cs="Arial"/>
          <w:sz w:val="24"/>
          <w:szCs w:val="27"/>
          <w:lang w:eastAsia="es-ES"/>
        </w:rPr>
        <w:t xml:space="preserve"> El recurso de reconsideración sólo procederá para impugnar las sentencias de fondo dictadas por las Salas Regionales en los casos siguientes:</w:t>
      </w:r>
    </w:p>
    <w:p w14:paraId="4C86E747"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7"/>
          <w:lang w:eastAsia="es-ES"/>
        </w:rPr>
      </w:pPr>
      <w:r w:rsidRPr="00791593">
        <w:rPr>
          <w:rFonts w:ascii="Arial" w:eastAsia="Times New Roman" w:hAnsi="Arial" w:cs="Arial"/>
          <w:b/>
          <w:bCs/>
          <w:sz w:val="24"/>
          <w:szCs w:val="27"/>
          <w:lang w:eastAsia="es-ES"/>
        </w:rPr>
        <w:t>a)</w:t>
      </w:r>
      <w:r w:rsidRPr="00791593">
        <w:rPr>
          <w:rFonts w:ascii="Arial" w:eastAsia="Times New Roman" w:hAnsi="Arial" w:cs="Arial"/>
          <w:sz w:val="24"/>
          <w:szCs w:val="27"/>
          <w:lang w:eastAsia="es-ES"/>
        </w:rPr>
        <w:t xml:space="preserve"> En juicios de inconformidad que se hayan promovido en contra de los resultados de las elecciones de diputados y senadores, así como las asignaciones por el principio de representación proporcional que respecto de dichas elecciones realice el Consejo General del Instituto; siempre y cuando se cumplan los presupuestos y requisitos establecidos en este ordenamiento, y</w:t>
      </w:r>
    </w:p>
    <w:p w14:paraId="6E6362EF"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7"/>
          <w:lang w:eastAsia="es-ES"/>
        </w:rPr>
      </w:pPr>
      <w:r w:rsidRPr="00791593">
        <w:rPr>
          <w:rFonts w:ascii="Arial" w:eastAsia="Times New Roman" w:hAnsi="Arial" w:cs="Arial"/>
          <w:b/>
          <w:bCs/>
          <w:sz w:val="24"/>
          <w:szCs w:val="27"/>
          <w:lang w:eastAsia="es-ES"/>
        </w:rPr>
        <w:t>b)</w:t>
      </w:r>
      <w:r w:rsidRPr="00791593">
        <w:rPr>
          <w:rFonts w:ascii="Arial" w:eastAsia="Times New Roman" w:hAnsi="Arial" w:cs="Arial"/>
          <w:sz w:val="24"/>
          <w:szCs w:val="27"/>
          <w:lang w:eastAsia="es-ES"/>
        </w:rPr>
        <w:t xml:space="preserve"> En los demás medios de impugnación de la competencia de las Salas Regionales, cuando hayan determinado la no aplicación de una ley electoral por considerarla contraria a la Constitución.</w:t>
      </w:r>
    </w:p>
    <w:p w14:paraId="75D76A59"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7"/>
          <w:lang w:eastAsia="es-ES"/>
        </w:rPr>
      </w:pPr>
    </w:p>
    <w:p w14:paraId="6417DE8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De la aludida disposición se advierte la posibilidad de impugnar las sentencias de fondo, dictadas por las Salas Regionales, en cualquier medio de impugnación, cuando se haya determinado la no aplicación de una ley electoral, por considerarla contraria a la Constitución.</w:t>
      </w:r>
    </w:p>
    <w:p w14:paraId="02C0C72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Al respecto, esta Sala Superior, en una interpretación que privilegia el derecho de acceso a la justicia, conforme a lo previsto en los artículos 1° y 17 de la Constitución federal, ha ampliado la procedibilidad del recurso de reconsideración, al establecer criterios que han dado lugar a la emisión de diversas tesis de jurisprudencia; entre esos criterios está el relativo a que el recurso de reconsideración es procedente cuando existen irregularidades graves, plenamente acreditadas, que atenten contra los principios constitucionales y convencionales exigidos para la validez de las elecciones, respecto de las cuales las Salas Regionales no hayan adoptado las medidas necesarias para garantizar su observancia, siempre que tales medidas </w:t>
      </w:r>
      <w:r w:rsidRPr="00791593">
        <w:rPr>
          <w:rFonts w:ascii="Arial" w:eastAsia="Times New Roman" w:hAnsi="Arial" w:cs="Arial"/>
          <w:sz w:val="28"/>
          <w:szCs w:val="28"/>
          <w:lang w:eastAsia="es-ES"/>
        </w:rPr>
        <w:lastRenderedPageBreak/>
        <w:t>hubieran sido solicitadas en tiempo y forma por los accionantes, ante el órgano jurisdiccional responsable o que éste haya omitido su análisis, toda vez que es deber de este órgano jurisdiccional verificar y preservar la regularidad constitucional de todos los actos llevados a cabo durante el procedimiento electoral, a fin de garantizar la plena observancia de los principios indicados.</w:t>
      </w:r>
    </w:p>
    <w:p w14:paraId="38A5AC9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sz w:val="28"/>
          <w:szCs w:val="28"/>
          <w:lang w:eastAsia="es-ES"/>
        </w:rPr>
        <w:t>En efecto, e</w:t>
      </w:r>
      <w:r w:rsidRPr="00791593">
        <w:rPr>
          <w:rFonts w:ascii="Arial" w:eastAsia="Times New Roman" w:hAnsi="Arial" w:cs="Arial"/>
          <w:sz w:val="28"/>
          <w:szCs w:val="28"/>
          <w:lang w:val="es-ES" w:eastAsia="es-ES"/>
        </w:rPr>
        <w:t xml:space="preserve">l criterio anterior ha sido reiterado por esta Sala Superior, lo cual ha dado origen a la </w:t>
      </w:r>
      <w:bookmarkStart w:id="1" w:name="LPHit13"/>
      <w:bookmarkEnd w:id="1"/>
      <w:r w:rsidRPr="00791593">
        <w:rPr>
          <w:rFonts w:ascii="Arial" w:eastAsia="Times New Roman" w:hAnsi="Arial" w:cs="Arial"/>
          <w:sz w:val="28"/>
          <w:szCs w:val="28"/>
          <w:lang w:val="es-ES" w:eastAsia="es-ES"/>
        </w:rPr>
        <w:t xml:space="preserve">tesis de </w:t>
      </w:r>
      <w:bookmarkStart w:id="2" w:name="LPHit14"/>
      <w:bookmarkEnd w:id="2"/>
      <w:r w:rsidRPr="00791593">
        <w:rPr>
          <w:rFonts w:ascii="Arial" w:eastAsia="Times New Roman" w:hAnsi="Arial" w:cs="Arial"/>
          <w:sz w:val="28"/>
          <w:szCs w:val="28"/>
          <w:lang w:val="es-ES" w:eastAsia="es-ES"/>
        </w:rPr>
        <w:t xml:space="preserve">jurisprudencia identificada con la clave 4/2014, aprobada por esta Sala Superior </w:t>
      </w:r>
      <w:r w:rsidRPr="00791593">
        <w:rPr>
          <w:rFonts w:ascii="Arial" w:eastAsia="Times New Roman" w:hAnsi="Arial" w:cs="Arial"/>
          <w:bCs/>
          <w:sz w:val="28"/>
          <w:szCs w:val="28"/>
          <w:lang w:val="es-ES" w:eastAsia="es-ES"/>
        </w:rPr>
        <w:t>en sesión pública celebrada el veintiséis de marzo de dos mil catorce, la cual está pendiente de publicación, cuyo rubro y texto son del tenor siguiente:</w:t>
      </w:r>
    </w:p>
    <w:bookmarkStart w:id="3" w:name="TEXTO_5/2014"/>
    <w:p w14:paraId="46D9F864" w14:textId="77777777" w:rsidR="006F5238" w:rsidRPr="00791593" w:rsidRDefault="006F5238" w:rsidP="006F5238">
      <w:pPr>
        <w:widowControl w:val="0"/>
        <w:spacing w:before="120" w:after="120" w:line="240" w:lineRule="auto"/>
        <w:ind w:left="567" w:right="567"/>
        <w:jc w:val="both"/>
        <w:rPr>
          <w:rFonts w:ascii="Arial" w:eastAsia="Times New Roman" w:hAnsi="Arial" w:cs="Arial"/>
          <w:sz w:val="24"/>
          <w:szCs w:val="24"/>
          <w:lang w:eastAsia="es-ES"/>
        </w:rPr>
      </w:pPr>
      <w:r w:rsidRPr="00791593">
        <w:rPr>
          <w:rFonts w:ascii="Arial" w:eastAsia="Times New Roman" w:hAnsi="Arial" w:cs="Arial"/>
          <w:b/>
          <w:bCs/>
          <w:sz w:val="24"/>
          <w:szCs w:val="24"/>
          <w:lang w:eastAsia="es-ES"/>
        </w:rPr>
        <w:fldChar w:fldCharType="begin"/>
      </w:r>
      <w:r w:rsidRPr="00791593">
        <w:rPr>
          <w:rFonts w:ascii="Arial" w:eastAsia="Times New Roman" w:hAnsi="Arial" w:cs="Arial"/>
          <w:b/>
          <w:bCs/>
          <w:sz w:val="24"/>
          <w:szCs w:val="24"/>
          <w:lang w:eastAsia="es-ES"/>
        </w:rPr>
        <w:instrText xml:space="preserve"> HYPERLINK "http://10.10.15.15/siscon/gateway.dll/nJurisprudenciayTesis/nVigentesTercerayCuartaEpoca/compilaci%C3%B3n.htm?f=templates$fn=document-frame.htm$3.0$q=$uq=$x=$up=1$nc=5257" \l "5/2014" </w:instrText>
      </w:r>
      <w:r w:rsidRPr="00791593">
        <w:rPr>
          <w:rFonts w:ascii="Arial" w:eastAsia="Times New Roman" w:hAnsi="Arial" w:cs="Arial"/>
          <w:b/>
          <w:bCs/>
          <w:sz w:val="24"/>
          <w:szCs w:val="24"/>
          <w:lang w:eastAsia="es-ES"/>
        </w:rPr>
        <w:fldChar w:fldCharType="separate"/>
      </w:r>
      <w:r w:rsidRPr="00791593">
        <w:rPr>
          <w:rFonts w:ascii="Arial" w:eastAsia="Times New Roman" w:hAnsi="Arial" w:cs="Arial"/>
          <w:b/>
          <w:bCs/>
          <w:sz w:val="24"/>
          <w:szCs w:val="24"/>
          <w:lang w:eastAsia="es-ES"/>
        </w:rPr>
        <w:t xml:space="preserve">RECURSO DE RECONSIDERACIÓN. PROCEDE CUANDO SE ADUZCA LA EXISTENCIA DE IRREGULARIDADES GRAVES QUE PUEDAN AFECTAR LOS PRINCIPIOS CONSTITUCIONALES Y CONVENCIONALES EXIGIDOS PARA LA VALIDEZ DE LAS ELECCIONES.- </w:t>
      </w:r>
      <w:r w:rsidRPr="00791593">
        <w:rPr>
          <w:rFonts w:ascii="Arial" w:eastAsia="Times New Roman" w:hAnsi="Arial" w:cs="Arial"/>
          <w:sz w:val="24"/>
          <w:szCs w:val="24"/>
          <w:lang w:val="es-ES" w:eastAsia="es-ES"/>
        </w:rPr>
        <w:fldChar w:fldCharType="end"/>
      </w:r>
      <w:bookmarkEnd w:id="3"/>
      <w:r w:rsidRPr="00791593">
        <w:rPr>
          <w:rFonts w:ascii="Arial" w:eastAsia="Times New Roman" w:hAnsi="Arial" w:cs="Arial"/>
          <w:sz w:val="24"/>
          <w:szCs w:val="24"/>
          <w:lang w:eastAsia="es-ES"/>
        </w:rPr>
        <w:t xml:space="preserve">De la interpretación sistemática y funcional de los artículos 1°, 17, 41 y 99 de la Constitución Política de los Estados Unidos Mexicanos; 8 y 25 de la Convención Americana sobre Derechos Humanos, así como 3, 61 y 62 de la Ley General del Sistema de Medios de Impugnación en Materia Electoral, en los cuales se estatuye el derecho a la tutela judicial efectiva, que incorpora los derechos de acceso a la justicia y a un recurso efectivo, así como el respeto a las garantías mínimas procesales, y se define al recurso de reconsideración como el medio de impugnación en materia electoral procedente para que la Sala Superior del Tribunal Electoral revise el control concreto de constitucionalidad que llevan a cabo las Salas Regionales, se concluye que el recurso de reconsideración resulta procedente cuando se aduzca la existencia de irregularidades graves que puedan vulnerar los principios constitucionales y convencionales exigidos para la validez de las elecciones, entre los que destacan los de certeza y autenticidad, respecto de los cuales se alegue que la Sala Regional responsable no adoptó las medidas necesarias para garantizar su observancia y hacerlos efectivos; o bien, que omitió el análisis de tales irregularidades, al realizar una interpretación que pudiera limitar su alcance. Lo anterior, toda vez que es deber del Tribunal Electoral del Poder Judicial de la Federación resolver sobre la regularidad constitucional de todos los actos realizados </w:t>
      </w:r>
      <w:r w:rsidRPr="00791593">
        <w:rPr>
          <w:rFonts w:ascii="Arial" w:eastAsia="Times New Roman" w:hAnsi="Arial" w:cs="Arial"/>
          <w:sz w:val="24"/>
          <w:szCs w:val="24"/>
          <w:lang w:eastAsia="es-ES"/>
        </w:rPr>
        <w:lastRenderedPageBreak/>
        <w:t>durante el proceso electoral, a fin de garantizar la plena observancia de los principios constitucionales y convencionales que rigen en la materia.</w:t>
      </w:r>
    </w:p>
    <w:p w14:paraId="331AEA46"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bookmarkStart w:id="4" w:name="LPHit15"/>
      <w:bookmarkStart w:id="5" w:name="LPHit16"/>
      <w:bookmarkEnd w:id="4"/>
      <w:bookmarkEnd w:id="5"/>
      <w:r w:rsidRPr="00791593">
        <w:rPr>
          <w:rFonts w:ascii="Arial" w:eastAsia="Times New Roman" w:hAnsi="Arial" w:cs="Arial"/>
          <w:sz w:val="28"/>
          <w:szCs w:val="28"/>
          <w:lang w:eastAsia="es-ES"/>
        </w:rPr>
        <w:t xml:space="preserve">En el particular, del escrito de demanda se advierte que los recurrentes aducen que con el dictado de la sentencia de la Sala Regional responsable, en la que resolvió revocar la diversa sentencia dictada por el Tribunal Estatal Electoral del Poder Judicial de Oaxaca, en la cual se había declarado la nulidad de la elección de integrantes al Ayuntamiento de San Sebastián Tecomaxtlahuaca, Juxtlahuaca, Oaxaca, se violaron los principios de certeza, legalidad, imparcialidad y objetividad, dada la incorrecta valoración de pruebas que llevó a cabo la Sala Regional y que no tomó en consideración todos los elementos de convicción que obran en el expediente. </w:t>
      </w:r>
    </w:p>
    <w:p w14:paraId="2A9A4005"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 xml:space="preserve">En ese sentido, sin prejuzgar sobre el fondo del asunto, esta Sala Superior considera que procede el análisis del fondo de la litis planteada en el recurso de reconsideración interpuesto, porque con los conceptos de agravio que hace valer se alega la posible existencia de </w:t>
      </w:r>
      <w:bookmarkStart w:id="6" w:name="LPHit2"/>
      <w:bookmarkEnd w:id="6"/>
      <w:r w:rsidRPr="00791593">
        <w:rPr>
          <w:rFonts w:ascii="Arial" w:eastAsia="Times New Roman" w:hAnsi="Arial" w:cs="Arial"/>
          <w:sz w:val="28"/>
          <w:szCs w:val="28"/>
          <w:lang w:val="es-ES" w:eastAsia="es-ES"/>
        </w:rPr>
        <w:t xml:space="preserve">irregularidades graves que pueden afectar los principios constitucionales rectores de los procedimientos electorales, especialmente el principio de certeza, en la elección de </w:t>
      </w:r>
      <w:r w:rsidRPr="00791593">
        <w:rPr>
          <w:rFonts w:ascii="Arial" w:eastAsia="Times New Roman" w:hAnsi="Arial" w:cs="Arial"/>
          <w:sz w:val="28"/>
          <w:szCs w:val="28"/>
          <w:lang w:eastAsia="es-ES"/>
        </w:rPr>
        <w:t>integrantes del citado Ayuntamiento.</w:t>
      </w:r>
    </w:p>
    <w:p w14:paraId="7A96C95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sz w:val="28"/>
          <w:szCs w:val="28"/>
          <w:lang w:eastAsia="es-ES"/>
        </w:rPr>
        <w:t xml:space="preserve">En consecuencia, a juicio de esta Sala Superior están satisfechos los requisitos de procedibilidad del recurso de reconsideración interpuesto por </w:t>
      </w:r>
      <w:r w:rsidRPr="00791593">
        <w:rPr>
          <w:rFonts w:ascii="Arial" w:eastAsia="Times New Roman" w:hAnsi="Arial" w:cs="Arial"/>
          <w:sz w:val="28"/>
          <w:szCs w:val="28"/>
          <w:lang w:val="es-ES" w:eastAsia="es-ES"/>
        </w:rPr>
        <w:t>Alfonso Alvarado Martínez, José Luis Colores Ramos, José Manuel Luengas C. y Javier Alvarado Luna.</w:t>
      </w:r>
    </w:p>
    <w:p w14:paraId="05B62FE6"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791593">
        <w:rPr>
          <w:rFonts w:ascii="Arial" w:eastAsia="Times New Roman" w:hAnsi="Arial" w:cs="Arial"/>
          <w:sz w:val="28"/>
          <w:szCs w:val="28"/>
          <w:lang w:val="es-ES" w:eastAsia="es-ES"/>
        </w:rPr>
        <w:t xml:space="preserve">Por tanto, sin prejuzgar sobre el fondo del asunto, lo procedente, </w:t>
      </w:r>
      <w:r w:rsidRPr="00791593">
        <w:rPr>
          <w:rFonts w:ascii="Arial" w:eastAsia="Times New Roman" w:hAnsi="Arial" w:cs="Arial"/>
          <w:sz w:val="28"/>
          <w:szCs w:val="28"/>
          <w:lang w:val="es-ES" w:eastAsia="es-ES"/>
        </w:rPr>
        <w:lastRenderedPageBreak/>
        <w:t>conforme a Derecho, es analizar los conceptos de agravio expresados por los recurrentes y no declarar improcedente el recurso.</w:t>
      </w:r>
      <w:r w:rsidRPr="00791593" w:rsidDel="00D0558B">
        <w:rPr>
          <w:rFonts w:ascii="Arial" w:eastAsia="Times New Roman" w:hAnsi="Arial" w:cs="Arial"/>
          <w:sz w:val="28"/>
          <w:szCs w:val="28"/>
          <w:lang w:eastAsia="es-ES"/>
        </w:rPr>
        <w:t xml:space="preserve"> </w:t>
      </w:r>
    </w:p>
    <w:p w14:paraId="39584D9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sz w:val="28"/>
          <w:szCs w:val="28"/>
          <w:lang w:eastAsia="es-ES"/>
        </w:rPr>
        <w:t xml:space="preserve">Ahora bien, en cuanto a la causal de improcedencia hecha valer por el compareciente tercero interesado Javier Rubio Rosas, consistente en que en el particular no se actualiza </w:t>
      </w:r>
      <w:r w:rsidRPr="00791593">
        <w:rPr>
          <w:rFonts w:ascii="Arial" w:eastAsia="Times New Roman" w:hAnsi="Arial" w:cs="Arial"/>
          <w:sz w:val="28"/>
          <w:szCs w:val="28"/>
          <w:lang w:eastAsia="es-MX"/>
        </w:rPr>
        <w:t xml:space="preserve">alguno de los supuestos de procedibilidad establecidos en el artículo 61, párrafo 1, incisos a) y b), de la Ley General del Sistema de Medios de Impugnación en Materia Electoral, a juicio de esta Sala Superior es </w:t>
      </w:r>
      <w:r w:rsidRPr="00791593">
        <w:rPr>
          <w:rFonts w:ascii="Arial" w:eastAsia="Times New Roman" w:hAnsi="Arial" w:cs="Arial"/>
          <w:b/>
          <w:sz w:val="28"/>
          <w:szCs w:val="28"/>
          <w:lang w:eastAsia="es-MX"/>
        </w:rPr>
        <w:t>infundada</w:t>
      </w:r>
      <w:r w:rsidRPr="00791593">
        <w:rPr>
          <w:rFonts w:ascii="Arial" w:eastAsia="Times New Roman" w:hAnsi="Arial" w:cs="Arial"/>
          <w:sz w:val="28"/>
          <w:szCs w:val="28"/>
          <w:lang w:eastAsia="es-MX"/>
        </w:rPr>
        <w:t xml:space="preserve">, por las consideraciones </w:t>
      </w:r>
      <w:r w:rsidRPr="00791593">
        <w:rPr>
          <w:rFonts w:ascii="Arial" w:eastAsia="Times New Roman" w:hAnsi="Arial" w:cs="Arial"/>
          <w:sz w:val="28"/>
          <w:szCs w:val="28"/>
          <w:lang w:eastAsia="es-ES"/>
        </w:rPr>
        <w:t xml:space="preserve">ya expuestas, </w:t>
      </w:r>
      <w:r w:rsidRPr="00791593">
        <w:rPr>
          <w:rFonts w:ascii="Arial" w:eastAsia="Times New Roman" w:hAnsi="Arial" w:cs="Arial"/>
          <w:sz w:val="28"/>
          <w:szCs w:val="28"/>
          <w:lang w:eastAsia="es-MX"/>
        </w:rPr>
        <w:t xml:space="preserve">toda vez que el recurso de reconsideración procede cuando se aduzca la existencia de irregularidades graves que puedan afectar los principios constitucionales y convencionales exigidos para la validez de las elecciones. </w:t>
      </w:r>
    </w:p>
    <w:p w14:paraId="0BA66FAF"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b/>
          <w:sz w:val="28"/>
          <w:szCs w:val="28"/>
          <w:lang w:eastAsia="es-ES"/>
        </w:rPr>
        <w:t>CUARTO</w:t>
      </w:r>
      <w:r w:rsidRPr="00791593">
        <w:rPr>
          <w:rFonts w:ascii="Arial" w:eastAsia="Times New Roman" w:hAnsi="Arial" w:cs="Arial"/>
          <w:b/>
          <w:bCs/>
          <w:sz w:val="28"/>
          <w:szCs w:val="28"/>
          <w:lang w:val="es-ES" w:eastAsia="es-ES"/>
        </w:rPr>
        <w:t>. Conceptos de agravio</w:t>
      </w:r>
      <w:r w:rsidRPr="00791593">
        <w:rPr>
          <w:rFonts w:ascii="Arial" w:eastAsia="Times New Roman" w:hAnsi="Arial" w:cs="Arial"/>
          <w:sz w:val="28"/>
          <w:szCs w:val="28"/>
          <w:lang w:val="es-ES" w:eastAsia="es-ES"/>
        </w:rPr>
        <w:t>. Los recurrentes expresan, en su escrito de demanda, los siguientes conceptos de agravio:</w:t>
      </w:r>
    </w:p>
    <w:p w14:paraId="0B17326B"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  ]</w:t>
      </w:r>
    </w:p>
    <w:p w14:paraId="13F5DBEF"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b/>
          <w:sz w:val="24"/>
          <w:szCs w:val="24"/>
          <w:lang w:bidi="en-US"/>
        </w:rPr>
        <w:t>PRIMER AGRAVIO.</w:t>
      </w:r>
      <w:r w:rsidRPr="00791593">
        <w:rPr>
          <w:rFonts w:ascii="Arial" w:eastAsia="Times New Roman" w:hAnsi="Arial" w:cs="Arial"/>
          <w:sz w:val="24"/>
          <w:szCs w:val="24"/>
          <w:lang w:bidi="en-US"/>
        </w:rPr>
        <w:t xml:space="preserve"> Se viola en nuestro perjuicio lo establecido por el artículo 1 de la Constitución Política de los Estados Unidos Mexicanos, en consideración a que</w:t>
      </w:r>
    </w:p>
    <w:p w14:paraId="5A0327FB"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“ARTICULO 1o.</w:t>
      </w:r>
    </w:p>
    <w:p w14:paraId="46219EF3"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2DBB728"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 xml:space="preserve">Queda prohibida toda discriminación motivada por origen étnico o nacional, el género, la edad, las discapacidades, la condición social, las condiciones de salud, la religión, las opiniones, las preferencias sexuales, el estado civil o </w:t>
      </w:r>
      <w:r w:rsidRPr="00791593">
        <w:rPr>
          <w:rFonts w:ascii="Arial" w:eastAsia="Times New Roman" w:hAnsi="Arial" w:cs="Arial"/>
          <w:i/>
          <w:lang w:bidi="en-US"/>
        </w:rPr>
        <w:lastRenderedPageBreak/>
        <w:t>cualquier otra que atente contra la dignidad humana y tenga por objeto anular o menoscabar los derechos y libertades de las personas.”</w:t>
      </w:r>
    </w:p>
    <w:p w14:paraId="120E3C12"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sz w:val="24"/>
          <w:szCs w:val="24"/>
          <w:lang w:bidi="en-US"/>
        </w:rPr>
        <w:t>Nos causa agravios, el actuar de la apartidad señalada como responsable, en el presente escrito, porque en ningún momento se respetaron nuestros derechos humanos al contrario fuimos discriminados en razón de muestro origen étnico y excluidos de la posibilidad de ser postulado al cargo de elección popular en razón a esa calidad con que contamos pues nos autodefinimos como indígenas, por lo que en ningún momento valorar las procedibilidad de nuestras pruebas que controvierten lo dicho por las actores en el juicio SX.-JDC-111/2014,</w:t>
      </w:r>
    </w:p>
    <w:p w14:paraId="47233D67"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sz w:val="24"/>
          <w:szCs w:val="24"/>
          <w:lang w:bidi="en-US"/>
        </w:rPr>
        <w:t>Nos da la razón la siguiente tesis de jurisprudencia, que en este acto nos permitimos invocar:</w:t>
      </w:r>
    </w:p>
    <w:p w14:paraId="2DF78178"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b/>
          <w:i/>
          <w:lang w:bidi="en-US"/>
        </w:rPr>
        <w:t>Registro No.</w:t>
      </w:r>
      <w:r w:rsidRPr="00791593">
        <w:rPr>
          <w:rFonts w:ascii="Arial" w:eastAsia="Times New Roman" w:hAnsi="Arial" w:cs="Arial"/>
          <w:i/>
          <w:lang w:bidi="en-US"/>
        </w:rPr>
        <w:t xml:space="preserve"> 920938 </w:t>
      </w:r>
    </w:p>
    <w:p w14:paraId="0B2EA566"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Localización:</w:t>
      </w:r>
    </w:p>
    <w:p w14:paraId="178BF480"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Tercera Época</w:t>
      </w:r>
    </w:p>
    <w:p w14:paraId="6F2FA00C"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Instancia: Sala Superior</w:t>
      </w:r>
    </w:p>
    <w:p w14:paraId="111BEC7D"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Fuente: Apéndice (actualización 2001)</w:t>
      </w:r>
    </w:p>
    <w:p w14:paraId="774C4243"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Tomo VIII, P.R. Electoral</w:t>
      </w:r>
    </w:p>
    <w:p w14:paraId="4396EFCA"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Página: 202</w:t>
      </w:r>
    </w:p>
    <w:p w14:paraId="1079DE25"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Tesis: 169</w:t>
      </w:r>
    </w:p>
    <w:p w14:paraId="2E4BE90A"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Tesis Aislada</w:t>
      </w:r>
    </w:p>
    <w:p w14:paraId="3137F5EE"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Materia(s):</w:t>
      </w:r>
    </w:p>
    <w:p w14:paraId="4AE2885F"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b/>
          <w:i/>
          <w:lang w:bidi="en-US"/>
        </w:rPr>
        <w:t xml:space="preserve">PUEBLOS INDÍGENAS. SE DEBE GARANTIZAR A LOS CIUDADANOS QUE LOS CONFORMAN UN EFECTIVO ACCESO A LA JURISDICCIÓN ELECTORAL.- </w:t>
      </w:r>
      <w:r w:rsidRPr="00791593">
        <w:rPr>
          <w:rFonts w:ascii="Arial" w:eastAsia="Times New Roman" w:hAnsi="Arial" w:cs="Arial"/>
          <w:b/>
          <w:lang w:bidi="en-US"/>
        </w:rPr>
        <w:t>(Se transcribe)</w:t>
      </w:r>
    </w:p>
    <w:p w14:paraId="6F968757"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b/>
          <w:sz w:val="24"/>
          <w:szCs w:val="24"/>
          <w:lang w:bidi="en-US"/>
        </w:rPr>
        <w:t>SEGUNDO AGRAVIO.</w:t>
      </w:r>
      <w:r w:rsidRPr="00791593">
        <w:rPr>
          <w:rFonts w:ascii="Arial" w:eastAsia="Times New Roman" w:hAnsi="Arial" w:cs="Arial"/>
          <w:sz w:val="24"/>
          <w:szCs w:val="24"/>
          <w:lang w:bidi="en-US"/>
        </w:rPr>
        <w:t xml:space="preserve"> Se violan en nuestro perjuicio la garantía constitucional establecida en el artículo 2 inciso A. fracción III, que a la letra dice:</w:t>
      </w:r>
    </w:p>
    <w:p w14:paraId="7CD304D8"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“Artículo 2o. La Nación Mexicana es única e indivisible, a. esta Constitución reconoce y garantiza el derecho de los pueblos y las comunidades indígenas a la libre determinación y, en consecuencia, a la autonomía para:</w:t>
      </w:r>
    </w:p>
    <w:p w14:paraId="466DD691"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“III. elegir de acuerdo con sus normas, procedimientos y prácticas tradicionales, a las autoridades o representantes para el ejercicio de sus formas propias de gobierno interno, garantizando la participación de las mujeres en condiciones de equidad frente a los varones, en un marco que respete el pacto federal y la soberanía de los estados”.</w:t>
      </w:r>
    </w:p>
    <w:p w14:paraId="7ECD5B81"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sz w:val="24"/>
          <w:szCs w:val="24"/>
          <w:lang w:bidi="en-US"/>
        </w:rPr>
        <w:t>En consideración a que nos causa agravios que en ningún momento el Consejo General del Instituto Estatal Electoral y de Participación Ciudadana de Oaxaca, actuara de conformidad a lo que está obligado proporcionar en su actuar :certeza, imparcialidad , objetividad y legalidad en materia electoral.</w:t>
      </w:r>
    </w:p>
    <w:p w14:paraId="273C541C"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sz w:val="24"/>
          <w:szCs w:val="24"/>
          <w:lang w:bidi="en-US"/>
        </w:rPr>
        <w:lastRenderedPageBreak/>
        <w:t>De los párrafos trascrito del acuerdo que combatimos, se deduce que actuaron atentado contra las garantías constitucionales que en este acto invocamos, afectando nuestros derechos humanos, y políticos.</w:t>
      </w:r>
    </w:p>
    <w:p w14:paraId="50736D8B"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sz w:val="24"/>
          <w:szCs w:val="24"/>
          <w:lang w:bidi="en-US"/>
        </w:rPr>
        <w:t>Existieron diversas irregularidades que se cometieron, por la autoridad señalada como responsable, ya que como consta en los antecedentes y considerandos que trascribimos, se solicitó en diferentes ocasiones, el apoyo de personal de la Dirección de Sistemas Normativos de Internos dependiente de Instituto Estatal Electoral y de Participación Ciudadana de Oaxaca, y nunca fueron atendidas para garantizar la certeza de la jornada electoral.</w:t>
      </w:r>
    </w:p>
    <w:p w14:paraId="773E5040"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t>Lo más grave estos actos fueron convalidados por la autoridad señalada como responsable, lo anterior se rompe con el principio de certeza electoral</w:t>
      </w:r>
    </w:p>
    <w:p w14:paraId="2C999087"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sz w:val="24"/>
          <w:szCs w:val="24"/>
          <w:lang w:bidi="en-US"/>
        </w:rPr>
        <w:t>Por lo anterior en este acto nos permitimos invocar la siguiente tesis de Jurisprudencia,</w:t>
      </w:r>
    </w:p>
    <w:p w14:paraId="1A4A4677"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w:t>
      </w:r>
      <w:r w:rsidRPr="00791593">
        <w:rPr>
          <w:rFonts w:ascii="Arial" w:eastAsia="Times New Roman" w:hAnsi="Arial" w:cs="Arial"/>
          <w:b/>
          <w:i/>
          <w:lang w:bidi="en-US"/>
        </w:rPr>
        <w:t>Registro No.</w:t>
      </w:r>
      <w:r w:rsidRPr="00791593">
        <w:rPr>
          <w:rFonts w:ascii="Arial" w:eastAsia="Times New Roman" w:hAnsi="Arial" w:cs="Arial"/>
          <w:i/>
          <w:lang w:bidi="en-US"/>
        </w:rPr>
        <w:t xml:space="preserve"> 922660 </w:t>
      </w:r>
    </w:p>
    <w:p w14:paraId="2E7DF848"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Localización:</w:t>
      </w:r>
    </w:p>
    <w:p w14:paraId="31AAACB6"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Tercera Época</w:t>
      </w:r>
    </w:p>
    <w:p w14:paraId="7BB091B0"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Instancia Sala Superior</w:t>
      </w:r>
    </w:p>
    <w:p w14:paraId="3FD20965"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Fuente: Apéndice (actualización 2002)</w:t>
      </w:r>
    </w:p>
    <w:p w14:paraId="77BF364A"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 xml:space="preserve">Tomo VIII, Jurisprudencia Electoral </w:t>
      </w:r>
    </w:p>
    <w:p w14:paraId="7D92A379"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Página: 59</w:t>
      </w:r>
    </w:p>
    <w:p w14:paraId="7D965D0D"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Tesis: 41</w:t>
      </w:r>
    </w:p>
    <w:p w14:paraId="0C7CC4EB"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Jurisprudencia</w:t>
      </w:r>
    </w:p>
    <w:p w14:paraId="299B3554"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Materia (s):</w:t>
      </w:r>
    </w:p>
    <w:p w14:paraId="425995B5"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 xml:space="preserve">OMISIONES EN MATERIA ELECTORAL SON IMPUGNABLES.- </w:t>
      </w:r>
      <w:r w:rsidRPr="00791593">
        <w:rPr>
          <w:rFonts w:ascii="Arial" w:eastAsia="Times New Roman" w:hAnsi="Arial" w:cs="Arial"/>
          <w:b/>
          <w:lang w:bidi="en-US"/>
        </w:rPr>
        <w:t>(Se transcribe)</w:t>
      </w:r>
    </w:p>
    <w:p w14:paraId="01D11175"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b/>
          <w:sz w:val="24"/>
          <w:szCs w:val="24"/>
          <w:lang w:bidi="en-US"/>
        </w:rPr>
        <w:t>TERCER AGRAVIO.</w:t>
      </w:r>
      <w:r w:rsidRPr="00791593">
        <w:rPr>
          <w:rFonts w:ascii="Arial" w:eastAsia="Times New Roman" w:hAnsi="Arial" w:cs="Arial"/>
          <w:sz w:val="24"/>
          <w:szCs w:val="24"/>
          <w:lang w:bidi="en-US"/>
        </w:rPr>
        <w:t xml:space="preserve"> Se viola en nuestro perjuicio la garantía constitucional establecida en el artículo 14, primer párrafo, que a la letra dice:</w:t>
      </w:r>
    </w:p>
    <w:p w14:paraId="4C975AAB"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“Artículo 14. A ninguna ley se dará efecto retroactivo en perjuicio de persona alguna. 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p>
    <w:p w14:paraId="657E2F8F"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t xml:space="preserve">En consideración a que nos causa agravios el actuar de la autoridad señalada como responsable del acuerdo que estamos impugnado, en consideración a que no se respetaron nuestros derechos humanos y constitucionales, respecto a la mecánica del procedimiento de la jornada electoral municipal y la forma de </w:t>
      </w:r>
      <w:r w:rsidRPr="00791593">
        <w:rPr>
          <w:rFonts w:ascii="Arial" w:eastAsia="Times New Roman" w:hAnsi="Arial" w:cs="Arial"/>
          <w:b/>
          <w:sz w:val="24"/>
          <w:szCs w:val="24"/>
          <w:lang w:bidi="en-US"/>
        </w:rPr>
        <w:lastRenderedPageBreak/>
        <w:t>resolver la validez de la elección por la autoridad señalada como responsable.</w:t>
      </w:r>
    </w:p>
    <w:p w14:paraId="34F35ED6"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t>La autoridad señalada como responsable con su actuar agravio nuestros derechos, al convalidar irregularidades que afectaron de manera sustancial las formalidades esenciales. Con motivo de la jornada electoral que no fueron realizadas por los integrantes de la Mesa de debates de la jornada electoral, motivo del acto impugnado.</w:t>
      </w:r>
    </w:p>
    <w:p w14:paraId="778A0211"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t>Tenemos la razón jurídica de conformidad de acuerdo a lo narrado en nuestro capítulo de antecedentes y considerandos, por lo que en este acto nos permitimos transcribir las siguientes tesis:</w:t>
      </w:r>
    </w:p>
    <w:p w14:paraId="047E4D93"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 xml:space="preserve">“Tesis: semanario judicial de la federación octava época 217385 268 </w:t>
      </w:r>
    </w:p>
    <w:p w14:paraId="7C72BC91"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 xml:space="preserve">SEGUNDO TRIBUNAL COLEGIADO DEL SEGUNDO CIRCUITO </w:t>
      </w:r>
    </w:p>
    <w:p w14:paraId="58B90168"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 xml:space="preserve">Tomo XI, Febrero de 1993 </w:t>
      </w:r>
    </w:p>
    <w:p w14:paraId="4C77E100"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 xml:space="preserve">pag. 309 tesis Aislada (Penal) </w:t>
      </w:r>
    </w:p>
    <w:p w14:paraId="2DFF9E42"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 xml:space="preserve">[ta]; 8ª. Época; T.C.C.; Tomo XI, febrero de 1993; pag. 309 </w:t>
      </w:r>
    </w:p>
    <w:p w14:paraId="42671AF9"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 xml:space="preserve">PRUEBAS, FALTA DE ESTUDIO DE LAS. ES VIOLATORIO DE GARANTÍAS. </w:t>
      </w:r>
      <w:r w:rsidRPr="00791593">
        <w:rPr>
          <w:rFonts w:ascii="Arial" w:eastAsia="Times New Roman" w:hAnsi="Arial" w:cs="Arial"/>
          <w:b/>
          <w:lang w:bidi="en-US"/>
        </w:rPr>
        <w:t>(Se transcribe)</w:t>
      </w:r>
    </w:p>
    <w:p w14:paraId="0882A9DD"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208430</w:t>
      </w:r>
    </w:p>
    <w:p w14:paraId="17BB29E0"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p>
    <w:p w14:paraId="02423EC3"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 xml:space="preserve">“Tesis: Semanario Judicial de la Octava 2478 de </w:t>
      </w:r>
    </w:p>
    <w:p w14:paraId="426E5DC9"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VI.1o.143C Federación Época 6497</w:t>
      </w:r>
    </w:p>
    <w:p w14:paraId="1F10C28A"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PRIMER</w:t>
      </w:r>
    </w:p>
    <w:p w14:paraId="6103DC6E"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 xml:space="preserve">TRIBUNAL </w:t>
      </w:r>
    </w:p>
    <w:p w14:paraId="6C2C5FEB"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COLEGIADO Tomo XV-2, Febrero de 1995 Pag. 342 Tesis Aislada (Civil)</w:t>
      </w:r>
    </w:p>
    <w:p w14:paraId="7D68B327"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DEL SEXTO</w:t>
      </w:r>
    </w:p>
    <w:p w14:paraId="34ADD7E1"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CIRCUITO</w:t>
      </w:r>
    </w:p>
    <w:p w14:paraId="0C3F9E32"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[TA]; 8a. Época; T.C.C; S.J.F.; Tomo XV-2, Febrero de 1995; Pág. 342</w:t>
      </w:r>
    </w:p>
    <w:p w14:paraId="7FA49444"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u w:val="single"/>
          <w:lang w:bidi="en-US"/>
        </w:rPr>
        <w:t xml:space="preserve">FIRMA. LA FALTA DE ELLA EN UN MANDAMIENTO DE AUTORIDAD IMPLICA VIOLACIÓN DE GARANTÍAS. </w:t>
      </w:r>
      <w:r w:rsidRPr="00791593">
        <w:rPr>
          <w:rFonts w:ascii="Arial" w:eastAsia="Times New Roman" w:hAnsi="Arial" w:cs="Arial"/>
          <w:b/>
          <w:lang w:bidi="en-US"/>
        </w:rPr>
        <w:t>(Se transcribe)</w:t>
      </w:r>
    </w:p>
    <w:p w14:paraId="67D8E611"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 xml:space="preserve"> “[TA]; 8a. Época; T.C.C; S.J.F.; Tomo XV-2, Febrero de 1995; Pág. 342</w:t>
      </w:r>
    </w:p>
    <w:p w14:paraId="06FF13A3"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u w:val="single"/>
          <w:lang w:bidi="en-US"/>
        </w:rPr>
        <w:t>FIRMA. LA FALTA DE ELLA EN UN MANDAMIENTO DE AUTORIDAD IMPLICA VIOLACIÓN DE GARANTÍAS.</w:t>
      </w:r>
      <w:r w:rsidRPr="00791593">
        <w:rPr>
          <w:rFonts w:ascii="Arial" w:eastAsia="Times New Roman" w:hAnsi="Arial" w:cs="Arial"/>
          <w:b/>
          <w:lang w:bidi="en-US"/>
        </w:rPr>
        <w:t xml:space="preserve"> (Se transcribe)</w:t>
      </w:r>
    </w:p>
    <w:p w14:paraId="02A1188E"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b/>
          <w:sz w:val="24"/>
          <w:szCs w:val="24"/>
          <w:lang w:bidi="en-US"/>
        </w:rPr>
        <w:t>CUARTO AGRAVIO.</w:t>
      </w:r>
      <w:r w:rsidRPr="00791593">
        <w:rPr>
          <w:rFonts w:ascii="Arial" w:eastAsia="Times New Roman" w:hAnsi="Arial" w:cs="Arial"/>
          <w:sz w:val="24"/>
          <w:szCs w:val="24"/>
          <w:lang w:bidi="en-US"/>
        </w:rPr>
        <w:t xml:space="preserve"> Es cierto se viola en perjuicio del Partido Unidad Popular, y de los candidatos registrados a concejales en el municipio de San Miguel Soyaltepec, Oaxaca, la garantía constitucional establecida en el artículo 16 de la Carta Magna, considerando que: </w:t>
      </w:r>
      <w:r w:rsidRPr="00791593">
        <w:rPr>
          <w:rFonts w:ascii="Arial" w:eastAsia="Times New Roman" w:hAnsi="Arial" w:cs="Arial"/>
          <w:sz w:val="24"/>
          <w:szCs w:val="24"/>
          <w:u w:val="single"/>
          <w:lang w:bidi="en-US"/>
        </w:rPr>
        <w:t>“Nadie puede ser molestado en su persona,</w:t>
      </w:r>
      <w:r w:rsidRPr="00791593">
        <w:rPr>
          <w:rFonts w:ascii="Arial" w:eastAsia="Times New Roman" w:hAnsi="Arial" w:cs="Arial"/>
          <w:sz w:val="24"/>
          <w:szCs w:val="24"/>
          <w:lang w:bidi="en-US"/>
        </w:rPr>
        <w:t xml:space="preserve"> familia, domicilio, papeles o posesiones, </w:t>
      </w:r>
      <w:r w:rsidRPr="00791593">
        <w:rPr>
          <w:rFonts w:ascii="Arial" w:eastAsia="Times New Roman" w:hAnsi="Arial" w:cs="Arial"/>
          <w:sz w:val="24"/>
          <w:szCs w:val="24"/>
          <w:u w:val="single"/>
          <w:lang w:bidi="en-US"/>
        </w:rPr>
        <w:t>sino en virtud de mandamiento</w:t>
      </w:r>
      <w:r w:rsidRPr="00791593">
        <w:rPr>
          <w:rFonts w:ascii="Arial" w:eastAsia="Times New Roman" w:hAnsi="Arial" w:cs="Arial"/>
          <w:sz w:val="24"/>
          <w:szCs w:val="24"/>
          <w:lang w:bidi="en-US"/>
        </w:rPr>
        <w:t xml:space="preserve"> escrito de la </w:t>
      </w:r>
      <w:r w:rsidRPr="00791593">
        <w:rPr>
          <w:rFonts w:ascii="Arial" w:eastAsia="Times New Roman" w:hAnsi="Arial" w:cs="Arial"/>
          <w:sz w:val="24"/>
          <w:szCs w:val="24"/>
          <w:u w:val="single"/>
          <w:lang w:bidi="en-US"/>
        </w:rPr>
        <w:t>autoridad competente,</w:t>
      </w:r>
      <w:r w:rsidRPr="00791593">
        <w:rPr>
          <w:rFonts w:ascii="Arial" w:eastAsia="Times New Roman" w:hAnsi="Arial" w:cs="Arial"/>
          <w:sz w:val="24"/>
          <w:szCs w:val="24"/>
          <w:lang w:bidi="en-US"/>
        </w:rPr>
        <w:t xml:space="preserve"> que funde y motive la causa legal del procedimiento”</w:t>
      </w:r>
    </w:p>
    <w:p w14:paraId="7937A5DF"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lastRenderedPageBreak/>
        <w:t>Se violen en nuestro perjuicio la garantía constitucional invocada, al ser ilegal el procedimiento por el cual se califican las pruebas del actor Javier Rubín Rosas, en el Juicio SX-JCD-111/2014, considerando que las mismas las ofreció fuera de los términos establecido en la Ley General de Sistemas de Medios de Impugnación en Materia Electoral, articulo 14 numeral 2 de la citada Ley, causando inseguridad jurídica la Autoridad señalada hoy como responsable. Nos da la razón la siguiente tesis, que en este acto nos permitimos trascribir.</w:t>
      </w:r>
    </w:p>
    <w:tbl>
      <w:tblPr>
        <w:tblStyle w:val="Tablaconcuadrcula31"/>
        <w:tblW w:w="3565" w:type="pct"/>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028"/>
        <w:gridCol w:w="2001"/>
        <w:gridCol w:w="1814"/>
        <w:gridCol w:w="1821"/>
      </w:tblGrid>
      <w:tr w:rsidR="006F5238" w:rsidRPr="00791593" w14:paraId="664F8746" w14:textId="77777777" w:rsidTr="006F5238">
        <w:trPr>
          <w:tblCellSpacing w:w="20" w:type="dxa"/>
          <w:jc w:val="center"/>
        </w:trPr>
        <w:tc>
          <w:tcPr>
            <w:tcW w:w="619" w:type="pct"/>
            <w:shd w:val="clear" w:color="auto" w:fill="BFBFBF"/>
          </w:tcPr>
          <w:p w14:paraId="66E3553F" w14:textId="77777777" w:rsidR="006F5238" w:rsidRPr="00791593" w:rsidRDefault="006F5238" w:rsidP="006F5238">
            <w:pPr>
              <w:spacing w:before="120"/>
              <w:ind w:left="567" w:right="567"/>
              <w:jc w:val="both"/>
              <w:rPr>
                <w:rFonts w:ascii="Arial" w:hAnsi="Arial" w:cs="Arial"/>
                <w:i/>
                <w:color w:val="FFFFFF"/>
                <w:sz w:val="12"/>
                <w:szCs w:val="12"/>
              </w:rPr>
            </w:pPr>
            <w:r w:rsidRPr="00791593">
              <w:rPr>
                <w:rFonts w:ascii="Arial" w:hAnsi="Arial" w:cs="Arial"/>
                <w:i/>
                <w:color w:val="FFFFFF"/>
                <w:sz w:val="12"/>
                <w:szCs w:val="12"/>
              </w:rPr>
              <w:t>Tesis: 2a.</w:t>
            </w:r>
          </w:p>
          <w:p w14:paraId="3A4A3EC2" w14:textId="77777777" w:rsidR="006F5238" w:rsidRPr="00791593" w:rsidRDefault="006F5238" w:rsidP="006F5238">
            <w:pPr>
              <w:spacing w:before="120"/>
              <w:ind w:left="567" w:right="567"/>
              <w:jc w:val="both"/>
              <w:rPr>
                <w:rFonts w:ascii="Arial" w:hAnsi="Arial" w:cs="Arial"/>
                <w:i/>
                <w:color w:val="FFFFFF"/>
                <w:sz w:val="12"/>
                <w:szCs w:val="12"/>
              </w:rPr>
            </w:pPr>
            <w:r w:rsidRPr="00791593">
              <w:rPr>
                <w:rFonts w:ascii="Arial" w:hAnsi="Arial" w:cs="Arial"/>
                <w:i/>
                <w:color w:val="FFFFFF"/>
                <w:sz w:val="12"/>
                <w:szCs w:val="12"/>
              </w:rPr>
              <w:t>LXXV/2002</w:t>
            </w:r>
          </w:p>
        </w:tc>
        <w:tc>
          <w:tcPr>
            <w:tcW w:w="2588" w:type="pct"/>
            <w:shd w:val="clear" w:color="auto" w:fill="BFBFBF"/>
          </w:tcPr>
          <w:p w14:paraId="4D566F65" w14:textId="77777777" w:rsidR="006F5238" w:rsidRPr="00791593" w:rsidRDefault="006F5238" w:rsidP="006F5238">
            <w:pPr>
              <w:spacing w:before="120"/>
              <w:ind w:left="567" w:right="567"/>
              <w:jc w:val="both"/>
              <w:rPr>
                <w:rFonts w:ascii="Arial" w:hAnsi="Arial" w:cs="Arial"/>
                <w:i/>
                <w:color w:val="FFFFFF"/>
                <w:sz w:val="12"/>
                <w:szCs w:val="12"/>
              </w:rPr>
            </w:pPr>
            <w:r w:rsidRPr="00791593">
              <w:rPr>
                <w:rFonts w:ascii="Arial" w:hAnsi="Arial" w:cs="Arial"/>
                <w:i/>
                <w:color w:val="FFFFFF"/>
                <w:sz w:val="12"/>
                <w:szCs w:val="12"/>
              </w:rPr>
              <w:t>Semanario Judicial de la Federación y su Gaceta</w:t>
            </w:r>
          </w:p>
        </w:tc>
        <w:tc>
          <w:tcPr>
            <w:tcW w:w="973" w:type="pct"/>
            <w:shd w:val="clear" w:color="auto" w:fill="BFBFBF"/>
            <w:vAlign w:val="center"/>
          </w:tcPr>
          <w:p w14:paraId="07FC4425" w14:textId="77777777" w:rsidR="006F5238" w:rsidRPr="00791593" w:rsidRDefault="006F5238" w:rsidP="006F5238">
            <w:pPr>
              <w:spacing w:before="120"/>
              <w:ind w:left="567" w:right="567"/>
              <w:rPr>
                <w:rFonts w:ascii="Arial" w:hAnsi="Arial" w:cs="Arial"/>
                <w:i/>
                <w:color w:val="FFFFFF"/>
                <w:sz w:val="12"/>
                <w:szCs w:val="12"/>
              </w:rPr>
            </w:pPr>
            <w:r w:rsidRPr="00791593">
              <w:rPr>
                <w:rFonts w:ascii="Arial" w:hAnsi="Arial" w:cs="Arial"/>
                <w:i/>
                <w:color w:val="FFFFFF"/>
                <w:sz w:val="12"/>
                <w:szCs w:val="12"/>
              </w:rPr>
              <w:t>Novena Época</w:t>
            </w:r>
          </w:p>
        </w:tc>
        <w:tc>
          <w:tcPr>
            <w:tcW w:w="651" w:type="pct"/>
            <w:shd w:val="clear" w:color="auto" w:fill="BFBFBF"/>
          </w:tcPr>
          <w:p w14:paraId="73CEF9BC" w14:textId="77777777" w:rsidR="006F5238" w:rsidRPr="00791593" w:rsidRDefault="006F5238" w:rsidP="006F5238">
            <w:pPr>
              <w:spacing w:before="120"/>
              <w:ind w:left="567" w:right="567"/>
              <w:jc w:val="both"/>
              <w:rPr>
                <w:rFonts w:ascii="Arial" w:hAnsi="Arial" w:cs="Arial"/>
                <w:i/>
                <w:color w:val="FFFFFF"/>
                <w:sz w:val="12"/>
                <w:szCs w:val="12"/>
              </w:rPr>
            </w:pPr>
            <w:r w:rsidRPr="00791593">
              <w:rPr>
                <w:rFonts w:ascii="Arial" w:hAnsi="Arial" w:cs="Arial"/>
                <w:i/>
                <w:color w:val="FFFFFF"/>
                <w:sz w:val="12"/>
                <w:szCs w:val="12"/>
              </w:rPr>
              <w:t>186572 921 de 3213</w:t>
            </w:r>
          </w:p>
        </w:tc>
      </w:tr>
      <w:tr w:rsidR="006F5238" w:rsidRPr="00791593" w14:paraId="5F7FD69E" w14:textId="77777777" w:rsidTr="00B05F31">
        <w:trPr>
          <w:tblCellSpacing w:w="20" w:type="dxa"/>
          <w:jc w:val="center"/>
        </w:trPr>
        <w:tc>
          <w:tcPr>
            <w:tcW w:w="619" w:type="pct"/>
          </w:tcPr>
          <w:p w14:paraId="14056A84" w14:textId="77777777" w:rsidR="006F5238" w:rsidRPr="00791593" w:rsidRDefault="006F5238" w:rsidP="006F5238">
            <w:pPr>
              <w:spacing w:before="120"/>
              <w:ind w:left="567" w:right="567"/>
              <w:jc w:val="both"/>
              <w:rPr>
                <w:rFonts w:ascii="Arial" w:hAnsi="Arial" w:cs="Arial"/>
                <w:i/>
                <w:sz w:val="12"/>
                <w:szCs w:val="12"/>
              </w:rPr>
            </w:pPr>
          </w:p>
        </w:tc>
        <w:tc>
          <w:tcPr>
            <w:tcW w:w="2588" w:type="pct"/>
          </w:tcPr>
          <w:p w14:paraId="2ED3F484" w14:textId="77777777" w:rsidR="006F5238" w:rsidRPr="00791593" w:rsidRDefault="006F5238" w:rsidP="006F5238">
            <w:pPr>
              <w:spacing w:before="120"/>
              <w:ind w:left="567" w:right="567"/>
              <w:jc w:val="both"/>
              <w:rPr>
                <w:rFonts w:ascii="Arial" w:hAnsi="Arial" w:cs="Arial"/>
                <w:i/>
                <w:sz w:val="12"/>
                <w:szCs w:val="12"/>
              </w:rPr>
            </w:pPr>
            <w:r w:rsidRPr="00791593">
              <w:rPr>
                <w:rFonts w:ascii="Arial" w:hAnsi="Arial" w:cs="Arial"/>
                <w:i/>
                <w:sz w:val="12"/>
                <w:szCs w:val="12"/>
              </w:rPr>
              <w:t>XVI, Julio de 200</w:t>
            </w:r>
          </w:p>
        </w:tc>
        <w:tc>
          <w:tcPr>
            <w:tcW w:w="973" w:type="pct"/>
          </w:tcPr>
          <w:p w14:paraId="14582607" w14:textId="77777777" w:rsidR="006F5238" w:rsidRPr="00791593" w:rsidRDefault="006F5238" w:rsidP="006F5238">
            <w:pPr>
              <w:spacing w:before="120"/>
              <w:ind w:left="567" w:right="567"/>
              <w:jc w:val="both"/>
              <w:rPr>
                <w:rFonts w:ascii="Arial" w:hAnsi="Arial" w:cs="Arial"/>
                <w:i/>
                <w:sz w:val="12"/>
                <w:szCs w:val="12"/>
              </w:rPr>
            </w:pPr>
            <w:r w:rsidRPr="00791593">
              <w:rPr>
                <w:rFonts w:ascii="Arial" w:hAnsi="Arial" w:cs="Arial"/>
                <w:i/>
                <w:sz w:val="12"/>
                <w:szCs w:val="12"/>
              </w:rPr>
              <w:t>Pag. 449</w:t>
            </w:r>
          </w:p>
        </w:tc>
        <w:tc>
          <w:tcPr>
            <w:tcW w:w="651" w:type="pct"/>
          </w:tcPr>
          <w:p w14:paraId="14B78541" w14:textId="77777777" w:rsidR="006F5238" w:rsidRPr="00791593" w:rsidRDefault="006F5238" w:rsidP="006F5238">
            <w:pPr>
              <w:spacing w:before="120"/>
              <w:ind w:left="567" w:right="567"/>
              <w:jc w:val="both"/>
              <w:rPr>
                <w:rFonts w:ascii="Arial" w:hAnsi="Arial" w:cs="Arial"/>
                <w:i/>
                <w:sz w:val="12"/>
                <w:szCs w:val="12"/>
              </w:rPr>
            </w:pPr>
            <w:r w:rsidRPr="00791593">
              <w:rPr>
                <w:rFonts w:ascii="Arial" w:hAnsi="Arial" w:cs="Arial"/>
                <w:i/>
                <w:sz w:val="12"/>
                <w:szCs w:val="12"/>
              </w:rPr>
              <w:t>Tesis Aislada ()</w:t>
            </w:r>
          </w:p>
        </w:tc>
      </w:tr>
    </w:tbl>
    <w:p w14:paraId="46595A98"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Novena Época; Segunda Sala; Semanario Judicial de la Federación y su Gaceta; XVI, Julio de 2002; Pág. 449; [T.A.];</w:t>
      </w:r>
    </w:p>
    <w:p w14:paraId="6CF541F9"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 xml:space="preserve">GARANTÍA DE SEGURIDAD JURÍDICA, QUÉ SE ENTIENDE POR. </w:t>
      </w:r>
      <w:r w:rsidRPr="00791593">
        <w:rPr>
          <w:rFonts w:ascii="Arial" w:eastAsia="Times New Roman" w:hAnsi="Arial" w:cs="Arial"/>
          <w:b/>
          <w:lang w:bidi="en-US"/>
        </w:rPr>
        <w:t>(Se transcribe)</w:t>
      </w:r>
    </w:p>
    <w:p w14:paraId="17F0D59C"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p>
    <w:tbl>
      <w:tblPr>
        <w:tblStyle w:val="Tablaconcuadrcula31"/>
        <w:tblW w:w="3515" w:type="pct"/>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014"/>
        <w:gridCol w:w="2001"/>
        <w:gridCol w:w="1848"/>
        <w:gridCol w:w="2214"/>
      </w:tblGrid>
      <w:tr w:rsidR="006F5238" w:rsidRPr="00791593" w14:paraId="240821FC" w14:textId="77777777" w:rsidTr="006F5238">
        <w:trPr>
          <w:tblCellSpacing w:w="20" w:type="dxa"/>
          <w:jc w:val="center"/>
        </w:trPr>
        <w:tc>
          <w:tcPr>
            <w:tcW w:w="1182" w:type="pct"/>
            <w:shd w:val="clear" w:color="auto" w:fill="BFBFBF"/>
          </w:tcPr>
          <w:p w14:paraId="0D3F87BC" w14:textId="77777777" w:rsidR="006F5238" w:rsidRPr="00791593" w:rsidRDefault="006F5238" w:rsidP="006F5238">
            <w:pPr>
              <w:spacing w:before="120"/>
              <w:ind w:left="567" w:right="567"/>
              <w:jc w:val="both"/>
              <w:rPr>
                <w:rFonts w:ascii="Arial" w:hAnsi="Arial" w:cs="Arial"/>
                <w:i/>
                <w:color w:val="FFFFFF"/>
                <w:sz w:val="12"/>
                <w:szCs w:val="12"/>
              </w:rPr>
            </w:pPr>
            <w:r w:rsidRPr="00791593">
              <w:rPr>
                <w:rFonts w:ascii="Arial" w:hAnsi="Arial" w:cs="Arial"/>
                <w:i/>
                <w:color w:val="FFFFFF"/>
                <w:sz w:val="12"/>
                <w:szCs w:val="12"/>
              </w:rPr>
              <w:t>Tesis: 2a./J.</w:t>
            </w:r>
          </w:p>
          <w:p w14:paraId="5946E467" w14:textId="77777777" w:rsidR="006F5238" w:rsidRPr="00791593" w:rsidRDefault="006F5238" w:rsidP="006F5238">
            <w:pPr>
              <w:spacing w:before="120"/>
              <w:ind w:left="567" w:right="567"/>
              <w:jc w:val="both"/>
              <w:rPr>
                <w:rFonts w:ascii="Arial" w:hAnsi="Arial" w:cs="Arial"/>
                <w:i/>
                <w:color w:val="FFFFFF"/>
                <w:sz w:val="12"/>
                <w:szCs w:val="12"/>
              </w:rPr>
            </w:pPr>
            <w:r w:rsidRPr="00791593">
              <w:rPr>
                <w:rFonts w:ascii="Arial" w:hAnsi="Arial" w:cs="Arial"/>
                <w:i/>
                <w:color w:val="FFFFFF"/>
                <w:sz w:val="12"/>
                <w:szCs w:val="12"/>
              </w:rPr>
              <w:t>144/2006</w:t>
            </w:r>
          </w:p>
        </w:tc>
        <w:tc>
          <w:tcPr>
            <w:tcW w:w="1764" w:type="pct"/>
            <w:shd w:val="clear" w:color="auto" w:fill="BFBFBF"/>
          </w:tcPr>
          <w:p w14:paraId="0FB52A99" w14:textId="77777777" w:rsidR="006F5238" w:rsidRPr="00791593" w:rsidRDefault="006F5238" w:rsidP="006F5238">
            <w:pPr>
              <w:spacing w:before="120"/>
              <w:ind w:left="567" w:right="567"/>
              <w:jc w:val="both"/>
              <w:rPr>
                <w:rFonts w:ascii="Arial" w:hAnsi="Arial" w:cs="Arial"/>
                <w:i/>
                <w:color w:val="FFFFFF"/>
                <w:sz w:val="12"/>
                <w:szCs w:val="12"/>
              </w:rPr>
            </w:pPr>
            <w:r w:rsidRPr="00791593">
              <w:rPr>
                <w:rFonts w:ascii="Arial" w:hAnsi="Arial" w:cs="Arial"/>
                <w:i/>
                <w:color w:val="FFFFFF"/>
                <w:sz w:val="12"/>
                <w:szCs w:val="12"/>
              </w:rPr>
              <w:t>Semanario Judicial de la Federación y su Gaceta</w:t>
            </w:r>
          </w:p>
        </w:tc>
        <w:tc>
          <w:tcPr>
            <w:tcW w:w="939" w:type="pct"/>
            <w:shd w:val="clear" w:color="auto" w:fill="BFBFBF"/>
            <w:vAlign w:val="center"/>
          </w:tcPr>
          <w:p w14:paraId="342FE7A1" w14:textId="77777777" w:rsidR="006F5238" w:rsidRPr="00791593" w:rsidRDefault="006F5238" w:rsidP="006F5238">
            <w:pPr>
              <w:spacing w:before="120"/>
              <w:ind w:left="567" w:right="567"/>
              <w:rPr>
                <w:rFonts w:ascii="Arial" w:hAnsi="Arial" w:cs="Arial"/>
                <w:i/>
                <w:color w:val="FFFFFF"/>
                <w:sz w:val="12"/>
                <w:szCs w:val="12"/>
              </w:rPr>
            </w:pPr>
            <w:r w:rsidRPr="00791593">
              <w:rPr>
                <w:rFonts w:ascii="Arial" w:hAnsi="Arial" w:cs="Arial"/>
                <w:i/>
                <w:color w:val="FFFFFF"/>
                <w:sz w:val="12"/>
                <w:szCs w:val="12"/>
              </w:rPr>
              <w:t>Novena Época</w:t>
            </w:r>
          </w:p>
        </w:tc>
        <w:tc>
          <w:tcPr>
            <w:tcW w:w="944" w:type="pct"/>
            <w:shd w:val="clear" w:color="auto" w:fill="BFBFBF"/>
          </w:tcPr>
          <w:p w14:paraId="2CD5E03C" w14:textId="77777777" w:rsidR="006F5238" w:rsidRPr="00791593" w:rsidRDefault="006F5238" w:rsidP="006F5238">
            <w:pPr>
              <w:spacing w:before="120"/>
              <w:ind w:left="567" w:right="567"/>
              <w:jc w:val="both"/>
              <w:rPr>
                <w:rFonts w:ascii="Arial" w:hAnsi="Arial" w:cs="Arial"/>
                <w:i/>
                <w:color w:val="FFFFFF"/>
                <w:sz w:val="12"/>
                <w:szCs w:val="12"/>
              </w:rPr>
            </w:pPr>
            <w:r w:rsidRPr="00791593">
              <w:rPr>
                <w:rFonts w:ascii="Arial" w:hAnsi="Arial" w:cs="Arial"/>
                <w:i/>
                <w:color w:val="FFFFFF"/>
                <w:sz w:val="12"/>
                <w:szCs w:val="12"/>
              </w:rPr>
              <w:t>174094 599 de 3213</w:t>
            </w:r>
          </w:p>
        </w:tc>
      </w:tr>
      <w:tr w:rsidR="006F5238" w:rsidRPr="00791593" w14:paraId="3A2BA2F2" w14:textId="77777777" w:rsidTr="00B05F31">
        <w:trPr>
          <w:tblCellSpacing w:w="20" w:type="dxa"/>
          <w:jc w:val="center"/>
        </w:trPr>
        <w:tc>
          <w:tcPr>
            <w:tcW w:w="1182" w:type="pct"/>
          </w:tcPr>
          <w:p w14:paraId="670C7F43" w14:textId="77777777" w:rsidR="006F5238" w:rsidRPr="00791593" w:rsidRDefault="006F5238" w:rsidP="006F5238">
            <w:pPr>
              <w:spacing w:before="120"/>
              <w:ind w:left="567" w:right="567"/>
              <w:jc w:val="both"/>
              <w:rPr>
                <w:rFonts w:ascii="Arial" w:hAnsi="Arial" w:cs="Arial"/>
                <w:i/>
                <w:sz w:val="12"/>
                <w:szCs w:val="12"/>
              </w:rPr>
            </w:pPr>
            <w:r w:rsidRPr="00791593">
              <w:rPr>
                <w:rFonts w:ascii="Arial" w:hAnsi="Arial" w:cs="Arial"/>
                <w:i/>
                <w:sz w:val="12"/>
                <w:szCs w:val="12"/>
              </w:rPr>
              <w:t>SEGUNDA SALA</w:t>
            </w:r>
          </w:p>
        </w:tc>
        <w:tc>
          <w:tcPr>
            <w:tcW w:w="1764" w:type="pct"/>
          </w:tcPr>
          <w:p w14:paraId="657B0873" w14:textId="77777777" w:rsidR="006F5238" w:rsidRPr="00791593" w:rsidRDefault="006F5238" w:rsidP="006F5238">
            <w:pPr>
              <w:spacing w:before="120"/>
              <w:ind w:left="567" w:right="567"/>
              <w:jc w:val="both"/>
              <w:rPr>
                <w:rFonts w:ascii="Arial" w:hAnsi="Arial" w:cs="Arial"/>
                <w:i/>
                <w:sz w:val="12"/>
                <w:szCs w:val="12"/>
              </w:rPr>
            </w:pPr>
            <w:r w:rsidRPr="00791593">
              <w:rPr>
                <w:rFonts w:ascii="Arial" w:hAnsi="Arial" w:cs="Arial"/>
                <w:i/>
                <w:sz w:val="12"/>
                <w:szCs w:val="12"/>
              </w:rPr>
              <w:t>Tomo XXIV, Octubre de 2006</w:t>
            </w:r>
          </w:p>
        </w:tc>
        <w:tc>
          <w:tcPr>
            <w:tcW w:w="939" w:type="pct"/>
          </w:tcPr>
          <w:p w14:paraId="3C001F2F" w14:textId="77777777" w:rsidR="006F5238" w:rsidRPr="00791593" w:rsidRDefault="006F5238" w:rsidP="006F5238">
            <w:pPr>
              <w:spacing w:before="120"/>
              <w:ind w:left="567" w:right="567"/>
              <w:jc w:val="both"/>
              <w:rPr>
                <w:rFonts w:ascii="Arial" w:hAnsi="Arial" w:cs="Arial"/>
                <w:i/>
                <w:sz w:val="12"/>
                <w:szCs w:val="12"/>
              </w:rPr>
            </w:pPr>
            <w:r w:rsidRPr="00791593">
              <w:rPr>
                <w:rFonts w:ascii="Arial" w:hAnsi="Arial" w:cs="Arial"/>
                <w:i/>
                <w:sz w:val="12"/>
                <w:szCs w:val="12"/>
              </w:rPr>
              <w:t>Pag.351</w:t>
            </w:r>
          </w:p>
        </w:tc>
        <w:tc>
          <w:tcPr>
            <w:tcW w:w="944" w:type="pct"/>
          </w:tcPr>
          <w:p w14:paraId="6BB92E21" w14:textId="77777777" w:rsidR="006F5238" w:rsidRPr="00791593" w:rsidRDefault="006F5238" w:rsidP="006F5238">
            <w:pPr>
              <w:spacing w:before="120"/>
              <w:ind w:left="567" w:right="567"/>
              <w:jc w:val="both"/>
              <w:rPr>
                <w:rFonts w:ascii="Arial" w:hAnsi="Arial" w:cs="Arial"/>
                <w:i/>
                <w:sz w:val="12"/>
                <w:szCs w:val="12"/>
              </w:rPr>
            </w:pPr>
            <w:r w:rsidRPr="00791593">
              <w:rPr>
                <w:rFonts w:ascii="Arial" w:hAnsi="Arial" w:cs="Arial"/>
                <w:i/>
                <w:sz w:val="12"/>
                <w:szCs w:val="12"/>
              </w:rPr>
              <w:t>Jurisprudencia Constitucional)</w:t>
            </w:r>
          </w:p>
        </w:tc>
      </w:tr>
    </w:tbl>
    <w:p w14:paraId="3716FA9A"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 xml:space="preserve">[J]; 9a. Época; 2a. Sala; S.J.F. y su Gaceta; Tomo XXIV, Octubre de 2006; Pág. 351 </w:t>
      </w:r>
    </w:p>
    <w:p w14:paraId="0798B3E0"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 xml:space="preserve">GARANTÍA DE SEGURIDAD JURÍDICA. SUS ALCANCES. </w:t>
      </w:r>
      <w:r w:rsidRPr="00791593">
        <w:rPr>
          <w:rFonts w:ascii="Arial" w:eastAsia="Times New Roman" w:hAnsi="Arial" w:cs="Arial"/>
          <w:b/>
          <w:lang w:bidi="en-US"/>
        </w:rPr>
        <w:t>(Se transcribe)</w:t>
      </w:r>
    </w:p>
    <w:p w14:paraId="08394842" w14:textId="77777777" w:rsidR="006F5238" w:rsidRPr="00791593" w:rsidRDefault="006F5238" w:rsidP="006F5238">
      <w:pPr>
        <w:spacing w:before="120" w:after="0" w:line="240" w:lineRule="auto"/>
        <w:ind w:left="567" w:right="567"/>
        <w:jc w:val="both"/>
        <w:rPr>
          <w:rFonts w:ascii="Arial" w:eastAsia="Times New Roman" w:hAnsi="Arial" w:cs="Arial"/>
          <w:i/>
          <w:sz w:val="24"/>
          <w:szCs w:val="24"/>
          <w:u w:val="single"/>
          <w:lang w:bidi="en-US"/>
        </w:rPr>
      </w:pPr>
      <w:r w:rsidRPr="00791593">
        <w:rPr>
          <w:rFonts w:ascii="Arial" w:eastAsia="Times New Roman" w:hAnsi="Arial" w:cs="Arial"/>
          <w:b/>
          <w:sz w:val="24"/>
          <w:szCs w:val="24"/>
          <w:lang w:bidi="en-US"/>
        </w:rPr>
        <w:t>QUINTO AGRAVIO.</w:t>
      </w:r>
      <w:r w:rsidRPr="00791593">
        <w:rPr>
          <w:rFonts w:ascii="Arial" w:eastAsia="Times New Roman" w:hAnsi="Arial" w:cs="Arial"/>
          <w:sz w:val="24"/>
          <w:szCs w:val="24"/>
          <w:lang w:bidi="en-US"/>
        </w:rPr>
        <w:t xml:space="preserve"> Es cierto se viola en nuestro perjuicio como candidatos registrados a concejales lo dispuesto por el artículo 17 segundo párrafo, de La Carta Magna, considerando que: </w:t>
      </w:r>
      <w:r w:rsidRPr="00791593">
        <w:rPr>
          <w:rFonts w:ascii="Arial" w:eastAsia="Times New Roman" w:hAnsi="Arial" w:cs="Arial"/>
          <w:i/>
          <w:sz w:val="24"/>
          <w:szCs w:val="24"/>
          <w:u w:val="single"/>
          <w:lang w:bidi="en-US"/>
        </w:rPr>
        <w:t>“Toda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p>
    <w:p w14:paraId="1895C214"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t xml:space="preserve">La Autoridad señalada como responsable al aceptar fuera del fuera de </w:t>
      </w:r>
      <w:r w:rsidRPr="00791593">
        <w:rPr>
          <w:rFonts w:ascii="Arial" w:eastAsia="Times New Roman" w:hAnsi="Arial" w:cs="Arial"/>
          <w:i/>
          <w:sz w:val="24"/>
          <w:szCs w:val="24"/>
          <w:u w:val="single"/>
          <w:lang w:bidi="en-US"/>
        </w:rPr>
        <w:t>los plazos y términos que fijen las leyes</w:t>
      </w:r>
      <w:r w:rsidRPr="00791593">
        <w:rPr>
          <w:rFonts w:ascii="Arial" w:eastAsia="Times New Roman" w:hAnsi="Arial" w:cs="Arial"/>
          <w:b/>
          <w:sz w:val="24"/>
          <w:szCs w:val="24"/>
          <w:lang w:bidi="en-US"/>
        </w:rPr>
        <w:t xml:space="preserve"> las pruebas de los actores en el juicio SX:JDC:111/2014, rompe con esta garantía constitucional, ya que indebidamente, sin tomar en cuenta que las pruebas que aportan los actores Javier Rubio Rosas y otros, no se encuentra asentadas en el expediente personal de la jornada electoral del municipio de San Sebastián Tecomaxtlahuaca, como </w:t>
      </w:r>
      <w:r w:rsidRPr="00791593">
        <w:rPr>
          <w:rFonts w:ascii="Arial" w:eastAsia="Times New Roman" w:hAnsi="Arial" w:cs="Arial"/>
          <w:b/>
          <w:sz w:val="24"/>
          <w:szCs w:val="24"/>
          <w:lang w:bidi="en-US"/>
        </w:rPr>
        <w:lastRenderedPageBreak/>
        <w:t>se deduce de la lectura de las constancia que integran el acuerdo CG-IEEPCO- SIN-97/2015, de fecha 21 de diciembre del año 2013.</w:t>
      </w:r>
    </w:p>
    <w:p w14:paraId="44433249"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t>Así mismo no toma en cuenta el acuerdo de fecha 27 de febrero del año 2014, realizada por el Magistrado instructor del Tribunal Electoral del Poder Judicial de Oaxaca, que con fecha 27 de febrero del año 2014, en el juicio JNI/09/2014, establece en el numeral V, que a la letra dice:</w:t>
      </w:r>
    </w:p>
    <w:p w14:paraId="60ECFD20"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t>“ V. Por otro lado, mediante acuerdo de diecisiete de los corrientes se tuvo por reconocido el carácter de Javier Rubio Rosas como Tercero interesado en el presente asunto, sin que dicho ciudadano ofreciera pruebas, razón por la cual no se acuerda respecto de aquellas en el presente proveído”.</w:t>
      </w:r>
    </w:p>
    <w:p w14:paraId="7EB78FF6"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t>Nos da la razón la siguiente Tesis.</w:t>
      </w:r>
    </w:p>
    <w:p w14:paraId="631ABA50"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 xml:space="preserve">“Partido Acción Nacional </w:t>
      </w:r>
    </w:p>
    <w:p w14:paraId="136A8946"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VS</w:t>
      </w:r>
    </w:p>
    <w:p w14:paraId="7920FFB8"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Pleno del Tribunal Electoral del Estado de Colima Tesis XXXI/2004</w:t>
      </w:r>
    </w:p>
    <w:p w14:paraId="01FF2604"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NULIDAD DE ELECCIÓN. FACTORES CUALITATIVO Y CUANTITATIVO DEL CARÁCTER DETERMINANTE DE LA VIOLACIÓN O IRREGULARIDAD.-</w:t>
      </w:r>
      <w:r w:rsidRPr="00791593">
        <w:rPr>
          <w:rFonts w:ascii="Arial" w:eastAsia="Times New Roman" w:hAnsi="Arial" w:cs="Arial"/>
          <w:i/>
          <w:lang w:bidi="en-US"/>
        </w:rPr>
        <w:t xml:space="preserve"> </w:t>
      </w:r>
      <w:r w:rsidRPr="00791593">
        <w:rPr>
          <w:rFonts w:ascii="Arial" w:eastAsia="Times New Roman" w:hAnsi="Arial" w:cs="Arial"/>
          <w:b/>
          <w:lang w:bidi="en-US"/>
        </w:rPr>
        <w:t>(Se transcribe)</w:t>
      </w:r>
    </w:p>
    <w:p w14:paraId="346217C8"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b/>
          <w:sz w:val="24"/>
          <w:szCs w:val="24"/>
          <w:lang w:bidi="en-US"/>
        </w:rPr>
        <w:t>SEXTO AGRAVIO.</w:t>
      </w:r>
      <w:r w:rsidRPr="00791593">
        <w:rPr>
          <w:rFonts w:ascii="Arial" w:eastAsia="Times New Roman" w:hAnsi="Arial" w:cs="Arial"/>
          <w:sz w:val="24"/>
          <w:szCs w:val="24"/>
          <w:lang w:bidi="en-US"/>
        </w:rPr>
        <w:t xml:space="preserve"> Se viola en nuestro perjuicio la garantía constitucional establecida en el artículo </w:t>
      </w:r>
      <w:r w:rsidRPr="00791593">
        <w:rPr>
          <w:rFonts w:ascii="Arial" w:eastAsia="Times New Roman" w:hAnsi="Arial" w:cs="Arial"/>
          <w:b/>
          <w:sz w:val="24"/>
          <w:szCs w:val="24"/>
          <w:lang w:bidi="en-US"/>
        </w:rPr>
        <w:t>35 fracciones I y II,</w:t>
      </w:r>
      <w:r w:rsidRPr="00791593">
        <w:rPr>
          <w:rFonts w:ascii="Arial" w:eastAsia="Times New Roman" w:hAnsi="Arial" w:cs="Arial"/>
          <w:sz w:val="24"/>
          <w:szCs w:val="24"/>
          <w:lang w:bidi="en-US"/>
        </w:rPr>
        <w:t xml:space="preserve"> que a la letra dice:</w:t>
      </w:r>
    </w:p>
    <w:p w14:paraId="32373391"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“Artículo 35. Son derechos del ciudadano:</w:t>
      </w:r>
    </w:p>
    <w:p w14:paraId="0AC21F57"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I. Votaren las elecciones populares;</w:t>
      </w:r>
    </w:p>
    <w:p w14:paraId="54390207"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II. Poder ser votado para todos los cargos de elección popular, teniendo las calidades que establezca la ley. El derecho de solicitar el registro de candidatos ante la autoridad electoral corresponde a los partidos políticos así como a los ciudadanos que soliciten su registro de manera independiente y cumplan con los requisitos, condiciones y términos que determine la legislación.”</w:t>
      </w:r>
    </w:p>
    <w:p w14:paraId="2A0FB3F1"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t>En consideración a que nos causa agravios el procedimiento realizado por la autoridad señalada como responsable ya que al no valorar correctamente el acta de la jornada electoral, y dar validez a un testimonio notarial que a todas luces no coincide con lo asentado en el acta de la jornada electoral y mucho menos con el acta de la jornada electoral del mecha 7 de noviembre del año 2010 y con el catálogo de elecciones emanado por el IEEPCO, rompe con los principios rectores electorales de legalidad, objetividad, imparcialidad y certeza, considerando que valida el cómputo de la jornada electoral cuando de las diversas pruebas que se presentan se desprende que debe de anularse el resultado del cómputo municipal y como en consecuencia procede anular las constancias entregadas a los supuesto concejales electos.</w:t>
      </w:r>
    </w:p>
    <w:p w14:paraId="3776DF85"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lastRenderedPageBreak/>
        <w:t>Tradicionalmente el cómputo se ha realizado con la intervención de todos los integrantes de la mesa de debates y de la autoridad municipal, como ya lo hemos probado, de la lectura al antecedente número uno del presente escrito.</w:t>
      </w:r>
    </w:p>
    <w:p w14:paraId="6669C948"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sz w:val="24"/>
          <w:szCs w:val="24"/>
          <w:lang w:bidi="en-US"/>
        </w:rPr>
        <w:t>Por lo anterior en este acto nos permitimos invocar la siguiente tesis.</w:t>
      </w:r>
    </w:p>
    <w:p w14:paraId="035BB271"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“María Soledad Limas Frescas</w:t>
      </w:r>
    </w:p>
    <w:p w14:paraId="6FD94003"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vs.</w:t>
      </w:r>
    </w:p>
    <w:p w14:paraId="7C799E4F"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Asamblea General del Instituto Estatal Electoral del Estado de Chihuahua</w:t>
      </w:r>
    </w:p>
    <w:p w14:paraId="60BB3A34"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Jurisprudencia 27/2002</w:t>
      </w:r>
    </w:p>
    <w:p w14:paraId="09B4C053"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DERECHO DE VOTAR Y SER VOTADO. SU TELEOLOGÍA Y ELEMENTOS QUE LO INTEGRAN.</w:t>
      </w:r>
    </w:p>
    <w:p w14:paraId="7642E50C"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lang w:bidi="en-US"/>
        </w:rPr>
        <w:t>(Se transcribe)</w:t>
      </w:r>
    </w:p>
    <w:p w14:paraId="7F5A06B3"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t>SÉPTIMO AGRAVIO. Se viola en nuestro perjuicio</w:t>
      </w:r>
      <w:r w:rsidRPr="00791593">
        <w:rPr>
          <w:rFonts w:ascii="Arial" w:eastAsia="Times New Roman" w:hAnsi="Arial" w:cs="Arial"/>
          <w:sz w:val="24"/>
          <w:szCs w:val="24"/>
          <w:lang w:bidi="en-US"/>
        </w:rPr>
        <w:t xml:space="preserve"> la garantía constitucional establecida en el artículo 41 </w:t>
      </w:r>
      <w:r w:rsidRPr="00791593">
        <w:rPr>
          <w:rFonts w:ascii="Arial" w:eastAsia="Times New Roman" w:hAnsi="Arial" w:cs="Arial"/>
          <w:b/>
          <w:sz w:val="24"/>
          <w:szCs w:val="24"/>
          <w:lang w:bidi="en-US"/>
        </w:rPr>
        <w:t>fracción V, primer párrafo, que a la letra dice:</w:t>
      </w:r>
    </w:p>
    <w:p w14:paraId="3BBFFF48"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 xml:space="preserve">“Artículo 41 </w:t>
      </w:r>
    </w:p>
    <w:p w14:paraId="4FB1498B"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V. La organización de las elecciones federales es una función estatal que se realiza a través de un organismo público autónomo denominado Instituto Federal Electoral, dotado de personalidad jurídica y patrimonio propio, en cuya integración participan el Poder Legislativo de la Unión, los partidos políticos nacionales y los ciudadanos, en los términos que ordene la ley. En el ejercicio de esta función estatal, la certeza, legalidad, independencia, imparcialidad y objetividad serán principios rectores.”</w:t>
      </w:r>
    </w:p>
    <w:p w14:paraId="5F5F31E9"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t>En consideración a que la autoridad señalada como responsable , actúa sin objetividad, en forma parcial, afectando la certeza y la legalidad del procedimiento electoral al valorar injustificadamente las pruebas de los actores en el juicio SX-JDC-111/2014, sin tomar en cuente las pruebas derivadas de que en su oportunidad analizamos en nuestro escrito primigenio, es decir, las establecidas en el expediente CG-IEEPCO-SIN-97/2013, documental que se encuentra en el expediente JNI-09/2014; así como al omitir analizar el acuerdo de fecha 27 de febrero del 2014, en el que consta en el aparatado V, que el tercero interesado Javier Rubio Rosas, en el juicio JNI-09/2014, se apersono pero no presento prueba alguna que hacer valer en ese momento procesal, por lo que al serle aceptadas fuera de lo establecido por la norma jurídica, se viola lo dispuestos por el articulo16 numeral 4, de la Ley General de Sistemas de Medios de Impugnación en Materia Electoral, se rompe con el principio en materia electoral contenidos en el artículo 41 fracción V de la Carta Magna.</w:t>
      </w:r>
    </w:p>
    <w:p w14:paraId="620A9E5F"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t>Nos da la razón la siguiente tesis de jurisprudencia, que invocaos</w:t>
      </w:r>
    </w:p>
    <w:p w14:paraId="4C6A7D79"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b/>
          <w:i/>
          <w:lang w:bidi="en-US"/>
        </w:rPr>
        <w:t>“Registro No</w:t>
      </w:r>
      <w:r w:rsidRPr="00791593">
        <w:rPr>
          <w:rFonts w:ascii="Arial" w:eastAsia="Times New Roman" w:hAnsi="Arial" w:cs="Arial"/>
          <w:i/>
          <w:lang w:bidi="en-US"/>
        </w:rPr>
        <w:t xml:space="preserve">. 920808 </w:t>
      </w:r>
    </w:p>
    <w:p w14:paraId="2C5C786E"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lastRenderedPageBreak/>
        <w:t>Localización:</w:t>
      </w:r>
    </w:p>
    <w:p w14:paraId="7284D5E5"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Tercera Época</w:t>
      </w:r>
    </w:p>
    <w:p w14:paraId="6D0EAC66"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Instancia: Sala Superior</w:t>
      </w:r>
    </w:p>
    <w:p w14:paraId="66F8A8C8"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Fuente: Apéndice (actualización 2001)</w:t>
      </w:r>
    </w:p>
    <w:p w14:paraId="6C6FF7DD"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Tomo VIII, Jurisprudencia Electoral</w:t>
      </w:r>
    </w:p>
    <w:p w14:paraId="1E84D91D"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Página: 52</w:t>
      </w:r>
    </w:p>
    <w:p w14:paraId="698A02E0"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Tesis: 39</w:t>
      </w:r>
    </w:p>
    <w:p w14:paraId="6E9D474E"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Jurisprudencia</w:t>
      </w:r>
    </w:p>
    <w:p w14:paraId="22C565D0"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Materia(s):</w:t>
      </w:r>
    </w:p>
    <w:p w14:paraId="09DF9463"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 xml:space="preserve">PRINCIPIO DE LEGALIDAD ELECTORAL.- </w:t>
      </w:r>
      <w:r w:rsidRPr="00791593">
        <w:rPr>
          <w:rFonts w:ascii="Arial" w:eastAsia="Times New Roman" w:hAnsi="Arial" w:cs="Arial"/>
          <w:b/>
          <w:lang w:bidi="en-US"/>
        </w:rPr>
        <w:t>(Se transcribe)</w:t>
      </w:r>
    </w:p>
    <w:p w14:paraId="614C59CD"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t>OCTAVO AGRAVIO.</w:t>
      </w:r>
      <w:r w:rsidRPr="00791593">
        <w:rPr>
          <w:rFonts w:ascii="Arial" w:eastAsia="Times New Roman" w:hAnsi="Arial" w:cs="Arial"/>
          <w:sz w:val="24"/>
          <w:szCs w:val="24"/>
          <w:lang w:bidi="en-US"/>
        </w:rPr>
        <w:t xml:space="preserve"> Es cierto se viola en nuestro perjuicio como candidatos registrados a concejales lo dispuesto por el artículo 99 párrafo cuarto, fracción V de la Constitución Política de los Estados Unidos Mexicanos considerando que las omisiones realizadas por el Pleno de los Magistrados de la Sala Xalapa del Tribunal Electoral del Poder Judicial de la Federación, realizo omisiones graves al no valorar cada una de las pruebas que presentamos y no admicularlas, debidamente por el contrario actuó de manera parcial en favor de los actores en el Juicio </w:t>
      </w:r>
      <w:r w:rsidRPr="00791593">
        <w:rPr>
          <w:rFonts w:ascii="Arial" w:eastAsia="Times New Roman" w:hAnsi="Arial" w:cs="Arial"/>
          <w:b/>
          <w:sz w:val="24"/>
          <w:szCs w:val="24"/>
          <w:lang w:bidi="en-US"/>
        </w:rPr>
        <w:t>SX-JDC.111/2014,</w:t>
      </w:r>
      <w:r w:rsidRPr="00791593">
        <w:rPr>
          <w:rFonts w:ascii="Arial" w:eastAsia="Times New Roman" w:hAnsi="Arial" w:cs="Arial"/>
          <w:sz w:val="24"/>
          <w:szCs w:val="24"/>
          <w:lang w:bidi="en-US"/>
        </w:rPr>
        <w:t xml:space="preserve"> al admitirles pruebas que no fueron ofrecidas en su apersonamiento inicial, como consta en el numeral V del acuerdo de fecha 27 de febrero del año 2013, realizado por el Magistrado instructor, con motivo del apersonamiento del actor Javier Rubio Rosas, ante el Tribunal Electoral del Poder Judicial de Oaxaca, en el expediente </w:t>
      </w:r>
      <w:r w:rsidRPr="00791593">
        <w:rPr>
          <w:rFonts w:ascii="Arial" w:eastAsia="Times New Roman" w:hAnsi="Arial" w:cs="Arial"/>
          <w:b/>
          <w:sz w:val="24"/>
          <w:szCs w:val="24"/>
          <w:lang w:bidi="en-US"/>
        </w:rPr>
        <w:t>JNI/09/2014.</w:t>
      </w:r>
    </w:p>
    <w:p w14:paraId="491E0462"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sz w:val="24"/>
          <w:szCs w:val="24"/>
          <w:lang w:bidi="en-US"/>
        </w:rPr>
        <w:t>Por lo anterior en este acto me permito invocar la siguiente tesis que me da la razón jurídica, al respecto,</w:t>
      </w:r>
    </w:p>
    <w:p w14:paraId="1F9B078F"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 xml:space="preserve">“OMISIONES EN MATERIA ELECTORAL SON IMPUGNABLES.- </w:t>
      </w:r>
      <w:r w:rsidRPr="00791593">
        <w:rPr>
          <w:rFonts w:ascii="Arial" w:eastAsia="Times New Roman" w:hAnsi="Arial" w:cs="Arial"/>
          <w:b/>
          <w:lang w:bidi="en-US"/>
        </w:rPr>
        <w:t>(Se transcribe)</w:t>
      </w:r>
    </w:p>
    <w:p w14:paraId="197DB844"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p>
    <w:p w14:paraId="0712CED7"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b/>
          <w:sz w:val="24"/>
          <w:szCs w:val="24"/>
          <w:lang w:bidi="en-US"/>
        </w:rPr>
        <w:t>NOVENO AGRAVIO.</w:t>
      </w:r>
      <w:r w:rsidRPr="00791593">
        <w:rPr>
          <w:rFonts w:ascii="Arial" w:eastAsia="Times New Roman" w:hAnsi="Arial" w:cs="Arial"/>
          <w:sz w:val="24"/>
          <w:szCs w:val="24"/>
          <w:lang w:bidi="en-US"/>
        </w:rPr>
        <w:t xml:space="preserve"> Es cierto se viola en nuestro perjuicio como candidatos a concejales lo dispuesto por el artículo 116 fracción IV, incisos B), y L), de la Carta Magna,: “IV. Las Constituciones y Leyes de los Estados en Materia Electoral garantizaran que:...”</w:t>
      </w:r>
    </w:p>
    <w:p w14:paraId="7795C22D"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sz w:val="24"/>
          <w:szCs w:val="24"/>
          <w:lang w:bidi="en-US"/>
        </w:rPr>
        <w:t xml:space="preserve">“B) En el ejercicio de la función electoral, a cargo de las autoridades electorales, sean </w:t>
      </w:r>
      <w:r w:rsidRPr="00791593">
        <w:rPr>
          <w:rFonts w:ascii="Arial" w:eastAsia="Times New Roman" w:hAnsi="Arial" w:cs="Arial"/>
          <w:sz w:val="24"/>
          <w:szCs w:val="24"/>
          <w:u w:val="single"/>
          <w:lang w:bidi="en-US"/>
        </w:rPr>
        <w:t>principios rectores los de certeza, imparcialidad, independencia, legalidad y objetividad;</w:t>
      </w:r>
    </w:p>
    <w:p w14:paraId="474741C4" w14:textId="77777777" w:rsidR="006F5238" w:rsidRPr="00791593" w:rsidRDefault="006F5238" w:rsidP="006F5238">
      <w:pPr>
        <w:spacing w:before="120" w:after="0" w:line="240" w:lineRule="auto"/>
        <w:ind w:left="567" w:right="567"/>
        <w:jc w:val="both"/>
        <w:rPr>
          <w:rFonts w:ascii="Arial" w:eastAsia="Times New Roman" w:hAnsi="Arial" w:cs="Arial"/>
          <w:sz w:val="24"/>
          <w:szCs w:val="24"/>
          <w:lang w:bidi="en-US"/>
        </w:rPr>
      </w:pPr>
      <w:r w:rsidRPr="00791593">
        <w:rPr>
          <w:rFonts w:ascii="Arial" w:eastAsia="Times New Roman" w:hAnsi="Arial" w:cs="Arial"/>
          <w:sz w:val="24"/>
          <w:szCs w:val="24"/>
          <w:lang w:bidi="en-US"/>
        </w:rPr>
        <w:t xml:space="preserve">“L) Se establezca un sistema de medios de impugnación para que todos los actos y resoluciones electorales se sujeten invariablemente al </w:t>
      </w:r>
      <w:r w:rsidRPr="00791593">
        <w:rPr>
          <w:rFonts w:ascii="Arial" w:eastAsia="Times New Roman" w:hAnsi="Arial" w:cs="Arial"/>
          <w:sz w:val="24"/>
          <w:szCs w:val="24"/>
          <w:u w:val="single"/>
          <w:lang w:bidi="en-US"/>
        </w:rPr>
        <w:t>principio de legalidad,</w:t>
      </w:r>
      <w:r w:rsidRPr="00791593">
        <w:rPr>
          <w:rFonts w:ascii="Arial" w:eastAsia="Times New Roman" w:hAnsi="Arial" w:cs="Arial"/>
          <w:sz w:val="24"/>
          <w:szCs w:val="24"/>
          <w:lang w:bidi="en-US"/>
        </w:rPr>
        <w:t xml:space="preserve"> igualmente, que se señalen los supuestos y las reglas para la realización, en los ámbitos administrativo y jurisdiccional, de recuentos totales o parciales de votación;</w:t>
      </w:r>
    </w:p>
    <w:p w14:paraId="13B2DB24" w14:textId="77777777" w:rsidR="006F5238" w:rsidRPr="00791593" w:rsidRDefault="006F5238" w:rsidP="006F5238">
      <w:pPr>
        <w:spacing w:before="120" w:after="0" w:line="240" w:lineRule="auto"/>
        <w:ind w:left="567" w:right="567"/>
        <w:jc w:val="both"/>
        <w:rPr>
          <w:rFonts w:ascii="Arial" w:eastAsia="Times New Roman" w:hAnsi="Arial" w:cs="Arial"/>
          <w:b/>
          <w:sz w:val="24"/>
          <w:szCs w:val="24"/>
          <w:lang w:bidi="en-US"/>
        </w:rPr>
      </w:pPr>
      <w:r w:rsidRPr="00791593">
        <w:rPr>
          <w:rFonts w:ascii="Arial" w:eastAsia="Times New Roman" w:hAnsi="Arial" w:cs="Arial"/>
          <w:b/>
          <w:sz w:val="24"/>
          <w:szCs w:val="24"/>
          <w:lang w:bidi="en-US"/>
        </w:rPr>
        <w:lastRenderedPageBreak/>
        <w:t>La Autoridad señalada como responsable al valorar indebidamente las pruebas de los actores en el juicio SX-JDC-111/2014, violento en nuestro perjuicio las garantías establecida en el numeral que invocamos Por lo anterior en este acto me permito invocar la siguiente tesis, que me da la razón jurídica:</w:t>
      </w:r>
    </w:p>
    <w:p w14:paraId="4F8DACE0"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“[J]; 9a. Época; Pleno; Apéndice 1917-Septiembre 2011; Tomo I. Constitucional 4. Electoral Constitucional Primera Parte - SCJN; Pág. 3345</w:t>
      </w:r>
    </w:p>
    <w:p w14:paraId="092DDB14"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MATERIA ELECTORAL PRINCIPIOS RECTORES. EN LAS CONSTITUCIONES Y LEYES DE LOS ESTADOS DEBE GARANTIZARSE, ENTRE OTROS, EL DE CERTEZA EN EL DESEMPEÑO DE LA FUNCIÓN ELECTORAL</w:t>
      </w:r>
    </w:p>
    <w:p w14:paraId="3F3A4F9A"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lang w:bidi="en-US"/>
        </w:rPr>
        <w:t>(Se transcribe)</w:t>
      </w:r>
    </w:p>
    <w:p w14:paraId="3B0CAFC5"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MATERIA ELECTORAL PRINCIPIOS RECTORES. EN LAS CONSTITUCIONES Y LEYES DE LOS ESTADOS DEBE GARANTIZARSE, ENTRE OTROS, EL DE CERTEZA EN EL DESEMPEÑO DE LA FUNCIÓN ELECTORAL</w:t>
      </w:r>
    </w:p>
    <w:p w14:paraId="70BFF6D3"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lang w:bidi="en-US"/>
        </w:rPr>
        <w:t>(Se transcribe)</w:t>
      </w:r>
    </w:p>
    <w:p w14:paraId="0F6CE9D3"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Por lo anterior en este acto me permito invocar la siguiente tesis, que me da la razón jurídica:</w:t>
      </w:r>
    </w:p>
    <w:p w14:paraId="60531027" w14:textId="77777777" w:rsidR="006F5238" w:rsidRPr="00791593" w:rsidRDefault="006F5238" w:rsidP="006F5238">
      <w:pPr>
        <w:spacing w:before="120" w:after="0" w:line="240" w:lineRule="auto"/>
        <w:ind w:left="567" w:right="567"/>
        <w:jc w:val="both"/>
        <w:rPr>
          <w:rFonts w:ascii="Arial" w:eastAsia="Times New Roman" w:hAnsi="Arial" w:cs="Arial"/>
          <w:i/>
          <w:lang w:bidi="en-US"/>
        </w:rPr>
      </w:pPr>
      <w:r w:rsidRPr="00791593">
        <w:rPr>
          <w:rFonts w:ascii="Arial" w:eastAsia="Times New Roman" w:hAnsi="Arial" w:cs="Arial"/>
          <w:i/>
          <w:lang w:bidi="en-US"/>
        </w:rPr>
        <w:t xml:space="preserve">“[TA]; 3a. Época; Sala Superior; Ap. 2000; Tomo VIII, P.R. Electoral; Pág. 182 </w:t>
      </w:r>
    </w:p>
    <w:p w14:paraId="6D9F9376"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i/>
          <w:lang w:bidi="en-US"/>
        </w:rPr>
        <w:t>PRINCIPIO DE LEGALIDAD CONSTITUCIONAL ELECTORAL ESTÁ VIGENTE PARA TODOS LOS ESTADOS, DESDE EL 23 DE AGOSTO DE 1996.-</w:t>
      </w:r>
    </w:p>
    <w:p w14:paraId="1DE91A45" w14:textId="77777777" w:rsidR="006F5238" w:rsidRPr="00791593" w:rsidRDefault="006F5238" w:rsidP="006F5238">
      <w:pPr>
        <w:spacing w:before="120" w:after="0" w:line="240" w:lineRule="auto"/>
        <w:ind w:left="567" w:right="567"/>
        <w:jc w:val="both"/>
        <w:rPr>
          <w:rFonts w:ascii="Arial" w:eastAsia="Times New Roman" w:hAnsi="Arial" w:cs="Arial"/>
          <w:b/>
          <w:i/>
          <w:lang w:bidi="en-US"/>
        </w:rPr>
      </w:pPr>
      <w:r w:rsidRPr="00791593">
        <w:rPr>
          <w:rFonts w:ascii="Arial" w:eastAsia="Times New Roman" w:hAnsi="Arial" w:cs="Arial"/>
          <w:b/>
          <w:lang w:bidi="en-US"/>
        </w:rPr>
        <w:t>(Se transcribe)</w:t>
      </w:r>
    </w:p>
    <w:p w14:paraId="12A17B0C"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bCs/>
          <w:sz w:val="28"/>
          <w:szCs w:val="28"/>
          <w:lang w:eastAsia="es-ES"/>
        </w:rPr>
        <w:t>QUINTO. Suplencia de la deficiente expresión de conceptos de agravio.</w:t>
      </w:r>
      <w:r w:rsidRPr="00791593">
        <w:rPr>
          <w:rFonts w:ascii="Arial" w:eastAsia="Times New Roman" w:hAnsi="Arial" w:cs="Arial"/>
          <w:sz w:val="28"/>
          <w:szCs w:val="28"/>
          <w:lang w:eastAsia="es-ES"/>
        </w:rPr>
        <w:t xml:space="preserve"> Antes de analizar el fondo de la controversia planteada por los recurrentes, esta Sala Superior considera pertinente hacer las siguientes precisiones.</w:t>
      </w:r>
    </w:p>
    <w:p w14:paraId="57FA34C1"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Desde su origen, el recurso de reconsideración ha sido considerado un medio de impugnación de estricto Derecho, razón por la cual en el correspondiente escrito se deben cumplir, rigurosa e indefectiblemente, determinados principios, requisitos y reglas, actualmente previstos en la Constitución Política de los Estados Unidos Mexicanos, en la Ley General del Sistema de Medios de Impugnación </w:t>
      </w:r>
      <w:r w:rsidRPr="00791593">
        <w:rPr>
          <w:rFonts w:ascii="Arial" w:eastAsia="Times New Roman" w:hAnsi="Arial" w:cs="Arial"/>
          <w:sz w:val="28"/>
          <w:szCs w:val="28"/>
          <w:lang w:eastAsia="es-ES"/>
        </w:rPr>
        <w:lastRenderedPageBreak/>
        <w:t>en Materia Electoral y en la Ley Orgánica del Poder Judicial de la Federación.</w:t>
      </w:r>
    </w:p>
    <w:p w14:paraId="34C6AF33"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este contexto, cabe destacar, de manera preponderante, lo previsto en el artículo 23, párrafos 1 y 2, de la mencionada ley adjetiva electoral federal, relativo a que en el recurso de reconsideración está prohibido, en principio y como regla, aplicar la institución jurídica de la suplencia de la deficiente expresión de conceptos de agravio y, por ende, que esta Sala Superior no debe ni puede suplir las deficiencias u omisiones en que hubiere incurrido el actor, al expresar los conceptos de agravio en su ocurso de reconsideración.</w:t>
      </w:r>
    </w:p>
    <w:p w14:paraId="453BFE42" w14:textId="77777777" w:rsidR="006F5238" w:rsidRPr="00791593" w:rsidRDefault="006F5238" w:rsidP="006F5238">
      <w:pPr>
        <w:spacing w:before="100" w:beforeAutospacing="1" w:after="100" w:afterAutospacing="1" w:line="360" w:lineRule="auto"/>
        <w:ind w:firstLine="720"/>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Sin embargo, en este particular, también se debe destacar que los recurrentes forman parte del pueblo indígena mixteco perteneciente a </w:t>
      </w:r>
      <w:r w:rsidRPr="00791593">
        <w:rPr>
          <w:rFonts w:ascii="Arial" w:eastAsia="Times New Roman" w:hAnsi="Arial" w:cs="Arial"/>
          <w:sz w:val="28"/>
          <w:szCs w:val="28"/>
          <w:lang w:val="es-ES" w:eastAsia="es-MX"/>
        </w:rPr>
        <w:t>San Sebastián Tecomaxtlahuaca, Juxtlahuaca, Oaxaca; por tanto, a juicio de esta Sala Superior, el estudio de los conceptos de agravio no se debe hacer conforme al principio de estricto Derecho, sino en aplicación del principio de supremacía constitucional, supliendo las deficiencias y omisiones en las que los demandantes pudieren haber incurrido</w:t>
      </w:r>
      <w:r w:rsidRPr="00791593">
        <w:rPr>
          <w:rFonts w:ascii="Arial" w:eastAsia="Times New Roman" w:hAnsi="Arial" w:cs="Arial"/>
          <w:sz w:val="28"/>
          <w:szCs w:val="28"/>
          <w:lang w:eastAsia="es-ES"/>
        </w:rPr>
        <w:t xml:space="preserve"> al promover su recurso, ello con fundamento en los artículos 2º, Apartado A, fracción VIII, 17, párrafo segundo, y 133, de la Constitución Política de los Estados Unidos Mexicanos; 23, párrafo 1, de la Ley General del Sistema de Medios de Impugnación en Materia Electoral; 2, 4, párrafo 1, y 12 del Convenio 169 de la Organización Internacional del Trabajo sobre Pueblos Indígenas y Tribales en Países Independientes y 1, párrafo 1, de la Convención Americana sobre Derechos Humanos.</w:t>
      </w:r>
    </w:p>
    <w:p w14:paraId="299615CD" w14:textId="77777777" w:rsidR="006F5238" w:rsidRPr="00791593" w:rsidRDefault="006F5238" w:rsidP="006F5238">
      <w:pPr>
        <w:spacing w:before="100" w:beforeAutospacing="1" w:after="100" w:afterAutospacing="1" w:line="360" w:lineRule="auto"/>
        <w:ind w:firstLine="720"/>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lastRenderedPageBreak/>
        <w:t xml:space="preserve">Lo anterior, porque en los medios de impugnación promovidos por integrantes de comunidades o pueblos indígenas, en el que se aduzca la violación a sus derechos y deberes en el procedimiento de elección de quienes han de integrar sus órganos de autoridad o de representación, conforme a sus propios sistemas normativos, es decir, conforme a sus procedimientos y prácticas tradicionales, la autoridad jurisdiccional electoral debe no sólo suplir la deficiencia en la expresión de los conceptos de agravio, sino también su ausencia total, lo cual implica precisar el acto que realmente afecta sus derechos y deberes, además de apreciar los hechos como sucedieron, en términos de las constancias de autos, sin más limitaciones que las que resulten conforme a Derecho, en el acto supremo de impartir justicia al resolver el correspondiente recurso de reconsideración, porque tal suplencia es congruente y consecuente con los postulados constitucionales que reconocen los derechos de estos pueblos y comunidades como entes colectivos y a sus integrantes en su individualidad. </w:t>
      </w:r>
    </w:p>
    <w:p w14:paraId="7DCF1B8E" w14:textId="77777777" w:rsidR="006F5238" w:rsidRPr="00791593" w:rsidRDefault="006F5238" w:rsidP="006F5238">
      <w:pPr>
        <w:spacing w:before="100" w:beforeAutospacing="1" w:after="100" w:afterAutospacing="1" w:line="360" w:lineRule="auto"/>
        <w:ind w:firstLine="720"/>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 anterior, porque el derecho fundamental o derecho humano a la tutela jurisdiccional efectiva, previsto en el artículo 17 de la Constitución federal, tiene como presupuesto necesario facilitar el acceso eficaz a los tribunales y superar las desventajas sustantivas y procesales en que puedan estar los interesados, debido a sus circunstancias culturales, económicas o sociales.</w:t>
      </w:r>
    </w:p>
    <w:p w14:paraId="0D611EBC" w14:textId="77777777" w:rsidR="006F5238" w:rsidRPr="00791593" w:rsidRDefault="006F5238" w:rsidP="006F5238">
      <w:pPr>
        <w:spacing w:before="100" w:beforeAutospacing="1" w:after="100" w:afterAutospacing="1" w:line="360" w:lineRule="auto"/>
        <w:ind w:firstLine="720"/>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Además, mediante la maximización del derecho de acceso eficaz a la justicia y la suplencia en la deficiente expresión de conceptos de agravio o en su ausencia total, permite al juzgador examinar los motivos de disconformidad aducidos en las instancias precedentes, a fin de </w:t>
      </w:r>
      <w:r w:rsidRPr="00791593">
        <w:rPr>
          <w:rFonts w:ascii="Arial" w:eastAsia="Times New Roman" w:hAnsi="Arial" w:cs="Arial"/>
          <w:sz w:val="28"/>
          <w:szCs w:val="28"/>
          <w:lang w:eastAsia="es-ES"/>
        </w:rPr>
        <w:lastRenderedPageBreak/>
        <w:t>impartir justicia a los integrantes de las comunidades indígenas, de manera pronta, completa e imparcial.</w:t>
      </w:r>
    </w:p>
    <w:p w14:paraId="61E4C76B" w14:textId="77777777" w:rsidR="006F5238" w:rsidRPr="00791593" w:rsidRDefault="006F5238" w:rsidP="006F5238">
      <w:pPr>
        <w:spacing w:before="100" w:beforeAutospacing="1" w:after="100" w:afterAutospacing="1" w:line="360" w:lineRule="auto"/>
        <w:ind w:firstLine="720"/>
        <w:jc w:val="both"/>
        <w:rPr>
          <w:rFonts w:ascii="Arial" w:eastAsia="Times New Roman" w:hAnsi="Arial" w:cs="Arial"/>
          <w:sz w:val="28"/>
          <w:szCs w:val="28"/>
          <w:lang w:eastAsia="es-MX"/>
        </w:rPr>
      </w:pPr>
      <w:r w:rsidRPr="00791593">
        <w:rPr>
          <w:rFonts w:ascii="Arial" w:eastAsia="Times New Roman" w:hAnsi="Arial" w:cs="Arial"/>
          <w:sz w:val="28"/>
          <w:szCs w:val="28"/>
          <w:lang w:eastAsia="es-ES"/>
        </w:rPr>
        <w:t xml:space="preserve">En este orden de ideas, resulta aplicable la tesis de jurisprudencia de esta Sala Superior, identificada </w:t>
      </w:r>
      <w:r w:rsidRPr="00791593">
        <w:rPr>
          <w:rFonts w:ascii="Arial" w:eastAsia="Times New Roman" w:hAnsi="Arial" w:cs="Arial"/>
          <w:sz w:val="28"/>
          <w:szCs w:val="28"/>
          <w:lang w:eastAsia="es-MX"/>
        </w:rPr>
        <w:t>con la clave 13/2008, consultable a fojas doscientas veinticinco a doscientas veintiséis de la “</w:t>
      </w:r>
      <w:r w:rsidRPr="00791593">
        <w:rPr>
          <w:rFonts w:ascii="Arial" w:eastAsia="Times New Roman" w:hAnsi="Arial" w:cs="Arial"/>
          <w:i/>
          <w:sz w:val="24"/>
          <w:szCs w:val="28"/>
          <w:lang w:eastAsia="es-MX"/>
        </w:rPr>
        <w:t>Compilación 1997-2013 Jurisprudencia y tesis en materia electoral</w:t>
      </w:r>
      <w:r w:rsidRPr="00791593">
        <w:rPr>
          <w:rFonts w:ascii="Arial" w:eastAsia="Times New Roman" w:hAnsi="Arial" w:cs="Arial"/>
          <w:sz w:val="28"/>
          <w:szCs w:val="28"/>
          <w:lang w:eastAsia="es-MX"/>
        </w:rPr>
        <w:t>”, volumen 1 (uno), intitulado “</w:t>
      </w:r>
      <w:r w:rsidRPr="00791593">
        <w:rPr>
          <w:rFonts w:ascii="Arial" w:eastAsia="Times New Roman" w:hAnsi="Arial" w:cs="Arial"/>
          <w:i/>
          <w:sz w:val="24"/>
          <w:szCs w:val="28"/>
          <w:lang w:eastAsia="es-MX"/>
        </w:rPr>
        <w:t>Jurisprudencia</w:t>
      </w:r>
      <w:r w:rsidRPr="00791593">
        <w:rPr>
          <w:rFonts w:ascii="Arial" w:eastAsia="Times New Roman" w:hAnsi="Arial" w:cs="Arial"/>
          <w:sz w:val="28"/>
          <w:szCs w:val="28"/>
          <w:lang w:eastAsia="es-MX"/>
        </w:rPr>
        <w:t>”, publicada por este Tribunal Electoral del Poder Judicial de la Federación, cuyo rubro y texto es al tenor siguiente:</w:t>
      </w:r>
    </w:p>
    <w:p w14:paraId="20C34BC2" w14:textId="77777777" w:rsidR="006F5238" w:rsidRPr="00791593" w:rsidRDefault="006F5238" w:rsidP="006F5238">
      <w:pPr>
        <w:spacing w:after="0"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b/>
          <w:bCs/>
          <w:sz w:val="24"/>
          <w:szCs w:val="24"/>
          <w:lang w:val="es-ES" w:eastAsia="es-ES"/>
        </w:rPr>
        <w:t xml:space="preserve">COMUNIDADES INDÍGENAS. SUPLENCIA DE LA QUEJA EN LOS JUICIOS ELECTORALES PROMOVIDOS POR SUS INTEGRANTES.- </w:t>
      </w:r>
      <w:r w:rsidRPr="00791593">
        <w:rPr>
          <w:rFonts w:ascii="Arial" w:eastAsia="Times New Roman" w:hAnsi="Arial" w:cs="Arial"/>
          <w:sz w:val="24"/>
          <w:szCs w:val="24"/>
          <w:lang w:val="es-ES" w:eastAsia="es-ES"/>
        </w:rPr>
        <w:t>La interpretación sistemática y funcional de los artículos 2, apartado A, fracción VIII, 17 y 133 de la Constitución Política de los Estados Unidos Mexicanos; 23, apartado 1, de la Ley General del Sistema de Medios de Impugnación en Materia Electoral; 2, 4, 9, 14 y 15 de la Ley Federal para Prevenir y Eliminar la Discriminación; 2, 4, apartado 1 y 12 del Convenio 169 de la Organización Internacional del Trabajo sobre Pueblos Indígenas y Tribales en Países Independientes y 1, apartado 1, de la Convención Americana sobre Derechos Humanos, conduce a sostener que en el juicio para la protección de los derechos político-electorales del ciudadano promovido por integrantes de comunidades o pueblos indígenas, en el que se plantee el menoscabo de su autonomía política o de los derechos de sus integrantes para elegir sus autoridades o representantes, conforme a sus propias normas, procedimientos y prácticas tradicionales, la autoridad jurisdiccional electoral debe no sólo suplir la deficiencia de los motivos de agravio, sino también su ausencia total y precisar el acto que realmente les afecta, sin más limitaciones que las derivadas de los principios de congruencia y contradicción, inherentes a todo proceso jurisdiccional, porque tal suplencia es consecuente con los postulados constitucionales que reconocen los derechos de estos pueblos o comunidades y sus integrantes. Lo anterior, porque el derecho fundamental a la tutela jurisdiccional efectiva, prevista en el artículo 17 constitucional, tiene como presupuesto necesario la facilidad de acceso a los tribunales. Esto es así, porque el alcance de la suplencia de la queja obedece al espíritu garantista y antiformalista, tendente a superar las desventajas procesales en que se encuentran, por sus circunstancias culturales, económicas o sociales.</w:t>
      </w:r>
    </w:p>
    <w:p w14:paraId="7F3E1CED"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bCs/>
          <w:sz w:val="28"/>
          <w:szCs w:val="28"/>
          <w:lang w:eastAsia="es-ES"/>
        </w:rPr>
        <w:lastRenderedPageBreak/>
        <w:t xml:space="preserve">SEXTO. </w:t>
      </w:r>
      <w:r w:rsidRPr="00791593">
        <w:rPr>
          <w:rFonts w:ascii="Arial" w:eastAsia="Times New Roman" w:hAnsi="Arial" w:cs="Arial"/>
          <w:b/>
          <w:bCs/>
          <w:sz w:val="28"/>
          <w:szCs w:val="28"/>
          <w:lang w:val="es-ES" w:eastAsia="es-ES"/>
        </w:rPr>
        <w:t xml:space="preserve">Estudio del fondo de la </w:t>
      </w:r>
      <w:r w:rsidRPr="00791593">
        <w:rPr>
          <w:rFonts w:ascii="Arial" w:eastAsia="Times New Roman" w:hAnsi="Arial" w:cs="Arial"/>
          <w:b/>
          <w:bCs/>
          <w:i/>
          <w:iCs/>
          <w:sz w:val="28"/>
          <w:szCs w:val="28"/>
          <w:lang w:val="es-ES" w:eastAsia="es-ES"/>
        </w:rPr>
        <w:t>litis.</w:t>
      </w:r>
      <w:r w:rsidRPr="00791593">
        <w:rPr>
          <w:rFonts w:ascii="Arial" w:eastAsia="Times New Roman" w:hAnsi="Arial" w:cs="Arial"/>
          <w:bCs/>
          <w:iCs/>
          <w:sz w:val="28"/>
          <w:szCs w:val="28"/>
          <w:lang w:val="es-ES" w:eastAsia="es-ES"/>
        </w:rPr>
        <w:t xml:space="preserve"> </w:t>
      </w:r>
      <w:r w:rsidRPr="00791593">
        <w:rPr>
          <w:rFonts w:ascii="Arial" w:eastAsia="Times New Roman" w:hAnsi="Arial" w:cs="Arial"/>
          <w:sz w:val="28"/>
          <w:szCs w:val="28"/>
          <w:lang w:eastAsia="es-ES"/>
        </w:rPr>
        <w:t xml:space="preserve">Analizados y resueltos los aspectos preliminares, esta Sala Superior procede al estudio de los conceptos de agravio hechos valer por los recurrentes. </w:t>
      </w:r>
    </w:p>
    <w:p w14:paraId="0CE8ACEF"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En el particular, de la lectura de la demanda se advierte, que la pretensión fundamental de los promoventes es que se revoque la sentencia impugnada, para confirmar la sentencia del Tribunal Electoral local, en la que se determinó declarar la nulidad del procedimiento electoral municipal de </w:t>
      </w:r>
      <w:r w:rsidRPr="00791593">
        <w:rPr>
          <w:rFonts w:ascii="Arial" w:eastAsia="Times New Roman" w:hAnsi="Arial" w:cs="Arial"/>
          <w:bCs/>
          <w:sz w:val="28"/>
          <w:szCs w:val="28"/>
          <w:lang w:eastAsia="es-ES"/>
        </w:rPr>
        <w:t xml:space="preserve">diecisiete de noviembre de dos mil trece, en el cual se eligió a los integrantes del </w:t>
      </w:r>
      <w:r w:rsidRPr="00791593">
        <w:rPr>
          <w:rFonts w:ascii="Arial" w:eastAsia="Times New Roman" w:hAnsi="Arial" w:cs="Arial"/>
          <w:sz w:val="28"/>
          <w:szCs w:val="28"/>
          <w:lang w:eastAsia="es-ES"/>
        </w:rPr>
        <w:t>Ayuntamiento de San Sebastián Tecomaxtlahuaca, Juxtlahuaca; en consecuencia</w:t>
      </w:r>
      <w:r w:rsidRPr="00791593">
        <w:rPr>
          <w:rFonts w:ascii="Arial" w:eastAsia="Times New Roman" w:hAnsi="Arial" w:cs="Arial"/>
          <w:bCs/>
          <w:sz w:val="28"/>
          <w:szCs w:val="28"/>
          <w:lang w:eastAsia="es-ES"/>
        </w:rPr>
        <w:t xml:space="preserve">, su pretensión final es que se lleve a cabo una elección extraordinaria de concejales, para integrar ese Ayuntamiento. </w:t>
      </w:r>
    </w:p>
    <w:p w14:paraId="553EF19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Su causa de pedir la sustentan en la violación al principio de certeza, porque afirman que la Sala Regional Xalapa no valoró conforme a Derecho el testimonio notarial y el acta de la Asamblea General electiva de diecisiete de noviembre de dos mil trece, debido a que existen discrepancias que impiden que se les otorgue valor probatorio pleno, además de que adminiculados con otros elementos de prueba, que obran en autos, se llega a la conclusión de que existieron irregularidades graves durante la jornada electoral, lo que implica que se vulneró el principio constitucional de certeza, por lo que se debe revocar la sentencia controvertida y declarar la nulidad de la elección.</w:t>
      </w:r>
    </w:p>
    <w:p w14:paraId="6AC7F4F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791593">
        <w:rPr>
          <w:rFonts w:ascii="Arial" w:eastAsia="Times New Roman" w:hAnsi="Arial" w:cs="Arial"/>
          <w:bCs/>
          <w:sz w:val="28"/>
          <w:szCs w:val="28"/>
          <w:lang w:eastAsia="es-ES"/>
        </w:rPr>
        <w:t>Para llevar a cabo, en forma sistemática, el estudio de los conceptos de agravio de los enjuiciantes, esta Sala Superior considera pertinente hacerlo en apartados específicos.</w:t>
      </w:r>
    </w:p>
    <w:p w14:paraId="140E8FC4" w14:textId="77777777" w:rsidR="006F5238" w:rsidRPr="00791593" w:rsidRDefault="006F5238" w:rsidP="008D1689">
      <w:pPr>
        <w:widowControl w:val="0"/>
        <w:numPr>
          <w:ilvl w:val="0"/>
          <w:numId w:val="6"/>
        </w:numPr>
        <w:spacing w:before="100" w:beforeAutospacing="1" w:after="100" w:afterAutospacing="1" w:line="360" w:lineRule="auto"/>
        <w:contextualSpacing/>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lastRenderedPageBreak/>
        <w:t>De la validez o nulidad de un procedimiento electoral.</w:t>
      </w:r>
    </w:p>
    <w:p w14:paraId="0DADFD7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Respecto de la declaración de validez o nulidad de una elección, según corresponda, cabe precisar que se debe hacer con base en el bloque de constitucionalidad y de legalidad e incluso de convencionalidad aplicable en el caso concreto.</w:t>
      </w:r>
    </w:p>
    <w:p w14:paraId="66E0841B"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 partir del modelo de control de constitucionalidad y de convencionalidad, derivado de la reforma al artículo 1° de la Constitución Política de los Estados Unidos Mexicanos, publicada en el Diario Oficial de la Federación el diez de junio de dos mil once, conforme al criterio establecido por la Suprema Corte de Justicia de la Nación, al resolver el asunto identificado como varios 912/2010, se ha reconocido en el sistema jurídico nacional el principio de que las normas relativas a los derechos humanos, entre los que están, incuestionablemente, los derechos político-electorales del ciudadano, se deben interpretar conforme a lo previsto en la propia Constitución Política de los Estados Unidos Mexicanos y en los tratados internacionales tuteladores de derechos humanos, favoreciendo en todo tiempo a las personas, para su protección más amplia.</w:t>
      </w:r>
    </w:p>
    <w:p w14:paraId="4E38F88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este orden de ideas, todas las autoridades, sin excepción y en cualquier orden de gobierno, en el ámbito de su respectiva competencia, tienen el deber jurídico de promover, respetar, proteger y garantizar los derechos humanos, conforme a los principios de universalidad, interdependencia, indivisibilidad y progresividad; en consecuencia, el Estado debe prevenir, investigar, sancionar y reparar las violaciones a estos derechos, en los términos que establezca la normativa aplicable.</w:t>
      </w:r>
    </w:p>
    <w:p w14:paraId="7AA2D1B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lastRenderedPageBreak/>
        <w:t>Por tanto, este Tribunal Electoral del Poder Judicial de la Federación, en su carácter de máxima autoridad jurisdiccional en la materia, con excepción de las acciones de inconstitucionalidad, cuya competencia corresponde, en forma exclusiva y excluyente, a la Suprema Corte de Justicia de la Nación, tiene el deber constitucional de proteger y garantizar los derechos humanos, en especial los de carácter político-electoral, de conformidad con los principios antes anotados.</w:t>
      </w:r>
    </w:p>
    <w:p w14:paraId="5353692A"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Ahora bien, en términos de lo previsto en los artículos 35, fracción I, y 36, fracción III, de la Constitución federal, votar en las elecciones populares constituye un derecho y una obligación, el cual se ejerce con la finalidad de que sean los mismos ciudadanos los que determinen quién o quiénes han de integrar los órganos del Estado de representación popular.</w:t>
      </w:r>
    </w:p>
    <w:p w14:paraId="41F63F75"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el artículo 39 de la Constitución General de la República se prevé que la soberanía nacional reside esencial y originariamente en el pueblo, por lo que todo poder público dimana del pueblo y se instituye para beneficio de éste. El mismo precepto constitucional establece que el pueblo tiene, en todo tiempo, el inalienable derecho de alterar o modificar la forma de su gobierno.</w:t>
      </w:r>
    </w:p>
    <w:p w14:paraId="1EED451F"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Por su parte, el artículo 40 constitucional prevé que es voluntad del pueblo mexicano constituirse en una República, representativa, democrática, laica y federal, compuesta de Estados libres y soberanos en todo lo concerniente a su régimen interior; pero unidos en una Federación, establecida según los principios de la propia Ley Fundamental.</w:t>
      </w:r>
    </w:p>
    <w:p w14:paraId="0F817308"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lastRenderedPageBreak/>
        <w:t>Para garantizar y dotar de eficacia al régimen representativo y democrático, la Constitución Política de los Estados Unidos Mexicanos prevé normas y principios concernientes a la integración de los órganos del poder público; al ejercicio de los derechos político-electorales, particularmente los de votar y ser votados para ocupar cargos de elección popular; a las características y condiciones fundamentales del derecho de sufragio, así como a los mecanismos jurídicos para la defensa de estos derechos humanos y de los postulados del Estado democrático de Derecho.</w:t>
      </w:r>
    </w:p>
    <w:p w14:paraId="7426B94B"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Así, resulta inconcuso que la democracia requiere indefectiblemente de la observancia y pleno respeto de los principios y valores fundamentales –armónicos e interconectados-, como la división de poderes, la realización de elecciones libres, auténticas y periódicas, así como el establecimiento y respeto de derechos político-electorales que permitan a los ciudadanos el acceso a los cargos públicos de elección popular, mediante el sufragio universal, libre, secreto y directo de los ciudadanos.</w:t>
      </w:r>
    </w:p>
    <w:p w14:paraId="0C9F65B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Conforme a lo anterior, es preciso destacar los siguientes principios y valores constitucionales, característicos de la materia electoral, en un Estado de Derecho democrático:</w:t>
      </w:r>
    </w:p>
    <w:p w14:paraId="5A0DCD8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a)</w:t>
      </w:r>
      <w:r w:rsidRPr="00791593">
        <w:rPr>
          <w:rFonts w:ascii="Arial" w:eastAsia="Times New Roman" w:hAnsi="Arial" w:cs="Arial"/>
          <w:sz w:val="28"/>
          <w:szCs w:val="28"/>
          <w:lang w:eastAsia="es-ES"/>
        </w:rPr>
        <w:t xml:space="preserve"> Los derechos fundamentales de votar, ser votado, de asociación y de afiliación, en cuanto tienen la estructura de principios [artículos 35, fracciones I, II y III; 41, párrafo segundo, base I, párrafo segundo, y 116, párrafo segundo, fracción IV, de la Constitución federal; 25, inciso b), del Pacto Internacional de Derechos Civiles y Políticos y </w:t>
      </w:r>
      <w:r w:rsidRPr="00791593">
        <w:rPr>
          <w:rFonts w:ascii="Arial" w:eastAsia="Times New Roman" w:hAnsi="Arial" w:cs="Arial"/>
          <w:sz w:val="28"/>
          <w:szCs w:val="28"/>
          <w:lang w:eastAsia="es-ES"/>
        </w:rPr>
        <w:lastRenderedPageBreak/>
        <w:t>23, párrafo 1, inciso b), de la Convención Americana sobre Derechos Humanos];</w:t>
      </w:r>
    </w:p>
    <w:p w14:paraId="5E91DEA0"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b)</w:t>
      </w:r>
      <w:r w:rsidRPr="00791593">
        <w:rPr>
          <w:rFonts w:ascii="Arial" w:eastAsia="Times New Roman" w:hAnsi="Arial" w:cs="Arial"/>
          <w:sz w:val="28"/>
          <w:szCs w:val="28"/>
          <w:lang w:eastAsia="es-ES"/>
        </w:rPr>
        <w:t xml:space="preserve"> Derecho de acceso para todos los ciudadanos, en condiciones generales de igualdad, a las funciones públicas del Estado [artículos 25, inciso b), del Pacto Internacional de Derechos Civiles y Políticos y 23, párrafo 1, inciso c), de la Convención Americana sobre Derechos Humanos];</w:t>
      </w:r>
    </w:p>
    <w:p w14:paraId="1D167745"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c)</w:t>
      </w:r>
      <w:r w:rsidRPr="00791593">
        <w:rPr>
          <w:rFonts w:ascii="Arial" w:eastAsia="Times New Roman" w:hAnsi="Arial" w:cs="Arial"/>
          <w:sz w:val="28"/>
          <w:szCs w:val="28"/>
          <w:lang w:eastAsia="es-ES"/>
        </w:rPr>
        <w:t xml:space="preserve"> El principio de elecciones libres, auténticas y periódicas [artículos 41, párrafo segundo, de la Constitución federal; 25, inciso b), del Pacto Internacional de Derechos Civiles y Políticos y 23, párrafo 1, inciso b), de la Convención Americana sobre Derechos Humanos];</w:t>
      </w:r>
    </w:p>
    <w:p w14:paraId="01EA4F10"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d)</w:t>
      </w:r>
      <w:r w:rsidRPr="00791593">
        <w:rPr>
          <w:rFonts w:ascii="Arial" w:eastAsia="Times New Roman" w:hAnsi="Arial" w:cs="Arial"/>
          <w:sz w:val="28"/>
          <w:szCs w:val="28"/>
          <w:lang w:eastAsia="es-ES"/>
        </w:rPr>
        <w:t xml:space="preserve"> El principio del sufragio universal, libre, secreto y directo [artículos 41, párrafo segundo, base I, párrafo segundo, y 116, fracción IV, inciso a), de la Constitución federal; 25, inciso b), del Pacto Internacional de Derechos Civiles y Políticos y 23, párrafo 1, inciso b), de la Convención Americana sobre Derechos Humanos];</w:t>
      </w:r>
    </w:p>
    <w:p w14:paraId="14E7C6BF"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e)</w:t>
      </w:r>
      <w:r w:rsidRPr="00791593">
        <w:rPr>
          <w:rFonts w:ascii="Arial" w:eastAsia="Times New Roman" w:hAnsi="Arial" w:cs="Arial"/>
          <w:sz w:val="28"/>
          <w:szCs w:val="28"/>
          <w:lang w:eastAsia="es-ES"/>
        </w:rPr>
        <w:t xml:space="preserve"> El principio de maximización de la libertad de expresión y del derecho a la información, en el debate público que debe preceder a las elecciones [artículos 6º y 7º de la Constitución federal; 25, párrafo 1, de la Convención Americana sobre Derechos Humanos y 19 del Pacto Internacional de Derechos Civiles y Políticos];</w:t>
      </w:r>
    </w:p>
    <w:p w14:paraId="1AC04E2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f)</w:t>
      </w:r>
      <w:r w:rsidRPr="00791593">
        <w:rPr>
          <w:rFonts w:ascii="Arial" w:eastAsia="Times New Roman" w:hAnsi="Arial" w:cs="Arial"/>
          <w:sz w:val="28"/>
          <w:szCs w:val="28"/>
          <w:lang w:eastAsia="es-ES"/>
        </w:rPr>
        <w:t xml:space="preserve"> Principio conforme al cual los partidos políticos nacionales deben contar, de manera equitativa, con elementos adecuados para llevar a cabo sus actividades ordinarias permanentes; de campaña y </w:t>
      </w:r>
      <w:r w:rsidRPr="00791593">
        <w:rPr>
          <w:rFonts w:ascii="Arial" w:eastAsia="Times New Roman" w:hAnsi="Arial" w:cs="Arial"/>
          <w:sz w:val="28"/>
          <w:szCs w:val="28"/>
          <w:lang w:eastAsia="es-ES"/>
        </w:rPr>
        <w:lastRenderedPageBreak/>
        <w:t>otras específicas [artículo 41, párrafo segundo, base II, de la Constitución federal];</w:t>
      </w:r>
    </w:p>
    <w:p w14:paraId="5E82101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g)</w:t>
      </w:r>
      <w:r w:rsidRPr="00791593">
        <w:rPr>
          <w:rFonts w:ascii="Arial" w:eastAsia="Times New Roman" w:hAnsi="Arial" w:cs="Arial"/>
          <w:sz w:val="28"/>
          <w:szCs w:val="28"/>
          <w:lang w:eastAsia="es-ES"/>
        </w:rPr>
        <w:t xml:space="preserve"> Principio de equidad en el financiamiento público [artículos 41, párrafo segundo, base II, y 116, fracción IV, inciso g), de la Constitución federal]:</w:t>
      </w:r>
    </w:p>
    <w:p w14:paraId="3EAF525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h)</w:t>
      </w:r>
      <w:r w:rsidRPr="00791593">
        <w:rPr>
          <w:rFonts w:ascii="Arial" w:eastAsia="Times New Roman" w:hAnsi="Arial" w:cs="Arial"/>
          <w:sz w:val="28"/>
          <w:szCs w:val="28"/>
          <w:lang w:eastAsia="es-ES"/>
        </w:rPr>
        <w:t xml:space="preserve"> Principio de prevalencia de los recursos públicos sobre los de origen privado [artículo 41, párrafo segundo, base II, de la Constitución federal];</w:t>
      </w:r>
    </w:p>
    <w:p w14:paraId="66F6983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i)</w:t>
      </w:r>
      <w:r w:rsidRPr="00791593">
        <w:rPr>
          <w:rFonts w:ascii="Arial" w:eastAsia="Times New Roman" w:hAnsi="Arial" w:cs="Arial"/>
          <w:sz w:val="28"/>
          <w:szCs w:val="28"/>
          <w:lang w:eastAsia="es-ES"/>
        </w:rPr>
        <w:t xml:space="preserve"> Principio conforme al cual la organización de las elecciones se debe llevar a cabo mediante un organismo público dotado de personalidad jurídica, autonomía e independencia [artículos 41, párrafo segundo, base V, y 116, fracción IV, inciso c), de la Constitución federal];</w:t>
      </w:r>
    </w:p>
    <w:p w14:paraId="1D3B44B0"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j)</w:t>
      </w:r>
      <w:r w:rsidRPr="00791593">
        <w:rPr>
          <w:rFonts w:ascii="Arial" w:eastAsia="Times New Roman" w:hAnsi="Arial" w:cs="Arial"/>
          <w:sz w:val="28"/>
          <w:szCs w:val="28"/>
          <w:lang w:eastAsia="es-ES"/>
        </w:rPr>
        <w:t xml:space="preserve"> Principios rectores de la función estatal electoral: certeza, legalidad, independencia, imparcialidad, objetividad y profesionalismo [artículos 41, párrafo segundo, base V, párrafos primero y segundo, y 116, fracción IV, inciso b), de la Constitución federal];</w:t>
      </w:r>
    </w:p>
    <w:p w14:paraId="05C6D65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k)</w:t>
      </w:r>
      <w:r w:rsidRPr="00791593">
        <w:rPr>
          <w:rFonts w:ascii="Arial" w:eastAsia="Times New Roman" w:hAnsi="Arial" w:cs="Arial"/>
          <w:sz w:val="28"/>
          <w:szCs w:val="28"/>
          <w:lang w:eastAsia="es-ES"/>
        </w:rPr>
        <w:t xml:space="preserve"> Presunción de constitucionalidad y legalidad de los actos y resoluciones electorales [artículos 41, párrafo segundo, base VI, y 116, fracción IV, inciso l), de la Constitución federal];</w:t>
      </w:r>
    </w:p>
    <w:p w14:paraId="3819057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l)</w:t>
      </w:r>
      <w:r w:rsidRPr="00791593">
        <w:rPr>
          <w:rFonts w:ascii="Arial" w:eastAsia="Times New Roman" w:hAnsi="Arial" w:cs="Arial"/>
          <w:sz w:val="28"/>
          <w:szCs w:val="28"/>
          <w:lang w:eastAsia="es-ES"/>
        </w:rPr>
        <w:t xml:space="preserve"> Derecho a la tutela judicial efectiva en materia electoral [artículos 17; 41, párrafo segundo, base VI, y 116, fracción IV, inciso l), de la Constitución federal y 25, párrafo 1, de la Convención Americana </w:t>
      </w:r>
      <w:r w:rsidRPr="00791593">
        <w:rPr>
          <w:rFonts w:ascii="Arial" w:eastAsia="Times New Roman" w:hAnsi="Arial" w:cs="Arial"/>
          <w:sz w:val="28"/>
          <w:szCs w:val="28"/>
          <w:lang w:eastAsia="es-ES"/>
        </w:rPr>
        <w:lastRenderedPageBreak/>
        <w:t>sobre Derechos Humanos];</w:t>
      </w:r>
    </w:p>
    <w:p w14:paraId="32F2B158"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m)</w:t>
      </w:r>
      <w:r w:rsidRPr="00791593">
        <w:rPr>
          <w:rFonts w:ascii="Arial" w:eastAsia="Times New Roman" w:hAnsi="Arial" w:cs="Arial"/>
          <w:sz w:val="28"/>
          <w:szCs w:val="28"/>
          <w:lang w:eastAsia="es-ES"/>
        </w:rPr>
        <w:t xml:space="preserve"> Principio de definitividad de actos, resoluciones y etapas, en materia electoral [artículo 41, párrafo segundo, base VI, y 116, fracción IV, inciso m), de la Constitución federal];</w:t>
      </w:r>
    </w:p>
    <w:p w14:paraId="238A4906"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n)</w:t>
      </w:r>
      <w:r w:rsidRPr="00791593">
        <w:rPr>
          <w:rFonts w:ascii="Arial" w:eastAsia="Times New Roman" w:hAnsi="Arial" w:cs="Arial"/>
          <w:sz w:val="28"/>
          <w:szCs w:val="28"/>
          <w:lang w:eastAsia="es-ES"/>
        </w:rPr>
        <w:t xml:space="preserve"> Principio de equidad en la competencia entre los partidos políticos [artículo 134, relacionado con el numeral 41, párrafo segundo, base II, de la Constitución federal], y</w:t>
      </w:r>
    </w:p>
    <w:p w14:paraId="0B202CAC"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o)</w:t>
      </w:r>
      <w:r w:rsidRPr="00791593">
        <w:rPr>
          <w:rFonts w:ascii="Arial" w:eastAsia="Times New Roman" w:hAnsi="Arial" w:cs="Arial"/>
          <w:sz w:val="28"/>
          <w:szCs w:val="28"/>
          <w:lang w:eastAsia="es-ES"/>
        </w:rPr>
        <w:t xml:space="preserve"> Principio de reserva de ley en materia de nulidades de elecciones, conforme al cual sólo la ley puede establecer causales de nulidad [artículos 99, párrafo cuarto, fracción II, párrafo segundo, y 116, fracción IV, inciso m), de la Constitución].</w:t>
      </w:r>
    </w:p>
    <w:p w14:paraId="6C5E6C8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Los principios y preceptos antes precisados rigen toda la materia electoral, federal, local y municipal; por tanto, constituyen requisitos y/o elementos fundamentales y características de una elección democrática, cuyo cumplimiento es imprescindible, para que una elección sea considerada constitucional y legalmente válida.</w:t>
      </w:r>
    </w:p>
    <w:p w14:paraId="7D760055"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Con base en las consideraciones y fundamento jurídico expuestos, los órganos jurisdiccionales, locales y federales, en materia electoral, tienen la atribución de reconocer la validez o declarar la nulidad de un procedimiento electoral, siempre que los impugnantes hagan valer conceptos de agravio tendentes a demostrar que existen, plenamente acreditas, las específicas causales de nulidad legalmente previstas o incluso irregularidades graves, generalizadas o sistemáticas, que resulten determinantes para la validez de la elección </w:t>
      </w:r>
      <w:r w:rsidRPr="00791593">
        <w:rPr>
          <w:rFonts w:ascii="Arial" w:eastAsia="Times New Roman" w:hAnsi="Arial" w:cs="Arial"/>
          <w:sz w:val="28"/>
          <w:szCs w:val="28"/>
          <w:lang w:eastAsia="es-ES"/>
        </w:rPr>
        <w:lastRenderedPageBreak/>
        <w:t>o de su resultado.</w:t>
      </w:r>
    </w:p>
    <w:p w14:paraId="32F7AAC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Esto es, si se dan casos en los cuales las irregularidades probadas en un procedimiento electoral sean contrarias a una disposición constitucional, convencional o legal, ese acto o hecho, al afectar o viciar en forma grave y determinante al procedimiento electoral atinente o a su resultado, podría conducir a la declaración de invalidez de la elección, por ser contraria a los principios o preceptos de la Ley Fundamental, de los tratados tuteladores de derechos humanos o de la legislación ordinaria aplicable.</w:t>
      </w:r>
    </w:p>
    <w:p w14:paraId="62603FE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Los elementos o condiciones para la declaración de invalidez de una elección, por violación a los principios o preceptos constitucionales son:</w:t>
      </w:r>
    </w:p>
    <w:p w14:paraId="218175EA"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a)</w:t>
      </w:r>
      <w:r w:rsidRPr="00791593">
        <w:rPr>
          <w:rFonts w:ascii="Arial" w:eastAsia="Times New Roman" w:hAnsi="Arial" w:cs="Arial"/>
          <w:sz w:val="28"/>
          <w:szCs w:val="28"/>
          <w:lang w:eastAsia="es-ES"/>
        </w:rPr>
        <w:t xml:space="preserve"> La existencia de hechos que se consideren violatorios de algún principio o norma constitucional o precepto de los Tratados tuteladores de los derechos humanos e incluso de la ley reglamentaria, que sea aplicable (violaciones sustanciales o irregularidades graves);</w:t>
      </w:r>
    </w:p>
    <w:p w14:paraId="7E954D6C"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b)</w:t>
      </w:r>
      <w:r w:rsidRPr="00791593">
        <w:rPr>
          <w:rFonts w:ascii="Arial" w:eastAsia="Times New Roman" w:hAnsi="Arial" w:cs="Arial"/>
          <w:sz w:val="28"/>
          <w:szCs w:val="28"/>
          <w:lang w:eastAsia="es-ES"/>
        </w:rPr>
        <w:t xml:space="preserve"> Las violaciones sustanciales o irregularidades graves deben estar plenamente acreditadas;</w:t>
      </w:r>
    </w:p>
    <w:p w14:paraId="40C82A03"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c)</w:t>
      </w:r>
      <w:r w:rsidRPr="00791593">
        <w:rPr>
          <w:rFonts w:ascii="Arial" w:eastAsia="Times New Roman" w:hAnsi="Arial" w:cs="Arial"/>
          <w:sz w:val="28"/>
          <w:szCs w:val="28"/>
          <w:lang w:eastAsia="es-ES"/>
        </w:rPr>
        <w:t xml:space="preserve"> Se ha de constatar el grado de afectación que la violación al principio o a la norma constitucional, precepto tutelador de derechos humanos o a la ley ordinaria aplicable haya producido en el procedimiento electoral, y</w:t>
      </w:r>
    </w:p>
    <w:p w14:paraId="5A007FA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d)</w:t>
      </w:r>
      <w:r w:rsidRPr="00791593">
        <w:rPr>
          <w:rFonts w:ascii="Arial" w:eastAsia="Times New Roman" w:hAnsi="Arial" w:cs="Arial"/>
          <w:sz w:val="28"/>
          <w:szCs w:val="28"/>
          <w:lang w:eastAsia="es-ES"/>
        </w:rPr>
        <w:t xml:space="preserve"> Las violaciones o irregularidades han de ser, cualitativa y/o </w:t>
      </w:r>
      <w:r w:rsidRPr="00791593">
        <w:rPr>
          <w:rFonts w:ascii="Arial" w:eastAsia="Times New Roman" w:hAnsi="Arial" w:cs="Arial"/>
          <w:sz w:val="28"/>
          <w:szCs w:val="28"/>
          <w:lang w:eastAsia="es-ES"/>
        </w:rPr>
        <w:lastRenderedPageBreak/>
        <w:t>cuantitativamente, determinantes para el desarrollo del procedimiento electoral o para el resultado de la elección.</w:t>
      </w:r>
    </w:p>
    <w:p w14:paraId="602DAC83"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De esta forma, para declarar la nulidad de una elección, ya sea por violación a normas constitucionales o principios fundamentales o normas convencionales o legales, </w:t>
      </w:r>
      <w:r w:rsidRPr="00791593">
        <w:rPr>
          <w:rFonts w:ascii="Arial" w:eastAsia="Times New Roman" w:hAnsi="Arial" w:cs="Arial"/>
          <w:b/>
          <w:sz w:val="28"/>
          <w:szCs w:val="28"/>
          <w:lang w:eastAsia="es-ES"/>
        </w:rPr>
        <w:t>es necesario que esa violación sea grave, generalizada o sistemática y, además, determinante, de tal forma que trascienda al normal desarrollo del procedimiento electoral o al resultado de la elección, esto es, que su influencia sea de tal magnitud, cualitativa o cuantitativa, que afecte la elección en su unidad o totalidad</w:t>
      </w:r>
      <w:r w:rsidRPr="00791593">
        <w:rPr>
          <w:rFonts w:ascii="Arial" w:eastAsia="Times New Roman" w:hAnsi="Arial" w:cs="Arial"/>
          <w:sz w:val="28"/>
          <w:szCs w:val="28"/>
          <w:lang w:eastAsia="es-ES"/>
        </w:rPr>
        <w:t>.</w:t>
      </w:r>
    </w:p>
    <w:p w14:paraId="53401A0B"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Tales requisitos, para la declaración de nulidad de una elección, permiten garantizar la autenticidad y libertad del sufragio, así como de la autenticidad y libertad de la elección misma, además de otorgar certeza respecto de las consecuencias jurídicas de los actos válidamente celebrados.</w:t>
      </w:r>
    </w:p>
    <w:p w14:paraId="5D340CE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De no exigir la satisfacción de tales requisitos se podría llegar al absurdo de considerar que cualquier transgresión accesoria, leve, aislada, eventual e incluso intrascendente, a la normativa jurídica aplicable, por mínima que fuera, tuviera por efecto indefectible la declaración de invalidez de la elección, con lo cual se podrían afectar los principios de objetividad, legalidad, imparcialidad, seguridad y certeza que rigen a los procedimientos electorales en su conjunto, así como el derecho constitucional de voto activo y pasivo de los ciudadanos, desconociendo el voto válidamente emitido por los electores que acudieron a la respectiva mesa directiva de casilla, a </w:t>
      </w:r>
      <w:r w:rsidRPr="00791593">
        <w:rPr>
          <w:rFonts w:ascii="Arial" w:eastAsia="Times New Roman" w:hAnsi="Arial" w:cs="Arial"/>
          <w:sz w:val="28"/>
          <w:szCs w:val="28"/>
          <w:lang w:eastAsia="es-ES"/>
        </w:rPr>
        <w:lastRenderedPageBreak/>
        <w:t>expresar su voluntad electoral.</w:t>
      </w:r>
    </w:p>
    <w:p w14:paraId="30DF21BB"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tal contexto, la declaración de validez o invalidez de una elección, según el caso, deriva no sólo de las facultades específicas previstas en la legislación electoral, sino también y particularmente de los principios y valores constitucionales y de los derechos fundamentales, previstos tanto en la Constitución Política de los Estados Unidos Mexicanos como en los tratados internacionales tuteladores de derechos humanos, entre los que se reconocen los derechos político-electorales de votar y ser votado en elecciones populares periódicas, auténticas y libres, llevadas a cabo mediante sufragio directo, universal, igual y secreto, que garantice la libre expresión de la voluntad de los electores.</w:t>
      </w:r>
    </w:p>
    <w:p w14:paraId="7B1DBE6C" w14:textId="77777777" w:rsidR="006F5238" w:rsidRPr="00791593" w:rsidRDefault="006F5238" w:rsidP="008D1689">
      <w:pPr>
        <w:widowControl w:val="0"/>
        <w:numPr>
          <w:ilvl w:val="0"/>
          <w:numId w:val="6"/>
        </w:numPr>
        <w:spacing w:before="100" w:beforeAutospacing="1" w:after="100" w:afterAutospacing="1" w:line="360" w:lineRule="auto"/>
        <w:contextualSpacing/>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Los derechos políticos en el ámbito interamericano.</w:t>
      </w:r>
    </w:p>
    <w:p w14:paraId="3F1F3DFB"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Sobre el particular, esta Sala Superior considera pertinente resaltar algunos criterios de la Corte Interamericana de Derechos Humanos, con relación al contenido y alcance de los derechos políticos, conforme al sistema previsto en la Convención Americana sobre Derechos Humanos.</w:t>
      </w:r>
    </w:p>
    <w:p w14:paraId="2C998CB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el sistema interamericano, la relación entre derechos humanos, democracia representativa y derechos políticos en particular, quedó plasmada en la Carta Democrática Interamericana, que en su parte conducente es al tenor siguiente:</w:t>
      </w:r>
    </w:p>
    <w:p w14:paraId="19B73938"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vertAlign w:val="superscript"/>
          <w:lang w:eastAsia="es-MX"/>
        </w:rPr>
      </w:pPr>
      <w:r w:rsidRPr="00791593">
        <w:rPr>
          <w:rFonts w:ascii="Arial" w:eastAsia="Times New Roman" w:hAnsi="Arial" w:cs="Arial"/>
          <w:sz w:val="24"/>
          <w:szCs w:val="24"/>
          <w:lang w:eastAsia="es-ES"/>
        </w:rPr>
        <w:t xml:space="preserve">[s]on elementos esenciales de la democracia representativa, entre otros, el respeto a los derechos humanos y las libertades fundamentales; el acceso al poder y su ejercicio con sujeción al Estado de derecho; la celebración de elecciones periódicas, libres, justas y basadas en el </w:t>
      </w:r>
      <w:r w:rsidRPr="00791593">
        <w:rPr>
          <w:rFonts w:ascii="Arial" w:eastAsia="Times New Roman" w:hAnsi="Arial" w:cs="Arial"/>
          <w:sz w:val="24"/>
          <w:szCs w:val="24"/>
          <w:lang w:eastAsia="es-ES"/>
        </w:rPr>
        <w:lastRenderedPageBreak/>
        <w:t>sufragio universal y secreto como expresión de la soberanía del pueblo; el régimen plural de partidos y organizaciones políticas; y la separación e independencia de los poderes públicos.</w:t>
      </w:r>
    </w:p>
    <w:p w14:paraId="251AE7CC"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La Corte Interamericana de Derechos Humanos ha destacado que "</w:t>
      </w:r>
      <w:r w:rsidRPr="00791593">
        <w:rPr>
          <w:rFonts w:ascii="Arial" w:eastAsia="Times New Roman" w:hAnsi="Arial" w:cs="Arial"/>
          <w:i/>
          <w:sz w:val="24"/>
          <w:szCs w:val="24"/>
          <w:lang w:eastAsia="es-ES"/>
        </w:rPr>
        <w:t>el ejercicio efectivo de los derechos políticos constituye un fin en sí mismo y, a la vez, un medio fundamental que las sociedades democráticas tienen para garantizar los demás derechos humanos previstos en la Convención</w:t>
      </w:r>
      <w:r w:rsidRPr="00791593">
        <w:rPr>
          <w:rFonts w:ascii="Arial" w:eastAsia="Times New Roman" w:hAnsi="Arial" w:cs="Arial"/>
          <w:sz w:val="28"/>
          <w:szCs w:val="28"/>
          <w:lang w:eastAsia="es-ES"/>
        </w:rPr>
        <w:t>".</w:t>
      </w:r>
    </w:p>
    <w:p w14:paraId="143B3768"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i/>
          <w:sz w:val="24"/>
          <w:szCs w:val="24"/>
          <w:lang w:eastAsia="es-ES"/>
        </w:rPr>
      </w:pPr>
      <w:r w:rsidRPr="00791593">
        <w:rPr>
          <w:rFonts w:ascii="Arial" w:eastAsia="Times New Roman" w:hAnsi="Arial" w:cs="Arial"/>
          <w:sz w:val="28"/>
          <w:szCs w:val="28"/>
          <w:lang w:eastAsia="es-ES"/>
        </w:rPr>
        <w:t>Para el tribunal interamericano, los derechos políticos consagrados en la Convención Americana "</w:t>
      </w:r>
      <w:r w:rsidRPr="00791593">
        <w:rPr>
          <w:rFonts w:ascii="Arial" w:eastAsia="Times New Roman" w:hAnsi="Arial" w:cs="Arial"/>
          <w:i/>
          <w:sz w:val="24"/>
          <w:szCs w:val="24"/>
          <w:lang w:eastAsia="es-ES"/>
        </w:rPr>
        <w:t>propician el fortalecimiento de la democracia y el pluralismo político</w:t>
      </w:r>
      <w:r w:rsidRPr="00791593">
        <w:rPr>
          <w:rFonts w:ascii="Arial" w:eastAsia="Times New Roman" w:hAnsi="Arial" w:cs="Arial"/>
          <w:sz w:val="28"/>
          <w:szCs w:val="28"/>
          <w:lang w:eastAsia="es-ES"/>
        </w:rPr>
        <w:t>" así como "</w:t>
      </w:r>
      <w:r w:rsidRPr="00791593">
        <w:rPr>
          <w:rFonts w:ascii="Arial" w:eastAsia="Times New Roman" w:hAnsi="Arial" w:cs="Arial"/>
          <w:i/>
          <w:sz w:val="24"/>
          <w:szCs w:val="24"/>
          <w:lang w:eastAsia="es-ES"/>
        </w:rPr>
        <w:t>la democracia representativa es determinante en todo el sistema del que la Convención forma parte".</w:t>
      </w:r>
    </w:p>
    <w:p w14:paraId="3EC95065"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Además, resulta relevante destacar el criterio del Tribunal interamericano, en el sentido de que el artículo 23 de la Convención no sólo establece que sus titulares deben gozar de derechos, sino que agrega el término "</w:t>
      </w:r>
      <w:r w:rsidRPr="00791593">
        <w:rPr>
          <w:rFonts w:ascii="Arial" w:eastAsia="Times New Roman" w:hAnsi="Arial" w:cs="Arial"/>
          <w:i/>
          <w:sz w:val="24"/>
          <w:szCs w:val="24"/>
          <w:lang w:eastAsia="es-ES"/>
        </w:rPr>
        <w:t>oportunidades"</w:t>
      </w:r>
      <w:r w:rsidRPr="00791593">
        <w:rPr>
          <w:rFonts w:ascii="Arial" w:eastAsia="Times New Roman" w:hAnsi="Arial" w:cs="Arial"/>
          <w:sz w:val="28"/>
          <w:szCs w:val="28"/>
          <w:lang w:eastAsia="es-ES"/>
        </w:rPr>
        <w:t>, lo cual "</w:t>
      </w:r>
      <w:r w:rsidRPr="00791593">
        <w:rPr>
          <w:rFonts w:ascii="Arial" w:eastAsia="Times New Roman" w:hAnsi="Arial" w:cs="Arial"/>
          <w:i/>
          <w:sz w:val="24"/>
          <w:szCs w:val="24"/>
          <w:lang w:eastAsia="es-ES"/>
        </w:rPr>
        <w:t>implica la obligación de garantizar con medidas positivas que toda persona que formalmente sea titular de derechos políticos tenga la oportunidad real para ejercerlos</w:t>
      </w:r>
      <w:r w:rsidRPr="00791593">
        <w:rPr>
          <w:rFonts w:ascii="Arial" w:eastAsia="Times New Roman" w:hAnsi="Arial" w:cs="Arial"/>
          <w:sz w:val="28"/>
          <w:szCs w:val="28"/>
          <w:lang w:eastAsia="es-ES"/>
        </w:rPr>
        <w:t>", por lo que "</w:t>
      </w:r>
      <w:r w:rsidRPr="00791593">
        <w:rPr>
          <w:rFonts w:ascii="Arial" w:eastAsia="Times New Roman" w:hAnsi="Arial" w:cs="Arial"/>
          <w:i/>
          <w:sz w:val="24"/>
          <w:szCs w:val="24"/>
          <w:lang w:eastAsia="es-ES"/>
        </w:rPr>
        <w:t>es indispensable que el Estado genere las condiciones y mecanismos óptimos para que los derechos políticos puedan ser ejercidos de forma efectiva, respetando el principio de igualdad y no discriminación</w:t>
      </w:r>
      <w:r w:rsidRPr="00791593">
        <w:rPr>
          <w:rFonts w:ascii="Arial" w:eastAsia="Times New Roman" w:hAnsi="Arial" w:cs="Arial"/>
          <w:sz w:val="28"/>
          <w:szCs w:val="28"/>
          <w:lang w:eastAsia="es-ES"/>
        </w:rPr>
        <w:t>".</w:t>
      </w:r>
    </w:p>
    <w:p w14:paraId="4C1E14B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En este sentido, si bien el Derecho Interamericano no impone un sistema electoral determinado ni una modalidad específica para el ejercicio de los derechos político-electorales de votar y ser votado, sino sólo lineamientos generales que determinan un contenido mínimo de tales derechos, el citado artículo 23 convencional impone al Estado ciertos deberes específicos, en particular, el de hacer, en cuanto a la </w:t>
      </w:r>
      <w:r w:rsidRPr="00791593">
        <w:rPr>
          <w:rFonts w:ascii="Arial" w:eastAsia="Times New Roman" w:hAnsi="Arial" w:cs="Arial"/>
          <w:sz w:val="28"/>
          <w:szCs w:val="28"/>
          <w:lang w:eastAsia="es-ES"/>
        </w:rPr>
        <w:lastRenderedPageBreak/>
        <w:t>necesidad de llevar a cabo ciertas acciones o conductas, de adoptar medidas, para garantizar el libre y pleno ejercicio de los derechos humanos de las personas sujetas a su potestad (artículo 1.1 de la Convención); así como el deber jurídico general de adoptar las medidas de Derecho interno que sean conducentes (artículo 2 de la Convención).</w:t>
      </w:r>
    </w:p>
    <w:p w14:paraId="390CE0FB"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Este deber positivo "</w:t>
      </w:r>
      <w:r w:rsidRPr="00791593">
        <w:rPr>
          <w:rFonts w:ascii="Arial" w:eastAsia="Times New Roman" w:hAnsi="Arial" w:cs="Arial"/>
          <w:i/>
          <w:sz w:val="24"/>
          <w:szCs w:val="24"/>
          <w:lang w:eastAsia="es-ES"/>
        </w:rPr>
        <w:t>consiste en el diseño de un sistema que permita que se elijan representantes para que conduzcan los asuntos públicos</w:t>
      </w:r>
      <w:r w:rsidRPr="00791593">
        <w:rPr>
          <w:rFonts w:ascii="Arial" w:eastAsia="Times New Roman" w:hAnsi="Arial" w:cs="Arial"/>
          <w:sz w:val="28"/>
          <w:szCs w:val="28"/>
          <w:lang w:eastAsia="es-ES"/>
        </w:rPr>
        <w:t>". Al respecto, el sistema electoral que los Estados establezcan, de acuerdo a la Convención Americana, "</w:t>
      </w:r>
      <w:r w:rsidRPr="00791593">
        <w:rPr>
          <w:rFonts w:ascii="Arial" w:eastAsia="Times New Roman" w:hAnsi="Arial" w:cs="Arial"/>
          <w:i/>
          <w:sz w:val="24"/>
          <w:szCs w:val="24"/>
          <w:lang w:eastAsia="es-ES"/>
        </w:rPr>
        <w:t>debe hacer posible la celebración de elecciones periódicas, auténticas, realizadas por sufragio universal e igual y por voto secreto que garantice la libre expresión de la voluntad de los electores</w:t>
      </w:r>
      <w:r w:rsidRPr="00791593">
        <w:rPr>
          <w:rFonts w:ascii="Arial" w:eastAsia="Times New Roman" w:hAnsi="Arial" w:cs="Arial"/>
          <w:sz w:val="28"/>
          <w:szCs w:val="28"/>
          <w:lang w:eastAsia="es-ES"/>
        </w:rPr>
        <w:t>".</w:t>
      </w:r>
    </w:p>
    <w:p w14:paraId="3E1FE1B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Finalmente, en el ámbito de los derechos políticos, el deber jurídico de garantizar resulta especialmente relevante y se concreta, entre otros, "</w:t>
      </w:r>
      <w:r w:rsidRPr="00791593">
        <w:rPr>
          <w:rFonts w:ascii="Arial" w:eastAsia="Times New Roman" w:hAnsi="Arial" w:cs="Arial"/>
          <w:i/>
          <w:sz w:val="24"/>
          <w:szCs w:val="24"/>
          <w:lang w:eastAsia="es-ES"/>
        </w:rPr>
        <w:t>en el establecimiento de los aspectos organizativos o institucionales de los procedimientos electorales, a través de la expedición de normas y la adopción de medidas de diverso carácter para implementar los derechos y oportunidades reconocidos en el artículo 23 de la Convención. Sin esa acción del Estado los derechos a votar y a ser votado, simplemente, no podrían ser ejercidos</w:t>
      </w:r>
      <w:r w:rsidRPr="00791593">
        <w:rPr>
          <w:rFonts w:ascii="Arial" w:eastAsia="Times New Roman" w:hAnsi="Arial" w:cs="Arial"/>
          <w:sz w:val="28"/>
          <w:szCs w:val="28"/>
          <w:lang w:eastAsia="es-ES"/>
        </w:rPr>
        <w:t>".</w:t>
      </w:r>
    </w:p>
    <w:p w14:paraId="6823E05B"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Los derechos políticos y también otros previstos en la Convención, como el derecho a la protección judicial, son derechos que "</w:t>
      </w:r>
      <w:r w:rsidRPr="00791593">
        <w:rPr>
          <w:rFonts w:ascii="Arial" w:eastAsia="Times New Roman" w:hAnsi="Arial" w:cs="Arial"/>
          <w:i/>
          <w:sz w:val="24"/>
          <w:szCs w:val="24"/>
          <w:lang w:eastAsia="es-ES"/>
        </w:rPr>
        <w:t xml:space="preserve">no pueden tener eficacia simplemente en virtud de las normas que los consagran, porque son por su misma naturaleza inoperantes sin toda una detallada regulación normativa e, incluso, sin un complejo aparato institucional, económico y humano que les dé la eficacia que reclaman, como derechos de la propia Convención […], si no hay códigos o leyes electorales, registros de electores, partidos políticos, medios de propaganda y movilización, casillas, juntas electorales, fechas y plazos para el ejercicio del sufragio, éste sencillamente no se puede ejercer, por su misma </w:t>
      </w:r>
      <w:r w:rsidRPr="00791593">
        <w:rPr>
          <w:rFonts w:ascii="Arial" w:eastAsia="Times New Roman" w:hAnsi="Arial" w:cs="Arial"/>
          <w:i/>
          <w:sz w:val="24"/>
          <w:szCs w:val="24"/>
          <w:lang w:eastAsia="es-ES"/>
        </w:rPr>
        <w:lastRenderedPageBreak/>
        <w:t>naturaleza; de igual manera que no puede ejercerse el derecho a la protección judicial sin que existan los tribunales que la otorguen y las normas procesales que la disciplinen y hagan posible</w:t>
      </w:r>
      <w:r w:rsidRPr="00791593">
        <w:rPr>
          <w:rFonts w:ascii="Arial" w:eastAsia="Times New Roman" w:hAnsi="Arial" w:cs="Arial"/>
          <w:sz w:val="28"/>
          <w:szCs w:val="28"/>
          <w:lang w:eastAsia="es-ES"/>
        </w:rPr>
        <w:t>".</w:t>
      </w:r>
    </w:p>
    <w:p w14:paraId="4362F4F3"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3. Elecciones libres; autenticidad y libertad del voto y equidad.</w:t>
      </w:r>
    </w:p>
    <w:p w14:paraId="465BEBB6"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La naturaleza del sufragio y las características que debe guardar, para ser considerado válido, constituyen garantías de que el ciudadano elige libremente, sin coacción o presión alguna, a sus representantes y, por tanto, que el derecho para ejercer el poder público proviene y se legitima a partir del voto de los ciudadanos, caracterizado por ser una manifestación espontánea de la voluntad, sin coacción antijurídica; por ser la libre decisión de los ciudadanos, manifestada bajo circunstancias de convencimiento y libertad que otorga la vigencia efectiva del Estado de Derecho democrático.</w:t>
      </w:r>
    </w:p>
    <w:p w14:paraId="4F6E925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En efecto, en el artículo 41, párrafo segundo, base I, de la Constitución federal, se establece que la renovación de los integrantes de los poderes legislativo y ejecutivo se debe hacer mediante elecciones libres, auténticas y periódicas, e impone como requisito indispensable que el sufragio de los ciudadanos sea universal, libre, secreto y directo, lo que se inscribe como elementos </w:t>
      </w:r>
      <w:r w:rsidRPr="00791593">
        <w:rPr>
          <w:rFonts w:ascii="Arial" w:eastAsia="Times New Roman" w:hAnsi="Arial" w:cs="Arial"/>
          <w:i/>
          <w:sz w:val="28"/>
          <w:szCs w:val="28"/>
          <w:lang w:eastAsia="es-ES"/>
        </w:rPr>
        <w:t>sine qua non</w:t>
      </w:r>
      <w:r w:rsidRPr="00791593">
        <w:rPr>
          <w:rFonts w:ascii="Arial" w:eastAsia="Times New Roman" w:hAnsi="Arial" w:cs="Arial"/>
          <w:sz w:val="28"/>
          <w:szCs w:val="28"/>
          <w:lang w:eastAsia="es-ES"/>
        </w:rPr>
        <w:t xml:space="preserve"> para la realización y vigencia del régimen representativo y democrático que mandata la propia Constitución federal. Tal precepto, en su esencia, es reproducido en el artículo 116, párrafo segundo, fracción IV, inciso a), de la Ley de Leyes de la Federación Mexicana.</w:t>
      </w:r>
    </w:p>
    <w:p w14:paraId="5FF1CD2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Así se prevé, por ejemplo, en el artículo 25 del Pacto Internacional </w:t>
      </w:r>
      <w:r w:rsidRPr="00791593">
        <w:rPr>
          <w:rFonts w:ascii="Arial" w:eastAsia="Times New Roman" w:hAnsi="Arial" w:cs="Arial"/>
          <w:sz w:val="28"/>
          <w:szCs w:val="28"/>
          <w:lang w:eastAsia="es-ES"/>
        </w:rPr>
        <w:lastRenderedPageBreak/>
        <w:t>de Derechos Civiles y Políticos, lo siguiente:</w:t>
      </w:r>
    </w:p>
    <w:p w14:paraId="5A593DEB" w14:textId="77777777" w:rsidR="006F5238" w:rsidRPr="00791593" w:rsidRDefault="006F5238" w:rsidP="006F5238">
      <w:pPr>
        <w:widowControl w:val="0"/>
        <w:spacing w:before="100" w:beforeAutospacing="1" w:after="100" w:afterAutospacing="1" w:line="240" w:lineRule="auto"/>
        <w:ind w:left="567" w:right="567" w:firstLine="709"/>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Todos los ciudadanos gozarán, sin ninguna de las distinciones mencionadas en el artículo 2, y sin restricciones indebidas, de los siguientes derechos y oportunidades:</w:t>
      </w:r>
    </w:p>
    <w:p w14:paraId="2CA942E7" w14:textId="77777777" w:rsidR="006F5238" w:rsidRPr="00791593" w:rsidRDefault="006F5238" w:rsidP="006F5238">
      <w:pPr>
        <w:widowControl w:val="0"/>
        <w:spacing w:before="100" w:beforeAutospacing="1" w:after="100" w:afterAutospacing="1" w:line="240" w:lineRule="auto"/>
        <w:ind w:left="567" w:right="567" w:firstLine="709"/>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a) Participar en la dirección de los asuntos públicos, directamente o por medio de representantes libremente elegidos;</w:t>
      </w:r>
    </w:p>
    <w:p w14:paraId="74786C49" w14:textId="77777777" w:rsidR="006F5238" w:rsidRPr="00791593" w:rsidRDefault="006F5238" w:rsidP="006F5238">
      <w:pPr>
        <w:widowControl w:val="0"/>
        <w:spacing w:before="100" w:beforeAutospacing="1" w:after="100" w:afterAutospacing="1" w:line="240" w:lineRule="auto"/>
        <w:ind w:left="567" w:right="567" w:firstLine="709"/>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b) Votar y ser elegidos en elecciones periódicas, auténticas, realizadas por sufragio universal e igual y por voto secreto que garantice la libre expresión de la voluntad de los electores;</w:t>
      </w:r>
    </w:p>
    <w:p w14:paraId="4ADF1A97" w14:textId="77777777" w:rsidR="006F5238" w:rsidRPr="00791593" w:rsidRDefault="006F5238" w:rsidP="006F5238">
      <w:pPr>
        <w:widowControl w:val="0"/>
        <w:spacing w:before="100" w:beforeAutospacing="1" w:after="100" w:afterAutospacing="1" w:line="240" w:lineRule="auto"/>
        <w:ind w:left="567" w:right="567" w:firstLine="709"/>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c) Tener acceso, en condiciones generales de igualdad, a las funciones públicas de su país.</w:t>
      </w:r>
    </w:p>
    <w:p w14:paraId="6C0BE640"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Sobre lo dispuesto en el inciso b) de la norma citada, el Comité de Derechos Humanos de la Organización de Naciones Unidas, en la Observación General número 25 (veinticinco), precisó que las elecciones deben ser libres y equitativas y que se deben celebrar periódicamente, conforme al marco de disposiciones jurídicas que garanticen el ejercicio efectivo del derecho de voto "</w:t>
      </w:r>
      <w:r w:rsidRPr="00791593">
        <w:rPr>
          <w:rFonts w:ascii="Arial" w:eastAsia="Times New Roman" w:hAnsi="Arial" w:cs="Arial"/>
          <w:i/>
          <w:sz w:val="24"/>
          <w:szCs w:val="24"/>
          <w:lang w:eastAsia="es-ES"/>
        </w:rPr>
        <w:t>sin influencia ni coacción indebida de ningún tipo que pueda desvirtuar o inhibir la libre expresión de la voluntad de los electores. Estos deberán poder formarse una opinión de manera independiente, libres de toda violencia, amenaza de violencia, presión o manipulación de cualquier tipo</w:t>
      </w:r>
      <w:r w:rsidRPr="00791593">
        <w:rPr>
          <w:rFonts w:ascii="Arial" w:eastAsia="Times New Roman" w:hAnsi="Arial" w:cs="Arial"/>
          <w:sz w:val="28"/>
          <w:szCs w:val="28"/>
          <w:lang w:eastAsia="es-ES"/>
        </w:rPr>
        <w:t xml:space="preserve"> </w:t>
      </w:r>
      <w:r w:rsidRPr="00791593">
        <w:rPr>
          <w:rFonts w:ascii="Arial" w:eastAsia="Times New Roman" w:hAnsi="Arial" w:cs="Arial"/>
          <w:i/>
          <w:sz w:val="24"/>
          <w:szCs w:val="24"/>
          <w:lang w:eastAsia="es-ES"/>
        </w:rPr>
        <w:t>[…]".</w:t>
      </w:r>
    </w:p>
    <w:p w14:paraId="1F8D0576"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Resulta conforme a Derecho aseverar que la libertad, como derecho fundamental, concebido desde los derechos humanos de primera generación, como uno de los tres pilares de los Estados-Nación Democráticos, no se agota con el disfrute individual de los sujetos de Derecho, sino que adquiere una dimensión social que influye en la vida en sociedad y se traduce en la necesidad de todo colectivo, de gozar del poder de decisión, sin influencia antijurídica alguna.</w:t>
      </w:r>
    </w:p>
    <w:p w14:paraId="00173C0A"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lastRenderedPageBreak/>
        <w:t>En el ámbito político-electoral, la libertad se concibe como una garantía de constitución del Poder Público, dado que en los Estados Democráticos de Derecho, la posibilidad de elegir a los representantes populares adquiere una importancia capital, pues la premisa contractualista recogida en la mayoría de las Constituciones democráticas prevé que el Poder dimana del Pueblo y se instituye en beneficio de éste.</w:t>
      </w:r>
    </w:p>
    <w:p w14:paraId="1666F9A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Por ende, para estar en aptitud de calificar como libre una elección, se deben reunir los requisitos que se han mencionado, especialmente, que la voluntad de los electores debe estar libre de cualquier presión, injerencia ajena o inducción ilícita, que pueda viciar su verdadero sentido y su espontaneidad.</w:t>
      </w:r>
    </w:p>
    <w:p w14:paraId="0783D04A"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Por su parte, el aludido concepto de autenticidad de las elecciones abarca aspectos de procedimiento, como son: </w:t>
      </w:r>
      <w:r w:rsidRPr="00791593">
        <w:rPr>
          <w:rFonts w:ascii="Arial" w:eastAsia="Times New Roman" w:hAnsi="Arial" w:cs="Arial"/>
          <w:b/>
          <w:sz w:val="28"/>
          <w:szCs w:val="28"/>
          <w:lang w:eastAsia="es-ES"/>
        </w:rPr>
        <w:t>a)</w:t>
      </w:r>
      <w:r w:rsidRPr="00791593">
        <w:rPr>
          <w:rFonts w:ascii="Arial" w:eastAsia="Times New Roman" w:hAnsi="Arial" w:cs="Arial"/>
          <w:sz w:val="28"/>
          <w:szCs w:val="28"/>
          <w:lang w:eastAsia="es-ES"/>
        </w:rPr>
        <w:t xml:space="preserve"> Periodicidad, </w:t>
      </w:r>
      <w:r w:rsidRPr="00791593">
        <w:rPr>
          <w:rFonts w:ascii="Arial" w:eastAsia="Times New Roman" w:hAnsi="Arial" w:cs="Arial"/>
          <w:b/>
          <w:sz w:val="28"/>
          <w:szCs w:val="28"/>
          <w:lang w:eastAsia="es-ES"/>
        </w:rPr>
        <w:t>b)</w:t>
      </w:r>
      <w:r w:rsidRPr="00791593">
        <w:rPr>
          <w:rFonts w:ascii="Arial" w:eastAsia="Times New Roman" w:hAnsi="Arial" w:cs="Arial"/>
          <w:sz w:val="28"/>
          <w:szCs w:val="28"/>
          <w:lang w:eastAsia="es-ES"/>
        </w:rPr>
        <w:t xml:space="preserve"> Sufragio igual y universal, </w:t>
      </w:r>
      <w:r w:rsidRPr="00791593">
        <w:rPr>
          <w:rFonts w:ascii="Arial" w:eastAsia="Times New Roman" w:hAnsi="Arial" w:cs="Arial"/>
          <w:b/>
          <w:sz w:val="28"/>
          <w:szCs w:val="28"/>
          <w:lang w:eastAsia="es-ES"/>
        </w:rPr>
        <w:t>c)</w:t>
      </w:r>
      <w:r w:rsidRPr="00791593">
        <w:rPr>
          <w:rFonts w:ascii="Arial" w:eastAsia="Times New Roman" w:hAnsi="Arial" w:cs="Arial"/>
          <w:sz w:val="28"/>
          <w:szCs w:val="28"/>
          <w:lang w:eastAsia="es-ES"/>
        </w:rPr>
        <w:t xml:space="preserve"> Secrecía del voto, </w:t>
      </w:r>
      <w:r w:rsidRPr="00791593">
        <w:rPr>
          <w:rFonts w:ascii="Arial" w:eastAsia="Times New Roman" w:hAnsi="Arial" w:cs="Arial"/>
          <w:b/>
          <w:sz w:val="28"/>
          <w:szCs w:val="28"/>
          <w:lang w:eastAsia="es-ES"/>
        </w:rPr>
        <w:t>d)</w:t>
      </w:r>
      <w:r w:rsidRPr="00791593">
        <w:rPr>
          <w:rFonts w:ascii="Arial" w:eastAsia="Times New Roman" w:hAnsi="Arial" w:cs="Arial"/>
          <w:sz w:val="28"/>
          <w:szCs w:val="28"/>
          <w:lang w:eastAsia="es-ES"/>
        </w:rPr>
        <w:t xml:space="preserve"> Impartición de justicia pronta, completa, objetiva e imparcial; sin embargo, también hace referencia a la necesidad de garantizar que los resultados de la elección reflejen fielmente la voluntad espontánea, la libre determinación, la verdadera voluntad, de los electores.</w:t>
      </w:r>
    </w:p>
    <w:p w14:paraId="66DA617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Por ende, se debe respetar la decisión de la ciudadanía, manifestada en las urnas, en cada uno de los votos depositados en las mismas, lo cual actualmente implica el reconocimiento del pluralismo político e ideológico, dada la existencia de diversas opciones políticas, la libre participación de todos los partidos políticos y las diversas corrientes de pensamiento, aunado a la igualdad de oportunidades de </w:t>
      </w:r>
      <w:r w:rsidRPr="00791593">
        <w:rPr>
          <w:rFonts w:ascii="Arial" w:eastAsia="Times New Roman" w:hAnsi="Arial" w:cs="Arial"/>
          <w:sz w:val="28"/>
          <w:szCs w:val="28"/>
          <w:lang w:eastAsia="es-ES"/>
        </w:rPr>
        <w:lastRenderedPageBreak/>
        <w:t>los candidatos contendientes y de los electores.</w:t>
      </w:r>
    </w:p>
    <w:p w14:paraId="62DB18C6"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La equidad es un principio fundamental en los regímenes políticos democráticos, en los cuales las opciones políticas son diferentes, pues sólo cuando los diversos actores políticos del procedimiento electoral participan en condiciones de equidad, atendiendo a las reglas expresamente previstas en el marco normativo constitucional y legal, se puede calificar como válida una elección.</w:t>
      </w:r>
    </w:p>
    <w:p w14:paraId="0A52512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Una participación en condiciones de ventaja o desventaja, jurídica, económica, política y/o social, propicia la posibilidad de afectación de los principios de igualdad, equidad, libertad y/o autenticidad, de los procedimientos electorales.</w:t>
      </w:r>
    </w:p>
    <w:p w14:paraId="1300FEBF"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Por el contrario, si la participación de todos los sujetos de Derecho se da en condiciones de equidad, se puede garantizar la autenticidad en la competitividad adecuada de las distintas fuerzas políticas y candidatos, al mismo tiempo que se garantiza que la voluntad popular no esté viciada por alguna ventaja indebida, en beneficio de algún partido político, coalición o candidato.</w:t>
      </w:r>
    </w:p>
    <w:p w14:paraId="28399F3C"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el anotado contexto, este órgano colegiado considera que los principios de autenticidad de las elecciones y de elecciones libres son elemento esencial para la calificación de la validez o nulidad de un procedimiento electoral en específico.</w:t>
      </w:r>
    </w:p>
    <w:p w14:paraId="459E7CF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p>
    <w:p w14:paraId="6C2CE419"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4. Principio de certeza. Regulación y conceptuación.</w:t>
      </w:r>
    </w:p>
    <w:p w14:paraId="11378128"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lastRenderedPageBreak/>
        <w:t>Para garantizar y dotar de eficacia al régimen de democracia representativa, la Constitución Política de los Estados Unidos Mexicanos prevé normas y principios concernientes a la elección de quienes han de integrar los órganos colegiados del poder público, así como al ejercicio de los derechos político-electorales de los ciudadanos, particularmente al de votar y ser votado, para cargos de elección popular, así como a las características y circunstancias fundamentales del derecho de sufragio y los mecanismos jurídicos para la defensa de estos derechos humanos y de los postulados del Estado democrático de Derecho.</w:t>
      </w:r>
    </w:p>
    <w:p w14:paraId="1962889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El artículo 41, párrafo segundo, base I, de la Constitución federal, establece que la renovación de los depositarios de los poderes legislativo y ejecutivo de la Unión, se debe hacer mediante elecciones libres, auténticas y periódicas, para lo cual impone como requisito necesario que el sufragio de los ciudadanos sea universal, libre, secreto y directo, lo que se inscribe como un elemento indispensable para la consecución y vigencia del régimen representativo y democrático, que mandata la propia Constitución federal. Tal precepto, en su esencia, es reproducido en el artículo 116, párrafo segundo, fracción IV, inciso a), de la Ley Suprema de la Federación, respecto de las elecciones de gobernadores, así como de los integrantes de las legislaturas locales y de los integrantes de los Ayuntamientos.</w:t>
      </w:r>
    </w:p>
    <w:p w14:paraId="741DDC8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Por otra parte, resulta claro que la democracia requiere indefectiblemente de la observancia y pleno respeto de distintos principios y valores fundamentales –armónicos e interconectados entre sí-, como la división de poderes, la celebración de elecciones libres, </w:t>
      </w:r>
      <w:r w:rsidRPr="00791593">
        <w:rPr>
          <w:rFonts w:ascii="Arial" w:eastAsia="Times New Roman" w:hAnsi="Arial" w:cs="Arial"/>
          <w:sz w:val="28"/>
          <w:szCs w:val="28"/>
          <w:lang w:eastAsia="es-ES"/>
        </w:rPr>
        <w:lastRenderedPageBreak/>
        <w:t>auténticas y periódicas, el respeto irrestricto al principio de certeza electoral en sentido amplio, así como al establecimiento y respeto de derechos político-electorales que permitan a los ciudadanos el acceso a cargos públicos de elección popular, mediante el sufragio libre, universal, secreto y directo.</w:t>
      </w:r>
    </w:p>
    <w:p w14:paraId="38A1BCD9"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el mismo orden de ideas, resulta conveniente tener presente el marco normativo que sustenta el principio de certeza a nivel federal, del Distrito Federal y de los Estados de la República, entre los que está Oaxaca, el cual es al tenor siguiente:</w:t>
      </w:r>
    </w:p>
    <w:p w14:paraId="2FD6A547"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b/>
          <w:sz w:val="24"/>
          <w:szCs w:val="24"/>
          <w:lang w:eastAsia="es-ES"/>
        </w:rPr>
      </w:pPr>
      <w:r w:rsidRPr="00791593">
        <w:rPr>
          <w:rFonts w:ascii="Arial" w:eastAsia="Times New Roman" w:hAnsi="Arial" w:cs="Arial"/>
          <w:b/>
          <w:sz w:val="24"/>
          <w:szCs w:val="24"/>
          <w:lang w:eastAsia="es-ES"/>
        </w:rPr>
        <w:t>Constitución Política de los Estados Unidos Mexicanos</w:t>
      </w:r>
    </w:p>
    <w:p w14:paraId="588F6377"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b/>
          <w:sz w:val="24"/>
          <w:szCs w:val="24"/>
          <w:lang w:eastAsia="es-ES"/>
        </w:rPr>
        <w:t>ARTÍCULO 116.</w:t>
      </w:r>
      <w:r w:rsidRPr="00791593">
        <w:rPr>
          <w:rFonts w:ascii="Arial" w:eastAsia="Times New Roman" w:hAnsi="Arial" w:cs="Arial"/>
          <w:sz w:val="24"/>
          <w:szCs w:val="24"/>
          <w:lang w:eastAsia="es-ES"/>
        </w:rPr>
        <w:t xml:space="preserve"> El poder público de los Estados se dividirá, para su ejercicio, en Ejecutivo, Legislativo y Judicial, y no podrán reunirse dos o más de estos poderes en una sola persona o corporación, ni depositarse el Legislativo en un solo individuo.</w:t>
      </w:r>
    </w:p>
    <w:p w14:paraId="0FE7C1CC"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Los Poderes de los Estados se organizarán conforme a la Constitución de cada uno de ellos, con sujeción a las siguientes normas:</w:t>
      </w:r>
    </w:p>
    <w:p w14:paraId="4902625C"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w:t>
      </w:r>
    </w:p>
    <w:p w14:paraId="7B84468C"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La elección de los gobernadores de los Estados y de las legislaturas locales será directa y en los términos que dispongan las leyes electorales respectivas.</w:t>
      </w:r>
    </w:p>
    <w:p w14:paraId="1C9374FA"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w:t>
      </w:r>
    </w:p>
    <w:p w14:paraId="5FFB6812"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b/>
          <w:sz w:val="24"/>
          <w:szCs w:val="24"/>
          <w:lang w:eastAsia="es-ES"/>
        </w:rPr>
        <w:t>IV.</w:t>
      </w:r>
      <w:r w:rsidRPr="00791593">
        <w:rPr>
          <w:rFonts w:ascii="Arial" w:eastAsia="Times New Roman" w:hAnsi="Arial" w:cs="Arial"/>
          <w:sz w:val="24"/>
          <w:szCs w:val="24"/>
          <w:lang w:eastAsia="es-ES"/>
        </w:rPr>
        <w:t xml:space="preserve"> Las Constituciones y leyes de los Estados en materia electoral garantizarán que:</w:t>
      </w:r>
    </w:p>
    <w:p w14:paraId="4AD45ECB"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b/>
          <w:sz w:val="24"/>
          <w:szCs w:val="24"/>
          <w:lang w:eastAsia="es-ES"/>
        </w:rPr>
      </w:pPr>
      <w:r w:rsidRPr="00791593">
        <w:rPr>
          <w:rFonts w:ascii="Arial" w:eastAsia="Times New Roman" w:hAnsi="Arial" w:cs="Arial"/>
          <w:sz w:val="24"/>
          <w:szCs w:val="24"/>
          <w:lang w:eastAsia="es-ES"/>
        </w:rPr>
        <w:t xml:space="preserve">a) Las elecciones de los gobernadores de los Estados, de los miembros de las legislaturas locales </w:t>
      </w:r>
      <w:r w:rsidRPr="00791593">
        <w:rPr>
          <w:rFonts w:ascii="Arial" w:eastAsia="Times New Roman" w:hAnsi="Arial" w:cs="Arial"/>
          <w:b/>
          <w:sz w:val="24"/>
          <w:szCs w:val="24"/>
          <w:lang w:eastAsia="es-ES"/>
        </w:rPr>
        <w:t>y de los integrantes de los ayuntamientos se realicen mediante sufragio universal, libre, secreto y directo;</w:t>
      </w:r>
    </w:p>
    <w:p w14:paraId="50456CEF"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 xml:space="preserve">b) </w:t>
      </w:r>
      <w:r w:rsidRPr="00791593">
        <w:rPr>
          <w:rFonts w:ascii="Arial" w:eastAsia="Times New Roman" w:hAnsi="Arial" w:cs="Arial"/>
          <w:b/>
          <w:sz w:val="24"/>
          <w:szCs w:val="24"/>
          <w:lang w:eastAsia="es-ES"/>
        </w:rPr>
        <w:t>En el ejercicio de la función electoral a cargo de las autoridades electorales sean principios rectores los de legalidad, imparcialidad, objetividad, certeza e independencia</w:t>
      </w:r>
      <w:r w:rsidRPr="00791593">
        <w:rPr>
          <w:rFonts w:ascii="Arial" w:eastAsia="Times New Roman" w:hAnsi="Arial" w:cs="Arial"/>
          <w:sz w:val="24"/>
          <w:szCs w:val="24"/>
          <w:lang w:eastAsia="es-ES"/>
        </w:rPr>
        <w:t>;</w:t>
      </w:r>
    </w:p>
    <w:p w14:paraId="1270E8D7"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lastRenderedPageBreak/>
        <w:t>c) Las autoridades que tengan a su cargo la organización de las elecciones y las jurisdiccionales que resuelvan las controversias en la materia, gocen de autonomía en su funcionamiento e independencia en sus decisiones;</w:t>
      </w:r>
    </w:p>
    <w:p w14:paraId="10A135AF"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w:t>
      </w:r>
    </w:p>
    <w:p w14:paraId="1395292F"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e) Se establezca un sistema de medios de impugnación para que todos los actos y resoluciones electorales se sujeten invariablemente al principio de legalidad;</w:t>
      </w:r>
    </w:p>
    <w:p w14:paraId="5C59A2CD"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w:t>
      </w:r>
    </w:p>
    <w:p w14:paraId="75C76B2F" w14:textId="77777777" w:rsidR="006F5238" w:rsidRPr="00791593" w:rsidRDefault="006F5238" w:rsidP="006F5238">
      <w:pPr>
        <w:widowControl w:val="0"/>
        <w:spacing w:before="100" w:beforeAutospacing="1" w:after="100" w:afterAutospacing="1" w:line="240" w:lineRule="auto"/>
        <w:jc w:val="both"/>
        <w:rPr>
          <w:rFonts w:ascii="Arial" w:eastAsia="Times New Roman" w:hAnsi="Arial" w:cs="Arial"/>
          <w:b/>
          <w:sz w:val="24"/>
          <w:szCs w:val="24"/>
          <w:lang w:eastAsia="es-ES"/>
        </w:rPr>
      </w:pPr>
      <w:r w:rsidRPr="00791593">
        <w:rPr>
          <w:rFonts w:ascii="Arial" w:eastAsia="Times New Roman" w:hAnsi="Arial" w:cs="Arial"/>
          <w:b/>
          <w:sz w:val="24"/>
          <w:szCs w:val="24"/>
          <w:lang w:eastAsia="es-ES"/>
        </w:rPr>
        <w:t xml:space="preserve">       Constitución Política del Estado Libre y Soberano de Oaxaca.</w:t>
      </w:r>
    </w:p>
    <w:p w14:paraId="7E67ECAC"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b/>
          <w:sz w:val="24"/>
          <w:szCs w:val="24"/>
          <w:lang w:eastAsia="es-ES"/>
        </w:rPr>
        <w:t xml:space="preserve">Artículo 29.- </w:t>
      </w:r>
      <w:r w:rsidRPr="00791593">
        <w:rPr>
          <w:rFonts w:ascii="Arial" w:eastAsia="Times New Roman" w:hAnsi="Arial" w:cs="Arial"/>
          <w:sz w:val="24"/>
          <w:szCs w:val="24"/>
          <w:lang w:eastAsia="es-ES"/>
        </w:rPr>
        <w:t>El Estado adopta para su régimen interior la forma de gobierno republicano, representativo, laico y popular, teniendo como base de su organización política y administrativa, el Municipio Libre.</w:t>
      </w:r>
    </w:p>
    <w:p w14:paraId="73EF7366"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 xml:space="preserve">La elección de los ayuntamientos se hará mediante el sufragio universal, libre, secreto y directo. </w:t>
      </w:r>
      <w:r w:rsidRPr="00791593">
        <w:rPr>
          <w:rFonts w:ascii="Arial" w:eastAsia="Times New Roman" w:hAnsi="Arial" w:cs="Arial"/>
          <w:b/>
          <w:sz w:val="24"/>
          <w:szCs w:val="24"/>
          <w:lang w:eastAsia="es-ES"/>
        </w:rPr>
        <w:t>En los municipios con comunidades que se rigen por el sistema de usos y costumbres, se observará lo dispuesto por el artículo 25, apartado A, fracción II, de esta Constitución y la legislación reglamentaria</w:t>
      </w:r>
      <w:r w:rsidRPr="00791593">
        <w:rPr>
          <w:rFonts w:ascii="Arial" w:eastAsia="Times New Roman" w:hAnsi="Arial" w:cs="Arial"/>
          <w:sz w:val="24"/>
          <w:szCs w:val="24"/>
          <w:lang w:eastAsia="es-ES"/>
        </w:rPr>
        <w:t>. No habrá autoridad intermedia entre éstos y el Gobierno del Estado.</w:t>
      </w:r>
    </w:p>
    <w:p w14:paraId="442B0611"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b/>
          <w:sz w:val="24"/>
          <w:szCs w:val="24"/>
          <w:lang w:eastAsia="es-ES"/>
        </w:rPr>
        <w:t>Artículo 25.-</w:t>
      </w:r>
      <w:r w:rsidRPr="00791593">
        <w:rPr>
          <w:rFonts w:ascii="Arial" w:eastAsia="Times New Roman" w:hAnsi="Arial" w:cs="Arial"/>
          <w:sz w:val="24"/>
          <w:szCs w:val="24"/>
          <w:lang w:eastAsia="es-ES"/>
        </w:rPr>
        <w:t xml:space="preserve"> El sistema electoral y de participación ciudadana del Estado se regirá por las siguientes bases:</w:t>
      </w:r>
    </w:p>
    <w:p w14:paraId="41949750"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b/>
          <w:sz w:val="24"/>
          <w:szCs w:val="24"/>
          <w:lang w:eastAsia="es-ES"/>
        </w:rPr>
      </w:pPr>
      <w:r w:rsidRPr="00791593">
        <w:rPr>
          <w:rFonts w:ascii="Arial" w:eastAsia="Times New Roman" w:hAnsi="Arial" w:cs="Arial"/>
          <w:b/>
          <w:sz w:val="24"/>
          <w:szCs w:val="24"/>
          <w:lang w:eastAsia="es-ES"/>
        </w:rPr>
        <w:t>A. DE LAS ELECCIONES</w:t>
      </w:r>
    </w:p>
    <w:p w14:paraId="7C7DA96E"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Los procesos electorales y de participación ciudadana son actos de interés público. Su organización, desarrollo y calificación estarán a cargo del órgano electoral, las instancias jurisdiccionales competentes y de la ciudadanía en la forma y términos que establezcan las leyes.</w:t>
      </w:r>
    </w:p>
    <w:p w14:paraId="7BD9EB33"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I. Las elecciones ordinarias de Diputados Locales, Gobernador del Estado y de los integrantes de los ayuntamientos por el régimen de partidos políticos, se celebrarán el primer domingo de julio del año que corresponda;</w:t>
      </w:r>
    </w:p>
    <w:p w14:paraId="722108AC"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 xml:space="preserve">II.- </w:t>
      </w:r>
      <w:r w:rsidRPr="00791593">
        <w:rPr>
          <w:rFonts w:ascii="Arial" w:eastAsia="Times New Roman" w:hAnsi="Arial" w:cs="Arial"/>
          <w:b/>
          <w:sz w:val="24"/>
          <w:szCs w:val="24"/>
          <w:lang w:eastAsia="es-ES"/>
        </w:rPr>
        <w:t>La ley protegerá y propiciará las prácticas democráticas en todas las comunidades indígenas y afromexicanas del Estado de Oaxaca, para la elección de sus Ayuntamientos</w:t>
      </w:r>
      <w:r w:rsidRPr="00791593">
        <w:rPr>
          <w:rFonts w:ascii="Arial" w:eastAsia="Times New Roman" w:hAnsi="Arial" w:cs="Arial"/>
          <w:sz w:val="24"/>
          <w:szCs w:val="24"/>
          <w:lang w:eastAsia="es-ES"/>
        </w:rPr>
        <w:t xml:space="preserve">, en los términos establecidos por el artículo 2°. Apartado A, fracciones III y VII de la Constitución Política de los Estados Unidos Mexicanos y 16 de la Constitución Política </w:t>
      </w:r>
      <w:r w:rsidRPr="00791593">
        <w:rPr>
          <w:rFonts w:ascii="Arial" w:eastAsia="Times New Roman" w:hAnsi="Arial" w:cs="Arial"/>
          <w:sz w:val="24"/>
          <w:szCs w:val="24"/>
          <w:lang w:eastAsia="es-ES"/>
        </w:rPr>
        <w:lastRenderedPageBreak/>
        <w:t>del Estado Libre y Soberano de Oaxaca; establecerá los mecanismos para garantizar la plena y total participación de la mujer en dichos procesos electorales y el ejercicio de su derecho a votar y ser votada en condiciones de igualdad con el de los varones y sancionará su contravención.</w:t>
      </w:r>
    </w:p>
    <w:p w14:paraId="7856A624"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 xml:space="preserve">Las mujeres disfrutarán y ejercerán su derecho a votar y ser votadas en condiciones de igualdad con los varones; así como a acceder y desempeñar los cargos públicos y de elección popular para los que hayan sido electas o designadas. </w:t>
      </w:r>
    </w:p>
    <w:p w14:paraId="2F30B66E"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 xml:space="preserve">En ningún caso las prácticas comunitarias podrán limitar los derechos políticos y electorales de los y las ciudadanas oaxaqueñas. Corresponderá al Instituto Estatal Electoral y de Participación Ciudadana y al Tribunal Estatal Electoral garantizar el cumplimiento efectivo de la universalidad del sufragio, en los términos que marque la ley. </w:t>
      </w:r>
    </w:p>
    <w:p w14:paraId="7AD35D78"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 xml:space="preserve">Todas las ciudadanas y ciudadanos del Estado tienen derecho a no ser discriminados en la elección de las autoridades municipales. Los usos y costumbres de las comunidades no deben ser contrarios a los derechos fundamentales establecidos en la presente Constitución, en los tratados internacionales ratificados por el Estado Mexicano y en la Constitución Política de los Estados Unidos Mexicanos. </w:t>
      </w:r>
    </w:p>
    <w:p w14:paraId="19B5B7B0"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La contravención a estos derechos, será sancionada en los términos de la legislación electoral.</w:t>
      </w:r>
    </w:p>
    <w:p w14:paraId="6B548E69"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III. La ley tipificará los delitos y determinará las faltas en materia electoral, así como las sanciones que deban imponerse;</w:t>
      </w:r>
    </w:p>
    <w:p w14:paraId="25E84A2E"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IV.- La ley regulará la forma y términos en que se realicen el plebiscito, referéndum, revocación de mandato, audiencia pública, cabildo en sesión abierta, consejos consultivos ciudadanos y demás instrumentos de consulta que establezcan esta Constitución y las leyes;</w:t>
      </w:r>
    </w:p>
    <w:p w14:paraId="5B72A040"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sz w:val="24"/>
          <w:szCs w:val="24"/>
          <w:lang w:eastAsia="es-ES"/>
        </w:rPr>
        <w:t>V. Las mesas directivas de casilla estarán integradas por ciudadanos, en los términos previstos por la ley.</w:t>
      </w:r>
    </w:p>
    <w:p w14:paraId="577A9369"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b/>
          <w:sz w:val="24"/>
          <w:szCs w:val="24"/>
          <w:lang w:eastAsia="es-ES"/>
        </w:rPr>
      </w:pPr>
      <w:r w:rsidRPr="00791593">
        <w:rPr>
          <w:rFonts w:ascii="Arial" w:eastAsia="Times New Roman" w:hAnsi="Arial" w:cs="Arial"/>
          <w:b/>
          <w:sz w:val="24"/>
          <w:szCs w:val="24"/>
          <w:lang w:eastAsia="es-ES"/>
        </w:rPr>
        <w:t>Artículo 114.-  ….</w:t>
      </w:r>
    </w:p>
    <w:p w14:paraId="14760D05" w14:textId="77777777" w:rsidR="006F5238" w:rsidRPr="00791593" w:rsidRDefault="006F5238" w:rsidP="006F5238">
      <w:pPr>
        <w:widowControl w:val="0"/>
        <w:spacing w:after="100" w:afterAutospacing="1" w:line="240" w:lineRule="auto"/>
        <w:ind w:left="567" w:right="567"/>
        <w:jc w:val="both"/>
        <w:rPr>
          <w:rFonts w:ascii="Arial" w:eastAsia="Times New Roman" w:hAnsi="Arial" w:cs="Arial"/>
          <w:b/>
          <w:sz w:val="24"/>
          <w:szCs w:val="24"/>
          <w:lang w:eastAsia="es-ES"/>
        </w:rPr>
      </w:pPr>
      <w:r w:rsidRPr="00791593">
        <w:rPr>
          <w:rFonts w:ascii="Arial" w:eastAsia="Times New Roman" w:hAnsi="Arial" w:cs="Arial"/>
          <w:b/>
          <w:sz w:val="24"/>
          <w:szCs w:val="24"/>
          <w:lang w:eastAsia="es-ES"/>
        </w:rPr>
        <w:t>B. DEL INSTITUTO ESTATAL ELECTORAL Y DE PARTICIPACIÓN CIUDADANA</w:t>
      </w:r>
    </w:p>
    <w:p w14:paraId="0FDE458C"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 xml:space="preserve">La organización, desarrollo y vigilancia de las elecciones, plebiscitos, referendos y revocación de mandato en el Estado estará a cargo de un órgano autónomo del Estado denominado Instituto Estatal Electoral y de </w:t>
      </w:r>
      <w:r w:rsidRPr="00791593">
        <w:rPr>
          <w:rFonts w:ascii="Arial" w:eastAsia="Times New Roman" w:hAnsi="Arial" w:cs="Arial"/>
          <w:sz w:val="24"/>
          <w:szCs w:val="24"/>
          <w:lang w:val="es-ES" w:eastAsia="es-ES"/>
        </w:rPr>
        <w:lastRenderedPageBreak/>
        <w:t xml:space="preserve">Participación Ciudadana. </w:t>
      </w:r>
      <w:r w:rsidRPr="00791593">
        <w:rPr>
          <w:rFonts w:ascii="Arial" w:eastAsia="Times New Roman" w:hAnsi="Arial" w:cs="Arial"/>
          <w:b/>
          <w:sz w:val="24"/>
          <w:szCs w:val="24"/>
          <w:lang w:val="es-ES" w:eastAsia="es-ES"/>
        </w:rPr>
        <w:t>El ejercicio de sus funciones se sujetará a los principios rectores de certeza</w:t>
      </w:r>
      <w:r w:rsidRPr="00791593">
        <w:rPr>
          <w:rFonts w:ascii="Arial" w:eastAsia="Times New Roman" w:hAnsi="Arial" w:cs="Arial"/>
          <w:sz w:val="24"/>
          <w:szCs w:val="24"/>
          <w:lang w:val="es-ES" w:eastAsia="es-ES"/>
        </w:rPr>
        <w:t>, legalidad, independencia, imparcialidad y objetividad. El Consejo General estará integrado por siete Consejeros.</w:t>
      </w:r>
    </w:p>
    <w:p w14:paraId="5D1EBF55"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CÓDIGO DE INSTITUCIONES POLÍTICAS Y PROCEDIMIENTOS ELECTORALES PARA EL ESTADO DE OAXACA</w:t>
      </w:r>
    </w:p>
    <w:p w14:paraId="7F9F17E9"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Artículo 4</w:t>
      </w:r>
    </w:p>
    <w:p w14:paraId="15654566"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b/>
          <w:sz w:val="24"/>
          <w:szCs w:val="24"/>
          <w:lang w:val="es-ES" w:eastAsia="es-ES"/>
        </w:rPr>
        <w:t>1.</w:t>
      </w:r>
      <w:r w:rsidRPr="00791593">
        <w:rPr>
          <w:rFonts w:ascii="Arial" w:eastAsia="Times New Roman" w:hAnsi="Arial" w:cs="Arial"/>
          <w:sz w:val="24"/>
          <w:szCs w:val="24"/>
          <w:lang w:val="es-ES" w:eastAsia="es-ES"/>
        </w:rPr>
        <w:t xml:space="preserve"> El Estado a través del Instituto y demás autoridades competentes, los partidos políticos y los ciudadanos, son corresponsables de la organización, desarrollo y vigilancia de los procesos electorales, en los términos de este Código.</w:t>
      </w:r>
    </w:p>
    <w:p w14:paraId="6924285A"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b/>
          <w:sz w:val="24"/>
          <w:szCs w:val="24"/>
          <w:lang w:val="es-ES" w:eastAsia="es-ES"/>
        </w:rPr>
        <w:t>2.</w:t>
      </w:r>
      <w:r w:rsidRPr="00791593">
        <w:rPr>
          <w:rFonts w:ascii="Arial" w:eastAsia="Times New Roman" w:hAnsi="Arial" w:cs="Arial"/>
          <w:sz w:val="24"/>
          <w:szCs w:val="24"/>
          <w:lang w:val="es-ES" w:eastAsia="es-ES"/>
        </w:rPr>
        <w:t xml:space="preserve"> </w:t>
      </w:r>
      <w:r w:rsidRPr="00791593">
        <w:rPr>
          <w:rFonts w:ascii="Arial" w:eastAsia="Times New Roman" w:hAnsi="Arial" w:cs="Arial"/>
          <w:b/>
          <w:sz w:val="24"/>
          <w:szCs w:val="24"/>
          <w:lang w:val="es-ES" w:eastAsia="es-ES"/>
        </w:rPr>
        <w:t xml:space="preserve">El ejercicio de la función electoral se sujetará a los principios rectores de </w:t>
      </w:r>
      <w:bookmarkStart w:id="7" w:name="LPHit1"/>
      <w:bookmarkEnd w:id="7"/>
      <w:r w:rsidRPr="00791593">
        <w:rPr>
          <w:rFonts w:ascii="Arial" w:eastAsia="Times New Roman" w:hAnsi="Arial" w:cs="Arial"/>
          <w:b/>
          <w:sz w:val="24"/>
          <w:szCs w:val="24"/>
          <w:lang w:val="es-ES" w:eastAsia="es-ES"/>
        </w:rPr>
        <w:t>certeza, legalidad, independencia, imparcialidad y objetividad, de los cuales el Instituto será garante de su observancia</w:t>
      </w:r>
      <w:r w:rsidRPr="00791593">
        <w:rPr>
          <w:rFonts w:ascii="Arial" w:eastAsia="Times New Roman" w:hAnsi="Arial" w:cs="Arial"/>
          <w:sz w:val="24"/>
          <w:szCs w:val="24"/>
          <w:lang w:val="es-ES" w:eastAsia="es-ES"/>
        </w:rPr>
        <w:t>.</w:t>
      </w:r>
    </w:p>
    <w:p w14:paraId="2B2CFDC8"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b/>
          <w:sz w:val="24"/>
          <w:szCs w:val="24"/>
          <w:lang w:val="es-ES" w:eastAsia="es-ES"/>
        </w:rPr>
        <w:t>3.</w:t>
      </w:r>
      <w:r w:rsidRPr="00791593">
        <w:rPr>
          <w:rFonts w:ascii="Arial" w:eastAsia="Times New Roman" w:hAnsi="Arial" w:cs="Arial"/>
          <w:sz w:val="24"/>
          <w:szCs w:val="24"/>
          <w:lang w:val="es-ES" w:eastAsia="es-ES"/>
        </w:rPr>
        <w:t xml:space="preserve"> Para el desempeño de sus funciones, el Instituto contará con el apoyo y colaboración de las autoridades y órganos estatales y municipales en lo que corresponda. Para el mejor cumplimiento de su cometido, también podrá celebrar convenios o acuerdos con autoridades, dependencias u órganos de la Federación.</w:t>
      </w:r>
    </w:p>
    <w:p w14:paraId="7810A982"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Artículo 13</w:t>
      </w:r>
    </w:p>
    <w:p w14:paraId="3243E7D9"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 xml:space="preserve">1. </w:t>
      </w:r>
      <w:r w:rsidRPr="00791593">
        <w:rPr>
          <w:rFonts w:ascii="Arial" w:eastAsia="Times New Roman" w:hAnsi="Arial" w:cs="Arial"/>
          <w:b/>
          <w:sz w:val="24"/>
          <w:szCs w:val="24"/>
          <w:lang w:val="es-ES" w:eastAsia="es-ES"/>
        </w:rPr>
        <w:t>El ente público denominado Instituto Estatal Electoral y de Participación Ciudadana,</w:t>
      </w:r>
      <w:r w:rsidRPr="00791593">
        <w:rPr>
          <w:rFonts w:ascii="Arial" w:eastAsia="Times New Roman" w:hAnsi="Arial" w:cs="Arial"/>
          <w:sz w:val="24"/>
          <w:szCs w:val="24"/>
          <w:lang w:val="es-ES" w:eastAsia="es-ES"/>
        </w:rPr>
        <w:t xml:space="preserve"> es un órgano autónomo del Estado, con personalidad jurídica y patrimonio propio, que goza de autonomía técnica para su administración presupuestaria, y de gestión en el ejercicio de sus atribuciones, así como para decidir sobre su organización interna, funcionamiento y resoluciones. </w:t>
      </w:r>
      <w:r w:rsidRPr="00791593">
        <w:rPr>
          <w:rFonts w:ascii="Arial" w:eastAsia="Times New Roman" w:hAnsi="Arial" w:cs="Arial"/>
          <w:b/>
          <w:sz w:val="24"/>
          <w:szCs w:val="24"/>
          <w:lang w:val="es-ES" w:eastAsia="es-ES"/>
        </w:rPr>
        <w:t>El ejercicio de sus funciones se sujetará a los principios rectores de certeza, legalidad, independencia, imparcialidad y objetividad</w:t>
      </w:r>
      <w:r w:rsidRPr="00791593">
        <w:rPr>
          <w:rFonts w:ascii="Arial" w:eastAsia="Times New Roman" w:hAnsi="Arial" w:cs="Arial"/>
          <w:sz w:val="24"/>
          <w:szCs w:val="24"/>
          <w:lang w:val="es-ES" w:eastAsia="es-ES"/>
        </w:rPr>
        <w:t>.</w:t>
      </w:r>
    </w:p>
    <w:p w14:paraId="722240FA"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Artículo 14</w:t>
      </w:r>
    </w:p>
    <w:p w14:paraId="2723AC29"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Son fines del Instituto:</w:t>
      </w:r>
    </w:p>
    <w:p w14:paraId="1E9065C2"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w:t>
      </w:r>
    </w:p>
    <w:p w14:paraId="249C742F"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 xml:space="preserve">IX.- </w:t>
      </w:r>
      <w:r w:rsidRPr="00791593">
        <w:rPr>
          <w:rFonts w:ascii="Arial" w:eastAsia="Times New Roman" w:hAnsi="Arial" w:cs="Arial"/>
          <w:b/>
          <w:sz w:val="24"/>
          <w:szCs w:val="24"/>
          <w:lang w:val="es-ES" w:eastAsia="es-ES"/>
        </w:rPr>
        <w:t>Ser garante de los principios rectores de certeza</w:t>
      </w:r>
      <w:r w:rsidRPr="00791593">
        <w:rPr>
          <w:rFonts w:ascii="Arial" w:eastAsia="Times New Roman" w:hAnsi="Arial" w:cs="Arial"/>
          <w:sz w:val="24"/>
          <w:szCs w:val="24"/>
          <w:lang w:val="es-ES" w:eastAsia="es-ES"/>
        </w:rPr>
        <w:t>, legalidad, independencia, imparcialidad y objetividad.</w:t>
      </w:r>
    </w:p>
    <w:bookmarkStart w:id="8" w:name="l6_t2_c3_txt_CAPÍTULO_TERCERO"/>
    <w:p w14:paraId="2121E51A" w14:textId="77777777" w:rsidR="006F5238" w:rsidRPr="00791593" w:rsidRDefault="006F5238" w:rsidP="006F5238">
      <w:pPr>
        <w:spacing w:before="100" w:beforeAutospacing="1" w:after="100" w:afterAutospacing="1" w:line="240" w:lineRule="auto"/>
        <w:ind w:left="567" w:right="567"/>
        <w:jc w:val="center"/>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lastRenderedPageBreak/>
        <w:fldChar w:fldCharType="begin"/>
      </w:r>
      <w:r w:rsidRPr="00791593">
        <w:rPr>
          <w:rFonts w:ascii="Arial" w:eastAsia="Times New Roman" w:hAnsi="Arial" w:cs="Arial"/>
          <w:b/>
          <w:sz w:val="24"/>
          <w:szCs w:val="24"/>
          <w:lang w:val="es-ES" w:eastAsia="es-ES"/>
        </w:rPr>
        <w:instrText xml:space="preserve"> HYPERLINK "http://10.10.15.15/siscon/gateway.dll/nLegislacion/nEstatal/oaxaca/codigo_instituciones_oaxaca?f=templates$fn=document-frame.htm$3.0$q=$uq=$x=$up=1" \l "L6_T2_C3_CAPÍTULO_TERCERO" </w:instrText>
      </w:r>
      <w:r w:rsidRPr="00791593">
        <w:rPr>
          <w:rFonts w:ascii="Arial" w:eastAsia="Times New Roman" w:hAnsi="Arial" w:cs="Arial"/>
          <w:b/>
          <w:sz w:val="24"/>
          <w:szCs w:val="24"/>
          <w:lang w:val="es-ES" w:eastAsia="es-ES"/>
        </w:rPr>
        <w:fldChar w:fldCharType="separate"/>
      </w:r>
      <w:r w:rsidRPr="00791593">
        <w:rPr>
          <w:rFonts w:ascii="Arial" w:eastAsia="Times New Roman" w:hAnsi="Arial" w:cs="Arial"/>
          <w:b/>
          <w:sz w:val="24"/>
          <w:szCs w:val="24"/>
          <w:lang w:val="es-ES" w:eastAsia="es-ES"/>
        </w:rPr>
        <w:t>CAPÍTULO TERCERO</w:t>
      </w:r>
      <w:r w:rsidRPr="00791593">
        <w:rPr>
          <w:rFonts w:ascii="Arial" w:eastAsia="Times New Roman" w:hAnsi="Arial" w:cs="Arial"/>
          <w:b/>
          <w:sz w:val="24"/>
          <w:szCs w:val="24"/>
          <w:lang w:val="es-ES" w:eastAsia="es-ES"/>
        </w:rPr>
        <w:fldChar w:fldCharType="end"/>
      </w:r>
      <w:bookmarkEnd w:id="8"/>
    </w:p>
    <w:p w14:paraId="2C5EC880" w14:textId="77777777" w:rsidR="006F5238" w:rsidRPr="00791593" w:rsidRDefault="006F5238" w:rsidP="006F5238">
      <w:pPr>
        <w:spacing w:before="100" w:beforeAutospacing="1" w:after="100" w:afterAutospacing="1" w:line="240" w:lineRule="auto"/>
        <w:ind w:left="567" w:right="567"/>
        <w:jc w:val="center"/>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De la Jornada Electoral</w:t>
      </w:r>
    </w:p>
    <w:p w14:paraId="4B3E96DD"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Artículo 261</w:t>
      </w:r>
    </w:p>
    <w:p w14:paraId="3B2E7740"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1. En la jornada electoral se observarán las disposiciones, procedimientos y mecanismos, definidos en sus sistemas normativos internos para el desarrollo de la elección.</w:t>
      </w:r>
    </w:p>
    <w:p w14:paraId="00A1995C"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 xml:space="preserve">2. Al final de la elección </w:t>
      </w:r>
      <w:r w:rsidRPr="00791593">
        <w:rPr>
          <w:rFonts w:ascii="Arial" w:eastAsia="Times New Roman" w:hAnsi="Arial" w:cs="Arial"/>
          <w:b/>
          <w:sz w:val="24"/>
          <w:szCs w:val="24"/>
          <w:lang w:val="es-ES" w:eastAsia="es-ES"/>
        </w:rPr>
        <w:t>se elaborará un acta en la que deberán firmar los integrantes del órgano que presidió el procedimiento de elección, las personas de la municipalidad que por costumbre deban hacerlo y que hayan asistido, así como por los ciudadanos que en ella intervinieron y quienes se considere pertinente</w:t>
      </w:r>
      <w:r w:rsidRPr="00791593">
        <w:rPr>
          <w:rFonts w:ascii="Arial" w:eastAsia="Times New Roman" w:hAnsi="Arial" w:cs="Arial"/>
          <w:sz w:val="24"/>
          <w:szCs w:val="24"/>
          <w:lang w:val="es-ES" w:eastAsia="es-ES"/>
        </w:rPr>
        <w:t>.</w:t>
      </w:r>
    </w:p>
    <w:p w14:paraId="5285205C"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 xml:space="preserve">3. Los órganos y personas que presidieron el procedimiento de elección, </w:t>
      </w:r>
      <w:r w:rsidRPr="00791593">
        <w:rPr>
          <w:rFonts w:ascii="Arial" w:eastAsia="Times New Roman" w:hAnsi="Arial" w:cs="Arial"/>
          <w:b/>
          <w:sz w:val="24"/>
          <w:szCs w:val="24"/>
          <w:lang w:val="es-ES" w:eastAsia="es-ES"/>
        </w:rPr>
        <w:t>harán llegar al Instituto el resultado de la elección</w:t>
      </w:r>
      <w:r w:rsidRPr="00791593">
        <w:rPr>
          <w:rFonts w:ascii="Arial" w:eastAsia="Times New Roman" w:hAnsi="Arial" w:cs="Arial"/>
          <w:sz w:val="24"/>
          <w:szCs w:val="24"/>
          <w:lang w:val="es-ES" w:eastAsia="es-ES"/>
        </w:rPr>
        <w:t>, a más tardar a los cinco días de su celebración.</w:t>
      </w:r>
    </w:p>
    <w:p w14:paraId="58373D44"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4. Se respetarán fechas, horarios y lugares que tradicionalmente acostumbren la mayoría de ciudadanos y ciudadanas, para el procedimiento de elección de autoridades locales.</w:t>
      </w:r>
    </w:p>
    <w:bookmarkStart w:id="9" w:name="l6_t2_c4_txt_CAPÍTULO_CUARTO"/>
    <w:p w14:paraId="5A3648D2" w14:textId="77777777" w:rsidR="006F5238" w:rsidRPr="00791593" w:rsidRDefault="006F5238" w:rsidP="006F5238">
      <w:pPr>
        <w:spacing w:before="100" w:beforeAutospacing="1" w:after="100" w:afterAutospacing="1" w:line="240" w:lineRule="auto"/>
        <w:ind w:left="567" w:right="567"/>
        <w:jc w:val="center"/>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fldChar w:fldCharType="begin"/>
      </w:r>
      <w:r w:rsidRPr="00791593">
        <w:rPr>
          <w:rFonts w:ascii="Arial" w:eastAsia="Times New Roman" w:hAnsi="Arial" w:cs="Arial"/>
          <w:b/>
          <w:sz w:val="24"/>
          <w:szCs w:val="24"/>
          <w:lang w:val="es-ES" w:eastAsia="es-ES"/>
        </w:rPr>
        <w:instrText xml:space="preserve"> HYPERLINK "http://10.10.15.15/siscon/gateway.dll/nLegislacion/nEstatal/oaxaca/codigo_instituciones_oaxaca?f=templates$fn=document-frame.htm$3.0$q=$uq=$x=$up=1" \l "L6_T2_C4_CAPÍTULO_CUARTO" </w:instrText>
      </w:r>
      <w:r w:rsidRPr="00791593">
        <w:rPr>
          <w:rFonts w:ascii="Arial" w:eastAsia="Times New Roman" w:hAnsi="Arial" w:cs="Arial"/>
          <w:b/>
          <w:sz w:val="24"/>
          <w:szCs w:val="24"/>
          <w:lang w:val="es-ES" w:eastAsia="es-ES"/>
        </w:rPr>
        <w:fldChar w:fldCharType="separate"/>
      </w:r>
      <w:r w:rsidRPr="00791593">
        <w:rPr>
          <w:rFonts w:ascii="Arial" w:eastAsia="Times New Roman" w:hAnsi="Arial" w:cs="Arial"/>
          <w:b/>
          <w:sz w:val="24"/>
          <w:szCs w:val="24"/>
          <w:lang w:val="es-ES" w:eastAsia="es-ES"/>
        </w:rPr>
        <w:t>CAPÍTULO CUARTO</w:t>
      </w:r>
      <w:r w:rsidRPr="00791593">
        <w:rPr>
          <w:rFonts w:ascii="Arial" w:eastAsia="Times New Roman" w:hAnsi="Arial" w:cs="Arial"/>
          <w:b/>
          <w:sz w:val="24"/>
          <w:szCs w:val="24"/>
          <w:lang w:val="es-ES" w:eastAsia="es-ES"/>
        </w:rPr>
        <w:fldChar w:fldCharType="end"/>
      </w:r>
      <w:bookmarkEnd w:id="9"/>
    </w:p>
    <w:p w14:paraId="6F948870" w14:textId="77777777" w:rsidR="006F5238" w:rsidRPr="00791593" w:rsidRDefault="006F5238" w:rsidP="006F5238">
      <w:pPr>
        <w:spacing w:before="100" w:beforeAutospacing="1" w:after="100" w:afterAutospacing="1" w:line="240" w:lineRule="auto"/>
        <w:ind w:left="567" w:right="567"/>
        <w:jc w:val="center"/>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De la Declaración de Validez de la Elección y la Expedición de las Constancias de Mayoría</w:t>
      </w:r>
    </w:p>
    <w:p w14:paraId="30431CF6"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Artículo 263</w:t>
      </w:r>
    </w:p>
    <w:p w14:paraId="19BACEFA"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1. El Consejo General sesionará con el único objeto de revisar si se cumplieron los siguientes requisitos:</w:t>
      </w:r>
    </w:p>
    <w:p w14:paraId="2EA31CD8"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 xml:space="preserve">I.- </w:t>
      </w:r>
      <w:r w:rsidRPr="00791593">
        <w:rPr>
          <w:rFonts w:ascii="Arial" w:eastAsia="Times New Roman" w:hAnsi="Arial" w:cs="Arial"/>
          <w:b/>
          <w:sz w:val="24"/>
          <w:szCs w:val="24"/>
          <w:lang w:val="es-ES" w:eastAsia="es-ES"/>
        </w:rPr>
        <w:t>El apego a las normas establecidas por la comunidad y, en su caso, los acuerdos previos a la elección</w:t>
      </w:r>
      <w:r w:rsidRPr="00791593">
        <w:rPr>
          <w:rFonts w:ascii="Arial" w:eastAsia="Times New Roman" w:hAnsi="Arial" w:cs="Arial"/>
          <w:sz w:val="24"/>
          <w:szCs w:val="24"/>
          <w:lang w:val="es-ES" w:eastAsia="es-ES"/>
        </w:rPr>
        <w:t>;</w:t>
      </w:r>
    </w:p>
    <w:p w14:paraId="42966402"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II.- Que la autoridad electa haya obtenido la mayoría de votos; y</w:t>
      </w:r>
    </w:p>
    <w:p w14:paraId="1E877CE4"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III.- La debida integración del expediente.</w:t>
      </w:r>
    </w:p>
    <w:p w14:paraId="4ECEFA57" w14:textId="77777777" w:rsidR="006F5238" w:rsidRPr="00791593" w:rsidRDefault="006F5238" w:rsidP="006F5238">
      <w:pPr>
        <w:spacing w:before="100" w:beforeAutospacing="1" w:after="100" w:afterAutospacing="1"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2. En su caso, declarar la validez de la elección y expedir las constancias respectivas de los concejales electos, las que serán firmadas por el presidente y el secretario de dicho consejo.</w:t>
      </w:r>
    </w:p>
    <w:p w14:paraId="7566A85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De la normativa constitucional y legal antes transcrita se advierte </w:t>
      </w:r>
      <w:r w:rsidRPr="00791593">
        <w:rPr>
          <w:rFonts w:ascii="Arial" w:eastAsia="Times New Roman" w:hAnsi="Arial" w:cs="Arial"/>
          <w:sz w:val="28"/>
          <w:szCs w:val="28"/>
          <w:lang w:eastAsia="es-ES"/>
        </w:rPr>
        <w:lastRenderedPageBreak/>
        <w:t>lo siguiente:</w:t>
      </w:r>
    </w:p>
    <w:p w14:paraId="7E549EB7" w14:textId="77777777" w:rsidR="006F5238" w:rsidRPr="00791593" w:rsidRDefault="006F5238" w:rsidP="008D1689">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El poder público en los Estados de la República se divide, para su ejercicio, en Ejecutivo, Legislativo y Judicial, sin que se puedan reunir dos o más de estos poderes en una sola persona o corporación, ni depositarse el Legislativo en un solo individuo.</w:t>
      </w:r>
    </w:p>
    <w:p w14:paraId="0F59CA98" w14:textId="77777777" w:rsidR="006F5238" w:rsidRPr="00791593" w:rsidRDefault="006F5238" w:rsidP="008D1689">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Los Poderes de los Estados se deben organizar conforme a la Constitución Política de cada uno, además de lo previsto en la Constitución federal.</w:t>
      </w:r>
    </w:p>
    <w:p w14:paraId="02BDE34B" w14:textId="77777777" w:rsidR="006F5238" w:rsidRPr="00791593" w:rsidRDefault="006F5238" w:rsidP="008D1689">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La elección de los gobernadores de los Estados y de los integrantes de las legislaturas locales debe ser directa y en los términos que dispongan las leyes electorales respectivas.</w:t>
      </w:r>
    </w:p>
    <w:p w14:paraId="49C55EF4" w14:textId="77777777" w:rsidR="006F5238" w:rsidRPr="00791593" w:rsidRDefault="006F5238" w:rsidP="008D1689">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Las Constituciones y leyes de los Estados, en materia electoral, deben garantizar, entre otros aspectos, que: 1) Las elecciones de los gobernadores de los Estados, de los miembros de las legislaturas locales y de los integrantes de los ayuntamientos se hagan mediante sufragio universal, libre, secreto y directo; 2) </w:t>
      </w:r>
      <w:r w:rsidRPr="00791593">
        <w:rPr>
          <w:rFonts w:ascii="Arial" w:eastAsia="Times New Roman" w:hAnsi="Arial" w:cs="Arial"/>
          <w:b/>
          <w:sz w:val="28"/>
          <w:szCs w:val="28"/>
          <w:lang w:eastAsia="es-ES"/>
        </w:rPr>
        <w:t>En el ejercicio de la función electoral a cargo de las autoridades electorales sean principios rectores los de legalidad, imparcialidad, objetividad, certeza e independencia</w:t>
      </w:r>
      <w:r w:rsidRPr="00791593">
        <w:rPr>
          <w:rFonts w:ascii="Arial" w:eastAsia="Times New Roman" w:hAnsi="Arial" w:cs="Arial"/>
          <w:sz w:val="28"/>
          <w:szCs w:val="28"/>
          <w:lang w:eastAsia="es-ES"/>
        </w:rPr>
        <w:t xml:space="preserve">; 3) Las autoridades que tengan a su cargo la organización de las elecciones y las jurisdiccionales que resuelvan las controversias en la materia, gocen de autonomía en su funcionamiento e independencia en sus decisiones, y 4) Se </w:t>
      </w:r>
      <w:r w:rsidRPr="00791593">
        <w:rPr>
          <w:rFonts w:ascii="Arial" w:eastAsia="Times New Roman" w:hAnsi="Arial" w:cs="Arial"/>
          <w:sz w:val="28"/>
          <w:szCs w:val="28"/>
          <w:lang w:eastAsia="es-ES"/>
        </w:rPr>
        <w:lastRenderedPageBreak/>
        <w:t>establezca un sistema de medios de impugnación, para garantizar que todos los actos y resoluciones electorales se sujeten invariablemente al principio de legalidad.</w:t>
      </w:r>
    </w:p>
    <w:p w14:paraId="33D8A503" w14:textId="77777777" w:rsidR="006F5238" w:rsidRPr="00791593" w:rsidRDefault="006F5238" w:rsidP="008D1689">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Sea el Instituto Electoral del Estado el encargado de la función estatal de organizar las elecciones, </w:t>
      </w:r>
      <w:r w:rsidRPr="00791593">
        <w:rPr>
          <w:rFonts w:ascii="Arial" w:eastAsia="Times New Roman" w:hAnsi="Arial" w:cs="Arial"/>
          <w:b/>
          <w:sz w:val="28"/>
          <w:szCs w:val="28"/>
          <w:lang w:eastAsia="es-ES"/>
        </w:rPr>
        <w:t>cuyos principios rectores son la legalidad, imparcialidad, objetividad, certeza y la independencia.</w:t>
      </w:r>
    </w:p>
    <w:p w14:paraId="193F43ED" w14:textId="77777777" w:rsidR="006F5238" w:rsidRPr="00791593" w:rsidRDefault="006F5238" w:rsidP="008D1689">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Uno de los fines del Instituto Electoral del Estado es ser </w:t>
      </w:r>
      <w:r w:rsidRPr="00791593">
        <w:rPr>
          <w:rFonts w:ascii="Arial" w:eastAsia="Times New Roman" w:hAnsi="Arial" w:cs="Arial"/>
          <w:b/>
          <w:sz w:val="28"/>
          <w:szCs w:val="28"/>
          <w:lang w:eastAsia="es-ES"/>
        </w:rPr>
        <w:t>garante de los principios rectores de certeza, legalidad, independencia, imparcialidad y objetividad.</w:t>
      </w:r>
    </w:p>
    <w:p w14:paraId="2B1D9ACA" w14:textId="77777777" w:rsidR="006F5238" w:rsidRPr="00791593" w:rsidRDefault="006F5238" w:rsidP="008D1689">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las elecciones que se rigen por el Derecho Electoral Consuetudinario Indígena, al final de la elección se debe elaborar un acta en la que han de firmar los integrantes del órgano que presidió el procedimiento de elección, las personas de la municipalidad que por costumbre deban hacerlo y que hayan asistido.</w:t>
      </w:r>
    </w:p>
    <w:p w14:paraId="29C7F9FF" w14:textId="77777777" w:rsidR="006F5238" w:rsidRPr="00791593" w:rsidRDefault="006F5238" w:rsidP="008D1689">
      <w:pPr>
        <w:widowControl w:val="0"/>
        <w:numPr>
          <w:ilvl w:val="0"/>
          <w:numId w:val="7"/>
        </w:numPr>
        <w:spacing w:before="100" w:beforeAutospacing="1" w:after="100" w:afterAutospacing="1" w:line="360" w:lineRule="auto"/>
        <w:ind w:firstLine="709"/>
        <w:contextualSpacing/>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Los órganos y personas que presidieron el procedimiento de elección, harán llegar al Instituto Electoral del Estado el resultado de la elección.</w:t>
      </w:r>
    </w:p>
    <w:p w14:paraId="77CE7178"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De lo anterior, se puede advertir que el desarrollo de los procedimientos electorales se debe regir, entre otros, por el principio constitucional de certeza, el cual debe ser garantizado por las autoridades electorales, en todos los ámbitos de gobierno.</w:t>
      </w:r>
    </w:p>
    <w:p w14:paraId="45E3ED86"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Así se puede sostener, conforme a Derecho, que el principio de certeza consiste en dotar de facultades expresas a las autoridades electorales, de tal modo que todos los participantes en el procedimiento </w:t>
      </w:r>
      <w:r w:rsidRPr="00791593">
        <w:rPr>
          <w:rFonts w:ascii="Arial" w:eastAsia="Times New Roman" w:hAnsi="Arial" w:cs="Arial"/>
          <w:sz w:val="28"/>
          <w:szCs w:val="28"/>
          <w:lang w:eastAsia="es-ES"/>
        </w:rPr>
        <w:lastRenderedPageBreak/>
        <w:t>electoral —ya sea acorde a las reglas del Derecho escrito formal mexicano o a las previstas en los sistemas consuetudinarios indígenas—, conozcan previamente, con claridad y seguridad las reglas a las que debe estar sometida la actuación de todos los sujetos que han de intervenir, incluidas las autoridades, electorales y no electorales, además de atender los hechos tal como acontezcan.</w:t>
      </w:r>
    </w:p>
    <w:p w14:paraId="541BFAE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Además, el significado del principio de certeza radica en que las acciones que se efectúen deben ser veraces, reales y apegadas a los hechos, esto es, que el resultado de los procedimientos sea completamente verificable, fidedigno y confiable, de ahí que la certeza se convierta en presupuesto obligado de la democracia. </w:t>
      </w:r>
    </w:p>
    <w:p w14:paraId="507660B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efecto, la observancia del principio de certeza se debe traducir en que los ciudadanos, institutos políticos, autoridades electorales y, en general, todos los que participen en el procedimiento electoral, conozcan las normas jurídicas que rigen el procedimiento electoral, dotándolo de seguridad y transparencia, con los consecuentes beneficios que ello implica para la sociedad, principal destinataria de las normas electorales; tomando en consideración los correspondientes actos y hechos jurídicos, tal como hubieren sucedido.</w:t>
      </w:r>
    </w:p>
    <w:p w14:paraId="686927AB"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También este principio está materializado en los actos y hechos que se ejecuten en un procedimiento electoral y tengan por objeto que la ciudadanía pueda ejercer su derecho al voto, de manera libre, universal, cierta, secreta y directa, como la máxima expresión de la soberanía popular.</w:t>
      </w:r>
    </w:p>
    <w:p w14:paraId="2523A723"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791593">
        <w:rPr>
          <w:rFonts w:ascii="Arial" w:eastAsia="Times New Roman" w:hAnsi="Arial" w:cs="Arial"/>
          <w:sz w:val="28"/>
          <w:szCs w:val="28"/>
          <w:lang w:eastAsia="es-ES"/>
        </w:rPr>
        <w:lastRenderedPageBreak/>
        <w:t xml:space="preserve">Por otra parte, el aludido principio implica que realmente se hayan emitido </w:t>
      </w:r>
      <w:r w:rsidRPr="00791593">
        <w:rPr>
          <w:rFonts w:ascii="Arial" w:eastAsia="Times New Roman" w:hAnsi="Arial" w:cs="Arial"/>
          <w:b/>
          <w:sz w:val="28"/>
          <w:szCs w:val="28"/>
          <w:lang w:eastAsia="es-ES"/>
        </w:rPr>
        <w:t>los votos que se precisan en la correspondiente acta de la Asamblea General electiva del Municipio, que electoralmente se rige por un sistema normativo indígena, es decir, un ciudadano un voto y que no exista incertidumbre de si los ciudadanos que se registraron el día de la jornada electoral, para participar en la Asamblea electiva, realmente emitieron su voto.</w:t>
      </w:r>
    </w:p>
    <w:p w14:paraId="63CF9F49"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El principio de certeza implica también que el acta de la Asamblea General Comunitaria, que se elabora al final de la elección correspondiente, en la cual se hace constar el desarrollo de la jornada electoral, así como los resultados del cómputo, debe ser firmada por los integrantes de la “</w:t>
      </w:r>
      <w:r w:rsidRPr="00791593">
        <w:rPr>
          <w:rFonts w:ascii="Arial" w:eastAsia="Times New Roman" w:hAnsi="Arial" w:cs="Arial"/>
          <w:i/>
          <w:sz w:val="28"/>
          <w:szCs w:val="28"/>
          <w:lang w:eastAsia="es-ES"/>
        </w:rPr>
        <w:t>Mesa de Debates”</w:t>
      </w:r>
      <w:r w:rsidRPr="00791593">
        <w:rPr>
          <w:rFonts w:ascii="Arial" w:eastAsia="Times New Roman" w:hAnsi="Arial" w:cs="Arial"/>
          <w:sz w:val="28"/>
          <w:szCs w:val="28"/>
          <w:lang w:eastAsia="es-ES"/>
        </w:rPr>
        <w:t>, por los funcionarios municipales y los ciudadanos que hubieran asistido a la Asamblea que deban hacerlo, para posteriormente remitirla al Consejo General del Instituto Electoral local, a la cual se debe anexar la lista de ciudadanos asistentes, que participaron, a efecto de garantizar certeza sobre el desarrollo del procedimiento de elección de integrantes de un Ayuntamiento, así como de sus resultados.</w:t>
      </w:r>
    </w:p>
    <w:p w14:paraId="2F1EAEDA"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Cabe advertir que el resultado del cómputo de una elección debe corresponder, en forma fidedigna y sin lugar a dudas, con la voluntad ciudadana, manifestada mediante la emisión del sufragio a favor de la opción política que consideraran más conveniente, esto es, que el ganador de una contienda electoral sea el candidato que obtuvo el mayor número de votos, en la elección llevada a cabo.</w:t>
      </w:r>
    </w:p>
    <w:p w14:paraId="4726BA49"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Al respecto se debe enfatizar que ha sido criterio reiterado de esta </w:t>
      </w:r>
      <w:r w:rsidRPr="00791593">
        <w:rPr>
          <w:rFonts w:ascii="Arial" w:eastAsia="Times New Roman" w:hAnsi="Arial" w:cs="Arial"/>
          <w:sz w:val="28"/>
          <w:szCs w:val="28"/>
          <w:lang w:eastAsia="es-ES"/>
        </w:rPr>
        <w:lastRenderedPageBreak/>
        <w:t>Sala Superior que la inobservancia del principio de certeza puede dar lugar a considerar que una elección no cumple los requisitos constitucionales y legales que se exigen para que sea válida.</w:t>
      </w:r>
    </w:p>
    <w:p w14:paraId="33C55B3C"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Este criterio ha sido el sustento de las sentencias dictadas al resolver, entre otros, los juicios de revisión constitucional electoral identificados con las claves alfanuméricas de expediente SUP-JRC-120/2001 y SUP-JRC-487/2000, con su acumulado, lo cual dio origen a la tesis relevante identificada con la clave X/2001, consultable a fojas mil ciento cincuenta y nueve a mil ciento sesenta y una de la "Compilación 1997-2013. Jurisprudencia y tesis en materia electoral", Volumen 2, Tomo I, intitulado "Tesis", publicada por este Tribunal Electoral del Poder Judicial de la Federación, cuyo rubro y texto son al tenor literal siguiente:</w:t>
      </w:r>
    </w:p>
    <w:p w14:paraId="3549E909" w14:textId="77777777" w:rsidR="006F5238" w:rsidRPr="00791593" w:rsidRDefault="006F5238" w:rsidP="006F5238">
      <w:pPr>
        <w:widowControl w:val="0"/>
        <w:spacing w:before="100" w:beforeAutospacing="1" w:after="100" w:afterAutospacing="1" w:line="240" w:lineRule="auto"/>
        <w:ind w:left="567" w:right="567"/>
        <w:jc w:val="both"/>
        <w:rPr>
          <w:rFonts w:ascii="Arial" w:eastAsia="Times New Roman" w:hAnsi="Arial" w:cs="Arial"/>
          <w:sz w:val="24"/>
          <w:szCs w:val="24"/>
          <w:lang w:eastAsia="es-ES"/>
        </w:rPr>
      </w:pPr>
      <w:r w:rsidRPr="00791593">
        <w:rPr>
          <w:rFonts w:ascii="Arial" w:eastAsia="Times New Roman" w:hAnsi="Arial" w:cs="Arial"/>
          <w:b/>
          <w:sz w:val="24"/>
          <w:szCs w:val="24"/>
          <w:lang w:eastAsia="es-ES"/>
        </w:rPr>
        <w:t>ELECCIONES. PRINCIPIOS CONSTITUCIONALES Y LEGALES QUE SE DEBEN OBSERVAR PARA QUE CUALQUIER TIPO DE ELECCIÓN SEA CONSIDERADA VÁLID</w:t>
      </w:r>
      <w:r w:rsidRPr="00791593">
        <w:rPr>
          <w:rFonts w:ascii="Arial" w:eastAsia="Times New Roman" w:hAnsi="Arial" w:cs="Arial"/>
          <w:sz w:val="24"/>
          <w:szCs w:val="24"/>
          <w:lang w:eastAsia="es-ES"/>
        </w:rPr>
        <w:t xml:space="preserve">A.- Los artículos 39, 41, 99 y 116 de la Constitución Política de los Estados Unidos Mexicanos consagran los principios que toda elección debe contener para que se pueda considerar como válida. En el artículo 39 se establece, en lo que importa, que el pueblo tiene en todo tiempo el inalienable derecho de alterar o modificar la forma de su gobierno; el artículo 41, párrafo segundo, establece que la renovación de los poderes Legislativo y Ejecutivo se realizará mediante elecciones libres, auténticas y periódicas; en el artículo 99 se señala que todos los actos y resoluciones definitivos y firmes de las autoridades competentes de las entidades federativas para organizar y calificar los comicios podrán ser impugnados ante la Sala Superior del Tribunal Electoral del Poder Judicial de la Federación; por su parte, el artículo 116 establece, en lo que importa, que las constituciones y leyes de los estados garantizarán que las elecciones de los gobernadores de los estados se realicen mediante sufragio universal, libre, secreto y directo, y que serán principios rectores de las autoridades estatales electorales, los de legalidad, imparcialidad, objetividad, certeza e independencia. </w:t>
      </w:r>
      <w:r w:rsidRPr="00791593">
        <w:rPr>
          <w:rFonts w:ascii="Arial" w:eastAsia="Times New Roman" w:hAnsi="Arial" w:cs="Arial"/>
          <w:b/>
          <w:sz w:val="24"/>
          <w:szCs w:val="24"/>
          <w:lang w:eastAsia="es-ES"/>
        </w:rPr>
        <w:t xml:space="preserve">De las disposiciones referidas se puede desprender cuáles son los elementos fundamentales de una elección democrática, cuyo cumplimiento debe ser imprescindible para que una elección se </w:t>
      </w:r>
      <w:r w:rsidRPr="00791593">
        <w:rPr>
          <w:rFonts w:ascii="Arial" w:eastAsia="Times New Roman" w:hAnsi="Arial" w:cs="Arial"/>
          <w:b/>
          <w:sz w:val="24"/>
          <w:szCs w:val="24"/>
          <w:lang w:eastAsia="es-ES"/>
        </w:rPr>
        <w:lastRenderedPageBreak/>
        <w:t>considere producto del ejercicio popular de la soberanía, dentro del sistema jurídico-político construido en la Carta Magna y en las leyes electorales estatales, que están inclusive elevadas a rango constitucional, y son imperativos, de orden público, de obediencia inexcusable y no son renunciables. Dichos principios son, entre otros</w:t>
      </w:r>
      <w:r w:rsidRPr="00791593">
        <w:rPr>
          <w:rFonts w:ascii="Arial" w:eastAsia="Times New Roman" w:hAnsi="Arial" w:cs="Arial"/>
          <w:sz w:val="24"/>
          <w:szCs w:val="24"/>
          <w:lang w:eastAsia="es-ES"/>
        </w:rPr>
        <w:t xml:space="preserve">, las elecciones libres, auténticas y periódicas; el sufragio universal, libre, secreto y directo; que en el financiamiento de los partidos políticos y sus campañas electorales prevalezca el principio de equidad; la organización de las elecciones a través de un organismo público y autónomo; </w:t>
      </w:r>
      <w:r w:rsidRPr="00791593">
        <w:rPr>
          <w:rFonts w:ascii="Arial" w:eastAsia="Times New Roman" w:hAnsi="Arial" w:cs="Arial"/>
          <w:b/>
          <w:sz w:val="24"/>
          <w:szCs w:val="24"/>
          <w:lang w:eastAsia="es-ES"/>
        </w:rPr>
        <w:t>la certeza,</w:t>
      </w:r>
      <w:r w:rsidRPr="00791593">
        <w:rPr>
          <w:rFonts w:ascii="Arial" w:eastAsia="Times New Roman" w:hAnsi="Arial" w:cs="Arial"/>
          <w:sz w:val="24"/>
          <w:szCs w:val="24"/>
          <w:lang w:eastAsia="es-ES"/>
        </w:rPr>
        <w:t xml:space="preserve"> legalidad, independencia, imparcialidad y objetividad </w:t>
      </w:r>
      <w:r w:rsidRPr="00791593">
        <w:rPr>
          <w:rFonts w:ascii="Arial" w:eastAsia="Times New Roman" w:hAnsi="Arial" w:cs="Arial"/>
          <w:b/>
          <w:sz w:val="24"/>
          <w:szCs w:val="24"/>
          <w:lang w:eastAsia="es-ES"/>
        </w:rPr>
        <w:t>como principios rectores del proceso electoral,</w:t>
      </w:r>
      <w:r w:rsidRPr="00791593">
        <w:rPr>
          <w:rFonts w:ascii="Arial" w:eastAsia="Times New Roman" w:hAnsi="Arial" w:cs="Arial"/>
          <w:sz w:val="24"/>
          <w:szCs w:val="24"/>
          <w:lang w:eastAsia="es-ES"/>
        </w:rPr>
        <w:t xml:space="preserve"> el establecimiento de condiciones de equidad para el acceso de los partidos políticos a los medios de comunicación social, el control de la constitucionalidad y legalidad de los actos y resoluciones electorales. </w:t>
      </w:r>
      <w:r w:rsidRPr="00791593">
        <w:rPr>
          <w:rFonts w:ascii="Arial" w:eastAsia="Times New Roman" w:hAnsi="Arial" w:cs="Arial"/>
          <w:b/>
          <w:sz w:val="24"/>
          <w:szCs w:val="24"/>
          <w:lang w:eastAsia="es-ES"/>
        </w:rPr>
        <w:t>La observancia de estos principios en un proceso electoral se traducirá en el cumplimiento de los preceptos constitucionales antes mencionados.</w:t>
      </w:r>
    </w:p>
    <w:p w14:paraId="6F7DC8BF"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El principio de certeza también se puede entender como la necesidad de que todas las actuaciones que lleven a cabo las autoridades electorales, así como los ciudadanos integrantes de la respectiva “</w:t>
      </w:r>
      <w:r w:rsidRPr="00791593">
        <w:rPr>
          <w:rFonts w:ascii="Arial" w:eastAsia="Times New Roman" w:hAnsi="Arial" w:cs="Arial"/>
          <w:i/>
          <w:sz w:val="28"/>
          <w:szCs w:val="28"/>
          <w:lang w:eastAsia="es-ES"/>
        </w:rPr>
        <w:t>Mesa de Debates</w:t>
      </w:r>
      <w:r w:rsidRPr="00791593">
        <w:rPr>
          <w:rFonts w:ascii="Arial" w:eastAsia="Times New Roman" w:hAnsi="Arial" w:cs="Arial"/>
          <w:sz w:val="28"/>
          <w:szCs w:val="28"/>
          <w:lang w:eastAsia="es-ES"/>
        </w:rPr>
        <w:t>”, órgano encargado de dirigir y presidir el procedimiento de elección, estén dotadas de veracidad, certidumbre y apego a los correspondientes hechos y actos jurídicos, esto es, que los resultados de sus actividades sean verificables, fidedignos y confiables.</w:t>
      </w:r>
    </w:p>
    <w:p w14:paraId="478B365B"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 anterior implica que los actos y resoluciones electorales se han de basar en el conocimiento seguro y claro de lo que efectivamente es, sin manipulaciones o adulteraciones y con independencia de la forma de sentir y de pensar e incluso del interés particular de los integrantes de los órganos electorales, reduciendo al mínimo la posibilidad de errar y desterrando en lo posible cualquier vestigio de parcialidad, subjetividad y, por supuesto, de antijuridicidad.</w:t>
      </w:r>
    </w:p>
    <w:p w14:paraId="42B11B59"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Es la apreciación de las cosas, en su real naturaleza y dimensión </w:t>
      </w:r>
      <w:r w:rsidRPr="00791593">
        <w:rPr>
          <w:rFonts w:ascii="Arial" w:eastAsia="Times New Roman" w:hAnsi="Arial" w:cs="Arial"/>
          <w:sz w:val="28"/>
          <w:szCs w:val="28"/>
          <w:lang w:eastAsia="es-ES"/>
        </w:rPr>
        <w:lastRenderedPageBreak/>
        <w:t>objetiva, lo que permite que los actos y resoluciones que provienen de la autoridad electoral, en el ejercicio de sus atribuciones, se consideren apegados a la realidad material o histórica, es decir, que tengan su base en hechos reales, ciertos, evitando el error, la vaguedad y/o la ambigüedad.</w:t>
      </w:r>
    </w:p>
    <w:p w14:paraId="1F72FA7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791593">
        <w:rPr>
          <w:rFonts w:ascii="Arial" w:eastAsia="Times New Roman" w:hAnsi="Arial" w:cs="Arial"/>
          <w:sz w:val="28"/>
          <w:szCs w:val="28"/>
          <w:lang w:eastAsia="es-ES"/>
        </w:rPr>
        <w:t xml:space="preserve">A fin de cumplir la exigencia de certeza, en la etapa de cómputo de una elección, es necesario que el acta </w:t>
      </w:r>
      <w:r w:rsidRPr="00791593">
        <w:rPr>
          <w:rFonts w:ascii="Arial" w:eastAsia="Times New Roman" w:hAnsi="Arial" w:cs="Arial"/>
          <w:b/>
          <w:sz w:val="28"/>
          <w:szCs w:val="28"/>
          <w:lang w:eastAsia="es-ES"/>
        </w:rPr>
        <w:t>de la Asamblea General Comunitaria,</w:t>
      </w:r>
      <w:r w:rsidRPr="00791593">
        <w:rPr>
          <w:rFonts w:ascii="Arial" w:eastAsia="Times New Roman" w:hAnsi="Arial" w:cs="Arial"/>
          <w:sz w:val="28"/>
          <w:szCs w:val="28"/>
          <w:lang w:eastAsia="es-ES"/>
        </w:rPr>
        <w:t xml:space="preserve"> que se </w:t>
      </w:r>
      <w:r w:rsidRPr="00791593">
        <w:rPr>
          <w:rFonts w:ascii="Arial" w:eastAsia="Times New Roman" w:hAnsi="Arial" w:cs="Arial"/>
          <w:b/>
          <w:sz w:val="28"/>
          <w:szCs w:val="28"/>
          <w:lang w:eastAsia="es-ES"/>
        </w:rPr>
        <w:t>elabora al final de la jornada electoral,</w:t>
      </w:r>
      <w:r w:rsidRPr="00791593">
        <w:rPr>
          <w:rFonts w:ascii="Arial" w:eastAsia="Times New Roman" w:hAnsi="Arial" w:cs="Arial"/>
          <w:sz w:val="28"/>
          <w:szCs w:val="28"/>
          <w:lang w:eastAsia="es-ES"/>
        </w:rPr>
        <w:t xml:space="preserve"> en la cual se hace constar el desarrollo de la jornada electoral, así como los resultados del cómputo, </w:t>
      </w:r>
      <w:r w:rsidRPr="00791593">
        <w:rPr>
          <w:rFonts w:ascii="Arial" w:eastAsia="Times New Roman" w:hAnsi="Arial" w:cs="Arial"/>
          <w:b/>
          <w:sz w:val="28"/>
          <w:szCs w:val="28"/>
          <w:lang w:eastAsia="es-ES"/>
        </w:rPr>
        <w:t>deba ser firmada por los integrantes de la Mesa de Debates</w:t>
      </w:r>
      <w:r w:rsidRPr="00791593">
        <w:rPr>
          <w:rFonts w:ascii="Arial" w:eastAsia="Times New Roman" w:hAnsi="Arial" w:cs="Arial"/>
          <w:sz w:val="28"/>
          <w:szCs w:val="28"/>
          <w:lang w:eastAsia="es-ES"/>
        </w:rPr>
        <w:t xml:space="preserve">, por los funcionarios municipales y ciudadanos que hubieren asistido y que deban hacerlo, para posteriormente remitirla al Consejo General del Instituto Electoral local, con la lista de asistencia a la Asamblea Electiva, dentro de los cinco días posteriores a la celebración de la jornada electoral, para que la autoridad administrativa electoral revise si se </w:t>
      </w:r>
      <w:r w:rsidRPr="00791593">
        <w:rPr>
          <w:rFonts w:ascii="Arial" w:eastAsia="Times New Roman" w:hAnsi="Arial" w:cs="Arial"/>
          <w:b/>
          <w:sz w:val="28"/>
          <w:szCs w:val="28"/>
          <w:lang w:eastAsia="es-ES"/>
        </w:rPr>
        <w:t>cumplieron las disposiciones establecidas por la comunidad y si los nuevos integrantes del órgano de autoridad obtuvieron, conforme a la normativa aplicable, el mayor número de votos, para estar en posibilidad de reconocer la validez de la elección y expedir las constancias de mayoría a favor de los concejales electos.</w:t>
      </w:r>
    </w:p>
    <w:p w14:paraId="18FEF4C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Como consecuencia, si el principio de certeza es fundamental en toda elección, en términos de la Constitución Política de los Estados Unidos Mexicanos y de la normativa constitucional y legal electoral del Estado de Oaxaca, es conforme a Derecho concluir que cuando este principio no se cumple se puede viciar el procedimiento electoral, en una </w:t>
      </w:r>
      <w:r w:rsidRPr="00791593">
        <w:rPr>
          <w:rFonts w:ascii="Arial" w:eastAsia="Times New Roman" w:hAnsi="Arial" w:cs="Arial"/>
          <w:sz w:val="28"/>
          <w:szCs w:val="28"/>
          <w:lang w:eastAsia="es-ES"/>
        </w:rPr>
        <w:lastRenderedPageBreak/>
        <w:t>determinada etapa o incluso en su totalidad.</w:t>
      </w:r>
    </w:p>
    <w:p w14:paraId="08025350"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5. De las elecciones celebradas bajo el régimen de usos y costumbres en el Estado de Oaxaca. Procedimiento deliberativo y elección en asamblea.</w:t>
      </w:r>
    </w:p>
    <w:p w14:paraId="5C42DAAF"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Por lo que hace al régimen jurídico de las elecciones que se llevan bajo el sistema de usos y costumbres, cabe destacar que en el artículo 2°, apartado A, fracciones I, II, III y VIII, de la Constitución Política de los Estados Unidos Mexicanos, se establece que la Nación Mexicana tiene una composición pluricultural, sustentada originalmente en sus pueblos indígenas, cuyo derecho a su libre determinación se ejerce en el marco constitucional de autonomía, entre otros aspectos, para decidir sus formas internas de convivencia y organización política y cultural, y de elegir, de acuerdo a sus normas, procedimientos y prácticas tradicionales, a los integrantes de los órganos de autoridad municipal o a los representantes de la comunidad, en los municipios con población indígena, ante los Ayuntamientos.</w:t>
      </w:r>
    </w:p>
    <w:p w14:paraId="0BCC5560"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Al caso se debe señalar que en la Constitución Política del Estado Libre y Soberano de Oaxaca, también se reconoce el derecho de la libre determinación de las comunidades indígenas, para llevar a cabo sus procedimientos electorales, conforme a sus sistemas normativos internos. </w:t>
      </w:r>
    </w:p>
    <w:p w14:paraId="38F409A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Los preceptos constitucionales de la aludida entidad federativa, que se refieren a los procedimientos electorales indígenas son los siguientes:</w:t>
      </w:r>
    </w:p>
    <w:p w14:paraId="052269D1"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b/>
          <w:sz w:val="24"/>
          <w:szCs w:val="28"/>
          <w:lang w:eastAsia="es-ES"/>
        </w:rPr>
        <w:lastRenderedPageBreak/>
        <w:t>Artículo 16.</w:t>
      </w:r>
      <w:r w:rsidRPr="00791593">
        <w:rPr>
          <w:rFonts w:ascii="Arial" w:eastAsia="Times New Roman" w:hAnsi="Arial" w:cs="Arial"/>
          <w:sz w:val="24"/>
          <w:szCs w:val="28"/>
          <w:lang w:eastAsia="es-ES"/>
        </w:rPr>
        <w:t xml:space="preserve"> El Estado de Oaxaca tiene una composición multiétnica, multilingüe y pluricultural, sustentada en la presencia y diversidad de los pueblos y comunidades que lo integran. El derecho a la libre determinación de los pueblos y comunidades indígenas, así como del Pueblo y comunidades afromexicanas se expresa como autonomía, en tanto partes integrantes del Estado de Oaxaca, en el marco del orden jurídico vigente; por tanto dichos pueblos y comunidades tienen personalidad jurídica de derecho público y gozan de derechos sociales. La ley reglamentaria establecerá las medidas y procedimientos que permitan hacer valer y respetar los derechos sociales de los pueblos y comunidades indígenas y del Pueblo y comunidades afromexicanas.</w:t>
      </w:r>
    </w:p>
    <w:p w14:paraId="144221DD"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sz w:val="24"/>
          <w:szCs w:val="28"/>
          <w:lang w:eastAsia="es-ES"/>
        </w:rPr>
        <w:t>[…]</w:t>
      </w:r>
    </w:p>
    <w:p w14:paraId="4819D1D5"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sz w:val="24"/>
          <w:szCs w:val="28"/>
          <w:lang w:eastAsia="es-ES"/>
        </w:rPr>
        <w:t xml:space="preserve">Se reconocen los sistemas normativos internos de los pueblos y comunidades indígenas y afromexicanas, así como jurisdicción a las autoridades comunitarias de los mismos. La Ley reglamentaria establecerá los casos y formalidades en que proceda la jurisdicción mencionada y las formas de homologación y convalidación de los procedimientos, juicios, decisiones y resoluciones de las autoridades comunitarias. </w:t>
      </w:r>
    </w:p>
    <w:p w14:paraId="2193BB36"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sz w:val="24"/>
          <w:szCs w:val="28"/>
          <w:lang w:eastAsia="es-ES"/>
        </w:rPr>
        <w:t>[…]</w:t>
      </w:r>
    </w:p>
    <w:p w14:paraId="3B81D07F"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b/>
          <w:sz w:val="24"/>
          <w:szCs w:val="28"/>
          <w:lang w:eastAsia="es-ES"/>
        </w:rPr>
        <w:t>Artículo 25.</w:t>
      </w:r>
      <w:r w:rsidRPr="00791593">
        <w:rPr>
          <w:rFonts w:ascii="Arial" w:eastAsia="Times New Roman" w:hAnsi="Arial" w:cs="Arial"/>
          <w:sz w:val="24"/>
          <w:szCs w:val="28"/>
          <w:lang w:eastAsia="es-ES"/>
        </w:rPr>
        <w:t xml:space="preserve"> El sistema electoral y de participación ciudadana del Estado se regirá por las siguientes bases:</w:t>
      </w:r>
    </w:p>
    <w:p w14:paraId="7E2875B8"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sz w:val="24"/>
          <w:szCs w:val="28"/>
          <w:lang w:eastAsia="es-ES"/>
        </w:rPr>
        <w:t>A. DE LAS ELECCIONES</w:t>
      </w:r>
    </w:p>
    <w:p w14:paraId="71390F06"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sz w:val="24"/>
          <w:szCs w:val="28"/>
          <w:lang w:eastAsia="es-ES"/>
        </w:rPr>
        <w:t>Los procesos electorales y de participación ciudadana son actos de interés público. Su organización, desarrollo y calificación estarán a cargo del órgano electoral, las instancias jurisdiccionales competentes y de la ciudadanía en la forma y términos que establezcan las leyes.</w:t>
      </w:r>
    </w:p>
    <w:p w14:paraId="35024AB2"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sz w:val="24"/>
          <w:szCs w:val="28"/>
          <w:lang w:eastAsia="es-ES"/>
        </w:rPr>
        <w:t>[…]</w:t>
      </w:r>
    </w:p>
    <w:p w14:paraId="33F86FB2"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sz w:val="24"/>
          <w:szCs w:val="28"/>
          <w:lang w:eastAsia="es-ES"/>
        </w:rPr>
        <w:t>II. La ley protegerá y propiciará las prácticas democráticas en todas las comunidades indígenas y afromexicanas del Estado de Oaxaca, para la elección de sus Ayuntamientos, en los términos establecidos por el artículo 2°. Apartado A, fracciones III y VII de la Constitución Política de los Estados Unidos Mexicanos y 16 de la Constitución Política del Estado Libre y Soberano de Oaxaca; establecerá los mecanismos para garantizar la plena y total participación de la mujer en dichos procesos electorales y el ejercicio de su derecho a votar y ser votada en condiciones de igualdad con el de los varones y sancionará su contravención.</w:t>
      </w:r>
    </w:p>
    <w:p w14:paraId="5CE1E21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Además, en el Código de Instituciones Políticas y Procedimientos Electorales para el Estado de Oaxaca, se prevén las normas de </w:t>
      </w:r>
      <w:r w:rsidRPr="00791593">
        <w:rPr>
          <w:rFonts w:ascii="Arial" w:eastAsia="Times New Roman" w:hAnsi="Arial" w:cs="Arial"/>
          <w:sz w:val="28"/>
          <w:szCs w:val="28"/>
          <w:lang w:eastAsia="es-ES"/>
        </w:rPr>
        <w:lastRenderedPageBreak/>
        <w:t xml:space="preserve">instrumentación de los procedimientos electorales que se rigen por los sistemas normativos indígenas, en los términos siguientes: </w:t>
      </w:r>
    </w:p>
    <w:p w14:paraId="60AC8CA9"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b/>
          <w:sz w:val="24"/>
          <w:szCs w:val="28"/>
          <w:lang w:eastAsia="es-ES"/>
        </w:rPr>
      </w:pPr>
      <w:r w:rsidRPr="00791593">
        <w:rPr>
          <w:rFonts w:ascii="Arial" w:eastAsia="Times New Roman" w:hAnsi="Arial" w:cs="Arial"/>
          <w:b/>
          <w:sz w:val="24"/>
          <w:szCs w:val="28"/>
          <w:lang w:eastAsia="es-ES"/>
        </w:rPr>
        <w:t>De la Renovación de los Ayuntamientos en Municipios que Electoralmente se rigen por Sistemas Normativos Internos</w:t>
      </w:r>
    </w:p>
    <w:p w14:paraId="569D2196"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b/>
          <w:sz w:val="24"/>
          <w:szCs w:val="28"/>
          <w:lang w:eastAsia="es-ES"/>
        </w:rPr>
      </w:pPr>
      <w:r w:rsidRPr="00791593">
        <w:rPr>
          <w:rFonts w:ascii="Arial" w:eastAsia="Times New Roman" w:hAnsi="Arial" w:cs="Arial"/>
          <w:b/>
          <w:sz w:val="24"/>
          <w:szCs w:val="28"/>
          <w:lang w:eastAsia="es-ES"/>
        </w:rPr>
        <w:t>TÍTULO PRIMERO</w:t>
      </w:r>
    </w:p>
    <w:p w14:paraId="651E4A70"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b/>
          <w:sz w:val="24"/>
          <w:szCs w:val="28"/>
          <w:lang w:eastAsia="es-ES"/>
        </w:rPr>
      </w:pPr>
      <w:r w:rsidRPr="00791593">
        <w:rPr>
          <w:rFonts w:ascii="Arial" w:eastAsia="Times New Roman" w:hAnsi="Arial" w:cs="Arial"/>
          <w:b/>
          <w:sz w:val="24"/>
          <w:szCs w:val="28"/>
          <w:lang w:eastAsia="es-ES"/>
        </w:rPr>
        <w:t>Disposiciones Preliminares</w:t>
      </w:r>
    </w:p>
    <w:p w14:paraId="561A8773"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b/>
          <w:sz w:val="24"/>
          <w:szCs w:val="28"/>
          <w:lang w:eastAsia="es-ES"/>
        </w:rPr>
      </w:pPr>
      <w:r w:rsidRPr="00791593">
        <w:rPr>
          <w:rFonts w:ascii="Arial" w:eastAsia="Times New Roman" w:hAnsi="Arial" w:cs="Arial"/>
          <w:b/>
          <w:sz w:val="24"/>
          <w:szCs w:val="28"/>
          <w:lang w:eastAsia="es-ES"/>
        </w:rPr>
        <w:t>CAPÍTULO ÚNICO</w:t>
      </w:r>
    </w:p>
    <w:p w14:paraId="52CB1BAC"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b/>
          <w:sz w:val="24"/>
          <w:szCs w:val="28"/>
          <w:lang w:eastAsia="es-ES"/>
        </w:rPr>
      </w:pPr>
      <w:r w:rsidRPr="00791593">
        <w:rPr>
          <w:rFonts w:ascii="Arial" w:eastAsia="Times New Roman" w:hAnsi="Arial" w:cs="Arial"/>
          <w:b/>
          <w:sz w:val="24"/>
          <w:szCs w:val="28"/>
          <w:lang w:eastAsia="es-ES"/>
        </w:rPr>
        <w:t>Del Derecho a la Libre Determinación y Autonomía</w:t>
      </w:r>
    </w:p>
    <w:p w14:paraId="54F1679B"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b/>
          <w:sz w:val="24"/>
          <w:szCs w:val="28"/>
          <w:lang w:eastAsia="es-ES"/>
        </w:rPr>
      </w:pPr>
      <w:r w:rsidRPr="00791593">
        <w:rPr>
          <w:rFonts w:ascii="Arial" w:eastAsia="Times New Roman" w:hAnsi="Arial" w:cs="Arial"/>
          <w:b/>
          <w:sz w:val="24"/>
          <w:szCs w:val="28"/>
          <w:lang w:eastAsia="es-ES"/>
        </w:rPr>
        <w:t>Artículo 255</w:t>
      </w:r>
    </w:p>
    <w:p w14:paraId="4C208225"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sz w:val="24"/>
          <w:szCs w:val="28"/>
          <w:lang w:eastAsia="es-ES"/>
        </w:rPr>
        <w:t>[…]</w:t>
      </w:r>
    </w:p>
    <w:p w14:paraId="162DA14E"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sz w:val="24"/>
          <w:szCs w:val="28"/>
          <w:lang w:eastAsia="es-ES"/>
        </w:rPr>
        <w:t>2. Se reconoce y garantiza el derecho de los pueblos y las comunidades indígenas del Estado de Oaxaca a la libre determinación expresada en la autonomía para decidir sus formas internas de convivencia y organización política, así como para elegir, de acuerdo con sus normas, procedimientos y prácticas tradicionales, a las autoridades o representantes para el ejercicio de sus formas propias de gobierno, garantizando la participación de las mujeres en condiciones de igualdad frente a los hombres, en un marco que respete la Constitución Federal, la Constitución Estatal y la Soberanía del Estado.</w:t>
      </w:r>
    </w:p>
    <w:p w14:paraId="6F91FB55"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sz w:val="24"/>
          <w:szCs w:val="28"/>
          <w:lang w:eastAsia="es-ES"/>
        </w:rPr>
        <w:t>[…]</w:t>
      </w:r>
    </w:p>
    <w:p w14:paraId="4E63EF74"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sz w:val="24"/>
          <w:szCs w:val="28"/>
          <w:lang w:eastAsia="es-ES"/>
        </w:rPr>
        <w:t>4. En este Código se entiende por sistemas normativos internos, los principios generales, las normas orales o escritas, instituciones y procedimientos que los municipios y comunidades indígenas reconocen como válidas y vigentes, y aplican en el desarrollo de su autogobierno, en particular en la definición de sus cargos y servicios, la elección y nombramiento de las autoridades comunitarias del gobierno municipal, la resolución de sus conflictos internos cuya determinación no sea competencia del Congreso; la participación en los asuntos que son susceptibles de afectarles y la protección de sus principios, valores y culturas políticas propias en el ámbito municipal, como expresión del derecho de la libre determinación y autonomía reconocidos en la Constitución Federal, los tratados internacionales y la Constitución Estatal.</w:t>
      </w:r>
    </w:p>
    <w:p w14:paraId="6AE60D7B"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sz w:val="24"/>
          <w:szCs w:val="28"/>
          <w:lang w:eastAsia="es-ES"/>
        </w:rPr>
        <w:t>5. El procedimiento electoral en el régimen de sistemas normativos internos, comprende el conjunto de actos realizados por los ciudadanos y las autoridades competentes de los municipios que se rigen por sus sistemas normativos internos, para la renovación y prestación de cargos y servicios municipales. Estos actos comprenden desde la preparación de las asambleas electivas, el desarrollo de las mismas y el levantamiento de las actas correspondientes.</w:t>
      </w:r>
    </w:p>
    <w:p w14:paraId="16A00772" w14:textId="77777777" w:rsidR="006F5238" w:rsidRPr="00791593" w:rsidRDefault="006F5238" w:rsidP="006F5238">
      <w:pPr>
        <w:widowControl w:val="0"/>
        <w:spacing w:before="120" w:after="120" w:line="240" w:lineRule="auto"/>
        <w:ind w:left="567" w:right="567" w:firstLine="709"/>
        <w:jc w:val="both"/>
        <w:rPr>
          <w:rFonts w:ascii="Arial" w:eastAsia="Times New Roman" w:hAnsi="Arial" w:cs="Arial"/>
          <w:sz w:val="24"/>
          <w:szCs w:val="28"/>
          <w:lang w:eastAsia="es-ES"/>
        </w:rPr>
      </w:pPr>
      <w:r w:rsidRPr="00791593">
        <w:rPr>
          <w:rFonts w:ascii="Arial" w:eastAsia="Times New Roman" w:hAnsi="Arial" w:cs="Arial"/>
          <w:sz w:val="24"/>
          <w:szCs w:val="28"/>
          <w:lang w:eastAsia="es-ES"/>
        </w:rPr>
        <w:lastRenderedPageBreak/>
        <w:t>6. El Instituto será garante de los derechos tutelados por los artículos 1 y 2 de la Constitución Federal, y 16 y 25, fracción II, del apartado A, de la Constitución Estatal, para salvaguardar el derecho a la libre determinación de los pueblos indígenas expresada en sus sistemas normativos internos y la autonomía para elegir a sus autoridades o gobiernos locales; así como en el reconocimiento a la diversidad de culturas y sistemas normativos existentes en el Estado".</w:t>
      </w:r>
    </w:p>
    <w:p w14:paraId="144A594A"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De la normativa trasunta se advierte que la Constitución federal, así como la Constitución y Código electoral del Estado, reconocen y garantizan los sistemas normativos indígenas; además, de establecer que los procedimientos electorales son de interés público, cuya organización, desarrollo y calificación debe estar a cargo del respectivo órgano electoral estatal, las instituciones jurisdiccionales competentes y de la ciudadanía, en la forma y términos que establezcan las leyes.</w:t>
      </w:r>
    </w:p>
    <w:p w14:paraId="03501A3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Asimismo, se prevé que los sistemas normativos indígenas se integran por los principios generales, las normas orales o escritas, instituciones y procedimientos que los municipios y comunidades indígenas reconocen como válidos y vigentes, que se aplican en el desarrollo de sus elecciones, en particular en la definición de sus cargos y servicios, la elección y nombramiento de las autoridades comunitarias del gobierno municipal, que son reconocidos como expresión del derecho de la libre determinación y autonomía establecidos en la Constitución federal, los tratados internacionales y la Constitución Estatal.</w:t>
      </w:r>
    </w:p>
    <w:p w14:paraId="33098705"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Ahora bien, por lo que hace al procedimiento deliberativo y la elección en la asamblea, se establece en el Código de Instituciones Políticas y Procedimientos Electorales para el Estado de Oaxaca, que comprende el conjunto de actos llevados a cabo por los ciudadanos y </w:t>
      </w:r>
      <w:r w:rsidRPr="00791593">
        <w:rPr>
          <w:rFonts w:ascii="Arial" w:eastAsia="Times New Roman" w:hAnsi="Arial" w:cs="Arial"/>
          <w:sz w:val="28"/>
          <w:szCs w:val="28"/>
          <w:lang w:eastAsia="es-ES"/>
        </w:rPr>
        <w:lastRenderedPageBreak/>
        <w:t>los órganos de autoridad competentes de los municipios que se rigen por sus sistemas normativos internos, para la renovación y prestación de cargos y servicios municipales. En su caso, estos actos corresponden a la preparación de las asambleas electivas, el desarrollo de éstas y la elaboración de las actas correspondientes.</w:t>
      </w:r>
    </w:p>
    <w:p w14:paraId="0F8D8DA8"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este orden de ideas, si bien es cierto que en la Ley Suprema de la Federación, así como en la Constitución y en el Código del Estado de Oaxaca, se reconoce y garantiza el derecho de las comunidades indígenas a la aplicación de sus sistemas normativos internos, entre los que está el derecho de llevar a cabo el procedimiento deliberativo y la elección en Asamblea de los depositarios del Poder Público, también lo es que tal derecho no es ilimitado, no es un derecho absoluto. En términos de lo previsto en los artículos 1° y 2°, párrafo quinto, de la Constitución Política de los Estados Unidos Mexicanos, su ejercicio debe de estar, invariablemente, supeditado a los principios y normas establecidas en la Constitución federal y en los tratados internacionales tuteladores de derechos humanos, tomando en cuenta el contexto de cada caso.</w:t>
      </w:r>
    </w:p>
    <w:p w14:paraId="44803169"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Así, resulta inconcuso para esta Sala Superior que los principios rectores de certeza, legalidad, independencia, imparcialidad, objetividad y máxima publicidad, previstos en los artículos 41 y 116, párrafo segundo, fracción IV, inciso b), de la Ley Suprema de la Federación, son normativa vigente en los procedimientos electorales llevados a cabo en las comunidades indígenas, mediante el sistema normativo de usos y costumbres, generalmente caracterizados por su unidad y concatenación de actos y hechos que los integran; por ende, esos </w:t>
      </w:r>
      <w:r w:rsidRPr="00791593">
        <w:rPr>
          <w:rFonts w:ascii="Arial" w:eastAsia="Times New Roman" w:hAnsi="Arial" w:cs="Arial"/>
          <w:sz w:val="28"/>
          <w:szCs w:val="28"/>
          <w:lang w:eastAsia="es-ES"/>
        </w:rPr>
        <w:lastRenderedPageBreak/>
        <w:t>principios constitucionales son aplicables a los procedimientos deliberativos y a las elecciones en asamblea de las comunidades indígenas, en las que eligen a los integrantes de sus órganos de autoridad.</w:t>
      </w:r>
    </w:p>
    <w:p w14:paraId="04F458A6"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6. Consideraciones del Tribunal Estatal Electoral del Poder Judicial de Oaxaca.</w:t>
      </w:r>
    </w:p>
    <w:p w14:paraId="2CF9811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En la sentencia dictada en el juicio electoral de los sistemas normativos internos identificada con la clave de expediente JNI/09/2014, el Tribunal Estatal Electoral del Poder Judicial de Oaxaca </w:t>
      </w:r>
      <w:r w:rsidRPr="00791593">
        <w:rPr>
          <w:rFonts w:ascii="Arial" w:eastAsia="Times New Roman" w:hAnsi="Arial" w:cs="Arial"/>
          <w:b/>
          <w:sz w:val="28"/>
          <w:szCs w:val="28"/>
          <w:lang w:eastAsia="es-ES"/>
        </w:rPr>
        <w:t>tuvo por acreditada la violación al principio de certeza,</w:t>
      </w:r>
      <w:r w:rsidRPr="00791593">
        <w:rPr>
          <w:rFonts w:ascii="Arial" w:eastAsia="Times New Roman" w:hAnsi="Arial" w:cs="Arial"/>
          <w:sz w:val="28"/>
          <w:szCs w:val="28"/>
          <w:lang w:eastAsia="es-ES"/>
        </w:rPr>
        <w:t xml:space="preserve"> al considerar que el Consejo General del Instituto Estatal Electoral y de Participación Ciudadana de esa entidad federativa </w:t>
      </w:r>
      <w:r w:rsidRPr="00791593">
        <w:rPr>
          <w:rFonts w:ascii="Arial" w:eastAsia="Times New Roman" w:hAnsi="Arial" w:cs="Arial"/>
          <w:b/>
          <w:sz w:val="28"/>
          <w:szCs w:val="28"/>
          <w:lang w:eastAsia="es-ES"/>
        </w:rPr>
        <w:t>no valoró adecuadamente los elementos probatorios</w:t>
      </w:r>
      <w:r w:rsidRPr="00791593">
        <w:rPr>
          <w:rFonts w:ascii="Arial" w:eastAsia="Times New Roman" w:hAnsi="Arial" w:cs="Arial"/>
          <w:sz w:val="28"/>
          <w:szCs w:val="28"/>
          <w:lang w:eastAsia="es-ES"/>
        </w:rPr>
        <w:t xml:space="preserve"> que obraban en el expediente de elección. Las razones del mencionado Tribunal Electoral local son las siguientes:</w:t>
      </w:r>
    </w:p>
    <w:p w14:paraId="7AD93BD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6.1</w:t>
      </w:r>
      <w:r w:rsidRPr="00791593">
        <w:rPr>
          <w:rFonts w:ascii="Arial" w:eastAsia="Times New Roman" w:hAnsi="Arial" w:cs="Arial"/>
          <w:sz w:val="28"/>
          <w:szCs w:val="28"/>
          <w:lang w:eastAsia="es-ES"/>
        </w:rPr>
        <w:t xml:space="preserve"> Del acta de la Asamblea General Comunitaria para la elección de integrantes del citado Ayuntamiento (Presidente Municipal, el respectivo suplente, Síndico Municipal, </w:t>
      </w:r>
      <w:r w:rsidRPr="00791593">
        <w:rPr>
          <w:rFonts w:ascii="Arial" w:eastAsia="Times New Roman" w:hAnsi="Arial" w:cs="Arial"/>
          <w:i/>
          <w:sz w:val="28"/>
          <w:szCs w:val="28"/>
          <w:lang w:eastAsia="es-ES"/>
        </w:rPr>
        <w:t>“</w:t>
      </w:r>
      <w:r w:rsidRPr="00791593">
        <w:rPr>
          <w:rFonts w:ascii="Arial" w:eastAsia="Times New Roman" w:hAnsi="Arial" w:cs="Arial"/>
          <w:i/>
          <w:sz w:val="24"/>
          <w:szCs w:val="24"/>
          <w:lang w:eastAsia="es-ES"/>
        </w:rPr>
        <w:t>Regidor Primero o de Hacienda”, “Regidor Segundo o de educación</w:t>
      </w:r>
      <w:r w:rsidRPr="00791593">
        <w:rPr>
          <w:rFonts w:ascii="Arial" w:eastAsia="Times New Roman" w:hAnsi="Arial" w:cs="Arial"/>
          <w:i/>
          <w:sz w:val="28"/>
          <w:szCs w:val="28"/>
          <w:lang w:eastAsia="es-ES"/>
        </w:rPr>
        <w:t>”)</w:t>
      </w:r>
      <w:r w:rsidRPr="00791593">
        <w:rPr>
          <w:rFonts w:ascii="Arial" w:eastAsia="Times New Roman" w:hAnsi="Arial" w:cs="Arial"/>
          <w:sz w:val="28"/>
          <w:szCs w:val="28"/>
          <w:lang w:eastAsia="es-ES"/>
        </w:rPr>
        <w:t xml:space="preserve">, </w:t>
      </w:r>
      <w:r w:rsidRPr="00791593">
        <w:rPr>
          <w:rFonts w:ascii="Arial" w:eastAsia="Times New Roman" w:hAnsi="Arial" w:cs="Arial"/>
          <w:bCs/>
          <w:sz w:val="28"/>
          <w:szCs w:val="28"/>
          <w:lang w:eastAsia="es-ES"/>
        </w:rPr>
        <w:t xml:space="preserve">para el periodo dos mil catorce-dos mil dieciséis (2014-2016), celebrada el diecisiete de </w:t>
      </w:r>
      <w:r w:rsidRPr="00791593">
        <w:rPr>
          <w:rFonts w:ascii="Arial" w:eastAsia="Times New Roman" w:hAnsi="Arial" w:cs="Arial"/>
          <w:sz w:val="28"/>
          <w:szCs w:val="28"/>
          <w:lang w:eastAsia="es-ES"/>
        </w:rPr>
        <w:t xml:space="preserve">noviembre de dos mil trece, el Tribunal local consideró que </w:t>
      </w:r>
      <w:r w:rsidRPr="00791593">
        <w:rPr>
          <w:rFonts w:ascii="Arial" w:eastAsia="Times New Roman" w:hAnsi="Arial" w:cs="Arial"/>
          <w:b/>
          <w:sz w:val="28"/>
          <w:szCs w:val="28"/>
          <w:lang w:eastAsia="es-ES"/>
        </w:rPr>
        <w:t>no existía certeza sobre los datos que se habían asentado</w:t>
      </w:r>
      <w:r w:rsidRPr="00791593">
        <w:rPr>
          <w:rFonts w:ascii="Arial" w:eastAsia="Times New Roman" w:hAnsi="Arial" w:cs="Arial"/>
          <w:sz w:val="28"/>
          <w:szCs w:val="28"/>
          <w:lang w:eastAsia="es-ES"/>
        </w:rPr>
        <w:t xml:space="preserve">, teniendo en consideración que se indicó que el día de la elección asistieron tres mil doscientos veinte ciudadanos (3,220); sin embargo, no se adjuntó, a la mencionada acta, </w:t>
      </w:r>
      <w:r w:rsidRPr="00791593">
        <w:rPr>
          <w:rFonts w:ascii="Arial" w:eastAsia="Times New Roman" w:hAnsi="Arial" w:cs="Arial"/>
          <w:b/>
          <w:sz w:val="28"/>
          <w:szCs w:val="28"/>
          <w:lang w:eastAsia="es-ES"/>
        </w:rPr>
        <w:t>la lista de asistencia de los ciudadanos que participaron el día de la elección.</w:t>
      </w:r>
    </w:p>
    <w:p w14:paraId="7AD8CE89"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lastRenderedPageBreak/>
        <w:t>En consecuencia, concluyó el Tribunal local, no era posible establecer el numero cierto de ciudadanos que asistieron a la asamblea electoral y tampoco el número cierto de votos que obtuvo cada una de las planillas de candidatos que participaron; lo cual traía como resultado que no se pudiera afirmar que la planilla declarada ganadora, hubiera sido electa sólo por los habitantes del Municipio de San Sebastián Tecomaxtlahuaca, Juxtlahuaca, Oaxaca.</w:t>
      </w:r>
    </w:p>
    <w:p w14:paraId="6A7869A9"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Máxime que, se destacó que en el acta de la Asamblea de veintidós de septiembre de dos mil trece, se hizo constar que la Asamblea General Comunitaria estuvo integrada con mil doscientos noventa y dos votos (1292), en la que se determinó el método –“</w:t>
      </w:r>
      <w:r w:rsidRPr="00791593">
        <w:rPr>
          <w:rFonts w:ascii="Arial" w:eastAsia="Times New Roman" w:hAnsi="Arial" w:cs="Arial"/>
          <w:i/>
          <w:sz w:val="24"/>
          <w:szCs w:val="28"/>
          <w:lang w:eastAsia="es-ES"/>
        </w:rPr>
        <w:t>como se ha acostumbrado</w:t>
      </w:r>
      <w:r w:rsidRPr="00791593">
        <w:rPr>
          <w:rFonts w:ascii="Arial" w:eastAsia="Times New Roman" w:hAnsi="Arial" w:cs="Arial"/>
          <w:sz w:val="28"/>
          <w:szCs w:val="28"/>
          <w:lang w:eastAsia="es-ES"/>
        </w:rPr>
        <w:t>” y que participaran los ciudadanos de las Agencias Municipales, de Policía y núcleos rurales incluyendo al Casco de la población</w:t>
      </w:r>
      <w:r w:rsidRPr="00791593">
        <w:rPr>
          <w:rFonts w:ascii="Arial" w:eastAsia="Times New Roman" w:hAnsi="Arial" w:cs="Arial"/>
          <w:sz w:val="28"/>
          <w:szCs w:val="28"/>
          <w:lang w:eastAsia="es-ES"/>
        </w:rPr>
        <w:noBreakHyphen/>
        <w:t xml:space="preserve">, y fecha de elección </w:t>
      </w:r>
      <w:r w:rsidRPr="00791593">
        <w:rPr>
          <w:rFonts w:ascii="Arial" w:eastAsia="Times New Roman" w:hAnsi="Arial" w:cs="Arial"/>
          <w:sz w:val="28"/>
          <w:szCs w:val="28"/>
          <w:lang w:eastAsia="es-ES"/>
        </w:rPr>
        <w:noBreakHyphen/>
        <w:t>diecisiete de noviembre de dos mil trece</w:t>
      </w:r>
      <w:r w:rsidRPr="00791593">
        <w:rPr>
          <w:rFonts w:ascii="Arial" w:eastAsia="Times New Roman" w:hAnsi="Arial" w:cs="Arial"/>
          <w:sz w:val="28"/>
          <w:szCs w:val="28"/>
          <w:lang w:eastAsia="es-ES"/>
        </w:rPr>
        <w:noBreakHyphen/>
        <w:t>. Además, se hizo énfasis en que en este caso se adjuntó la lista de asistencia correspondiente con las respectivas firmas autógrafas de los que participaron en la mencionada Asamblea Comunitaria, lo cual genera la certidumbre de que como parte del uso y costumbre, en el citado Ayuntamiento, se anexan las firmas de los asistentes a las asambleas generales comunitarias.</w:t>
      </w:r>
    </w:p>
    <w:p w14:paraId="287A5708"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Además, el Tribunal local precisó que el acta de la Asamblea electiva de diecisiete de noviembre de dos mil trece solamente fue firmada por el Secretario de la Mesa de Debates y por siete de los diecinueve escrutadores; que no fue firmada por el Presidente de esa Mesa de Debates, tampoco por los restantes doce escrutadores, ni por las autoridades municipales, a pesar de que el Presidente Municipal </w:t>
      </w:r>
      <w:r w:rsidRPr="00791593">
        <w:rPr>
          <w:rFonts w:ascii="Arial" w:eastAsia="Times New Roman" w:hAnsi="Arial" w:cs="Arial"/>
          <w:sz w:val="28"/>
          <w:szCs w:val="28"/>
          <w:lang w:eastAsia="es-ES"/>
        </w:rPr>
        <w:lastRenderedPageBreak/>
        <w:t>tiene el deber de iniciar y concluir la Asamblea electiva y de firmar el acta correspondiente.</w:t>
      </w:r>
    </w:p>
    <w:p w14:paraId="78699130"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Otro de los elementos que el Tribunal local tomó en consideración, para determinar que se había violado el principio de certeza consistió en que en la citada acta de Asamblea electiva se precisó una lista de regidores y representantes municipales que presuntamente fueron nombrados en cada una de las localidades que pertenecen al citado Municipio y en consecuencia, eran quienes habían resultado electos para integrar el respectivo Ayuntamiento Municipal; sin embargo, no obraba en el “</w:t>
      </w:r>
      <w:r w:rsidRPr="00791593">
        <w:rPr>
          <w:rFonts w:ascii="Arial" w:eastAsia="Times New Roman" w:hAnsi="Arial" w:cs="Arial"/>
          <w:i/>
          <w:sz w:val="24"/>
          <w:szCs w:val="24"/>
          <w:lang w:eastAsia="es-ES"/>
        </w:rPr>
        <w:t>expediente electoral</w:t>
      </w:r>
      <w:r w:rsidRPr="00791593">
        <w:rPr>
          <w:rFonts w:ascii="Arial" w:eastAsia="Times New Roman" w:hAnsi="Arial" w:cs="Arial"/>
          <w:sz w:val="28"/>
          <w:szCs w:val="28"/>
          <w:lang w:eastAsia="es-ES"/>
        </w:rPr>
        <w:t>”, el acta de Asamblea de cada una de las comunidades, en las que supuestamente fueron nombrados los concejales en cita y tampoco se advertía la forma en que fueron electos; por tanto, que no era posible afirmar que aquellos regidores fueron electos por los habitantes de sus comunidades o por la Asamblea General electiva.</w:t>
      </w:r>
    </w:p>
    <w:p w14:paraId="04F3E2F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6.2</w:t>
      </w:r>
      <w:r w:rsidRPr="00791593">
        <w:rPr>
          <w:rFonts w:ascii="Arial" w:eastAsia="Times New Roman" w:hAnsi="Arial" w:cs="Arial"/>
          <w:sz w:val="28"/>
          <w:szCs w:val="28"/>
          <w:lang w:eastAsia="es-ES"/>
        </w:rPr>
        <w:t xml:space="preserve"> Del primer testimonio del </w:t>
      </w:r>
      <w:r w:rsidRPr="00791593">
        <w:rPr>
          <w:rFonts w:ascii="Arial" w:eastAsia="Times New Roman" w:hAnsi="Arial" w:cs="Arial"/>
          <w:bCs/>
          <w:sz w:val="28"/>
          <w:szCs w:val="28"/>
          <w:lang w:val="es-ES" w:eastAsia="es-ES"/>
        </w:rPr>
        <w:t xml:space="preserve">instrumento notarial treinta y tres mil ochocientos cincuenta y tres (33,853), del Protocolo del Notario Público </w:t>
      </w:r>
      <w:r w:rsidRPr="00791593">
        <w:rPr>
          <w:rFonts w:ascii="Arial" w:eastAsia="Times New Roman" w:hAnsi="Arial" w:cs="Arial"/>
          <w:sz w:val="28"/>
          <w:szCs w:val="28"/>
          <w:lang w:eastAsia="es-ES"/>
        </w:rPr>
        <w:t xml:space="preserve">diecinueve (19), del Estado de Oaxaca, Licenciado Rodolfo Morales Moreno, expedido el veinte de noviembre de dos mil trece, en el cual hace una certificación de los hechos ocurridos el día diecisiete del mismo mes y año, relativos al desarrollo de la Asamblea General Comunitaria para la elección de integrantes del mencionado Ayuntamiento, el Tribunal local consideró que </w:t>
      </w:r>
      <w:r w:rsidRPr="00791593">
        <w:rPr>
          <w:rFonts w:ascii="Arial" w:eastAsia="Times New Roman" w:hAnsi="Arial" w:cs="Arial"/>
          <w:b/>
          <w:sz w:val="28"/>
          <w:szCs w:val="28"/>
          <w:lang w:eastAsia="es-ES"/>
        </w:rPr>
        <w:t>no existía certeza respecto de los datos que se habían asentado</w:t>
      </w:r>
      <w:r w:rsidRPr="00791593">
        <w:rPr>
          <w:rFonts w:ascii="Arial" w:eastAsia="Times New Roman" w:hAnsi="Arial" w:cs="Arial"/>
          <w:sz w:val="28"/>
          <w:szCs w:val="28"/>
          <w:lang w:eastAsia="es-ES"/>
        </w:rPr>
        <w:t>, debido a las irregularidades de que adolece, las cuales son las siguientes:</w:t>
      </w:r>
    </w:p>
    <w:p w14:paraId="1B57C3D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lastRenderedPageBreak/>
        <w:t>I.</w:t>
      </w:r>
      <w:r w:rsidRPr="00791593">
        <w:rPr>
          <w:rFonts w:ascii="Arial" w:eastAsia="Times New Roman" w:hAnsi="Arial" w:cs="Arial"/>
          <w:sz w:val="28"/>
          <w:szCs w:val="28"/>
          <w:lang w:eastAsia="es-ES"/>
        </w:rPr>
        <w:t xml:space="preserve"> El instrumento notarial fue elaborado tres días después de la celebración de la elección, por lo que no existió inmediatez en la certificación de los hechos.</w:t>
      </w:r>
    </w:p>
    <w:p w14:paraId="11004D2C"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II.</w:t>
      </w:r>
      <w:r w:rsidRPr="00791593">
        <w:rPr>
          <w:rFonts w:ascii="Arial" w:eastAsia="Times New Roman" w:hAnsi="Arial" w:cs="Arial"/>
          <w:sz w:val="28"/>
          <w:szCs w:val="28"/>
          <w:lang w:eastAsia="es-ES"/>
        </w:rPr>
        <w:t xml:space="preserve"> Los candidatos que resultaron triunfadores, Javier Rubio Rosas y José Conrado Salazar Guzmán, fueron quienes solicitaron al fedatario público que llevara a cabo la certificación de  hechos, relativos a la jornada electoral del diecisiete de noviembre de dos mil trece, quienes ofrecieron como prueba ese instrumento notarial, a fin de sostener la validez del procedimiento electoral en el que resultaron electos; lo cual le resta valor probatorio a lo asentado en el documento. </w:t>
      </w:r>
    </w:p>
    <w:p w14:paraId="539D4A7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 xml:space="preserve">III. </w:t>
      </w:r>
      <w:r w:rsidRPr="00791593">
        <w:rPr>
          <w:rFonts w:ascii="Arial" w:eastAsia="Times New Roman" w:hAnsi="Arial" w:cs="Arial"/>
          <w:sz w:val="28"/>
          <w:szCs w:val="28"/>
          <w:lang w:eastAsia="es-ES"/>
        </w:rPr>
        <w:t xml:space="preserve">En el testimonio notarial se certifica únicamente el nombramiento de tres escrutadores y no de diecinueve, como se hizo constar en el acta de Asamblea electiva de diecisiete de noviembre de dos mil trece, </w:t>
      </w:r>
      <w:r w:rsidRPr="00791593">
        <w:rPr>
          <w:rFonts w:ascii="Arial" w:eastAsia="Times New Roman" w:hAnsi="Arial" w:cs="Arial"/>
          <w:b/>
          <w:sz w:val="28"/>
          <w:szCs w:val="28"/>
          <w:lang w:eastAsia="es-ES"/>
        </w:rPr>
        <w:t>lo cual es contrario al uso y costumbre del citado Ayuntamiento</w:t>
      </w:r>
      <w:r w:rsidRPr="00791593">
        <w:rPr>
          <w:rFonts w:ascii="Arial" w:eastAsia="Times New Roman" w:hAnsi="Arial" w:cs="Arial"/>
          <w:sz w:val="28"/>
          <w:szCs w:val="28"/>
          <w:lang w:eastAsia="es-ES"/>
        </w:rPr>
        <w:t>, teniendo en consideración que la costumbre consiste en nombrar quince escrutadores, para llevar a cabo el cómputo de votos.</w:t>
      </w:r>
    </w:p>
    <w:p w14:paraId="543E2A3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Asimismo, el Tribunal Estatal Electoral del Poder Judicial de Oaxaca tomó en consideración, en su sentencia, que obraban en el expediente de elección los siguientes documentos:</w:t>
      </w:r>
    </w:p>
    <w:p w14:paraId="6FE582C6" w14:textId="77777777" w:rsidR="006F5238" w:rsidRPr="00791593" w:rsidRDefault="006F5238" w:rsidP="008D1689">
      <w:pPr>
        <w:widowControl w:val="0"/>
        <w:numPr>
          <w:ilvl w:val="0"/>
          <w:numId w:val="5"/>
        </w:numPr>
        <w:spacing w:before="100" w:beforeAutospacing="1" w:after="100" w:afterAutospacing="1" w:line="360" w:lineRule="auto"/>
        <w:contextualSpacing/>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Treinta escritos signados por un total de “</w:t>
      </w:r>
      <w:r w:rsidRPr="00791593">
        <w:rPr>
          <w:rFonts w:ascii="Arial" w:eastAsia="Times New Roman" w:hAnsi="Arial" w:cs="Arial"/>
          <w:i/>
          <w:sz w:val="24"/>
          <w:szCs w:val="24"/>
          <w:lang w:eastAsia="es-ES"/>
        </w:rPr>
        <w:t>mil quinientos setenta y cinco representantes municipales y ciudadanos de 30 Comunidades que conforman el Municipio</w:t>
      </w:r>
      <w:r w:rsidRPr="00791593">
        <w:rPr>
          <w:rFonts w:ascii="Arial" w:eastAsia="Times New Roman" w:hAnsi="Arial" w:cs="Arial"/>
          <w:i/>
          <w:sz w:val="28"/>
          <w:szCs w:val="28"/>
          <w:lang w:eastAsia="es-ES"/>
        </w:rPr>
        <w:t>”</w:t>
      </w:r>
      <w:r w:rsidRPr="00791593">
        <w:rPr>
          <w:rFonts w:ascii="Arial" w:eastAsia="Times New Roman" w:hAnsi="Arial" w:cs="Arial"/>
          <w:sz w:val="28"/>
          <w:szCs w:val="28"/>
          <w:lang w:eastAsia="es-ES"/>
        </w:rPr>
        <w:t>, en los cuales solicitan se declare la nulidad de la elección de concejales, debido a la comisión de diversas irregularidades.</w:t>
      </w:r>
    </w:p>
    <w:p w14:paraId="52D6D220" w14:textId="77777777" w:rsidR="006F5238" w:rsidRPr="00791593" w:rsidRDefault="006F5238" w:rsidP="008D1689">
      <w:pPr>
        <w:widowControl w:val="0"/>
        <w:numPr>
          <w:ilvl w:val="0"/>
          <w:numId w:val="5"/>
        </w:numPr>
        <w:spacing w:before="100" w:beforeAutospacing="1" w:after="100" w:afterAutospacing="1" w:line="360" w:lineRule="auto"/>
        <w:contextualSpacing/>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lastRenderedPageBreak/>
        <w:t>Acta de la “</w:t>
      </w:r>
      <w:r w:rsidRPr="00791593">
        <w:rPr>
          <w:rFonts w:ascii="Arial" w:eastAsia="Times New Roman" w:hAnsi="Arial" w:cs="Arial"/>
          <w:i/>
          <w:sz w:val="28"/>
          <w:szCs w:val="28"/>
          <w:lang w:eastAsia="es-ES"/>
        </w:rPr>
        <w:t>Asamblea General de Comunidades</w:t>
      </w:r>
      <w:r w:rsidRPr="00791593">
        <w:rPr>
          <w:rFonts w:ascii="Arial" w:eastAsia="Times New Roman" w:hAnsi="Arial" w:cs="Arial"/>
          <w:sz w:val="28"/>
          <w:szCs w:val="28"/>
          <w:lang w:eastAsia="es-ES"/>
        </w:rPr>
        <w:t>”, de veinticuatro de noviembre de dos mil trece, en la cual los regidores, agentes y representantes municipales de veinticuatro comunidades, acordaron solicitar la nulidad de la elección de concejales, por las diversas irregularidades ocurridas el día de la elección, consistentes en que presuntamente personas que no “</w:t>
      </w:r>
      <w:r w:rsidRPr="00791593">
        <w:rPr>
          <w:rFonts w:ascii="Arial" w:eastAsia="Times New Roman" w:hAnsi="Arial" w:cs="Arial"/>
          <w:i/>
          <w:sz w:val="24"/>
          <w:szCs w:val="24"/>
          <w:lang w:eastAsia="es-ES"/>
        </w:rPr>
        <w:t>pertenecían al Municipio</w:t>
      </w:r>
      <w:r w:rsidRPr="00791593">
        <w:rPr>
          <w:rFonts w:ascii="Arial" w:eastAsia="Times New Roman" w:hAnsi="Arial" w:cs="Arial"/>
          <w:sz w:val="24"/>
          <w:szCs w:val="24"/>
          <w:lang w:eastAsia="es-ES"/>
        </w:rPr>
        <w:t>” emitieron su voto, además de que “</w:t>
      </w:r>
      <w:r w:rsidRPr="00791593">
        <w:rPr>
          <w:rFonts w:ascii="Arial" w:eastAsia="Times New Roman" w:hAnsi="Arial" w:cs="Arial"/>
          <w:i/>
          <w:sz w:val="24"/>
          <w:szCs w:val="24"/>
          <w:lang w:eastAsia="es-ES"/>
        </w:rPr>
        <w:t>los ciudadanos del casco insultaron y agredieron verbalmente a vecinos de las agencias municipales por no votar a favor de Javier Rubio Rosas</w:t>
      </w:r>
      <w:r w:rsidRPr="00791593">
        <w:rPr>
          <w:rFonts w:ascii="Arial" w:eastAsia="Times New Roman" w:hAnsi="Arial" w:cs="Arial"/>
          <w:sz w:val="28"/>
          <w:szCs w:val="28"/>
          <w:lang w:eastAsia="es-ES"/>
        </w:rPr>
        <w:t>”.</w:t>
      </w:r>
    </w:p>
    <w:p w14:paraId="1647FA8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p>
    <w:p w14:paraId="6263E6C3"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sz w:val="28"/>
          <w:szCs w:val="28"/>
          <w:lang w:eastAsia="es-ES"/>
        </w:rPr>
        <w:t>Por tanto, el Tribunal electoral local consideró que no tenía los elementos suficientes para determinar “</w:t>
      </w:r>
      <w:r w:rsidRPr="00791593">
        <w:rPr>
          <w:rFonts w:ascii="Arial" w:eastAsia="Times New Roman" w:hAnsi="Arial" w:cs="Arial"/>
          <w:i/>
          <w:sz w:val="24"/>
          <w:szCs w:val="24"/>
          <w:lang w:eastAsia="es-ES"/>
        </w:rPr>
        <w:t>si efectivamente se constituyó la asamblea electiva, y si la elección se apegó a su sistema normativo</w:t>
      </w:r>
      <w:r w:rsidRPr="00791593">
        <w:rPr>
          <w:rFonts w:ascii="Arial" w:eastAsia="Times New Roman" w:hAnsi="Arial" w:cs="Arial"/>
          <w:i/>
          <w:sz w:val="28"/>
          <w:szCs w:val="28"/>
          <w:lang w:eastAsia="es-ES"/>
        </w:rPr>
        <w:t xml:space="preserve">”; </w:t>
      </w:r>
      <w:r w:rsidRPr="00791593">
        <w:rPr>
          <w:rFonts w:ascii="Arial" w:eastAsia="Times New Roman" w:hAnsi="Arial" w:cs="Arial"/>
          <w:sz w:val="28"/>
          <w:szCs w:val="28"/>
          <w:lang w:eastAsia="es-ES"/>
        </w:rPr>
        <w:t>en consecuencia,</w:t>
      </w:r>
      <w:r w:rsidRPr="00791593">
        <w:rPr>
          <w:rFonts w:ascii="Arial" w:eastAsia="Times New Roman" w:hAnsi="Arial" w:cs="Arial"/>
          <w:i/>
          <w:sz w:val="28"/>
          <w:szCs w:val="28"/>
          <w:lang w:eastAsia="es-ES"/>
        </w:rPr>
        <w:t xml:space="preserve"> </w:t>
      </w:r>
      <w:r w:rsidRPr="00791593">
        <w:rPr>
          <w:rFonts w:ascii="Arial" w:eastAsia="Times New Roman" w:hAnsi="Arial" w:cs="Arial"/>
          <w:sz w:val="28"/>
          <w:szCs w:val="28"/>
          <w:lang w:eastAsia="es-ES"/>
        </w:rPr>
        <w:t xml:space="preserve">determinó revocar el acuerdo controvertido y declaró la nulidad de la elección de concejales para el mencionado Ayuntamiento; </w:t>
      </w:r>
      <w:r w:rsidRPr="00791593">
        <w:rPr>
          <w:rFonts w:ascii="Arial" w:eastAsia="Times New Roman" w:hAnsi="Arial" w:cs="Arial"/>
          <w:sz w:val="28"/>
          <w:szCs w:val="28"/>
          <w:lang w:eastAsia="es-MX"/>
        </w:rPr>
        <w:t>asimismo, ordenó dar vista a la Sexagésima Segunda Legislatura del Congreso de Oaxaca, para que convocara a elección extraordinaria de integrantes del Ayuntamiento de San Sebastián Tecomaxtlahuaca, Juxtlahuaca, Oaxaca.</w:t>
      </w:r>
    </w:p>
    <w:p w14:paraId="2D98A42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7. Consideraciones de la Sala Regional Xalapa, relativas a la violación al principio de certeza.</w:t>
      </w:r>
    </w:p>
    <w:p w14:paraId="53DD3EEF"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En la sentencia dictada en el juicio para la protección de los derechos político-electorales del ciudadano identificada con la clave de expediente SX-JDC-111/2014, la Sala Regional Xalapa consideró tener </w:t>
      </w:r>
      <w:r w:rsidRPr="00791593">
        <w:rPr>
          <w:rFonts w:ascii="Arial" w:eastAsia="Times New Roman" w:hAnsi="Arial" w:cs="Arial"/>
          <w:sz w:val="28"/>
          <w:szCs w:val="28"/>
          <w:lang w:eastAsia="es-ES"/>
        </w:rPr>
        <w:lastRenderedPageBreak/>
        <w:t>por no acreditada la</w:t>
      </w:r>
      <w:r w:rsidRPr="00791593">
        <w:rPr>
          <w:rFonts w:ascii="Arial" w:eastAsia="Times New Roman" w:hAnsi="Arial" w:cs="Arial"/>
          <w:b/>
          <w:sz w:val="28"/>
          <w:szCs w:val="28"/>
          <w:lang w:eastAsia="es-ES"/>
        </w:rPr>
        <w:t xml:space="preserve"> violación al</w:t>
      </w:r>
      <w:r w:rsidRPr="00791593">
        <w:rPr>
          <w:rFonts w:ascii="Arial" w:eastAsia="Times New Roman" w:hAnsi="Arial" w:cs="Arial"/>
          <w:sz w:val="28"/>
          <w:szCs w:val="28"/>
          <w:lang w:eastAsia="es-ES"/>
        </w:rPr>
        <w:t xml:space="preserve"> analizado </w:t>
      </w:r>
      <w:r w:rsidRPr="00791593">
        <w:rPr>
          <w:rFonts w:ascii="Arial" w:eastAsia="Times New Roman" w:hAnsi="Arial" w:cs="Arial"/>
          <w:b/>
          <w:sz w:val="28"/>
          <w:szCs w:val="28"/>
          <w:lang w:eastAsia="es-ES"/>
        </w:rPr>
        <w:t>principio de certeza;</w:t>
      </w:r>
      <w:r w:rsidRPr="00791593">
        <w:rPr>
          <w:rFonts w:ascii="Arial" w:eastAsia="Times New Roman" w:hAnsi="Arial" w:cs="Arial"/>
          <w:sz w:val="28"/>
          <w:szCs w:val="28"/>
          <w:lang w:eastAsia="es-ES"/>
        </w:rPr>
        <w:t xml:space="preserve"> en consecuencia, determinó </w:t>
      </w:r>
      <w:r w:rsidRPr="00791593">
        <w:rPr>
          <w:rFonts w:ascii="Arial" w:eastAsia="Times New Roman" w:hAnsi="Arial" w:cs="Arial"/>
          <w:b/>
          <w:sz w:val="28"/>
          <w:szCs w:val="28"/>
          <w:lang w:eastAsia="es-ES"/>
        </w:rPr>
        <w:t xml:space="preserve">revocar </w:t>
      </w:r>
      <w:r w:rsidRPr="00791593">
        <w:rPr>
          <w:rFonts w:ascii="Arial" w:eastAsia="Times New Roman" w:hAnsi="Arial" w:cs="Arial"/>
          <w:sz w:val="28"/>
          <w:szCs w:val="28"/>
          <w:lang w:eastAsia="es-ES"/>
        </w:rPr>
        <w:t xml:space="preserve">la sentencia dictada por el Tribunal local y </w:t>
      </w:r>
      <w:r w:rsidRPr="00791593">
        <w:rPr>
          <w:rFonts w:ascii="Arial" w:eastAsia="Times New Roman" w:hAnsi="Arial" w:cs="Arial"/>
          <w:b/>
          <w:sz w:val="28"/>
          <w:szCs w:val="28"/>
          <w:lang w:eastAsia="es-ES"/>
        </w:rPr>
        <w:t>confirmar</w:t>
      </w:r>
      <w:r w:rsidRPr="00791593">
        <w:rPr>
          <w:rFonts w:ascii="Arial" w:eastAsia="Times New Roman" w:hAnsi="Arial" w:cs="Arial"/>
          <w:sz w:val="28"/>
          <w:szCs w:val="28"/>
          <w:lang w:eastAsia="es-ES"/>
        </w:rPr>
        <w:t xml:space="preserve"> el acuerdo por el cual la autoridad administrativa electoral reconoció la validez de la elección de concejales, celebrada el diecisiete de noviembre de dos mil trece.</w:t>
      </w:r>
    </w:p>
    <w:p w14:paraId="69C43276"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La Sala Regional responsable consideró que, contrario a lo razonado por el Tribunal local, </w:t>
      </w:r>
      <w:r w:rsidRPr="00791593">
        <w:rPr>
          <w:rFonts w:ascii="Arial" w:eastAsia="Times New Roman" w:hAnsi="Arial" w:cs="Arial"/>
          <w:b/>
          <w:sz w:val="28"/>
          <w:szCs w:val="28"/>
          <w:lang w:eastAsia="es-ES"/>
        </w:rPr>
        <w:t>sí existe certeza sobre la celebración de la Asamblea electiva</w:t>
      </w:r>
      <w:r w:rsidRPr="00791593">
        <w:rPr>
          <w:rFonts w:ascii="Arial" w:eastAsia="Times New Roman" w:hAnsi="Arial" w:cs="Arial"/>
          <w:sz w:val="28"/>
          <w:szCs w:val="28"/>
          <w:lang w:eastAsia="es-ES"/>
        </w:rPr>
        <w:t xml:space="preserve">, porque del acta de la Asamblea General Comunitaria de diecisiete de noviembre de dos mil trece, así como del </w:t>
      </w:r>
      <w:r w:rsidRPr="00791593">
        <w:rPr>
          <w:rFonts w:ascii="Arial" w:eastAsia="Times New Roman" w:hAnsi="Arial" w:cs="Arial"/>
          <w:bCs/>
          <w:sz w:val="28"/>
          <w:szCs w:val="28"/>
          <w:lang w:val="es-ES" w:eastAsia="es-ES"/>
        </w:rPr>
        <w:t xml:space="preserve">instrumento notarial treinta y tres mil ochocientos cincuenta y tres (33,853), del Protocolo del Notario Público </w:t>
      </w:r>
      <w:r w:rsidRPr="00791593">
        <w:rPr>
          <w:rFonts w:ascii="Arial" w:eastAsia="Times New Roman" w:hAnsi="Arial" w:cs="Arial"/>
          <w:sz w:val="28"/>
          <w:szCs w:val="28"/>
          <w:lang w:eastAsia="es-ES"/>
        </w:rPr>
        <w:t xml:space="preserve">diecinueve (19), del Estado de Oaxaca, Licenciado Rodolfo Morales Moreno, expedido el veinte de noviembre de dos mil trece, se puede advertir que ambas son coincidentes y dan certeza de que se llevó a cabo la Asamblea General electiva; que ésta se instaló; que el número de asistentes fue de 3,220 (tres mil doscientos veinte ciudadanos), y que </w:t>
      </w:r>
      <w:r w:rsidRPr="00791593">
        <w:rPr>
          <w:rFonts w:ascii="Arial" w:eastAsia="Times New Roman" w:hAnsi="Arial" w:cs="Arial"/>
          <w:sz w:val="28"/>
          <w:szCs w:val="28"/>
          <w:lang w:eastAsia="es-MX"/>
        </w:rPr>
        <w:t>el resultado del cómputo de los votos obtenidos por cada planilla es el que corresponde a la realidad.</w:t>
      </w:r>
    </w:p>
    <w:p w14:paraId="26D0B85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Además, la responsable Sala Regional consideró que el testimonio notarial en estudio tiene pleno valor probatorio, sobre los hechos que se hacen constar, teniendo en cuenta las siguientes consideraciones: </w:t>
      </w:r>
    </w:p>
    <w:p w14:paraId="303C31BA"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 xml:space="preserve">I. </w:t>
      </w:r>
      <w:r w:rsidRPr="00791593">
        <w:rPr>
          <w:rFonts w:ascii="Arial" w:eastAsia="Times New Roman" w:hAnsi="Arial" w:cs="Arial"/>
          <w:sz w:val="28"/>
          <w:szCs w:val="28"/>
          <w:lang w:eastAsia="es-ES"/>
        </w:rPr>
        <w:t xml:space="preserve">No existe falta de inmediatez para emitir el testimonio notarial, toda vez que el Tribunal local no advirtió que si bien la elección se llevó a cabo el diecisiete de noviembre de dos mil trece y que el primer </w:t>
      </w:r>
      <w:r w:rsidRPr="00791593">
        <w:rPr>
          <w:rFonts w:ascii="Arial" w:eastAsia="Times New Roman" w:hAnsi="Arial" w:cs="Arial"/>
          <w:sz w:val="28"/>
          <w:szCs w:val="28"/>
          <w:lang w:eastAsia="es-ES"/>
        </w:rPr>
        <w:lastRenderedPageBreak/>
        <w:t>testimonio se expidió el inmediato día veinte, “</w:t>
      </w:r>
      <w:r w:rsidRPr="00791593">
        <w:rPr>
          <w:rFonts w:ascii="Arial" w:eastAsia="Times New Roman" w:hAnsi="Arial" w:cs="Arial"/>
          <w:i/>
          <w:sz w:val="24"/>
          <w:szCs w:val="24"/>
          <w:lang w:eastAsia="es-ES"/>
        </w:rPr>
        <w:t>ello no implica que en esa fecha el Notario haya hecho constar los hechos que presenció el día de la jornada electoral</w:t>
      </w:r>
      <w:r w:rsidRPr="00791593">
        <w:rPr>
          <w:rFonts w:ascii="Arial" w:eastAsia="Times New Roman" w:hAnsi="Arial" w:cs="Arial"/>
          <w:sz w:val="30"/>
          <w:szCs w:val="30"/>
          <w:lang w:eastAsia="es-ES"/>
        </w:rPr>
        <w:t>”,</w:t>
      </w:r>
      <w:r w:rsidRPr="00791593">
        <w:rPr>
          <w:rFonts w:ascii="Arial" w:eastAsia="Times New Roman" w:hAnsi="Arial" w:cs="Arial"/>
          <w:sz w:val="28"/>
          <w:szCs w:val="28"/>
          <w:lang w:eastAsia="es-ES"/>
        </w:rPr>
        <w:t xml:space="preserve"> sino que corresponde al día en que expidió el testimonio, con base en los archivos del protocolo respectivo.</w:t>
      </w:r>
    </w:p>
    <w:p w14:paraId="104C83CA"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En el aludido primer testimonio notarial se asentó que el día veinte de noviembre de dos mil trece fue expedido al solicitante y que contiene la certificación de los hechos ocurridos el día diecisiete del mismo mes y año; sin embargo, el fedatario </w:t>
      </w:r>
      <w:r w:rsidRPr="00791593">
        <w:rPr>
          <w:rFonts w:ascii="Arial" w:eastAsia="Times New Roman" w:hAnsi="Arial" w:cs="Arial"/>
          <w:bCs/>
          <w:sz w:val="28"/>
          <w:szCs w:val="28"/>
          <w:lang w:val="es-ES" w:eastAsia="es-ES"/>
        </w:rPr>
        <w:t>público</w:t>
      </w:r>
      <w:r w:rsidRPr="00791593">
        <w:rPr>
          <w:rFonts w:ascii="Arial" w:eastAsia="Times New Roman" w:hAnsi="Arial" w:cs="Arial"/>
          <w:sz w:val="28"/>
          <w:szCs w:val="28"/>
          <w:lang w:eastAsia="es-ES"/>
        </w:rPr>
        <w:t xml:space="preserve"> “</w:t>
      </w:r>
      <w:r w:rsidRPr="00791593">
        <w:rPr>
          <w:rFonts w:ascii="Arial" w:eastAsia="Times New Roman" w:hAnsi="Arial" w:cs="Arial"/>
          <w:i/>
          <w:sz w:val="24"/>
          <w:szCs w:val="24"/>
          <w:lang w:eastAsia="es-ES"/>
        </w:rPr>
        <w:t>hizo constar que el acta se levantó el día diecisiete de noviembre de dos mil trece</w:t>
      </w:r>
      <w:r w:rsidRPr="00791593">
        <w:rPr>
          <w:rFonts w:ascii="Arial" w:eastAsia="Times New Roman" w:hAnsi="Arial" w:cs="Arial"/>
          <w:sz w:val="28"/>
          <w:szCs w:val="28"/>
          <w:lang w:eastAsia="es-ES"/>
        </w:rPr>
        <w:t xml:space="preserve">”, tal como se puede advertir del citado documento público. </w:t>
      </w:r>
    </w:p>
    <w:p w14:paraId="6268A05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Por tanto, la Sala Regional responsable consideró que el Tribunal local debió otorgar valor probatorio pleno al testimonio notarial, por haber sido expedido por un fedatario público, en el ejercicio de sus atribuciones, aunado a que no existe la falta de inmediatez aducida.</w:t>
      </w:r>
    </w:p>
    <w:p w14:paraId="62DC202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b/>
          <w:sz w:val="28"/>
          <w:szCs w:val="28"/>
          <w:lang w:eastAsia="es-ES"/>
        </w:rPr>
        <w:t>II.</w:t>
      </w:r>
      <w:r w:rsidRPr="00791593">
        <w:rPr>
          <w:rFonts w:ascii="Arial" w:eastAsia="Times New Roman" w:hAnsi="Arial" w:cs="Arial"/>
          <w:sz w:val="28"/>
          <w:szCs w:val="28"/>
          <w:lang w:eastAsia="es-ES"/>
        </w:rPr>
        <w:t xml:space="preserve"> El </w:t>
      </w:r>
      <w:r w:rsidRPr="00791593">
        <w:rPr>
          <w:rFonts w:ascii="Arial" w:eastAsia="Times New Roman" w:hAnsi="Arial" w:cs="Arial"/>
          <w:bCs/>
          <w:sz w:val="28"/>
          <w:szCs w:val="28"/>
          <w:lang w:val="es-ES" w:eastAsia="es-ES"/>
        </w:rPr>
        <w:t xml:space="preserve">Notario Público </w:t>
      </w:r>
      <w:r w:rsidRPr="00791593">
        <w:rPr>
          <w:rFonts w:ascii="Arial" w:eastAsia="Times New Roman" w:hAnsi="Arial" w:cs="Arial"/>
          <w:sz w:val="28"/>
          <w:szCs w:val="28"/>
          <w:lang w:eastAsia="es-ES"/>
        </w:rPr>
        <w:t xml:space="preserve">diecinueve (19) del Estado de Oaxaca dio cumplimiento a lo establecido en el artículo 28 de la Ley del Notariado de esa entidad federativa, en el cual se precisa que </w:t>
      </w:r>
      <w:r w:rsidRPr="00791593">
        <w:rPr>
          <w:rFonts w:ascii="Arial" w:eastAsia="Times New Roman" w:hAnsi="Arial" w:cs="Arial"/>
          <w:sz w:val="28"/>
          <w:szCs w:val="28"/>
          <w:lang w:eastAsia="es-MX"/>
        </w:rPr>
        <w:t>los Notarios, para actuar fuera de su Distrito, deben avisar previamente al Director General de Notarías, indicando el nombre del solicitante y el Distrito Judicial en el que actuarán y posterior a su regreso deben informar a la citada Dirección sobre “</w:t>
      </w:r>
      <w:r w:rsidRPr="00791593">
        <w:rPr>
          <w:rFonts w:ascii="Arial" w:eastAsia="Times New Roman" w:hAnsi="Arial" w:cs="Arial"/>
          <w:i/>
          <w:sz w:val="24"/>
          <w:szCs w:val="24"/>
          <w:lang w:eastAsia="es-MX"/>
        </w:rPr>
        <w:t>los hechos o actos que hubieren autentificado</w:t>
      </w:r>
      <w:r w:rsidRPr="00791593">
        <w:rPr>
          <w:rFonts w:ascii="Arial" w:eastAsia="Times New Roman" w:hAnsi="Arial" w:cs="Arial"/>
          <w:i/>
          <w:sz w:val="28"/>
          <w:szCs w:val="28"/>
          <w:lang w:eastAsia="es-MX"/>
        </w:rPr>
        <w:t xml:space="preserve">”, </w:t>
      </w:r>
      <w:r w:rsidRPr="00791593">
        <w:rPr>
          <w:rFonts w:ascii="Arial" w:eastAsia="Times New Roman" w:hAnsi="Arial" w:cs="Arial"/>
          <w:sz w:val="28"/>
          <w:szCs w:val="28"/>
          <w:lang w:eastAsia="es-MX"/>
        </w:rPr>
        <w:t>tal como se puede advertir, en este particular, con los avisos previo y posterior mediante los cuales el actuante notario público hizo las notificaciones correspondientes a la Dirección General de Notarías.</w:t>
      </w:r>
    </w:p>
    <w:p w14:paraId="31C9EC8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III.</w:t>
      </w:r>
      <w:r w:rsidRPr="00791593">
        <w:rPr>
          <w:rFonts w:ascii="Arial" w:eastAsia="Times New Roman" w:hAnsi="Arial" w:cs="Arial"/>
          <w:sz w:val="28"/>
          <w:szCs w:val="28"/>
          <w:lang w:eastAsia="es-ES"/>
        </w:rPr>
        <w:t xml:space="preserve"> Los datos asentados en el testimonio notarial coinciden con los </w:t>
      </w:r>
      <w:r w:rsidRPr="00791593">
        <w:rPr>
          <w:rFonts w:ascii="Arial" w:eastAsia="Times New Roman" w:hAnsi="Arial" w:cs="Arial"/>
          <w:sz w:val="28"/>
          <w:szCs w:val="28"/>
          <w:lang w:eastAsia="es-ES"/>
        </w:rPr>
        <w:lastRenderedPageBreak/>
        <w:t>obtenidos del acta de la Asamblea General electiva de diecisiete de noviembre de dos mil trece, como son: que el número de ciudadanos que asistieron fue de tres mil doscientos veinte (3,220); que se instaló la citada Asamblea a las “</w:t>
      </w:r>
      <w:r w:rsidRPr="00791593">
        <w:rPr>
          <w:rFonts w:ascii="Arial" w:eastAsia="Times New Roman" w:hAnsi="Arial" w:cs="Arial"/>
          <w:i/>
          <w:sz w:val="24"/>
          <w:szCs w:val="24"/>
          <w:lang w:eastAsia="es-ES"/>
        </w:rPr>
        <w:t>11:15 hrs</w:t>
      </w:r>
      <w:r w:rsidRPr="00791593">
        <w:rPr>
          <w:rFonts w:ascii="Arial" w:eastAsia="Times New Roman" w:hAnsi="Arial" w:cs="Arial"/>
          <w:sz w:val="28"/>
          <w:szCs w:val="28"/>
          <w:lang w:eastAsia="es-ES"/>
        </w:rPr>
        <w:t>”; que coincidía el nombre de los ciudadanos que integraron las dos planillas registradas; que los candidatos registrados expusieron sus propuestas y proyectos para el Municipio</w:t>
      </w:r>
      <w:r w:rsidRPr="00791593">
        <w:rPr>
          <w:rFonts w:ascii="Arial" w:eastAsia="Times New Roman" w:hAnsi="Arial" w:cs="Arial"/>
          <w:sz w:val="28"/>
          <w:szCs w:val="28"/>
          <w:lang w:eastAsia="es-MX"/>
        </w:rPr>
        <w:t xml:space="preserve"> de San Sebastián Tecomaxtlahuaca, Juxtlahuaca, Oaxaca, y que es coincidente el resultado del cómputo de los votos obtenidos por cada planilla participante.</w:t>
      </w:r>
    </w:p>
    <w:p w14:paraId="2A84D78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
          <w:sz w:val="28"/>
          <w:szCs w:val="28"/>
          <w:lang w:eastAsia="es-MX"/>
        </w:rPr>
      </w:pPr>
      <w:r w:rsidRPr="00791593">
        <w:rPr>
          <w:rFonts w:ascii="Arial" w:eastAsia="Times New Roman" w:hAnsi="Arial" w:cs="Arial"/>
          <w:sz w:val="28"/>
          <w:szCs w:val="28"/>
          <w:lang w:eastAsia="es-MX"/>
        </w:rPr>
        <w:t xml:space="preserve">Otras consideraciones que expresó la Sala Regional responsable, para concluir que no se violó el principio de certeza y, en consecuencia, que se debía </w:t>
      </w:r>
      <w:r w:rsidRPr="00791593">
        <w:rPr>
          <w:rFonts w:ascii="Arial" w:eastAsia="Times New Roman" w:hAnsi="Arial" w:cs="Arial"/>
          <w:sz w:val="28"/>
          <w:szCs w:val="28"/>
          <w:lang w:eastAsia="es-ES"/>
        </w:rPr>
        <w:t xml:space="preserve">revocar la sentencia dictada por el Tribunal Electoral local, para confirmar el acuerdo por el cual la autoridad administrativa electoral local reconoció la validez de la elección, son las siguientes: </w:t>
      </w:r>
    </w:p>
    <w:p w14:paraId="454C5A7C"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b/>
          <w:sz w:val="28"/>
          <w:szCs w:val="28"/>
          <w:lang w:eastAsia="es-MX"/>
        </w:rPr>
        <w:t>I.</w:t>
      </w:r>
      <w:r w:rsidRPr="00791593">
        <w:rPr>
          <w:rFonts w:ascii="Arial" w:eastAsia="Times New Roman" w:hAnsi="Arial" w:cs="Arial"/>
          <w:sz w:val="28"/>
          <w:szCs w:val="28"/>
          <w:lang w:eastAsia="es-MX"/>
        </w:rPr>
        <w:t xml:space="preserve"> La circunstancia de que doce escrutadores y la autoridad municipal se negaron a firmar el acta de la Asamblea General electiva de diecisiete de noviembre de dos mil trece, no es suficiente para declarar su nulidad, porque se deben privilegiar los actos válidamente celebrados, lo cual implica que lo útil no puede ser viciado por lo inútil y no puede quedar a la potestad de los integrantes de la mesa de los debates, que se niegan a firmar el acta de la citada Asamblea, la validez y el resultado de la elección, porque la decisión electiva reside en la Asamblea General Comunitaria.</w:t>
      </w:r>
    </w:p>
    <w:p w14:paraId="1D383319"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sz w:val="28"/>
          <w:szCs w:val="28"/>
          <w:lang w:eastAsia="es-MX"/>
        </w:rPr>
        <w:t xml:space="preserve">Aunado a que en el testimonio notarial y en el acta de la Asamblea electiva, se hace constar la negativa de diversos escrutadores y de la </w:t>
      </w:r>
      <w:r w:rsidRPr="00791593">
        <w:rPr>
          <w:rFonts w:ascii="Arial" w:eastAsia="Times New Roman" w:hAnsi="Arial" w:cs="Arial"/>
          <w:sz w:val="28"/>
          <w:szCs w:val="28"/>
          <w:lang w:eastAsia="es-MX"/>
        </w:rPr>
        <w:lastRenderedPageBreak/>
        <w:t>autoridad municipal de firmar el acta del desarrollo de la Asamblea electiva.</w:t>
      </w:r>
    </w:p>
    <w:p w14:paraId="100CF6B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b/>
          <w:sz w:val="28"/>
          <w:szCs w:val="28"/>
          <w:lang w:eastAsia="es-MX"/>
        </w:rPr>
        <w:t>II.</w:t>
      </w:r>
      <w:r w:rsidRPr="00791593">
        <w:rPr>
          <w:rFonts w:ascii="Arial" w:eastAsia="Times New Roman" w:hAnsi="Arial" w:cs="Arial"/>
          <w:sz w:val="28"/>
          <w:szCs w:val="28"/>
          <w:lang w:eastAsia="es-MX"/>
        </w:rPr>
        <w:t xml:space="preserve"> Contrario a lo considerado por el Tribunal local, el Secretario de la Mesa de Debates tiene fe pública, para hacer constar cualquier tipo de incidencia, lo cual incluye la negativa de los escrutadores y funcionarios municipales a firmar el acta de la Asamblea General Comunitaria.</w:t>
      </w:r>
    </w:p>
    <w:p w14:paraId="5C617989"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b/>
          <w:sz w:val="28"/>
          <w:szCs w:val="28"/>
          <w:lang w:eastAsia="es-MX"/>
        </w:rPr>
        <w:t>III.</w:t>
      </w:r>
      <w:r w:rsidRPr="00791593">
        <w:rPr>
          <w:rFonts w:ascii="Arial" w:eastAsia="Times New Roman" w:hAnsi="Arial" w:cs="Arial"/>
          <w:sz w:val="28"/>
          <w:szCs w:val="28"/>
          <w:lang w:eastAsia="es-MX"/>
        </w:rPr>
        <w:t xml:space="preserve"> La falta de listas de asistencia a la Asamblea electiva de diecisiete de noviembre de dos mil trece, no provoca la falta de certeza sobre la celebración de la citada Asamblea, toda vez que el Tribunal local, al percatarse de la inexistencia de las mencionadas listas de asistencia, debió requerirlas a la autoridad administrativa electoral local o a los integrantes de la “</w:t>
      </w:r>
      <w:r w:rsidRPr="00791593">
        <w:rPr>
          <w:rFonts w:ascii="Arial" w:eastAsia="Times New Roman" w:hAnsi="Arial" w:cs="Arial"/>
          <w:i/>
          <w:sz w:val="24"/>
          <w:szCs w:val="24"/>
          <w:lang w:eastAsia="es-MX"/>
        </w:rPr>
        <w:t>Mesa de Debates</w:t>
      </w:r>
      <w:r w:rsidRPr="00791593">
        <w:rPr>
          <w:rFonts w:ascii="Arial" w:eastAsia="Times New Roman" w:hAnsi="Arial" w:cs="Arial"/>
          <w:sz w:val="28"/>
          <w:szCs w:val="28"/>
          <w:lang w:eastAsia="es-MX"/>
        </w:rPr>
        <w:t xml:space="preserve">” y no declarar la nulidad de la elección. </w:t>
      </w:r>
    </w:p>
    <w:p w14:paraId="2280594F"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b/>
          <w:sz w:val="28"/>
          <w:szCs w:val="28"/>
          <w:lang w:eastAsia="es-MX"/>
        </w:rPr>
        <w:t>IV.</w:t>
      </w:r>
      <w:r w:rsidRPr="00791593">
        <w:rPr>
          <w:rFonts w:ascii="Arial" w:eastAsia="Times New Roman" w:hAnsi="Arial" w:cs="Arial"/>
          <w:sz w:val="28"/>
          <w:szCs w:val="28"/>
          <w:lang w:eastAsia="es-MX"/>
        </w:rPr>
        <w:t xml:space="preserve"> El Tribunal local no tomó en consideración que se trata de una comunidad indígena, en la que los integrantes de la </w:t>
      </w:r>
      <w:r w:rsidRPr="00791593">
        <w:rPr>
          <w:rFonts w:ascii="Arial" w:eastAsia="Times New Roman" w:hAnsi="Arial" w:cs="Arial"/>
          <w:sz w:val="28"/>
          <w:szCs w:val="24"/>
          <w:lang w:eastAsia="es-MX"/>
        </w:rPr>
        <w:t>Mesa de Debates</w:t>
      </w:r>
      <w:r w:rsidRPr="00791593">
        <w:rPr>
          <w:rFonts w:ascii="Arial" w:eastAsia="Times New Roman" w:hAnsi="Arial" w:cs="Arial"/>
          <w:sz w:val="28"/>
          <w:szCs w:val="28"/>
          <w:lang w:eastAsia="es-MX"/>
        </w:rPr>
        <w:t xml:space="preserve"> “</w:t>
      </w:r>
      <w:r w:rsidRPr="00791593">
        <w:rPr>
          <w:rFonts w:ascii="Arial" w:eastAsia="Times New Roman" w:hAnsi="Arial" w:cs="Arial"/>
          <w:i/>
          <w:sz w:val="24"/>
          <w:szCs w:val="24"/>
          <w:lang w:eastAsia="es-MX"/>
        </w:rPr>
        <w:t>no son profesionales, ni personas capacitadas para las actividades de la Asamblea, de ahí que no debe exigirse formalismos excesivos en la conformación de las actas, y documentos, o que el expediente deba ser integrado perfectamente</w:t>
      </w:r>
      <w:r w:rsidRPr="00791593">
        <w:rPr>
          <w:rFonts w:ascii="Arial" w:eastAsia="Times New Roman" w:hAnsi="Arial" w:cs="Arial"/>
          <w:i/>
          <w:sz w:val="28"/>
          <w:szCs w:val="28"/>
          <w:lang w:eastAsia="es-MX"/>
        </w:rPr>
        <w:t>”.</w:t>
      </w:r>
    </w:p>
    <w:p w14:paraId="30EEEBB0"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b/>
          <w:sz w:val="28"/>
          <w:szCs w:val="28"/>
          <w:lang w:eastAsia="es-MX"/>
        </w:rPr>
        <w:t>V.</w:t>
      </w:r>
      <w:r w:rsidRPr="00791593">
        <w:rPr>
          <w:rFonts w:ascii="Arial" w:eastAsia="Times New Roman" w:hAnsi="Arial" w:cs="Arial"/>
          <w:sz w:val="28"/>
          <w:szCs w:val="28"/>
          <w:lang w:eastAsia="es-MX"/>
        </w:rPr>
        <w:t xml:space="preserve"> En cuanto al legajo de firmas aportadas por Javier Rubio Rosas, </w:t>
      </w:r>
      <w:r w:rsidRPr="00791593">
        <w:rPr>
          <w:rFonts w:ascii="Arial" w:eastAsia="Times New Roman" w:hAnsi="Arial" w:cs="Arial"/>
          <w:sz w:val="28"/>
          <w:szCs w:val="28"/>
          <w:lang w:val="es-ES" w:eastAsia="es-ES"/>
        </w:rPr>
        <w:t xml:space="preserve">con las cuales pretende probar la existencia de las listas de asistencia en el procedimiento electivo, no se les otorgó valor probatorio, porque fueron aportadas por una de las partes y se trata de listados de nombres y firmas sin mecanismos de seguridad sobre su manejo. </w:t>
      </w:r>
    </w:p>
    <w:p w14:paraId="58D49D6C"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b/>
          <w:sz w:val="28"/>
          <w:szCs w:val="28"/>
          <w:lang w:eastAsia="es-MX"/>
        </w:rPr>
        <w:lastRenderedPageBreak/>
        <w:t xml:space="preserve">VI. </w:t>
      </w:r>
      <w:r w:rsidRPr="00791593">
        <w:rPr>
          <w:rFonts w:ascii="Arial" w:eastAsia="Times New Roman" w:hAnsi="Arial" w:cs="Arial"/>
          <w:sz w:val="28"/>
          <w:szCs w:val="28"/>
          <w:lang w:eastAsia="es-ES"/>
        </w:rPr>
        <w:t xml:space="preserve">Fue indebido que </w:t>
      </w:r>
      <w:r w:rsidRPr="00791593">
        <w:rPr>
          <w:rFonts w:ascii="Arial" w:eastAsia="Times New Roman" w:hAnsi="Arial" w:cs="Arial"/>
          <w:sz w:val="28"/>
          <w:szCs w:val="28"/>
          <w:lang w:eastAsia="es-MX"/>
        </w:rPr>
        <w:t xml:space="preserve">el Tribunal local haya considerado que la falta de actas de las asambleas en las que fueron electos los nueve regidores que también integran el Ayuntamiento, le resta certeza a tal elección, toda vez que no era parte de la </w:t>
      </w:r>
      <w:r w:rsidRPr="00791593">
        <w:rPr>
          <w:rFonts w:ascii="Arial" w:eastAsia="Times New Roman" w:hAnsi="Arial" w:cs="Arial"/>
          <w:i/>
          <w:sz w:val="28"/>
          <w:szCs w:val="28"/>
          <w:lang w:eastAsia="es-MX"/>
        </w:rPr>
        <w:t xml:space="preserve">litis </w:t>
      </w:r>
      <w:r w:rsidRPr="00791593">
        <w:rPr>
          <w:rFonts w:ascii="Arial" w:eastAsia="Times New Roman" w:hAnsi="Arial" w:cs="Arial"/>
          <w:sz w:val="28"/>
          <w:szCs w:val="28"/>
          <w:lang w:eastAsia="es-MX"/>
        </w:rPr>
        <w:t>que le fue planteada por los enjuiciantes, máxime que de las constancias que obran en autos se advierte que por costumbre la elección de los regidores, con excepción del de Hacienda y de Educación, se lleva a cabo previamente, en las comunidades que forman parte del citado Municipio.</w:t>
      </w:r>
    </w:p>
    <w:p w14:paraId="6FA813F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 xml:space="preserve">8. Fundamento y motivos de la decisión de esta Sala Superior. </w:t>
      </w:r>
    </w:p>
    <w:p w14:paraId="1E121158"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 juicio de esta Sala Superior, es </w:t>
      </w:r>
      <w:r w:rsidRPr="00791593">
        <w:rPr>
          <w:rFonts w:ascii="Arial" w:eastAsia="Times New Roman" w:hAnsi="Arial" w:cs="Arial"/>
          <w:b/>
          <w:sz w:val="28"/>
          <w:szCs w:val="28"/>
          <w:lang w:eastAsia="es-ES"/>
        </w:rPr>
        <w:t xml:space="preserve">fundado </w:t>
      </w:r>
      <w:r w:rsidRPr="00791593">
        <w:rPr>
          <w:rFonts w:ascii="Arial" w:eastAsia="Times New Roman" w:hAnsi="Arial" w:cs="Arial"/>
          <w:sz w:val="28"/>
          <w:szCs w:val="28"/>
          <w:lang w:eastAsia="es-ES"/>
        </w:rPr>
        <w:t>el concepto de agravio hecho valer por los enjuiciantes, teniendo en consideración que la Sala Regional responsable no valoró adecuadamente los siguientes elementos de prueba:</w:t>
      </w:r>
    </w:p>
    <w:p w14:paraId="36301C2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1.</w:t>
      </w:r>
      <w:r w:rsidRPr="00791593">
        <w:rPr>
          <w:rFonts w:ascii="Arial" w:eastAsia="Times New Roman" w:hAnsi="Arial" w:cs="Arial"/>
          <w:sz w:val="28"/>
          <w:szCs w:val="28"/>
          <w:lang w:eastAsia="es-ES"/>
        </w:rPr>
        <w:t xml:space="preserve"> Copia certificada del Primer testimonio del </w:t>
      </w:r>
      <w:r w:rsidRPr="00791593">
        <w:rPr>
          <w:rFonts w:ascii="Arial" w:eastAsia="Times New Roman" w:hAnsi="Arial" w:cs="Arial"/>
          <w:bCs/>
          <w:sz w:val="28"/>
          <w:szCs w:val="28"/>
          <w:lang w:val="es-ES" w:eastAsia="es-ES"/>
        </w:rPr>
        <w:t xml:space="preserve">instrumento notarial treinta y tres mil ochocientos cincuenta y tres (33,853), del Protocolo del Notario Público </w:t>
      </w:r>
      <w:r w:rsidRPr="00791593">
        <w:rPr>
          <w:rFonts w:ascii="Arial" w:eastAsia="Times New Roman" w:hAnsi="Arial" w:cs="Arial"/>
          <w:sz w:val="28"/>
          <w:szCs w:val="28"/>
          <w:lang w:eastAsia="es-ES"/>
        </w:rPr>
        <w:t>diecinueve (19), del Estado de Oaxaca, Licenciado Rodolfo Morales Moreno, expedido el veinte de noviembre de dos mil trece, en el cual asienta que da fe de los hechos ocurridos el día diecisiete de noviembre de dos mil trece, durante el desarrollo de la Asamblea General Comunitaria para la elección de integrantes del Ayuntamiento de San Sebastián Tecomaxtlahuaca, Juxtlahuaca.</w:t>
      </w:r>
    </w:p>
    <w:p w14:paraId="6EB422E9"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2.</w:t>
      </w:r>
      <w:r w:rsidRPr="00791593">
        <w:rPr>
          <w:rFonts w:ascii="Arial" w:eastAsia="Times New Roman" w:hAnsi="Arial" w:cs="Arial"/>
          <w:sz w:val="28"/>
          <w:szCs w:val="28"/>
          <w:lang w:eastAsia="es-ES"/>
        </w:rPr>
        <w:t xml:space="preserve"> Copia certificada del Acta de la Asamblea General Comunitaria para la elección de integrantes del citado Ayuntamiento, </w:t>
      </w:r>
      <w:r w:rsidRPr="00791593">
        <w:rPr>
          <w:rFonts w:ascii="Arial" w:eastAsia="Times New Roman" w:hAnsi="Arial" w:cs="Arial"/>
          <w:bCs/>
          <w:sz w:val="28"/>
          <w:szCs w:val="28"/>
          <w:lang w:eastAsia="es-ES"/>
        </w:rPr>
        <w:t xml:space="preserve">para el periodo dos mil catorce-dos mil dieciséis (2014-2016), celebrada el diecisiete de </w:t>
      </w:r>
      <w:r w:rsidRPr="00791593">
        <w:rPr>
          <w:rFonts w:ascii="Arial" w:eastAsia="Times New Roman" w:hAnsi="Arial" w:cs="Arial"/>
          <w:sz w:val="28"/>
          <w:szCs w:val="28"/>
          <w:lang w:eastAsia="es-ES"/>
        </w:rPr>
        <w:lastRenderedPageBreak/>
        <w:t>noviembre de dos mil trece.</w:t>
      </w:r>
    </w:p>
    <w:p w14:paraId="0FAC2754"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b/>
          <w:bCs/>
          <w:sz w:val="28"/>
          <w:szCs w:val="28"/>
          <w:lang w:val="es-ES" w:eastAsia="es-ES"/>
        </w:rPr>
        <w:t xml:space="preserve">3. </w:t>
      </w:r>
      <w:r w:rsidRPr="00791593">
        <w:rPr>
          <w:rFonts w:ascii="Arial" w:eastAsia="Times New Roman" w:hAnsi="Arial" w:cs="Arial"/>
          <w:sz w:val="28"/>
          <w:szCs w:val="28"/>
          <w:lang w:val="es-ES" w:eastAsia="es-ES"/>
        </w:rPr>
        <w:t xml:space="preserve">Copia certificada de treinta (30) </w:t>
      </w:r>
      <w:r w:rsidRPr="00791593">
        <w:rPr>
          <w:rFonts w:ascii="Arial" w:eastAsia="Times New Roman" w:hAnsi="Arial" w:cs="Arial"/>
          <w:sz w:val="28"/>
          <w:szCs w:val="28"/>
          <w:lang w:val="es-ES" w:eastAsia="es-MX"/>
        </w:rPr>
        <w:t>“</w:t>
      </w:r>
      <w:r w:rsidRPr="00791593">
        <w:rPr>
          <w:rFonts w:ascii="Arial" w:eastAsia="Times New Roman" w:hAnsi="Arial" w:cs="Arial"/>
          <w:i/>
          <w:sz w:val="28"/>
          <w:szCs w:val="28"/>
          <w:lang w:val="es-ES" w:eastAsia="es-MX"/>
        </w:rPr>
        <w:t>escritos de inconformidad</w:t>
      </w:r>
      <w:r w:rsidRPr="00791593">
        <w:rPr>
          <w:rFonts w:ascii="Arial" w:eastAsia="Times New Roman" w:hAnsi="Arial" w:cs="Arial"/>
          <w:sz w:val="28"/>
          <w:szCs w:val="28"/>
          <w:lang w:val="es-ES" w:eastAsia="es-MX"/>
        </w:rPr>
        <w:t>”,</w:t>
      </w:r>
      <w:r w:rsidRPr="00791593">
        <w:rPr>
          <w:rFonts w:ascii="Arial" w:eastAsia="Times New Roman" w:hAnsi="Arial" w:cs="Arial"/>
          <w:sz w:val="28"/>
          <w:szCs w:val="28"/>
          <w:lang w:val="es-ES" w:eastAsia="es-ES"/>
        </w:rPr>
        <w:t xml:space="preserve"> de fecha ocho de diciembre de dos mil trece, signados por </w:t>
      </w:r>
      <w:r w:rsidRPr="00791593">
        <w:rPr>
          <w:rFonts w:ascii="Arial" w:eastAsia="Times New Roman" w:hAnsi="Arial" w:cs="Arial"/>
          <w:sz w:val="28"/>
          <w:szCs w:val="28"/>
          <w:lang w:val="es-ES" w:eastAsia="es-MX"/>
        </w:rPr>
        <w:t>diversas autoridades de treinta Agencias Municipales de San Sebastián Tecomaxtlahuaca, Juxtlahuaca, Oaxaca</w:t>
      </w:r>
      <w:r w:rsidRPr="00791593">
        <w:rPr>
          <w:rFonts w:ascii="Arial" w:eastAsia="Times New Roman" w:hAnsi="Arial" w:cs="Arial"/>
          <w:sz w:val="28"/>
          <w:szCs w:val="28"/>
          <w:lang w:val="es-ES" w:eastAsia="es-ES"/>
        </w:rPr>
        <w:t>,</w:t>
      </w:r>
      <w:r w:rsidRPr="00791593">
        <w:rPr>
          <w:rFonts w:ascii="Arial" w:eastAsia="Times New Roman" w:hAnsi="Arial" w:cs="Arial"/>
          <w:sz w:val="28"/>
          <w:szCs w:val="28"/>
          <w:lang w:val="es-ES" w:eastAsia="es-MX"/>
        </w:rPr>
        <w:t xml:space="preserve"> a los cuales se anexan diversas listas de personas inconformes con la celebración de la Asamblea General electiva de diecisiete de noviembre de dos mil trece, en los que aducen que ocurrieron diversas irregularidades.</w:t>
      </w:r>
    </w:p>
    <w:p w14:paraId="5A6D7D88"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val="es-ES" w:eastAsia="es-MX"/>
        </w:rPr>
      </w:pPr>
      <w:r w:rsidRPr="00791593">
        <w:rPr>
          <w:rFonts w:ascii="Arial" w:eastAsia="Times New Roman" w:hAnsi="Arial" w:cs="Arial"/>
          <w:b/>
          <w:bCs/>
          <w:sz w:val="28"/>
          <w:szCs w:val="28"/>
          <w:lang w:val="es-ES" w:eastAsia="es-ES"/>
        </w:rPr>
        <w:t>4.</w:t>
      </w:r>
      <w:r w:rsidRPr="00791593">
        <w:rPr>
          <w:rFonts w:ascii="Arial" w:eastAsia="Times New Roman" w:hAnsi="Arial" w:cs="Arial"/>
          <w:sz w:val="28"/>
          <w:szCs w:val="28"/>
          <w:lang w:val="es-ES" w:eastAsia="es-ES"/>
        </w:rPr>
        <w:t xml:space="preserve"> L</w:t>
      </w:r>
      <w:r w:rsidRPr="00791593">
        <w:rPr>
          <w:rFonts w:ascii="Arial" w:eastAsia="Times New Roman" w:hAnsi="Arial" w:cs="Arial"/>
          <w:sz w:val="28"/>
          <w:szCs w:val="28"/>
          <w:lang w:val="es-ES" w:eastAsia="es-MX"/>
        </w:rPr>
        <w:t xml:space="preserve">istas de asistencia de los ciudadanos que participaron en la elección de integrantes del Ayuntamiento de San Sebastián Tecomaxtlahuaca, Juxtlahuaca, Oaxaca, el día diecisiete de noviembre de dos mil trece, las cuales fueron signadas por </w:t>
      </w:r>
      <w:r w:rsidRPr="00791593">
        <w:rPr>
          <w:rFonts w:ascii="Arial" w:eastAsia="Times New Roman" w:hAnsi="Arial" w:cs="Arial"/>
          <w:sz w:val="28"/>
          <w:szCs w:val="28"/>
          <w:lang w:val="es-ES" w:eastAsia="es-ES"/>
        </w:rPr>
        <w:t>mil setecientos setenta y nueve (</w:t>
      </w:r>
      <w:r w:rsidRPr="00791593">
        <w:rPr>
          <w:rFonts w:ascii="Arial" w:eastAsia="Times New Roman" w:hAnsi="Arial" w:cs="Arial"/>
          <w:sz w:val="28"/>
          <w:szCs w:val="28"/>
          <w:lang w:val="es-ES" w:eastAsia="es-MX"/>
        </w:rPr>
        <w:t xml:space="preserve">1,779) </w:t>
      </w:r>
      <w:r w:rsidRPr="00791593">
        <w:rPr>
          <w:rFonts w:ascii="Arial" w:eastAsia="Times New Roman" w:hAnsi="Arial" w:cs="Arial"/>
          <w:sz w:val="28"/>
          <w:szCs w:val="28"/>
          <w:lang w:val="es-ES" w:eastAsia="es-ES"/>
        </w:rPr>
        <w:t>personas.</w:t>
      </w:r>
    </w:p>
    <w:p w14:paraId="3575B73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val="es-ES" w:eastAsia="es-MX"/>
        </w:rPr>
      </w:pPr>
      <w:r w:rsidRPr="00791593">
        <w:rPr>
          <w:rFonts w:ascii="Arial" w:eastAsia="Times New Roman" w:hAnsi="Arial" w:cs="Arial"/>
          <w:b/>
          <w:sz w:val="28"/>
          <w:szCs w:val="28"/>
          <w:lang w:val="es-ES" w:eastAsia="es-ES"/>
        </w:rPr>
        <w:t>5.</w:t>
      </w:r>
      <w:r w:rsidRPr="00791593">
        <w:rPr>
          <w:rFonts w:ascii="Arial" w:eastAsia="Times New Roman" w:hAnsi="Arial" w:cs="Arial"/>
          <w:sz w:val="28"/>
          <w:szCs w:val="28"/>
          <w:lang w:val="es-ES" w:eastAsia="es-ES"/>
        </w:rPr>
        <w:t xml:space="preserve"> Oficios de: </w:t>
      </w:r>
      <w:r w:rsidRPr="00791593">
        <w:rPr>
          <w:rFonts w:ascii="Arial" w:eastAsia="Times New Roman" w:hAnsi="Arial" w:cs="Arial"/>
          <w:b/>
          <w:sz w:val="28"/>
          <w:szCs w:val="28"/>
          <w:lang w:val="es-ES" w:eastAsia="es-ES"/>
        </w:rPr>
        <w:t>1)</w:t>
      </w:r>
      <w:r w:rsidRPr="00791593">
        <w:rPr>
          <w:rFonts w:ascii="Arial" w:eastAsia="Times New Roman" w:hAnsi="Arial" w:cs="Arial"/>
          <w:sz w:val="28"/>
          <w:szCs w:val="28"/>
          <w:lang w:val="es-ES" w:eastAsia="es-ES"/>
        </w:rPr>
        <w:t xml:space="preserve"> Dieciocho de noviembre de dos mil trece, suscrito por el </w:t>
      </w:r>
      <w:r w:rsidRPr="00791593">
        <w:rPr>
          <w:rFonts w:ascii="Arial" w:eastAsia="Times New Roman" w:hAnsi="Arial" w:cs="Arial"/>
          <w:bCs/>
          <w:sz w:val="28"/>
          <w:szCs w:val="28"/>
          <w:lang w:val="es-ES" w:eastAsia="es-ES"/>
        </w:rPr>
        <w:t xml:space="preserve">Notario Público </w:t>
      </w:r>
      <w:r w:rsidRPr="00791593">
        <w:rPr>
          <w:rFonts w:ascii="Arial" w:eastAsia="Times New Roman" w:hAnsi="Arial" w:cs="Arial"/>
          <w:sz w:val="28"/>
          <w:szCs w:val="28"/>
          <w:lang w:val="es-ES" w:eastAsia="es-ES"/>
        </w:rPr>
        <w:t xml:space="preserve">diecinueve (19) del Estado de Oaxaca, </w:t>
      </w:r>
      <w:r w:rsidRPr="00791593">
        <w:rPr>
          <w:rFonts w:ascii="Arial" w:eastAsia="Times New Roman" w:hAnsi="Arial" w:cs="Arial"/>
          <w:sz w:val="28"/>
          <w:szCs w:val="28"/>
          <w:lang w:val="es-ES" w:eastAsia="es-MX"/>
        </w:rPr>
        <w:t xml:space="preserve">por el cual hizo del conocimiento de la Dirección General de Notarías de esa entidad federativa, que el día diecisiete del citado mes y año se trasladó al aludido Municipio, donde llevó a cabo una certificación </w:t>
      </w:r>
      <w:r w:rsidRPr="00791593">
        <w:rPr>
          <w:rFonts w:ascii="Arial" w:eastAsia="Times New Roman" w:hAnsi="Arial" w:cs="Arial"/>
          <w:sz w:val="28"/>
          <w:szCs w:val="28"/>
          <w:lang w:val="es-ES" w:eastAsia="es-ES"/>
        </w:rPr>
        <w:t xml:space="preserve">de hechos relacionados con la Asamblea General electiva celebrada en esa fecha, y </w:t>
      </w:r>
      <w:r w:rsidRPr="00791593">
        <w:rPr>
          <w:rFonts w:ascii="Arial" w:eastAsia="Times New Roman" w:hAnsi="Arial" w:cs="Arial"/>
          <w:b/>
          <w:sz w:val="28"/>
          <w:szCs w:val="28"/>
          <w:lang w:val="es-ES" w:eastAsia="es-ES"/>
        </w:rPr>
        <w:t>2)</w:t>
      </w:r>
      <w:r w:rsidRPr="00791593">
        <w:rPr>
          <w:rFonts w:ascii="Arial" w:eastAsia="Times New Roman" w:hAnsi="Arial" w:cs="Arial"/>
          <w:sz w:val="28"/>
          <w:szCs w:val="28"/>
          <w:lang w:val="es-ES" w:eastAsia="es-ES"/>
        </w:rPr>
        <w:t xml:space="preserve"> Veinte de noviembre de dos mil trece, suscrito por el mencionado fedatario </w:t>
      </w:r>
      <w:r w:rsidRPr="00791593">
        <w:rPr>
          <w:rFonts w:ascii="Arial" w:eastAsia="Times New Roman" w:hAnsi="Arial" w:cs="Arial"/>
          <w:bCs/>
          <w:sz w:val="28"/>
          <w:szCs w:val="28"/>
          <w:lang w:val="es-ES" w:eastAsia="es-ES"/>
        </w:rPr>
        <w:t xml:space="preserve">público, </w:t>
      </w:r>
      <w:r w:rsidRPr="00791593">
        <w:rPr>
          <w:rFonts w:ascii="Arial" w:eastAsia="Times New Roman" w:hAnsi="Arial" w:cs="Arial"/>
          <w:sz w:val="28"/>
          <w:szCs w:val="28"/>
          <w:lang w:val="es-ES" w:eastAsia="es-MX"/>
        </w:rPr>
        <w:t>por el cual hizo del conocimiento de la citada Dirección General de Notarías sobre la certificación de hechos que llevó a cabo en el aludido Municipio.</w:t>
      </w:r>
    </w:p>
    <w:p w14:paraId="000215D8"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val="es-ES" w:eastAsia="es-MX"/>
        </w:rPr>
      </w:pPr>
      <w:r w:rsidRPr="00791593">
        <w:rPr>
          <w:rFonts w:ascii="Arial" w:eastAsia="Times New Roman" w:hAnsi="Arial" w:cs="Arial"/>
          <w:b/>
          <w:sz w:val="28"/>
          <w:szCs w:val="28"/>
          <w:lang w:val="es-ES" w:eastAsia="es-MX"/>
        </w:rPr>
        <w:lastRenderedPageBreak/>
        <w:t>6.</w:t>
      </w:r>
      <w:r w:rsidRPr="00791593">
        <w:rPr>
          <w:rFonts w:ascii="Arial" w:eastAsia="Times New Roman" w:hAnsi="Arial" w:cs="Arial"/>
          <w:sz w:val="28"/>
          <w:szCs w:val="28"/>
          <w:lang w:val="es-ES" w:eastAsia="es-MX"/>
        </w:rPr>
        <w:t xml:space="preserve"> Oficio de quince de noviembre de dos mil trece, suscrito por el Presidente del </w:t>
      </w:r>
      <w:r w:rsidRPr="00791593">
        <w:rPr>
          <w:rFonts w:ascii="Arial" w:eastAsia="Times New Roman" w:hAnsi="Arial" w:cs="Arial"/>
          <w:sz w:val="28"/>
          <w:szCs w:val="28"/>
          <w:lang w:val="es-ES" w:eastAsia="es-ES"/>
        </w:rPr>
        <w:t>Ayuntamiento de San Sebastián Tecomaxtlahuaca, Juxtlahuaca, Oaxaca.</w:t>
      </w:r>
    </w:p>
    <w:p w14:paraId="6B0CABA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sz w:val="28"/>
          <w:szCs w:val="28"/>
          <w:lang w:eastAsia="es-ES"/>
        </w:rPr>
        <w:t>Conforme al estudio y valoración conjunta de los elementos de prueba que han quedado precisados, se puede llegar a la conclusión de que no existe certeza sobre el desarrollo de la Asamblea General Comunitaria de diecisiete de noviembre de dos mil trece.</w:t>
      </w:r>
    </w:p>
    <w:p w14:paraId="6022EC2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sz w:val="28"/>
          <w:szCs w:val="28"/>
          <w:lang w:eastAsia="es-MX"/>
        </w:rPr>
        <w:t xml:space="preserve">En concepto de esta Sala Superior, es incorrecto lo resuelto por la Sala Regional Xalapa de este Tribunal Electoral, al considerar válida la elección </w:t>
      </w:r>
      <w:r w:rsidRPr="00791593">
        <w:rPr>
          <w:rFonts w:ascii="Arial" w:eastAsia="Times New Roman" w:hAnsi="Arial" w:cs="Arial"/>
          <w:sz w:val="28"/>
          <w:szCs w:val="28"/>
          <w:lang w:val="es-ES" w:eastAsia="es-MX"/>
        </w:rPr>
        <w:t xml:space="preserve">de integrantes del </w:t>
      </w:r>
      <w:r w:rsidRPr="00791593">
        <w:rPr>
          <w:rFonts w:ascii="Arial" w:eastAsia="Times New Roman" w:hAnsi="Arial" w:cs="Arial"/>
          <w:sz w:val="28"/>
          <w:szCs w:val="28"/>
          <w:lang w:val="es-ES" w:eastAsia="es-ES"/>
        </w:rPr>
        <w:t>Ayuntamiento de San Sebastián Tecomaxtlahuaca, Juxtlahuaca, Oaxaca</w:t>
      </w:r>
      <w:r w:rsidRPr="00791593">
        <w:rPr>
          <w:rFonts w:ascii="Arial" w:eastAsia="Times New Roman" w:hAnsi="Arial" w:cs="Arial"/>
          <w:sz w:val="28"/>
          <w:szCs w:val="28"/>
          <w:lang w:eastAsia="es-MX"/>
        </w:rPr>
        <w:t xml:space="preserve">, no obstante que existieron violaciones graves al principio constitucional de certeza electoral, durante el desarrollo de la </w:t>
      </w:r>
      <w:r w:rsidRPr="00791593">
        <w:rPr>
          <w:rFonts w:ascii="Arial" w:eastAsia="Times New Roman" w:hAnsi="Arial" w:cs="Arial"/>
          <w:sz w:val="28"/>
          <w:szCs w:val="28"/>
          <w:lang w:eastAsia="es-ES"/>
        </w:rPr>
        <w:t>Asamblea General Comunitaria de diecisiete de noviembre de dos mil trece</w:t>
      </w:r>
      <w:r w:rsidRPr="00791593">
        <w:rPr>
          <w:rFonts w:ascii="Arial" w:eastAsia="Times New Roman" w:hAnsi="Arial" w:cs="Arial"/>
          <w:sz w:val="28"/>
          <w:szCs w:val="28"/>
          <w:lang w:eastAsia="es-MX"/>
        </w:rPr>
        <w:t>.</w:t>
      </w:r>
    </w:p>
    <w:p w14:paraId="36C9A55A"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Los enjuiciantes exponen, en esencia, que la Sala Regional Xalapa no valoró conforme a Derecho el testimonio notarial y el acta de la Asamblea General electiva de diecisiete de noviembre de dos mil trece, debido a que existen discrepancias que impiden que se les otorgue valor probatorio pleno, además de que, adminiculados con otros elementos de prueba que obran en autos, se llega a la conclusión de que existieron irregularidades graves durante la jornada electoral, lo que implica que se vulneró el principio constitucional de certeza, por lo que se debe revocar la sentencia controvertida y declarar la nulidad de la elección.</w:t>
      </w:r>
    </w:p>
    <w:p w14:paraId="70D92EBB"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lastRenderedPageBreak/>
        <w:t>Para una mejor exposición de las razones fundamentales que llevan a este órgano colegiado a asumir la determinación de revocar la sentencia de la Sala Regional responsable, se considera pertinente, en primer término, analizar los elementos de prueba que obran en el expediente, posteriormente se hará su análisis conjunto y se les dará el valor probatorio que corresponda, para finalmente exponer los argumentos relativos a la violación del principio constitucional de certeza electoral.</w:t>
      </w:r>
    </w:p>
    <w:p w14:paraId="56E2AF3F"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8.1 Análisis de los elementos de prueba.</w:t>
      </w:r>
    </w:p>
    <w:p w14:paraId="5169F2B4"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8.1.1 Acta de la Asamblea General Comunitaria de diecisiete de noviembre de dos mil trece</w:t>
      </w:r>
      <w:r w:rsidRPr="00791593">
        <w:rPr>
          <w:rFonts w:ascii="Arial" w:eastAsia="Times New Roman" w:hAnsi="Arial" w:cs="Arial"/>
          <w:sz w:val="28"/>
          <w:szCs w:val="28"/>
          <w:lang w:eastAsia="es-ES"/>
        </w:rPr>
        <w:t>.</w:t>
      </w:r>
    </w:p>
    <w:p w14:paraId="6890D607"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Del análisis de la copia certificada del acta de la Asamblea General Comunitaria, para la elección de integrantes del citado Ayuntamiento, </w:t>
      </w:r>
      <w:r w:rsidRPr="00791593">
        <w:rPr>
          <w:rFonts w:ascii="Arial" w:eastAsia="Times New Roman" w:hAnsi="Arial" w:cs="Arial"/>
          <w:bCs/>
          <w:sz w:val="28"/>
          <w:szCs w:val="28"/>
          <w:lang w:eastAsia="es-ES"/>
        </w:rPr>
        <w:t xml:space="preserve">para el periodo dos mil catorce-dos mil dieciséis (2014-2016), celebrada el diecisiete de </w:t>
      </w:r>
      <w:r w:rsidRPr="00791593">
        <w:rPr>
          <w:rFonts w:ascii="Arial" w:eastAsia="Times New Roman" w:hAnsi="Arial" w:cs="Arial"/>
          <w:sz w:val="28"/>
          <w:szCs w:val="28"/>
          <w:lang w:eastAsia="es-ES"/>
        </w:rPr>
        <w:t xml:space="preserve">noviembre de dos mil trece, </w:t>
      </w:r>
      <w:r w:rsidRPr="00791593">
        <w:rPr>
          <w:rFonts w:ascii="Arial" w:eastAsia="Times New Roman" w:hAnsi="Arial" w:cs="Arial"/>
          <w:bCs/>
          <w:sz w:val="28"/>
          <w:szCs w:val="28"/>
          <w:lang w:eastAsia="es-ES"/>
        </w:rPr>
        <w:t xml:space="preserve">que obra a fojas quinientas setenta y ocho a quinientas ochenta, del expediente integrado con motivo del incoado juicio para la protección de los derechos político-electorales del ciudadano, radicado en el expediente identificado con clave SX-JDC-111/2014, clasificado en esta Sala Superior como </w:t>
      </w:r>
      <w:r w:rsidRPr="00791593">
        <w:rPr>
          <w:rFonts w:ascii="Arial" w:eastAsia="Times New Roman" w:hAnsi="Arial" w:cs="Arial"/>
          <w:bCs/>
          <w:i/>
          <w:sz w:val="28"/>
          <w:szCs w:val="28"/>
          <w:lang w:eastAsia="es-ES"/>
        </w:rPr>
        <w:t>“</w:t>
      </w:r>
      <w:r w:rsidRPr="00791593">
        <w:rPr>
          <w:rFonts w:ascii="Arial" w:eastAsia="Times New Roman" w:hAnsi="Arial" w:cs="Arial"/>
          <w:bCs/>
          <w:i/>
          <w:sz w:val="24"/>
          <w:szCs w:val="24"/>
          <w:lang w:eastAsia="es-ES"/>
        </w:rPr>
        <w:t>CUADERNO ACCESORIO 2</w:t>
      </w:r>
      <w:r w:rsidRPr="00791593">
        <w:rPr>
          <w:rFonts w:ascii="Arial" w:eastAsia="Times New Roman" w:hAnsi="Arial" w:cs="Arial"/>
          <w:bCs/>
          <w:sz w:val="28"/>
          <w:szCs w:val="28"/>
          <w:lang w:eastAsia="es-ES"/>
        </w:rPr>
        <w:t xml:space="preserve">”, del expediente del recurso de reconsideración indicado al rubro, </w:t>
      </w:r>
      <w:r w:rsidRPr="00791593">
        <w:rPr>
          <w:rFonts w:ascii="Arial" w:eastAsia="Times New Roman" w:hAnsi="Arial" w:cs="Arial"/>
          <w:sz w:val="28"/>
          <w:szCs w:val="28"/>
          <w:lang w:eastAsia="es-ES"/>
        </w:rPr>
        <w:t>se advierte lo siguiente:</w:t>
      </w:r>
    </w:p>
    <w:p w14:paraId="176FC74D"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1.</w:t>
      </w:r>
      <w:r w:rsidRPr="00791593">
        <w:rPr>
          <w:rFonts w:ascii="Arial" w:eastAsia="Times New Roman" w:hAnsi="Arial" w:cs="Arial"/>
          <w:sz w:val="28"/>
          <w:szCs w:val="28"/>
          <w:lang w:eastAsia="es-ES"/>
        </w:rPr>
        <w:t xml:space="preserve"> En el acta se asienta que, </w:t>
      </w:r>
      <w:r w:rsidRPr="00791593">
        <w:rPr>
          <w:rFonts w:ascii="Arial" w:eastAsia="Times New Roman" w:hAnsi="Arial" w:cs="Arial"/>
          <w:i/>
          <w:sz w:val="28"/>
          <w:szCs w:val="28"/>
          <w:lang w:eastAsia="es-ES"/>
        </w:rPr>
        <w:t>“</w:t>
      </w:r>
      <w:r w:rsidRPr="00791593">
        <w:rPr>
          <w:rFonts w:ascii="Arial" w:eastAsia="Times New Roman" w:hAnsi="Arial" w:cs="Arial"/>
          <w:i/>
          <w:sz w:val="24"/>
          <w:szCs w:val="24"/>
          <w:lang w:eastAsia="es-ES"/>
        </w:rPr>
        <w:t xml:space="preserve">COMPROBÁNSOSE QUE SE ENCUENTRAN PRESENTES </w:t>
      </w:r>
      <w:r w:rsidRPr="00791593">
        <w:rPr>
          <w:rFonts w:ascii="Arial" w:eastAsia="Times New Roman" w:hAnsi="Arial" w:cs="Arial"/>
          <w:i/>
          <w:sz w:val="24"/>
          <w:szCs w:val="24"/>
          <w:u w:val="single"/>
          <w:lang w:eastAsia="es-ES"/>
        </w:rPr>
        <w:t xml:space="preserve">   3220</w:t>
      </w:r>
      <w:r w:rsidRPr="00791593">
        <w:rPr>
          <w:rFonts w:ascii="Arial" w:eastAsia="Times New Roman" w:hAnsi="Arial" w:cs="Arial"/>
          <w:i/>
          <w:sz w:val="24"/>
          <w:szCs w:val="24"/>
          <w:lang w:eastAsia="es-ES"/>
        </w:rPr>
        <w:t xml:space="preserve"> CIUDADANOS DE UN TOTAL DE </w:t>
      </w:r>
      <w:r w:rsidRPr="00791593">
        <w:rPr>
          <w:rFonts w:ascii="Arial" w:eastAsia="Times New Roman" w:hAnsi="Arial" w:cs="Arial"/>
          <w:i/>
          <w:sz w:val="24"/>
          <w:szCs w:val="24"/>
          <w:u w:val="single"/>
          <w:lang w:eastAsia="es-ES"/>
        </w:rPr>
        <w:t xml:space="preserve">   3220   </w:t>
      </w:r>
      <w:r w:rsidRPr="00791593">
        <w:rPr>
          <w:rFonts w:ascii="Arial" w:eastAsia="Times New Roman" w:hAnsi="Arial" w:cs="Arial"/>
          <w:i/>
          <w:sz w:val="24"/>
          <w:szCs w:val="24"/>
          <w:lang w:eastAsia="es-ES"/>
        </w:rPr>
        <w:t xml:space="preserve"> POR LO QUE SI EXISTE QUÓRUM PARA LLEVAR A CABO ESTA ASAMBLEA</w:t>
      </w:r>
      <w:r w:rsidRPr="00791593">
        <w:rPr>
          <w:rFonts w:ascii="Arial" w:eastAsia="Times New Roman" w:hAnsi="Arial" w:cs="Arial"/>
          <w:sz w:val="28"/>
          <w:szCs w:val="28"/>
          <w:lang w:eastAsia="es-ES"/>
        </w:rPr>
        <w:t>”.</w:t>
      </w:r>
    </w:p>
    <w:p w14:paraId="363D9902"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2.</w:t>
      </w:r>
      <w:r w:rsidRPr="00791593">
        <w:rPr>
          <w:rFonts w:ascii="Arial" w:eastAsia="Times New Roman" w:hAnsi="Arial" w:cs="Arial"/>
          <w:sz w:val="28"/>
          <w:szCs w:val="28"/>
          <w:lang w:eastAsia="es-ES"/>
        </w:rPr>
        <w:t xml:space="preserve"> A las once horas quince minutos del diecisiete de noviembre de dos mil trece, quedó formalmente instalada la Asamblea electiva.</w:t>
      </w:r>
    </w:p>
    <w:p w14:paraId="7423B8DE"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lastRenderedPageBreak/>
        <w:t>3.</w:t>
      </w:r>
      <w:r w:rsidRPr="00791593">
        <w:rPr>
          <w:rFonts w:ascii="Arial" w:eastAsia="Times New Roman" w:hAnsi="Arial" w:cs="Arial"/>
          <w:sz w:val="28"/>
          <w:szCs w:val="28"/>
          <w:lang w:eastAsia="es-ES"/>
        </w:rPr>
        <w:t xml:space="preserve"> Se integró la Mesa de Debates, la cual quedó constituida con un presidente, un secretario y diecinueve escrutadores.</w:t>
      </w:r>
    </w:p>
    <w:p w14:paraId="19780002"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4.</w:t>
      </w:r>
      <w:r w:rsidRPr="00791593">
        <w:rPr>
          <w:rFonts w:ascii="Arial" w:eastAsia="Times New Roman" w:hAnsi="Arial" w:cs="Arial"/>
          <w:sz w:val="28"/>
          <w:szCs w:val="28"/>
          <w:lang w:eastAsia="es-ES"/>
        </w:rPr>
        <w:t xml:space="preserve"> Se registraron dos planillas para participar en la elección, integradas ambas por cinco candidatos para los cargos de Presidente Municipal, Síndico, Regidor de Hacienda, Regidor de Educación y suplente de Presidente Municipal.</w:t>
      </w:r>
    </w:p>
    <w:p w14:paraId="2BA4FACF"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5.</w:t>
      </w:r>
      <w:r w:rsidRPr="00791593">
        <w:rPr>
          <w:rFonts w:ascii="Arial" w:eastAsia="Times New Roman" w:hAnsi="Arial" w:cs="Arial"/>
          <w:sz w:val="28"/>
          <w:szCs w:val="28"/>
          <w:lang w:eastAsia="es-ES"/>
        </w:rPr>
        <w:t xml:space="preserve"> Se emitieron tres mil doscientos veinte (3,220) votos, obteniendo la planilla presidida por Javier Rubio Rosas mil setecientos noventa y cuatro votos (1,794), en tanto que la planilla presidida por Alfonso Alvarado Martínez obtuvo mil cuatrocientos veintiséis votos (1,426).</w:t>
      </w:r>
    </w:p>
    <w:p w14:paraId="7336A5DF"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6.</w:t>
      </w:r>
      <w:r w:rsidRPr="00791593">
        <w:rPr>
          <w:rFonts w:ascii="Arial" w:eastAsia="Times New Roman" w:hAnsi="Arial" w:cs="Arial"/>
          <w:sz w:val="28"/>
          <w:szCs w:val="28"/>
          <w:lang w:eastAsia="es-ES"/>
        </w:rPr>
        <w:t xml:space="preserve"> Se declaró ganadora a la planilla encabezada por Javier Rubio Rosas.</w:t>
      </w:r>
    </w:p>
    <w:p w14:paraId="12865194"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7.</w:t>
      </w:r>
      <w:r w:rsidRPr="00791593">
        <w:rPr>
          <w:rFonts w:ascii="Arial" w:eastAsia="Times New Roman" w:hAnsi="Arial" w:cs="Arial"/>
          <w:sz w:val="28"/>
          <w:szCs w:val="28"/>
          <w:lang w:eastAsia="es-ES"/>
        </w:rPr>
        <w:t xml:space="preserve"> A las veintitrés horas veinte minutos (23:20) se dio por concluida la Asamblea electiva; asentándose en el acta que todos los integrantes de mesa de debates y las autoridades firmaron de conformidad, al no haberse registrado incidente alguno.</w:t>
      </w:r>
    </w:p>
    <w:p w14:paraId="45F44E17"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8.</w:t>
      </w:r>
      <w:r w:rsidRPr="00791593">
        <w:rPr>
          <w:rFonts w:ascii="Arial" w:eastAsia="Times New Roman" w:hAnsi="Arial" w:cs="Arial"/>
          <w:sz w:val="28"/>
          <w:szCs w:val="28"/>
          <w:lang w:eastAsia="es-ES"/>
        </w:rPr>
        <w:t xml:space="preserve"> El acta está firmada sólo por el secretario de la mesa de debates y siete escrutadores, falta la firma del Presidente de la citada mesa, de doce escrutadores y de los funcionarios municipales.</w:t>
      </w:r>
    </w:p>
    <w:p w14:paraId="4864B27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sz w:val="28"/>
          <w:szCs w:val="28"/>
          <w:lang w:eastAsia="es-ES"/>
        </w:rPr>
        <w:t xml:space="preserve">La constancia analizada es un documento público, conforme a lo previsto en el artículo 14, párrafo 1, inciso a) y párrafo 4, incisos a), b) y c), con relación al artículo 16, párrafo 1, ambos de la Ley General del Sistema de Medios de Impugnación en Materia Electoral, debido a que se trata de una acta elaborada por una autoridad electoral, al interior del </w:t>
      </w:r>
      <w:r w:rsidRPr="00791593">
        <w:rPr>
          <w:rFonts w:ascii="Arial" w:eastAsia="Times New Roman" w:hAnsi="Arial" w:cs="Arial"/>
          <w:sz w:val="28"/>
          <w:szCs w:val="28"/>
          <w:lang w:eastAsia="es-ES"/>
        </w:rPr>
        <w:lastRenderedPageBreak/>
        <w:t xml:space="preserve">sistema normativo electoral indígena, emitida el día de celebración de la Asamblea General Comunitaria para elegir a los integrantes del Ayuntamiento </w:t>
      </w:r>
      <w:r w:rsidRPr="00791593">
        <w:rPr>
          <w:rFonts w:ascii="Arial" w:eastAsia="Times New Roman" w:hAnsi="Arial" w:cs="Arial"/>
          <w:sz w:val="28"/>
          <w:szCs w:val="28"/>
          <w:lang w:eastAsia="es-MX"/>
        </w:rPr>
        <w:t>de San Sebastián Tecomaxtlahuaca, Juxtlahuaca, Oaxaca.</w:t>
      </w:r>
    </w:p>
    <w:p w14:paraId="5A1EEDC5"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791593">
        <w:rPr>
          <w:rFonts w:ascii="Arial" w:eastAsia="Times New Roman" w:hAnsi="Arial" w:cs="Arial"/>
          <w:sz w:val="28"/>
          <w:szCs w:val="28"/>
          <w:lang w:eastAsia="es-MX"/>
        </w:rPr>
        <w:t xml:space="preserve">En este contexto se debe exponer que existe una “certificación” suscrita por el Secretario de la Mesa de Debates, la cual obra a fojas </w:t>
      </w:r>
      <w:r w:rsidRPr="00791593">
        <w:rPr>
          <w:rFonts w:ascii="Arial" w:eastAsia="Times New Roman" w:hAnsi="Arial" w:cs="Arial"/>
          <w:bCs/>
          <w:sz w:val="28"/>
          <w:szCs w:val="28"/>
          <w:lang w:eastAsia="es-ES"/>
        </w:rPr>
        <w:t xml:space="preserve">quinientas ochenta y uno a quinientas ochenta y dos, del expediente integrado con motivo del incoado juicio para la protección de los derechos político-electorales del ciudadano, radicado en el expediente identificado con clave SX-JDC-111/2014, clasificado en esta Sala Superior como </w:t>
      </w:r>
      <w:r w:rsidRPr="00791593">
        <w:rPr>
          <w:rFonts w:ascii="Arial" w:eastAsia="Times New Roman" w:hAnsi="Arial" w:cs="Arial"/>
          <w:bCs/>
          <w:i/>
          <w:sz w:val="28"/>
          <w:szCs w:val="28"/>
          <w:lang w:eastAsia="es-ES"/>
        </w:rPr>
        <w:t>“</w:t>
      </w:r>
      <w:r w:rsidRPr="00791593">
        <w:rPr>
          <w:rFonts w:ascii="Arial" w:eastAsia="Times New Roman" w:hAnsi="Arial" w:cs="Arial"/>
          <w:bCs/>
          <w:i/>
          <w:sz w:val="24"/>
          <w:szCs w:val="24"/>
          <w:lang w:eastAsia="es-ES"/>
        </w:rPr>
        <w:t>CUADERNO ACCESORIO 2</w:t>
      </w:r>
      <w:r w:rsidRPr="00791593">
        <w:rPr>
          <w:rFonts w:ascii="Arial" w:eastAsia="Times New Roman" w:hAnsi="Arial" w:cs="Arial"/>
          <w:bCs/>
          <w:sz w:val="28"/>
          <w:szCs w:val="28"/>
          <w:lang w:eastAsia="es-ES"/>
        </w:rPr>
        <w:t>”, del expediente del recurso de reconsideración indicado al rubro.</w:t>
      </w:r>
    </w:p>
    <w:p w14:paraId="6F94926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eastAsia="es-ES"/>
        </w:rPr>
      </w:pPr>
      <w:r w:rsidRPr="00791593">
        <w:rPr>
          <w:rFonts w:ascii="Arial" w:eastAsia="Times New Roman" w:hAnsi="Arial" w:cs="Arial"/>
          <w:bCs/>
          <w:sz w:val="28"/>
          <w:szCs w:val="28"/>
          <w:lang w:eastAsia="es-ES"/>
        </w:rPr>
        <w:t>Tal documento fue presentado ante el Instituto Electoral y de Participación Ciudadana de Oaxaca, mediante oficio diverso y distinto a aquel que se remitió el expediente integrado por el Secretario de la Mesa de Debates, relativo a la elección de diecisiete de noviembre de dos mil trece.</w:t>
      </w:r>
    </w:p>
    <w:p w14:paraId="31C1729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bCs/>
          <w:sz w:val="28"/>
          <w:szCs w:val="28"/>
          <w:lang w:eastAsia="es-ES"/>
        </w:rPr>
        <w:t>De tal documento se advierte que el Secretario de la Mesa de Debates certificó que el Presidente y doce escrutadores, integrantes de la citada Mesa; así como siete funcionarios municipales, es decir, veinte personas se negaron a firmar el acta de Asamblea General Comunitaria; no obstante, el aludido Secretario no menciona el motivo, razón o circunstancia de tal negativa a firmar.</w:t>
      </w:r>
    </w:p>
    <w:p w14:paraId="655566AA"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
          <w:sz w:val="28"/>
          <w:szCs w:val="28"/>
          <w:lang w:eastAsia="es-MX"/>
        </w:rPr>
      </w:pPr>
      <w:r w:rsidRPr="00791593">
        <w:rPr>
          <w:rFonts w:ascii="Arial" w:eastAsia="Times New Roman" w:hAnsi="Arial" w:cs="Arial"/>
          <w:b/>
          <w:sz w:val="28"/>
          <w:szCs w:val="28"/>
          <w:lang w:eastAsia="es-MX"/>
        </w:rPr>
        <w:t xml:space="preserve">8.1.2 Instrumento notarial treinta y tres mil ochocientos </w:t>
      </w:r>
      <w:r w:rsidRPr="00791593">
        <w:rPr>
          <w:rFonts w:ascii="Arial" w:eastAsia="Times New Roman" w:hAnsi="Arial" w:cs="Arial"/>
          <w:b/>
          <w:sz w:val="28"/>
          <w:szCs w:val="28"/>
          <w:lang w:eastAsia="es-MX"/>
        </w:rPr>
        <w:lastRenderedPageBreak/>
        <w:t>cincuenta y tres (33,853).</w:t>
      </w:r>
    </w:p>
    <w:p w14:paraId="18506BD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Calibri" w:hAnsi="Arial" w:cs="Arial"/>
          <w:bCs/>
          <w:sz w:val="28"/>
          <w:szCs w:val="28"/>
        </w:rPr>
        <w:t xml:space="preserve">A fojas seiscientas cuarenta y cinco a seiscientas cuarenta y seis, del expediente integrado con motivo del incoado juicio para la protección de los derechos político-electorales del ciudadano, radicado en el expediente identificado con clave SX-JDC-111/2014, clasificado en esta Sala Superior como </w:t>
      </w:r>
      <w:r w:rsidRPr="00791593">
        <w:rPr>
          <w:rFonts w:ascii="Arial" w:eastAsia="Calibri" w:hAnsi="Arial" w:cs="Arial"/>
          <w:bCs/>
          <w:i/>
          <w:sz w:val="28"/>
          <w:szCs w:val="28"/>
        </w:rPr>
        <w:t>“</w:t>
      </w:r>
      <w:r w:rsidRPr="00791593">
        <w:rPr>
          <w:rFonts w:ascii="Arial" w:eastAsia="Calibri" w:hAnsi="Arial" w:cs="Arial"/>
          <w:bCs/>
          <w:i/>
        </w:rPr>
        <w:t>CUADERNO ACCESORIO 2</w:t>
      </w:r>
      <w:r w:rsidRPr="00791593">
        <w:rPr>
          <w:rFonts w:ascii="Arial" w:eastAsia="Calibri" w:hAnsi="Arial" w:cs="Arial"/>
          <w:bCs/>
          <w:sz w:val="28"/>
          <w:szCs w:val="28"/>
        </w:rPr>
        <w:t>”, del expediente del recurso de reconsideración indicado al rubro, obra c</w:t>
      </w:r>
      <w:r w:rsidRPr="00791593">
        <w:rPr>
          <w:rFonts w:ascii="Arial" w:eastAsia="Times New Roman" w:hAnsi="Arial" w:cs="Arial"/>
          <w:sz w:val="28"/>
          <w:szCs w:val="28"/>
          <w:lang w:eastAsia="es-ES"/>
        </w:rPr>
        <w:t xml:space="preserve">opia del primer testimonio del </w:t>
      </w:r>
      <w:r w:rsidRPr="00791593">
        <w:rPr>
          <w:rFonts w:ascii="Arial" w:eastAsia="Times New Roman" w:hAnsi="Arial" w:cs="Arial"/>
          <w:bCs/>
          <w:sz w:val="28"/>
          <w:szCs w:val="28"/>
          <w:lang w:val="es-ES" w:eastAsia="es-ES"/>
        </w:rPr>
        <w:t xml:space="preserve">instrumento notarial treinta y tres mil ochocientos cincuenta y tres (33,853) del Protocolo del Notario Público </w:t>
      </w:r>
      <w:r w:rsidRPr="00791593">
        <w:rPr>
          <w:rFonts w:ascii="Arial" w:eastAsia="Times New Roman" w:hAnsi="Arial" w:cs="Arial"/>
          <w:sz w:val="28"/>
          <w:szCs w:val="28"/>
          <w:lang w:eastAsia="es-ES"/>
        </w:rPr>
        <w:t>diecinueve (19) del Estado de Oaxaca, Licenciado Rodolfo Morales Moreno.</w:t>
      </w:r>
    </w:p>
    <w:p w14:paraId="6046CA89"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Cabe precisar que tal documento está incluido en el legajo de copias certificadas, cuya certificación fue hecha por el Secretario General del Instituto Estatal Electoral y de Participación Ciudadana de Oaxaca, Francisco Javier Osorio Rojas, copias que son reproducción fiel y exacta del expediente, el cual tuvo a la vista y que obra en los archivos de la Dirección Ejecutiva de Sistemas Normativos Internos del mencionado Instituto, de la renovación de concejales al Ayuntamiento del Municipio de San Sebastián Tecomaxtlahuaca, que electoralmente se rige por sistemas normativos internos.</w:t>
      </w:r>
    </w:p>
    <w:p w14:paraId="16D4CE0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Del aludido documento se advierte lo siguiente:</w:t>
      </w:r>
    </w:p>
    <w:p w14:paraId="7CF0975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 xml:space="preserve">1. </w:t>
      </w:r>
      <w:r w:rsidRPr="00791593">
        <w:rPr>
          <w:rFonts w:ascii="Arial" w:eastAsia="Times New Roman" w:hAnsi="Arial" w:cs="Arial"/>
          <w:sz w:val="28"/>
          <w:szCs w:val="28"/>
          <w:lang w:eastAsia="es-ES"/>
        </w:rPr>
        <w:t>Fue elaborado a partir de las diez horas del día veinte de noviembre de dos mil trece.</w:t>
      </w:r>
    </w:p>
    <w:p w14:paraId="34EBCD29"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2.</w:t>
      </w:r>
      <w:r w:rsidRPr="00791593">
        <w:rPr>
          <w:rFonts w:ascii="Arial" w:eastAsia="Times New Roman" w:hAnsi="Arial" w:cs="Arial"/>
          <w:sz w:val="28"/>
          <w:szCs w:val="28"/>
          <w:lang w:eastAsia="es-ES"/>
        </w:rPr>
        <w:t xml:space="preserve"> Se da fe de hechos ocurridos el día diecisiete de noviembre de dos mil trece, relativos al desarrollo de la Asamblea General </w:t>
      </w:r>
      <w:r w:rsidRPr="00791593">
        <w:rPr>
          <w:rFonts w:ascii="Arial" w:eastAsia="Times New Roman" w:hAnsi="Arial" w:cs="Arial"/>
          <w:sz w:val="28"/>
          <w:szCs w:val="28"/>
          <w:lang w:eastAsia="es-ES"/>
        </w:rPr>
        <w:lastRenderedPageBreak/>
        <w:t xml:space="preserve">Comunitaria para la elección de integrantes del Ayuntamiento </w:t>
      </w:r>
      <w:r w:rsidRPr="00791593">
        <w:rPr>
          <w:rFonts w:ascii="Arial" w:eastAsia="Times New Roman" w:hAnsi="Arial" w:cs="Arial"/>
          <w:sz w:val="28"/>
          <w:szCs w:val="28"/>
          <w:lang w:eastAsia="es-MX"/>
        </w:rPr>
        <w:t>de San Sebastián Tecomaxtlahuaca, Juxtlahuaca, Oaxaca</w:t>
      </w:r>
      <w:r w:rsidRPr="00791593">
        <w:rPr>
          <w:rFonts w:ascii="Arial" w:eastAsia="Times New Roman" w:hAnsi="Arial" w:cs="Arial"/>
          <w:sz w:val="28"/>
          <w:szCs w:val="28"/>
          <w:lang w:eastAsia="es-ES"/>
        </w:rPr>
        <w:t>.</w:t>
      </w:r>
    </w:p>
    <w:p w14:paraId="552A79D5"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3.</w:t>
      </w:r>
      <w:r w:rsidRPr="00791593">
        <w:rPr>
          <w:rFonts w:ascii="Arial" w:eastAsia="Times New Roman" w:hAnsi="Arial" w:cs="Arial"/>
          <w:sz w:val="28"/>
          <w:szCs w:val="28"/>
          <w:lang w:eastAsia="es-ES"/>
        </w:rPr>
        <w:t xml:space="preserve"> Los servicios del Notario Público fueron solicitados por Javier Rubio Rosas y José Conrado Salazar Guzmán, a las dieciocho horas diez minutos (18:10) del día dieciséis de noviembre de dos mil trece.</w:t>
      </w:r>
    </w:p>
    <w:p w14:paraId="5990B559"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4.</w:t>
      </w:r>
      <w:r w:rsidRPr="00791593">
        <w:rPr>
          <w:rFonts w:ascii="Arial" w:eastAsia="Times New Roman" w:hAnsi="Arial" w:cs="Arial"/>
          <w:sz w:val="28"/>
          <w:szCs w:val="28"/>
          <w:lang w:eastAsia="es-ES"/>
        </w:rPr>
        <w:t xml:space="preserve"> El Notario Público da fe de que los comparecientes manifestaron que el día diecisiete de noviembre de dos mil trece se celebraría, a las once horas (11:00), la Asamblea General Comunitaria para la elección de los integrantes del citado Ayuntamiento que fungirán en el trienio dos mil catorce-dos mil dieciséis (2014-2016), en el citado Municipio.</w:t>
      </w:r>
    </w:p>
    <w:p w14:paraId="1F89F06D"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5.</w:t>
      </w:r>
      <w:r w:rsidRPr="00791593">
        <w:rPr>
          <w:rFonts w:ascii="Arial" w:eastAsia="Times New Roman" w:hAnsi="Arial" w:cs="Arial"/>
          <w:sz w:val="28"/>
          <w:szCs w:val="28"/>
          <w:lang w:eastAsia="es-ES"/>
        </w:rPr>
        <w:t xml:space="preserve"> A las diez horas cuarenta minutos (10:40), del citado día diecisiete, se constituyó el Notario Público en el Palacio Municipal.</w:t>
      </w:r>
    </w:p>
    <w:p w14:paraId="09D937F4"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6.</w:t>
      </w:r>
      <w:r w:rsidRPr="00791593">
        <w:rPr>
          <w:rFonts w:ascii="Arial" w:eastAsia="Times New Roman" w:hAnsi="Arial" w:cs="Arial"/>
          <w:sz w:val="28"/>
          <w:szCs w:val="28"/>
          <w:lang w:eastAsia="es-ES"/>
        </w:rPr>
        <w:t xml:space="preserve"> El Notario Público da fe de que a las once horas (11:00) dio inicio la Asamblea electiva.</w:t>
      </w:r>
    </w:p>
    <w:p w14:paraId="6D444183"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i/>
          <w:sz w:val="28"/>
          <w:szCs w:val="28"/>
          <w:lang w:eastAsia="es-ES"/>
        </w:rPr>
      </w:pPr>
      <w:r w:rsidRPr="00791593">
        <w:rPr>
          <w:rFonts w:ascii="Arial" w:eastAsia="Times New Roman" w:hAnsi="Arial" w:cs="Arial"/>
          <w:b/>
          <w:sz w:val="28"/>
          <w:szCs w:val="28"/>
          <w:lang w:eastAsia="es-ES"/>
        </w:rPr>
        <w:t>7.</w:t>
      </w:r>
      <w:r w:rsidRPr="00791593">
        <w:rPr>
          <w:rFonts w:ascii="Arial" w:eastAsia="Times New Roman" w:hAnsi="Arial" w:cs="Arial"/>
          <w:sz w:val="28"/>
          <w:szCs w:val="28"/>
          <w:lang w:eastAsia="es-ES"/>
        </w:rPr>
        <w:t xml:space="preserve"> Al desahogar el “</w:t>
      </w:r>
      <w:r w:rsidRPr="00791593">
        <w:rPr>
          <w:rFonts w:ascii="Arial" w:eastAsia="Times New Roman" w:hAnsi="Arial" w:cs="Arial"/>
          <w:b/>
          <w:i/>
          <w:sz w:val="24"/>
          <w:szCs w:val="24"/>
          <w:lang w:eastAsia="es-ES"/>
        </w:rPr>
        <w:t xml:space="preserve">PRIMER PUNTO </w:t>
      </w:r>
      <w:r w:rsidRPr="00791593">
        <w:rPr>
          <w:rFonts w:ascii="Arial" w:eastAsia="Times New Roman" w:hAnsi="Arial" w:cs="Arial"/>
          <w:i/>
          <w:sz w:val="28"/>
          <w:szCs w:val="28"/>
          <w:lang w:eastAsia="es-ES"/>
        </w:rPr>
        <w:t>del orden del día</w:t>
      </w:r>
      <w:r w:rsidRPr="00791593">
        <w:rPr>
          <w:rFonts w:ascii="Arial" w:eastAsia="Times New Roman" w:hAnsi="Arial" w:cs="Arial"/>
          <w:sz w:val="28"/>
          <w:szCs w:val="28"/>
          <w:lang w:eastAsia="es-ES"/>
        </w:rPr>
        <w:t>,” de la Asamblea electiva, relativo al “</w:t>
      </w:r>
      <w:r w:rsidRPr="00791593">
        <w:rPr>
          <w:rFonts w:ascii="Arial" w:eastAsia="Times New Roman" w:hAnsi="Arial" w:cs="Arial"/>
          <w:i/>
          <w:sz w:val="24"/>
          <w:szCs w:val="24"/>
          <w:lang w:eastAsia="es-ES"/>
        </w:rPr>
        <w:t>PASE DE LISTA DE ASISTENCIA</w:t>
      </w:r>
      <w:r w:rsidRPr="00791593">
        <w:rPr>
          <w:rFonts w:ascii="Arial" w:eastAsia="Times New Roman" w:hAnsi="Arial" w:cs="Arial"/>
          <w:sz w:val="28"/>
          <w:szCs w:val="28"/>
          <w:lang w:eastAsia="es-ES"/>
        </w:rPr>
        <w:t>”, el mencionado fedatario público, “</w:t>
      </w:r>
      <w:r w:rsidRPr="00791593">
        <w:rPr>
          <w:rFonts w:ascii="Arial" w:eastAsia="Times New Roman" w:hAnsi="Arial" w:cs="Arial"/>
          <w:i/>
          <w:sz w:val="24"/>
          <w:szCs w:val="24"/>
          <w:lang w:eastAsia="es-ES"/>
        </w:rPr>
        <w:t>certificó que se encuentran presentes 3,220 ciudadanos</w:t>
      </w:r>
      <w:r w:rsidRPr="00791593">
        <w:rPr>
          <w:rFonts w:ascii="Arial" w:eastAsia="Times New Roman" w:hAnsi="Arial" w:cs="Arial"/>
          <w:sz w:val="24"/>
          <w:szCs w:val="24"/>
          <w:lang w:eastAsia="es-ES"/>
        </w:rPr>
        <w:t xml:space="preserve">, </w:t>
      </w:r>
      <w:r w:rsidRPr="00791593">
        <w:rPr>
          <w:rFonts w:ascii="Arial" w:eastAsia="Times New Roman" w:hAnsi="Arial" w:cs="Arial"/>
          <w:i/>
          <w:sz w:val="24"/>
          <w:szCs w:val="24"/>
          <w:lang w:eastAsia="es-ES"/>
        </w:rPr>
        <w:t>como lo manifiesta el Presidente Municipal actual</w:t>
      </w:r>
      <w:r w:rsidRPr="00791593">
        <w:rPr>
          <w:rFonts w:ascii="Arial" w:eastAsia="Times New Roman" w:hAnsi="Arial" w:cs="Arial"/>
          <w:i/>
          <w:sz w:val="28"/>
          <w:szCs w:val="28"/>
          <w:lang w:eastAsia="es-ES"/>
        </w:rPr>
        <w:t>”.</w:t>
      </w:r>
    </w:p>
    <w:p w14:paraId="6E922F6E"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8.</w:t>
      </w:r>
      <w:r w:rsidRPr="00791593">
        <w:rPr>
          <w:rFonts w:ascii="Arial" w:eastAsia="Times New Roman" w:hAnsi="Arial" w:cs="Arial"/>
          <w:i/>
          <w:sz w:val="28"/>
          <w:szCs w:val="28"/>
          <w:lang w:eastAsia="es-ES"/>
        </w:rPr>
        <w:t xml:space="preserve"> </w:t>
      </w:r>
      <w:r w:rsidRPr="00791593">
        <w:rPr>
          <w:rFonts w:ascii="Arial" w:eastAsia="Times New Roman" w:hAnsi="Arial" w:cs="Arial"/>
          <w:sz w:val="28"/>
          <w:szCs w:val="28"/>
          <w:lang w:eastAsia="es-ES"/>
        </w:rPr>
        <w:t>Respecto del “</w:t>
      </w:r>
      <w:r w:rsidRPr="00791593">
        <w:rPr>
          <w:rFonts w:ascii="Arial" w:eastAsia="Times New Roman" w:hAnsi="Arial" w:cs="Arial"/>
          <w:b/>
          <w:i/>
          <w:sz w:val="24"/>
          <w:szCs w:val="24"/>
          <w:lang w:eastAsia="es-ES"/>
        </w:rPr>
        <w:t xml:space="preserve">TERCER PUNTO </w:t>
      </w:r>
      <w:r w:rsidRPr="00791593">
        <w:rPr>
          <w:rFonts w:ascii="Arial" w:eastAsia="Times New Roman" w:hAnsi="Arial" w:cs="Arial"/>
          <w:i/>
          <w:sz w:val="28"/>
          <w:szCs w:val="28"/>
          <w:lang w:eastAsia="es-ES"/>
        </w:rPr>
        <w:t>del orden del día</w:t>
      </w:r>
      <w:r w:rsidRPr="00791593">
        <w:rPr>
          <w:rFonts w:ascii="Arial" w:eastAsia="Times New Roman" w:hAnsi="Arial" w:cs="Arial"/>
          <w:sz w:val="28"/>
          <w:szCs w:val="28"/>
          <w:lang w:eastAsia="es-ES"/>
        </w:rPr>
        <w:t>”, relativo a la instalación de la Asamblea electiva, certifica que la Mesa de Debates  quedó integrada con el “</w:t>
      </w:r>
      <w:r w:rsidRPr="00791593">
        <w:rPr>
          <w:rFonts w:ascii="Arial" w:eastAsia="Times New Roman" w:hAnsi="Arial" w:cs="Arial"/>
          <w:i/>
          <w:sz w:val="24"/>
          <w:szCs w:val="24"/>
          <w:lang w:eastAsia="es-ES"/>
        </w:rPr>
        <w:t>Lic. Miguel Cirilo Cruz Velasco.-Presidente</w:t>
      </w:r>
      <w:r w:rsidRPr="00791593">
        <w:rPr>
          <w:rFonts w:ascii="Arial" w:eastAsia="Times New Roman" w:hAnsi="Arial" w:cs="Arial"/>
          <w:i/>
          <w:sz w:val="28"/>
          <w:szCs w:val="28"/>
          <w:lang w:eastAsia="es-ES"/>
        </w:rPr>
        <w:t>”, “</w:t>
      </w:r>
      <w:r w:rsidRPr="00791593">
        <w:rPr>
          <w:rFonts w:ascii="Arial" w:eastAsia="Times New Roman" w:hAnsi="Arial" w:cs="Arial"/>
          <w:i/>
          <w:sz w:val="24"/>
          <w:szCs w:val="24"/>
          <w:lang w:eastAsia="es-ES"/>
        </w:rPr>
        <w:t>Prof Abraham Abdiel Santos Cortes.- Secretario</w:t>
      </w:r>
      <w:r w:rsidRPr="00791593">
        <w:rPr>
          <w:rFonts w:ascii="Arial" w:eastAsia="Times New Roman" w:hAnsi="Arial" w:cs="Arial"/>
          <w:sz w:val="28"/>
          <w:szCs w:val="28"/>
          <w:lang w:eastAsia="es-ES"/>
        </w:rPr>
        <w:t>” y tres escrutadores: “</w:t>
      </w:r>
      <w:r w:rsidRPr="00791593">
        <w:rPr>
          <w:rFonts w:ascii="Arial" w:eastAsia="Times New Roman" w:hAnsi="Arial" w:cs="Arial"/>
          <w:i/>
          <w:sz w:val="24"/>
          <w:szCs w:val="24"/>
          <w:lang w:eastAsia="es-ES"/>
        </w:rPr>
        <w:t xml:space="preserve">Teresa </w:t>
      </w:r>
      <w:r w:rsidRPr="00791593">
        <w:rPr>
          <w:rFonts w:ascii="Arial" w:eastAsia="Times New Roman" w:hAnsi="Arial" w:cs="Arial"/>
          <w:i/>
          <w:sz w:val="24"/>
          <w:szCs w:val="24"/>
          <w:lang w:eastAsia="es-ES"/>
        </w:rPr>
        <w:lastRenderedPageBreak/>
        <w:t>Zavaleta Cruz.-Primer Escrutador</w:t>
      </w:r>
      <w:r w:rsidRPr="00791593">
        <w:rPr>
          <w:rFonts w:ascii="Arial" w:eastAsia="Times New Roman" w:hAnsi="Arial" w:cs="Arial"/>
          <w:i/>
          <w:sz w:val="28"/>
          <w:szCs w:val="28"/>
          <w:lang w:eastAsia="es-ES"/>
        </w:rPr>
        <w:t>”,</w:t>
      </w:r>
      <w:r w:rsidRPr="00791593">
        <w:rPr>
          <w:rFonts w:ascii="Arial" w:eastAsia="Times New Roman" w:hAnsi="Arial" w:cs="Arial"/>
          <w:sz w:val="28"/>
          <w:szCs w:val="28"/>
          <w:lang w:eastAsia="es-ES"/>
        </w:rPr>
        <w:t xml:space="preserve"> “</w:t>
      </w:r>
      <w:r w:rsidRPr="00791593">
        <w:rPr>
          <w:rFonts w:ascii="Arial" w:eastAsia="Times New Roman" w:hAnsi="Arial" w:cs="Arial"/>
          <w:i/>
          <w:sz w:val="24"/>
          <w:szCs w:val="24"/>
          <w:lang w:eastAsia="es-ES"/>
        </w:rPr>
        <w:t>Oscar López Ramírez.-Segundo Escrutador</w:t>
      </w:r>
      <w:r w:rsidRPr="00791593">
        <w:rPr>
          <w:rFonts w:ascii="Arial" w:eastAsia="Times New Roman" w:hAnsi="Arial" w:cs="Arial"/>
          <w:sz w:val="28"/>
          <w:szCs w:val="28"/>
          <w:lang w:eastAsia="es-ES"/>
        </w:rPr>
        <w:t>” y “</w:t>
      </w:r>
      <w:r w:rsidRPr="00791593">
        <w:rPr>
          <w:rFonts w:ascii="Arial" w:eastAsia="Times New Roman" w:hAnsi="Arial" w:cs="Arial"/>
          <w:i/>
          <w:sz w:val="24"/>
          <w:szCs w:val="24"/>
          <w:lang w:eastAsia="es-ES"/>
        </w:rPr>
        <w:t>Miguel Avila Trujillo.-Tercer Escrutador</w:t>
      </w:r>
      <w:r w:rsidRPr="00791593">
        <w:rPr>
          <w:rFonts w:ascii="Arial" w:eastAsia="Times New Roman" w:hAnsi="Arial" w:cs="Arial"/>
          <w:sz w:val="28"/>
          <w:szCs w:val="28"/>
          <w:lang w:eastAsia="es-ES"/>
        </w:rPr>
        <w:t>”.</w:t>
      </w:r>
    </w:p>
    <w:p w14:paraId="79327E14"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9.</w:t>
      </w:r>
      <w:r w:rsidRPr="00791593">
        <w:rPr>
          <w:rFonts w:ascii="Arial" w:eastAsia="Times New Roman" w:hAnsi="Arial" w:cs="Arial"/>
          <w:sz w:val="28"/>
          <w:szCs w:val="28"/>
          <w:lang w:eastAsia="es-ES"/>
        </w:rPr>
        <w:t xml:space="preserve"> El Notario Público dio fe de que se registraron dos planillas, integradas de la siguiente forma:</w:t>
      </w: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1827"/>
        <w:gridCol w:w="1701"/>
        <w:gridCol w:w="2405"/>
      </w:tblGrid>
      <w:tr w:rsidR="006F5238" w:rsidRPr="00791593" w14:paraId="29F2B2F4" w14:textId="77777777" w:rsidTr="006F5238">
        <w:trPr>
          <w:trHeight w:val="265"/>
          <w:tblHeader/>
          <w:jc w:val="center"/>
        </w:trPr>
        <w:tc>
          <w:tcPr>
            <w:tcW w:w="1827" w:type="dxa"/>
            <w:tcBorders>
              <w:top w:val="double" w:sz="4" w:space="0" w:color="76923C"/>
              <w:left w:val="double" w:sz="4" w:space="0" w:color="76923C"/>
              <w:bottom w:val="double" w:sz="4" w:space="0" w:color="76923C"/>
              <w:right w:val="double" w:sz="4" w:space="0" w:color="76923C"/>
            </w:tcBorders>
            <w:shd w:val="pct15" w:color="76923C" w:fill="auto"/>
            <w:hideMark/>
          </w:tcPr>
          <w:p w14:paraId="211BAD7E"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18"/>
                <w:szCs w:val="18"/>
                <w:lang w:eastAsia="es-MX"/>
              </w:rPr>
            </w:pPr>
            <w:r w:rsidRPr="00791593">
              <w:rPr>
                <w:rFonts w:ascii="Arial" w:eastAsia="Times New Roman" w:hAnsi="Arial" w:cs="Arial"/>
                <w:b/>
                <w:sz w:val="18"/>
                <w:szCs w:val="18"/>
                <w:lang w:eastAsia="es-MX"/>
              </w:rPr>
              <w:t>Cargo</w:t>
            </w:r>
          </w:p>
        </w:tc>
        <w:tc>
          <w:tcPr>
            <w:tcW w:w="4106" w:type="dxa"/>
            <w:gridSpan w:val="2"/>
            <w:tcBorders>
              <w:top w:val="double" w:sz="4" w:space="0" w:color="76923C"/>
              <w:left w:val="double" w:sz="4" w:space="0" w:color="76923C"/>
              <w:bottom w:val="double" w:sz="4" w:space="0" w:color="76923C"/>
              <w:right w:val="double" w:sz="4" w:space="0" w:color="76923C"/>
            </w:tcBorders>
            <w:shd w:val="pct15" w:color="76923C" w:fill="auto"/>
            <w:hideMark/>
          </w:tcPr>
          <w:p w14:paraId="3DDB87BA"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18"/>
                <w:szCs w:val="18"/>
                <w:lang w:eastAsia="es-MX"/>
              </w:rPr>
            </w:pPr>
            <w:r w:rsidRPr="00791593">
              <w:rPr>
                <w:rFonts w:ascii="Arial" w:eastAsia="Times New Roman" w:hAnsi="Arial" w:cs="Arial"/>
                <w:b/>
                <w:sz w:val="18"/>
                <w:szCs w:val="18"/>
                <w:lang w:eastAsia="es-MX"/>
              </w:rPr>
              <w:t>Nombre</w:t>
            </w:r>
          </w:p>
        </w:tc>
      </w:tr>
      <w:tr w:rsidR="006F5238" w:rsidRPr="00791593" w14:paraId="1DC8E272" w14:textId="77777777" w:rsidTr="006F5238">
        <w:trPr>
          <w:trHeight w:val="265"/>
          <w:jc w:val="center"/>
        </w:trPr>
        <w:tc>
          <w:tcPr>
            <w:tcW w:w="1827" w:type="dxa"/>
            <w:vMerge w:val="restart"/>
            <w:tcBorders>
              <w:top w:val="double" w:sz="4" w:space="0" w:color="76923C"/>
              <w:left w:val="double" w:sz="4" w:space="0" w:color="76923C"/>
              <w:bottom w:val="double" w:sz="4" w:space="0" w:color="76923C"/>
              <w:right w:val="double" w:sz="4" w:space="0" w:color="76923C"/>
            </w:tcBorders>
            <w:vAlign w:val="center"/>
            <w:hideMark/>
          </w:tcPr>
          <w:p w14:paraId="5EC7FFF3"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Presidente Municipal</w:t>
            </w:r>
          </w:p>
        </w:tc>
        <w:tc>
          <w:tcPr>
            <w:tcW w:w="1701" w:type="dxa"/>
            <w:tcBorders>
              <w:top w:val="double" w:sz="4" w:space="0" w:color="76923C"/>
              <w:left w:val="double" w:sz="4" w:space="0" w:color="76923C"/>
              <w:bottom w:val="double" w:sz="4" w:space="0" w:color="76923C"/>
              <w:right w:val="double" w:sz="4" w:space="0" w:color="76923C"/>
            </w:tcBorders>
            <w:vAlign w:val="center"/>
            <w:hideMark/>
          </w:tcPr>
          <w:p w14:paraId="39B2E7CB"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Propietario</w:t>
            </w:r>
          </w:p>
        </w:tc>
        <w:tc>
          <w:tcPr>
            <w:tcW w:w="2405" w:type="dxa"/>
            <w:tcBorders>
              <w:top w:val="double" w:sz="4" w:space="0" w:color="76923C"/>
              <w:left w:val="double" w:sz="4" w:space="0" w:color="76923C"/>
              <w:bottom w:val="double" w:sz="4" w:space="0" w:color="76923C"/>
              <w:right w:val="double" w:sz="4" w:space="0" w:color="76923C"/>
            </w:tcBorders>
            <w:vAlign w:val="center"/>
            <w:hideMark/>
          </w:tcPr>
          <w:p w14:paraId="1F731A69"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Javier Rubio Rosas</w:t>
            </w:r>
          </w:p>
        </w:tc>
      </w:tr>
      <w:tr w:rsidR="006F5238" w:rsidRPr="00791593" w14:paraId="7864BB90" w14:textId="77777777" w:rsidTr="006F5238">
        <w:trPr>
          <w:trHeight w:val="265"/>
          <w:jc w:val="center"/>
        </w:trPr>
        <w:tc>
          <w:tcPr>
            <w:tcW w:w="1827" w:type="dxa"/>
            <w:vMerge/>
            <w:tcBorders>
              <w:top w:val="double" w:sz="4" w:space="0" w:color="76923C"/>
              <w:left w:val="double" w:sz="4" w:space="0" w:color="76923C"/>
              <w:bottom w:val="double" w:sz="4" w:space="0" w:color="76923C"/>
              <w:right w:val="double" w:sz="4" w:space="0" w:color="76923C"/>
            </w:tcBorders>
            <w:vAlign w:val="center"/>
            <w:hideMark/>
          </w:tcPr>
          <w:p w14:paraId="3EA40103" w14:textId="77777777" w:rsidR="006F5238" w:rsidRPr="00791593" w:rsidRDefault="006F5238" w:rsidP="006F5238">
            <w:pPr>
              <w:spacing w:after="0" w:line="240" w:lineRule="auto"/>
              <w:rPr>
                <w:rFonts w:ascii="Arial" w:eastAsia="Times New Roman" w:hAnsi="Arial" w:cs="Arial"/>
                <w:sz w:val="18"/>
                <w:szCs w:val="18"/>
                <w:lang w:eastAsia="es-MX"/>
              </w:rPr>
            </w:pPr>
          </w:p>
        </w:tc>
        <w:tc>
          <w:tcPr>
            <w:tcW w:w="1701" w:type="dxa"/>
            <w:tcBorders>
              <w:top w:val="double" w:sz="4" w:space="0" w:color="76923C"/>
              <w:left w:val="double" w:sz="4" w:space="0" w:color="76923C"/>
              <w:bottom w:val="double" w:sz="4" w:space="0" w:color="76923C"/>
              <w:right w:val="double" w:sz="4" w:space="0" w:color="76923C"/>
            </w:tcBorders>
            <w:vAlign w:val="center"/>
            <w:hideMark/>
          </w:tcPr>
          <w:p w14:paraId="34C7A283"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Suplente</w:t>
            </w:r>
          </w:p>
        </w:tc>
        <w:tc>
          <w:tcPr>
            <w:tcW w:w="2405" w:type="dxa"/>
            <w:tcBorders>
              <w:top w:val="double" w:sz="4" w:space="0" w:color="76923C"/>
              <w:left w:val="double" w:sz="4" w:space="0" w:color="76923C"/>
              <w:bottom w:val="double" w:sz="4" w:space="0" w:color="76923C"/>
              <w:right w:val="double" w:sz="4" w:space="0" w:color="76923C"/>
            </w:tcBorders>
            <w:vAlign w:val="center"/>
            <w:hideMark/>
          </w:tcPr>
          <w:p w14:paraId="69B24DEF"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José Conrado Salazar Guzmán</w:t>
            </w:r>
          </w:p>
        </w:tc>
      </w:tr>
      <w:tr w:rsidR="006F5238" w:rsidRPr="00791593" w14:paraId="493A0E79" w14:textId="77777777" w:rsidTr="006F5238">
        <w:trPr>
          <w:trHeight w:val="560"/>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4B7C792D"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Síndico Municipal</w:t>
            </w:r>
          </w:p>
        </w:tc>
        <w:tc>
          <w:tcPr>
            <w:tcW w:w="4106" w:type="dxa"/>
            <w:gridSpan w:val="2"/>
            <w:tcBorders>
              <w:top w:val="double" w:sz="4" w:space="0" w:color="76923C"/>
              <w:left w:val="double" w:sz="4" w:space="0" w:color="76923C"/>
              <w:right w:val="double" w:sz="4" w:space="0" w:color="76923C"/>
            </w:tcBorders>
            <w:vAlign w:val="center"/>
            <w:hideMark/>
          </w:tcPr>
          <w:p w14:paraId="0141828D"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Antonio Isai Galicia Tapia</w:t>
            </w:r>
          </w:p>
        </w:tc>
      </w:tr>
      <w:tr w:rsidR="006F5238" w:rsidRPr="00791593" w14:paraId="192738B4" w14:textId="77777777" w:rsidTr="006F5238">
        <w:trPr>
          <w:trHeight w:val="681"/>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534A1B16"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Regidor Primero o de Hacienda</w:t>
            </w:r>
          </w:p>
        </w:tc>
        <w:tc>
          <w:tcPr>
            <w:tcW w:w="4106" w:type="dxa"/>
            <w:gridSpan w:val="2"/>
            <w:tcBorders>
              <w:top w:val="double" w:sz="4" w:space="0" w:color="76923C"/>
              <w:left w:val="double" w:sz="4" w:space="0" w:color="76923C"/>
              <w:right w:val="double" w:sz="4" w:space="0" w:color="76923C"/>
            </w:tcBorders>
            <w:vAlign w:val="center"/>
            <w:hideMark/>
          </w:tcPr>
          <w:p w14:paraId="5CFE0C35"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René Gregorio Salazar Mendoza</w:t>
            </w:r>
          </w:p>
        </w:tc>
      </w:tr>
      <w:tr w:rsidR="006F5238" w:rsidRPr="00791593" w14:paraId="4A515EB8" w14:textId="77777777" w:rsidTr="006F5238">
        <w:trPr>
          <w:trHeight w:val="691"/>
          <w:jc w:val="center"/>
        </w:trPr>
        <w:tc>
          <w:tcPr>
            <w:tcW w:w="1827" w:type="dxa"/>
            <w:tcBorders>
              <w:top w:val="double" w:sz="4" w:space="0" w:color="76923C"/>
              <w:left w:val="double" w:sz="4" w:space="0" w:color="76923C"/>
              <w:bottom w:val="double" w:sz="4" w:space="0" w:color="76923C"/>
              <w:right w:val="double" w:sz="4" w:space="0" w:color="76923C"/>
            </w:tcBorders>
            <w:vAlign w:val="center"/>
            <w:hideMark/>
          </w:tcPr>
          <w:p w14:paraId="10B71701"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Regidor Segundo o de Educación</w:t>
            </w:r>
          </w:p>
        </w:tc>
        <w:tc>
          <w:tcPr>
            <w:tcW w:w="4106" w:type="dxa"/>
            <w:gridSpan w:val="2"/>
            <w:tcBorders>
              <w:top w:val="double" w:sz="4" w:space="0" w:color="76923C"/>
              <w:left w:val="double" w:sz="4" w:space="0" w:color="76923C"/>
              <w:right w:val="double" w:sz="4" w:space="0" w:color="76923C"/>
            </w:tcBorders>
            <w:vAlign w:val="center"/>
            <w:hideMark/>
          </w:tcPr>
          <w:p w14:paraId="5AFA2B06"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Abraham Pacheco Ramírez</w:t>
            </w:r>
          </w:p>
        </w:tc>
      </w:tr>
    </w:tbl>
    <w:p w14:paraId="2EAB9502" w14:textId="77777777" w:rsidR="006F5238" w:rsidRPr="00791593" w:rsidRDefault="006F5238" w:rsidP="006F5238">
      <w:pPr>
        <w:spacing w:after="0" w:line="240" w:lineRule="auto"/>
        <w:rPr>
          <w:rFonts w:ascii="Arial" w:eastAsia="Times New Roman" w:hAnsi="Arial" w:cs="Arial"/>
          <w:sz w:val="24"/>
          <w:szCs w:val="24"/>
          <w:lang w:val="es-ES" w:eastAsia="es-ES"/>
        </w:rPr>
      </w:pPr>
    </w:p>
    <w:tbl>
      <w:tblPr>
        <w:tblW w:w="0" w:type="auto"/>
        <w:jc w:val="center"/>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2427"/>
        <w:gridCol w:w="1103"/>
        <w:gridCol w:w="2548"/>
      </w:tblGrid>
      <w:tr w:rsidR="006F5238" w:rsidRPr="00791593" w14:paraId="5BEDBDE3" w14:textId="77777777" w:rsidTr="006F5238">
        <w:trPr>
          <w:trHeight w:val="265"/>
          <w:tblHeader/>
          <w:jc w:val="center"/>
        </w:trPr>
        <w:tc>
          <w:tcPr>
            <w:tcW w:w="6078" w:type="dxa"/>
            <w:gridSpan w:val="3"/>
            <w:tcBorders>
              <w:top w:val="double" w:sz="4" w:space="0" w:color="76923C"/>
              <w:left w:val="double" w:sz="4" w:space="0" w:color="76923C"/>
              <w:bottom w:val="double" w:sz="4" w:space="0" w:color="76923C"/>
              <w:right w:val="double" w:sz="4" w:space="0" w:color="76923C"/>
            </w:tcBorders>
            <w:shd w:val="pct15" w:color="76923C" w:fill="auto"/>
            <w:hideMark/>
          </w:tcPr>
          <w:p w14:paraId="0780313E"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18"/>
                <w:szCs w:val="18"/>
                <w:lang w:eastAsia="es-MX"/>
              </w:rPr>
            </w:pPr>
            <w:r w:rsidRPr="00791593">
              <w:rPr>
                <w:rFonts w:ascii="Arial" w:eastAsia="Times New Roman" w:hAnsi="Arial" w:cs="Arial"/>
                <w:b/>
                <w:sz w:val="18"/>
                <w:szCs w:val="18"/>
                <w:lang w:eastAsia="es-MX"/>
              </w:rPr>
              <w:t>Planilla DOS</w:t>
            </w:r>
          </w:p>
        </w:tc>
      </w:tr>
      <w:tr w:rsidR="006F5238" w:rsidRPr="00791593" w14:paraId="783F5F1D" w14:textId="77777777" w:rsidTr="006F5238">
        <w:trPr>
          <w:trHeight w:val="265"/>
          <w:tblHeader/>
          <w:jc w:val="center"/>
        </w:trPr>
        <w:tc>
          <w:tcPr>
            <w:tcW w:w="2427" w:type="dxa"/>
            <w:tcBorders>
              <w:top w:val="double" w:sz="4" w:space="0" w:color="76923C"/>
              <w:left w:val="double" w:sz="4" w:space="0" w:color="76923C"/>
              <w:bottom w:val="double" w:sz="4" w:space="0" w:color="76923C"/>
              <w:right w:val="double" w:sz="4" w:space="0" w:color="76923C"/>
            </w:tcBorders>
            <w:shd w:val="pct15" w:color="76923C" w:fill="auto"/>
            <w:hideMark/>
          </w:tcPr>
          <w:p w14:paraId="4A9A874E"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18"/>
                <w:szCs w:val="18"/>
                <w:lang w:eastAsia="es-MX"/>
              </w:rPr>
            </w:pPr>
            <w:r w:rsidRPr="00791593">
              <w:rPr>
                <w:rFonts w:ascii="Arial" w:eastAsia="Times New Roman" w:hAnsi="Arial" w:cs="Arial"/>
                <w:b/>
                <w:sz w:val="18"/>
                <w:szCs w:val="18"/>
                <w:lang w:eastAsia="es-MX"/>
              </w:rPr>
              <w:t>Cargo</w:t>
            </w:r>
          </w:p>
        </w:tc>
        <w:tc>
          <w:tcPr>
            <w:tcW w:w="3651" w:type="dxa"/>
            <w:gridSpan w:val="2"/>
            <w:tcBorders>
              <w:top w:val="double" w:sz="4" w:space="0" w:color="76923C"/>
              <w:left w:val="double" w:sz="4" w:space="0" w:color="76923C"/>
              <w:bottom w:val="double" w:sz="4" w:space="0" w:color="76923C"/>
              <w:right w:val="double" w:sz="4" w:space="0" w:color="76923C"/>
            </w:tcBorders>
            <w:shd w:val="pct15" w:color="76923C" w:fill="auto"/>
            <w:hideMark/>
          </w:tcPr>
          <w:p w14:paraId="25458D02" w14:textId="77777777" w:rsidR="006F5238" w:rsidRPr="00791593" w:rsidRDefault="006F5238" w:rsidP="006F5238">
            <w:pPr>
              <w:spacing w:before="100" w:beforeAutospacing="1" w:after="100" w:afterAutospacing="1" w:line="240" w:lineRule="auto"/>
              <w:jc w:val="center"/>
              <w:rPr>
                <w:rFonts w:ascii="Arial" w:eastAsia="Times New Roman" w:hAnsi="Arial" w:cs="Arial"/>
                <w:b/>
                <w:sz w:val="18"/>
                <w:szCs w:val="18"/>
                <w:lang w:eastAsia="es-MX"/>
              </w:rPr>
            </w:pPr>
            <w:r w:rsidRPr="00791593">
              <w:rPr>
                <w:rFonts w:ascii="Arial" w:eastAsia="Times New Roman" w:hAnsi="Arial" w:cs="Arial"/>
                <w:b/>
                <w:sz w:val="18"/>
                <w:szCs w:val="18"/>
                <w:lang w:eastAsia="es-MX"/>
              </w:rPr>
              <w:t>Nombre</w:t>
            </w:r>
          </w:p>
        </w:tc>
      </w:tr>
      <w:tr w:rsidR="006F5238" w:rsidRPr="00791593" w14:paraId="765F9EDC" w14:textId="77777777" w:rsidTr="006F5238">
        <w:trPr>
          <w:trHeight w:val="265"/>
          <w:jc w:val="center"/>
        </w:trPr>
        <w:tc>
          <w:tcPr>
            <w:tcW w:w="2427" w:type="dxa"/>
            <w:vMerge w:val="restart"/>
            <w:tcBorders>
              <w:top w:val="double" w:sz="4" w:space="0" w:color="76923C"/>
              <w:left w:val="double" w:sz="4" w:space="0" w:color="76923C"/>
              <w:bottom w:val="double" w:sz="4" w:space="0" w:color="76923C"/>
              <w:right w:val="double" w:sz="4" w:space="0" w:color="76923C"/>
            </w:tcBorders>
            <w:vAlign w:val="center"/>
            <w:hideMark/>
          </w:tcPr>
          <w:p w14:paraId="3230D020"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Presidente Municipal</w:t>
            </w:r>
          </w:p>
        </w:tc>
        <w:tc>
          <w:tcPr>
            <w:tcW w:w="1103" w:type="dxa"/>
            <w:tcBorders>
              <w:top w:val="double" w:sz="4" w:space="0" w:color="76923C"/>
              <w:left w:val="double" w:sz="4" w:space="0" w:color="76923C"/>
              <w:bottom w:val="double" w:sz="4" w:space="0" w:color="76923C"/>
              <w:right w:val="double" w:sz="4" w:space="0" w:color="76923C"/>
            </w:tcBorders>
            <w:vAlign w:val="center"/>
            <w:hideMark/>
          </w:tcPr>
          <w:p w14:paraId="15AD2761"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Propietario</w:t>
            </w:r>
          </w:p>
        </w:tc>
        <w:tc>
          <w:tcPr>
            <w:tcW w:w="2548" w:type="dxa"/>
            <w:tcBorders>
              <w:top w:val="double" w:sz="4" w:space="0" w:color="76923C"/>
              <w:left w:val="double" w:sz="4" w:space="0" w:color="76923C"/>
              <w:bottom w:val="double" w:sz="4" w:space="0" w:color="76923C"/>
              <w:right w:val="double" w:sz="4" w:space="0" w:color="76923C"/>
            </w:tcBorders>
            <w:vAlign w:val="center"/>
            <w:hideMark/>
          </w:tcPr>
          <w:p w14:paraId="2ECC8038"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Alfonso Alvarado Martínez</w:t>
            </w:r>
          </w:p>
        </w:tc>
      </w:tr>
      <w:tr w:rsidR="006F5238" w:rsidRPr="00791593" w14:paraId="3CC3D3D4" w14:textId="77777777" w:rsidTr="006F5238">
        <w:trPr>
          <w:trHeight w:val="265"/>
          <w:jc w:val="center"/>
        </w:trPr>
        <w:tc>
          <w:tcPr>
            <w:tcW w:w="2427" w:type="dxa"/>
            <w:vMerge/>
            <w:tcBorders>
              <w:top w:val="double" w:sz="4" w:space="0" w:color="76923C"/>
              <w:left w:val="double" w:sz="4" w:space="0" w:color="76923C"/>
              <w:bottom w:val="double" w:sz="4" w:space="0" w:color="76923C"/>
              <w:right w:val="double" w:sz="4" w:space="0" w:color="76923C"/>
            </w:tcBorders>
            <w:vAlign w:val="center"/>
            <w:hideMark/>
          </w:tcPr>
          <w:p w14:paraId="4D5E58CE" w14:textId="77777777" w:rsidR="006F5238" w:rsidRPr="00791593" w:rsidRDefault="006F5238" w:rsidP="006F5238">
            <w:pPr>
              <w:spacing w:after="0" w:line="240" w:lineRule="auto"/>
              <w:rPr>
                <w:rFonts w:ascii="Arial" w:eastAsia="Times New Roman" w:hAnsi="Arial" w:cs="Arial"/>
                <w:sz w:val="18"/>
                <w:szCs w:val="18"/>
                <w:lang w:eastAsia="es-MX"/>
              </w:rPr>
            </w:pPr>
          </w:p>
        </w:tc>
        <w:tc>
          <w:tcPr>
            <w:tcW w:w="1103" w:type="dxa"/>
            <w:tcBorders>
              <w:top w:val="double" w:sz="4" w:space="0" w:color="76923C"/>
              <w:left w:val="double" w:sz="4" w:space="0" w:color="76923C"/>
              <w:bottom w:val="double" w:sz="4" w:space="0" w:color="76923C"/>
              <w:right w:val="double" w:sz="4" w:space="0" w:color="76923C"/>
            </w:tcBorders>
            <w:vAlign w:val="center"/>
            <w:hideMark/>
          </w:tcPr>
          <w:p w14:paraId="3781AC7B"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Suplente</w:t>
            </w:r>
          </w:p>
        </w:tc>
        <w:tc>
          <w:tcPr>
            <w:tcW w:w="2548" w:type="dxa"/>
            <w:tcBorders>
              <w:top w:val="double" w:sz="4" w:space="0" w:color="76923C"/>
              <w:left w:val="double" w:sz="4" w:space="0" w:color="76923C"/>
              <w:bottom w:val="double" w:sz="4" w:space="0" w:color="76923C"/>
              <w:right w:val="double" w:sz="4" w:space="0" w:color="76923C"/>
            </w:tcBorders>
            <w:vAlign w:val="center"/>
            <w:hideMark/>
          </w:tcPr>
          <w:p w14:paraId="04C2B5C4"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Javier Alvarado Luna</w:t>
            </w:r>
          </w:p>
        </w:tc>
      </w:tr>
      <w:tr w:rsidR="006F5238" w:rsidRPr="00791593" w14:paraId="2A62EE68" w14:textId="77777777" w:rsidTr="006F5238">
        <w:trPr>
          <w:trHeight w:val="560"/>
          <w:jc w:val="center"/>
        </w:trPr>
        <w:tc>
          <w:tcPr>
            <w:tcW w:w="2427" w:type="dxa"/>
            <w:tcBorders>
              <w:top w:val="double" w:sz="4" w:space="0" w:color="76923C"/>
              <w:left w:val="double" w:sz="4" w:space="0" w:color="76923C"/>
              <w:bottom w:val="double" w:sz="4" w:space="0" w:color="76923C"/>
              <w:right w:val="double" w:sz="4" w:space="0" w:color="76923C"/>
            </w:tcBorders>
            <w:vAlign w:val="center"/>
            <w:hideMark/>
          </w:tcPr>
          <w:p w14:paraId="3FA24BA0"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Síndico Municipal</w:t>
            </w:r>
          </w:p>
        </w:tc>
        <w:tc>
          <w:tcPr>
            <w:tcW w:w="3651" w:type="dxa"/>
            <w:gridSpan w:val="2"/>
            <w:tcBorders>
              <w:top w:val="double" w:sz="4" w:space="0" w:color="76923C"/>
              <w:left w:val="double" w:sz="4" w:space="0" w:color="76923C"/>
              <w:right w:val="double" w:sz="4" w:space="0" w:color="76923C"/>
            </w:tcBorders>
            <w:vAlign w:val="center"/>
            <w:hideMark/>
          </w:tcPr>
          <w:p w14:paraId="503C0A46"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Adán Zafra Torralba</w:t>
            </w:r>
          </w:p>
        </w:tc>
      </w:tr>
      <w:tr w:rsidR="006F5238" w:rsidRPr="00791593" w14:paraId="4E7F948C" w14:textId="77777777" w:rsidTr="006F5238">
        <w:trPr>
          <w:trHeight w:val="683"/>
          <w:jc w:val="center"/>
        </w:trPr>
        <w:tc>
          <w:tcPr>
            <w:tcW w:w="2427" w:type="dxa"/>
            <w:tcBorders>
              <w:top w:val="double" w:sz="4" w:space="0" w:color="76923C"/>
              <w:left w:val="double" w:sz="4" w:space="0" w:color="76923C"/>
              <w:bottom w:val="double" w:sz="4" w:space="0" w:color="76923C"/>
              <w:right w:val="double" w:sz="4" w:space="0" w:color="76923C"/>
            </w:tcBorders>
            <w:vAlign w:val="center"/>
            <w:hideMark/>
          </w:tcPr>
          <w:p w14:paraId="3060D07E"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Regidor Primero o de Hacienda</w:t>
            </w:r>
          </w:p>
        </w:tc>
        <w:tc>
          <w:tcPr>
            <w:tcW w:w="3651" w:type="dxa"/>
            <w:gridSpan w:val="2"/>
            <w:tcBorders>
              <w:top w:val="double" w:sz="4" w:space="0" w:color="76923C"/>
              <w:left w:val="double" w:sz="4" w:space="0" w:color="76923C"/>
              <w:right w:val="double" w:sz="4" w:space="0" w:color="76923C"/>
            </w:tcBorders>
            <w:vAlign w:val="center"/>
            <w:hideMark/>
          </w:tcPr>
          <w:p w14:paraId="0D2B3AE8"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José Luis Colores Ramos</w:t>
            </w:r>
          </w:p>
        </w:tc>
      </w:tr>
      <w:tr w:rsidR="006F5238" w:rsidRPr="00791593" w14:paraId="001D9997" w14:textId="77777777" w:rsidTr="006F5238">
        <w:trPr>
          <w:trHeight w:val="665"/>
          <w:jc w:val="center"/>
        </w:trPr>
        <w:tc>
          <w:tcPr>
            <w:tcW w:w="2427" w:type="dxa"/>
            <w:tcBorders>
              <w:top w:val="double" w:sz="4" w:space="0" w:color="76923C"/>
              <w:left w:val="double" w:sz="4" w:space="0" w:color="76923C"/>
              <w:bottom w:val="double" w:sz="4" w:space="0" w:color="76923C"/>
              <w:right w:val="double" w:sz="4" w:space="0" w:color="76923C"/>
            </w:tcBorders>
            <w:vAlign w:val="center"/>
            <w:hideMark/>
          </w:tcPr>
          <w:p w14:paraId="0F729687" w14:textId="77777777" w:rsidR="006F5238" w:rsidRPr="00791593" w:rsidRDefault="006F5238" w:rsidP="006F5238">
            <w:pPr>
              <w:spacing w:after="0"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Regidor Segundo o de Educación</w:t>
            </w:r>
          </w:p>
        </w:tc>
        <w:tc>
          <w:tcPr>
            <w:tcW w:w="3651" w:type="dxa"/>
            <w:gridSpan w:val="2"/>
            <w:tcBorders>
              <w:top w:val="double" w:sz="4" w:space="0" w:color="76923C"/>
              <w:left w:val="double" w:sz="4" w:space="0" w:color="76923C"/>
              <w:right w:val="double" w:sz="4" w:space="0" w:color="76923C"/>
            </w:tcBorders>
            <w:vAlign w:val="center"/>
            <w:hideMark/>
          </w:tcPr>
          <w:p w14:paraId="3A058073" w14:textId="77777777" w:rsidR="006F5238" w:rsidRPr="00791593" w:rsidRDefault="006F5238" w:rsidP="006F5238">
            <w:pPr>
              <w:spacing w:before="100" w:beforeAutospacing="1" w:after="100" w:afterAutospacing="1" w:line="240" w:lineRule="auto"/>
              <w:jc w:val="center"/>
              <w:rPr>
                <w:rFonts w:ascii="Arial" w:eastAsia="Times New Roman" w:hAnsi="Arial" w:cs="Arial"/>
                <w:sz w:val="18"/>
                <w:szCs w:val="18"/>
                <w:lang w:eastAsia="es-MX"/>
              </w:rPr>
            </w:pPr>
            <w:r w:rsidRPr="00791593">
              <w:rPr>
                <w:rFonts w:ascii="Arial" w:eastAsia="Times New Roman" w:hAnsi="Arial" w:cs="Arial"/>
                <w:sz w:val="18"/>
                <w:szCs w:val="18"/>
                <w:lang w:eastAsia="es-MX"/>
              </w:rPr>
              <w:t>José Manuel Luengas C.</w:t>
            </w:r>
          </w:p>
        </w:tc>
      </w:tr>
    </w:tbl>
    <w:p w14:paraId="0A99F938" w14:textId="77777777" w:rsidR="006F5238" w:rsidRPr="00791593" w:rsidRDefault="006F5238" w:rsidP="006F5238">
      <w:pPr>
        <w:spacing w:after="0" w:line="240" w:lineRule="auto"/>
        <w:rPr>
          <w:rFonts w:ascii="Arial" w:eastAsia="Times New Roman" w:hAnsi="Arial" w:cs="Arial"/>
          <w:sz w:val="24"/>
          <w:szCs w:val="24"/>
          <w:lang w:val="es-ES" w:eastAsia="es-ES"/>
        </w:rPr>
      </w:pPr>
    </w:p>
    <w:p w14:paraId="4FFA982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10.</w:t>
      </w:r>
      <w:r w:rsidRPr="00791593">
        <w:rPr>
          <w:rFonts w:ascii="Arial" w:eastAsia="Times New Roman" w:hAnsi="Arial" w:cs="Arial"/>
          <w:sz w:val="28"/>
          <w:szCs w:val="28"/>
          <w:lang w:eastAsia="es-ES"/>
        </w:rPr>
        <w:t xml:space="preserve"> Al desahogar el “</w:t>
      </w:r>
      <w:r w:rsidRPr="00791593">
        <w:rPr>
          <w:rFonts w:ascii="Arial" w:eastAsia="Times New Roman" w:hAnsi="Arial" w:cs="Arial"/>
          <w:b/>
          <w:i/>
          <w:sz w:val="24"/>
          <w:szCs w:val="24"/>
          <w:lang w:eastAsia="es-ES"/>
        </w:rPr>
        <w:t xml:space="preserve">SEPTIMO PUNTO </w:t>
      </w:r>
      <w:r w:rsidRPr="00791593">
        <w:rPr>
          <w:rFonts w:ascii="Arial" w:eastAsia="Times New Roman" w:hAnsi="Arial" w:cs="Arial"/>
          <w:i/>
          <w:sz w:val="28"/>
          <w:szCs w:val="28"/>
          <w:lang w:eastAsia="es-ES"/>
        </w:rPr>
        <w:t>del orden del día</w:t>
      </w:r>
      <w:r w:rsidRPr="00791593">
        <w:rPr>
          <w:rFonts w:ascii="Arial" w:eastAsia="Times New Roman" w:hAnsi="Arial" w:cs="Arial"/>
          <w:sz w:val="28"/>
          <w:szCs w:val="28"/>
          <w:lang w:eastAsia="es-ES"/>
        </w:rPr>
        <w:t>,” relativo a la elección de los nuevos concejales, el mencionado fedatario público hizo constar el hecho de que “</w:t>
      </w:r>
      <w:r w:rsidRPr="00791593">
        <w:rPr>
          <w:rFonts w:ascii="Arial" w:eastAsia="Times New Roman" w:hAnsi="Arial" w:cs="Arial"/>
          <w:i/>
          <w:sz w:val="24"/>
          <w:szCs w:val="24"/>
          <w:lang w:eastAsia="es-ES"/>
        </w:rPr>
        <w:t>una de las escrutadoras de nombre Rosa Elia Garcia López, les pintaba el dedo pulgar en un cojín con tinta de sello a cada uno de los ciudadanos una vez que emitían su voto</w:t>
      </w:r>
      <w:r w:rsidRPr="00791593">
        <w:rPr>
          <w:rFonts w:ascii="Arial" w:eastAsia="Times New Roman" w:hAnsi="Arial" w:cs="Arial"/>
          <w:sz w:val="28"/>
          <w:szCs w:val="28"/>
          <w:lang w:eastAsia="es-ES"/>
        </w:rPr>
        <w:t>”… “</w:t>
      </w:r>
      <w:r w:rsidRPr="00791593">
        <w:rPr>
          <w:rFonts w:ascii="Arial" w:eastAsia="Times New Roman" w:hAnsi="Arial" w:cs="Arial"/>
          <w:i/>
          <w:sz w:val="24"/>
          <w:szCs w:val="24"/>
          <w:lang w:eastAsia="es-ES"/>
        </w:rPr>
        <w:t xml:space="preserve">Enseguida la escrutadora C. Dulce Areli Vera Colores, procedió a contar los votos de la Planilla número 1 (uno), y el escrutador C. Gabriel Colores, procedió a contar los votos de la Planilla número </w:t>
      </w:r>
      <w:r w:rsidRPr="00791593">
        <w:rPr>
          <w:rFonts w:ascii="Arial" w:eastAsia="Times New Roman" w:hAnsi="Arial" w:cs="Arial"/>
          <w:i/>
          <w:sz w:val="24"/>
          <w:szCs w:val="24"/>
          <w:lang w:eastAsia="es-ES"/>
        </w:rPr>
        <w:lastRenderedPageBreak/>
        <w:t xml:space="preserve">2 (dos), por lo cual una vez realizado el conteo el suscrito </w:t>
      </w:r>
      <w:r w:rsidRPr="00791593">
        <w:rPr>
          <w:rFonts w:ascii="Arial" w:eastAsia="Times New Roman" w:hAnsi="Arial" w:cs="Arial"/>
          <w:b/>
          <w:i/>
          <w:sz w:val="24"/>
          <w:szCs w:val="24"/>
          <w:lang w:eastAsia="es-ES"/>
        </w:rPr>
        <w:t>certifica</w:t>
      </w:r>
      <w:r w:rsidRPr="00791593">
        <w:rPr>
          <w:rFonts w:ascii="Arial" w:eastAsia="Times New Roman" w:hAnsi="Arial" w:cs="Arial"/>
          <w:i/>
          <w:sz w:val="24"/>
          <w:szCs w:val="24"/>
          <w:lang w:eastAsia="es-ES"/>
        </w:rPr>
        <w:t xml:space="preserve"> los resultaos finales</w:t>
      </w:r>
      <w:r w:rsidRPr="00791593">
        <w:rPr>
          <w:rFonts w:ascii="Arial" w:eastAsia="Times New Roman" w:hAnsi="Arial" w:cs="Arial"/>
          <w:sz w:val="28"/>
          <w:szCs w:val="28"/>
          <w:lang w:eastAsia="es-ES"/>
        </w:rPr>
        <w:t>”.</w:t>
      </w:r>
    </w:p>
    <w:p w14:paraId="5BAB40CF"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11.</w:t>
      </w:r>
      <w:r w:rsidRPr="00791593">
        <w:rPr>
          <w:rFonts w:ascii="Arial" w:eastAsia="Times New Roman" w:hAnsi="Arial" w:cs="Arial"/>
          <w:sz w:val="28"/>
          <w:szCs w:val="28"/>
          <w:lang w:eastAsia="es-ES"/>
        </w:rPr>
        <w:t xml:space="preserve"> El Notario Público dio fe de que emitieron tres mil doscientos veinte votos (3220), de los cuales la planilla presidida por Javier Rubio Rosas obtuvo mil setecientos noventa y cuatro votos (1,794), en tanto que la planilla presidida por Alfonso Alvarado Martínez obtuvo mil cuatrocientos veintiséis votos (1,426).</w:t>
      </w:r>
    </w:p>
    <w:p w14:paraId="53E22867" w14:textId="77777777" w:rsidR="006F5238" w:rsidRPr="00791593" w:rsidRDefault="006F5238" w:rsidP="006F5238">
      <w:pPr>
        <w:spacing w:before="100" w:beforeAutospacing="1" w:after="100" w:afterAutospacing="1" w:line="336"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12.</w:t>
      </w:r>
      <w:r w:rsidRPr="00791593">
        <w:rPr>
          <w:rFonts w:ascii="Arial" w:eastAsia="Times New Roman" w:hAnsi="Arial" w:cs="Arial"/>
          <w:sz w:val="28"/>
          <w:szCs w:val="28"/>
          <w:lang w:eastAsia="es-ES"/>
        </w:rPr>
        <w:t xml:space="preserve"> En Notario Público dio fe de que a las veintitrés horas veinte minutos (23:20), se dio por concluida la Asamblea electiva, asentando que los funcionarios municipales y varios integrantes de la mesa de debates no quisieron firmar el acta elaborada con motivo de la elección.</w:t>
      </w:r>
    </w:p>
    <w:p w14:paraId="2634E424"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13.</w:t>
      </w:r>
      <w:r w:rsidRPr="00791593">
        <w:rPr>
          <w:rFonts w:ascii="Arial" w:eastAsia="Times New Roman" w:hAnsi="Arial" w:cs="Arial"/>
          <w:sz w:val="28"/>
          <w:szCs w:val="28"/>
          <w:lang w:eastAsia="es-ES"/>
        </w:rPr>
        <w:t xml:space="preserve"> El veinte de noviembre de dos mil trece el Notario Público expidió el primer testimonio del instrumento que  ha sido analizado.</w:t>
      </w:r>
    </w:p>
    <w:p w14:paraId="5621020F"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Cabe precisar que el mencionado elemento de prueba es un documento público, conforme a lo previsto en el artículo 14, párrafos 1, inciso a) y 4, inciso d), con relación al artículo 16, párrafo 1, de la Ley General del Sistema de Medios de Impugnación en Materia Electoral, el cual fue expedido por</w:t>
      </w:r>
      <w:r w:rsidRPr="00791593">
        <w:rPr>
          <w:rFonts w:ascii="Arial" w:eastAsia="Times New Roman" w:hAnsi="Arial" w:cs="Arial"/>
          <w:bCs/>
          <w:sz w:val="28"/>
          <w:szCs w:val="28"/>
          <w:lang w:val="es-ES" w:eastAsia="es-ES"/>
        </w:rPr>
        <w:t xml:space="preserve"> Notario Público </w:t>
      </w:r>
      <w:r w:rsidRPr="00791593">
        <w:rPr>
          <w:rFonts w:ascii="Arial" w:eastAsia="Times New Roman" w:hAnsi="Arial" w:cs="Arial"/>
          <w:sz w:val="28"/>
          <w:szCs w:val="28"/>
          <w:lang w:eastAsia="es-ES"/>
        </w:rPr>
        <w:t xml:space="preserve">diecinueve (19) del Estado de Oaxaca, quien en términos del artículo 2 de la Ley </w:t>
      </w:r>
      <w:r w:rsidRPr="00791593">
        <w:rPr>
          <w:rFonts w:ascii="Arial" w:eastAsia="Times New Roman" w:hAnsi="Arial" w:cs="Arial"/>
          <w:bCs/>
          <w:sz w:val="28"/>
          <w:szCs w:val="28"/>
          <w:lang w:val="es-ES" w:eastAsia="es-ES"/>
        </w:rPr>
        <w:t xml:space="preserve">del Notariado para el Estado de Oaxaca </w:t>
      </w:r>
      <w:r w:rsidRPr="00791593">
        <w:rPr>
          <w:rFonts w:ascii="Arial" w:eastAsia="Times New Roman" w:hAnsi="Arial" w:cs="Arial"/>
          <w:sz w:val="28"/>
          <w:szCs w:val="28"/>
          <w:lang w:val="es-ES" w:eastAsia="es-ES"/>
        </w:rPr>
        <w:t>“</w:t>
      </w:r>
      <w:r w:rsidRPr="00791593">
        <w:rPr>
          <w:rFonts w:ascii="Arial" w:eastAsia="Times New Roman" w:hAnsi="Arial" w:cs="Arial"/>
          <w:i/>
          <w:sz w:val="24"/>
          <w:szCs w:val="28"/>
          <w:lang w:val="es-ES" w:eastAsia="es-ES"/>
        </w:rPr>
        <w:t>[…]</w:t>
      </w:r>
      <w:r w:rsidRPr="00791593">
        <w:rPr>
          <w:rFonts w:ascii="Arial" w:eastAsia="Times New Roman" w:hAnsi="Arial" w:cs="Arial"/>
          <w:i/>
          <w:iCs/>
          <w:sz w:val="24"/>
          <w:szCs w:val="24"/>
          <w:lang w:val="es-ES" w:eastAsia="es-ES"/>
        </w:rPr>
        <w:t xml:space="preserve"> es el profesional del derecho investido de fe pública, facultado para hacer constar la autenticidad de los actos y hechos a los que por disposición de la Ley o por voluntad de los interesados, se les deba dar formalidad de carácter público</w:t>
      </w:r>
      <w:r w:rsidRPr="00791593">
        <w:rPr>
          <w:rFonts w:ascii="Arial" w:eastAsia="Times New Roman" w:hAnsi="Arial" w:cs="Arial"/>
          <w:sz w:val="28"/>
          <w:szCs w:val="28"/>
          <w:lang w:val="es-ES" w:eastAsia="es-ES"/>
        </w:rPr>
        <w:t>”</w:t>
      </w:r>
      <w:r w:rsidRPr="00791593">
        <w:rPr>
          <w:rFonts w:ascii="Arial" w:eastAsia="Times New Roman" w:hAnsi="Arial" w:cs="Arial"/>
          <w:sz w:val="28"/>
          <w:szCs w:val="28"/>
          <w:lang w:eastAsia="es-ES"/>
        </w:rPr>
        <w:t>.</w:t>
      </w:r>
    </w:p>
    <w:p w14:paraId="4B58D024"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MX"/>
        </w:rPr>
      </w:pPr>
      <w:r w:rsidRPr="00791593">
        <w:rPr>
          <w:rFonts w:ascii="Arial" w:eastAsia="Times New Roman" w:hAnsi="Arial" w:cs="Arial"/>
          <w:b/>
          <w:sz w:val="28"/>
          <w:szCs w:val="28"/>
          <w:lang w:eastAsia="es-MX"/>
        </w:rPr>
        <w:t>8.1.3 L</w:t>
      </w:r>
      <w:r w:rsidRPr="00791593">
        <w:rPr>
          <w:rFonts w:ascii="Arial" w:eastAsia="Times New Roman" w:hAnsi="Arial" w:cs="Arial"/>
          <w:b/>
          <w:sz w:val="28"/>
          <w:szCs w:val="28"/>
          <w:lang w:eastAsia="es-ES"/>
        </w:rPr>
        <w:t xml:space="preserve">istas de asistencia de los ciudadanos que participaron en la Asamblea electiva de diecisiete de noviembre de dos mil </w:t>
      </w:r>
      <w:r w:rsidRPr="00791593">
        <w:rPr>
          <w:rFonts w:ascii="Arial" w:eastAsia="Times New Roman" w:hAnsi="Arial" w:cs="Arial"/>
          <w:b/>
          <w:sz w:val="28"/>
          <w:szCs w:val="28"/>
          <w:lang w:eastAsia="es-ES"/>
        </w:rPr>
        <w:lastRenderedPageBreak/>
        <w:t>trece.</w:t>
      </w:r>
    </w:p>
    <w:p w14:paraId="2935D4F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El otrora candidato a Presidente Municipal, Javier Rubio Rosas, actor en el juicio para la protección de los derechos político-electorales del ciudadano identificado con la clave de expediente SX-JDC-111/2014, ofreció y aportó como elementos de prueba, las listas de asistencia de los ciudadanos que participaron en la elección de integrantes del Ayuntamiento </w:t>
      </w:r>
      <w:r w:rsidRPr="00791593">
        <w:rPr>
          <w:rFonts w:ascii="Arial" w:eastAsia="Times New Roman" w:hAnsi="Arial" w:cs="Arial"/>
          <w:sz w:val="28"/>
          <w:szCs w:val="28"/>
          <w:lang w:eastAsia="es-MX"/>
        </w:rPr>
        <w:t>de San Sebastián Tecomaxtlahuaca, Juxtlahuaca, Oaxaca</w:t>
      </w:r>
      <w:r w:rsidRPr="00791593">
        <w:rPr>
          <w:rFonts w:ascii="Arial" w:eastAsia="Times New Roman" w:hAnsi="Arial" w:cs="Arial"/>
          <w:sz w:val="28"/>
          <w:szCs w:val="28"/>
          <w:lang w:eastAsia="es-ES"/>
        </w:rPr>
        <w:t>, el día diecisiete de noviembre de dos mil trece, ello con la finalidad de demostrar que se constituyó la Asamblea electiva y se tomó lista de asistencia, cuyas constancias fueron firmadas por las personas que participaron en la Asamblea General Comunitaria.</w:t>
      </w:r>
    </w:p>
    <w:p w14:paraId="1138B49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Cabe precisar que acorde a lo manifestado por el Secretario de la Mesa de Debates las listas de asistencia a la Asamblea electiva de diecisiete de noviembre de dos mil trece, son los documentos que acreditan la participación de los ciudadanos en esa Asamblea. Tal aseveración se obtiene de dos oficios, el primero de ellos presentado ante el Instituto Electoral y de Participación Ciudadana el cuatro de diciembre de dos mil trece y el segundo de ellos fechado el dieciocho de marzo de dos mil catorce.</w:t>
      </w:r>
    </w:p>
    <w:p w14:paraId="4774038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Respecto del oficio presentado ante la autoridad administrativa electoral local, se debe destacar que las listas de asistencia a la Asamblea General Comunitaria de diecisiete de noviembre de dos mil trece, fueron presentadas en copia simple, en un legajo de ciento treinta y dos fojas, como se asienta en el respectivo acuse de recibo. El cual es al tenor siguiente:</w:t>
      </w:r>
    </w:p>
    <w:p w14:paraId="48B83E9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u w:val="single"/>
          <w:lang w:eastAsia="es-ES"/>
        </w:rPr>
      </w:pPr>
      <w:r w:rsidRPr="00791593">
        <w:rPr>
          <w:rFonts w:ascii="Arial" w:eastAsia="Times New Roman" w:hAnsi="Arial" w:cs="Arial"/>
          <w:noProof/>
          <w:sz w:val="28"/>
          <w:szCs w:val="28"/>
          <w:u w:val="single"/>
          <w:lang w:eastAsia="es-MX"/>
        </w:rPr>
        <w:lastRenderedPageBreak/>
        <w:drawing>
          <wp:inline distT="0" distB="0" distL="0" distR="0" wp14:anchorId="7E66D908" wp14:editId="4AA10B08">
            <wp:extent cx="5073015" cy="6795286"/>
            <wp:effectExtent l="0" t="0" r="0" b="5715"/>
            <wp:docPr id="5" name="Imagen 5" descr="T:\FRANCISCO\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FRANCISCO\0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73015" cy="6795286"/>
                    </a:xfrm>
                    <a:prstGeom prst="rect">
                      <a:avLst/>
                    </a:prstGeom>
                    <a:noFill/>
                    <a:ln>
                      <a:noFill/>
                    </a:ln>
                  </pic:spPr>
                </pic:pic>
              </a:graphicData>
            </a:graphic>
          </wp:inline>
        </w:drawing>
      </w:r>
    </w:p>
    <w:p w14:paraId="5F46EE7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Por cuanto hace al oficio fechado el dieciocho de marzo de dos mil catorce, cabe destacar que el Secretario de la Mesa de Debates expone que, por un error, entregó al Instituto Electoral local copia simple de las aludidas listas de asistencia, por lo que puso a disposición de </w:t>
      </w:r>
      <w:r w:rsidRPr="00791593">
        <w:rPr>
          <w:rFonts w:ascii="Arial" w:eastAsia="Times New Roman" w:hAnsi="Arial" w:cs="Arial"/>
          <w:sz w:val="28"/>
          <w:szCs w:val="28"/>
          <w:lang w:eastAsia="es-ES"/>
        </w:rPr>
        <w:lastRenderedPageBreak/>
        <w:t>Javier Rubio Rosas los originales de las listas de asistencia.</w:t>
      </w:r>
    </w:p>
    <w:p w14:paraId="3F3643FC"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Esta Sala Superior considera que de la adminiculación del reconocimiento expreso del Secretario de la Mesa de Debates, con el acuse de recibo manuscrito asentado en el oficio recibido el cuatro de diciembre de dos mil trece, descrito con antelación, relativo a que los documentos entregados ante el Instituto Electoral y de Participación Ciudadana del Estado de Oaxaca, los documentos exhibidos ante la autoridad administrativa electoral local fueron copia simple del original de la lista de asistencia a la asamblea de diecisiete de noviembre de dos mil trece, en un legajo de ciento treinta y dos fojas.</w:t>
      </w:r>
    </w:p>
    <w:p w14:paraId="1FDAF9B5"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Además se debe precisar que en el acuse de recibo se asentó que se recibió un legajo de ciento treinta y dos fojas útiles sólo por el anverso, en tanto que del análisis de las listas de asistencia a la Asamblea General Comunitaria de diecisiete de noviembre de dos mil trece, exhibidas en original por el otrora candidato a Presidente Municipal, Javier Rubio Rosas ante la Sala Regional Xalapa, se advierte que está integrada por ciento treinta y dos fojas útiles sólo por el anverso, de ahí que ante la manifestación expresa y espontánea del Secretario de la Mesa de Debates, de lo cual se concluye que la copia exhibida por Javier Rubio Rosas coincide con el original.</w:t>
      </w:r>
    </w:p>
    <w:p w14:paraId="2EAA6275"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También se debe destacar que de la revisión de las listas, se advierte carecen de numeración progresiva lo cual resulta lógico y evidente porque se trata de treinta y ocho listas, de igual número de comunidades, identificadas de la siguiente manera:</w:t>
      </w:r>
    </w:p>
    <w:tbl>
      <w:tblPr>
        <w:tblStyle w:val="Tablaconcuadrcula1"/>
        <w:tblW w:w="0" w:type="auto"/>
        <w:tblInd w:w="1181" w:type="dxa"/>
        <w:tblLook w:val="04A0" w:firstRow="1" w:lastRow="0" w:firstColumn="1" w:lastColumn="0" w:noHBand="0" w:noVBand="1"/>
      </w:tblPr>
      <w:tblGrid>
        <w:gridCol w:w="1904"/>
        <w:gridCol w:w="4583"/>
      </w:tblGrid>
      <w:tr w:rsidR="006F5238" w:rsidRPr="00791593" w14:paraId="16E563B9" w14:textId="77777777" w:rsidTr="006F5238">
        <w:trPr>
          <w:tblHeader/>
        </w:trPr>
        <w:tc>
          <w:tcPr>
            <w:tcW w:w="1904" w:type="dxa"/>
            <w:shd w:val="clear" w:color="auto" w:fill="BFBFBF"/>
          </w:tcPr>
          <w:p w14:paraId="598FE3D7" w14:textId="77777777" w:rsidR="006F5238" w:rsidRPr="00791593" w:rsidRDefault="006F5238" w:rsidP="006F5238">
            <w:pPr>
              <w:jc w:val="center"/>
              <w:rPr>
                <w:rFonts w:ascii="Arial" w:eastAsia="Calibri" w:hAnsi="Arial" w:cs="Arial"/>
                <w:b/>
                <w:sz w:val="20"/>
                <w:szCs w:val="20"/>
                <w:lang w:val="es-ES"/>
              </w:rPr>
            </w:pPr>
            <w:r w:rsidRPr="00791593">
              <w:rPr>
                <w:rFonts w:ascii="Arial" w:eastAsia="Calibri" w:hAnsi="Arial" w:cs="Arial"/>
                <w:b/>
                <w:sz w:val="20"/>
                <w:szCs w:val="20"/>
                <w:lang w:val="es-ES"/>
              </w:rPr>
              <w:lastRenderedPageBreak/>
              <w:t>Número</w:t>
            </w:r>
          </w:p>
        </w:tc>
        <w:tc>
          <w:tcPr>
            <w:tcW w:w="4583" w:type="dxa"/>
            <w:shd w:val="clear" w:color="auto" w:fill="BFBFBF"/>
          </w:tcPr>
          <w:p w14:paraId="002497EF" w14:textId="77777777" w:rsidR="006F5238" w:rsidRPr="00791593" w:rsidRDefault="006F5238" w:rsidP="006F5238">
            <w:pPr>
              <w:jc w:val="center"/>
              <w:rPr>
                <w:rFonts w:ascii="Arial" w:eastAsia="Calibri" w:hAnsi="Arial" w:cs="Arial"/>
                <w:b/>
                <w:sz w:val="20"/>
                <w:szCs w:val="20"/>
                <w:lang w:val="es-ES"/>
              </w:rPr>
            </w:pPr>
            <w:r w:rsidRPr="00791593">
              <w:rPr>
                <w:rFonts w:ascii="Arial" w:eastAsia="Calibri" w:hAnsi="Arial" w:cs="Arial"/>
                <w:b/>
                <w:sz w:val="20"/>
                <w:szCs w:val="20"/>
                <w:lang w:val="es-ES"/>
              </w:rPr>
              <w:t>Denominación</w:t>
            </w:r>
          </w:p>
        </w:tc>
      </w:tr>
      <w:tr w:rsidR="006F5238" w:rsidRPr="00791593" w14:paraId="6850EB5C" w14:textId="77777777" w:rsidTr="00B05F31">
        <w:tc>
          <w:tcPr>
            <w:tcW w:w="1904" w:type="dxa"/>
          </w:tcPr>
          <w:p w14:paraId="792F7703"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1</w:t>
            </w:r>
          </w:p>
        </w:tc>
        <w:tc>
          <w:tcPr>
            <w:tcW w:w="4583" w:type="dxa"/>
          </w:tcPr>
          <w:p w14:paraId="2CF5AF40"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Buena Vista</w:t>
            </w:r>
          </w:p>
        </w:tc>
      </w:tr>
      <w:tr w:rsidR="006F5238" w:rsidRPr="00791593" w14:paraId="5D89E523" w14:textId="77777777" w:rsidTr="00B05F31">
        <w:tc>
          <w:tcPr>
            <w:tcW w:w="1904" w:type="dxa"/>
          </w:tcPr>
          <w:p w14:paraId="036222B5"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2</w:t>
            </w:r>
          </w:p>
        </w:tc>
        <w:tc>
          <w:tcPr>
            <w:tcW w:w="4583" w:type="dxa"/>
          </w:tcPr>
          <w:p w14:paraId="66DA3E03"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El Palmarillo</w:t>
            </w:r>
          </w:p>
        </w:tc>
      </w:tr>
      <w:tr w:rsidR="006F5238" w:rsidRPr="00791593" w14:paraId="7A426B85" w14:textId="77777777" w:rsidTr="00B05F31">
        <w:tc>
          <w:tcPr>
            <w:tcW w:w="1904" w:type="dxa"/>
          </w:tcPr>
          <w:p w14:paraId="0E2846B6"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3</w:t>
            </w:r>
          </w:p>
        </w:tc>
        <w:tc>
          <w:tcPr>
            <w:tcW w:w="4583" w:type="dxa"/>
          </w:tcPr>
          <w:p w14:paraId="3A2D632C"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Tecomaxtlahuaca El Viejo</w:t>
            </w:r>
          </w:p>
        </w:tc>
      </w:tr>
      <w:tr w:rsidR="006F5238" w:rsidRPr="00791593" w14:paraId="5C0826C3" w14:textId="77777777" w:rsidTr="00B05F31">
        <w:tc>
          <w:tcPr>
            <w:tcW w:w="1904" w:type="dxa"/>
          </w:tcPr>
          <w:p w14:paraId="6123B3AB"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4</w:t>
            </w:r>
          </w:p>
        </w:tc>
        <w:tc>
          <w:tcPr>
            <w:tcW w:w="4583" w:type="dxa"/>
          </w:tcPr>
          <w:p w14:paraId="31B085C2"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El Portezuelo</w:t>
            </w:r>
          </w:p>
        </w:tc>
      </w:tr>
      <w:tr w:rsidR="006F5238" w:rsidRPr="00791593" w14:paraId="07466927" w14:textId="77777777" w:rsidTr="00B05F31">
        <w:tc>
          <w:tcPr>
            <w:tcW w:w="1904" w:type="dxa"/>
          </w:tcPr>
          <w:p w14:paraId="3FC3E506"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5</w:t>
            </w:r>
          </w:p>
        </w:tc>
        <w:tc>
          <w:tcPr>
            <w:tcW w:w="4583" w:type="dxa"/>
          </w:tcPr>
          <w:p w14:paraId="5935FD61"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San José el Espinal</w:t>
            </w:r>
          </w:p>
        </w:tc>
      </w:tr>
      <w:tr w:rsidR="006F5238" w:rsidRPr="00791593" w14:paraId="0A21E6AB" w14:textId="77777777" w:rsidTr="00B05F31">
        <w:tc>
          <w:tcPr>
            <w:tcW w:w="1904" w:type="dxa"/>
          </w:tcPr>
          <w:p w14:paraId="333CBAC3"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6</w:t>
            </w:r>
          </w:p>
        </w:tc>
        <w:tc>
          <w:tcPr>
            <w:tcW w:w="4583" w:type="dxa"/>
          </w:tcPr>
          <w:p w14:paraId="3BD58A28"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Santa Cruz Rancho Viejo</w:t>
            </w:r>
          </w:p>
        </w:tc>
      </w:tr>
      <w:tr w:rsidR="006F5238" w:rsidRPr="00791593" w14:paraId="0157F222" w14:textId="77777777" w:rsidTr="00B05F31">
        <w:tc>
          <w:tcPr>
            <w:tcW w:w="1904" w:type="dxa"/>
          </w:tcPr>
          <w:p w14:paraId="519AE232"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7</w:t>
            </w:r>
          </w:p>
        </w:tc>
        <w:tc>
          <w:tcPr>
            <w:tcW w:w="4583" w:type="dxa"/>
          </w:tcPr>
          <w:p w14:paraId="3DE47B38"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Guadalupe la Sabinera</w:t>
            </w:r>
          </w:p>
        </w:tc>
      </w:tr>
      <w:tr w:rsidR="006F5238" w:rsidRPr="00791593" w14:paraId="199B4E68" w14:textId="77777777" w:rsidTr="00B05F31">
        <w:tc>
          <w:tcPr>
            <w:tcW w:w="1904" w:type="dxa"/>
          </w:tcPr>
          <w:p w14:paraId="25F0AD36"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8</w:t>
            </w:r>
          </w:p>
        </w:tc>
        <w:tc>
          <w:tcPr>
            <w:tcW w:w="4583" w:type="dxa"/>
          </w:tcPr>
          <w:p w14:paraId="1D31C690"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El Mogote</w:t>
            </w:r>
          </w:p>
        </w:tc>
      </w:tr>
      <w:tr w:rsidR="006F5238" w:rsidRPr="00791593" w14:paraId="61260331" w14:textId="77777777" w:rsidTr="00B05F31">
        <w:tc>
          <w:tcPr>
            <w:tcW w:w="1904" w:type="dxa"/>
          </w:tcPr>
          <w:p w14:paraId="761B9D91"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9</w:t>
            </w:r>
          </w:p>
        </w:tc>
        <w:tc>
          <w:tcPr>
            <w:tcW w:w="4583" w:type="dxa"/>
          </w:tcPr>
          <w:p w14:paraId="1C78CB90"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Yosoyu</w:t>
            </w:r>
          </w:p>
        </w:tc>
      </w:tr>
      <w:tr w:rsidR="006F5238" w:rsidRPr="00791593" w14:paraId="636823D0" w14:textId="77777777" w:rsidTr="00B05F31">
        <w:tc>
          <w:tcPr>
            <w:tcW w:w="1904" w:type="dxa"/>
          </w:tcPr>
          <w:p w14:paraId="0A554B44"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10</w:t>
            </w:r>
          </w:p>
        </w:tc>
        <w:tc>
          <w:tcPr>
            <w:tcW w:w="4583" w:type="dxa"/>
          </w:tcPr>
          <w:p w14:paraId="053528BA"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Los Rendón</w:t>
            </w:r>
          </w:p>
        </w:tc>
      </w:tr>
      <w:tr w:rsidR="006F5238" w:rsidRPr="00791593" w14:paraId="791BCA8E" w14:textId="77777777" w:rsidTr="00B05F31">
        <w:tc>
          <w:tcPr>
            <w:tcW w:w="1904" w:type="dxa"/>
          </w:tcPr>
          <w:p w14:paraId="2D32BDE7"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11</w:t>
            </w:r>
          </w:p>
        </w:tc>
        <w:tc>
          <w:tcPr>
            <w:tcW w:w="4583" w:type="dxa"/>
          </w:tcPr>
          <w:p w14:paraId="0EAC0A82"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San Sebastián Los Cholula</w:t>
            </w:r>
          </w:p>
        </w:tc>
      </w:tr>
      <w:tr w:rsidR="006F5238" w:rsidRPr="00791593" w14:paraId="54AF3E7D" w14:textId="77777777" w:rsidTr="00B05F31">
        <w:tc>
          <w:tcPr>
            <w:tcW w:w="1904" w:type="dxa"/>
          </w:tcPr>
          <w:p w14:paraId="3A36A5AB"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12</w:t>
            </w:r>
          </w:p>
        </w:tc>
        <w:tc>
          <w:tcPr>
            <w:tcW w:w="4583" w:type="dxa"/>
          </w:tcPr>
          <w:p w14:paraId="5D7E632B"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San Isidro</w:t>
            </w:r>
          </w:p>
        </w:tc>
      </w:tr>
      <w:tr w:rsidR="006F5238" w:rsidRPr="00791593" w14:paraId="09FB1D29" w14:textId="77777777" w:rsidTr="00B05F31">
        <w:tc>
          <w:tcPr>
            <w:tcW w:w="1904" w:type="dxa"/>
          </w:tcPr>
          <w:p w14:paraId="61FD2164"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13</w:t>
            </w:r>
          </w:p>
        </w:tc>
        <w:tc>
          <w:tcPr>
            <w:tcW w:w="4583" w:type="dxa"/>
          </w:tcPr>
          <w:p w14:paraId="46F6ED51"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Los Animas Yucuniciosi</w:t>
            </w:r>
          </w:p>
        </w:tc>
      </w:tr>
      <w:tr w:rsidR="006F5238" w:rsidRPr="00791593" w14:paraId="6AF29D95" w14:textId="77777777" w:rsidTr="00B05F31">
        <w:tc>
          <w:tcPr>
            <w:tcW w:w="1904" w:type="dxa"/>
          </w:tcPr>
          <w:p w14:paraId="019A747B"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14</w:t>
            </w:r>
          </w:p>
        </w:tc>
        <w:tc>
          <w:tcPr>
            <w:tcW w:w="4583" w:type="dxa"/>
          </w:tcPr>
          <w:p w14:paraId="1D734A35"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Cohuaya</w:t>
            </w:r>
          </w:p>
        </w:tc>
      </w:tr>
      <w:tr w:rsidR="006F5238" w:rsidRPr="00791593" w14:paraId="43755132" w14:textId="77777777" w:rsidTr="00B05F31">
        <w:tc>
          <w:tcPr>
            <w:tcW w:w="1904" w:type="dxa"/>
          </w:tcPr>
          <w:p w14:paraId="789449A9"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15</w:t>
            </w:r>
          </w:p>
        </w:tc>
        <w:tc>
          <w:tcPr>
            <w:tcW w:w="4583" w:type="dxa"/>
          </w:tcPr>
          <w:p w14:paraId="6BDAC99C"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Sabinera Los Silva</w:t>
            </w:r>
          </w:p>
        </w:tc>
      </w:tr>
      <w:tr w:rsidR="006F5238" w:rsidRPr="00791593" w14:paraId="36AF2AE7" w14:textId="77777777" w:rsidTr="00B05F31">
        <w:tc>
          <w:tcPr>
            <w:tcW w:w="1904" w:type="dxa"/>
          </w:tcPr>
          <w:p w14:paraId="06B8B7D2"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16</w:t>
            </w:r>
          </w:p>
        </w:tc>
        <w:tc>
          <w:tcPr>
            <w:tcW w:w="4583" w:type="dxa"/>
          </w:tcPr>
          <w:p w14:paraId="77709FCB"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Santa Cruz Yosondica</w:t>
            </w:r>
          </w:p>
        </w:tc>
      </w:tr>
      <w:tr w:rsidR="006F5238" w:rsidRPr="00791593" w14:paraId="16BD7D4A" w14:textId="77777777" w:rsidTr="00B05F31">
        <w:tc>
          <w:tcPr>
            <w:tcW w:w="1904" w:type="dxa"/>
          </w:tcPr>
          <w:p w14:paraId="790DB901"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17</w:t>
            </w:r>
          </w:p>
        </w:tc>
        <w:tc>
          <w:tcPr>
            <w:tcW w:w="4583" w:type="dxa"/>
          </w:tcPr>
          <w:p w14:paraId="1E7F5A72"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San Sebastián Tecomaxtlahuaca</w:t>
            </w:r>
          </w:p>
        </w:tc>
      </w:tr>
      <w:tr w:rsidR="006F5238" w:rsidRPr="00791593" w14:paraId="3358C89E" w14:textId="77777777" w:rsidTr="00B05F31">
        <w:tc>
          <w:tcPr>
            <w:tcW w:w="1904" w:type="dxa"/>
          </w:tcPr>
          <w:p w14:paraId="7E7C4A5C"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18</w:t>
            </w:r>
          </w:p>
        </w:tc>
        <w:tc>
          <w:tcPr>
            <w:tcW w:w="4583" w:type="dxa"/>
          </w:tcPr>
          <w:p w14:paraId="013D9A65"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Calle 5 de mayo colonia Los Sabino</w:t>
            </w:r>
          </w:p>
        </w:tc>
      </w:tr>
      <w:tr w:rsidR="006F5238" w:rsidRPr="00791593" w14:paraId="483ED9EB" w14:textId="77777777" w:rsidTr="00B05F31">
        <w:tc>
          <w:tcPr>
            <w:tcW w:w="1904" w:type="dxa"/>
          </w:tcPr>
          <w:p w14:paraId="70152A84"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19</w:t>
            </w:r>
          </w:p>
        </w:tc>
        <w:tc>
          <w:tcPr>
            <w:tcW w:w="4583" w:type="dxa"/>
          </w:tcPr>
          <w:p w14:paraId="770CFC7A"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Tecomaxtlahuaca centro</w:t>
            </w:r>
          </w:p>
        </w:tc>
      </w:tr>
      <w:tr w:rsidR="006F5238" w:rsidRPr="00791593" w14:paraId="239F0AB6" w14:textId="77777777" w:rsidTr="00B05F31">
        <w:tc>
          <w:tcPr>
            <w:tcW w:w="1904" w:type="dxa"/>
          </w:tcPr>
          <w:p w14:paraId="2E3AE11E"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20</w:t>
            </w:r>
          </w:p>
        </w:tc>
        <w:tc>
          <w:tcPr>
            <w:tcW w:w="4583" w:type="dxa"/>
          </w:tcPr>
          <w:p w14:paraId="23DB0016"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Los Colores</w:t>
            </w:r>
          </w:p>
        </w:tc>
      </w:tr>
      <w:tr w:rsidR="006F5238" w:rsidRPr="00791593" w14:paraId="5E7CF75B" w14:textId="77777777" w:rsidTr="00B05F31">
        <w:tc>
          <w:tcPr>
            <w:tcW w:w="1904" w:type="dxa"/>
          </w:tcPr>
          <w:p w14:paraId="276A9CDE"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21</w:t>
            </w:r>
          </w:p>
        </w:tc>
        <w:tc>
          <w:tcPr>
            <w:tcW w:w="4583" w:type="dxa"/>
          </w:tcPr>
          <w:p w14:paraId="4010C5B1"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Cañada de Lobo</w:t>
            </w:r>
          </w:p>
        </w:tc>
      </w:tr>
      <w:tr w:rsidR="006F5238" w:rsidRPr="00791593" w14:paraId="4D6C1222" w14:textId="77777777" w:rsidTr="00B05F31">
        <w:tc>
          <w:tcPr>
            <w:tcW w:w="1904" w:type="dxa"/>
          </w:tcPr>
          <w:p w14:paraId="7B2A5903"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22</w:t>
            </w:r>
          </w:p>
        </w:tc>
        <w:tc>
          <w:tcPr>
            <w:tcW w:w="4583" w:type="dxa"/>
          </w:tcPr>
          <w:p w14:paraId="22A5CB11"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Colonia del Carmen</w:t>
            </w:r>
          </w:p>
        </w:tc>
      </w:tr>
      <w:tr w:rsidR="006F5238" w:rsidRPr="00791593" w14:paraId="49622195" w14:textId="77777777" w:rsidTr="00B05F31">
        <w:tc>
          <w:tcPr>
            <w:tcW w:w="1904" w:type="dxa"/>
          </w:tcPr>
          <w:p w14:paraId="46007CB7"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23</w:t>
            </w:r>
          </w:p>
        </w:tc>
        <w:tc>
          <w:tcPr>
            <w:tcW w:w="4583" w:type="dxa"/>
          </w:tcPr>
          <w:p w14:paraId="1BBD5492"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San Mateo Tunuchi</w:t>
            </w:r>
          </w:p>
        </w:tc>
      </w:tr>
      <w:tr w:rsidR="006F5238" w:rsidRPr="00791593" w14:paraId="5C1CBEB6" w14:textId="77777777" w:rsidTr="00B05F31">
        <w:tc>
          <w:tcPr>
            <w:tcW w:w="1904" w:type="dxa"/>
          </w:tcPr>
          <w:p w14:paraId="54AF21FA"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24</w:t>
            </w:r>
          </w:p>
        </w:tc>
        <w:tc>
          <w:tcPr>
            <w:tcW w:w="4583" w:type="dxa"/>
          </w:tcPr>
          <w:p w14:paraId="5DB74D49"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San Isidro Zaragoza Alacrán</w:t>
            </w:r>
          </w:p>
        </w:tc>
      </w:tr>
      <w:tr w:rsidR="006F5238" w:rsidRPr="00791593" w14:paraId="23B57FD4" w14:textId="77777777" w:rsidTr="00B05F31">
        <w:tc>
          <w:tcPr>
            <w:tcW w:w="1904" w:type="dxa"/>
          </w:tcPr>
          <w:p w14:paraId="55CD3A1C"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25</w:t>
            </w:r>
          </w:p>
        </w:tc>
        <w:tc>
          <w:tcPr>
            <w:tcW w:w="4583" w:type="dxa"/>
          </w:tcPr>
          <w:p w14:paraId="3D3B36E3"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Yucundivi</w:t>
            </w:r>
          </w:p>
        </w:tc>
      </w:tr>
      <w:tr w:rsidR="006F5238" w:rsidRPr="00791593" w14:paraId="092252A8" w14:textId="77777777" w:rsidTr="00B05F31">
        <w:tc>
          <w:tcPr>
            <w:tcW w:w="1904" w:type="dxa"/>
          </w:tcPr>
          <w:p w14:paraId="04F5A7EF"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26</w:t>
            </w:r>
          </w:p>
        </w:tc>
        <w:tc>
          <w:tcPr>
            <w:tcW w:w="4583" w:type="dxa"/>
          </w:tcPr>
          <w:p w14:paraId="5F382CFA"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Guadalupe Nundaca</w:t>
            </w:r>
          </w:p>
        </w:tc>
      </w:tr>
      <w:tr w:rsidR="006F5238" w:rsidRPr="00791593" w14:paraId="72E0D31F" w14:textId="77777777" w:rsidTr="00B05F31">
        <w:tc>
          <w:tcPr>
            <w:tcW w:w="1904" w:type="dxa"/>
          </w:tcPr>
          <w:p w14:paraId="04C9B6B9"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27</w:t>
            </w:r>
          </w:p>
        </w:tc>
        <w:tc>
          <w:tcPr>
            <w:tcW w:w="4583" w:type="dxa"/>
          </w:tcPr>
          <w:p w14:paraId="497399D1"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Agua Buena</w:t>
            </w:r>
          </w:p>
        </w:tc>
      </w:tr>
      <w:tr w:rsidR="006F5238" w:rsidRPr="00791593" w14:paraId="64C1C0FA" w14:textId="77777777" w:rsidTr="00B05F31">
        <w:tc>
          <w:tcPr>
            <w:tcW w:w="1904" w:type="dxa"/>
          </w:tcPr>
          <w:p w14:paraId="36103131"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28</w:t>
            </w:r>
          </w:p>
        </w:tc>
        <w:tc>
          <w:tcPr>
            <w:tcW w:w="4583" w:type="dxa"/>
          </w:tcPr>
          <w:p w14:paraId="263BF20E"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San José Durazno</w:t>
            </w:r>
          </w:p>
        </w:tc>
      </w:tr>
      <w:tr w:rsidR="006F5238" w:rsidRPr="00791593" w14:paraId="27B5D899" w14:textId="77777777" w:rsidTr="00B05F31">
        <w:tc>
          <w:tcPr>
            <w:tcW w:w="1904" w:type="dxa"/>
          </w:tcPr>
          <w:p w14:paraId="78151201"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29</w:t>
            </w:r>
          </w:p>
        </w:tc>
        <w:tc>
          <w:tcPr>
            <w:tcW w:w="4583" w:type="dxa"/>
          </w:tcPr>
          <w:p w14:paraId="5B60B2BD"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Cruz Verde Tecomaxtlahuaca</w:t>
            </w:r>
          </w:p>
        </w:tc>
      </w:tr>
      <w:tr w:rsidR="006F5238" w:rsidRPr="00791593" w14:paraId="542731C7" w14:textId="77777777" w:rsidTr="00B05F31">
        <w:tc>
          <w:tcPr>
            <w:tcW w:w="1904" w:type="dxa"/>
          </w:tcPr>
          <w:p w14:paraId="06433A8E"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30</w:t>
            </w:r>
          </w:p>
        </w:tc>
        <w:tc>
          <w:tcPr>
            <w:tcW w:w="4583" w:type="dxa"/>
          </w:tcPr>
          <w:p w14:paraId="5C2A0C50"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Santa Carmen Capulín</w:t>
            </w:r>
          </w:p>
        </w:tc>
      </w:tr>
      <w:tr w:rsidR="006F5238" w:rsidRPr="00791593" w14:paraId="31A1FF39" w14:textId="77777777" w:rsidTr="00B05F31">
        <w:tc>
          <w:tcPr>
            <w:tcW w:w="1904" w:type="dxa"/>
          </w:tcPr>
          <w:p w14:paraId="7EAD7B87"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31</w:t>
            </w:r>
          </w:p>
        </w:tc>
        <w:tc>
          <w:tcPr>
            <w:tcW w:w="4583" w:type="dxa"/>
          </w:tcPr>
          <w:p w14:paraId="6068DAE2"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Río De “</w:t>
            </w:r>
            <w:r w:rsidRPr="00791593">
              <w:rPr>
                <w:rFonts w:ascii="Arial" w:eastAsia="Calibri" w:hAnsi="Arial" w:cs="Arial"/>
                <w:i/>
                <w:sz w:val="20"/>
                <w:szCs w:val="20"/>
                <w:lang w:val="es-ES"/>
              </w:rPr>
              <w:t>Hicio</w:t>
            </w:r>
            <w:r w:rsidRPr="00791593">
              <w:rPr>
                <w:rFonts w:ascii="Arial" w:eastAsia="Calibri" w:hAnsi="Arial" w:cs="Arial"/>
                <w:sz w:val="20"/>
                <w:szCs w:val="20"/>
                <w:lang w:val="es-ES"/>
              </w:rPr>
              <w:t>” Durazno</w:t>
            </w:r>
          </w:p>
        </w:tc>
      </w:tr>
      <w:tr w:rsidR="006F5238" w:rsidRPr="00791593" w14:paraId="13670EE5" w14:textId="77777777" w:rsidTr="00B05F31">
        <w:tc>
          <w:tcPr>
            <w:tcW w:w="1904" w:type="dxa"/>
          </w:tcPr>
          <w:p w14:paraId="2EC8EF7F"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32</w:t>
            </w:r>
          </w:p>
        </w:tc>
        <w:tc>
          <w:tcPr>
            <w:tcW w:w="4583" w:type="dxa"/>
          </w:tcPr>
          <w:p w14:paraId="6D98A10B"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El Temazcal</w:t>
            </w:r>
          </w:p>
        </w:tc>
      </w:tr>
      <w:tr w:rsidR="006F5238" w:rsidRPr="00791593" w14:paraId="33F0DCCC" w14:textId="77777777" w:rsidTr="00B05F31">
        <w:tc>
          <w:tcPr>
            <w:tcW w:w="1904" w:type="dxa"/>
          </w:tcPr>
          <w:p w14:paraId="73B3303E"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33</w:t>
            </w:r>
          </w:p>
        </w:tc>
        <w:tc>
          <w:tcPr>
            <w:tcW w:w="4583" w:type="dxa"/>
          </w:tcPr>
          <w:p w14:paraId="3C4EBE8C"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Peña Prieta</w:t>
            </w:r>
          </w:p>
        </w:tc>
      </w:tr>
      <w:tr w:rsidR="006F5238" w:rsidRPr="00791593" w14:paraId="069F1EC7" w14:textId="77777777" w:rsidTr="00B05F31">
        <w:tc>
          <w:tcPr>
            <w:tcW w:w="1904" w:type="dxa"/>
          </w:tcPr>
          <w:p w14:paraId="3A535314"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34</w:t>
            </w:r>
          </w:p>
        </w:tc>
        <w:tc>
          <w:tcPr>
            <w:tcW w:w="4583" w:type="dxa"/>
          </w:tcPr>
          <w:p w14:paraId="29A6FF5B"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San Marcos Xinicuestla</w:t>
            </w:r>
          </w:p>
        </w:tc>
      </w:tr>
      <w:tr w:rsidR="006F5238" w:rsidRPr="00791593" w14:paraId="294DD80D" w14:textId="77777777" w:rsidTr="00B05F31">
        <w:tc>
          <w:tcPr>
            <w:tcW w:w="1904" w:type="dxa"/>
          </w:tcPr>
          <w:p w14:paraId="216C6E2B"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35</w:t>
            </w:r>
          </w:p>
        </w:tc>
        <w:tc>
          <w:tcPr>
            <w:tcW w:w="4583" w:type="dxa"/>
          </w:tcPr>
          <w:p w14:paraId="57CB3219"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Río Ratón</w:t>
            </w:r>
          </w:p>
        </w:tc>
      </w:tr>
      <w:tr w:rsidR="006F5238" w:rsidRPr="00791593" w14:paraId="3F8EC364" w14:textId="77777777" w:rsidTr="00B05F31">
        <w:tc>
          <w:tcPr>
            <w:tcW w:w="1904" w:type="dxa"/>
          </w:tcPr>
          <w:p w14:paraId="2A6644F0"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36</w:t>
            </w:r>
          </w:p>
        </w:tc>
        <w:tc>
          <w:tcPr>
            <w:tcW w:w="4583" w:type="dxa"/>
          </w:tcPr>
          <w:p w14:paraId="306F7957"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San Martín Durazno</w:t>
            </w:r>
          </w:p>
        </w:tc>
      </w:tr>
      <w:tr w:rsidR="006F5238" w:rsidRPr="00791593" w14:paraId="4C427CD9" w14:textId="77777777" w:rsidTr="00B05F31">
        <w:tc>
          <w:tcPr>
            <w:tcW w:w="1904" w:type="dxa"/>
          </w:tcPr>
          <w:p w14:paraId="62EAA36D"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37</w:t>
            </w:r>
          </w:p>
        </w:tc>
        <w:tc>
          <w:tcPr>
            <w:tcW w:w="4583" w:type="dxa"/>
          </w:tcPr>
          <w:p w14:paraId="5E8C6D1B"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Barrio San Pedro</w:t>
            </w:r>
          </w:p>
        </w:tc>
      </w:tr>
      <w:tr w:rsidR="006F5238" w:rsidRPr="00791593" w14:paraId="2215DFFA" w14:textId="77777777" w:rsidTr="00B05F31">
        <w:tc>
          <w:tcPr>
            <w:tcW w:w="1904" w:type="dxa"/>
          </w:tcPr>
          <w:p w14:paraId="2DBC7B15"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38</w:t>
            </w:r>
          </w:p>
        </w:tc>
        <w:tc>
          <w:tcPr>
            <w:tcW w:w="4583" w:type="dxa"/>
          </w:tcPr>
          <w:p w14:paraId="32CA9DD6" w14:textId="77777777" w:rsidR="006F5238" w:rsidRPr="00791593" w:rsidRDefault="006F5238" w:rsidP="006F5238">
            <w:pPr>
              <w:jc w:val="center"/>
              <w:rPr>
                <w:rFonts w:ascii="Arial" w:eastAsia="Calibri" w:hAnsi="Arial" w:cs="Arial"/>
                <w:sz w:val="20"/>
                <w:szCs w:val="20"/>
                <w:lang w:val="es-ES"/>
              </w:rPr>
            </w:pPr>
            <w:r w:rsidRPr="00791593">
              <w:rPr>
                <w:rFonts w:ascii="Arial" w:eastAsia="Calibri" w:hAnsi="Arial" w:cs="Arial"/>
                <w:sz w:val="20"/>
                <w:szCs w:val="20"/>
                <w:lang w:val="es-ES"/>
              </w:rPr>
              <w:t>Sabino</w:t>
            </w:r>
          </w:p>
        </w:tc>
      </w:tr>
    </w:tbl>
    <w:p w14:paraId="3C3E4D5E"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De lo anterior se constata que se elaboró una lista por cada una de las mencionadas comunidades; ahora bien si estas lista no son uniformes en el formato y no todas contienen el sello y tampoco la numeración progresiva, ello no desvirtúa su autenticidad y contenido, así como tampoco es en demérito de su valor probatorio, dado que ha sido criterio reiterado de esta Sala Superior que las normas respecto de la valoración de pruebas documentales elaboradas por integrantes de </w:t>
      </w:r>
      <w:r w:rsidRPr="00791593">
        <w:rPr>
          <w:rFonts w:ascii="Arial" w:eastAsia="Times New Roman" w:hAnsi="Arial" w:cs="Arial"/>
          <w:sz w:val="28"/>
          <w:szCs w:val="28"/>
          <w:lang w:eastAsia="es-ES"/>
        </w:rPr>
        <w:lastRenderedPageBreak/>
        <w:t>las comunidades indígenas, no están sujetas a las mismas exigencias y formalidades, que ordinariamente se toman en consideración, dadas las circunstancias particulares en los aspectos políticos, económicos, culturales y sociales de estas comunidades.</w:t>
      </w:r>
    </w:p>
    <w:p w14:paraId="3D2AD6EE"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Similar criterio fue sustentado por esta Sala Superior al resolver el recurso de reconsideración identificado con la clave de expediente SUP-REC-827/2014.</w:t>
      </w:r>
    </w:p>
    <w:p w14:paraId="2F8442C0"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Precisado lo anterior, se considera pertinente exponer lo que esta Sala Superior ha advertido del contenido del documento en estudio.</w:t>
      </w:r>
    </w:p>
    <w:p w14:paraId="000194DF"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De las mencionadas listas de asistencia a la Asamblea General Comunitaria celebrada el día diecisiete de noviembre de dos mil trece, para la elección de integrantes del Ayuntamiento </w:t>
      </w:r>
      <w:r w:rsidRPr="00791593">
        <w:rPr>
          <w:rFonts w:ascii="Arial" w:eastAsia="Times New Roman" w:hAnsi="Arial" w:cs="Arial"/>
          <w:sz w:val="28"/>
          <w:szCs w:val="28"/>
          <w:lang w:eastAsia="es-MX"/>
        </w:rPr>
        <w:t>de San Sebastián Tecomaxtlahuaca, Juxtlahuaca, Oaxaca</w:t>
      </w:r>
      <w:r w:rsidRPr="00791593">
        <w:rPr>
          <w:rFonts w:ascii="Arial" w:eastAsia="Times New Roman" w:hAnsi="Arial" w:cs="Arial"/>
          <w:sz w:val="28"/>
          <w:szCs w:val="28"/>
          <w:lang w:eastAsia="es-ES"/>
        </w:rPr>
        <w:t>, se advierte que tienen como rubro la siguiente leyenda “</w:t>
      </w:r>
      <w:r w:rsidRPr="00791593">
        <w:rPr>
          <w:rFonts w:ascii="Arial" w:eastAsia="Times New Roman" w:hAnsi="Arial" w:cs="Arial"/>
          <w:i/>
          <w:sz w:val="24"/>
          <w:szCs w:val="28"/>
          <w:lang w:eastAsia="es-ES"/>
        </w:rPr>
        <w:t>RELACIÓN DE PERSONAS QUE ASISTIERON A LA ELECCIÓN DE LA NUEVA AUTORIDAD QUE FUNGIRÁ EN EL TRIENIO 2014-2016, LA CUAL SE LLEVO A CABO EL DÍA 17 DE NOVIEMBRE DEL 2013</w:t>
      </w:r>
      <w:r w:rsidRPr="00791593">
        <w:rPr>
          <w:rFonts w:ascii="Arial" w:eastAsia="Times New Roman" w:hAnsi="Arial" w:cs="Arial"/>
          <w:sz w:val="28"/>
          <w:szCs w:val="28"/>
          <w:lang w:eastAsia="es-ES"/>
        </w:rPr>
        <w:t>”; asimismo, se advierte que contiene la leyenda “</w:t>
      </w:r>
      <w:r w:rsidRPr="00791593">
        <w:rPr>
          <w:rFonts w:ascii="Arial" w:eastAsia="Times New Roman" w:hAnsi="Arial" w:cs="Arial"/>
          <w:i/>
          <w:sz w:val="24"/>
          <w:szCs w:val="28"/>
          <w:lang w:eastAsia="es-ES"/>
        </w:rPr>
        <w:t>COMUNIDAD</w:t>
      </w:r>
      <w:r w:rsidRPr="00791593">
        <w:rPr>
          <w:rFonts w:ascii="Arial" w:eastAsia="Times New Roman" w:hAnsi="Arial" w:cs="Arial"/>
          <w:sz w:val="28"/>
          <w:szCs w:val="28"/>
          <w:lang w:eastAsia="es-ES"/>
        </w:rPr>
        <w:t>” con un espacio en blanco, el cual se rellenó con escritura autógrafa, en cada caso, asentando la denominación de la población correspondiente.</w:t>
      </w:r>
    </w:p>
    <w:p w14:paraId="57B8EFAC"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Del contenido de esas listas, una vez analizadas por este órgano colegiado, se advierte que se asentó el nombre de mil ochocientas treinta y nueve personas (1,839), de las cuales mil seiscientas veintiuna (1,621) asentaron su firma autógrafa, ciento cincuenta y ocho (158) estamparon su huella digital y sesenta (60) no asentaron  firma autógrafa ni huella digital.</w:t>
      </w:r>
    </w:p>
    <w:p w14:paraId="6CCF905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lastRenderedPageBreak/>
        <w:t>En consecuencia, de los anteriores documentos se tiene por acreditado que participaron, en la Asamblea General Comunitaria electiva, mil setecientas setenta y nueve personas (1,779).</w:t>
      </w:r>
    </w:p>
    <w:p w14:paraId="71E084A2"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El mencionado elemento de prueba es un documento público, conforme a lo previsto en el artículo 14, párrafo 1, inciso a) y párrafo 4, incisos b) y c), con relación al artículo 16, párrafos 1 y 2, ambos de la Ley General del Sistema de Medios de Impugnación en Materia Electoral, debido a que son listas elaboradas por una autoridad electoral, al interior de una comunidad que se rige por el sistema normativo indígena, el día en que se llevó a cabo la Asamblea General Comunitaria en la cual se eligió a los integrantes del Ayuntamiento </w:t>
      </w:r>
      <w:r w:rsidRPr="00791593">
        <w:rPr>
          <w:rFonts w:ascii="Arial" w:eastAsia="Times New Roman" w:hAnsi="Arial" w:cs="Arial"/>
          <w:sz w:val="28"/>
          <w:szCs w:val="28"/>
          <w:lang w:eastAsia="es-MX"/>
        </w:rPr>
        <w:t>de San Sebastián Tecomaxtlahuaca, Juxtlahuaca, Oaxaca.</w:t>
      </w:r>
    </w:p>
    <w:p w14:paraId="4D4D3BF4"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El aludido documento público obra a fojas doscientas cincuenta y nueve a trecientas noventa del expediente integrado con motivo del juicio identificado con clave SX-JDC-111/2014, clasificado en esta Sala Superior como “</w:t>
      </w:r>
      <w:r w:rsidRPr="00791593">
        <w:rPr>
          <w:rFonts w:ascii="Arial" w:eastAsia="Times New Roman" w:hAnsi="Arial" w:cs="Arial"/>
          <w:i/>
          <w:sz w:val="24"/>
          <w:szCs w:val="24"/>
          <w:lang w:eastAsia="es-ES"/>
        </w:rPr>
        <w:t>CUADERNO ACCESORIO 1”</w:t>
      </w:r>
      <w:r w:rsidRPr="00791593">
        <w:rPr>
          <w:rFonts w:ascii="Arial" w:eastAsia="Times New Roman" w:hAnsi="Arial" w:cs="Arial"/>
          <w:sz w:val="28"/>
          <w:szCs w:val="28"/>
          <w:lang w:eastAsia="es-ES"/>
        </w:rPr>
        <w:t>, del diverso expediente jurisdiccional al rubro indicado.</w:t>
      </w:r>
    </w:p>
    <w:p w14:paraId="2701D848" w14:textId="77777777" w:rsidR="006F5238" w:rsidRPr="00791593" w:rsidRDefault="006F5238" w:rsidP="006F5238">
      <w:pPr>
        <w:spacing w:after="200" w:line="360" w:lineRule="auto"/>
        <w:ind w:firstLine="708"/>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8.1.4 Escritos de inconformidad de ocho de diciembre de dos mil trece.</w:t>
      </w:r>
    </w:p>
    <w:p w14:paraId="0CD3176E" w14:textId="77777777" w:rsidR="006F5238" w:rsidRPr="00791593" w:rsidRDefault="006F5238" w:rsidP="006F5238">
      <w:pPr>
        <w:spacing w:after="200" w:line="360" w:lineRule="auto"/>
        <w:ind w:firstLine="708"/>
        <w:jc w:val="both"/>
        <w:rPr>
          <w:rFonts w:ascii="Arial" w:eastAsia="Times New Roman" w:hAnsi="Arial" w:cs="Arial"/>
          <w:sz w:val="28"/>
          <w:szCs w:val="28"/>
          <w:lang w:eastAsia="es-MX"/>
        </w:rPr>
      </w:pPr>
      <w:r w:rsidRPr="00791593">
        <w:rPr>
          <w:rFonts w:ascii="Arial" w:eastAsia="Times New Roman" w:hAnsi="Arial" w:cs="Arial"/>
          <w:sz w:val="28"/>
          <w:szCs w:val="28"/>
          <w:lang w:val="es-ES" w:eastAsia="es-ES"/>
        </w:rPr>
        <w:t xml:space="preserve">Al respecto cabe precisar que, a fojas seiscientas ochenta y dos a ochocientas treinta y nueve, del expediente integrado con motivo del juicio identificado con clave SX-JDC-111/2014, clasificado en esta Sala Superior como </w:t>
      </w:r>
      <w:r w:rsidRPr="00791593">
        <w:rPr>
          <w:rFonts w:ascii="Arial" w:eastAsia="Times New Roman" w:hAnsi="Arial" w:cs="Arial"/>
          <w:i/>
          <w:iCs/>
          <w:sz w:val="28"/>
          <w:szCs w:val="28"/>
          <w:lang w:val="es-ES" w:eastAsia="es-ES"/>
        </w:rPr>
        <w:t>“</w:t>
      </w:r>
      <w:r w:rsidRPr="00791593">
        <w:rPr>
          <w:rFonts w:ascii="Arial" w:eastAsia="Times New Roman" w:hAnsi="Arial" w:cs="Arial"/>
          <w:i/>
          <w:iCs/>
          <w:sz w:val="24"/>
          <w:szCs w:val="24"/>
          <w:lang w:val="es-ES" w:eastAsia="es-ES"/>
        </w:rPr>
        <w:t>CUADERNO ACCESORIO 2</w:t>
      </w:r>
      <w:r w:rsidRPr="00791593">
        <w:rPr>
          <w:rFonts w:ascii="Arial" w:eastAsia="Times New Roman" w:hAnsi="Arial" w:cs="Arial"/>
          <w:sz w:val="24"/>
          <w:szCs w:val="24"/>
          <w:lang w:val="es-ES" w:eastAsia="es-ES"/>
        </w:rPr>
        <w:t>”</w:t>
      </w:r>
      <w:r w:rsidRPr="00791593">
        <w:rPr>
          <w:rFonts w:ascii="Arial" w:eastAsia="Times New Roman" w:hAnsi="Arial" w:cs="Arial"/>
          <w:sz w:val="28"/>
          <w:szCs w:val="28"/>
          <w:lang w:val="es-ES" w:eastAsia="es-ES"/>
        </w:rPr>
        <w:t xml:space="preserve">, del expediente al rubro precisado, obra copia certificada de treinta </w:t>
      </w:r>
      <w:r w:rsidRPr="00791593">
        <w:rPr>
          <w:rFonts w:ascii="Arial" w:eastAsia="Times New Roman" w:hAnsi="Arial" w:cs="Arial"/>
          <w:sz w:val="28"/>
          <w:szCs w:val="28"/>
          <w:lang w:val="es-ES" w:eastAsia="es-MX"/>
        </w:rPr>
        <w:t>“</w:t>
      </w:r>
      <w:r w:rsidRPr="00791593">
        <w:rPr>
          <w:rFonts w:ascii="Arial" w:eastAsia="Times New Roman" w:hAnsi="Arial" w:cs="Arial"/>
          <w:i/>
          <w:iCs/>
          <w:sz w:val="28"/>
          <w:szCs w:val="28"/>
          <w:lang w:val="es-ES" w:eastAsia="es-MX"/>
        </w:rPr>
        <w:t>escritos de inconformidad</w:t>
      </w:r>
      <w:r w:rsidRPr="00791593">
        <w:rPr>
          <w:rFonts w:ascii="Arial" w:eastAsia="Times New Roman" w:hAnsi="Arial" w:cs="Arial"/>
          <w:sz w:val="28"/>
          <w:szCs w:val="28"/>
          <w:lang w:val="es-ES" w:eastAsia="es-MX"/>
        </w:rPr>
        <w:t>”,</w:t>
      </w:r>
      <w:r w:rsidRPr="00791593">
        <w:rPr>
          <w:rFonts w:ascii="Arial" w:eastAsia="Times New Roman" w:hAnsi="Arial" w:cs="Arial"/>
          <w:sz w:val="28"/>
          <w:szCs w:val="28"/>
          <w:lang w:val="es-ES" w:eastAsia="es-ES"/>
        </w:rPr>
        <w:t xml:space="preserve"> de fecha ocho de diciembre de dos mil trece, signado cada uno por </w:t>
      </w:r>
      <w:r w:rsidRPr="00791593">
        <w:rPr>
          <w:rFonts w:ascii="Arial" w:eastAsia="Times New Roman" w:hAnsi="Arial" w:cs="Arial"/>
          <w:sz w:val="28"/>
          <w:szCs w:val="28"/>
          <w:lang w:val="es-ES" w:eastAsia="es-ES"/>
        </w:rPr>
        <w:lastRenderedPageBreak/>
        <w:t>diversas</w:t>
      </w:r>
      <w:r w:rsidRPr="00791593">
        <w:rPr>
          <w:rFonts w:ascii="Arial" w:eastAsia="Times New Roman" w:hAnsi="Arial" w:cs="Arial"/>
          <w:sz w:val="28"/>
          <w:szCs w:val="28"/>
          <w:lang w:val="es-ES" w:eastAsia="es-MX"/>
        </w:rPr>
        <w:t xml:space="preserve"> autoridades y ciudadanos, correspondientes a treinta Agencias Municipales de San Sebastián Tecomaxtlahuaca, Juxtlahuaca, Oaxaca, las cual son las siguientes: “</w:t>
      </w:r>
      <w:r w:rsidRPr="00791593">
        <w:rPr>
          <w:rFonts w:ascii="Arial" w:eastAsia="Times New Roman" w:hAnsi="Arial" w:cs="Arial"/>
          <w:i/>
          <w:iCs/>
          <w:sz w:val="24"/>
          <w:szCs w:val="24"/>
          <w:lang w:val="es-ES" w:eastAsia="es-MX"/>
        </w:rPr>
        <w:t>Los Rendon”, “Animas Yucuniciasi”, “Yucuyi Duraznos”, “San Marcos Xinicuesta”, “San Isidro Zaragoza Alacrán”, “Río Hielo Durazno”, “Sabino Solo”, “Peña Prieta”, “Buenavista”, “San Sebastián los Cholula”, “Guadalupe Nundaca”, “La Sabinera los Silva”, “El Palmarillo”, “Río Ratón”, “Santa Carmen el Capulín”, “San Martín Duraznos”, “Santa Cruz Yosondica”, “Los Alvarado”, “El Temazcal”, “Santa Cruz Rancho Viejo”, “Yosoyu”, “Colonia del Carmen”, “Guadalupe la Sabinera”, “Santa Cruz Verde”, “San José el Espinal”, “San Mateo Tunuchi”, “Agua Buena”, “Barrio de San Pedro”, “San José Duraznos</w:t>
      </w:r>
      <w:r w:rsidRPr="00791593">
        <w:rPr>
          <w:rFonts w:ascii="Arial" w:eastAsia="Times New Roman" w:hAnsi="Arial" w:cs="Arial"/>
          <w:i/>
          <w:iCs/>
          <w:sz w:val="28"/>
          <w:szCs w:val="28"/>
          <w:lang w:val="es-ES" w:eastAsia="es-MX"/>
        </w:rPr>
        <w:t>” y</w:t>
      </w:r>
      <w:r w:rsidRPr="00791593">
        <w:rPr>
          <w:rFonts w:ascii="Arial" w:eastAsia="Times New Roman" w:hAnsi="Arial" w:cs="Arial"/>
          <w:i/>
          <w:iCs/>
          <w:sz w:val="24"/>
          <w:szCs w:val="24"/>
          <w:lang w:val="es-ES" w:eastAsia="es-MX"/>
        </w:rPr>
        <w:t xml:space="preserve"> “Cañada de Lobo”.</w:t>
      </w:r>
    </w:p>
    <w:p w14:paraId="19367F33" w14:textId="77777777" w:rsidR="006F5238" w:rsidRPr="00791593" w:rsidRDefault="006F5238" w:rsidP="006F5238">
      <w:pPr>
        <w:spacing w:after="200" w:line="360" w:lineRule="auto"/>
        <w:ind w:firstLine="708"/>
        <w:jc w:val="both"/>
        <w:rPr>
          <w:rFonts w:ascii="Arial" w:eastAsia="Times New Roman" w:hAnsi="Arial" w:cs="Arial"/>
          <w:sz w:val="28"/>
          <w:szCs w:val="28"/>
          <w:lang w:eastAsia="es-MX"/>
        </w:rPr>
      </w:pPr>
      <w:r w:rsidRPr="00791593">
        <w:rPr>
          <w:rFonts w:ascii="Arial" w:eastAsia="Times New Roman" w:hAnsi="Arial" w:cs="Arial"/>
          <w:sz w:val="28"/>
          <w:szCs w:val="28"/>
          <w:lang w:eastAsia="es-MX"/>
        </w:rPr>
        <w:t>El contenido de los mencionados escritos es sustancialmente idéntico, motivo por el cual, a manera de ejemplo, a continuación se reproduce el texto de un ocurso:</w:t>
      </w:r>
    </w:p>
    <w:p w14:paraId="5ABA8FC2" w14:textId="77777777" w:rsidR="006F5238" w:rsidRPr="00791593" w:rsidRDefault="006F5238" w:rsidP="006F5238">
      <w:pPr>
        <w:spacing w:after="0"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San Sebastián Tecomaxtlahuaca, Oax., a 8 de Diciembre de 2013</w:t>
      </w:r>
    </w:p>
    <w:p w14:paraId="4229E336" w14:textId="77777777" w:rsidR="006F5238" w:rsidRPr="00791593" w:rsidRDefault="006F5238" w:rsidP="006F5238">
      <w:pPr>
        <w:spacing w:after="0"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CIUDADANO</w:t>
      </w:r>
    </w:p>
    <w:p w14:paraId="5BFE715F" w14:textId="77777777" w:rsidR="006F5238" w:rsidRPr="00791593" w:rsidRDefault="006F5238" w:rsidP="006F5238">
      <w:pPr>
        <w:spacing w:after="0"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MAESTRO ALBERTO ALONSO CRIOLLO</w:t>
      </w:r>
    </w:p>
    <w:p w14:paraId="4B5032C9" w14:textId="77777777" w:rsidR="006F5238" w:rsidRPr="00791593" w:rsidRDefault="006F5238" w:rsidP="006F5238">
      <w:pPr>
        <w:spacing w:after="0"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PRESIDENTE DEL CONSEJO GENERAL DEL I.E.E.P.C.O.</w:t>
      </w:r>
    </w:p>
    <w:p w14:paraId="5EB92AB9" w14:textId="77777777" w:rsidR="006F5238" w:rsidRPr="00791593" w:rsidRDefault="006F5238" w:rsidP="006F5238">
      <w:pPr>
        <w:spacing w:after="0"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El que suscribe c. JUAN JOEL HERRERA PASTRANA, Representante Municipal, de LOS RENDON, y ciudadano de esta Agencia del municipio de San Sebastián Tecomaxtlahuaca, Oaxaca, autorizando para recibir notificaciones y toda clase de documentos en nuestra representación, a los CC. Lic. Fernando Tobías Lucas, Filemón Tobías Jiménez, José Miguel Mendoza Cruz, Dalila Ramos González, Norma Lourdes Gabriel Matías, en forma conjunta o distinta, con domicilio para recibir notificaciones en el ubicado en Sabinos número 400, Despacho 5 colonia Reforma, municipio de la ciudad de Oaxaca de Juárez, Oaxaca ante usted con el debido respeto le manifestamos lo siguiente.</w:t>
      </w:r>
    </w:p>
    <w:p w14:paraId="00A8F605" w14:textId="77777777" w:rsidR="006F5238" w:rsidRPr="00791593" w:rsidRDefault="006F5238" w:rsidP="006F5238">
      <w:pPr>
        <w:spacing w:after="0"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BAJO PROTESTA DE DECIR VERDAD MANIFESTAMOS EN ESTE ACTO LA SIGUIENTE RELACIÓN DE</w:t>
      </w:r>
    </w:p>
    <w:p w14:paraId="6CF2C620" w14:textId="77777777" w:rsidR="006F5238" w:rsidRPr="00791593" w:rsidRDefault="006F5238" w:rsidP="006F5238">
      <w:pPr>
        <w:spacing w:after="0" w:line="240" w:lineRule="auto"/>
        <w:ind w:left="567" w:right="567"/>
        <w:jc w:val="center"/>
        <w:rPr>
          <w:rFonts w:ascii="Arial" w:eastAsia="Times New Roman" w:hAnsi="Arial" w:cs="Arial"/>
          <w:i/>
          <w:sz w:val="24"/>
          <w:szCs w:val="24"/>
          <w:lang w:val="es-ES" w:eastAsia="es-ES"/>
        </w:rPr>
      </w:pPr>
      <w:r w:rsidRPr="00791593">
        <w:rPr>
          <w:rFonts w:ascii="Arial" w:eastAsia="Times New Roman" w:hAnsi="Arial" w:cs="Arial"/>
          <w:i/>
          <w:sz w:val="24"/>
          <w:szCs w:val="24"/>
          <w:lang w:val="es-ES" w:eastAsia="es-ES"/>
        </w:rPr>
        <w:t>HECHOS</w:t>
      </w:r>
    </w:p>
    <w:p w14:paraId="38A7AF30" w14:textId="77777777" w:rsidR="006F5238" w:rsidRPr="00791593" w:rsidRDefault="006F5238" w:rsidP="006F5238">
      <w:pPr>
        <w:spacing w:after="0"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 xml:space="preserve">1.- El día de la jornada electoral para elegir candidatos a concejales por el régimen de usos y costumbres en el municipio de San Sebastián Tecomaxtlahuaca, distrito de Juxtlahuaca, Oaxaca, se realizó el pasado, día 17 de Noviembre del presente año 2013 en la cabecera municipal. </w:t>
      </w:r>
    </w:p>
    <w:p w14:paraId="13F8A9AB" w14:textId="77777777" w:rsidR="006F5238" w:rsidRPr="00791593" w:rsidRDefault="006F5238" w:rsidP="006F5238">
      <w:pPr>
        <w:spacing w:after="0"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lastRenderedPageBreak/>
        <w:t>En la cual no se presentó servidor público o funcionario de la Dirección de Sistemas Normativos Internos del Instituto Estatal Electoral y de participación ciudadana para presidir la elección, no obstante que invito a que presidieran la jornada electoral y avalaran la misma.</w:t>
      </w:r>
    </w:p>
    <w:p w14:paraId="4591C7CF" w14:textId="77777777" w:rsidR="006F5238" w:rsidRPr="00791593" w:rsidRDefault="006F5238" w:rsidP="006F5238">
      <w:pPr>
        <w:spacing w:after="0"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2.- Se instaló la mesa de debates, presidida por un Presidente, Un Secretario y 20 escrutadores, pasaron en primer lugar, a emitir su sufragio los ciudadanos de las diversas agencias municipales, de policía, ranchería y núcleo rural del municipio, en primer lugar; posteriormente pasaron a emitir su voto los ciudadanos de la cabecera municipal.</w:t>
      </w:r>
    </w:p>
    <w:p w14:paraId="04AB1D01" w14:textId="77777777" w:rsidR="006F5238" w:rsidRPr="00791593" w:rsidRDefault="006F5238" w:rsidP="006F5238">
      <w:pPr>
        <w:spacing w:after="0" w:line="24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3.- Cuando pasan, ciudadanos de la cabecera municipal las personas que integran el Comité Frente Tecomaxtlahuaqueño, encabezados por el C. Emelio Salazar Gutiérrez, presidente de dicho Comité violentaron la jornada electoral cometiendo un sinfín de irregularidades que afectaron la jornada, a saber: acarreo de personas de otra comunidad y localidad que no pertenecen a nuestro municipio de San Sebastián Tecomaxtlahuaca, hicieron pasar varias veces a las mismas personas a votar, e impidieron que se redactara el acta de cómputo municipal, a través de la violencia, amenazas, injurias y malos tratos a los tratos a los ciudadanos que nos encontrábamos en el lugar.</w:t>
      </w:r>
    </w:p>
    <w:p w14:paraId="338469CF" w14:textId="77777777" w:rsidR="006F5238" w:rsidRPr="00791593" w:rsidRDefault="006F5238" w:rsidP="006F5238">
      <w:pPr>
        <w:spacing w:after="0" w:line="240" w:lineRule="auto"/>
        <w:ind w:left="567" w:right="567"/>
        <w:jc w:val="both"/>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 xml:space="preserve">Por lo anterior en este acto solicitamos la nulidad de la jornada electoral, por falta de cómputo municipal con motivo de la elección celebrada el pasado día 17 de noviembre del año 2013, en el municipio de San Sebastián Tecomaxtlahuaca, Oaxaca, para elegir concejales municipales. </w:t>
      </w:r>
    </w:p>
    <w:p w14:paraId="79DBF7BF" w14:textId="77777777" w:rsidR="006F5238" w:rsidRPr="00791593" w:rsidRDefault="006F5238" w:rsidP="006F5238">
      <w:pPr>
        <w:spacing w:after="0" w:line="240" w:lineRule="auto"/>
        <w:ind w:left="567" w:right="567"/>
        <w:jc w:val="both"/>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 xml:space="preserve">Por lo tanto solicitamos se convoque a elección extraordinaria en el municipio de San Sebastián Tecomaxtlahuaca, Oaxaca, para elegir concejales municipales. </w:t>
      </w:r>
    </w:p>
    <w:p w14:paraId="06BC5A85" w14:textId="77777777" w:rsidR="006F5238" w:rsidRPr="00791593" w:rsidRDefault="006F5238" w:rsidP="006F5238">
      <w:pPr>
        <w:spacing w:after="0" w:line="240" w:lineRule="auto"/>
        <w:ind w:left="567" w:right="567"/>
        <w:jc w:val="both"/>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 xml:space="preserve">Por lo anteriormente expuesto y fundado, a usted ciudadano Presidente del Consejo General del Instituto Estatal Electoral y de Participación Ciudadana para el Estado de Oaxaca, atentamente solicitamos: </w:t>
      </w:r>
    </w:p>
    <w:p w14:paraId="02E944CF" w14:textId="77777777" w:rsidR="006F5238" w:rsidRPr="00791593" w:rsidRDefault="006F5238" w:rsidP="006F5238">
      <w:pPr>
        <w:spacing w:after="0" w:line="240" w:lineRule="auto"/>
        <w:ind w:left="567" w:right="567"/>
        <w:jc w:val="both"/>
        <w:rPr>
          <w:rFonts w:ascii="Arial" w:eastAsia="Times New Roman" w:hAnsi="Arial" w:cs="Arial"/>
          <w:b/>
          <w:sz w:val="24"/>
          <w:szCs w:val="24"/>
          <w:lang w:val="es-ES" w:eastAsia="es-ES"/>
        </w:rPr>
      </w:pPr>
      <w:r w:rsidRPr="00791593">
        <w:rPr>
          <w:rFonts w:ascii="Arial" w:eastAsia="Times New Roman" w:hAnsi="Arial" w:cs="Arial"/>
          <w:sz w:val="24"/>
          <w:szCs w:val="24"/>
          <w:lang w:val="es-ES" w:eastAsia="es-ES"/>
        </w:rPr>
        <w:t xml:space="preserve">1.- Se turne a los integrantes del Consejo General, del Instituto Estatal Electoral y de Participación Ciudadana para el Estado de Oaxaca, el presente escrito con el expediente relativo a la elección de concejales municipales, celebrada el pasado 17 de noviembre del año dos mil trece, </w:t>
      </w:r>
      <w:r w:rsidRPr="00791593">
        <w:rPr>
          <w:rFonts w:ascii="Arial" w:eastAsia="Times New Roman" w:hAnsi="Arial" w:cs="Arial"/>
          <w:b/>
          <w:sz w:val="24"/>
          <w:szCs w:val="24"/>
          <w:lang w:val="es-ES" w:eastAsia="es-ES"/>
        </w:rPr>
        <w:t>en la cabecera municipal de San Sebastián Tecomaxtlahuaca, Oaxaca.</w:t>
      </w:r>
    </w:p>
    <w:p w14:paraId="4A017E48" w14:textId="77777777" w:rsidR="006F5238" w:rsidRPr="00791593" w:rsidRDefault="006F5238" w:rsidP="006F5238">
      <w:pPr>
        <w:spacing w:after="0" w:line="240" w:lineRule="auto"/>
        <w:ind w:left="567" w:right="567"/>
        <w:jc w:val="both"/>
        <w:rPr>
          <w:rFonts w:ascii="Arial" w:eastAsia="Times New Roman" w:hAnsi="Arial" w:cs="Arial"/>
          <w:b/>
          <w:sz w:val="24"/>
          <w:szCs w:val="24"/>
          <w:lang w:val="es-ES" w:eastAsia="es-ES"/>
        </w:rPr>
      </w:pPr>
      <w:r w:rsidRPr="00791593">
        <w:rPr>
          <w:rFonts w:ascii="Arial" w:eastAsia="Times New Roman" w:hAnsi="Arial" w:cs="Arial"/>
          <w:sz w:val="24"/>
          <w:szCs w:val="24"/>
          <w:lang w:val="es-ES" w:eastAsia="es-ES"/>
        </w:rPr>
        <w:t xml:space="preserve">2.- Que el Consejo General, del Instituto Estatal Electoral y de Participación Ciudadana para el Estado de Oaxaca, </w:t>
      </w:r>
      <w:r w:rsidRPr="00791593">
        <w:rPr>
          <w:rFonts w:ascii="Arial" w:eastAsia="Times New Roman" w:hAnsi="Arial" w:cs="Arial"/>
          <w:b/>
          <w:sz w:val="24"/>
          <w:szCs w:val="24"/>
          <w:lang w:val="es-ES" w:eastAsia="es-ES"/>
        </w:rPr>
        <w:t>declare que en la elección celebrada el pasado 17 de noviembre del año dos mil trece, en la cabecera municipal de San Sebastián Tecomaxtlahuaca, Oaxaca, no se cumplió con lo establecido en el artículo 263 numeral 1, fracción I del código de Instituciones Políticas y Procedimientos Electorales para el Estado de Oaxaca.</w:t>
      </w:r>
    </w:p>
    <w:p w14:paraId="36567C22" w14:textId="77777777" w:rsidR="006F5238" w:rsidRPr="00791593" w:rsidRDefault="006F5238" w:rsidP="006F5238">
      <w:pPr>
        <w:spacing w:after="0" w:line="240" w:lineRule="auto"/>
        <w:ind w:left="567" w:right="567"/>
        <w:jc w:val="both"/>
        <w:rPr>
          <w:rFonts w:ascii="Arial" w:eastAsia="Times New Roman" w:hAnsi="Arial" w:cs="Arial"/>
          <w:b/>
          <w:sz w:val="24"/>
          <w:szCs w:val="24"/>
          <w:lang w:val="es-ES" w:eastAsia="es-ES"/>
        </w:rPr>
      </w:pPr>
      <w:r w:rsidRPr="00791593">
        <w:rPr>
          <w:rFonts w:ascii="Arial" w:eastAsia="Times New Roman" w:hAnsi="Arial" w:cs="Arial"/>
          <w:sz w:val="24"/>
          <w:szCs w:val="24"/>
          <w:lang w:val="es-ES" w:eastAsia="es-ES"/>
        </w:rPr>
        <w:t xml:space="preserve">3.- Con fundamento en el artículo 263 numeral 2, del Código de Instituciones Políticas y Procedimientos Electorales para el Estado de Oaxaca, el Consejo General del Instituto Estatal y de Participación </w:t>
      </w:r>
      <w:r w:rsidRPr="00791593">
        <w:rPr>
          <w:rFonts w:ascii="Arial" w:eastAsia="Times New Roman" w:hAnsi="Arial" w:cs="Arial"/>
          <w:sz w:val="24"/>
          <w:szCs w:val="24"/>
          <w:lang w:val="es-ES" w:eastAsia="es-ES"/>
        </w:rPr>
        <w:lastRenderedPageBreak/>
        <w:t>Ciudadana para el estado de Oaxaca</w:t>
      </w:r>
      <w:r w:rsidRPr="00791593">
        <w:rPr>
          <w:rFonts w:ascii="Arial" w:eastAsia="Times New Roman" w:hAnsi="Arial" w:cs="Arial"/>
          <w:b/>
          <w:sz w:val="24"/>
          <w:szCs w:val="24"/>
          <w:lang w:val="es-ES" w:eastAsia="es-ES"/>
        </w:rPr>
        <w:t>, declaren la nulidad de la jornada electoral celebrada el pasado día 17 de Noviembre del año 2013, con motivo de la votación recepcionada para elegir a concejales municipales del municipio de San Sebastián Tecomaxtlahuaca, Oaxaca.-</w:t>
      </w:r>
    </w:p>
    <w:p w14:paraId="2EE4E504" w14:textId="77777777" w:rsidR="006F5238" w:rsidRPr="00791593" w:rsidRDefault="006F5238" w:rsidP="006F5238">
      <w:pPr>
        <w:spacing w:after="0" w:line="240" w:lineRule="auto"/>
        <w:ind w:left="567" w:right="567"/>
        <w:jc w:val="center"/>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ATENTAMENTE</w:t>
      </w:r>
    </w:p>
    <w:p w14:paraId="1E329AEE" w14:textId="77777777" w:rsidR="006F5238" w:rsidRPr="00791593" w:rsidRDefault="006F5238" w:rsidP="006F5238">
      <w:pPr>
        <w:spacing w:after="0" w:line="240" w:lineRule="auto"/>
        <w:ind w:left="567" w:right="567"/>
        <w:jc w:val="center"/>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SUFRAGIO EFECTIVO NO REELECCIÓN</w:t>
      </w:r>
    </w:p>
    <w:p w14:paraId="166E5316" w14:textId="77777777" w:rsidR="006F5238" w:rsidRPr="00791593" w:rsidRDefault="006F5238" w:rsidP="006F5238">
      <w:pPr>
        <w:spacing w:after="0" w:line="240" w:lineRule="auto"/>
        <w:ind w:left="567" w:right="567"/>
        <w:jc w:val="center"/>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“EL RESPETO AL DERECHO AJENO ES LA PAZ”</w:t>
      </w:r>
    </w:p>
    <w:p w14:paraId="2176366E" w14:textId="77777777" w:rsidR="006F5238" w:rsidRPr="00791593" w:rsidRDefault="006F5238" w:rsidP="006F5238">
      <w:pPr>
        <w:spacing w:after="0" w:line="240" w:lineRule="auto"/>
        <w:ind w:left="567" w:right="567"/>
        <w:jc w:val="center"/>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REPRESENTANTE MUNICIPAL DE LOS RENDON</w:t>
      </w:r>
    </w:p>
    <w:p w14:paraId="4F12DFB8" w14:textId="77777777" w:rsidR="006F5238" w:rsidRPr="00791593" w:rsidRDefault="006F5238" w:rsidP="006F5238">
      <w:pPr>
        <w:spacing w:after="0" w:line="240" w:lineRule="auto"/>
        <w:ind w:left="567" w:right="567"/>
        <w:jc w:val="center"/>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TECOMAXTLAHUACA, OAX.</w:t>
      </w:r>
    </w:p>
    <w:p w14:paraId="221D73CE" w14:textId="77777777" w:rsidR="006F5238" w:rsidRPr="00791593" w:rsidRDefault="006F5238" w:rsidP="006F5238">
      <w:pPr>
        <w:spacing w:after="0" w:line="240" w:lineRule="auto"/>
        <w:ind w:left="567" w:right="567"/>
        <w:jc w:val="center"/>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C. JUAN JOEL HERRERA PASTRANA</w:t>
      </w:r>
    </w:p>
    <w:p w14:paraId="5EF07722" w14:textId="77777777" w:rsidR="006F5238" w:rsidRPr="00791593" w:rsidRDefault="006F5238" w:rsidP="006F5238">
      <w:pPr>
        <w:spacing w:after="200" w:line="360" w:lineRule="auto"/>
        <w:ind w:firstLine="708"/>
        <w:jc w:val="both"/>
        <w:rPr>
          <w:rFonts w:ascii="Arial" w:eastAsia="Times New Roman" w:hAnsi="Arial" w:cs="Arial"/>
          <w:sz w:val="28"/>
          <w:szCs w:val="28"/>
          <w:lang w:eastAsia="es-ES"/>
        </w:rPr>
      </w:pPr>
    </w:p>
    <w:p w14:paraId="4A173043" w14:textId="77777777" w:rsidR="006F5238" w:rsidRPr="00791593" w:rsidRDefault="006F5238" w:rsidP="006F5238">
      <w:pPr>
        <w:spacing w:after="200" w:line="360" w:lineRule="auto"/>
        <w:ind w:firstLine="708"/>
        <w:jc w:val="both"/>
        <w:rPr>
          <w:rFonts w:ascii="Arial" w:eastAsia="Times New Roman" w:hAnsi="Arial" w:cs="Arial"/>
          <w:sz w:val="28"/>
          <w:szCs w:val="28"/>
          <w:lang w:eastAsia="es-MX"/>
        </w:rPr>
      </w:pPr>
      <w:r w:rsidRPr="00791593">
        <w:rPr>
          <w:rFonts w:ascii="Arial" w:eastAsia="Times New Roman" w:hAnsi="Arial" w:cs="Arial"/>
          <w:sz w:val="28"/>
          <w:szCs w:val="28"/>
          <w:lang w:eastAsia="es-ES"/>
        </w:rPr>
        <w:t xml:space="preserve">Cabe advertir que a cada escrito </w:t>
      </w:r>
      <w:r w:rsidRPr="00791593">
        <w:rPr>
          <w:rFonts w:ascii="Arial" w:eastAsia="Times New Roman" w:hAnsi="Arial" w:cs="Arial"/>
          <w:sz w:val="28"/>
          <w:szCs w:val="28"/>
          <w:lang w:eastAsia="es-MX"/>
        </w:rPr>
        <w:t>se anexan diversas listas de personas inconformes con la celebración de la Asamblea General electiva de diecisiete de noviembre de dos mil trece, listas que contienen una leyenda que en lo sustancial es coincidente, la cual es al tenor siguiente “</w:t>
      </w:r>
      <w:r w:rsidRPr="00791593">
        <w:rPr>
          <w:rFonts w:ascii="Arial" w:eastAsia="Times New Roman" w:hAnsi="Arial" w:cs="Arial"/>
          <w:i/>
          <w:sz w:val="24"/>
          <w:szCs w:val="28"/>
          <w:lang w:eastAsia="es-MX"/>
        </w:rPr>
        <w:t xml:space="preserve">RELACIÓN DE CIUDADANOS DE LA </w:t>
      </w:r>
      <w:r w:rsidRPr="00791593">
        <w:rPr>
          <w:rFonts w:ascii="Arial" w:eastAsia="Times New Roman" w:hAnsi="Arial" w:cs="Arial"/>
          <w:sz w:val="24"/>
          <w:szCs w:val="28"/>
          <w:lang w:eastAsia="es-MX"/>
        </w:rPr>
        <w:t>[comunidad o agencia y se especifica el nombre]</w:t>
      </w:r>
      <w:r w:rsidRPr="00791593">
        <w:rPr>
          <w:rFonts w:ascii="Arial" w:eastAsia="Times New Roman" w:hAnsi="Arial" w:cs="Arial"/>
          <w:i/>
          <w:sz w:val="24"/>
          <w:szCs w:val="28"/>
          <w:lang w:eastAsia="es-MX"/>
        </w:rPr>
        <w:t xml:space="preserve"> INCONFORMES DE LA ASAMBLEA GENERAL CELEBRADA EL DIA 17 DE NOVIEMBRE DE 2013 EN DONDE SE IBAN A ELEGIR LOS NUEVOS CONSEJALES PARA FUNGIR ERN EL PERIODO 2014-2016</w:t>
      </w:r>
      <w:r w:rsidRPr="00791593">
        <w:rPr>
          <w:rFonts w:ascii="Arial" w:eastAsia="Times New Roman" w:hAnsi="Arial" w:cs="Arial"/>
          <w:sz w:val="28"/>
          <w:szCs w:val="28"/>
          <w:lang w:eastAsia="es-MX"/>
        </w:rPr>
        <w:t>”.</w:t>
      </w:r>
    </w:p>
    <w:p w14:paraId="76A35D2B" w14:textId="77777777" w:rsidR="006F5238" w:rsidRPr="00791593" w:rsidRDefault="006F5238" w:rsidP="006F5238">
      <w:pPr>
        <w:spacing w:after="200" w:line="360" w:lineRule="auto"/>
        <w:ind w:firstLine="708"/>
        <w:jc w:val="both"/>
        <w:rPr>
          <w:rFonts w:ascii="Arial" w:eastAsia="Calibri" w:hAnsi="Arial" w:cs="Arial"/>
          <w:sz w:val="28"/>
          <w:szCs w:val="28"/>
          <w:lang w:eastAsia="es-ES"/>
        </w:rPr>
      </w:pPr>
      <w:r w:rsidRPr="00791593">
        <w:rPr>
          <w:rFonts w:ascii="Arial" w:eastAsia="Calibri" w:hAnsi="Arial" w:cs="Arial"/>
          <w:sz w:val="28"/>
          <w:szCs w:val="28"/>
          <w:lang w:eastAsia="es-MX"/>
        </w:rPr>
        <w:t xml:space="preserve">De la revisión de los treinta escritos y de las listas correspondientes, se advierte </w:t>
      </w:r>
      <w:r w:rsidRPr="00791593">
        <w:rPr>
          <w:rFonts w:ascii="Arial" w:eastAsia="Calibri" w:hAnsi="Arial" w:cs="Arial"/>
          <w:sz w:val="28"/>
          <w:szCs w:val="28"/>
          <w:lang w:eastAsia="es-ES"/>
        </w:rPr>
        <w:t xml:space="preserve">el nombre de mil seiscientas cuarenta y nueve personas (1,649), de las cuales </w:t>
      </w:r>
      <w:r w:rsidRPr="00791593">
        <w:rPr>
          <w:rFonts w:ascii="Arial" w:eastAsia="Calibri" w:hAnsi="Arial" w:cs="Arial"/>
          <w:sz w:val="28"/>
          <w:szCs w:val="28"/>
          <w:lang w:val="es-ES" w:eastAsia="es-ES"/>
        </w:rPr>
        <w:t>mil trecientas treinta y nueve (1,339) asentaron su firma autógrafa y doscientas veintiséis (226) imprimieron su huella digital, diez (10) no asentaron firma autógrafa y tampoco huella digital y setenta y cuatro nombres (74) están repetidos</w:t>
      </w:r>
      <w:r w:rsidRPr="00791593">
        <w:rPr>
          <w:rFonts w:ascii="Arial" w:eastAsia="Calibri" w:hAnsi="Arial" w:cs="Arial"/>
          <w:sz w:val="28"/>
          <w:szCs w:val="28"/>
          <w:lang w:eastAsia="es-MX"/>
        </w:rPr>
        <w:t xml:space="preserve">, por lo que se concluye que un total de </w:t>
      </w:r>
      <w:r w:rsidRPr="00791593">
        <w:rPr>
          <w:rFonts w:ascii="Arial" w:eastAsia="Calibri" w:hAnsi="Arial" w:cs="Arial"/>
          <w:sz w:val="28"/>
          <w:szCs w:val="28"/>
          <w:lang w:eastAsia="es-ES"/>
        </w:rPr>
        <w:t>mil quinientos sesenta y cinco ciudadanos (</w:t>
      </w:r>
      <w:r w:rsidRPr="00791593">
        <w:rPr>
          <w:rFonts w:ascii="Arial" w:eastAsia="Calibri" w:hAnsi="Arial" w:cs="Arial"/>
          <w:sz w:val="28"/>
          <w:szCs w:val="28"/>
          <w:lang w:eastAsia="es-MX"/>
        </w:rPr>
        <w:t xml:space="preserve">1,565) </w:t>
      </w:r>
      <w:r w:rsidRPr="00791593">
        <w:rPr>
          <w:rFonts w:ascii="Arial" w:eastAsia="Calibri" w:hAnsi="Arial" w:cs="Arial"/>
          <w:sz w:val="28"/>
          <w:szCs w:val="28"/>
          <w:lang w:eastAsia="es-ES"/>
        </w:rPr>
        <w:t>aducen que el día de la jornada electoral ocurrieron diversas irregularidades graves, que afectan la validez de la elección controvertida.</w:t>
      </w:r>
    </w:p>
    <w:p w14:paraId="743A2ADC"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Los aludidos elementos de prueba son documentos privados, en términos de lo dispuesto en el artículo 14, párrafo 1, inciso b) y párrafo 5, en relación con el artículo 16, párrafos 1 y 3, ambos de la ley electoral procesal invocada.</w:t>
      </w:r>
    </w:p>
    <w:p w14:paraId="768B3E04" w14:textId="77777777" w:rsidR="006F5238" w:rsidRPr="00791593" w:rsidRDefault="006F5238" w:rsidP="006F5238">
      <w:pPr>
        <w:spacing w:before="480" w:after="100" w:afterAutospacing="1"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En los mencionados </w:t>
      </w:r>
      <w:r w:rsidRPr="00791593">
        <w:rPr>
          <w:rFonts w:ascii="Arial" w:eastAsia="Times New Roman" w:hAnsi="Arial" w:cs="Arial"/>
          <w:sz w:val="28"/>
          <w:szCs w:val="28"/>
          <w:lang w:eastAsia="es-MX"/>
        </w:rPr>
        <w:t>“</w:t>
      </w:r>
      <w:r w:rsidRPr="00791593">
        <w:rPr>
          <w:rFonts w:ascii="Arial" w:eastAsia="Times New Roman" w:hAnsi="Arial" w:cs="Arial"/>
          <w:i/>
          <w:sz w:val="28"/>
          <w:szCs w:val="28"/>
          <w:lang w:eastAsia="es-MX"/>
        </w:rPr>
        <w:t>escritos de inconformidad</w:t>
      </w:r>
      <w:r w:rsidRPr="00791593">
        <w:rPr>
          <w:rFonts w:ascii="Arial" w:eastAsia="Times New Roman" w:hAnsi="Arial" w:cs="Arial"/>
          <w:sz w:val="28"/>
          <w:szCs w:val="28"/>
          <w:lang w:eastAsia="es-MX"/>
        </w:rPr>
        <w:t xml:space="preserve">”, las </w:t>
      </w:r>
      <w:r w:rsidRPr="00791593">
        <w:rPr>
          <w:rFonts w:ascii="Arial" w:eastAsia="Times New Roman" w:hAnsi="Arial" w:cs="Arial"/>
          <w:sz w:val="28"/>
          <w:szCs w:val="28"/>
          <w:lang w:val="es-ES" w:eastAsia="es-ES"/>
        </w:rPr>
        <w:t>mil quinientas sesenta y cinco</w:t>
      </w:r>
      <w:r w:rsidRPr="00791593">
        <w:rPr>
          <w:rFonts w:ascii="Arial" w:eastAsia="Times New Roman" w:hAnsi="Arial" w:cs="Arial"/>
          <w:sz w:val="28"/>
          <w:szCs w:val="28"/>
          <w:lang w:val="es-ES" w:eastAsia="es-MX"/>
        </w:rPr>
        <w:t xml:space="preserve"> </w:t>
      </w:r>
      <w:r w:rsidRPr="00791593">
        <w:rPr>
          <w:rFonts w:ascii="Arial" w:eastAsia="Times New Roman" w:hAnsi="Arial" w:cs="Arial"/>
          <w:sz w:val="28"/>
          <w:szCs w:val="28"/>
          <w:lang w:val="es-ES" w:eastAsia="es-ES"/>
        </w:rPr>
        <w:t xml:space="preserve">personas </w:t>
      </w:r>
      <w:r w:rsidRPr="00791593">
        <w:rPr>
          <w:rFonts w:ascii="Arial" w:eastAsia="Times New Roman" w:hAnsi="Arial" w:cs="Arial"/>
          <w:sz w:val="28"/>
          <w:szCs w:val="28"/>
          <w:lang w:eastAsia="es-ES"/>
        </w:rPr>
        <w:t xml:space="preserve">signantes </w:t>
      </w:r>
      <w:r w:rsidRPr="00791593">
        <w:rPr>
          <w:rFonts w:ascii="Arial" w:eastAsia="Times New Roman" w:hAnsi="Arial" w:cs="Arial"/>
          <w:sz w:val="28"/>
          <w:szCs w:val="28"/>
          <w:lang w:val="es-ES" w:eastAsia="es-ES"/>
        </w:rPr>
        <w:t>(</w:t>
      </w:r>
      <w:r w:rsidRPr="00791593">
        <w:rPr>
          <w:rFonts w:ascii="Arial" w:eastAsia="Times New Roman" w:hAnsi="Arial" w:cs="Arial"/>
          <w:sz w:val="28"/>
          <w:szCs w:val="28"/>
          <w:lang w:val="es-ES" w:eastAsia="es-MX"/>
        </w:rPr>
        <w:t>1,565)</w:t>
      </w:r>
      <w:r w:rsidRPr="00791593">
        <w:rPr>
          <w:rFonts w:ascii="Arial" w:eastAsia="Times New Roman" w:hAnsi="Arial" w:cs="Arial"/>
          <w:sz w:val="28"/>
          <w:szCs w:val="28"/>
          <w:lang w:eastAsia="es-ES"/>
        </w:rPr>
        <w:t xml:space="preserve">, solicitaron al </w:t>
      </w:r>
      <w:r w:rsidRPr="00791593">
        <w:rPr>
          <w:rFonts w:ascii="Arial" w:eastAsia="Times New Roman" w:hAnsi="Arial" w:cs="Arial"/>
          <w:sz w:val="28"/>
          <w:szCs w:val="28"/>
          <w:lang w:eastAsia="es-MX"/>
        </w:rPr>
        <w:t xml:space="preserve">Consejo General Instituto Estatal Electoral y de Participación Ciudadana de Oaxaca que declara la nulidad de la elección de integrantes del aludido Ayuntamiento </w:t>
      </w:r>
      <w:r w:rsidRPr="00791593">
        <w:rPr>
          <w:rFonts w:ascii="Arial" w:eastAsia="Times New Roman" w:hAnsi="Arial" w:cs="Arial"/>
          <w:bCs/>
          <w:sz w:val="28"/>
          <w:szCs w:val="28"/>
          <w:lang w:val="es-ES" w:eastAsia="es-ES"/>
        </w:rPr>
        <w:t>y que se convocara a elecciones extraordinarias, porque la elección de diecisiete de noviembre de dos mil trece no se apegó a las normas establecidas por la comunidad, teniendo en consideración que el día de la Asamblea General Comunitaria ocurrieron las irregularidades graves antes precisadas.</w:t>
      </w:r>
    </w:p>
    <w:p w14:paraId="56D728A5" w14:textId="77777777" w:rsidR="006F5238" w:rsidRPr="00791593" w:rsidRDefault="006F5238" w:rsidP="006F5238">
      <w:pPr>
        <w:spacing w:after="200" w:line="360" w:lineRule="auto"/>
        <w:ind w:firstLine="708"/>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8.1.5 Oficios del Notario Público diecinueve (19) del Estado de Oaxaca, dirigidos a la Dirección General de Notarías de esa entidad federativa.</w:t>
      </w:r>
    </w:p>
    <w:p w14:paraId="173F3243" w14:textId="77777777" w:rsidR="006F5238" w:rsidRPr="00791593" w:rsidRDefault="006F5238" w:rsidP="006F5238">
      <w:pPr>
        <w:spacing w:before="480" w:after="100" w:afterAutospacing="1"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En el particular, obra a fojas ochenta y seis a ochenta y siete, copia de dos oficios signados por el mencionado Notario Público, a fin de dar cumplimiento a lo establecido en el artículo 28 de la Ley del Notariado para el Estado de Oaxaca.</w:t>
      </w:r>
    </w:p>
    <w:p w14:paraId="6E77F28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Cabe precisar que tal documento está incluido en el legajo de copias certificadas, cuya certificación fue hecha por el Secretario General del Instituto Estatal Electoral y de Participación Ciudadana de Oaxaca, Francisco Javier Osorio Rojas, copias que son reproducción fiel y exacta del expediente, el cual tuvo a la vista y que obra en los archivos de la Dirección Ejecutiva de Sistemas Normativos Internos del mencionado Instituto, de la renovación de concejales al Ayuntamiento del Municipio de San Sebastián Tecomaxtlahuaca, que electoralmente se rige por sistemas normativos internos.</w:t>
      </w:r>
    </w:p>
    <w:p w14:paraId="0AA01C1C" w14:textId="77777777" w:rsidR="006F5238" w:rsidRPr="00791593" w:rsidRDefault="006F5238" w:rsidP="006F5238">
      <w:pPr>
        <w:spacing w:before="480" w:after="100" w:afterAutospacing="1"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De los mencionados documentos a continuación se insertan las correspondientes imágenes escaneadas:</w:t>
      </w:r>
    </w:p>
    <w:p w14:paraId="3B630369" w14:textId="77777777" w:rsidR="006F5238" w:rsidRPr="00791593" w:rsidRDefault="006F5238" w:rsidP="006F5238">
      <w:pPr>
        <w:widowControl w:val="0"/>
        <w:spacing w:before="100" w:beforeAutospacing="1" w:after="100" w:afterAutospacing="1" w:line="360" w:lineRule="auto"/>
        <w:ind w:firstLine="709"/>
        <w:jc w:val="center"/>
        <w:rPr>
          <w:rFonts w:ascii="Arial" w:eastAsia="Times New Roman" w:hAnsi="Arial" w:cs="Arial"/>
          <w:sz w:val="28"/>
          <w:szCs w:val="28"/>
          <w:highlight w:val="yellow"/>
          <w:lang w:eastAsia="es-ES"/>
        </w:rPr>
      </w:pPr>
      <w:r w:rsidRPr="00791593">
        <w:rPr>
          <w:rFonts w:ascii="Arial" w:eastAsia="Times New Roman" w:hAnsi="Arial" w:cs="Arial"/>
          <w:noProof/>
          <w:sz w:val="28"/>
          <w:szCs w:val="28"/>
          <w:lang w:eastAsia="es-MX"/>
        </w:rPr>
        <w:drawing>
          <wp:inline distT="0" distB="0" distL="0" distR="0" wp14:anchorId="1F3106F4" wp14:editId="36E47856">
            <wp:extent cx="4866198" cy="50947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6198" cy="5094798"/>
                    </a:xfrm>
                    <a:prstGeom prst="rect">
                      <a:avLst/>
                    </a:prstGeom>
                    <a:noFill/>
                    <a:ln>
                      <a:noFill/>
                    </a:ln>
                  </pic:spPr>
                </pic:pic>
              </a:graphicData>
            </a:graphic>
          </wp:inline>
        </w:drawing>
      </w:r>
    </w:p>
    <w:p w14:paraId="6086B78C" w14:textId="77777777" w:rsidR="006F5238" w:rsidRPr="00791593" w:rsidRDefault="006F5238" w:rsidP="006F5238">
      <w:pPr>
        <w:widowControl w:val="0"/>
        <w:spacing w:before="100" w:beforeAutospacing="1" w:after="100" w:afterAutospacing="1" w:line="360" w:lineRule="auto"/>
        <w:ind w:firstLine="709"/>
        <w:jc w:val="center"/>
        <w:rPr>
          <w:rFonts w:ascii="Arial" w:eastAsia="Times New Roman" w:hAnsi="Arial" w:cs="Arial"/>
          <w:sz w:val="28"/>
          <w:szCs w:val="28"/>
          <w:lang w:eastAsia="es-ES"/>
        </w:rPr>
      </w:pPr>
      <w:r w:rsidRPr="00791593">
        <w:rPr>
          <w:rFonts w:ascii="Arial" w:eastAsia="Times New Roman" w:hAnsi="Arial" w:cs="Arial"/>
          <w:noProof/>
          <w:sz w:val="24"/>
          <w:szCs w:val="24"/>
          <w:lang w:eastAsia="es-MX"/>
        </w:rPr>
        <w:drawing>
          <wp:inline distT="0" distB="0" distL="0" distR="0" wp14:anchorId="75E94FD5" wp14:editId="12A8A15B">
            <wp:extent cx="3510000" cy="4024800"/>
            <wp:effectExtent l="0" t="0" r="0" b="0"/>
            <wp:docPr id="7" name="Imagen 7" descr="cid:image001.png@01CF6B09.8F7C4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png@01CF6B09.8F7C4F0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510000" cy="4024800"/>
                    </a:xfrm>
                    <a:prstGeom prst="rect">
                      <a:avLst/>
                    </a:prstGeom>
                    <a:noFill/>
                    <a:ln>
                      <a:noFill/>
                    </a:ln>
                  </pic:spPr>
                </pic:pic>
              </a:graphicData>
            </a:graphic>
          </wp:inline>
        </w:drawing>
      </w:r>
    </w:p>
    <w:p w14:paraId="2B3C5EFC"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Los oficios reproducidos, son documentos públicos, conforme a lo previsto en el artículo 14, párrafo 1, inciso a) y párrafo 4, inciso d), con relación al artículo 16, párrafos 1 y 2, ambos de la Ley General del Sistema de Medios de Impugnación en Materia Electoral, los cuales fueron emitidos por el </w:t>
      </w:r>
      <w:r w:rsidRPr="00791593">
        <w:rPr>
          <w:rFonts w:ascii="Arial" w:eastAsia="Times New Roman" w:hAnsi="Arial" w:cs="Arial"/>
          <w:bCs/>
          <w:sz w:val="28"/>
          <w:szCs w:val="28"/>
          <w:lang w:val="es-ES" w:eastAsia="es-ES"/>
        </w:rPr>
        <w:t xml:space="preserve">Notario Público </w:t>
      </w:r>
      <w:r w:rsidRPr="00791593">
        <w:rPr>
          <w:rFonts w:ascii="Arial" w:eastAsia="Times New Roman" w:hAnsi="Arial" w:cs="Arial"/>
          <w:sz w:val="28"/>
          <w:szCs w:val="28"/>
          <w:lang w:eastAsia="es-ES"/>
        </w:rPr>
        <w:t>diecinueve (19) del Estado de Oaxaca.</w:t>
      </w:r>
    </w:p>
    <w:p w14:paraId="4614BD5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Del primer documento reproducido se advierte que el mencionado fedatario público dio aviso, a la Dirección General de Notarías del Estado de Oaxaca, el veintisiete de noviembre de dos mil trece, de que asistió al Municipio de San Sebastián Tecomaxtlahuaca, Juxtlahuaca, el día diecisiete de noviembre de dos mil trece, para llevar a cabo una certificación de hechos relacionados con la Asamblea General electiva de ese Municipio.</w:t>
      </w:r>
    </w:p>
    <w:p w14:paraId="24AFA91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sz w:val="28"/>
          <w:szCs w:val="28"/>
          <w:lang w:eastAsia="es-ES"/>
        </w:rPr>
        <w:t xml:space="preserve">La conclusión obedece al análisis del mencionado oficio, en el cual se advierte que </w:t>
      </w:r>
      <w:r w:rsidRPr="00791593">
        <w:rPr>
          <w:rFonts w:ascii="Arial" w:eastAsia="Times New Roman" w:hAnsi="Arial" w:cs="Arial"/>
          <w:bCs/>
          <w:sz w:val="28"/>
          <w:szCs w:val="28"/>
          <w:lang w:val="es-ES" w:eastAsia="es-ES"/>
        </w:rPr>
        <w:t>se asentó el acuse de recibo de la “</w:t>
      </w:r>
      <w:r w:rsidRPr="00791593">
        <w:rPr>
          <w:rFonts w:ascii="Arial" w:eastAsia="Times New Roman" w:hAnsi="Arial" w:cs="Arial"/>
          <w:bCs/>
          <w:i/>
          <w:sz w:val="24"/>
          <w:szCs w:val="24"/>
          <w:lang w:val="es-ES" w:eastAsia="es-ES"/>
        </w:rPr>
        <w:t>CONSEJERÍA JURÍDICA</w:t>
      </w:r>
      <w:r w:rsidRPr="00791593">
        <w:rPr>
          <w:rFonts w:ascii="Arial" w:eastAsia="Times New Roman" w:hAnsi="Arial" w:cs="Arial"/>
          <w:bCs/>
          <w:sz w:val="28"/>
          <w:szCs w:val="28"/>
          <w:lang w:val="es-ES" w:eastAsia="es-ES"/>
        </w:rPr>
        <w:t>”, “</w:t>
      </w:r>
      <w:r w:rsidRPr="00791593">
        <w:rPr>
          <w:rFonts w:ascii="Arial" w:eastAsia="Times New Roman" w:hAnsi="Arial" w:cs="Arial"/>
          <w:bCs/>
          <w:i/>
          <w:sz w:val="24"/>
          <w:szCs w:val="24"/>
          <w:lang w:val="es-ES" w:eastAsia="es-ES"/>
        </w:rPr>
        <w:t>DIRECCIÓN GENERAL DE NOTARÍAS</w:t>
      </w:r>
      <w:r w:rsidRPr="00791593">
        <w:rPr>
          <w:rFonts w:ascii="Arial" w:eastAsia="Times New Roman" w:hAnsi="Arial" w:cs="Arial"/>
          <w:bCs/>
          <w:sz w:val="28"/>
          <w:szCs w:val="28"/>
          <w:lang w:val="es-ES" w:eastAsia="es-ES"/>
        </w:rPr>
        <w:t>”, en fecha “</w:t>
      </w:r>
      <w:r w:rsidRPr="00791593">
        <w:rPr>
          <w:rFonts w:ascii="Arial" w:eastAsia="Times New Roman" w:hAnsi="Arial" w:cs="Arial"/>
          <w:bCs/>
          <w:i/>
          <w:sz w:val="24"/>
          <w:szCs w:val="24"/>
          <w:lang w:val="es-ES" w:eastAsia="es-ES"/>
        </w:rPr>
        <w:t>27 NOV 2013</w:t>
      </w:r>
      <w:r w:rsidRPr="00791593">
        <w:rPr>
          <w:rFonts w:ascii="Arial" w:eastAsia="Times New Roman" w:hAnsi="Arial" w:cs="Arial"/>
          <w:bCs/>
          <w:sz w:val="28"/>
          <w:szCs w:val="28"/>
          <w:lang w:val="es-ES" w:eastAsia="es-ES"/>
        </w:rPr>
        <w:t>” (veintisiete se noviembre de dos mil trece), a las “</w:t>
      </w:r>
      <w:r w:rsidRPr="00791593">
        <w:rPr>
          <w:rFonts w:ascii="Arial" w:eastAsia="Times New Roman" w:hAnsi="Arial" w:cs="Arial"/>
          <w:bCs/>
          <w:i/>
          <w:sz w:val="24"/>
          <w:szCs w:val="24"/>
          <w:lang w:val="es-ES" w:eastAsia="es-ES"/>
        </w:rPr>
        <w:t xml:space="preserve">14:36 hrs” </w:t>
      </w:r>
      <w:r w:rsidRPr="00791593">
        <w:rPr>
          <w:rFonts w:ascii="Arial" w:eastAsia="Times New Roman" w:hAnsi="Arial" w:cs="Arial"/>
          <w:bCs/>
          <w:sz w:val="28"/>
          <w:szCs w:val="28"/>
          <w:lang w:val="es-ES" w:eastAsia="es-ES"/>
        </w:rPr>
        <w:t xml:space="preserve">(catorce horas  treinta y seis minutos). </w:t>
      </w:r>
    </w:p>
    <w:p w14:paraId="01F78B7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Cs/>
          <w:sz w:val="28"/>
          <w:szCs w:val="28"/>
          <w:lang w:val="es-ES" w:eastAsia="es-ES"/>
        </w:rPr>
        <w:t xml:space="preserve">Por tanto, fue hasta el miércoles veintisiete de noviembre de dos mil trece, fecha en que se recibió el citado oficio en la </w:t>
      </w:r>
      <w:r w:rsidRPr="00791593">
        <w:rPr>
          <w:rFonts w:ascii="Arial" w:eastAsia="Times New Roman" w:hAnsi="Arial" w:cs="Arial"/>
          <w:sz w:val="28"/>
          <w:szCs w:val="28"/>
          <w:lang w:eastAsia="es-ES"/>
        </w:rPr>
        <w:t xml:space="preserve">Dirección General de Notarías del Estado, </w:t>
      </w:r>
      <w:r w:rsidRPr="00791593">
        <w:rPr>
          <w:rFonts w:ascii="Arial" w:eastAsia="Times New Roman" w:hAnsi="Arial" w:cs="Arial"/>
          <w:bCs/>
          <w:sz w:val="28"/>
          <w:szCs w:val="28"/>
          <w:lang w:val="es-ES" w:eastAsia="es-ES"/>
        </w:rPr>
        <w:t xml:space="preserve">cuando el mencionado fedatario público hizo de su conocimiento la </w:t>
      </w:r>
      <w:r w:rsidRPr="00791593">
        <w:rPr>
          <w:rFonts w:ascii="Arial" w:eastAsia="Times New Roman" w:hAnsi="Arial" w:cs="Arial"/>
          <w:sz w:val="28"/>
          <w:szCs w:val="28"/>
          <w:lang w:eastAsia="es-ES"/>
        </w:rPr>
        <w:t>actuación que llevó a cabo en el Municipio de San Sebastián Tecomaxtlahuaca, Juxtlahuaca, Oaxaca, consistente en la certificación de hechos relacionada con la Asamblea General Comunitaria celebrada el día diecisiete del citado mes y año, para la elección de los integrantes del Ayuntamiento correspondiente.</w:t>
      </w:r>
    </w:p>
    <w:p w14:paraId="10AE041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idéntica situación está el segundo de los oficios, por el cual el aludido fedatario público hizo del conocimiento de la Dirección General de Notarías del Estado, que había asistido al Municipio de San Sebastián Tecomaxtlahuaca, Juxtlahuaca, para llevar a cabo la mencionada certificación de hechos de la elección de los respectivos concejales, lo cual quedó asentado en el instrumento correspondiente del protocolo a su cargo.</w:t>
      </w:r>
    </w:p>
    <w:p w14:paraId="7EE082A2"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b/>
          <w:sz w:val="28"/>
          <w:szCs w:val="28"/>
          <w:lang w:val="es-ES" w:eastAsia="es-MX"/>
        </w:rPr>
      </w:pPr>
      <w:r w:rsidRPr="00791593">
        <w:rPr>
          <w:rFonts w:ascii="Arial" w:eastAsia="Times New Roman" w:hAnsi="Arial" w:cs="Arial"/>
          <w:b/>
          <w:bCs/>
          <w:sz w:val="28"/>
          <w:szCs w:val="28"/>
          <w:lang w:val="es-ES" w:eastAsia="es-MX"/>
        </w:rPr>
        <w:t>8.1.6</w:t>
      </w:r>
      <w:r w:rsidRPr="00791593">
        <w:rPr>
          <w:rFonts w:ascii="Arial" w:eastAsia="Times New Roman" w:hAnsi="Arial" w:cs="Arial"/>
          <w:sz w:val="28"/>
          <w:szCs w:val="28"/>
          <w:lang w:val="es-ES" w:eastAsia="es-MX"/>
        </w:rPr>
        <w:t xml:space="preserve"> </w:t>
      </w:r>
      <w:r w:rsidRPr="00791593">
        <w:rPr>
          <w:rFonts w:ascii="Arial" w:eastAsia="Times New Roman" w:hAnsi="Arial" w:cs="Arial"/>
          <w:b/>
          <w:sz w:val="28"/>
          <w:szCs w:val="28"/>
          <w:lang w:val="es-ES" w:eastAsia="es-MX"/>
        </w:rPr>
        <w:t xml:space="preserve">Oficio de quince de noviembre de dos mil trece, suscrito por el Presidente del </w:t>
      </w:r>
      <w:r w:rsidRPr="00791593">
        <w:rPr>
          <w:rFonts w:ascii="Arial" w:eastAsia="Times New Roman" w:hAnsi="Arial" w:cs="Arial"/>
          <w:b/>
          <w:sz w:val="28"/>
          <w:szCs w:val="28"/>
          <w:lang w:val="es-ES" w:eastAsia="es-ES"/>
        </w:rPr>
        <w:t>Ayuntamiento de San Sebastián Tecomaxtlahuaca, Juxtlahuaca, Oaxaca.</w:t>
      </w:r>
    </w:p>
    <w:p w14:paraId="0600773E"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MX"/>
        </w:rPr>
        <w:t xml:space="preserve">Del análisis de la copia del oficio de quince de noviembre de dos mil trece, suscrito por el Presidente del </w:t>
      </w:r>
      <w:r w:rsidRPr="00791593">
        <w:rPr>
          <w:rFonts w:ascii="Arial" w:eastAsia="Times New Roman" w:hAnsi="Arial" w:cs="Arial"/>
          <w:sz w:val="28"/>
          <w:szCs w:val="28"/>
          <w:lang w:val="es-ES" w:eastAsia="es-ES"/>
        </w:rPr>
        <w:t>Ayuntamiento de San Sebastián Tecomaxtlahuaca, Juxtlahuaca, Oaxaca,</w:t>
      </w:r>
      <w:r w:rsidRPr="00791593">
        <w:rPr>
          <w:rFonts w:ascii="Arial" w:eastAsia="Times New Roman" w:hAnsi="Arial" w:cs="Arial"/>
          <w:sz w:val="28"/>
          <w:szCs w:val="28"/>
          <w:lang w:val="es-ES" w:eastAsia="es-MX"/>
        </w:rPr>
        <w:t xml:space="preserve"> que obra a foja quinientas sesenta y ocho </w:t>
      </w:r>
      <w:r w:rsidRPr="00791593">
        <w:rPr>
          <w:rFonts w:ascii="Arial" w:eastAsia="Times New Roman" w:hAnsi="Arial" w:cs="Arial"/>
          <w:sz w:val="28"/>
          <w:szCs w:val="28"/>
          <w:lang w:val="es-ES" w:eastAsia="es-ES"/>
        </w:rPr>
        <w:t xml:space="preserve">del expediente integrado con motivo del juicio para la protección de los derechos político-electorales del ciudadano identificado con clave SX-JDC-111/2014, clasificado en esta Sala Superior como </w:t>
      </w:r>
      <w:r w:rsidRPr="00791593">
        <w:rPr>
          <w:rFonts w:ascii="Arial" w:eastAsia="Times New Roman" w:hAnsi="Arial" w:cs="Arial"/>
          <w:i/>
          <w:iCs/>
          <w:sz w:val="28"/>
          <w:szCs w:val="28"/>
          <w:lang w:val="es-ES" w:eastAsia="es-ES"/>
        </w:rPr>
        <w:t>“</w:t>
      </w:r>
      <w:r w:rsidRPr="00791593">
        <w:rPr>
          <w:rFonts w:ascii="Arial" w:eastAsia="Times New Roman" w:hAnsi="Arial" w:cs="Arial"/>
          <w:i/>
          <w:iCs/>
          <w:sz w:val="24"/>
          <w:szCs w:val="24"/>
          <w:lang w:val="es-ES" w:eastAsia="es-ES"/>
        </w:rPr>
        <w:t>CUADERNO ACCESORIO 2</w:t>
      </w:r>
      <w:r w:rsidRPr="00791593">
        <w:rPr>
          <w:rFonts w:ascii="Arial" w:eastAsia="Times New Roman" w:hAnsi="Arial" w:cs="Arial"/>
          <w:sz w:val="24"/>
          <w:szCs w:val="24"/>
          <w:lang w:val="es-ES" w:eastAsia="es-ES"/>
        </w:rPr>
        <w:t>”</w:t>
      </w:r>
      <w:r w:rsidRPr="00791593">
        <w:rPr>
          <w:rFonts w:ascii="Arial" w:eastAsia="Times New Roman" w:hAnsi="Arial" w:cs="Arial"/>
          <w:sz w:val="28"/>
          <w:szCs w:val="28"/>
          <w:lang w:val="es-ES" w:eastAsia="es-ES"/>
        </w:rPr>
        <w:t>, del expediente al rubro precisado, s</w:t>
      </w:r>
      <w:r w:rsidRPr="00791593">
        <w:rPr>
          <w:rFonts w:ascii="Arial" w:eastAsia="Times New Roman" w:hAnsi="Arial" w:cs="Arial"/>
          <w:sz w:val="28"/>
          <w:szCs w:val="28"/>
          <w:lang w:val="es-ES" w:eastAsia="es-MX"/>
        </w:rPr>
        <w:t>e advierte que el citado Presidente Municipal</w:t>
      </w:r>
      <w:r w:rsidRPr="00791593">
        <w:rPr>
          <w:rFonts w:ascii="Arial" w:eastAsia="Times New Roman" w:hAnsi="Arial" w:cs="Arial"/>
          <w:sz w:val="28"/>
          <w:szCs w:val="28"/>
          <w:lang w:val="es-ES" w:eastAsia="es-ES"/>
        </w:rPr>
        <w:t xml:space="preserve"> hizo del conocimiento de la Directora Ejecutiva de Sistemas Normativos Internos del Instituto Estatal Electoral y de Participación Ciudadana de Oaxaca, que el diecisiete de noviembre de dos mil trece, a las </w:t>
      </w:r>
      <w:r w:rsidRPr="00791593">
        <w:rPr>
          <w:rFonts w:ascii="Arial" w:eastAsia="Times New Roman" w:hAnsi="Arial" w:cs="Arial"/>
          <w:i/>
          <w:iCs/>
          <w:sz w:val="24"/>
          <w:szCs w:val="24"/>
          <w:lang w:val="es-ES" w:eastAsia="es-ES"/>
        </w:rPr>
        <w:t>“09:00 horas</w:t>
      </w:r>
      <w:r w:rsidRPr="00791593">
        <w:rPr>
          <w:rFonts w:ascii="Arial" w:eastAsia="Times New Roman" w:hAnsi="Arial" w:cs="Arial"/>
          <w:sz w:val="28"/>
          <w:szCs w:val="28"/>
          <w:lang w:val="es-ES" w:eastAsia="es-ES"/>
        </w:rPr>
        <w:t xml:space="preserve">”, se llevaría a cabo la Asamblea General Comunitaria para elegir a los integrantes del Ayuntamiento de ese Municipio. </w:t>
      </w:r>
    </w:p>
    <w:p w14:paraId="5AEB38B3"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val="es-ES" w:eastAsia="es-ES"/>
        </w:rPr>
        <w:t xml:space="preserve">Cabe precisar que la mencionada constancia es un documento público, conforme a lo previsto en el artículo 14, párrafo 1, inciso a) y párrafo 4, inciso c), con relación al artículo 16, párrafos 1 y 2, ambos de la Ley General del Sistema de Medios de Impugnación en Materia Electoral, la cual fue suscrita por la mencionada autoridad municipal, toda vez que </w:t>
      </w:r>
      <w:r w:rsidRPr="00791593">
        <w:rPr>
          <w:rFonts w:ascii="Arial" w:eastAsia="Times New Roman" w:hAnsi="Arial" w:cs="Arial"/>
          <w:sz w:val="28"/>
          <w:szCs w:val="28"/>
          <w:lang w:eastAsia="es-ES"/>
        </w:rPr>
        <w:t>tal documento está incluido en el legajo de copias certificadas, cuya certificación fue hecha por el Secretario General del Instituto Estatal Electoral y de Participación Ciudadana de Oaxaca, Francisco Javier Osorio Rojas, copias que son reproducción fiel y exacta del expediente, el cual tuvo a la vista y que obra en los archivos de la Dirección Ejecutiva de Sistemas Normativos Internos del mencionado Instituto, de la renovación de concejales al Ayuntamiento del Municipio de San Sebastián Tecomaxtlahuaca, que electoralmente se rige por sistemas normativos internos</w:t>
      </w:r>
      <w:r w:rsidRPr="00791593">
        <w:rPr>
          <w:rFonts w:ascii="Arial" w:eastAsia="Times New Roman" w:hAnsi="Arial" w:cs="Arial"/>
          <w:sz w:val="28"/>
          <w:szCs w:val="28"/>
          <w:lang w:val="es-ES" w:eastAsia="es-ES"/>
        </w:rPr>
        <w:t>.</w:t>
      </w:r>
    </w:p>
    <w:p w14:paraId="0CEB0731" w14:textId="77777777" w:rsidR="006F5238" w:rsidRPr="00791593" w:rsidRDefault="006F5238" w:rsidP="006F5238">
      <w:pPr>
        <w:spacing w:before="480" w:after="100" w:afterAutospacing="1" w:line="360" w:lineRule="auto"/>
        <w:ind w:firstLine="709"/>
        <w:jc w:val="both"/>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8.2 Valoración conjunta.</w:t>
      </w:r>
    </w:p>
    <w:p w14:paraId="2F7FA650"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De los documentos que han quedado descritos en el apartado que antecede se advierte lo siguiente.</w:t>
      </w:r>
    </w:p>
    <w:p w14:paraId="4F1C17CA"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Si bien existe coincidencia respecto de la cantidad de personas que se indica en el Acta de la Asamblea General electiva de diecisiete de noviembre de dos mil trece y en el instrumento notarial </w:t>
      </w:r>
      <w:r w:rsidRPr="00791593">
        <w:rPr>
          <w:rFonts w:ascii="Arial" w:eastAsia="Times New Roman" w:hAnsi="Arial" w:cs="Arial"/>
          <w:sz w:val="28"/>
          <w:szCs w:val="28"/>
          <w:lang w:eastAsia="es-MX"/>
        </w:rPr>
        <w:t>treinta y tres mil ochocientos cincuenta y tres (33,853)</w:t>
      </w:r>
      <w:r w:rsidRPr="00791593">
        <w:rPr>
          <w:rFonts w:ascii="Arial" w:eastAsia="Times New Roman" w:hAnsi="Arial" w:cs="Arial"/>
          <w:sz w:val="28"/>
          <w:szCs w:val="28"/>
          <w:lang w:eastAsia="es-ES"/>
        </w:rPr>
        <w:t>, en los que se asentó que estuvieron presentes, el día de la jornada electoral, tres mil doscientos veinte electores (3,220), también es verdad que existe evidente discrepancia con lo asentado en la lista de asistencia que el candidato ganador ofreció y aportó, como prueba superveniente, ante la Sala Regional responsable.</w:t>
      </w:r>
    </w:p>
    <w:p w14:paraId="03C97A3A"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En efecto, en términos de lo establecido en el artículo 16 de la Ley General del Sistema de Medios de Impugnación en Materia Electoral, los medios de prueba deben ser valorados por el órgano resolutor, atendiendo a las reglas de la Lógica, de la sana crítica y a las máximas de la experiencia, bajo estas premisas se debe señalar que, en este particular, las listas de asistencia de los ciudadanos que participaron en la elección de integrantes de Ayuntamiento </w:t>
      </w:r>
      <w:r w:rsidRPr="00791593">
        <w:rPr>
          <w:rFonts w:ascii="Arial" w:eastAsia="Times New Roman" w:hAnsi="Arial" w:cs="Arial"/>
          <w:sz w:val="28"/>
          <w:szCs w:val="28"/>
          <w:lang w:eastAsia="es-MX"/>
        </w:rPr>
        <w:t>de San Sebastián Tecomaxtlahuaca, Juxtlahuaca, Oaxaca</w:t>
      </w:r>
      <w:r w:rsidRPr="00791593">
        <w:rPr>
          <w:rFonts w:ascii="Arial" w:eastAsia="Times New Roman" w:hAnsi="Arial" w:cs="Arial"/>
          <w:sz w:val="28"/>
          <w:szCs w:val="28"/>
          <w:lang w:eastAsia="es-ES"/>
        </w:rPr>
        <w:t>, durante la celebración de la Asamblea General Comunitaria, el día diecisiete de noviembre de dos mil trece, fueron ofrecidas y aportadas por el entonces demandante, Javier Rubio Rosas, ante la Sala Regional Xalapa, como prueba superveniente, a fin de demostrar que se constituyó la Asamblea electiva y que se tomó lista de asistencia, la cual fue firmada por todas las personas que participaron en la jornada electoral.</w:t>
      </w:r>
    </w:p>
    <w:p w14:paraId="6362AE6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En consecuencia, los mencionados documentos públicos, surten efectos probatorios en contra de su oferente al generar convicción respecto de su contenido, ya que su aportación, para dilucidar la controversia planteada en el citado juicio </w:t>
      </w:r>
      <w:r w:rsidRPr="00791593">
        <w:rPr>
          <w:rFonts w:ascii="Arial" w:eastAsia="Times New Roman" w:hAnsi="Arial" w:cs="Arial"/>
          <w:sz w:val="28"/>
          <w:szCs w:val="28"/>
          <w:lang w:val="es-ES" w:eastAsia="es-ES"/>
        </w:rPr>
        <w:t>para la protección de los derechos político-electorales del ciudadano identificado con clave SX-JDC-111/2014</w:t>
      </w:r>
      <w:r w:rsidRPr="00791593">
        <w:rPr>
          <w:rFonts w:ascii="Arial" w:eastAsia="Times New Roman" w:hAnsi="Arial" w:cs="Arial"/>
          <w:sz w:val="28"/>
          <w:szCs w:val="28"/>
          <w:lang w:eastAsia="es-ES"/>
        </w:rPr>
        <w:t>, lleva implícito el reconocimiento de su oferente, en el sentido de que tales listas de asistencia son auténticas, que corresponden a las que se elaboraron y utilizaron el día en que se llevó a cabo la elección de integrantes del aludido Ayuntamiento, teniendo en consideración que las partes de un juicio aportan pruebas con la finalidad de que el juzgador, al momento de resolver, verifique la veracidad de las afirmaciones hechas en los escritos de demanda y de informe circunstanciado.</w:t>
      </w:r>
    </w:p>
    <w:p w14:paraId="5BC898A0"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Cabe destacar que los mencionados documentos fueron admitidas por el Magistrado Instructor del juicio para la protección de los derechos político-electorales del ciudadano identificado con la clave de expediente SX-JDC-111/2014, como se advierte de la letra del proveído de fecha veintiséis de marzo de dos mil catorce, que obra </w:t>
      </w:r>
      <w:r w:rsidRPr="00791593">
        <w:rPr>
          <w:rFonts w:ascii="Arial" w:eastAsia="Times New Roman" w:hAnsi="Arial" w:cs="Arial"/>
          <w:sz w:val="28"/>
          <w:szCs w:val="28"/>
          <w:lang w:val="es-ES" w:eastAsia="es-MX"/>
        </w:rPr>
        <w:t xml:space="preserve">a fojas cuatrocientas cincuenta y una a cuatrocientas cincuenta y dos </w:t>
      </w:r>
      <w:r w:rsidRPr="00791593">
        <w:rPr>
          <w:rFonts w:ascii="Arial" w:eastAsia="Times New Roman" w:hAnsi="Arial" w:cs="Arial"/>
          <w:sz w:val="28"/>
          <w:szCs w:val="28"/>
          <w:lang w:val="es-ES" w:eastAsia="es-ES"/>
        </w:rPr>
        <w:t xml:space="preserve">del expediente integrado con motivo del juicio para la protección de los derechos político-electorales del ciudadano identificado con clave SX-JDC-111/2014, clasificado en esta Sala Superior como </w:t>
      </w:r>
      <w:r w:rsidRPr="00791593">
        <w:rPr>
          <w:rFonts w:ascii="Arial" w:eastAsia="Times New Roman" w:hAnsi="Arial" w:cs="Arial"/>
          <w:i/>
          <w:iCs/>
          <w:sz w:val="28"/>
          <w:szCs w:val="28"/>
          <w:lang w:val="es-ES" w:eastAsia="es-ES"/>
        </w:rPr>
        <w:t>“</w:t>
      </w:r>
      <w:r w:rsidRPr="00791593">
        <w:rPr>
          <w:rFonts w:ascii="Arial" w:eastAsia="Times New Roman" w:hAnsi="Arial" w:cs="Arial"/>
          <w:i/>
          <w:iCs/>
          <w:sz w:val="24"/>
          <w:szCs w:val="24"/>
          <w:lang w:val="es-ES" w:eastAsia="es-ES"/>
        </w:rPr>
        <w:t>CUADERNO ACCESORIO 1</w:t>
      </w:r>
      <w:r w:rsidRPr="00791593">
        <w:rPr>
          <w:rFonts w:ascii="Arial" w:eastAsia="Times New Roman" w:hAnsi="Arial" w:cs="Arial"/>
          <w:sz w:val="24"/>
          <w:szCs w:val="24"/>
          <w:lang w:val="es-ES" w:eastAsia="es-ES"/>
        </w:rPr>
        <w:t>”</w:t>
      </w:r>
      <w:r w:rsidRPr="00791593">
        <w:rPr>
          <w:rFonts w:ascii="Arial" w:eastAsia="Times New Roman" w:hAnsi="Arial" w:cs="Arial"/>
          <w:sz w:val="28"/>
          <w:szCs w:val="28"/>
          <w:lang w:eastAsia="es-ES"/>
        </w:rPr>
        <w:t>.</w:t>
      </w:r>
      <w:r w:rsidRPr="00791593">
        <w:rPr>
          <w:rFonts w:ascii="Arial" w:eastAsia="Times New Roman" w:hAnsi="Arial" w:cs="Arial"/>
          <w:sz w:val="28"/>
          <w:szCs w:val="28"/>
          <w:lang w:val="es-ES" w:eastAsia="es-ES"/>
        </w:rPr>
        <w:t xml:space="preserve"> del expediente al rubro precisado.</w:t>
      </w:r>
    </w:p>
    <w:p w14:paraId="399426B7"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Por tanto, del análisis comparativo de la citada Acta de la Asamblea General Comunitaria, del aludido instrumento notarial y de las mencionadas listas de asistencia a la jornada electoral del día diecisiete de noviembre de dos mil trece, </w:t>
      </w:r>
      <w:r w:rsidRPr="00791593">
        <w:rPr>
          <w:rFonts w:ascii="Arial" w:eastAsia="Times New Roman" w:hAnsi="Arial" w:cs="Arial"/>
          <w:b/>
          <w:sz w:val="28"/>
          <w:szCs w:val="28"/>
          <w:lang w:eastAsia="es-ES"/>
        </w:rPr>
        <w:t>no es posible conocer ni determinar con certeza el número de ciudadanos que realmente asistieron y emitieron su voto en ese acto de elección</w:t>
      </w:r>
      <w:r w:rsidRPr="00791593">
        <w:rPr>
          <w:rFonts w:ascii="Arial" w:eastAsia="Times New Roman" w:hAnsi="Arial" w:cs="Arial"/>
          <w:sz w:val="28"/>
          <w:szCs w:val="28"/>
          <w:lang w:eastAsia="es-ES"/>
        </w:rPr>
        <w:t>, lo cual tiene como consecuencia que tampoco</w:t>
      </w:r>
      <w:r w:rsidRPr="00791593">
        <w:rPr>
          <w:rFonts w:ascii="Arial" w:eastAsia="Times New Roman" w:hAnsi="Arial" w:cs="Arial"/>
          <w:b/>
          <w:sz w:val="28"/>
          <w:szCs w:val="28"/>
          <w:lang w:eastAsia="es-ES"/>
        </w:rPr>
        <w:t xml:space="preserve"> exista certeza en la autenticidad de los tres mil doscientos veinte votos (3,220) que aparentemente fueron emitidos en esa Asamblea General Comunitaria</w:t>
      </w:r>
      <w:r w:rsidRPr="00791593">
        <w:rPr>
          <w:rFonts w:ascii="Arial" w:eastAsia="Times New Roman" w:hAnsi="Arial" w:cs="Arial"/>
          <w:sz w:val="28"/>
          <w:szCs w:val="28"/>
          <w:lang w:eastAsia="es-ES"/>
        </w:rPr>
        <w:t xml:space="preserve">, toda vez que el número asentado en el Acta de la Asamblea electiva de ciudadanos que emitieron su voto tres mil doscientos veinte (3,220) y el número de personas que se registraron en las listas de asistencia para participar y emitir su voto, mil setecientas setenta y nueve personas (1,779), sin duda alguna y de manera evidente, </w:t>
      </w:r>
      <w:r w:rsidRPr="00791593">
        <w:rPr>
          <w:rFonts w:ascii="Arial" w:eastAsia="Times New Roman" w:hAnsi="Arial" w:cs="Arial"/>
          <w:b/>
          <w:sz w:val="28"/>
          <w:szCs w:val="28"/>
          <w:lang w:eastAsia="es-ES"/>
        </w:rPr>
        <w:t>no es coincidente sino plenamente discrepante,</w:t>
      </w:r>
      <w:r w:rsidRPr="00791593">
        <w:rPr>
          <w:rFonts w:ascii="Arial" w:eastAsia="Times New Roman" w:hAnsi="Arial" w:cs="Arial"/>
          <w:sz w:val="28"/>
          <w:szCs w:val="28"/>
          <w:lang w:eastAsia="es-ES"/>
        </w:rPr>
        <w:t xml:space="preserve"> porque este comparativo implica que: </w:t>
      </w:r>
      <w:r w:rsidRPr="00791593">
        <w:rPr>
          <w:rFonts w:ascii="Arial" w:eastAsia="Times New Roman" w:hAnsi="Arial" w:cs="Arial"/>
          <w:b/>
          <w:sz w:val="28"/>
          <w:szCs w:val="28"/>
          <w:lang w:eastAsia="es-ES"/>
        </w:rPr>
        <w:t>1)</w:t>
      </w:r>
      <w:r w:rsidRPr="00791593">
        <w:rPr>
          <w:rFonts w:ascii="Arial" w:eastAsia="Times New Roman" w:hAnsi="Arial" w:cs="Arial"/>
          <w:sz w:val="28"/>
          <w:szCs w:val="28"/>
          <w:lang w:eastAsia="es-ES"/>
        </w:rPr>
        <w:t xml:space="preserve"> M</w:t>
      </w:r>
      <w:r w:rsidRPr="00791593">
        <w:rPr>
          <w:rFonts w:ascii="Arial" w:eastAsia="Times New Roman" w:hAnsi="Arial" w:cs="Arial"/>
          <w:sz w:val="28"/>
          <w:szCs w:val="28"/>
          <w:lang w:eastAsia="es-MX"/>
        </w:rPr>
        <w:t xml:space="preserve">il cuatrocientos cuarenta y un (1,441) ciudadanos no asistieron, lógicamente no votaron y por ende no firmaron las listas de asistencia; </w:t>
      </w:r>
      <w:r w:rsidRPr="00791593">
        <w:rPr>
          <w:rFonts w:ascii="Arial" w:eastAsia="Times New Roman" w:hAnsi="Arial" w:cs="Arial"/>
          <w:b/>
          <w:sz w:val="28"/>
          <w:szCs w:val="28"/>
          <w:lang w:eastAsia="es-MX"/>
        </w:rPr>
        <w:t>2)</w:t>
      </w:r>
      <w:r w:rsidRPr="00791593">
        <w:rPr>
          <w:rFonts w:ascii="Arial" w:eastAsia="Times New Roman" w:hAnsi="Arial" w:cs="Arial"/>
          <w:sz w:val="28"/>
          <w:szCs w:val="28"/>
          <w:lang w:eastAsia="es-MX"/>
        </w:rPr>
        <w:t xml:space="preserve"> </w:t>
      </w:r>
      <w:r w:rsidRPr="00791593">
        <w:rPr>
          <w:rFonts w:ascii="Arial" w:eastAsia="Times New Roman" w:hAnsi="Arial" w:cs="Arial"/>
          <w:sz w:val="28"/>
          <w:szCs w:val="28"/>
          <w:lang w:eastAsia="es-ES"/>
        </w:rPr>
        <w:t>M</w:t>
      </w:r>
      <w:r w:rsidRPr="00791593">
        <w:rPr>
          <w:rFonts w:ascii="Arial" w:eastAsia="Times New Roman" w:hAnsi="Arial" w:cs="Arial"/>
          <w:sz w:val="28"/>
          <w:szCs w:val="28"/>
          <w:lang w:eastAsia="es-MX"/>
        </w:rPr>
        <w:t xml:space="preserve">il cuatrocientos cuarenta y un (1,441) ciudadanos que sí estuvieron presentes no votaron, motivo por el cual tampoco firmaron las listas de asistencia; </w:t>
      </w:r>
      <w:r w:rsidRPr="00791593">
        <w:rPr>
          <w:rFonts w:ascii="Arial" w:eastAsia="Times New Roman" w:hAnsi="Arial" w:cs="Arial"/>
          <w:b/>
          <w:sz w:val="28"/>
          <w:szCs w:val="28"/>
          <w:lang w:eastAsia="es-MX"/>
        </w:rPr>
        <w:t>3)</w:t>
      </w:r>
      <w:r w:rsidRPr="00791593">
        <w:rPr>
          <w:rFonts w:ascii="Arial" w:eastAsia="Times New Roman" w:hAnsi="Arial" w:cs="Arial"/>
          <w:sz w:val="28"/>
          <w:szCs w:val="28"/>
          <w:lang w:eastAsia="es-MX"/>
        </w:rPr>
        <w:t xml:space="preserve"> </w:t>
      </w:r>
      <w:r w:rsidRPr="00791593">
        <w:rPr>
          <w:rFonts w:ascii="Arial" w:eastAsia="Times New Roman" w:hAnsi="Arial" w:cs="Arial"/>
          <w:sz w:val="28"/>
          <w:szCs w:val="28"/>
          <w:lang w:eastAsia="es-ES"/>
        </w:rPr>
        <w:t>M</w:t>
      </w:r>
      <w:r w:rsidRPr="00791593">
        <w:rPr>
          <w:rFonts w:ascii="Arial" w:eastAsia="Times New Roman" w:hAnsi="Arial" w:cs="Arial"/>
          <w:sz w:val="28"/>
          <w:szCs w:val="28"/>
          <w:lang w:eastAsia="es-MX"/>
        </w:rPr>
        <w:t xml:space="preserve">il cuatrocientos cuarenta y un (1,441) ciudadanos presentes sí votaron pero no firmaron las listas de asistencia, o </w:t>
      </w:r>
      <w:r w:rsidRPr="00791593">
        <w:rPr>
          <w:rFonts w:ascii="Arial" w:eastAsia="Times New Roman" w:hAnsi="Arial" w:cs="Arial"/>
          <w:b/>
          <w:sz w:val="28"/>
          <w:szCs w:val="28"/>
          <w:lang w:eastAsia="es-MX"/>
        </w:rPr>
        <w:t>4)</w:t>
      </w:r>
      <w:r w:rsidRPr="00791593">
        <w:rPr>
          <w:rFonts w:ascii="Arial" w:eastAsia="Times New Roman" w:hAnsi="Arial" w:cs="Arial"/>
          <w:sz w:val="28"/>
          <w:szCs w:val="28"/>
          <w:lang w:eastAsia="es-MX"/>
        </w:rPr>
        <w:t xml:space="preserve"> </w:t>
      </w:r>
      <w:r w:rsidRPr="00791593">
        <w:rPr>
          <w:rFonts w:ascii="Arial" w:eastAsia="Times New Roman" w:hAnsi="Arial" w:cs="Arial"/>
          <w:sz w:val="28"/>
          <w:szCs w:val="28"/>
          <w:lang w:eastAsia="es-ES"/>
        </w:rPr>
        <w:t>M</w:t>
      </w:r>
      <w:r w:rsidRPr="00791593">
        <w:rPr>
          <w:rFonts w:ascii="Arial" w:eastAsia="Times New Roman" w:hAnsi="Arial" w:cs="Arial"/>
          <w:sz w:val="28"/>
          <w:szCs w:val="28"/>
          <w:lang w:eastAsia="es-MX"/>
        </w:rPr>
        <w:t>il cuatrocientos cuarenta y un (1,441) votos fueron “emitidos” de manera irregular, antijurídica, por personas que no tenían derecho a votar, bien por no ser del Municipio o bien porque ya habían ejercido su derecho constitucional o volvieron a votar</w:t>
      </w:r>
      <w:r w:rsidRPr="00791593">
        <w:rPr>
          <w:rFonts w:ascii="Arial" w:eastAsia="Times New Roman" w:hAnsi="Arial" w:cs="Arial"/>
          <w:sz w:val="28"/>
          <w:szCs w:val="28"/>
          <w:lang w:eastAsia="es-ES"/>
        </w:rPr>
        <w:t>.</w:t>
      </w:r>
    </w:p>
    <w:p w14:paraId="039E063D"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Los supuestos se pueden multiplicar, lo único evidente y cierto es que se infringió el principio constitucional de certeza de la elección, motivo por el cual no se puede sino concluir que también quedaron infringidos los principios constitucionales de autenticidad y libertad del voto de los ciudadanos y de la elección misma </w:t>
      </w:r>
      <w:r w:rsidRPr="00791593">
        <w:rPr>
          <w:rFonts w:ascii="Arial" w:eastAsia="Times New Roman" w:hAnsi="Arial" w:cs="Arial"/>
          <w:bCs/>
          <w:sz w:val="28"/>
          <w:szCs w:val="28"/>
          <w:lang w:val="es-ES" w:eastAsia="es-ES"/>
        </w:rPr>
        <w:t xml:space="preserve">de integrantes del Ayuntamiento </w:t>
      </w:r>
      <w:r w:rsidRPr="00791593">
        <w:rPr>
          <w:rFonts w:ascii="Arial" w:eastAsia="Times New Roman" w:hAnsi="Arial" w:cs="Arial"/>
          <w:sz w:val="28"/>
          <w:szCs w:val="28"/>
          <w:lang w:eastAsia="es-MX"/>
        </w:rPr>
        <w:t>de San Sebastián Tecomaxtlahuaca, Juxtlahuaca, Oaxaca</w:t>
      </w:r>
      <w:r w:rsidRPr="00791593">
        <w:rPr>
          <w:rFonts w:ascii="Arial" w:eastAsia="Times New Roman" w:hAnsi="Arial" w:cs="Arial"/>
          <w:sz w:val="28"/>
          <w:szCs w:val="28"/>
          <w:lang w:eastAsia="es-ES"/>
        </w:rPr>
        <w:t>, razón por la cual no se puede reconocer su validez, siendo conforme a Derecho declarar su nulidad.</w:t>
      </w:r>
    </w:p>
    <w:p w14:paraId="6061F7C6" w14:textId="77777777" w:rsidR="006F5238" w:rsidRPr="00791593" w:rsidRDefault="006F5238" w:rsidP="006F5238">
      <w:pPr>
        <w:spacing w:before="480" w:after="100" w:afterAutospacing="1" w:line="360"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Las aludidas listas de asistencia, son documentos públicos que de manera ordinaria o regular generan certidumbre sobre el número e identidad de las personas que asistieron a la Asamblea electiva, dado que es el medio de control que tiene la comunidad indígena para demostrar quiénes estuvieron presentes durante la celebración de una Asamblea General.</w:t>
      </w:r>
    </w:p>
    <w:p w14:paraId="296B47D0"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Además, en este particular se debe destacar que el Notario Público que dio fe de los hechos no precisó, en el aludido instrumento notarial, cómo supo o constató que efectivamente, al inicio, al final y durante la celebración de la Asamblea General electiva de diecisiete de noviembre de dos mil trece, estuvieron presentes tres mil doscientos ciudadanos (3,220); tampoco indica, en el instrumento notarial o en sus anexos, cómo se llevó a cabo el “</w:t>
      </w:r>
      <w:r w:rsidRPr="00791593">
        <w:rPr>
          <w:rFonts w:ascii="Arial" w:eastAsia="Times New Roman" w:hAnsi="Arial" w:cs="Arial"/>
          <w:i/>
          <w:sz w:val="24"/>
          <w:szCs w:val="24"/>
          <w:lang w:eastAsia="es-ES"/>
        </w:rPr>
        <w:t>PASE DE LISTA DE ASISTENCIA</w:t>
      </w:r>
      <w:r w:rsidRPr="00791593">
        <w:rPr>
          <w:rFonts w:ascii="Arial" w:eastAsia="Times New Roman" w:hAnsi="Arial" w:cs="Arial"/>
          <w:sz w:val="28"/>
          <w:szCs w:val="28"/>
          <w:lang w:eastAsia="es-ES"/>
        </w:rPr>
        <w:t>”.</w:t>
      </w:r>
    </w:p>
    <w:p w14:paraId="13AECB16"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 anterior es necesario para demostrar que el número de personas que asistieron y participaron en la jornada electoral, realmente corresponde al total de votos emitidos el domingo diecisiete de noviembre de dos mil trece, lo que hace evidente que el citado testimonio notarial no es prueba idónea para generar certeza, respecto del número de personas que estuvieron presentes en la mencionada Asamblea General electiva.</w:t>
      </w:r>
    </w:p>
    <w:p w14:paraId="33B1BA46"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sz w:val="28"/>
          <w:szCs w:val="28"/>
          <w:lang w:eastAsia="es-ES"/>
        </w:rPr>
        <w:t xml:space="preserve">Otro tema a destacar es que en el </w:t>
      </w:r>
      <w:r w:rsidRPr="00791593">
        <w:rPr>
          <w:rFonts w:ascii="Arial" w:eastAsia="Times New Roman" w:hAnsi="Arial" w:cs="Arial"/>
          <w:sz w:val="28"/>
          <w:szCs w:val="28"/>
          <w:lang w:val="es-ES" w:eastAsia="es-MX"/>
        </w:rPr>
        <w:t xml:space="preserve">oficio de quince de noviembre de dos mil trece, suscrito por el Presidente del </w:t>
      </w:r>
      <w:r w:rsidRPr="00791593">
        <w:rPr>
          <w:rFonts w:ascii="Arial" w:eastAsia="Times New Roman" w:hAnsi="Arial" w:cs="Arial"/>
          <w:sz w:val="28"/>
          <w:szCs w:val="28"/>
          <w:lang w:val="es-ES" w:eastAsia="es-ES"/>
        </w:rPr>
        <w:t xml:space="preserve">Ayuntamiento de San Sebastián Tecomaxtlahuaca, Juxtlahuaca, Oaxaca, se hace del conocimiento de la Directora Ejecutiva de Sistemas Normativos Internos del Instituto Estatal Electoral y de Participación Ciudadana del Estado de Oaxaca, que el diecisiete de noviembre de dos mil trece, a las </w:t>
      </w:r>
      <w:r w:rsidRPr="00791593">
        <w:rPr>
          <w:rFonts w:ascii="Arial" w:eastAsia="Times New Roman" w:hAnsi="Arial" w:cs="Arial"/>
          <w:i/>
          <w:iCs/>
          <w:sz w:val="24"/>
          <w:szCs w:val="24"/>
          <w:lang w:val="es-ES" w:eastAsia="es-ES"/>
        </w:rPr>
        <w:t>“09:00 horas</w:t>
      </w:r>
      <w:r w:rsidRPr="00791593">
        <w:rPr>
          <w:rFonts w:ascii="Arial" w:eastAsia="Times New Roman" w:hAnsi="Arial" w:cs="Arial"/>
          <w:sz w:val="28"/>
          <w:szCs w:val="28"/>
          <w:lang w:val="es-ES" w:eastAsia="es-ES"/>
        </w:rPr>
        <w:t>”, se llevaría a cabo la Asamblea General Comunitaria, para elegir a los nuevos integrantes del citado Ayuntamiento.</w:t>
      </w:r>
    </w:p>
    <w:p w14:paraId="4443DA82"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No obstante, en el instrumento notarial quedó asentado que la hora fijada para celebrar la Asamblea General fue las once horas del citado día diecisiete, según manifestaron los peticionarios de los servicios del Notario Público actuante.</w:t>
      </w:r>
    </w:p>
    <w:p w14:paraId="7A228736"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 xml:space="preserve">Lo anterior evidencia que los documentos públicas analizadas tampoco son coincidentes en cuanto a la hora en que se había citado para el inicio de la celebración de la mencionada Asamblea General electiva. </w:t>
      </w:r>
    </w:p>
    <w:p w14:paraId="19AA2897" w14:textId="77777777" w:rsidR="006F5238" w:rsidRPr="00791593" w:rsidRDefault="006F5238" w:rsidP="006F5238">
      <w:pPr>
        <w:spacing w:before="100" w:beforeAutospacing="1" w:after="100" w:afterAutospacing="1" w:line="360" w:lineRule="auto"/>
        <w:ind w:firstLine="709"/>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 xml:space="preserve">Al caso cabe destacar que, conforme a lo previsto en el artículo 14, párrafo 1, inciso a) y párrafo 4, inciso c), relacionado con el numeral 16, párrafos 1 y 2, ambos de la Ley General del Sistema de Medios de Impugnación en Materia Electoral, en circunstancias ordinarias tales documentos públicos hacen prueba plena; sin embargo, en este particular sólo contribuyen a generar convicción sobre la infracción al principio de certeza que debe regir a todo procedimiento electoral, incluido el que se lleva a cabo por el sistema normativo interno de las comunidades indígenas </w:t>
      </w:r>
    </w:p>
    <w:p w14:paraId="2FE3FA01"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Por otra parte, cabe destacar que el hecho que de las veintiocho personas que debían asentar su firma autógrafa en el acta de la citada Asamblea electiva, a fin de manifestar su conformidad con lo precisado en ésta, se hayan negado a firmarla veinte y que exclusivamente la hayan firmado el Secretario de la Mesa de Debates y siete escrutadores, no proporciona certeza de que los datos indicados en la mencionada acta correspondan a lo que realmente aconteció en la elección de integrantes del </w:t>
      </w:r>
      <w:r w:rsidRPr="00791593">
        <w:rPr>
          <w:rFonts w:ascii="Arial" w:eastAsia="Times New Roman" w:hAnsi="Arial" w:cs="Arial"/>
          <w:bCs/>
          <w:sz w:val="28"/>
          <w:szCs w:val="28"/>
          <w:lang w:eastAsia="es-ES"/>
        </w:rPr>
        <w:t xml:space="preserve">Ayuntamiento </w:t>
      </w:r>
      <w:r w:rsidRPr="00791593">
        <w:rPr>
          <w:rFonts w:ascii="Arial" w:eastAsia="Times New Roman" w:hAnsi="Arial" w:cs="Arial"/>
          <w:sz w:val="28"/>
          <w:szCs w:val="28"/>
          <w:lang w:eastAsia="es-MX"/>
        </w:rPr>
        <w:t>de San Sebastián Tecomaxtlahuaca, Juxtlahuaca, Oaxaca</w:t>
      </w:r>
      <w:r w:rsidRPr="00791593">
        <w:rPr>
          <w:rFonts w:ascii="Arial" w:eastAsia="Times New Roman" w:hAnsi="Arial" w:cs="Arial"/>
          <w:sz w:val="28"/>
          <w:szCs w:val="28"/>
          <w:lang w:eastAsia="es-ES"/>
        </w:rPr>
        <w:t>.</w:t>
      </w:r>
    </w:p>
    <w:p w14:paraId="57FAC756"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Por otra parte, de la lectura de la copia certificada del Acta de la Asamblea General Comunitaria para la elección de integrantes del citado Ayuntamiento, de diecisiete de noviembre de dos mil trece, se advierte que respecto del tercer punto del orden del día, relativo a la instalación de la Asamblea electiva, se asentó que la Mesa de Debates quedó integrada con un Presidente, un Secretario y  diecinueve escrutadores.</w:t>
      </w:r>
    </w:p>
    <w:p w14:paraId="4ABE1950"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cambio, en el citado instrumento notarial el Notario Público certificó que la Mesa de Debates quedó integrada con un Presidente, un Secretario y solamente tres escrutadores, discrepancia que evidentemente genera incertidumbre sobre el número de integrantes del órgano electoral encargado de conducir la Asamblea General electoral.</w:t>
      </w:r>
    </w:p>
    <w:p w14:paraId="79DE018D"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Aunado a que en autos, a fojas quinientas noventa y tres a seiscientas once, obra copia certificada de un escrito, recibido el veintiséis de noviembre de dos mil trece, suscrito por diversas autoridades municipales en el cual manifiestan como hecho segundo de su ocurso que “</w:t>
      </w:r>
      <w:r w:rsidRPr="00791593">
        <w:rPr>
          <w:rFonts w:ascii="Arial" w:eastAsia="Times New Roman" w:hAnsi="Arial" w:cs="Arial"/>
          <w:i/>
          <w:sz w:val="24"/>
          <w:szCs w:val="28"/>
          <w:lang w:eastAsia="es-ES"/>
        </w:rPr>
        <w:t>Se instaló la mesa de debates presidida por 1 un Presidente Un Secretario y veinte escrutadores […]</w:t>
      </w:r>
      <w:r w:rsidRPr="00791593">
        <w:rPr>
          <w:rFonts w:ascii="Arial" w:eastAsia="Times New Roman" w:hAnsi="Arial" w:cs="Arial"/>
          <w:sz w:val="28"/>
          <w:szCs w:val="28"/>
          <w:lang w:eastAsia="es-ES"/>
        </w:rPr>
        <w:t>”.</w:t>
      </w:r>
    </w:p>
    <w:p w14:paraId="54EE8937" w14:textId="77777777" w:rsidR="006F5238" w:rsidRPr="00791593" w:rsidRDefault="006F5238" w:rsidP="006F5238">
      <w:pPr>
        <w:widowControl w:val="0"/>
        <w:spacing w:before="100" w:beforeAutospacing="1" w:after="100" w:afterAutospacing="1" w:line="360" w:lineRule="auto"/>
        <w:ind w:firstLine="708"/>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De lo anterior, es evidente que no existe certeza respecto del número de ciudadanos que realmente integraron la Mesa de Debates, porque en el acta de Asamblea General Comunitaria de diecisiete de noviembre de dos mil trece se menciona que fueron veintiún ciudadanos; en el instrumento notarial se expone que fueron cinco ciudadanos electos y en el mejor de los supuestos ocho; finalmente en el escrito de las autoridades que ha quedado descrito se asevera que fueron veintidós personas; por ende, es evidente que no existe certeza de la integración de la Mesa de Debates.</w:t>
      </w:r>
    </w:p>
    <w:p w14:paraId="5E12DAB8"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otro orden de ideas, cabe destacar que los recurrentes aducen, como concepto de agravio, que contrario a lo considerado por la Sala Regional responsable, el Notario Público diecinueve (19) del Estado de Oaxaca, Rodolfo Morales Moreno, no dio aviso previo a la Dirección General de Notarías de esa entidad federativa, en el sentido de que se constituiría en el Municipio de San Sebastián Tecomaxtlahuaca, Juxtlahuaca, el diecisiete de noviembre de dos mil trece, para llevar a cabo una certificación de hechos relacionados con la mencionada Asamblea General electiva, motivo por el cual infringió lo previsto en el artículo 28 de la Ley del Notariado para el Estado de Oaxaca. En la sentencia controvertida, la Sala Regional responsable consideró que el</w:t>
      </w:r>
      <w:r w:rsidRPr="00791593">
        <w:rPr>
          <w:rFonts w:ascii="Arial" w:eastAsia="Times New Roman" w:hAnsi="Arial" w:cs="Arial"/>
          <w:bCs/>
          <w:sz w:val="28"/>
          <w:szCs w:val="28"/>
          <w:lang w:val="es-ES" w:eastAsia="es-ES"/>
        </w:rPr>
        <w:t xml:space="preserve"> Notario Público </w:t>
      </w:r>
      <w:r w:rsidRPr="00791593">
        <w:rPr>
          <w:rFonts w:ascii="Arial" w:eastAsia="Times New Roman" w:hAnsi="Arial" w:cs="Arial"/>
          <w:sz w:val="28"/>
          <w:szCs w:val="28"/>
          <w:lang w:eastAsia="es-ES"/>
        </w:rPr>
        <w:t xml:space="preserve">diecinueve (19) del Estado de Oaxaca sí dio cumplimiento a lo establecido en el citado artículo 28 de la Ley del Notariado, para lo cual analizó y valoró </w:t>
      </w:r>
      <w:r w:rsidRPr="00791593">
        <w:rPr>
          <w:rFonts w:ascii="Arial" w:eastAsia="Times New Roman" w:hAnsi="Arial" w:cs="Arial"/>
          <w:sz w:val="28"/>
          <w:szCs w:val="28"/>
          <w:lang w:eastAsia="es-MX"/>
        </w:rPr>
        <w:t>el correspondiente oficio de fecha dieciocho de noviembre de dos mil trece, suscrito por el aludido fedatario público</w:t>
      </w:r>
      <w:r w:rsidRPr="00791593">
        <w:rPr>
          <w:rFonts w:ascii="Arial" w:eastAsia="Times New Roman" w:hAnsi="Arial" w:cs="Arial"/>
          <w:sz w:val="28"/>
          <w:szCs w:val="28"/>
          <w:lang w:eastAsia="es-ES"/>
        </w:rPr>
        <w:t xml:space="preserve">. </w:t>
      </w:r>
    </w:p>
    <w:p w14:paraId="145DB996" w14:textId="77777777" w:rsidR="006F5238" w:rsidRPr="00791593" w:rsidRDefault="006F5238" w:rsidP="006F5238">
      <w:pPr>
        <w:widowControl w:val="0"/>
        <w:spacing w:before="100" w:beforeAutospacing="1" w:after="100" w:afterAutospacing="1" w:line="360" w:lineRule="auto"/>
        <w:ind w:firstLine="709"/>
        <w:jc w:val="both"/>
        <w:rPr>
          <w:rFonts w:ascii="Arial" w:eastAsia="Times New Roman" w:hAnsi="Arial" w:cs="Arial"/>
          <w:i/>
          <w:sz w:val="24"/>
          <w:szCs w:val="24"/>
          <w:lang w:eastAsia="es-ES"/>
        </w:rPr>
      </w:pPr>
      <w:r w:rsidRPr="00791593">
        <w:rPr>
          <w:rFonts w:ascii="Arial" w:eastAsia="Times New Roman" w:hAnsi="Arial" w:cs="Arial"/>
          <w:sz w:val="28"/>
          <w:szCs w:val="28"/>
          <w:lang w:eastAsia="es-ES"/>
        </w:rPr>
        <w:t>Al respecto cabe señalar que el artículo 28 de la Ley del Notariado para el Estado de Oaxaca establece que los Notarios Públicos, para actuar fuera de su Distrito, “</w:t>
      </w:r>
      <w:r w:rsidRPr="00791593">
        <w:rPr>
          <w:rFonts w:ascii="Arial" w:eastAsia="Times New Roman" w:hAnsi="Arial" w:cs="Arial"/>
          <w:b/>
          <w:i/>
          <w:sz w:val="24"/>
          <w:szCs w:val="24"/>
          <w:lang w:eastAsia="es-ES"/>
        </w:rPr>
        <w:t>darán aviso previo</w:t>
      </w:r>
      <w:r w:rsidRPr="00791593">
        <w:rPr>
          <w:rFonts w:ascii="Arial" w:eastAsia="Times New Roman" w:hAnsi="Arial" w:cs="Arial"/>
          <w:i/>
          <w:sz w:val="24"/>
          <w:szCs w:val="24"/>
          <w:lang w:eastAsia="es-ES"/>
        </w:rPr>
        <w:t xml:space="preserve"> al Director General de Notarías indicado el nombre del solicitante y el Distrito Judicial en el que actuarán.</w:t>
      </w:r>
      <w:r w:rsidRPr="00791593">
        <w:rPr>
          <w:rFonts w:ascii="Arial" w:eastAsia="Times New Roman" w:hAnsi="Arial" w:cs="Arial"/>
          <w:sz w:val="28"/>
          <w:szCs w:val="28"/>
          <w:lang w:eastAsia="es-ES"/>
        </w:rPr>
        <w:t xml:space="preserve">”… </w:t>
      </w:r>
      <w:r w:rsidRPr="00791593">
        <w:rPr>
          <w:rFonts w:ascii="Arial" w:eastAsia="Times New Roman" w:hAnsi="Arial" w:cs="Arial"/>
          <w:i/>
          <w:sz w:val="24"/>
          <w:szCs w:val="24"/>
          <w:lang w:eastAsia="es-ES"/>
        </w:rPr>
        <w:t>“Si el Notario que hubiere actuado fuera del lugar de su residencia no diere los avisos que se mencionan en el párrafo inmediato anterior, será sancionado en los términos del artículo 134 de esta ley”.</w:t>
      </w:r>
    </w:p>
    <w:p w14:paraId="6AA562D1" w14:textId="77777777" w:rsidR="006F5238" w:rsidRPr="00791593" w:rsidRDefault="006F5238" w:rsidP="006F5238">
      <w:pPr>
        <w:spacing w:before="480"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bCs/>
          <w:sz w:val="28"/>
          <w:szCs w:val="28"/>
          <w:lang w:val="es-ES" w:eastAsia="es-ES"/>
        </w:rPr>
        <w:t xml:space="preserve">Se debe precisar que el cumplimiento o incumplimiento de lo dispuesto en la citada </w:t>
      </w:r>
      <w:r w:rsidRPr="00791593">
        <w:rPr>
          <w:rFonts w:ascii="Arial" w:eastAsia="Times New Roman" w:hAnsi="Arial" w:cs="Arial"/>
          <w:sz w:val="28"/>
          <w:szCs w:val="28"/>
          <w:lang w:eastAsia="es-ES"/>
        </w:rPr>
        <w:t xml:space="preserve">Ley del Notariado para el Estado de Oaxaca, en este particular, no es determinante, de manera aislada y en su estricta naturaleza de posible infracción administrativa, para reconocer la validez o declarar la nulidad de la elección de concejales para integrar el Ayuntamiento de </w:t>
      </w:r>
      <w:r w:rsidRPr="00791593">
        <w:rPr>
          <w:rFonts w:ascii="Arial" w:eastAsia="Times New Roman" w:hAnsi="Arial" w:cs="Arial"/>
          <w:sz w:val="28"/>
          <w:szCs w:val="28"/>
          <w:lang w:eastAsia="es-MX"/>
        </w:rPr>
        <w:t>San Sebastián Tecomaxtlahuaca, Juxtlahuaca, Oaxaca</w:t>
      </w:r>
      <w:r w:rsidRPr="00791593">
        <w:rPr>
          <w:rFonts w:ascii="Arial" w:eastAsia="Times New Roman" w:hAnsi="Arial" w:cs="Arial"/>
          <w:sz w:val="28"/>
          <w:szCs w:val="28"/>
          <w:lang w:eastAsia="es-ES"/>
        </w:rPr>
        <w:t>, en la Asamblea General Comunitaria celebrada el diecisiete de noviembre de dos mil trece; sin embargo, sí se considera conforme a Derecho dar vista, con copia certificada de esta ejecutoria, a la aludida Dirección General de Notarías del Estado de Oaxaca, para que, en plenitud de facultades, resuelva lo que considere procedente sobre la actuación de Rodolfo Morales Moreno, Notario Público número diecinueve (19) de esa entidad federativa.</w:t>
      </w:r>
    </w:p>
    <w:p w14:paraId="65CCD606" w14:textId="77777777" w:rsidR="006F5238" w:rsidRPr="00791593" w:rsidRDefault="006F5238" w:rsidP="006F5238">
      <w:pPr>
        <w:spacing w:before="480"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Sin embargo, cabe destacar que para efecto de comprobar los hechos asentados, con independencia del valor probatorio que le corresponda al acta mencionada, lo cierto es que no existe inmediatez entre la fecha en que ocurrieron los hechos de que dio fe el Notario Público y el día de elaboración del instrumento notarial.</w:t>
      </w:r>
    </w:p>
    <w:p w14:paraId="7E3B85CF" w14:textId="77777777" w:rsidR="006F5238" w:rsidRPr="00791593" w:rsidRDefault="006F5238" w:rsidP="006F5238">
      <w:pPr>
        <w:spacing w:before="480" w:after="100" w:afterAutospacing="1" w:line="360"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Se concluye lo anterior, en contraposición a lo sostenido por la Sala Regional Xalapa, porque de lo asentado por el Notario Público se tiene por acreditado que la fecha de elaboración del Instrumento Notarial fue el veinte de noviembre de dos mil trece y los hechos de los que se dio fe ocurrieron el diecisiete del citado mes y año. Como se desprende del texto del mismo instrumento notarial, cuyo párrafo primero es al tenor siguiente, en su parte conducente:</w:t>
      </w:r>
    </w:p>
    <w:p w14:paraId="4C894A0A" w14:textId="77777777" w:rsidR="006F5238" w:rsidRPr="00791593" w:rsidRDefault="006F5238" w:rsidP="006F5238">
      <w:pPr>
        <w:spacing w:before="480" w:after="100" w:afterAutospacing="1" w:line="240" w:lineRule="auto"/>
        <w:ind w:left="567" w:right="567" w:firstLine="709"/>
        <w:jc w:val="both"/>
        <w:rPr>
          <w:rFonts w:ascii="Arial" w:eastAsia="Times New Roman" w:hAnsi="Arial" w:cs="Arial"/>
          <w:i/>
          <w:sz w:val="24"/>
          <w:szCs w:val="28"/>
          <w:lang w:eastAsia="es-ES"/>
        </w:rPr>
      </w:pPr>
      <w:r w:rsidRPr="00791593">
        <w:rPr>
          <w:rFonts w:ascii="Arial" w:eastAsia="Times New Roman" w:hAnsi="Arial" w:cs="Arial"/>
          <w:i/>
          <w:sz w:val="24"/>
          <w:szCs w:val="28"/>
          <w:lang w:eastAsia="es-ES"/>
        </w:rPr>
        <w:t>“En la ciudad de Oaxaca de Juárez, capital del Estado de Oaxaca, México, siendo las (</w:t>
      </w:r>
      <w:r w:rsidRPr="00791593">
        <w:rPr>
          <w:rFonts w:ascii="Arial" w:eastAsia="Times New Roman" w:hAnsi="Arial" w:cs="Arial"/>
          <w:b/>
          <w:i/>
          <w:sz w:val="24"/>
          <w:szCs w:val="28"/>
          <w:lang w:eastAsia="es-ES"/>
        </w:rPr>
        <w:t>10:00</w:t>
      </w:r>
      <w:r w:rsidRPr="00791593">
        <w:rPr>
          <w:rFonts w:ascii="Arial" w:eastAsia="Times New Roman" w:hAnsi="Arial" w:cs="Arial"/>
          <w:i/>
          <w:sz w:val="24"/>
          <w:szCs w:val="28"/>
          <w:lang w:eastAsia="es-ES"/>
        </w:rPr>
        <w:t>) diez horas del días (</w:t>
      </w:r>
      <w:r w:rsidRPr="00791593">
        <w:rPr>
          <w:rFonts w:ascii="Arial" w:eastAsia="Times New Roman" w:hAnsi="Arial" w:cs="Arial"/>
          <w:b/>
          <w:i/>
          <w:sz w:val="24"/>
          <w:szCs w:val="28"/>
          <w:lang w:eastAsia="es-ES"/>
        </w:rPr>
        <w:t>20/11/2013</w:t>
      </w:r>
      <w:r w:rsidRPr="00791593">
        <w:rPr>
          <w:rFonts w:ascii="Arial" w:eastAsia="Times New Roman" w:hAnsi="Arial" w:cs="Arial"/>
          <w:i/>
          <w:sz w:val="24"/>
          <w:szCs w:val="28"/>
          <w:lang w:eastAsia="es-ES"/>
        </w:rPr>
        <w:t xml:space="preserve">) veinte de Noviembre del año dos mil trece; </w:t>
      </w:r>
      <w:r w:rsidRPr="00791593">
        <w:rPr>
          <w:rFonts w:ascii="Arial" w:eastAsia="Times New Roman" w:hAnsi="Arial" w:cs="Arial"/>
          <w:b/>
          <w:i/>
          <w:sz w:val="24"/>
          <w:szCs w:val="28"/>
          <w:lang w:eastAsia="es-ES"/>
        </w:rPr>
        <w:t>YO</w:t>
      </w:r>
      <w:r w:rsidRPr="00791593">
        <w:rPr>
          <w:rFonts w:ascii="Arial" w:eastAsia="Times New Roman" w:hAnsi="Arial" w:cs="Arial"/>
          <w:i/>
          <w:sz w:val="24"/>
          <w:szCs w:val="28"/>
          <w:lang w:eastAsia="es-ES"/>
        </w:rPr>
        <w:t xml:space="preserve">, licenciado </w:t>
      </w:r>
      <w:r w:rsidRPr="00791593">
        <w:rPr>
          <w:rFonts w:ascii="Arial" w:eastAsia="Times New Roman" w:hAnsi="Arial" w:cs="Arial"/>
          <w:b/>
          <w:i/>
          <w:sz w:val="24"/>
          <w:szCs w:val="28"/>
          <w:lang w:eastAsia="es-ES"/>
        </w:rPr>
        <w:t>RODOLFO MORALES MORENO, Notario público Número 19 (diecinueve)</w:t>
      </w:r>
      <w:r w:rsidRPr="00791593">
        <w:rPr>
          <w:rFonts w:ascii="Arial" w:eastAsia="Times New Roman" w:hAnsi="Arial" w:cs="Arial"/>
          <w:i/>
          <w:sz w:val="24"/>
          <w:szCs w:val="28"/>
          <w:lang w:eastAsia="es-ES"/>
        </w:rPr>
        <w:t xml:space="preserve"> para el Estado de Oaxaca, México y del Patrimonio Inmueble Federal: HAGO CONSTAR:”</w:t>
      </w:r>
    </w:p>
    <w:p w14:paraId="49EA3494" w14:textId="77777777" w:rsidR="006F5238" w:rsidRPr="00791593" w:rsidRDefault="006F5238" w:rsidP="006F5238">
      <w:pPr>
        <w:spacing w:before="480"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Aunado a lo anterior, en el oficio de veinte de noviembre de dos mil trece, suscrito por el mencionado fedatario público, y dirigido al Director del Archivo General de Notarias del Estado de Oaxaca, se advierte el reconocimiento que la certificación de hechos: “</w:t>
      </w:r>
      <w:r w:rsidRPr="00791593">
        <w:rPr>
          <w:rFonts w:ascii="Arial" w:eastAsia="Times New Roman" w:hAnsi="Arial" w:cs="Arial"/>
          <w:i/>
          <w:sz w:val="24"/>
          <w:szCs w:val="28"/>
          <w:lang w:eastAsia="es-ES"/>
        </w:rPr>
        <w:t>quedó plasmada en el Volumen 679 (SEISCIENTOS SETENTA Y NUEVE), bajo el Instrumento 33,853 (TREINTA Y TRES MIL OCHOCIENTOS CINCUENTA Y TRES), ASENTADA CON FECHA (20/11/2013) veinte de Noviembre del año dos mil trece</w:t>
      </w:r>
      <w:r w:rsidRPr="00791593">
        <w:rPr>
          <w:rFonts w:ascii="Arial" w:eastAsia="Times New Roman" w:hAnsi="Arial" w:cs="Arial"/>
          <w:sz w:val="28"/>
          <w:szCs w:val="28"/>
          <w:lang w:eastAsia="es-ES"/>
        </w:rPr>
        <w:t>”.</w:t>
      </w:r>
    </w:p>
    <w:p w14:paraId="38EFEE87" w14:textId="77777777" w:rsidR="006F5238" w:rsidRPr="00791593" w:rsidRDefault="006F5238" w:rsidP="006F5238">
      <w:pPr>
        <w:spacing w:before="480" w:after="100" w:afterAutospacing="1" w:line="408" w:lineRule="auto"/>
        <w:ind w:firstLine="709"/>
        <w:jc w:val="both"/>
        <w:rPr>
          <w:rFonts w:ascii="Arial" w:eastAsia="Times New Roman" w:hAnsi="Arial" w:cs="Arial"/>
          <w:bCs/>
          <w:sz w:val="28"/>
          <w:szCs w:val="28"/>
          <w:lang w:val="es-ES" w:eastAsia="es-ES"/>
        </w:rPr>
      </w:pPr>
      <w:r w:rsidRPr="00791593">
        <w:rPr>
          <w:rFonts w:ascii="Arial" w:eastAsia="Times New Roman" w:hAnsi="Arial" w:cs="Arial"/>
          <w:sz w:val="28"/>
          <w:szCs w:val="28"/>
          <w:lang w:eastAsia="es-ES"/>
        </w:rPr>
        <w:t>Por lo anterior, es evidente que no se puede sostener conforme a Derecho que haya existido inmediatez entre la fecha que acontecieron los hechos que dio fe el notario y la de elaboración del correspondiente instrumento notarial, razón por la cual no genera convicción en esta Sala Superior, adminiculado este documento con los elementos de prueba antes mencionados. Cabe precisar que no obsta a lo anterior las fotografías anexas al apéndice, dado que no son suficientes para llegar a otra conclusión.</w:t>
      </w:r>
    </w:p>
    <w:p w14:paraId="679E85EF" w14:textId="77777777" w:rsidR="006F5238" w:rsidRPr="00791593" w:rsidRDefault="006F5238" w:rsidP="006F5238">
      <w:pPr>
        <w:spacing w:before="480" w:after="100" w:afterAutospacing="1" w:line="408" w:lineRule="auto"/>
        <w:ind w:firstLine="709"/>
        <w:jc w:val="both"/>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8.3 Otras conclusiones por las que esta Sala Superior considera que se vulneró el principio de certeza.</w:t>
      </w:r>
    </w:p>
    <w:p w14:paraId="47851A4F" w14:textId="77777777" w:rsidR="006F5238" w:rsidRPr="00791593" w:rsidRDefault="006F5238" w:rsidP="006F5238">
      <w:pPr>
        <w:spacing w:before="480" w:after="100" w:afterAutospacing="1" w:line="408" w:lineRule="auto"/>
        <w:ind w:firstLine="709"/>
        <w:jc w:val="both"/>
        <w:rPr>
          <w:rFonts w:ascii="Arial" w:eastAsia="Times New Roman" w:hAnsi="Arial" w:cs="Arial"/>
          <w:sz w:val="28"/>
          <w:szCs w:val="28"/>
          <w:lang w:eastAsia="es-MX"/>
        </w:rPr>
      </w:pPr>
      <w:r w:rsidRPr="00791593">
        <w:rPr>
          <w:rFonts w:ascii="Arial" w:eastAsia="Times New Roman" w:hAnsi="Arial" w:cs="Arial"/>
          <w:bCs/>
          <w:sz w:val="28"/>
          <w:szCs w:val="28"/>
          <w:lang w:val="es-ES" w:eastAsia="es-ES"/>
        </w:rPr>
        <w:t xml:space="preserve">De cuanto ha quedado expuesto se debe destacar que de las </w:t>
      </w:r>
      <w:r w:rsidRPr="00791593">
        <w:rPr>
          <w:rFonts w:ascii="Arial" w:eastAsia="Times New Roman" w:hAnsi="Arial" w:cs="Arial"/>
          <w:sz w:val="28"/>
          <w:szCs w:val="28"/>
          <w:lang w:val="es-ES" w:eastAsia="es-ES"/>
        </w:rPr>
        <w:t>mil quinientas sesenta y cinco personas (</w:t>
      </w:r>
      <w:r w:rsidRPr="00791593">
        <w:rPr>
          <w:rFonts w:ascii="Arial" w:eastAsia="Times New Roman" w:hAnsi="Arial" w:cs="Arial"/>
          <w:sz w:val="28"/>
          <w:szCs w:val="28"/>
          <w:lang w:val="es-ES" w:eastAsia="es-MX"/>
        </w:rPr>
        <w:t xml:space="preserve">1,565) </w:t>
      </w:r>
      <w:r w:rsidRPr="00791593">
        <w:rPr>
          <w:rFonts w:ascii="Arial" w:eastAsia="Times New Roman" w:hAnsi="Arial" w:cs="Arial"/>
          <w:bCs/>
          <w:sz w:val="28"/>
          <w:szCs w:val="28"/>
          <w:lang w:val="es-ES" w:eastAsia="es-ES"/>
        </w:rPr>
        <w:t xml:space="preserve">que suscriben los treinta (30) </w:t>
      </w:r>
      <w:r w:rsidRPr="00791593">
        <w:rPr>
          <w:rFonts w:ascii="Arial" w:eastAsia="Times New Roman" w:hAnsi="Arial" w:cs="Arial"/>
          <w:sz w:val="28"/>
          <w:szCs w:val="28"/>
          <w:lang w:eastAsia="es-MX"/>
        </w:rPr>
        <w:t>“</w:t>
      </w:r>
      <w:r w:rsidRPr="00791593">
        <w:rPr>
          <w:rFonts w:ascii="Arial" w:eastAsia="Times New Roman" w:hAnsi="Arial" w:cs="Arial"/>
          <w:i/>
          <w:sz w:val="28"/>
          <w:szCs w:val="28"/>
          <w:lang w:eastAsia="es-MX"/>
        </w:rPr>
        <w:t>escritos de inconformidad</w:t>
      </w:r>
      <w:r w:rsidRPr="00791593">
        <w:rPr>
          <w:rFonts w:ascii="Arial" w:eastAsia="Times New Roman" w:hAnsi="Arial" w:cs="Arial"/>
          <w:sz w:val="28"/>
          <w:szCs w:val="28"/>
          <w:lang w:eastAsia="es-MX"/>
        </w:rPr>
        <w:t xml:space="preserve">”, los nombres de mil ciento setenta y ocho (1,178) coinciden con los nombres de las personas que asentaron su firma autógrafa o su huella digital, en las listas de asistencia </w:t>
      </w:r>
      <w:r w:rsidRPr="00791593">
        <w:rPr>
          <w:rFonts w:ascii="Arial" w:eastAsia="Times New Roman" w:hAnsi="Arial" w:cs="Arial"/>
          <w:sz w:val="28"/>
          <w:szCs w:val="28"/>
          <w:lang w:eastAsia="es-ES"/>
        </w:rPr>
        <w:t xml:space="preserve">de los ciudadanos que participaron en la elección de integrantes de Ayuntamiento </w:t>
      </w:r>
      <w:r w:rsidRPr="00791593">
        <w:rPr>
          <w:rFonts w:ascii="Arial" w:eastAsia="Times New Roman" w:hAnsi="Arial" w:cs="Arial"/>
          <w:sz w:val="28"/>
          <w:szCs w:val="28"/>
          <w:lang w:eastAsia="es-MX"/>
        </w:rPr>
        <w:t>de San Sebastián Tecomaxtlahuaca, Juxtlahuaca, Oaxaca</w:t>
      </w:r>
      <w:r w:rsidRPr="00791593">
        <w:rPr>
          <w:rFonts w:ascii="Arial" w:eastAsia="Times New Roman" w:hAnsi="Arial" w:cs="Arial"/>
          <w:sz w:val="28"/>
          <w:szCs w:val="28"/>
          <w:lang w:eastAsia="es-ES"/>
        </w:rPr>
        <w:t>, del día diecisiete de noviembre de dos mil trece.</w:t>
      </w:r>
    </w:p>
    <w:p w14:paraId="584F2589" w14:textId="77777777" w:rsidR="006F5238" w:rsidRPr="00791593" w:rsidRDefault="006F5238" w:rsidP="006F5238">
      <w:pPr>
        <w:spacing w:before="480" w:after="100" w:afterAutospacing="1" w:line="408" w:lineRule="auto"/>
        <w:ind w:firstLine="709"/>
        <w:jc w:val="both"/>
        <w:rPr>
          <w:rFonts w:ascii="Arial" w:eastAsia="Times New Roman" w:hAnsi="Arial" w:cs="Arial"/>
          <w:bCs/>
          <w:sz w:val="28"/>
          <w:szCs w:val="28"/>
          <w:lang w:val="es-ES" w:eastAsia="es-ES"/>
        </w:rPr>
      </w:pPr>
      <w:r w:rsidRPr="00791593">
        <w:rPr>
          <w:rFonts w:ascii="Arial" w:eastAsia="Times New Roman" w:hAnsi="Arial" w:cs="Arial"/>
          <w:sz w:val="28"/>
          <w:szCs w:val="28"/>
          <w:lang w:eastAsia="es-ES"/>
        </w:rPr>
        <w:t xml:space="preserve">Al caso es importante señalar que con los mencionados documentos, en las que se aduce que el día de la jornada electoral de integrantes de citado Ayuntamiento se llevó a cabo el </w:t>
      </w:r>
      <w:r w:rsidRPr="00791593">
        <w:rPr>
          <w:rFonts w:ascii="Arial" w:eastAsia="Times New Roman" w:hAnsi="Arial" w:cs="Arial"/>
          <w:bCs/>
          <w:i/>
          <w:sz w:val="28"/>
          <w:szCs w:val="28"/>
          <w:lang w:val="es-ES" w:eastAsia="es-ES"/>
        </w:rPr>
        <w:t>“acarreo de personas de otras comunidades que no pertenecen al municipio</w:t>
      </w:r>
      <w:r w:rsidRPr="00791593">
        <w:rPr>
          <w:rFonts w:ascii="Arial" w:eastAsia="Times New Roman" w:hAnsi="Arial" w:cs="Arial"/>
          <w:bCs/>
          <w:sz w:val="28"/>
          <w:szCs w:val="28"/>
          <w:lang w:val="es-ES" w:eastAsia="es-ES"/>
        </w:rPr>
        <w:t xml:space="preserve">” y que diversas </w:t>
      </w:r>
      <w:r w:rsidRPr="00791593">
        <w:rPr>
          <w:rFonts w:ascii="Arial" w:eastAsia="Times New Roman" w:hAnsi="Arial" w:cs="Arial"/>
          <w:sz w:val="28"/>
          <w:szCs w:val="28"/>
          <w:lang w:eastAsia="es-ES"/>
        </w:rPr>
        <w:t>personas votaron más de una vez,</w:t>
      </w:r>
      <w:r w:rsidRPr="00791593">
        <w:rPr>
          <w:rFonts w:ascii="Arial" w:eastAsia="Times New Roman" w:hAnsi="Arial" w:cs="Arial"/>
          <w:bCs/>
          <w:sz w:val="28"/>
          <w:szCs w:val="28"/>
          <w:lang w:val="es-ES" w:eastAsia="es-ES"/>
        </w:rPr>
        <w:t xml:space="preserve"> no se puede tener por acreditado fehacientemente que en la Asamblea General electiva realmente hayan ocurrido tales conductas.</w:t>
      </w:r>
    </w:p>
    <w:p w14:paraId="6F5FD4A1" w14:textId="77777777" w:rsidR="006F5238" w:rsidRPr="00791593" w:rsidRDefault="006F5238" w:rsidP="006F5238">
      <w:pPr>
        <w:spacing w:before="480" w:after="100" w:afterAutospacing="1" w:line="408" w:lineRule="auto"/>
        <w:ind w:firstLine="709"/>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No obstante, tiene especial relevancia tomar en consideración que de las </w:t>
      </w:r>
      <w:r w:rsidRPr="00791593">
        <w:rPr>
          <w:rFonts w:ascii="Arial" w:eastAsia="Times New Roman" w:hAnsi="Arial" w:cs="Arial"/>
          <w:sz w:val="28"/>
          <w:szCs w:val="28"/>
          <w:lang w:eastAsia="es-ES"/>
        </w:rPr>
        <w:t xml:space="preserve">mil setecientas setenta y nueve (1,779) personas que asentaron su firma autógrafa o su </w:t>
      </w:r>
      <w:r w:rsidRPr="00791593">
        <w:rPr>
          <w:rFonts w:ascii="Arial" w:eastAsia="Times New Roman" w:hAnsi="Arial" w:cs="Arial"/>
          <w:sz w:val="28"/>
          <w:szCs w:val="28"/>
          <w:lang w:eastAsia="es-MX"/>
        </w:rPr>
        <w:t xml:space="preserve">huella digital, en las  listas de asistencia a la Asamblea General electiva de </w:t>
      </w:r>
      <w:r w:rsidRPr="00791593">
        <w:rPr>
          <w:rFonts w:ascii="Arial" w:eastAsia="Times New Roman" w:hAnsi="Arial" w:cs="Arial"/>
          <w:sz w:val="28"/>
          <w:szCs w:val="28"/>
          <w:lang w:eastAsia="es-ES"/>
        </w:rPr>
        <w:t>diecisiete de noviembre de dos mil trece</w:t>
      </w:r>
      <w:r w:rsidRPr="00791593">
        <w:rPr>
          <w:rFonts w:ascii="Arial" w:eastAsia="Times New Roman" w:hAnsi="Arial" w:cs="Arial"/>
          <w:sz w:val="28"/>
          <w:szCs w:val="28"/>
          <w:lang w:eastAsia="es-MX"/>
        </w:rPr>
        <w:t xml:space="preserve">, mil ciento setenta y ocho (1,178) afirman que el día de la jornada electoral se llevó a cabo el </w:t>
      </w:r>
      <w:r w:rsidRPr="00791593">
        <w:rPr>
          <w:rFonts w:ascii="Arial" w:eastAsia="Times New Roman" w:hAnsi="Arial" w:cs="Arial"/>
          <w:bCs/>
          <w:i/>
          <w:sz w:val="28"/>
          <w:szCs w:val="28"/>
          <w:lang w:val="es-ES" w:eastAsia="es-ES"/>
        </w:rPr>
        <w:t>“</w:t>
      </w:r>
      <w:r w:rsidRPr="00791593">
        <w:rPr>
          <w:rFonts w:ascii="Arial" w:eastAsia="Times New Roman" w:hAnsi="Arial" w:cs="Arial"/>
          <w:bCs/>
          <w:i/>
          <w:sz w:val="24"/>
          <w:szCs w:val="24"/>
          <w:lang w:val="es-ES" w:eastAsia="es-ES"/>
        </w:rPr>
        <w:t>acarreo de personas de otras comunidades que no pertenecen al municipio</w:t>
      </w:r>
      <w:r w:rsidRPr="00791593">
        <w:rPr>
          <w:rFonts w:ascii="Arial" w:eastAsia="Times New Roman" w:hAnsi="Arial" w:cs="Arial"/>
          <w:bCs/>
          <w:sz w:val="28"/>
          <w:szCs w:val="28"/>
          <w:lang w:val="es-ES" w:eastAsia="es-ES"/>
        </w:rPr>
        <w:t>”, que diversas personas votaron más de una vez y que se impidió que se redactara el acta de cómputo municipal, por medio de violencia y amenazas.</w:t>
      </w:r>
    </w:p>
    <w:p w14:paraId="4A6D18DA" w14:textId="77777777" w:rsidR="006F5238" w:rsidRPr="00791593" w:rsidRDefault="006F5238" w:rsidP="006F5238">
      <w:pPr>
        <w:spacing w:before="480" w:after="100" w:afterAutospacing="1" w:line="408" w:lineRule="auto"/>
        <w:ind w:firstLine="709"/>
        <w:jc w:val="both"/>
        <w:rPr>
          <w:rFonts w:ascii="Arial" w:eastAsia="Times New Roman" w:hAnsi="Arial" w:cs="Arial"/>
          <w:b/>
          <w:sz w:val="28"/>
          <w:szCs w:val="28"/>
          <w:lang w:eastAsia="es-MX"/>
        </w:rPr>
      </w:pPr>
      <w:r w:rsidRPr="00791593">
        <w:rPr>
          <w:rFonts w:ascii="Arial" w:eastAsia="Times New Roman" w:hAnsi="Arial" w:cs="Arial"/>
          <w:sz w:val="28"/>
          <w:szCs w:val="28"/>
          <w:lang w:eastAsia="es-MX"/>
        </w:rPr>
        <w:t xml:space="preserve">De lo anterior, se concluye que si bien es cierto que </w:t>
      </w:r>
      <w:r w:rsidRPr="00791593">
        <w:rPr>
          <w:rFonts w:ascii="Arial" w:eastAsia="Times New Roman" w:hAnsi="Arial" w:cs="Arial"/>
          <w:b/>
          <w:bCs/>
          <w:sz w:val="28"/>
          <w:szCs w:val="28"/>
          <w:lang w:val="es-ES" w:eastAsia="es-ES"/>
        </w:rPr>
        <w:t>no se puede tener por acreditado que el día de la jornada electoral realmente ocurrieron las conductas que fueron objeto de denuncia,</w:t>
      </w:r>
      <w:r w:rsidRPr="00791593">
        <w:rPr>
          <w:rFonts w:ascii="Arial" w:eastAsia="Times New Roman" w:hAnsi="Arial" w:cs="Arial"/>
          <w:bCs/>
          <w:sz w:val="28"/>
          <w:szCs w:val="28"/>
          <w:lang w:val="es-ES" w:eastAsia="es-ES"/>
        </w:rPr>
        <w:t xml:space="preserve"> ante la autoridad administrativa electoral local, para solicitar la declaración de nulidad de la elección, también es verdad que </w:t>
      </w:r>
      <w:r w:rsidRPr="00791593">
        <w:rPr>
          <w:rFonts w:ascii="Arial" w:eastAsia="Times New Roman" w:hAnsi="Arial" w:cs="Arial"/>
          <w:b/>
          <w:bCs/>
          <w:sz w:val="28"/>
          <w:szCs w:val="28"/>
          <w:lang w:val="es-ES" w:eastAsia="es-ES"/>
        </w:rPr>
        <w:t>tampoco se puede tener por acreditado fehacientemente que el total de</w:t>
      </w:r>
      <w:r w:rsidRPr="00791593">
        <w:rPr>
          <w:rFonts w:ascii="Arial" w:eastAsia="Times New Roman" w:hAnsi="Arial" w:cs="Arial"/>
          <w:b/>
          <w:sz w:val="28"/>
          <w:szCs w:val="28"/>
          <w:lang w:eastAsia="es-MX"/>
        </w:rPr>
        <w:t xml:space="preserve"> votos que se indican en el Acta de la Asamblea electiva efectivamente fueron emitidos por igual número de ciudadanos con derecho a votar; por tanto, es evidente la falta de certeza sobre la autenticidad de los votos que se afirma fueron emitidos y también la falta de certeza sobre la autenticidad de la elección en su conjunto.</w:t>
      </w:r>
    </w:p>
    <w:p w14:paraId="565F407B" w14:textId="77777777" w:rsidR="006F5238" w:rsidRPr="00791593" w:rsidRDefault="006F5238" w:rsidP="006F5238">
      <w:pPr>
        <w:spacing w:before="480" w:after="100" w:afterAutospacing="1" w:line="408" w:lineRule="auto"/>
        <w:ind w:firstLine="709"/>
        <w:jc w:val="both"/>
        <w:rPr>
          <w:rFonts w:ascii="Arial" w:eastAsia="Times New Roman" w:hAnsi="Arial" w:cs="Arial"/>
          <w:bCs/>
          <w:sz w:val="28"/>
          <w:szCs w:val="28"/>
          <w:lang w:val="es-ES" w:eastAsia="es-ES"/>
        </w:rPr>
      </w:pPr>
      <w:r w:rsidRPr="00791593">
        <w:rPr>
          <w:rFonts w:ascii="Arial" w:eastAsia="Times New Roman" w:hAnsi="Arial" w:cs="Arial"/>
          <w:sz w:val="28"/>
          <w:szCs w:val="28"/>
          <w:lang w:eastAsia="es-ES"/>
        </w:rPr>
        <w:t xml:space="preserve">Al efecto es importante reiterar que el resultado del cómputo de una elección debe corresponder, en forma cierta, fidedigna, sin dudas, con la voluntad ciudadana, manifestada mediante la emisión del sufragio a favor de la opción que consideraren más conveniente, esto es, que el ganador de una contienda electoral debe ser el candidato o la planilla de candidatos que auténticamente obtuvo el mayor número de votos auténticos, en la elección llevada a cabo y, en el particular, no existe certeza en la autenticidad de los votos emitidos el día diecisiete de noviembre de dos mil trece y tampoco existe certeza sobre la autenticidad de la elección de integrantes del Ayuntamiento </w:t>
      </w:r>
      <w:r w:rsidRPr="00791593">
        <w:rPr>
          <w:rFonts w:ascii="Arial" w:eastAsia="Times New Roman" w:hAnsi="Arial" w:cs="Arial"/>
          <w:sz w:val="28"/>
          <w:szCs w:val="28"/>
          <w:lang w:eastAsia="es-MX"/>
        </w:rPr>
        <w:t>de San Sebastián Tecomaxtlahuaca, Juxtlahuaca, Oaxaca</w:t>
      </w:r>
      <w:r w:rsidRPr="00791593">
        <w:rPr>
          <w:rFonts w:ascii="Arial" w:eastAsia="Times New Roman" w:hAnsi="Arial" w:cs="Arial"/>
          <w:sz w:val="28"/>
          <w:szCs w:val="28"/>
          <w:lang w:eastAsia="es-ES"/>
        </w:rPr>
        <w:t>.</w:t>
      </w:r>
    </w:p>
    <w:p w14:paraId="1F398DFF"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Al caso se debe reiterar que el principio de certeza constituye uno de los principios rectores a los cuales invariablemente se debe someter la organización de todas las elecciones, incluidas las que se llevan a cabo conforme a los sistemas normativos internos de las comunidades indígenas, de tal forma que todas las actuaciones del procedimiento electoral respectivo, como es la emisión del voto, deben estar dotadas de veracidad, certidumbre y apego a los correspondientes hechos y actos jurídicos, esto es, que tales actividades y sus resultados </w:t>
      </w:r>
      <w:r w:rsidRPr="00791593">
        <w:rPr>
          <w:rFonts w:ascii="Arial" w:eastAsia="Times New Roman" w:hAnsi="Arial" w:cs="Arial"/>
          <w:b/>
          <w:sz w:val="28"/>
          <w:szCs w:val="28"/>
          <w:lang w:eastAsia="es-ES"/>
        </w:rPr>
        <w:t>sean verificables</w:t>
      </w:r>
      <w:r w:rsidRPr="00791593">
        <w:rPr>
          <w:rFonts w:ascii="Arial" w:eastAsia="Times New Roman" w:hAnsi="Arial" w:cs="Arial"/>
          <w:sz w:val="28"/>
          <w:szCs w:val="28"/>
          <w:lang w:eastAsia="es-ES"/>
        </w:rPr>
        <w:t>, fidedignos y confiables.</w:t>
      </w:r>
    </w:p>
    <w:p w14:paraId="7E0924E8"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Al respecto, se debe tener presente que el artículo 261, del Código de Instituciones Políticas y Procedimientos Electorales para el Estado de Oaxaca, establece: </w:t>
      </w:r>
    </w:p>
    <w:p w14:paraId="3FD9DE1B" w14:textId="77777777" w:rsidR="006F5238" w:rsidRPr="00791593" w:rsidRDefault="006F5238" w:rsidP="006F5238">
      <w:pPr>
        <w:spacing w:before="100" w:beforeAutospacing="1" w:after="100" w:afterAutospacing="1" w:line="270" w:lineRule="auto"/>
        <w:ind w:left="567" w:right="567"/>
        <w:jc w:val="both"/>
        <w:rPr>
          <w:rFonts w:ascii="Arial" w:eastAsia="Times New Roman" w:hAnsi="Arial" w:cs="Arial"/>
          <w:b/>
          <w:sz w:val="24"/>
          <w:szCs w:val="24"/>
          <w:lang w:val="es-ES" w:eastAsia="es-ES"/>
        </w:rPr>
      </w:pPr>
      <w:r w:rsidRPr="00791593">
        <w:rPr>
          <w:rFonts w:ascii="Arial" w:eastAsia="Times New Roman" w:hAnsi="Arial" w:cs="Arial"/>
          <w:b/>
          <w:sz w:val="24"/>
          <w:szCs w:val="24"/>
          <w:lang w:val="es-ES" w:eastAsia="es-ES"/>
        </w:rPr>
        <w:t>Artículo 261</w:t>
      </w:r>
    </w:p>
    <w:p w14:paraId="242A752C" w14:textId="77777777" w:rsidR="006F5238" w:rsidRPr="00791593" w:rsidRDefault="006F5238" w:rsidP="006F5238">
      <w:pPr>
        <w:spacing w:before="100" w:beforeAutospacing="1" w:after="100" w:afterAutospacing="1" w:line="27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1. En la jornada electoral se observarán las disposiciones, procedimientos y mecanismos, definidos en sus sistemas normativos internos para el desarrollo de la elección.</w:t>
      </w:r>
    </w:p>
    <w:p w14:paraId="0BDDD7C7" w14:textId="77777777" w:rsidR="006F5238" w:rsidRPr="00791593" w:rsidRDefault="006F5238" w:rsidP="006F5238">
      <w:pPr>
        <w:spacing w:before="100" w:beforeAutospacing="1" w:after="100" w:afterAutospacing="1" w:line="27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 xml:space="preserve">2. Al final de la elección </w:t>
      </w:r>
      <w:r w:rsidRPr="00791593">
        <w:rPr>
          <w:rFonts w:ascii="Arial" w:eastAsia="Times New Roman" w:hAnsi="Arial" w:cs="Arial"/>
          <w:b/>
          <w:sz w:val="24"/>
          <w:szCs w:val="24"/>
          <w:lang w:val="es-ES" w:eastAsia="es-ES"/>
        </w:rPr>
        <w:t>se elaborará un acta en la que deberán firmar los integrantes del órgano que presidió el procedimiento de elección, las personas de la municipalidad que por costumbre deban hacerlo y que hayan asistido, así como por los ciudadanos que en ella intervinieron y quienes se considere pertinente</w:t>
      </w:r>
      <w:r w:rsidRPr="00791593">
        <w:rPr>
          <w:rFonts w:ascii="Arial" w:eastAsia="Times New Roman" w:hAnsi="Arial" w:cs="Arial"/>
          <w:sz w:val="24"/>
          <w:szCs w:val="24"/>
          <w:lang w:val="es-ES" w:eastAsia="es-ES"/>
        </w:rPr>
        <w:t>.</w:t>
      </w:r>
    </w:p>
    <w:p w14:paraId="58ABA902" w14:textId="77777777" w:rsidR="006F5238" w:rsidRPr="00791593" w:rsidRDefault="006F5238" w:rsidP="006F5238">
      <w:pPr>
        <w:spacing w:before="100" w:beforeAutospacing="1" w:after="100" w:afterAutospacing="1" w:line="27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 xml:space="preserve">3. Los órganos y personas que presidieron el procedimiento de elección, </w:t>
      </w:r>
      <w:r w:rsidRPr="00791593">
        <w:rPr>
          <w:rFonts w:ascii="Arial" w:eastAsia="Times New Roman" w:hAnsi="Arial" w:cs="Arial"/>
          <w:b/>
          <w:sz w:val="24"/>
          <w:szCs w:val="24"/>
          <w:lang w:val="es-ES" w:eastAsia="es-ES"/>
        </w:rPr>
        <w:t>harán llegar al Instituto el resultado de la elección</w:t>
      </w:r>
      <w:r w:rsidRPr="00791593">
        <w:rPr>
          <w:rFonts w:ascii="Arial" w:eastAsia="Times New Roman" w:hAnsi="Arial" w:cs="Arial"/>
          <w:sz w:val="24"/>
          <w:szCs w:val="24"/>
          <w:lang w:val="es-ES" w:eastAsia="es-ES"/>
        </w:rPr>
        <w:t>, a más tardar a los cinco días de su celebración.</w:t>
      </w:r>
    </w:p>
    <w:p w14:paraId="4C7FA903" w14:textId="77777777" w:rsidR="006F5238" w:rsidRPr="00791593" w:rsidRDefault="006F5238" w:rsidP="006F5238">
      <w:pPr>
        <w:spacing w:before="100" w:beforeAutospacing="1" w:after="100" w:afterAutospacing="1" w:line="270" w:lineRule="auto"/>
        <w:ind w:left="567" w:right="567"/>
        <w:jc w:val="both"/>
        <w:rPr>
          <w:rFonts w:ascii="Arial" w:eastAsia="Times New Roman" w:hAnsi="Arial" w:cs="Arial"/>
          <w:sz w:val="24"/>
          <w:szCs w:val="24"/>
          <w:lang w:val="es-ES" w:eastAsia="es-ES"/>
        </w:rPr>
      </w:pPr>
      <w:r w:rsidRPr="00791593">
        <w:rPr>
          <w:rFonts w:ascii="Arial" w:eastAsia="Times New Roman" w:hAnsi="Arial" w:cs="Arial"/>
          <w:sz w:val="24"/>
          <w:szCs w:val="24"/>
          <w:lang w:val="es-ES" w:eastAsia="es-ES"/>
        </w:rPr>
        <w:t>4. Se respetarán fechas, horarios y lugares que tradicionalmente acostumbren la mayoría de ciudadanos y ciudadanas, para el procedimiento de elección de autoridades locales.</w:t>
      </w:r>
    </w:p>
    <w:p w14:paraId="5883B885"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Del precepto legal antes trascrito se advierte que en las elecciones por sistemas normativos internos en las comunidades indígenas, se debe elaborar un acta de la Asamblea General electiva, en la cual se ha de asentar la firma autógrafa de los integrantes del órgano que presidió el procedimiento de elección, que en el particular fue la Mesa de Debates, así como el de los funcionarios municipales que por costumbre deban hacerlo y que hayan asistido, además de la firma de los ciudadanos que intervinieron, de lo cual no existe certeza, en este caso concreto, que así hubiere ocurrido.</w:t>
      </w:r>
    </w:p>
    <w:p w14:paraId="504ABDC0"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 anterior, hace evidente que el principio de certeza fue afectado de forma grave en la Asamblea General Comunitaria de la elección que se llevó a cabo el diecisiete de noviembre de dos mil trece, a fin de elegir a los integrantes del Ayuntamiento de San Sebastián Tecomaxtlahuaca, Juxtlahuaca, Oaxaca, para el periodo dos mil catorce-dos mil dieciséis (2014-2016).</w:t>
      </w:r>
    </w:p>
    <w:p w14:paraId="5E5E5D1E"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Para sintetizar, además de sus efectos ilustrativos, se considera pertinente exponer los siguientes datos:</w:t>
      </w:r>
    </w:p>
    <w:p w14:paraId="65273717" w14:textId="77777777" w:rsidR="006F5238" w:rsidRPr="00791593" w:rsidRDefault="006F5238" w:rsidP="008D1689">
      <w:pPr>
        <w:numPr>
          <w:ilvl w:val="0"/>
          <w:numId w:val="8"/>
        </w:numPr>
        <w:spacing w:before="120" w:after="120" w:line="408" w:lineRule="auto"/>
        <w:ind w:left="714" w:hanging="357"/>
        <w:contextualSpacing/>
        <w:jc w:val="both"/>
        <w:rPr>
          <w:rFonts w:ascii="Arial" w:eastAsia="Times New Roman" w:hAnsi="Arial" w:cs="Arial"/>
          <w:b/>
          <w:sz w:val="28"/>
          <w:szCs w:val="28"/>
          <w:lang w:val="es-ES" w:eastAsia="es-ES"/>
        </w:rPr>
      </w:pPr>
      <w:r w:rsidRPr="00791593">
        <w:rPr>
          <w:rFonts w:ascii="Arial" w:eastAsia="Times New Roman" w:hAnsi="Arial" w:cs="Arial"/>
          <w:sz w:val="28"/>
          <w:szCs w:val="28"/>
          <w:lang w:val="es-ES" w:eastAsia="es-ES"/>
        </w:rPr>
        <w:t>Porcentajes con relación al total de ciudadanos que se afirma asistieron a la Asamblea General Comunitaria, de diecisiete de noviembre de dos mil trece, según acta de asamblea e instrumento notarial, es decir, del total de tres mil doscientos veinte (</w:t>
      </w:r>
      <w:r w:rsidRPr="00791593">
        <w:rPr>
          <w:rFonts w:ascii="Arial" w:eastAsia="Times New Roman" w:hAnsi="Arial" w:cs="Arial"/>
          <w:b/>
          <w:sz w:val="28"/>
          <w:szCs w:val="28"/>
          <w:lang w:val="es-ES" w:eastAsia="es-ES"/>
        </w:rPr>
        <w:t>3,220)</w:t>
      </w:r>
      <w:r w:rsidRPr="00791593">
        <w:rPr>
          <w:rFonts w:ascii="Arial" w:eastAsia="Times New Roman" w:hAnsi="Arial" w:cs="Arial"/>
          <w:sz w:val="28"/>
          <w:szCs w:val="28"/>
          <w:lang w:val="es-ES" w:eastAsia="es-ES"/>
        </w:rPr>
        <w:t xml:space="preserve">, que corresponde al cien por ciento </w:t>
      </w:r>
      <w:r w:rsidRPr="00791593">
        <w:rPr>
          <w:rFonts w:ascii="Arial" w:eastAsia="Times New Roman" w:hAnsi="Arial" w:cs="Arial"/>
          <w:b/>
          <w:sz w:val="28"/>
          <w:szCs w:val="28"/>
          <w:lang w:val="es-ES" w:eastAsia="es-ES"/>
        </w:rPr>
        <w:t>(100%)</w:t>
      </w:r>
      <w:r w:rsidRPr="00791593">
        <w:rPr>
          <w:rFonts w:ascii="Arial" w:eastAsia="Times New Roman" w:hAnsi="Arial" w:cs="Arial"/>
          <w:sz w:val="28"/>
          <w:szCs w:val="28"/>
          <w:lang w:val="es-ES" w:eastAsia="es-ES"/>
        </w:rPr>
        <w:t xml:space="preserve"> de asistentes.</w:t>
      </w:r>
    </w:p>
    <w:tbl>
      <w:tblPr>
        <w:tblStyle w:val="Tablaconcuadrcula1"/>
        <w:tblpPr w:leftFromText="141" w:rightFromText="141" w:vertAnchor="text" w:horzAnchor="margin" w:tblpXSpec="center" w:tblpY="94"/>
        <w:tblW w:w="0" w:type="auto"/>
        <w:tblLook w:val="04A0" w:firstRow="1" w:lastRow="0" w:firstColumn="1" w:lastColumn="0" w:noHBand="0" w:noVBand="1"/>
      </w:tblPr>
      <w:tblGrid>
        <w:gridCol w:w="2410"/>
        <w:gridCol w:w="2438"/>
        <w:gridCol w:w="2631"/>
      </w:tblGrid>
      <w:tr w:rsidR="006F5238" w:rsidRPr="00791593" w14:paraId="4D3F48AB" w14:textId="77777777" w:rsidTr="006F5238">
        <w:trPr>
          <w:trHeight w:val="194"/>
        </w:trPr>
        <w:tc>
          <w:tcPr>
            <w:tcW w:w="2410" w:type="dxa"/>
            <w:shd w:val="clear" w:color="auto" w:fill="BFBFBF"/>
            <w:vAlign w:val="center"/>
          </w:tcPr>
          <w:p w14:paraId="2C795C7A" w14:textId="77777777" w:rsidR="006F5238" w:rsidRPr="00791593" w:rsidRDefault="006F5238" w:rsidP="006F5238">
            <w:pPr>
              <w:jc w:val="center"/>
              <w:rPr>
                <w:rFonts w:ascii="Arial" w:eastAsia="Calibri" w:hAnsi="Arial" w:cs="Arial"/>
                <w:b/>
                <w:lang w:val="es-ES"/>
              </w:rPr>
            </w:pPr>
          </w:p>
          <w:p w14:paraId="46DD761B" w14:textId="77777777" w:rsidR="006F5238" w:rsidRPr="00791593" w:rsidRDefault="006F5238" w:rsidP="006F5238">
            <w:pPr>
              <w:jc w:val="center"/>
              <w:rPr>
                <w:rFonts w:ascii="Arial" w:eastAsia="Calibri" w:hAnsi="Arial" w:cs="Arial"/>
                <w:b/>
                <w:lang w:val="es-ES"/>
              </w:rPr>
            </w:pPr>
            <w:r w:rsidRPr="00791593">
              <w:rPr>
                <w:rFonts w:ascii="Arial" w:eastAsia="Calibri" w:hAnsi="Arial" w:cs="Arial"/>
                <w:b/>
                <w:lang w:val="es-ES"/>
              </w:rPr>
              <w:t>Descripción</w:t>
            </w:r>
          </w:p>
        </w:tc>
        <w:tc>
          <w:tcPr>
            <w:tcW w:w="2438" w:type="dxa"/>
            <w:shd w:val="clear" w:color="auto" w:fill="BFBFBF"/>
            <w:vAlign w:val="center"/>
          </w:tcPr>
          <w:p w14:paraId="3908D615" w14:textId="77777777" w:rsidR="006F5238" w:rsidRPr="00791593" w:rsidRDefault="006F5238" w:rsidP="006F5238">
            <w:pPr>
              <w:jc w:val="center"/>
              <w:rPr>
                <w:rFonts w:ascii="Arial" w:eastAsia="Calibri" w:hAnsi="Arial" w:cs="Arial"/>
                <w:b/>
                <w:lang w:val="es-ES"/>
              </w:rPr>
            </w:pPr>
          </w:p>
          <w:p w14:paraId="2309A92A" w14:textId="77777777" w:rsidR="006F5238" w:rsidRPr="00791593" w:rsidRDefault="006F5238" w:rsidP="006F5238">
            <w:pPr>
              <w:jc w:val="center"/>
              <w:rPr>
                <w:rFonts w:ascii="Arial" w:eastAsia="Calibri" w:hAnsi="Arial" w:cs="Arial"/>
                <w:b/>
                <w:lang w:val="es-ES"/>
              </w:rPr>
            </w:pPr>
            <w:r w:rsidRPr="00791593">
              <w:rPr>
                <w:rFonts w:ascii="Arial" w:eastAsia="Calibri" w:hAnsi="Arial" w:cs="Arial"/>
                <w:b/>
                <w:lang w:val="es-ES"/>
              </w:rPr>
              <w:t>Total</w:t>
            </w:r>
          </w:p>
        </w:tc>
        <w:tc>
          <w:tcPr>
            <w:tcW w:w="2631" w:type="dxa"/>
            <w:shd w:val="clear" w:color="auto" w:fill="BFBFBF"/>
            <w:vAlign w:val="center"/>
          </w:tcPr>
          <w:p w14:paraId="44AB7950" w14:textId="77777777" w:rsidR="006F5238" w:rsidRPr="00791593" w:rsidRDefault="006F5238" w:rsidP="006F5238">
            <w:pPr>
              <w:rPr>
                <w:rFonts w:ascii="Arial" w:eastAsia="Calibri" w:hAnsi="Arial" w:cs="Arial"/>
                <w:b/>
                <w:lang w:val="es-ES"/>
              </w:rPr>
            </w:pPr>
          </w:p>
          <w:p w14:paraId="0159CFBA" w14:textId="77777777" w:rsidR="006F5238" w:rsidRPr="00791593" w:rsidRDefault="006F5238" w:rsidP="006F5238">
            <w:pPr>
              <w:jc w:val="center"/>
              <w:rPr>
                <w:rFonts w:ascii="Arial" w:eastAsia="Calibri" w:hAnsi="Arial" w:cs="Arial"/>
                <w:b/>
                <w:lang w:val="es-ES"/>
              </w:rPr>
            </w:pPr>
            <w:r w:rsidRPr="00791593">
              <w:rPr>
                <w:rFonts w:ascii="Arial" w:eastAsia="Calibri" w:hAnsi="Arial" w:cs="Arial"/>
                <w:b/>
                <w:lang w:val="es-ES"/>
              </w:rPr>
              <w:t>Porcentaje</w:t>
            </w:r>
          </w:p>
          <w:p w14:paraId="6D82C7FE" w14:textId="77777777" w:rsidR="006F5238" w:rsidRPr="00791593" w:rsidRDefault="006F5238" w:rsidP="006F5238">
            <w:pPr>
              <w:jc w:val="center"/>
              <w:rPr>
                <w:rFonts w:ascii="Arial" w:eastAsia="Calibri" w:hAnsi="Arial" w:cs="Arial"/>
                <w:b/>
                <w:lang w:val="es-ES"/>
              </w:rPr>
            </w:pPr>
          </w:p>
        </w:tc>
      </w:tr>
      <w:tr w:rsidR="006F5238" w:rsidRPr="00791593" w14:paraId="4FD4F30E" w14:textId="77777777" w:rsidTr="00B05F31">
        <w:trPr>
          <w:trHeight w:val="397"/>
        </w:trPr>
        <w:tc>
          <w:tcPr>
            <w:tcW w:w="2410" w:type="dxa"/>
          </w:tcPr>
          <w:p w14:paraId="0FD3B4FF" w14:textId="77777777" w:rsidR="006F5238" w:rsidRPr="00791593" w:rsidRDefault="006F5238" w:rsidP="006F5238">
            <w:pPr>
              <w:rPr>
                <w:rFonts w:ascii="Arial" w:eastAsia="Calibri" w:hAnsi="Arial" w:cs="Arial"/>
                <w:lang w:val="es-ES"/>
              </w:rPr>
            </w:pPr>
            <w:r w:rsidRPr="00791593">
              <w:rPr>
                <w:rFonts w:ascii="Arial" w:eastAsia="Calibri" w:hAnsi="Arial" w:cs="Arial"/>
                <w:lang w:val="es-ES"/>
              </w:rPr>
              <w:t xml:space="preserve">Ciudadanos que firmaron las listas de asistencia </w:t>
            </w:r>
          </w:p>
        </w:tc>
        <w:tc>
          <w:tcPr>
            <w:tcW w:w="2438" w:type="dxa"/>
          </w:tcPr>
          <w:p w14:paraId="47D34B31" w14:textId="77777777" w:rsidR="006F5238" w:rsidRPr="00791593" w:rsidRDefault="006F5238" w:rsidP="006F5238">
            <w:pPr>
              <w:jc w:val="center"/>
              <w:rPr>
                <w:rFonts w:ascii="Arial" w:eastAsia="Calibri" w:hAnsi="Arial" w:cs="Arial"/>
                <w:lang w:val="es-ES"/>
              </w:rPr>
            </w:pPr>
            <w:r w:rsidRPr="00791593">
              <w:rPr>
                <w:rFonts w:ascii="Arial" w:eastAsia="Calibri" w:hAnsi="Arial" w:cs="Arial"/>
                <w:lang w:val="es-ES"/>
              </w:rPr>
              <w:t>Mil setecientos setenta y nueve</w:t>
            </w:r>
          </w:p>
          <w:p w14:paraId="0FF86541" w14:textId="77777777" w:rsidR="006F5238" w:rsidRPr="00791593" w:rsidRDefault="006F5238" w:rsidP="006F5238">
            <w:pPr>
              <w:jc w:val="center"/>
              <w:rPr>
                <w:rFonts w:ascii="Arial" w:eastAsia="Calibri" w:hAnsi="Arial" w:cs="Arial"/>
                <w:lang w:val="es-ES"/>
              </w:rPr>
            </w:pPr>
            <w:r w:rsidRPr="00791593">
              <w:rPr>
                <w:rFonts w:ascii="Arial" w:eastAsia="Calibri" w:hAnsi="Arial" w:cs="Arial"/>
                <w:lang w:val="es-ES"/>
              </w:rPr>
              <w:t>(1,779)</w:t>
            </w:r>
          </w:p>
          <w:p w14:paraId="475128E8" w14:textId="77777777" w:rsidR="006F5238" w:rsidRPr="00791593" w:rsidRDefault="006F5238" w:rsidP="006F5238">
            <w:pPr>
              <w:jc w:val="center"/>
              <w:rPr>
                <w:rFonts w:ascii="Arial" w:eastAsia="Calibri" w:hAnsi="Arial" w:cs="Arial"/>
                <w:lang w:val="es-ES"/>
              </w:rPr>
            </w:pPr>
          </w:p>
        </w:tc>
        <w:tc>
          <w:tcPr>
            <w:tcW w:w="2631" w:type="dxa"/>
          </w:tcPr>
          <w:p w14:paraId="0F9B3243" w14:textId="77777777" w:rsidR="006F5238" w:rsidRPr="00791593" w:rsidRDefault="006F5238" w:rsidP="006F5238">
            <w:pPr>
              <w:jc w:val="center"/>
              <w:rPr>
                <w:rFonts w:ascii="Arial" w:eastAsia="Calibri" w:hAnsi="Arial" w:cs="Arial"/>
                <w:lang w:val="es-ES"/>
              </w:rPr>
            </w:pPr>
            <w:r w:rsidRPr="00791593">
              <w:rPr>
                <w:rFonts w:ascii="Arial" w:eastAsia="Calibri" w:hAnsi="Arial" w:cs="Arial"/>
                <w:lang w:val="es-ES"/>
              </w:rPr>
              <w:t>Cincuenta y cinco punto veinticuatro por ciento</w:t>
            </w:r>
          </w:p>
          <w:p w14:paraId="4FE3EFFB" w14:textId="77777777" w:rsidR="006F5238" w:rsidRPr="00791593" w:rsidRDefault="006F5238" w:rsidP="006F5238">
            <w:pPr>
              <w:jc w:val="center"/>
              <w:rPr>
                <w:rFonts w:ascii="Arial" w:eastAsia="Calibri" w:hAnsi="Arial" w:cs="Arial"/>
                <w:lang w:val="es-ES"/>
              </w:rPr>
            </w:pPr>
            <w:r w:rsidRPr="00791593">
              <w:rPr>
                <w:rFonts w:ascii="Arial" w:eastAsia="Calibri" w:hAnsi="Arial" w:cs="Arial"/>
                <w:lang w:val="es-ES"/>
              </w:rPr>
              <w:t>(55.24%)</w:t>
            </w:r>
          </w:p>
          <w:p w14:paraId="767A6080" w14:textId="77777777" w:rsidR="006F5238" w:rsidRPr="00791593" w:rsidRDefault="006F5238" w:rsidP="006F5238">
            <w:pPr>
              <w:jc w:val="center"/>
              <w:rPr>
                <w:rFonts w:ascii="Arial" w:eastAsia="Calibri" w:hAnsi="Arial" w:cs="Arial"/>
                <w:lang w:val="es-ES"/>
              </w:rPr>
            </w:pPr>
          </w:p>
        </w:tc>
      </w:tr>
      <w:tr w:rsidR="006F5238" w:rsidRPr="00791593" w14:paraId="1BF7A628" w14:textId="77777777" w:rsidTr="00B05F31">
        <w:trPr>
          <w:trHeight w:val="407"/>
        </w:trPr>
        <w:tc>
          <w:tcPr>
            <w:tcW w:w="2410" w:type="dxa"/>
          </w:tcPr>
          <w:p w14:paraId="377D30EF" w14:textId="77777777" w:rsidR="006F5238" w:rsidRPr="00791593" w:rsidRDefault="006F5238" w:rsidP="006F5238">
            <w:pPr>
              <w:rPr>
                <w:rFonts w:ascii="Arial" w:eastAsia="Calibri" w:hAnsi="Arial" w:cs="Arial"/>
                <w:lang w:val="es-ES"/>
              </w:rPr>
            </w:pPr>
            <w:r w:rsidRPr="00791593">
              <w:rPr>
                <w:rFonts w:ascii="Arial" w:eastAsia="Calibri" w:hAnsi="Arial" w:cs="Arial"/>
                <w:lang w:val="es-ES"/>
              </w:rPr>
              <w:t xml:space="preserve">Ciudadanos que suscribieron escritos de inconformidad </w:t>
            </w:r>
          </w:p>
        </w:tc>
        <w:tc>
          <w:tcPr>
            <w:tcW w:w="2438" w:type="dxa"/>
          </w:tcPr>
          <w:p w14:paraId="58CB1A4A" w14:textId="77777777" w:rsidR="006F5238" w:rsidRPr="00791593" w:rsidRDefault="006F5238" w:rsidP="006F5238">
            <w:pPr>
              <w:jc w:val="center"/>
              <w:rPr>
                <w:rFonts w:ascii="Arial" w:eastAsia="Calibri" w:hAnsi="Arial" w:cs="Arial"/>
                <w:lang w:val="es-ES"/>
              </w:rPr>
            </w:pPr>
            <w:r w:rsidRPr="00791593">
              <w:rPr>
                <w:rFonts w:ascii="Arial" w:eastAsia="Calibri" w:hAnsi="Arial" w:cs="Arial"/>
                <w:lang w:val="es-ES"/>
              </w:rPr>
              <w:t>Mil quinientos sesenta y cinco</w:t>
            </w:r>
          </w:p>
          <w:p w14:paraId="02BC5E15" w14:textId="77777777" w:rsidR="006F5238" w:rsidRPr="00791593" w:rsidRDefault="006F5238" w:rsidP="006F5238">
            <w:pPr>
              <w:jc w:val="center"/>
              <w:rPr>
                <w:rFonts w:ascii="Arial" w:eastAsia="Calibri" w:hAnsi="Arial" w:cs="Arial"/>
                <w:lang w:val="es-ES"/>
              </w:rPr>
            </w:pPr>
            <w:r w:rsidRPr="00791593">
              <w:rPr>
                <w:rFonts w:ascii="Arial" w:eastAsia="Calibri" w:hAnsi="Arial" w:cs="Arial"/>
                <w:lang w:val="es-ES"/>
              </w:rPr>
              <w:t>(1,565)</w:t>
            </w:r>
          </w:p>
          <w:p w14:paraId="0F71ECE6" w14:textId="77777777" w:rsidR="006F5238" w:rsidRPr="00791593" w:rsidRDefault="006F5238" w:rsidP="006F5238">
            <w:pPr>
              <w:jc w:val="center"/>
              <w:rPr>
                <w:rFonts w:ascii="Arial" w:eastAsia="Calibri" w:hAnsi="Arial" w:cs="Arial"/>
                <w:lang w:val="es-ES"/>
              </w:rPr>
            </w:pPr>
          </w:p>
        </w:tc>
        <w:tc>
          <w:tcPr>
            <w:tcW w:w="2631" w:type="dxa"/>
          </w:tcPr>
          <w:p w14:paraId="2099FFE9" w14:textId="77777777" w:rsidR="006F5238" w:rsidRPr="00791593" w:rsidRDefault="006F5238" w:rsidP="006F5238">
            <w:pPr>
              <w:jc w:val="center"/>
              <w:rPr>
                <w:rFonts w:ascii="Arial" w:eastAsia="Calibri" w:hAnsi="Arial" w:cs="Arial"/>
                <w:lang w:val="es-ES"/>
              </w:rPr>
            </w:pPr>
            <w:r w:rsidRPr="00791593">
              <w:rPr>
                <w:rFonts w:ascii="Arial" w:eastAsia="Calibri" w:hAnsi="Arial" w:cs="Arial"/>
                <w:lang w:val="es-ES"/>
              </w:rPr>
              <w:t>Cuarenta y ocho punto sesenta por ciento</w:t>
            </w:r>
          </w:p>
          <w:p w14:paraId="4EFB5BA5" w14:textId="77777777" w:rsidR="006F5238" w:rsidRPr="00791593" w:rsidRDefault="006F5238" w:rsidP="006F5238">
            <w:pPr>
              <w:jc w:val="center"/>
              <w:rPr>
                <w:rFonts w:ascii="Arial" w:eastAsia="Calibri" w:hAnsi="Arial" w:cs="Arial"/>
                <w:lang w:val="es-ES"/>
              </w:rPr>
            </w:pPr>
            <w:r w:rsidRPr="00791593">
              <w:rPr>
                <w:rFonts w:ascii="Arial" w:eastAsia="Calibri" w:hAnsi="Arial" w:cs="Arial"/>
                <w:lang w:val="es-ES"/>
              </w:rPr>
              <w:t>(48.60%)</w:t>
            </w:r>
          </w:p>
        </w:tc>
      </w:tr>
      <w:tr w:rsidR="006F5238" w:rsidRPr="00791593" w14:paraId="2E3DA55A" w14:textId="77777777" w:rsidTr="00B05F31">
        <w:trPr>
          <w:trHeight w:val="407"/>
        </w:trPr>
        <w:tc>
          <w:tcPr>
            <w:tcW w:w="2410" w:type="dxa"/>
          </w:tcPr>
          <w:p w14:paraId="06ADFE83" w14:textId="77777777" w:rsidR="006F5238" w:rsidRPr="00791593" w:rsidRDefault="006F5238" w:rsidP="006F5238">
            <w:pPr>
              <w:rPr>
                <w:rFonts w:ascii="Arial" w:eastAsia="Calibri" w:hAnsi="Arial" w:cs="Arial"/>
                <w:lang w:val="es-ES"/>
              </w:rPr>
            </w:pPr>
            <w:r w:rsidRPr="00791593">
              <w:rPr>
                <w:rFonts w:ascii="Arial" w:eastAsia="Calibri" w:hAnsi="Arial" w:cs="Arial"/>
                <w:b/>
                <w:lang w:val="es-ES"/>
              </w:rPr>
              <w:t>Ciudadanos que firmaron lista de asistencia y escritos de inconformidad</w:t>
            </w:r>
          </w:p>
        </w:tc>
        <w:tc>
          <w:tcPr>
            <w:tcW w:w="2438" w:type="dxa"/>
          </w:tcPr>
          <w:p w14:paraId="5C09A0FC" w14:textId="77777777" w:rsidR="006F5238" w:rsidRPr="00791593" w:rsidRDefault="006F5238" w:rsidP="006F5238">
            <w:pPr>
              <w:jc w:val="center"/>
              <w:rPr>
                <w:rFonts w:ascii="Arial" w:eastAsia="Calibri" w:hAnsi="Arial" w:cs="Arial"/>
                <w:b/>
                <w:bCs/>
                <w:color w:val="000000"/>
                <w:lang w:val="es-ES"/>
              </w:rPr>
            </w:pPr>
            <w:r w:rsidRPr="00791593">
              <w:rPr>
                <w:rFonts w:ascii="Arial" w:eastAsia="Calibri" w:hAnsi="Arial" w:cs="Arial"/>
                <w:b/>
                <w:bCs/>
                <w:color w:val="000000"/>
                <w:lang w:val="es-ES"/>
              </w:rPr>
              <w:t>Mil ciento setenta y ocho</w:t>
            </w:r>
          </w:p>
          <w:p w14:paraId="7871C2A1" w14:textId="77777777" w:rsidR="006F5238" w:rsidRPr="00791593" w:rsidRDefault="006F5238" w:rsidP="006F5238">
            <w:pPr>
              <w:jc w:val="center"/>
              <w:rPr>
                <w:rFonts w:ascii="Arial" w:eastAsia="Calibri" w:hAnsi="Arial" w:cs="Arial"/>
                <w:b/>
                <w:bCs/>
                <w:color w:val="000000"/>
                <w:lang w:val="es-ES"/>
              </w:rPr>
            </w:pPr>
            <w:r w:rsidRPr="00791593">
              <w:rPr>
                <w:rFonts w:ascii="Arial" w:eastAsia="Calibri" w:hAnsi="Arial" w:cs="Arial"/>
                <w:b/>
                <w:bCs/>
                <w:color w:val="000000"/>
                <w:lang w:val="es-ES"/>
              </w:rPr>
              <w:t>(1, 178)</w:t>
            </w:r>
          </w:p>
          <w:p w14:paraId="3F448796" w14:textId="77777777" w:rsidR="006F5238" w:rsidRPr="00791593" w:rsidRDefault="006F5238" w:rsidP="006F5238">
            <w:pPr>
              <w:jc w:val="center"/>
              <w:rPr>
                <w:rFonts w:ascii="Arial" w:eastAsia="Calibri" w:hAnsi="Arial" w:cs="Arial"/>
                <w:lang w:val="es-ES"/>
              </w:rPr>
            </w:pPr>
          </w:p>
        </w:tc>
        <w:tc>
          <w:tcPr>
            <w:tcW w:w="2631" w:type="dxa"/>
          </w:tcPr>
          <w:p w14:paraId="43124AF3" w14:textId="77777777" w:rsidR="006F5238" w:rsidRPr="00791593" w:rsidRDefault="006F5238" w:rsidP="006F5238">
            <w:pPr>
              <w:jc w:val="center"/>
              <w:rPr>
                <w:rFonts w:ascii="Arial" w:eastAsia="Calibri" w:hAnsi="Arial" w:cs="Arial"/>
                <w:b/>
                <w:lang w:val="es-ES"/>
              </w:rPr>
            </w:pPr>
            <w:r w:rsidRPr="00791593">
              <w:rPr>
                <w:rFonts w:ascii="Arial" w:eastAsia="Calibri" w:hAnsi="Arial" w:cs="Arial"/>
                <w:b/>
                <w:lang w:val="es-ES"/>
              </w:rPr>
              <w:t>Treinta y seis punto cincuenta y ocho por ciento</w:t>
            </w:r>
          </w:p>
          <w:p w14:paraId="2FD234BB" w14:textId="77777777" w:rsidR="006F5238" w:rsidRPr="00791593" w:rsidRDefault="006F5238" w:rsidP="006F5238">
            <w:pPr>
              <w:jc w:val="center"/>
              <w:rPr>
                <w:rFonts w:ascii="Arial" w:eastAsia="Calibri" w:hAnsi="Arial" w:cs="Arial"/>
                <w:b/>
                <w:lang w:val="es-ES"/>
              </w:rPr>
            </w:pPr>
            <w:r w:rsidRPr="00791593">
              <w:rPr>
                <w:rFonts w:ascii="Arial" w:eastAsia="Calibri" w:hAnsi="Arial" w:cs="Arial"/>
                <w:b/>
                <w:lang w:val="es-ES"/>
              </w:rPr>
              <w:t>(36.58%)</w:t>
            </w:r>
          </w:p>
        </w:tc>
      </w:tr>
    </w:tbl>
    <w:p w14:paraId="0DFD491C" w14:textId="77777777" w:rsidR="006F5238" w:rsidRPr="00791593" w:rsidRDefault="006F5238" w:rsidP="008D1689">
      <w:pPr>
        <w:numPr>
          <w:ilvl w:val="0"/>
          <w:numId w:val="8"/>
        </w:numPr>
        <w:spacing w:before="120" w:after="120" w:line="408" w:lineRule="auto"/>
        <w:ind w:left="714" w:hanging="357"/>
        <w:contextualSpacing/>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Porcentajes con relación al total  de personas que firmaron las listas de asistencia, es decir, mil setecientas setenta y nueve (</w:t>
      </w:r>
      <w:r w:rsidRPr="00791593">
        <w:rPr>
          <w:rFonts w:ascii="Arial" w:eastAsia="Times New Roman" w:hAnsi="Arial" w:cs="Arial"/>
          <w:b/>
          <w:sz w:val="28"/>
          <w:szCs w:val="28"/>
          <w:lang w:val="es-ES" w:eastAsia="es-ES"/>
        </w:rPr>
        <w:t>1, 779</w:t>
      </w:r>
      <w:r w:rsidRPr="00791593">
        <w:rPr>
          <w:rFonts w:ascii="Arial" w:eastAsia="Times New Roman" w:hAnsi="Arial" w:cs="Arial"/>
          <w:sz w:val="28"/>
          <w:szCs w:val="28"/>
          <w:lang w:val="es-ES" w:eastAsia="es-ES"/>
        </w:rPr>
        <w:t>), que corresponde al cien por ciento</w:t>
      </w:r>
      <w:r w:rsidRPr="00791593">
        <w:rPr>
          <w:rFonts w:ascii="Arial" w:eastAsia="Times New Roman" w:hAnsi="Arial" w:cs="Arial"/>
          <w:b/>
          <w:sz w:val="28"/>
          <w:szCs w:val="28"/>
          <w:lang w:val="es-ES" w:eastAsia="es-ES"/>
        </w:rPr>
        <w:t xml:space="preserve"> </w:t>
      </w:r>
      <w:r w:rsidRPr="00791593">
        <w:rPr>
          <w:rFonts w:ascii="Arial" w:eastAsia="Times New Roman" w:hAnsi="Arial" w:cs="Arial"/>
          <w:sz w:val="28"/>
          <w:szCs w:val="28"/>
          <w:lang w:val="es-ES" w:eastAsia="es-ES"/>
        </w:rPr>
        <w:t>(</w:t>
      </w:r>
      <w:r w:rsidRPr="00791593">
        <w:rPr>
          <w:rFonts w:ascii="Arial" w:eastAsia="Times New Roman" w:hAnsi="Arial" w:cs="Arial"/>
          <w:b/>
          <w:sz w:val="28"/>
          <w:szCs w:val="28"/>
          <w:lang w:val="es-ES" w:eastAsia="es-ES"/>
        </w:rPr>
        <w:t>100%</w:t>
      </w:r>
      <w:r w:rsidRPr="00791593">
        <w:rPr>
          <w:rFonts w:ascii="Arial" w:eastAsia="Times New Roman" w:hAnsi="Arial" w:cs="Arial"/>
          <w:sz w:val="28"/>
          <w:szCs w:val="28"/>
          <w:lang w:val="es-ES" w:eastAsia="es-ES"/>
        </w:rPr>
        <w:t>) de ciudadanos que firmaron las listas de asistencia.</w:t>
      </w:r>
    </w:p>
    <w:tbl>
      <w:tblPr>
        <w:tblStyle w:val="Tablaconcuadrcula1"/>
        <w:tblW w:w="0" w:type="auto"/>
        <w:jc w:val="center"/>
        <w:tblLook w:val="04A0" w:firstRow="1" w:lastRow="0" w:firstColumn="1" w:lastColumn="0" w:noHBand="0" w:noVBand="1"/>
      </w:tblPr>
      <w:tblGrid>
        <w:gridCol w:w="2268"/>
        <w:gridCol w:w="2552"/>
        <w:gridCol w:w="2634"/>
      </w:tblGrid>
      <w:tr w:rsidR="006F5238" w:rsidRPr="00791593" w14:paraId="0CB57F4C" w14:textId="77777777" w:rsidTr="006F5238">
        <w:trPr>
          <w:trHeight w:val="740"/>
          <w:tblHeader/>
          <w:jc w:val="center"/>
        </w:trPr>
        <w:tc>
          <w:tcPr>
            <w:tcW w:w="2268" w:type="dxa"/>
            <w:shd w:val="clear" w:color="auto" w:fill="BFBFBF"/>
            <w:vAlign w:val="center"/>
          </w:tcPr>
          <w:p w14:paraId="48EA81BA" w14:textId="77777777" w:rsidR="006F5238" w:rsidRPr="00791593" w:rsidRDefault="006F5238" w:rsidP="006F5238">
            <w:pPr>
              <w:jc w:val="center"/>
              <w:rPr>
                <w:rFonts w:ascii="Arial" w:eastAsia="Calibri" w:hAnsi="Arial" w:cs="Arial"/>
                <w:b/>
                <w:lang w:val="es-ES"/>
              </w:rPr>
            </w:pPr>
            <w:r w:rsidRPr="00791593">
              <w:rPr>
                <w:rFonts w:ascii="Arial" w:eastAsia="Calibri" w:hAnsi="Arial" w:cs="Arial"/>
                <w:b/>
                <w:lang w:val="es-ES"/>
              </w:rPr>
              <w:t>Descripción</w:t>
            </w:r>
          </w:p>
        </w:tc>
        <w:tc>
          <w:tcPr>
            <w:tcW w:w="2552" w:type="dxa"/>
            <w:shd w:val="clear" w:color="auto" w:fill="BFBFBF"/>
            <w:vAlign w:val="center"/>
          </w:tcPr>
          <w:p w14:paraId="677F8C24" w14:textId="77777777" w:rsidR="006F5238" w:rsidRPr="00791593" w:rsidRDefault="006F5238" w:rsidP="006F5238">
            <w:pPr>
              <w:jc w:val="center"/>
              <w:rPr>
                <w:rFonts w:ascii="Arial" w:eastAsia="Calibri" w:hAnsi="Arial" w:cs="Arial"/>
                <w:b/>
                <w:lang w:val="es-ES"/>
              </w:rPr>
            </w:pPr>
            <w:r w:rsidRPr="00791593">
              <w:rPr>
                <w:rFonts w:ascii="Arial" w:eastAsia="Calibri" w:hAnsi="Arial" w:cs="Arial"/>
                <w:b/>
                <w:lang w:val="es-ES"/>
              </w:rPr>
              <w:t>Total</w:t>
            </w:r>
          </w:p>
        </w:tc>
        <w:tc>
          <w:tcPr>
            <w:tcW w:w="2634" w:type="dxa"/>
            <w:shd w:val="clear" w:color="auto" w:fill="BFBFBF"/>
            <w:vAlign w:val="center"/>
          </w:tcPr>
          <w:p w14:paraId="23303D89" w14:textId="77777777" w:rsidR="006F5238" w:rsidRPr="00791593" w:rsidRDefault="006F5238" w:rsidP="006F5238">
            <w:pPr>
              <w:jc w:val="center"/>
              <w:rPr>
                <w:rFonts w:ascii="Arial" w:eastAsia="Calibri" w:hAnsi="Arial" w:cs="Arial"/>
                <w:b/>
                <w:lang w:val="es-ES"/>
              </w:rPr>
            </w:pPr>
            <w:r w:rsidRPr="00791593">
              <w:rPr>
                <w:rFonts w:ascii="Arial" w:eastAsia="Calibri" w:hAnsi="Arial" w:cs="Arial"/>
                <w:b/>
                <w:lang w:val="es-ES"/>
              </w:rPr>
              <w:t>Porcentaje</w:t>
            </w:r>
          </w:p>
        </w:tc>
      </w:tr>
      <w:tr w:rsidR="006F5238" w:rsidRPr="00791593" w14:paraId="23FAFA29" w14:textId="77777777" w:rsidTr="00B05F31">
        <w:trPr>
          <w:jc w:val="center"/>
        </w:trPr>
        <w:tc>
          <w:tcPr>
            <w:tcW w:w="2268" w:type="dxa"/>
          </w:tcPr>
          <w:p w14:paraId="29E147E0" w14:textId="77777777" w:rsidR="006F5238" w:rsidRPr="00791593" w:rsidRDefault="006F5238" w:rsidP="006F5238">
            <w:pPr>
              <w:rPr>
                <w:rFonts w:ascii="Arial" w:eastAsia="Calibri" w:hAnsi="Arial" w:cs="Arial"/>
                <w:lang w:val="es-ES"/>
              </w:rPr>
            </w:pPr>
            <w:r w:rsidRPr="00791593">
              <w:rPr>
                <w:rFonts w:ascii="Arial" w:eastAsia="Calibri" w:hAnsi="Arial" w:cs="Arial"/>
                <w:lang w:val="es-ES"/>
              </w:rPr>
              <w:t>Ciudadanos que suscribieron escritos de inconformidad</w:t>
            </w:r>
          </w:p>
        </w:tc>
        <w:tc>
          <w:tcPr>
            <w:tcW w:w="2552" w:type="dxa"/>
          </w:tcPr>
          <w:p w14:paraId="428F17DE" w14:textId="77777777" w:rsidR="006F5238" w:rsidRPr="00791593" w:rsidRDefault="006F5238" w:rsidP="006F5238">
            <w:pPr>
              <w:jc w:val="center"/>
              <w:rPr>
                <w:rFonts w:ascii="Arial" w:eastAsia="Calibri" w:hAnsi="Arial" w:cs="Arial"/>
                <w:lang w:val="es-ES"/>
              </w:rPr>
            </w:pPr>
            <w:r w:rsidRPr="00791593">
              <w:rPr>
                <w:rFonts w:ascii="Arial" w:eastAsia="Calibri" w:hAnsi="Arial" w:cs="Arial"/>
                <w:lang w:val="es-ES"/>
              </w:rPr>
              <w:t>Mil quinientos sesenta y cinco</w:t>
            </w:r>
          </w:p>
          <w:p w14:paraId="06938208" w14:textId="77777777" w:rsidR="006F5238" w:rsidRPr="00791593" w:rsidRDefault="006F5238" w:rsidP="006F5238">
            <w:pPr>
              <w:jc w:val="center"/>
              <w:rPr>
                <w:rFonts w:ascii="Arial" w:eastAsia="Calibri" w:hAnsi="Arial" w:cs="Arial"/>
                <w:lang w:val="es-ES"/>
              </w:rPr>
            </w:pPr>
            <w:r w:rsidRPr="00791593">
              <w:rPr>
                <w:rFonts w:ascii="Arial" w:eastAsia="Calibri" w:hAnsi="Arial" w:cs="Arial"/>
                <w:lang w:val="es-ES"/>
              </w:rPr>
              <w:t>(1, 565)</w:t>
            </w:r>
          </w:p>
        </w:tc>
        <w:tc>
          <w:tcPr>
            <w:tcW w:w="2634" w:type="dxa"/>
          </w:tcPr>
          <w:p w14:paraId="63F03356" w14:textId="77777777" w:rsidR="006F5238" w:rsidRPr="00791593" w:rsidRDefault="006F5238" w:rsidP="006F5238">
            <w:pPr>
              <w:jc w:val="center"/>
              <w:rPr>
                <w:rFonts w:ascii="Arial" w:eastAsia="Calibri" w:hAnsi="Arial" w:cs="Arial"/>
                <w:lang w:val="es-ES"/>
              </w:rPr>
            </w:pPr>
            <w:r w:rsidRPr="00791593">
              <w:rPr>
                <w:rFonts w:ascii="Arial" w:eastAsia="Calibri" w:hAnsi="Arial" w:cs="Arial"/>
                <w:lang w:val="es-ES"/>
              </w:rPr>
              <w:t>Ochenta y seis punto noventa y siete por ciento</w:t>
            </w:r>
          </w:p>
          <w:p w14:paraId="10EE608F" w14:textId="77777777" w:rsidR="006F5238" w:rsidRPr="00791593" w:rsidRDefault="006F5238" w:rsidP="006F5238">
            <w:pPr>
              <w:jc w:val="center"/>
              <w:rPr>
                <w:rFonts w:ascii="Arial" w:eastAsia="Calibri" w:hAnsi="Arial" w:cs="Arial"/>
                <w:lang w:val="es-ES"/>
              </w:rPr>
            </w:pPr>
            <w:r w:rsidRPr="00791593">
              <w:rPr>
                <w:rFonts w:ascii="Arial" w:eastAsia="Calibri" w:hAnsi="Arial" w:cs="Arial"/>
                <w:lang w:val="es-ES"/>
              </w:rPr>
              <w:t>(86.97%)</w:t>
            </w:r>
          </w:p>
        </w:tc>
      </w:tr>
      <w:tr w:rsidR="006F5238" w:rsidRPr="00791593" w14:paraId="7D8768CE" w14:textId="77777777" w:rsidTr="00B05F31">
        <w:trPr>
          <w:jc w:val="center"/>
        </w:trPr>
        <w:tc>
          <w:tcPr>
            <w:tcW w:w="2268" w:type="dxa"/>
          </w:tcPr>
          <w:p w14:paraId="6E5BB0D0" w14:textId="77777777" w:rsidR="006F5238" w:rsidRPr="00791593" w:rsidRDefault="006F5238" w:rsidP="006F5238">
            <w:pPr>
              <w:rPr>
                <w:rFonts w:ascii="Arial" w:eastAsia="Calibri" w:hAnsi="Arial" w:cs="Arial"/>
                <w:lang w:val="es-ES"/>
              </w:rPr>
            </w:pPr>
            <w:r w:rsidRPr="00791593">
              <w:rPr>
                <w:rFonts w:ascii="Arial" w:eastAsia="Calibri" w:hAnsi="Arial" w:cs="Arial"/>
                <w:b/>
                <w:lang w:val="es-ES"/>
              </w:rPr>
              <w:t>Ciudadanos que firmaron lista de asistencia y escritos de inconformidad</w:t>
            </w:r>
          </w:p>
        </w:tc>
        <w:tc>
          <w:tcPr>
            <w:tcW w:w="2552" w:type="dxa"/>
          </w:tcPr>
          <w:p w14:paraId="4E9B0510" w14:textId="77777777" w:rsidR="006F5238" w:rsidRPr="00791593" w:rsidRDefault="006F5238" w:rsidP="006F5238">
            <w:pPr>
              <w:jc w:val="center"/>
              <w:rPr>
                <w:rFonts w:ascii="Arial" w:eastAsia="Calibri" w:hAnsi="Arial" w:cs="Arial"/>
                <w:b/>
                <w:bCs/>
                <w:color w:val="000000"/>
                <w:lang w:val="es-ES"/>
              </w:rPr>
            </w:pPr>
            <w:r w:rsidRPr="00791593">
              <w:rPr>
                <w:rFonts w:ascii="Arial" w:eastAsia="Calibri" w:hAnsi="Arial" w:cs="Arial"/>
                <w:b/>
                <w:bCs/>
                <w:color w:val="000000"/>
                <w:lang w:val="es-ES"/>
              </w:rPr>
              <w:t>Mil ciento setenta y ocho</w:t>
            </w:r>
          </w:p>
          <w:p w14:paraId="2C1E0710" w14:textId="77777777" w:rsidR="006F5238" w:rsidRPr="00791593" w:rsidRDefault="006F5238" w:rsidP="006F5238">
            <w:pPr>
              <w:jc w:val="center"/>
              <w:rPr>
                <w:rFonts w:ascii="Arial" w:eastAsia="Calibri" w:hAnsi="Arial" w:cs="Arial"/>
                <w:b/>
                <w:bCs/>
                <w:color w:val="000000"/>
                <w:lang w:val="es-ES"/>
              </w:rPr>
            </w:pPr>
            <w:r w:rsidRPr="00791593">
              <w:rPr>
                <w:rFonts w:ascii="Arial" w:eastAsia="Calibri" w:hAnsi="Arial" w:cs="Arial"/>
                <w:b/>
                <w:bCs/>
                <w:color w:val="000000"/>
                <w:lang w:val="es-ES"/>
              </w:rPr>
              <w:t>(1, 178)</w:t>
            </w:r>
          </w:p>
          <w:p w14:paraId="1701B8E5" w14:textId="77777777" w:rsidR="006F5238" w:rsidRPr="00791593" w:rsidRDefault="006F5238" w:rsidP="006F5238">
            <w:pPr>
              <w:jc w:val="center"/>
              <w:rPr>
                <w:rFonts w:ascii="Arial" w:eastAsia="Calibri" w:hAnsi="Arial" w:cs="Arial"/>
                <w:lang w:val="es-ES"/>
              </w:rPr>
            </w:pPr>
          </w:p>
        </w:tc>
        <w:tc>
          <w:tcPr>
            <w:tcW w:w="2634" w:type="dxa"/>
          </w:tcPr>
          <w:p w14:paraId="381EF8FE" w14:textId="77777777" w:rsidR="006F5238" w:rsidRPr="00791593" w:rsidRDefault="006F5238" w:rsidP="006F5238">
            <w:pPr>
              <w:jc w:val="center"/>
              <w:rPr>
                <w:rFonts w:ascii="Arial" w:eastAsia="Calibri" w:hAnsi="Arial" w:cs="Arial"/>
                <w:b/>
                <w:lang w:val="es-ES"/>
              </w:rPr>
            </w:pPr>
            <w:r w:rsidRPr="00791593">
              <w:rPr>
                <w:rFonts w:ascii="Arial" w:eastAsia="Calibri" w:hAnsi="Arial" w:cs="Arial"/>
                <w:b/>
                <w:lang w:val="es-ES"/>
              </w:rPr>
              <w:t>Sesenta y seis punto veintiuno por ciento</w:t>
            </w:r>
          </w:p>
          <w:p w14:paraId="1742ECE9" w14:textId="77777777" w:rsidR="006F5238" w:rsidRPr="00791593" w:rsidRDefault="006F5238" w:rsidP="006F5238">
            <w:pPr>
              <w:jc w:val="center"/>
              <w:rPr>
                <w:rFonts w:ascii="Arial" w:eastAsia="Calibri" w:hAnsi="Arial" w:cs="Arial"/>
                <w:b/>
                <w:lang w:val="es-ES"/>
              </w:rPr>
            </w:pPr>
            <w:r w:rsidRPr="00791593">
              <w:rPr>
                <w:rFonts w:ascii="Arial" w:eastAsia="Calibri" w:hAnsi="Arial" w:cs="Arial"/>
                <w:b/>
                <w:lang w:val="es-ES"/>
              </w:rPr>
              <w:t>(66.21%)</w:t>
            </w:r>
          </w:p>
        </w:tc>
      </w:tr>
    </w:tbl>
    <w:p w14:paraId="4ECC8F96"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Por otra parte, cabe destacar que de la revisión de los autos que integran el expediente al rubro indicado, esta Sala Superior no advierte la existencia de constancia alguna para acreditar, aun cuando fuere en forma indiciaria, cómo se eligió a los nueve regidores correspondientes a las comunidades de “</w:t>
      </w:r>
      <w:r w:rsidRPr="00791593">
        <w:rPr>
          <w:rFonts w:ascii="Arial" w:eastAsia="Times New Roman" w:hAnsi="Arial" w:cs="Arial"/>
          <w:i/>
          <w:sz w:val="24"/>
          <w:szCs w:val="24"/>
          <w:lang w:eastAsia="es-ES"/>
        </w:rPr>
        <w:t>Barrio de Santa Rosa</w:t>
      </w:r>
      <w:r w:rsidRPr="00791593">
        <w:rPr>
          <w:rFonts w:ascii="Arial" w:eastAsia="Times New Roman" w:hAnsi="Arial" w:cs="Arial"/>
          <w:sz w:val="28"/>
          <w:szCs w:val="28"/>
          <w:lang w:eastAsia="es-ES"/>
        </w:rPr>
        <w:t xml:space="preserve">”, </w:t>
      </w:r>
      <w:r w:rsidRPr="00791593">
        <w:rPr>
          <w:rFonts w:ascii="Arial" w:eastAsia="Times New Roman" w:hAnsi="Arial" w:cs="Arial"/>
          <w:i/>
          <w:sz w:val="28"/>
          <w:szCs w:val="28"/>
          <w:lang w:eastAsia="es-ES"/>
        </w:rPr>
        <w:t>“</w:t>
      </w:r>
      <w:r w:rsidRPr="00791593">
        <w:rPr>
          <w:rFonts w:ascii="Arial" w:eastAsia="Times New Roman" w:hAnsi="Arial" w:cs="Arial"/>
          <w:i/>
          <w:sz w:val="24"/>
          <w:szCs w:val="24"/>
          <w:lang w:eastAsia="es-ES"/>
        </w:rPr>
        <w:t>Barrio de San Sebastián</w:t>
      </w:r>
      <w:r w:rsidRPr="00791593">
        <w:rPr>
          <w:rFonts w:ascii="Arial" w:eastAsia="Times New Roman" w:hAnsi="Arial" w:cs="Arial"/>
          <w:i/>
          <w:sz w:val="28"/>
          <w:szCs w:val="28"/>
          <w:lang w:eastAsia="es-ES"/>
        </w:rPr>
        <w:t>”</w:t>
      </w:r>
      <w:r w:rsidRPr="00791593">
        <w:rPr>
          <w:rFonts w:ascii="Arial" w:eastAsia="Times New Roman" w:hAnsi="Arial" w:cs="Arial"/>
          <w:sz w:val="28"/>
          <w:szCs w:val="28"/>
          <w:lang w:eastAsia="es-ES"/>
        </w:rPr>
        <w:t>, “</w:t>
      </w:r>
      <w:r w:rsidRPr="00791593">
        <w:rPr>
          <w:rFonts w:ascii="Arial" w:eastAsia="Times New Roman" w:hAnsi="Arial" w:cs="Arial"/>
          <w:i/>
          <w:sz w:val="24"/>
          <w:szCs w:val="24"/>
          <w:lang w:eastAsia="es-ES"/>
        </w:rPr>
        <w:t>Barrio de San Pedro</w:t>
      </w:r>
      <w:r w:rsidRPr="00791593">
        <w:rPr>
          <w:rFonts w:ascii="Arial" w:eastAsia="Times New Roman" w:hAnsi="Arial" w:cs="Arial"/>
          <w:i/>
          <w:sz w:val="28"/>
          <w:szCs w:val="28"/>
          <w:lang w:eastAsia="es-ES"/>
        </w:rPr>
        <w:t>”</w:t>
      </w:r>
      <w:r w:rsidRPr="00791593">
        <w:rPr>
          <w:rFonts w:ascii="Arial" w:eastAsia="Times New Roman" w:hAnsi="Arial" w:cs="Arial"/>
          <w:sz w:val="28"/>
          <w:szCs w:val="28"/>
          <w:lang w:eastAsia="es-ES"/>
        </w:rPr>
        <w:t>, “</w:t>
      </w:r>
      <w:r w:rsidRPr="00791593">
        <w:rPr>
          <w:rFonts w:ascii="Arial" w:eastAsia="Times New Roman" w:hAnsi="Arial" w:cs="Arial"/>
          <w:i/>
          <w:sz w:val="24"/>
          <w:szCs w:val="24"/>
          <w:lang w:eastAsia="es-ES"/>
        </w:rPr>
        <w:t>Sabino Solo</w:t>
      </w:r>
      <w:r w:rsidRPr="00791593">
        <w:rPr>
          <w:rFonts w:ascii="Arial" w:eastAsia="Times New Roman" w:hAnsi="Arial" w:cs="Arial"/>
          <w:sz w:val="28"/>
          <w:szCs w:val="28"/>
          <w:lang w:eastAsia="es-ES"/>
        </w:rPr>
        <w:t>”, “</w:t>
      </w:r>
      <w:r w:rsidRPr="00791593">
        <w:rPr>
          <w:rFonts w:ascii="Arial" w:eastAsia="Times New Roman" w:hAnsi="Arial" w:cs="Arial"/>
          <w:i/>
          <w:sz w:val="24"/>
          <w:szCs w:val="24"/>
          <w:lang w:eastAsia="es-ES"/>
        </w:rPr>
        <w:t>Santa Cruz Rancho Viejo</w:t>
      </w:r>
      <w:r w:rsidRPr="00791593">
        <w:rPr>
          <w:rFonts w:ascii="Arial" w:eastAsia="Times New Roman" w:hAnsi="Arial" w:cs="Arial"/>
          <w:sz w:val="28"/>
          <w:szCs w:val="28"/>
          <w:lang w:eastAsia="es-ES"/>
        </w:rPr>
        <w:t>”, “</w:t>
      </w:r>
      <w:r w:rsidRPr="00791593">
        <w:rPr>
          <w:rFonts w:ascii="Arial" w:eastAsia="Times New Roman" w:hAnsi="Arial" w:cs="Arial"/>
          <w:i/>
          <w:sz w:val="24"/>
          <w:szCs w:val="24"/>
          <w:lang w:eastAsia="es-ES"/>
        </w:rPr>
        <w:t>Agua Buena”, “Tecomaxtlahuaca el Viejo</w:t>
      </w:r>
      <w:r w:rsidRPr="00791593">
        <w:rPr>
          <w:rFonts w:ascii="Arial" w:eastAsia="Times New Roman" w:hAnsi="Arial" w:cs="Arial"/>
          <w:i/>
          <w:sz w:val="28"/>
          <w:szCs w:val="28"/>
          <w:lang w:eastAsia="es-MX"/>
        </w:rPr>
        <w:t>”</w:t>
      </w:r>
      <w:r w:rsidRPr="00791593">
        <w:rPr>
          <w:rFonts w:ascii="Arial" w:eastAsia="Times New Roman" w:hAnsi="Arial" w:cs="Arial"/>
          <w:sz w:val="28"/>
          <w:szCs w:val="28"/>
          <w:lang w:eastAsia="es-MX"/>
        </w:rPr>
        <w:t>, “</w:t>
      </w:r>
      <w:r w:rsidRPr="00791593">
        <w:rPr>
          <w:rFonts w:ascii="Arial" w:eastAsia="Times New Roman" w:hAnsi="Arial" w:cs="Arial"/>
          <w:i/>
          <w:sz w:val="24"/>
          <w:szCs w:val="24"/>
          <w:lang w:eastAsia="es-ES"/>
        </w:rPr>
        <w:t>Animas Yucuniciasi</w:t>
      </w:r>
      <w:r w:rsidRPr="00791593">
        <w:rPr>
          <w:rFonts w:ascii="Arial" w:eastAsia="Times New Roman" w:hAnsi="Arial" w:cs="Arial"/>
          <w:sz w:val="28"/>
          <w:szCs w:val="28"/>
          <w:lang w:eastAsia="es-MX"/>
        </w:rPr>
        <w:t>”, “</w:t>
      </w:r>
      <w:r w:rsidRPr="00791593">
        <w:rPr>
          <w:rFonts w:ascii="Arial" w:eastAsia="Times New Roman" w:hAnsi="Arial" w:cs="Arial"/>
          <w:i/>
          <w:sz w:val="24"/>
          <w:szCs w:val="24"/>
          <w:lang w:eastAsia="es-ES"/>
        </w:rPr>
        <w:t>Yosoyu”</w:t>
      </w:r>
      <w:r w:rsidRPr="00791593">
        <w:rPr>
          <w:rFonts w:ascii="Arial" w:eastAsia="Times New Roman" w:hAnsi="Arial" w:cs="Arial"/>
          <w:sz w:val="28"/>
          <w:szCs w:val="28"/>
          <w:lang w:eastAsia="es-MX"/>
        </w:rPr>
        <w:t xml:space="preserve">, </w:t>
      </w:r>
      <w:r w:rsidRPr="00791593">
        <w:rPr>
          <w:rFonts w:ascii="Arial" w:eastAsia="Times New Roman" w:hAnsi="Arial" w:cs="Arial"/>
          <w:sz w:val="28"/>
          <w:szCs w:val="28"/>
          <w:lang w:eastAsia="es-ES"/>
        </w:rPr>
        <w:t>así como a los representantes municipales de las comunidades denominadas “</w:t>
      </w:r>
      <w:r w:rsidRPr="00791593">
        <w:rPr>
          <w:rFonts w:ascii="Arial" w:eastAsia="Times New Roman" w:hAnsi="Arial" w:cs="Arial"/>
          <w:i/>
          <w:sz w:val="24"/>
          <w:szCs w:val="24"/>
          <w:lang w:eastAsia="es-ES"/>
        </w:rPr>
        <w:t>El Mogote</w:t>
      </w:r>
      <w:r w:rsidRPr="00791593">
        <w:rPr>
          <w:rFonts w:ascii="Arial" w:eastAsia="Times New Roman" w:hAnsi="Arial" w:cs="Arial"/>
          <w:i/>
          <w:sz w:val="28"/>
          <w:szCs w:val="28"/>
          <w:lang w:eastAsia="es-ES"/>
        </w:rPr>
        <w:t>”,</w:t>
      </w:r>
      <w:r w:rsidRPr="00791593">
        <w:rPr>
          <w:rFonts w:ascii="Arial" w:eastAsia="Times New Roman" w:hAnsi="Arial" w:cs="Arial"/>
          <w:sz w:val="28"/>
          <w:szCs w:val="28"/>
          <w:lang w:eastAsia="es-ES"/>
        </w:rPr>
        <w:t xml:space="preserve"> “</w:t>
      </w:r>
      <w:r w:rsidRPr="00791593">
        <w:rPr>
          <w:rFonts w:ascii="Arial" w:eastAsia="Times New Roman" w:hAnsi="Arial" w:cs="Arial"/>
          <w:i/>
          <w:sz w:val="24"/>
          <w:szCs w:val="24"/>
          <w:lang w:eastAsia="es-ES"/>
        </w:rPr>
        <w:t>Los Rendon</w:t>
      </w:r>
      <w:r w:rsidRPr="00791593">
        <w:rPr>
          <w:rFonts w:ascii="Arial" w:eastAsia="Times New Roman" w:hAnsi="Arial" w:cs="Arial"/>
          <w:sz w:val="28"/>
          <w:szCs w:val="28"/>
          <w:lang w:eastAsia="es-ES"/>
        </w:rPr>
        <w:t>” y “</w:t>
      </w:r>
      <w:r w:rsidRPr="00791593">
        <w:rPr>
          <w:rFonts w:ascii="Arial" w:eastAsia="Times New Roman" w:hAnsi="Arial" w:cs="Arial"/>
          <w:i/>
          <w:sz w:val="24"/>
          <w:szCs w:val="24"/>
          <w:lang w:eastAsia="es-ES"/>
        </w:rPr>
        <w:t>Los Avarado</w:t>
      </w:r>
      <w:r w:rsidRPr="00791593">
        <w:rPr>
          <w:rFonts w:ascii="Arial" w:eastAsia="Times New Roman" w:hAnsi="Arial" w:cs="Arial"/>
          <w:sz w:val="28"/>
          <w:szCs w:val="28"/>
          <w:lang w:eastAsia="es-ES"/>
        </w:rPr>
        <w:t xml:space="preserve">”, es decir, no obra en el expediente el acta de la asamblea de cada una de las comunidades en las que presuntamente fueron designados los regidores y representantes municipales. </w:t>
      </w:r>
    </w:p>
    <w:p w14:paraId="18AD44F0"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En consecuencia, a juicio de esta Sala Superior, tampoco existe certeza de que los regidores de las mencionadas comunidades y los citados representantes municipales, hubieren sido electos por el voto de los ciudadanos con derecho a ello o bien por los órganos competentes de cada una de las comunidades de referencia. </w:t>
      </w:r>
    </w:p>
    <w:p w14:paraId="4A3A5DB0"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Por las anteriores consideraciones, a juicio de esta Sala Superior, se debe declarar la nulidad de la elección de integrantes del </w:t>
      </w:r>
      <w:r w:rsidRPr="00791593">
        <w:rPr>
          <w:rFonts w:ascii="Arial" w:eastAsia="Times New Roman" w:hAnsi="Arial" w:cs="Arial"/>
          <w:bCs/>
          <w:sz w:val="28"/>
          <w:szCs w:val="28"/>
          <w:lang w:eastAsia="es-ES"/>
        </w:rPr>
        <w:t xml:space="preserve">Ayuntamiento </w:t>
      </w:r>
      <w:r w:rsidRPr="00791593">
        <w:rPr>
          <w:rFonts w:ascii="Arial" w:eastAsia="Times New Roman" w:hAnsi="Arial" w:cs="Arial"/>
          <w:sz w:val="28"/>
          <w:szCs w:val="28"/>
          <w:lang w:eastAsia="es-MX"/>
        </w:rPr>
        <w:t>de San Sebastián Tecomaxtlahuaca, Juxtlahuaca, Oaxaca</w:t>
      </w:r>
      <w:r w:rsidRPr="00791593">
        <w:rPr>
          <w:rFonts w:ascii="Arial" w:eastAsia="Times New Roman" w:hAnsi="Arial" w:cs="Arial"/>
          <w:sz w:val="28"/>
          <w:szCs w:val="28"/>
          <w:lang w:eastAsia="es-ES"/>
        </w:rPr>
        <w:t xml:space="preserve">, por violación a los principios constitucionales de certeza y autenticidad que deben regir a todas las elecciones, incluidas las que se llevan a cabo conforme a los sistemas normativos internos de las comunidades indígenas. </w:t>
      </w:r>
    </w:p>
    <w:p w14:paraId="3C29131D"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SÉPTIMO. Efectos de la sentencia.</w:t>
      </w:r>
      <w:r w:rsidRPr="00791593">
        <w:rPr>
          <w:rFonts w:ascii="Arial" w:eastAsia="Times New Roman" w:hAnsi="Arial" w:cs="Arial"/>
          <w:sz w:val="28"/>
          <w:szCs w:val="28"/>
          <w:lang w:eastAsia="es-ES"/>
        </w:rPr>
        <w:t xml:space="preserve"> En términos de lo resuelto en el considerando que antecede, es pertinente precisar los efectos de esta sentencia:</w:t>
      </w:r>
    </w:p>
    <w:p w14:paraId="0ECF01C6"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1.</w:t>
      </w:r>
      <w:r w:rsidRPr="00791593">
        <w:rPr>
          <w:rFonts w:ascii="Arial" w:eastAsia="Times New Roman" w:hAnsi="Arial" w:cs="Arial"/>
          <w:sz w:val="28"/>
          <w:szCs w:val="28"/>
          <w:lang w:eastAsia="es-ES"/>
        </w:rPr>
        <w:t xml:space="preserve"> Revocar la sentencia dictada por la Sala Regional Xalapa de este Tribunal Electoral, el diez de abril de dos mil catorce, en el juicio para la protección de los derechos político-electorales del ciudadano identificado con la clave SX-JDC-111/2014, por las razones y fundamentos expresados en el considerando precedente de esta ejecutoria.</w:t>
      </w:r>
    </w:p>
    <w:p w14:paraId="3683D249"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2.</w:t>
      </w:r>
      <w:r w:rsidRPr="00791593">
        <w:rPr>
          <w:rFonts w:ascii="Arial" w:eastAsia="Times New Roman" w:hAnsi="Arial" w:cs="Arial"/>
          <w:sz w:val="28"/>
          <w:szCs w:val="28"/>
          <w:lang w:eastAsia="es-ES"/>
        </w:rPr>
        <w:t xml:space="preserve"> Confirmar el sentido de la sentencia dictada por el Tribunal Estatal Electoral del Poder Judicial de Oaxaca, en el juicio electoral de los sistemas normativos internos identificado con la clave JNI/09/2014.</w:t>
      </w:r>
    </w:p>
    <w:p w14:paraId="7A270DB0"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val="es-ES" w:eastAsia="es-MX"/>
        </w:rPr>
      </w:pPr>
      <w:r w:rsidRPr="00791593">
        <w:rPr>
          <w:rFonts w:ascii="Arial" w:eastAsia="Times New Roman" w:hAnsi="Arial" w:cs="Arial"/>
          <w:b/>
          <w:sz w:val="28"/>
          <w:szCs w:val="28"/>
          <w:lang w:eastAsia="es-ES"/>
        </w:rPr>
        <w:t>3.</w:t>
      </w:r>
      <w:r w:rsidRPr="00791593">
        <w:rPr>
          <w:rFonts w:ascii="Arial" w:eastAsia="Times New Roman" w:hAnsi="Arial" w:cs="Arial"/>
          <w:sz w:val="28"/>
          <w:szCs w:val="28"/>
          <w:lang w:eastAsia="es-ES"/>
        </w:rPr>
        <w:t xml:space="preserve"> Conforme a lo precisado en el considerando precedente de esta ejecutoria, al haber quedado plenamente acreditada la vulneración a los principios constitucionales de certeza y autenticidad de las elecciones, se declara la nulidad de la elección de integrantes del Ayuntamiento de </w:t>
      </w:r>
      <w:r w:rsidRPr="00791593">
        <w:rPr>
          <w:rFonts w:ascii="Arial" w:eastAsia="Times New Roman" w:hAnsi="Arial" w:cs="Arial"/>
          <w:sz w:val="28"/>
          <w:szCs w:val="28"/>
          <w:lang w:val="es-ES" w:eastAsia="es-MX"/>
        </w:rPr>
        <w:t>San Sebastián Tecomaxtlahuaca, Juxtlahuaca, Oaxaca.</w:t>
      </w:r>
    </w:p>
    <w:p w14:paraId="47450A9B"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bCs/>
          <w:sz w:val="28"/>
          <w:szCs w:val="28"/>
          <w:lang w:eastAsia="es-ES"/>
        </w:rPr>
      </w:pPr>
      <w:r w:rsidRPr="00791593">
        <w:rPr>
          <w:rFonts w:ascii="Arial" w:eastAsia="Times New Roman" w:hAnsi="Arial" w:cs="Arial"/>
          <w:b/>
          <w:sz w:val="28"/>
          <w:szCs w:val="28"/>
          <w:lang w:eastAsia="es-ES"/>
        </w:rPr>
        <w:t>4.</w:t>
      </w:r>
      <w:r w:rsidRPr="00791593">
        <w:rPr>
          <w:rFonts w:ascii="Arial" w:eastAsia="Times New Roman" w:hAnsi="Arial" w:cs="Arial"/>
          <w:sz w:val="28"/>
          <w:szCs w:val="28"/>
          <w:lang w:eastAsia="es-ES"/>
        </w:rPr>
        <w:t xml:space="preserve"> En consecuencia, se revocan las constancias de mayoría y validez otorgadas a favor de </w:t>
      </w:r>
      <w:r w:rsidRPr="00791593">
        <w:rPr>
          <w:rFonts w:ascii="Arial" w:eastAsia="Times New Roman" w:hAnsi="Arial" w:cs="Arial"/>
          <w:bCs/>
          <w:sz w:val="28"/>
          <w:szCs w:val="28"/>
          <w:lang w:eastAsia="es-ES"/>
        </w:rPr>
        <w:t>Javier Rubio Rosas, José Conrado Salazar Guzmán, Antonio Isaí Galicia Tapia, René Gregorio Salazar Mendoza, Abraham Pacheco Ramírez, Fredy Mendoza Ramírez, José Jorge Martínez Cortes, Martín Filemón Luengas Vetanso, Carmelo García López, Zacarías Santiago Salazar Guzmán, Santiago Sierra Valverde, Luis Rogelio Mendoza Chávez, Juan Alberto Luna Camarillo, Leobardo Catalino Cruz Hernández, Marcial Domínguez Miranda y Elesban Sánchez Marín.</w:t>
      </w:r>
    </w:p>
    <w:p w14:paraId="3EB4A4EA"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5.</w:t>
      </w:r>
      <w:r w:rsidRPr="00791593">
        <w:rPr>
          <w:rFonts w:ascii="Arial" w:eastAsia="Times New Roman" w:hAnsi="Arial" w:cs="Arial"/>
          <w:sz w:val="28"/>
          <w:szCs w:val="28"/>
          <w:lang w:eastAsia="es-ES"/>
        </w:rPr>
        <w:t xml:space="preserve"> Por tanto, se ordena notificar esta sentencia a la LXII Legislatura del Congreso, así como al Tribunal </w:t>
      </w:r>
      <w:r w:rsidRPr="00791593">
        <w:rPr>
          <w:rFonts w:ascii="Arial" w:eastAsia="Times New Roman" w:hAnsi="Arial" w:cs="Arial"/>
          <w:bCs/>
          <w:sz w:val="28"/>
          <w:szCs w:val="28"/>
          <w:lang w:eastAsia="es-ES"/>
        </w:rPr>
        <w:t>Estatal Electoral del Poder Judicial y</w:t>
      </w:r>
      <w:r w:rsidRPr="00791593">
        <w:rPr>
          <w:rFonts w:ascii="Arial" w:eastAsia="Times New Roman" w:hAnsi="Arial" w:cs="Arial"/>
          <w:sz w:val="28"/>
          <w:szCs w:val="28"/>
          <w:lang w:eastAsia="es-ES"/>
        </w:rPr>
        <w:t xml:space="preserve"> al Consejo General del Instituto </w:t>
      </w:r>
      <w:r w:rsidRPr="00791593">
        <w:rPr>
          <w:rFonts w:ascii="Arial" w:eastAsia="Times New Roman" w:hAnsi="Arial" w:cs="Arial"/>
          <w:bCs/>
          <w:sz w:val="28"/>
          <w:szCs w:val="28"/>
          <w:lang w:val="es-ES" w:eastAsia="es-ES"/>
        </w:rPr>
        <w:t xml:space="preserve">Estatal </w:t>
      </w:r>
      <w:r w:rsidRPr="00791593">
        <w:rPr>
          <w:rFonts w:ascii="Arial" w:eastAsia="Times New Roman" w:hAnsi="Arial" w:cs="Arial"/>
          <w:sz w:val="28"/>
          <w:szCs w:val="28"/>
          <w:lang w:eastAsia="es-ES"/>
        </w:rPr>
        <w:t xml:space="preserve">Electoral </w:t>
      </w:r>
      <w:r w:rsidRPr="00791593">
        <w:rPr>
          <w:rFonts w:ascii="Arial" w:eastAsia="Times New Roman" w:hAnsi="Arial" w:cs="Arial"/>
          <w:bCs/>
          <w:sz w:val="28"/>
          <w:szCs w:val="28"/>
          <w:lang w:val="es-ES" w:eastAsia="es-ES"/>
        </w:rPr>
        <w:t>y de Participación Ciudadana</w:t>
      </w:r>
      <w:r w:rsidRPr="00791593">
        <w:rPr>
          <w:rFonts w:ascii="Arial" w:eastAsia="Times New Roman" w:hAnsi="Arial" w:cs="Arial"/>
          <w:sz w:val="28"/>
          <w:szCs w:val="28"/>
          <w:lang w:eastAsia="es-ES"/>
        </w:rPr>
        <w:t>, todos del Estado de Oaxaca, a fin de que, en su respectivo ámbito de competencia, procedan conforme a lo previsto en los artículos 59, fracción XXVII, de la Constitución Política del Estado, 86, párrafo 1, y 267, párrafo 2, del Código de Instituciones Políticas y Procedimientos Electorales de la entidad.</w:t>
      </w:r>
    </w:p>
    <w:p w14:paraId="33277F39"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6.</w:t>
      </w:r>
      <w:r w:rsidRPr="00791593">
        <w:rPr>
          <w:rFonts w:ascii="Arial" w:eastAsia="Times New Roman" w:hAnsi="Arial" w:cs="Arial"/>
          <w:sz w:val="28"/>
          <w:szCs w:val="28"/>
          <w:lang w:eastAsia="es-ES"/>
        </w:rPr>
        <w:t xml:space="preserve"> Se vincula al Instituto Estatal Electoral y de Participación Ciudadana de Oaxaca y a los integrantes de la comunidad de </w:t>
      </w:r>
      <w:r w:rsidRPr="00791593">
        <w:rPr>
          <w:rFonts w:ascii="Arial" w:eastAsia="Times New Roman" w:hAnsi="Arial" w:cs="Arial"/>
          <w:sz w:val="28"/>
          <w:szCs w:val="28"/>
          <w:lang w:val="es-ES" w:eastAsia="es-MX"/>
        </w:rPr>
        <w:t xml:space="preserve">San Sebastián Tecomaxtlahuaca, Juxtlahuaca, Oaxaca, </w:t>
      </w:r>
      <w:r w:rsidRPr="00791593">
        <w:rPr>
          <w:rFonts w:ascii="Arial" w:eastAsia="Times New Roman" w:hAnsi="Arial" w:cs="Arial"/>
          <w:sz w:val="28"/>
          <w:szCs w:val="28"/>
          <w:lang w:eastAsia="es-ES"/>
        </w:rPr>
        <w:t xml:space="preserve">a efecto de que en la elección extraordinaria que se convoque, en breve plazo, lleven a cabo todas las actuaciones necesarias para garantizar la observancia de los principios constitucionales de </w:t>
      </w:r>
      <w:r w:rsidRPr="00791593">
        <w:rPr>
          <w:rFonts w:ascii="Arial" w:eastAsia="Times New Roman" w:hAnsi="Arial" w:cs="Arial"/>
          <w:b/>
          <w:sz w:val="28"/>
          <w:szCs w:val="28"/>
          <w:lang w:eastAsia="es-ES"/>
        </w:rPr>
        <w:t>certeza,</w:t>
      </w:r>
      <w:r w:rsidRPr="00791593">
        <w:rPr>
          <w:rFonts w:ascii="Arial" w:eastAsia="Times New Roman" w:hAnsi="Arial" w:cs="Arial"/>
          <w:sz w:val="28"/>
          <w:szCs w:val="28"/>
          <w:lang w:eastAsia="es-ES"/>
        </w:rPr>
        <w:t xml:space="preserve"> legalidad, independencia, imparcialidad, objetividad y autenticidad en las elecciones y en los votos de los ciudadanos. </w:t>
      </w:r>
    </w:p>
    <w:p w14:paraId="0D487BDC"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7.</w:t>
      </w:r>
      <w:r w:rsidRPr="00791593">
        <w:rPr>
          <w:rFonts w:ascii="Arial" w:eastAsia="Times New Roman" w:hAnsi="Arial" w:cs="Arial"/>
          <w:sz w:val="28"/>
          <w:szCs w:val="28"/>
          <w:lang w:eastAsia="es-ES"/>
        </w:rPr>
        <w:t xml:space="preserve"> Como los candidatos electos en la Asamblea General Comunitaria de diecisiete de noviembre de dos mil trece, actualmente están en funciones, se vincula a la LXII Legislatura del Congreso del Estado Libre y Soberano de Oaxaca para que, en tanto se lleva a cabo la elección extraordinaria, en ejercicio de sus atribuciones, determine lo que en Derecho corresponda sobre la administración del Municipio de </w:t>
      </w:r>
      <w:r w:rsidRPr="00791593">
        <w:rPr>
          <w:rFonts w:ascii="Arial" w:eastAsia="Times New Roman" w:hAnsi="Arial" w:cs="Arial"/>
          <w:sz w:val="28"/>
          <w:szCs w:val="28"/>
          <w:lang w:val="es-ES" w:eastAsia="es-MX"/>
        </w:rPr>
        <w:t>San Sebastián Tecomaxtlahuaca, Juxtlahuaca, Oaxaca.</w:t>
      </w:r>
    </w:p>
    <w:p w14:paraId="30C46BB5"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8.</w:t>
      </w:r>
      <w:r w:rsidRPr="00791593">
        <w:rPr>
          <w:rFonts w:ascii="Arial" w:eastAsia="Times New Roman" w:hAnsi="Arial" w:cs="Arial"/>
          <w:sz w:val="28"/>
          <w:szCs w:val="28"/>
          <w:lang w:eastAsia="es-ES"/>
        </w:rPr>
        <w:t xml:space="preserve"> No obstante lo anterior, los actos llevados a cabo por los ciudadanos electos en la Asamblea General Comunitaria de diecisiete de noviembre de dos mil trece, en su carácter de integrantes del Ayuntamiento de </w:t>
      </w:r>
      <w:r w:rsidRPr="00791593">
        <w:rPr>
          <w:rFonts w:ascii="Arial" w:eastAsia="Times New Roman" w:hAnsi="Arial" w:cs="Arial"/>
          <w:sz w:val="28"/>
          <w:szCs w:val="28"/>
          <w:lang w:val="es-ES" w:eastAsia="es-MX"/>
        </w:rPr>
        <w:t xml:space="preserve">San Sebastián Tecomaxtlahuaca, Juxtlahuaca, Oaxaca, </w:t>
      </w:r>
      <w:r w:rsidRPr="00791593">
        <w:rPr>
          <w:rFonts w:ascii="Arial" w:eastAsia="Times New Roman" w:hAnsi="Arial" w:cs="Arial"/>
          <w:sz w:val="28"/>
          <w:szCs w:val="28"/>
          <w:lang w:eastAsia="es-ES"/>
        </w:rPr>
        <w:t>tienen plenos efectos jurídicos.</w:t>
      </w:r>
    </w:p>
    <w:p w14:paraId="7A64CED9" w14:textId="77777777" w:rsidR="006F5238" w:rsidRPr="00791593" w:rsidRDefault="006F5238" w:rsidP="006F5238">
      <w:pPr>
        <w:widowControl w:val="0"/>
        <w:spacing w:before="100" w:beforeAutospacing="1" w:after="100" w:afterAutospacing="1" w:line="408" w:lineRule="auto"/>
        <w:ind w:firstLine="709"/>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9.</w:t>
      </w:r>
      <w:r w:rsidRPr="00791593">
        <w:rPr>
          <w:rFonts w:ascii="Arial" w:eastAsia="Times New Roman" w:hAnsi="Arial" w:cs="Arial"/>
          <w:sz w:val="28"/>
          <w:szCs w:val="28"/>
          <w:lang w:eastAsia="es-ES"/>
        </w:rPr>
        <w:t xml:space="preserve"> En este contexto, una vez emitida la convocatoria respectiva, el Consejo General del Instituto Estatal Electoral y de Participación Ciudadana de Oaxaca, queda vinculado a informar a esta Sala Superior, dentro de las veinticuatro horas siguientes, sobre los actos tendentes al cumplimiento de lo ordenado en esta sentencia.</w:t>
      </w:r>
    </w:p>
    <w:p w14:paraId="086061B5" w14:textId="77777777" w:rsidR="006F5238" w:rsidRPr="00791593" w:rsidRDefault="006F5238" w:rsidP="006F5238">
      <w:pPr>
        <w:spacing w:before="100" w:beforeAutospacing="1" w:after="100" w:afterAutospacing="1" w:line="408"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val="es-ES" w:eastAsia="es-ES"/>
        </w:rPr>
        <w:t>10</w:t>
      </w:r>
      <w:r w:rsidRPr="00791593">
        <w:rPr>
          <w:rFonts w:ascii="Arial" w:eastAsia="Times New Roman" w:hAnsi="Arial" w:cs="Arial"/>
          <w:sz w:val="28"/>
          <w:szCs w:val="28"/>
          <w:lang w:val="es-ES" w:eastAsia="es-ES"/>
        </w:rPr>
        <w:t>. Esta Sala Superior considera pertinente dar vista con copias certificadas de esta ejecutoria, a la  Dirección General de Notarías de la citada entidad federativa, dependiente de la Consejería Jurídica del Gobierno del Estado de Oaxaca,  para que, en plenitud de facultades, resuelva lo que considere procedente sobre la actuación de Rodolfo Morales Moreno, Notario Público número diecinueve (19) de esa entidad federativa.</w:t>
      </w:r>
    </w:p>
    <w:p w14:paraId="74910E6E" w14:textId="77777777" w:rsidR="006F5238" w:rsidRPr="00791593" w:rsidRDefault="006F5238" w:rsidP="006F5238">
      <w:pPr>
        <w:spacing w:before="100" w:beforeAutospacing="1" w:after="100" w:afterAutospacing="1" w:line="408" w:lineRule="auto"/>
        <w:ind w:firstLine="709"/>
        <w:jc w:val="both"/>
        <w:rPr>
          <w:rFonts w:ascii="Arial" w:eastAsia="Times New Roman" w:hAnsi="Arial" w:cs="Arial"/>
          <w:bCs/>
          <w:sz w:val="28"/>
          <w:szCs w:val="28"/>
          <w:lang w:eastAsia="es-ES"/>
        </w:rPr>
      </w:pPr>
      <w:r w:rsidRPr="00791593">
        <w:rPr>
          <w:rFonts w:ascii="Arial" w:eastAsia="Times New Roman" w:hAnsi="Arial" w:cs="Arial"/>
          <w:bCs/>
          <w:sz w:val="28"/>
          <w:szCs w:val="28"/>
          <w:lang w:eastAsia="es-ES"/>
        </w:rPr>
        <w:t>Por lo expuesto y fundado se</w:t>
      </w:r>
    </w:p>
    <w:p w14:paraId="7BE37C35" w14:textId="77777777" w:rsidR="006F5238" w:rsidRPr="00791593" w:rsidRDefault="006F5238" w:rsidP="006F5238">
      <w:pPr>
        <w:spacing w:before="100" w:beforeAutospacing="1" w:after="100" w:afterAutospacing="1" w:line="408" w:lineRule="auto"/>
        <w:ind w:firstLine="709"/>
        <w:jc w:val="center"/>
        <w:rPr>
          <w:rFonts w:ascii="Arial" w:eastAsia="Times New Roman" w:hAnsi="Arial" w:cs="Arial"/>
          <w:b/>
          <w:bCs/>
          <w:sz w:val="28"/>
          <w:szCs w:val="28"/>
          <w:lang w:eastAsia="es-ES"/>
        </w:rPr>
      </w:pPr>
      <w:r w:rsidRPr="00791593">
        <w:rPr>
          <w:rFonts w:ascii="Arial" w:eastAsia="Times New Roman" w:hAnsi="Arial" w:cs="Arial"/>
          <w:b/>
          <w:bCs/>
          <w:sz w:val="28"/>
          <w:szCs w:val="28"/>
          <w:lang w:eastAsia="es-ES"/>
        </w:rPr>
        <w:t>R E S U E L V E :</w:t>
      </w:r>
    </w:p>
    <w:p w14:paraId="6120ECF8" w14:textId="77777777" w:rsidR="006F5238" w:rsidRPr="00791593" w:rsidRDefault="006F5238" w:rsidP="006F5238">
      <w:pPr>
        <w:spacing w:before="100" w:beforeAutospacing="1" w:after="100" w:afterAutospacing="1" w:line="408"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eastAsia="es-ES"/>
        </w:rPr>
        <w:t>PRIMERO.</w:t>
      </w:r>
      <w:r w:rsidRPr="00791593">
        <w:rPr>
          <w:rFonts w:ascii="Arial" w:eastAsia="Times New Roman" w:hAnsi="Arial" w:cs="Arial"/>
          <w:bCs/>
          <w:sz w:val="28"/>
          <w:szCs w:val="28"/>
          <w:lang w:eastAsia="es-ES"/>
        </w:rPr>
        <w:t xml:space="preserve"> Se </w:t>
      </w:r>
      <w:r w:rsidRPr="00791593">
        <w:rPr>
          <w:rFonts w:ascii="Arial" w:eastAsia="Times New Roman" w:hAnsi="Arial" w:cs="Arial"/>
          <w:b/>
          <w:bCs/>
          <w:sz w:val="28"/>
          <w:szCs w:val="28"/>
          <w:lang w:eastAsia="es-ES"/>
        </w:rPr>
        <w:t>sobresee</w:t>
      </w:r>
      <w:r w:rsidRPr="00791593">
        <w:rPr>
          <w:rFonts w:ascii="Arial" w:eastAsia="Times New Roman" w:hAnsi="Arial" w:cs="Arial"/>
          <w:bCs/>
          <w:sz w:val="28"/>
          <w:szCs w:val="28"/>
          <w:lang w:eastAsia="es-ES"/>
        </w:rPr>
        <w:t xml:space="preserve"> en el recurso de reconsideración por cuanto hace al ciudadano </w:t>
      </w:r>
      <w:r w:rsidRPr="00791593">
        <w:rPr>
          <w:rFonts w:ascii="Arial" w:eastAsia="Times New Roman" w:hAnsi="Arial" w:cs="Arial"/>
          <w:sz w:val="28"/>
          <w:szCs w:val="28"/>
          <w:lang w:eastAsia="es-MX"/>
        </w:rPr>
        <w:t>Adán Zafra Torralba,</w:t>
      </w:r>
      <w:r w:rsidRPr="00791593">
        <w:rPr>
          <w:rFonts w:ascii="Arial" w:eastAsia="Times New Roman" w:hAnsi="Arial" w:cs="Arial"/>
          <w:bCs/>
          <w:sz w:val="28"/>
          <w:szCs w:val="28"/>
          <w:lang w:eastAsia="es-ES"/>
        </w:rPr>
        <w:t xml:space="preserve"> en términos de lo precisado en el considerando SEGUNDO de esta sentencia.</w:t>
      </w:r>
    </w:p>
    <w:p w14:paraId="472FDFB4" w14:textId="77777777" w:rsidR="006F5238" w:rsidRPr="00791593" w:rsidRDefault="006F5238" w:rsidP="006F5238">
      <w:pPr>
        <w:spacing w:before="100" w:beforeAutospacing="1" w:after="100" w:afterAutospacing="1" w:line="408"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eastAsia="es-ES"/>
        </w:rPr>
        <w:t>SEGUNDO.</w:t>
      </w:r>
      <w:r w:rsidRPr="00791593">
        <w:rPr>
          <w:rFonts w:ascii="Arial" w:eastAsia="Times New Roman" w:hAnsi="Arial" w:cs="Arial"/>
          <w:bCs/>
          <w:sz w:val="28"/>
          <w:szCs w:val="28"/>
          <w:lang w:eastAsia="es-ES"/>
        </w:rPr>
        <w:t xml:space="preserve"> Se </w:t>
      </w:r>
      <w:r w:rsidRPr="00791593">
        <w:rPr>
          <w:rFonts w:ascii="Arial" w:eastAsia="Times New Roman" w:hAnsi="Arial" w:cs="Arial"/>
          <w:b/>
          <w:bCs/>
          <w:sz w:val="28"/>
          <w:szCs w:val="28"/>
          <w:lang w:eastAsia="es-ES"/>
        </w:rPr>
        <w:t>revoca</w:t>
      </w:r>
      <w:r w:rsidRPr="00791593">
        <w:rPr>
          <w:rFonts w:ascii="Arial" w:eastAsia="Times New Roman" w:hAnsi="Arial" w:cs="Arial"/>
          <w:bCs/>
          <w:sz w:val="28"/>
          <w:szCs w:val="28"/>
          <w:lang w:eastAsia="es-ES"/>
        </w:rPr>
        <w:t xml:space="preserve"> la sentencia impugnada, en términos del considerando séptimo de esta ejecutoria.</w:t>
      </w:r>
    </w:p>
    <w:p w14:paraId="12A5CEAA" w14:textId="77777777" w:rsidR="006F5238" w:rsidRPr="00791593" w:rsidRDefault="006F5238" w:rsidP="006F5238">
      <w:pPr>
        <w:spacing w:before="100" w:beforeAutospacing="1" w:after="100" w:afterAutospacing="1" w:line="408" w:lineRule="auto"/>
        <w:ind w:firstLine="709"/>
        <w:jc w:val="both"/>
        <w:rPr>
          <w:rFonts w:ascii="Arial" w:eastAsia="Times New Roman" w:hAnsi="Arial" w:cs="Arial"/>
          <w:b/>
          <w:bCs/>
          <w:sz w:val="28"/>
          <w:szCs w:val="28"/>
          <w:lang w:eastAsia="es-ES"/>
        </w:rPr>
      </w:pPr>
      <w:r w:rsidRPr="00791593">
        <w:rPr>
          <w:rFonts w:ascii="Arial" w:eastAsia="Times New Roman" w:hAnsi="Arial" w:cs="Arial"/>
          <w:b/>
          <w:bCs/>
          <w:sz w:val="28"/>
          <w:szCs w:val="28"/>
          <w:lang w:eastAsia="es-ES"/>
        </w:rPr>
        <w:t>TERCERO.</w:t>
      </w:r>
      <w:r w:rsidRPr="00791593">
        <w:rPr>
          <w:rFonts w:ascii="Arial" w:eastAsia="Times New Roman" w:hAnsi="Arial" w:cs="Arial"/>
          <w:bCs/>
          <w:sz w:val="28"/>
          <w:szCs w:val="28"/>
          <w:lang w:eastAsia="es-ES"/>
        </w:rPr>
        <w:t xml:space="preserve"> En consecuencia, se </w:t>
      </w:r>
      <w:r w:rsidRPr="00791593">
        <w:rPr>
          <w:rFonts w:ascii="Arial" w:eastAsia="Times New Roman" w:hAnsi="Arial" w:cs="Arial"/>
          <w:b/>
          <w:bCs/>
          <w:sz w:val="28"/>
          <w:szCs w:val="28"/>
          <w:lang w:eastAsia="es-ES"/>
        </w:rPr>
        <w:t>confirma</w:t>
      </w:r>
      <w:r w:rsidRPr="00791593">
        <w:rPr>
          <w:rFonts w:ascii="Arial" w:eastAsia="Times New Roman" w:hAnsi="Arial" w:cs="Arial"/>
          <w:bCs/>
          <w:sz w:val="28"/>
          <w:szCs w:val="28"/>
          <w:lang w:eastAsia="es-ES"/>
        </w:rPr>
        <w:t xml:space="preserve"> el sentido de la sentencia dictada por el Tribunal Estatal Electoral del Poder Judicial de Oaxaca, en el juicio electoral de los sistemas normativos internos identificado con la clave JNI/09/2014.</w:t>
      </w:r>
    </w:p>
    <w:p w14:paraId="7DF6142A" w14:textId="77777777" w:rsidR="006F5238" w:rsidRPr="00791593" w:rsidRDefault="006F5238" w:rsidP="006F5238">
      <w:pPr>
        <w:spacing w:before="100" w:beforeAutospacing="1" w:after="100" w:afterAutospacing="1" w:line="408" w:lineRule="auto"/>
        <w:ind w:firstLine="720"/>
        <w:jc w:val="both"/>
        <w:rPr>
          <w:rFonts w:ascii="Arial" w:eastAsia="Times New Roman" w:hAnsi="Arial" w:cs="Arial"/>
          <w:sz w:val="28"/>
          <w:szCs w:val="28"/>
          <w:lang w:val="es-ES" w:eastAsia="es-MX"/>
        </w:rPr>
      </w:pPr>
      <w:r w:rsidRPr="00791593">
        <w:rPr>
          <w:rFonts w:ascii="Arial" w:eastAsia="Times New Roman" w:hAnsi="Arial" w:cs="Arial"/>
          <w:b/>
          <w:bCs/>
          <w:sz w:val="28"/>
          <w:szCs w:val="28"/>
          <w:lang w:val="es-ES" w:eastAsia="es-ES"/>
        </w:rPr>
        <w:t>CUARTO</w:t>
      </w:r>
      <w:r w:rsidRPr="00791593">
        <w:rPr>
          <w:rFonts w:ascii="Arial" w:eastAsia="Times New Roman" w:hAnsi="Arial" w:cs="Arial"/>
          <w:b/>
          <w:bCs/>
          <w:sz w:val="28"/>
          <w:szCs w:val="28"/>
          <w:lang w:eastAsia="es-ES"/>
        </w:rPr>
        <w:t>.</w:t>
      </w:r>
      <w:r w:rsidRPr="00791593">
        <w:rPr>
          <w:rFonts w:ascii="Arial" w:eastAsia="Times New Roman" w:hAnsi="Arial" w:cs="Arial"/>
          <w:bCs/>
          <w:sz w:val="28"/>
          <w:szCs w:val="28"/>
          <w:lang w:eastAsia="es-ES"/>
        </w:rPr>
        <w:t xml:space="preserve"> Se </w:t>
      </w:r>
      <w:r w:rsidRPr="00791593">
        <w:rPr>
          <w:rFonts w:ascii="Arial" w:eastAsia="Times New Roman" w:hAnsi="Arial" w:cs="Arial"/>
          <w:b/>
          <w:bCs/>
          <w:sz w:val="28"/>
          <w:szCs w:val="28"/>
          <w:lang w:eastAsia="es-ES"/>
        </w:rPr>
        <w:t>declara la nulidad de la elección</w:t>
      </w:r>
      <w:r w:rsidRPr="00791593">
        <w:rPr>
          <w:rFonts w:ascii="Arial" w:eastAsia="Times New Roman" w:hAnsi="Arial" w:cs="Arial"/>
          <w:bCs/>
          <w:sz w:val="28"/>
          <w:szCs w:val="28"/>
          <w:lang w:eastAsia="es-ES"/>
        </w:rPr>
        <w:t xml:space="preserve"> de integrantes del Ayuntamiento de </w:t>
      </w:r>
      <w:r w:rsidRPr="00791593">
        <w:rPr>
          <w:rFonts w:ascii="Arial" w:eastAsia="Times New Roman" w:hAnsi="Arial" w:cs="Arial"/>
          <w:sz w:val="28"/>
          <w:szCs w:val="28"/>
          <w:lang w:val="es-ES" w:eastAsia="es-MX"/>
        </w:rPr>
        <w:t>San Sebastián Tecomaxtlahuaca, Juxtlahuaca, Oaxaca.</w:t>
      </w:r>
    </w:p>
    <w:p w14:paraId="6470893D" w14:textId="77777777" w:rsidR="006F5238" w:rsidRPr="00791593" w:rsidRDefault="006F5238" w:rsidP="006F5238">
      <w:pPr>
        <w:spacing w:before="100" w:beforeAutospacing="1" w:after="100" w:afterAutospacing="1" w:line="408" w:lineRule="auto"/>
        <w:ind w:firstLine="709"/>
        <w:jc w:val="both"/>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QUINTO</w:t>
      </w:r>
      <w:r w:rsidRPr="00791593">
        <w:rPr>
          <w:rFonts w:ascii="Arial" w:eastAsia="Times New Roman" w:hAnsi="Arial" w:cs="Arial"/>
          <w:b/>
          <w:bCs/>
          <w:sz w:val="28"/>
          <w:szCs w:val="28"/>
          <w:lang w:eastAsia="es-ES"/>
        </w:rPr>
        <w:t>.</w:t>
      </w:r>
      <w:r w:rsidRPr="00791593">
        <w:rPr>
          <w:rFonts w:ascii="Arial" w:eastAsia="Times New Roman" w:hAnsi="Arial" w:cs="Arial"/>
          <w:bCs/>
          <w:sz w:val="28"/>
          <w:szCs w:val="28"/>
          <w:lang w:eastAsia="es-ES"/>
        </w:rPr>
        <w:t xml:space="preserve"> Se </w:t>
      </w:r>
      <w:r w:rsidRPr="00791593">
        <w:rPr>
          <w:rFonts w:ascii="Arial" w:eastAsia="Times New Roman" w:hAnsi="Arial" w:cs="Arial"/>
          <w:b/>
          <w:bCs/>
          <w:sz w:val="28"/>
          <w:szCs w:val="28"/>
          <w:lang w:eastAsia="es-ES"/>
        </w:rPr>
        <w:t>revocan</w:t>
      </w:r>
      <w:r w:rsidRPr="00791593">
        <w:rPr>
          <w:rFonts w:ascii="Arial" w:eastAsia="Times New Roman" w:hAnsi="Arial" w:cs="Arial"/>
          <w:bCs/>
          <w:sz w:val="28"/>
          <w:szCs w:val="28"/>
          <w:lang w:eastAsia="es-ES"/>
        </w:rPr>
        <w:t xml:space="preserve"> las constancias de mayoría y validez otorgadas a favor de los candidatos Javier Rubio Rosas, José Conrado Salazar Guzmán, Antonio Isaí Galicia Tapia, René Gregorio Salazar Mendoza, Abraham Pacheco Ramírez, Fredy Mendoza Ramírez, José Jorge Martínez Cortés, Martín Filemón Luengas Vetanso, Carmelo García López, Zacarías Santiago Salazar Guzmán, Santiago Sierra Valverde, Luis Rogelio Mendoza Chávez, Juan Alberto Luna Camarillo, Leobardo Catalino Cruz Hernández, Marcial Domínguez Miranda y Elesban Sánchez Marín.</w:t>
      </w:r>
    </w:p>
    <w:p w14:paraId="4C4DDE46" w14:textId="77777777" w:rsidR="006F5238" w:rsidRPr="00791593" w:rsidRDefault="006F5238" w:rsidP="006F5238">
      <w:pPr>
        <w:spacing w:before="100" w:beforeAutospacing="1" w:after="100" w:afterAutospacing="1" w:line="408"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val="es-ES" w:eastAsia="es-ES"/>
        </w:rPr>
        <w:t>SEXTO</w:t>
      </w:r>
      <w:r w:rsidRPr="00791593">
        <w:rPr>
          <w:rFonts w:ascii="Arial" w:eastAsia="Times New Roman" w:hAnsi="Arial" w:cs="Arial"/>
          <w:b/>
          <w:bCs/>
          <w:sz w:val="28"/>
          <w:szCs w:val="28"/>
          <w:lang w:eastAsia="es-ES"/>
        </w:rPr>
        <w:t>.</w:t>
      </w:r>
      <w:r w:rsidRPr="00791593">
        <w:rPr>
          <w:rFonts w:ascii="Arial" w:eastAsia="Times New Roman" w:hAnsi="Arial" w:cs="Arial"/>
          <w:bCs/>
          <w:sz w:val="28"/>
          <w:szCs w:val="28"/>
          <w:lang w:eastAsia="es-ES"/>
        </w:rPr>
        <w:t xml:space="preserve"> Se ordena al Consejo General del Instituto Estatal Electoral y de Participación Ciudadana de Oaxaca, llevar a cabo las gestiones necesarias, en coordinación con la LXII Legislatura del Congreso de esa entidad federativa, para convocar, en breve plazo, a la correspondiente elección extraordinaria.</w:t>
      </w:r>
    </w:p>
    <w:p w14:paraId="6254F998" w14:textId="77777777" w:rsidR="006F5238" w:rsidRPr="00791593" w:rsidRDefault="006F5238" w:rsidP="006F5238">
      <w:pPr>
        <w:spacing w:before="100" w:beforeAutospacing="1" w:after="100" w:afterAutospacing="1" w:line="408"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val="es-ES" w:eastAsia="es-ES"/>
        </w:rPr>
        <w:t>SÉPTIMO</w:t>
      </w:r>
      <w:r w:rsidRPr="00791593">
        <w:rPr>
          <w:rFonts w:ascii="Arial" w:eastAsia="Times New Roman" w:hAnsi="Arial" w:cs="Arial"/>
          <w:b/>
          <w:bCs/>
          <w:sz w:val="28"/>
          <w:szCs w:val="28"/>
          <w:lang w:eastAsia="es-ES"/>
        </w:rPr>
        <w:t xml:space="preserve">. </w:t>
      </w:r>
      <w:r w:rsidRPr="00791593">
        <w:rPr>
          <w:rFonts w:ascii="Arial" w:eastAsia="Times New Roman" w:hAnsi="Arial" w:cs="Arial"/>
          <w:bCs/>
          <w:sz w:val="28"/>
          <w:szCs w:val="28"/>
          <w:lang w:eastAsia="es-ES"/>
        </w:rPr>
        <w:t xml:space="preserve">Se vincula a la LXII Legislatura del Congreso del Estado de Oaxaca para que, en ejercicio de sus atribuciones, determine lo que en Derecho corresponda, respecto de la administración del Municipio de </w:t>
      </w:r>
      <w:r w:rsidRPr="00791593">
        <w:rPr>
          <w:rFonts w:ascii="Arial" w:eastAsia="Times New Roman" w:hAnsi="Arial" w:cs="Arial"/>
          <w:sz w:val="28"/>
          <w:szCs w:val="28"/>
          <w:lang w:val="es-ES" w:eastAsia="es-MX"/>
        </w:rPr>
        <w:t>San Sebastián Tecomaxtlahuaca, Juxtlahuaca, Oaxaca</w:t>
      </w:r>
      <w:r w:rsidRPr="00791593">
        <w:rPr>
          <w:rFonts w:ascii="Arial" w:eastAsia="Times New Roman" w:hAnsi="Arial" w:cs="Arial"/>
          <w:bCs/>
          <w:sz w:val="28"/>
          <w:szCs w:val="28"/>
          <w:lang w:eastAsia="es-ES"/>
        </w:rPr>
        <w:t>, en tanto se lleva a cabo la elección extraordinaria.</w:t>
      </w:r>
    </w:p>
    <w:p w14:paraId="70F83813" w14:textId="77777777" w:rsidR="006F5238" w:rsidRPr="00791593" w:rsidRDefault="006F5238" w:rsidP="006F5238">
      <w:pPr>
        <w:spacing w:before="100" w:beforeAutospacing="1" w:after="100" w:afterAutospacing="1" w:line="408"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val="es-ES" w:eastAsia="es-ES"/>
        </w:rPr>
        <w:t>OCTAVO</w:t>
      </w:r>
      <w:r w:rsidRPr="00791593">
        <w:rPr>
          <w:rFonts w:ascii="Arial" w:eastAsia="Times New Roman" w:hAnsi="Arial" w:cs="Arial"/>
          <w:b/>
          <w:bCs/>
          <w:sz w:val="28"/>
          <w:szCs w:val="28"/>
          <w:lang w:eastAsia="es-ES"/>
        </w:rPr>
        <w:t>.</w:t>
      </w:r>
      <w:r w:rsidRPr="00791593">
        <w:rPr>
          <w:rFonts w:ascii="Arial" w:eastAsia="Times New Roman" w:hAnsi="Arial" w:cs="Arial"/>
          <w:bCs/>
          <w:sz w:val="28"/>
          <w:szCs w:val="28"/>
          <w:lang w:eastAsia="es-ES"/>
        </w:rPr>
        <w:t xml:space="preserve"> Se ordena al Consejo General del Instituto Estatal Electoral y de Participación Ciudadana de Oaxaca, informar inmediatamente, a esta Sala Superior, sobre las diligencias llevadas a cabo para el cumplimiento de esta ejecutoria.</w:t>
      </w:r>
    </w:p>
    <w:p w14:paraId="7D8C1467" w14:textId="77777777" w:rsidR="006F5238" w:rsidRPr="00791593" w:rsidRDefault="006F5238" w:rsidP="006F5238">
      <w:pPr>
        <w:spacing w:before="100" w:beforeAutospacing="1" w:after="100" w:afterAutospacing="1" w:line="384" w:lineRule="auto"/>
        <w:ind w:firstLine="709"/>
        <w:jc w:val="both"/>
        <w:rPr>
          <w:rFonts w:ascii="Arial" w:eastAsia="Times New Roman" w:hAnsi="Arial" w:cs="Arial"/>
          <w:bCs/>
          <w:sz w:val="28"/>
          <w:szCs w:val="28"/>
          <w:lang w:eastAsia="es-ES"/>
        </w:rPr>
      </w:pPr>
      <w:r w:rsidRPr="00791593">
        <w:rPr>
          <w:rFonts w:ascii="Arial" w:eastAsia="Times New Roman" w:hAnsi="Arial" w:cs="Arial"/>
          <w:b/>
          <w:bCs/>
          <w:sz w:val="28"/>
          <w:szCs w:val="28"/>
          <w:lang w:val="es-ES" w:eastAsia="es-ES"/>
        </w:rPr>
        <w:t>NOVENO.</w:t>
      </w:r>
      <w:r w:rsidRPr="00791593">
        <w:rPr>
          <w:rFonts w:ascii="Arial" w:eastAsia="Times New Roman" w:hAnsi="Arial" w:cs="Arial"/>
          <w:sz w:val="28"/>
          <w:szCs w:val="28"/>
          <w:lang w:val="es-ES" w:eastAsia="es-ES"/>
        </w:rPr>
        <w:t xml:space="preserve"> Se ordena dar vista a la Dirección General de Notarías de la citada entidad federativa, dependiente de la Consejería Jurídica del Gobierno del Estado de Oaxaca, </w:t>
      </w:r>
      <w:r w:rsidRPr="00791593">
        <w:rPr>
          <w:rFonts w:ascii="Arial" w:eastAsia="Times New Roman" w:hAnsi="Arial" w:cs="Arial"/>
          <w:sz w:val="27"/>
          <w:szCs w:val="27"/>
          <w:lang w:val="es-ES" w:eastAsia="es-ES"/>
        </w:rPr>
        <w:t>para los efectos precisados en e</w:t>
      </w:r>
      <w:r w:rsidRPr="00791593">
        <w:rPr>
          <w:rFonts w:ascii="Arial" w:eastAsia="Times New Roman" w:hAnsi="Arial" w:cs="Arial"/>
          <w:sz w:val="28"/>
          <w:szCs w:val="28"/>
          <w:lang w:val="es-ES" w:eastAsia="es-ES"/>
        </w:rPr>
        <w:t>l considerando séptimo de esta ejecutoria.</w:t>
      </w:r>
    </w:p>
    <w:p w14:paraId="01F7BC04" w14:textId="77777777" w:rsidR="006F5238" w:rsidRPr="00791593" w:rsidRDefault="006F5238" w:rsidP="006F5238">
      <w:pPr>
        <w:spacing w:before="100" w:beforeAutospacing="1" w:after="100" w:afterAutospacing="1" w:line="384" w:lineRule="auto"/>
        <w:ind w:firstLine="709"/>
        <w:jc w:val="both"/>
        <w:rPr>
          <w:rFonts w:ascii="Arial" w:eastAsia="Times New Roman" w:hAnsi="Arial" w:cs="Arial"/>
          <w:sz w:val="28"/>
          <w:szCs w:val="28"/>
          <w:lang w:val="es-ES" w:eastAsia="es-MX"/>
        </w:rPr>
      </w:pPr>
      <w:r w:rsidRPr="00791593">
        <w:rPr>
          <w:rFonts w:ascii="Arial" w:eastAsia="Times New Roman" w:hAnsi="Arial" w:cs="Arial"/>
          <w:b/>
          <w:bCs/>
          <w:sz w:val="28"/>
          <w:szCs w:val="28"/>
          <w:lang w:val="es-ES" w:eastAsia="es-MX"/>
        </w:rPr>
        <w:t>NOTIFÍQUESE: personalmente</w:t>
      </w:r>
      <w:r w:rsidRPr="00791593">
        <w:rPr>
          <w:rFonts w:ascii="Arial" w:eastAsia="Times New Roman" w:hAnsi="Arial" w:cs="Arial"/>
          <w:bCs/>
          <w:sz w:val="28"/>
          <w:szCs w:val="28"/>
          <w:lang w:val="es-ES" w:eastAsia="es-MX"/>
        </w:rPr>
        <w:t xml:space="preserve"> a los recurrentes y al tercero interesado por conducto del personal correspondiente del </w:t>
      </w:r>
      <w:r w:rsidRPr="00791593">
        <w:rPr>
          <w:rFonts w:ascii="Arial" w:eastAsia="Times New Roman" w:hAnsi="Arial" w:cs="Arial"/>
          <w:bCs/>
          <w:sz w:val="28"/>
          <w:szCs w:val="28"/>
          <w:lang w:eastAsia="es-ES"/>
        </w:rPr>
        <w:t>Tribunal Estatal Electoral del Poder Judicial de Oaxaca</w:t>
      </w:r>
      <w:r w:rsidRPr="00791593">
        <w:rPr>
          <w:rFonts w:ascii="Arial" w:eastAsia="Times New Roman" w:hAnsi="Arial" w:cs="Arial"/>
          <w:bCs/>
          <w:sz w:val="28"/>
          <w:szCs w:val="28"/>
          <w:lang w:val="es-ES" w:eastAsia="es-MX"/>
        </w:rPr>
        <w:t xml:space="preserve">, </w:t>
      </w:r>
      <w:r w:rsidRPr="00791593">
        <w:rPr>
          <w:rFonts w:ascii="Arial" w:eastAsia="Times New Roman" w:hAnsi="Arial" w:cs="Arial"/>
          <w:b/>
          <w:bCs/>
          <w:sz w:val="28"/>
          <w:szCs w:val="28"/>
          <w:lang w:val="es-ES" w:eastAsia="es-MX"/>
        </w:rPr>
        <w:t>por correo electrónico</w:t>
      </w:r>
      <w:r w:rsidRPr="00791593">
        <w:rPr>
          <w:rFonts w:ascii="Arial" w:eastAsia="Times New Roman" w:hAnsi="Arial" w:cs="Arial"/>
          <w:bCs/>
          <w:sz w:val="28"/>
          <w:szCs w:val="28"/>
          <w:lang w:val="es-ES" w:eastAsia="es-MX"/>
        </w:rPr>
        <w:t xml:space="preserve"> </w:t>
      </w:r>
      <w:r w:rsidRPr="00791593">
        <w:rPr>
          <w:rFonts w:ascii="Arial" w:eastAsia="Times New Roman" w:hAnsi="Arial" w:cs="Arial"/>
          <w:sz w:val="28"/>
          <w:szCs w:val="28"/>
          <w:lang w:val="es-ES" w:eastAsia="es-MX"/>
        </w:rPr>
        <w:t xml:space="preserve">a la Sala Regional del Tribunal Electoral del Poder Judicial de la Federación, en la Tercera Circunscripción Plurinominal, con sede en la Ciudad de Xalapa, Estado de Veracruz; </w:t>
      </w:r>
      <w:r w:rsidRPr="00791593">
        <w:rPr>
          <w:rFonts w:ascii="Arial" w:eastAsia="Times New Roman" w:hAnsi="Arial" w:cs="Arial"/>
          <w:b/>
          <w:bCs/>
          <w:sz w:val="28"/>
          <w:szCs w:val="28"/>
          <w:lang w:val="es-ES" w:eastAsia="es-MX"/>
        </w:rPr>
        <w:t>por oficio</w:t>
      </w:r>
      <w:r w:rsidRPr="00791593">
        <w:rPr>
          <w:rFonts w:ascii="Arial" w:eastAsia="Times New Roman" w:hAnsi="Arial" w:cs="Arial"/>
          <w:bCs/>
          <w:sz w:val="28"/>
          <w:szCs w:val="28"/>
          <w:lang w:val="es-ES" w:eastAsia="es-MX"/>
        </w:rPr>
        <w:t xml:space="preserve">, </w:t>
      </w:r>
      <w:r w:rsidRPr="00791593">
        <w:rPr>
          <w:rFonts w:ascii="Arial" w:eastAsia="Times New Roman" w:hAnsi="Arial" w:cs="Arial"/>
          <w:sz w:val="28"/>
          <w:szCs w:val="28"/>
          <w:lang w:val="es-ES" w:eastAsia="es-MX"/>
        </w:rPr>
        <w:t xml:space="preserve">con sendas copias certificadas de esta sentencia, </w:t>
      </w:r>
      <w:r w:rsidRPr="00791593">
        <w:rPr>
          <w:rFonts w:ascii="Arial" w:eastAsia="Times New Roman" w:hAnsi="Arial" w:cs="Arial"/>
          <w:bCs/>
          <w:sz w:val="28"/>
          <w:szCs w:val="28"/>
          <w:lang w:eastAsia="es-ES"/>
        </w:rPr>
        <w:t xml:space="preserve">a la LXII Legislatura del Congreso, </w:t>
      </w:r>
      <w:r w:rsidRPr="00791593">
        <w:rPr>
          <w:rFonts w:ascii="Arial" w:eastAsia="Times New Roman" w:hAnsi="Arial" w:cs="Arial"/>
          <w:sz w:val="28"/>
          <w:szCs w:val="28"/>
          <w:lang w:val="es-ES" w:eastAsia="es-MX"/>
        </w:rPr>
        <w:t xml:space="preserve">al </w:t>
      </w:r>
      <w:r w:rsidRPr="00791593">
        <w:rPr>
          <w:rFonts w:ascii="Arial" w:eastAsia="Times New Roman" w:hAnsi="Arial" w:cs="Arial"/>
          <w:sz w:val="28"/>
          <w:szCs w:val="28"/>
          <w:lang w:val="es-ES" w:eastAsia="es-ES"/>
        </w:rPr>
        <w:t xml:space="preserve">Tribunal Estatal Electoral del Poder Judicial, al Instituto Estatal Electoral y de Participación Ciudadana, a la Dirección General de Notarías de la citada entidad federativa, dependiente de la Consejería Jurídica del Gobierno del Estado de Oaxaca y a los integrantes del Ayuntamiento </w:t>
      </w:r>
      <w:r w:rsidRPr="00791593">
        <w:rPr>
          <w:rFonts w:ascii="Arial" w:eastAsia="Times New Roman" w:hAnsi="Arial" w:cs="Arial"/>
          <w:sz w:val="28"/>
          <w:szCs w:val="28"/>
          <w:lang w:eastAsia="es-ES"/>
        </w:rPr>
        <w:t>de San Sebastián Tecomaxtlahuaca, Juxtlahuaca, todos del Estado de Oaxaca</w:t>
      </w:r>
      <w:r w:rsidRPr="00791593">
        <w:rPr>
          <w:rFonts w:ascii="Arial" w:eastAsia="Times New Roman" w:hAnsi="Arial" w:cs="Arial"/>
          <w:sz w:val="28"/>
          <w:szCs w:val="28"/>
          <w:lang w:val="es-ES" w:eastAsia="es-MX"/>
        </w:rPr>
        <w:t xml:space="preserve">; </w:t>
      </w:r>
      <w:r w:rsidRPr="00791593">
        <w:rPr>
          <w:rFonts w:ascii="Arial" w:eastAsia="Times New Roman" w:hAnsi="Arial" w:cs="Arial"/>
          <w:b/>
          <w:bCs/>
          <w:sz w:val="28"/>
          <w:szCs w:val="28"/>
          <w:lang w:val="es-ES" w:eastAsia="es-MX"/>
        </w:rPr>
        <w:t>por estrados</w:t>
      </w:r>
      <w:r w:rsidRPr="00791593">
        <w:rPr>
          <w:rFonts w:ascii="Arial" w:eastAsia="Times New Roman" w:hAnsi="Arial" w:cs="Arial"/>
          <w:bCs/>
          <w:sz w:val="28"/>
          <w:szCs w:val="28"/>
          <w:lang w:val="es-ES" w:eastAsia="es-MX"/>
        </w:rPr>
        <w:t xml:space="preserve">, </w:t>
      </w:r>
      <w:r w:rsidRPr="00791593">
        <w:rPr>
          <w:rFonts w:ascii="Arial" w:eastAsia="Times New Roman" w:hAnsi="Arial" w:cs="Arial"/>
          <w:sz w:val="28"/>
          <w:szCs w:val="28"/>
          <w:lang w:val="es-ES" w:eastAsia="es-MX"/>
        </w:rPr>
        <w:t>a los demás interesados; lo anterior con fundamento en los artículos 26, párrafo 3, 28, 29, párrafos 1, 2, y 3, y 70, párrafo 1, inciso a), de la Ley General del Sistema de Medios de Impugnación en Materia Electoral, en relación con los numerales 102, 103, 106, y 110, del Reglamento Interno de este órgano jurisdiccional especializado.</w:t>
      </w:r>
    </w:p>
    <w:p w14:paraId="17F49E07" w14:textId="77777777" w:rsidR="006F5238" w:rsidRPr="00791593" w:rsidRDefault="006F5238" w:rsidP="006F5238">
      <w:pPr>
        <w:spacing w:before="100" w:beforeAutospacing="1" w:after="100" w:afterAutospacing="1" w:line="384" w:lineRule="auto"/>
        <w:ind w:firstLine="709"/>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Devuélvanse los documentos atinentes y, en su oportunidad, archívese el expediente, como asunto total y definitivamente concluido.</w:t>
      </w:r>
    </w:p>
    <w:p w14:paraId="1E5F2B58" w14:textId="77777777" w:rsidR="006F5238" w:rsidRPr="00791593" w:rsidRDefault="006F5238" w:rsidP="006F5238">
      <w:pPr>
        <w:spacing w:before="100" w:beforeAutospacing="1" w:after="100" w:afterAutospacing="1" w:line="384" w:lineRule="auto"/>
        <w:jc w:val="both"/>
        <w:rPr>
          <w:rFonts w:ascii="Arial" w:eastAsia="Times New Roman" w:hAnsi="Arial" w:cs="Arial"/>
          <w:bCs/>
          <w:sz w:val="28"/>
          <w:szCs w:val="28"/>
          <w:lang w:val="es-ES" w:eastAsia="es-ES"/>
        </w:rPr>
      </w:pPr>
      <w:r w:rsidRPr="00791593">
        <w:rPr>
          <w:rFonts w:ascii="Arial" w:eastAsia="Times New Roman" w:hAnsi="Arial" w:cs="Arial"/>
          <w:bCs/>
          <w:sz w:val="28"/>
          <w:szCs w:val="28"/>
          <w:lang w:val="es-ES" w:eastAsia="es-ES"/>
        </w:rPr>
        <w:t xml:space="preserve">Así, por </w:t>
      </w:r>
      <w:r w:rsidRPr="00791593">
        <w:rPr>
          <w:rFonts w:ascii="Arial" w:eastAsia="Times New Roman" w:hAnsi="Arial" w:cs="Arial"/>
          <w:b/>
          <w:bCs/>
          <w:sz w:val="28"/>
          <w:szCs w:val="28"/>
          <w:lang w:val="es-ES" w:eastAsia="es-ES"/>
        </w:rPr>
        <w:t>unanimidad</w:t>
      </w:r>
      <w:r w:rsidRPr="00791593">
        <w:rPr>
          <w:rFonts w:ascii="Arial" w:eastAsia="Times New Roman" w:hAnsi="Arial" w:cs="Arial"/>
          <w:bCs/>
          <w:sz w:val="28"/>
          <w:szCs w:val="28"/>
          <w:lang w:val="es-ES" w:eastAsia="es-ES"/>
        </w:rPr>
        <w:t xml:space="preserve"> de votos, lo resolvieron los Magistrados que integran la Sala Superior del Tribunal Electoral del Poder Judicial de la Federación ante el Secretario General de Acuerdos que autoriza y da fe.</w:t>
      </w:r>
    </w:p>
    <w:tbl>
      <w:tblPr>
        <w:tblW w:w="7935" w:type="dxa"/>
        <w:jc w:val="center"/>
        <w:tblCellSpacing w:w="0" w:type="dxa"/>
        <w:tblCellMar>
          <w:top w:w="60" w:type="dxa"/>
          <w:left w:w="60" w:type="dxa"/>
          <w:bottom w:w="60" w:type="dxa"/>
          <w:right w:w="60" w:type="dxa"/>
        </w:tblCellMar>
        <w:tblLook w:val="0000" w:firstRow="0" w:lastRow="0" w:firstColumn="0" w:lastColumn="0" w:noHBand="0" w:noVBand="0"/>
      </w:tblPr>
      <w:tblGrid>
        <w:gridCol w:w="3967"/>
        <w:gridCol w:w="3968"/>
      </w:tblGrid>
      <w:tr w:rsidR="006F5238" w:rsidRPr="00791593" w14:paraId="78D6BF4A" w14:textId="77777777" w:rsidTr="00B05F31">
        <w:trPr>
          <w:tblCellSpacing w:w="0" w:type="dxa"/>
          <w:jc w:val="center"/>
        </w:trPr>
        <w:tc>
          <w:tcPr>
            <w:tcW w:w="0" w:type="auto"/>
            <w:gridSpan w:val="2"/>
          </w:tcPr>
          <w:p w14:paraId="440E8D4F" w14:textId="77777777" w:rsidR="006F5238" w:rsidRPr="00791593" w:rsidRDefault="006F5238" w:rsidP="006F5238">
            <w:pPr>
              <w:spacing w:after="0" w:line="240" w:lineRule="auto"/>
              <w:jc w:val="center"/>
              <w:rPr>
                <w:rFonts w:ascii="Arial" w:eastAsia="Times New Roman" w:hAnsi="Arial" w:cs="Arial"/>
                <w:b/>
                <w:bCs/>
                <w:sz w:val="28"/>
                <w:szCs w:val="28"/>
                <w:lang w:val="pt-BR" w:eastAsia="es-ES"/>
              </w:rPr>
            </w:pPr>
            <w:r w:rsidRPr="00791593">
              <w:rPr>
                <w:rFonts w:ascii="Arial" w:eastAsia="Times New Roman" w:hAnsi="Arial" w:cs="Arial"/>
                <w:b/>
                <w:bCs/>
                <w:sz w:val="28"/>
                <w:szCs w:val="28"/>
                <w:lang w:val="pt-BR" w:eastAsia="es-ES"/>
              </w:rPr>
              <w:t>MAGISTRADO PRESIDENTE</w:t>
            </w:r>
          </w:p>
          <w:p w14:paraId="7D4FEE55" w14:textId="77777777" w:rsidR="006F5238" w:rsidRPr="00791593" w:rsidRDefault="006F5238" w:rsidP="006F5238">
            <w:pPr>
              <w:spacing w:after="0" w:line="240" w:lineRule="auto"/>
              <w:jc w:val="center"/>
              <w:rPr>
                <w:rFonts w:ascii="Arial" w:eastAsia="Times New Roman" w:hAnsi="Arial" w:cs="Arial"/>
                <w:b/>
                <w:bCs/>
                <w:sz w:val="28"/>
                <w:szCs w:val="28"/>
                <w:lang w:val="pt-BR" w:eastAsia="es-ES"/>
              </w:rPr>
            </w:pPr>
          </w:p>
          <w:p w14:paraId="7E771C86" w14:textId="77777777" w:rsidR="006F5238" w:rsidRPr="00791593" w:rsidRDefault="006F5238" w:rsidP="006F5238">
            <w:pPr>
              <w:spacing w:after="0" w:line="240" w:lineRule="auto"/>
              <w:jc w:val="center"/>
              <w:rPr>
                <w:rFonts w:ascii="Arial" w:eastAsia="Times New Roman" w:hAnsi="Arial" w:cs="Arial"/>
                <w:b/>
                <w:bCs/>
                <w:sz w:val="28"/>
                <w:szCs w:val="28"/>
                <w:lang w:val="pt-BR" w:eastAsia="es-ES"/>
              </w:rPr>
            </w:pPr>
          </w:p>
          <w:p w14:paraId="3A8E4561" w14:textId="77777777" w:rsidR="006F5238" w:rsidRPr="00791593" w:rsidRDefault="006F5238" w:rsidP="006F5238">
            <w:pPr>
              <w:spacing w:after="0" w:line="240" w:lineRule="auto"/>
              <w:jc w:val="center"/>
              <w:rPr>
                <w:rFonts w:ascii="Arial" w:eastAsia="Times New Roman" w:hAnsi="Arial" w:cs="Arial"/>
                <w:b/>
                <w:bCs/>
                <w:sz w:val="28"/>
                <w:szCs w:val="28"/>
                <w:lang w:val="pt-BR" w:eastAsia="es-ES"/>
              </w:rPr>
            </w:pPr>
          </w:p>
          <w:p w14:paraId="7F086816" w14:textId="77777777" w:rsidR="006F5238" w:rsidRPr="00791593" w:rsidRDefault="006F5238" w:rsidP="006F5238">
            <w:pPr>
              <w:spacing w:after="0" w:line="240" w:lineRule="auto"/>
              <w:jc w:val="center"/>
              <w:rPr>
                <w:rFonts w:ascii="Arial" w:eastAsia="Times New Roman" w:hAnsi="Arial" w:cs="Arial"/>
                <w:b/>
                <w:bCs/>
                <w:sz w:val="28"/>
                <w:szCs w:val="28"/>
                <w:lang w:val="pt-BR" w:eastAsia="es-ES"/>
              </w:rPr>
            </w:pPr>
            <w:r w:rsidRPr="00791593">
              <w:rPr>
                <w:rFonts w:ascii="Arial" w:eastAsia="Times New Roman" w:hAnsi="Arial" w:cs="Arial"/>
                <w:b/>
                <w:bCs/>
                <w:sz w:val="28"/>
                <w:szCs w:val="28"/>
                <w:lang w:val="pt-BR" w:eastAsia="es-ES"/>
              </w:rPr>
              <w:t>JOSÉ ALEJANDRO LUNA RAMOS</w:t>
            </w:r>
          </w:p>
          <w:p w14:paraId="008E09A2" w14:textId="77777777" w:rsidR="006F5238" w:rsidRPr="00791593" w:rsidRDefault="006F5238" w:rsidP="006F5238">
            <w:pPr>
              <w:spacing w:after="0" w:line="240" w:lineRule="auto"/>
              <w:jc w:val="center"/>
              <w:rPr>
                <w:rFonts w:ascii="Arial" w:eastAsia="Times New Roman" w:hAnsi="Arial" w:cs="Arial"/>
                <w:sz w:val="28"/>
                <w:szCs w:val="28"/>
                <w:lang w:val="es-ES" w:eastAsia="es-ES"/>
              </w:rPr>
            </w:pPr>
          </w:p>
          <w:p w14:paraId="64144638" w14:textId="77777777" w:rsidR="006F5238" w:rsidRPr="00791593" w:rsidRDefault="006F5238" w:rsidP="006F5238">
            <w:pPr>
              <w:spacing w:after="0" w:line="240" w:lineRule="auto"/>
              <w:jc w:val="center"/>
              <w:rPr>
                <w:rFonts w:ascii="Arial" w:eastAsia="Times New Roman" w:hAnsi="Arial" w:cs="Arial"/>
                <w:sz w:val="28"/>
                <w:szCs w:val="28"/>
                <w:lang w:val="es-ES" w:eastAsia="es-ES"/>
              </w:rPr>
            </w:pPr>
          </w:p>
        </w:tc>
      </w:tr>
      <w:tr w:rsidR="006F5238" w:rsidRPr="00791593" w14:paraId="182C5054" w14:textId="77777777" w:rsidTr="00B05F31">
        <w:trPr>
          <w:tblCellSpacing w:w="0" w:type="dxa"/>
          <w:jc w:val="center"/>
        </w:trPr>
        <w:tc>
          <w:tcPr>
            <w:tcW w:w="0" w:type="auto"/>
          </w:tcPr>
          <w:p w14:paraId="6175633B"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MAGISTRADA</w:t>
            </w:r>
          </w:p>
          <w:p w14:paraId="6F6CB741"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38BF3D3D"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1B9D141F"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74199D42"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MARÍA DEL CARMEN ALANIS FIGUEROA</w:t>
            </w:r>
          </w:p>
        </w:tc>
        <w:tc>
          <w:tcPr>
            <w:tcW w:w="0" w:type="auto"/>
          </w:tcPr>
          <w:p w14:paraId="15B2EF6E"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MAGISTRADO</w:t>
            </w:r>
          </w:p>
          <w:p w14:paraId="0C980B95"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40010495"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02199D7A"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2BBB0087"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CONSTANCIO CARRASCO DAZA</w:t>
            </w:r>
          </w:p>
          <w:p w14:paraId="400FFF28"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40BC7048"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tc>
      </w:tr>
      <w:tr w:rsidR="006F5238" w:rsidRPr="00791593" w14:paraId="2CFEA666" w14:textId="77777777" w:rsidTr="00B05F31">
        <w:trPr>
          <w:tblCellSpacing w:w="0" w:type="dxa"/>
          <w:jc w:val="center"/>
        </w:trPr>
        <w:tc>
          <w:tcPr>
            <w:tcW w:w="2500" w:type="pct"/>
          </w:tcPr>
          <w:p w14:paraId="771255A4"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MAGISTRADO</w:t>
            </w:r>
          </w:p>
          <w:p w14:paraId="156C7E73"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7E3BBDA4"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54E741CD"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46D42DD0" w14:textId="77777777" w:rsidR="006F5238" w:rsidRPr="00791593" w:rsidRDefault="006F5238" w:rsidP="006F5238">
            <w:pPr>
              <w:spacing w:after="0" w:line="240" w:lineRule="auto"/>
              <w:jc w:val="center"/>
              <w:rPr>
                <w:rFonts w:ascii="Arial" w:eastAsia="Times New Roman" w:hAnsi="Arial" w:cs="Arial"/>
                <w:b/>
                <w:sz w:val="28"/>
                <w:szCs w:val="28"/>
                <w:lang w:val="es-ES" w:eastAsia="es-ES"/>
              </w:rPr>
            </w:pPr>
            <w:r w:rsidRPr="00791593">
              <w:rPr>
                <w:rFonts w:ascii="Arial" w:eastAsia="Times New Roman" w:hAnsi="Arial" w:cs="Arial"/>
                <w:b/>
                <w:sz w:val="28"/>
                <w:szCs w:val="28"/>
                <w:lang w:val="es-ES" w:eastAsia="es-ES"/>
              </w:rPr>
              <w:t>FLAVIO GALVÁN RIVERA</w:t>
            </w:r>
          </w:p>
        </w:tc>
        <w:tc>
          <w:tcPr>
            <w:tcW w:w="2500" w:type="pct"/>
          </w:tcPr>
          <w:p w14:paraId="54EE6452"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MAGISTRADO</w:t>
            </w:r>
          </w:p>
          <w:p w14:paraId="588B7CDF"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7A42641B"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60074BA1"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12ED4804"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MANUEL GONZÁLEZ OROPEZA</w:t>
            </w:r>
          </w:p>
          <w:p w14:paraId="33F083D7" w14:textId="77777777" w:rsidR="006F5238" w:rsidRPr="00791593" w:rsidRDefault="006F5238" w:rsidP="006F5238">
            <w:pPr>
              <w:spacing w:after="0" w:line="240" w:lineRule="auto"/>
              <w:jc w:val="center"/>
              <w:rPr>
                <w:rFonts w:ascii="Arial" w:eastAsia="Times New Roman" w:hAnsi="Arial" w:cs="Arial"/>
                <w:sz w:val="28"/>
                <w:szCs w:val="28"/>
                <w:lang w:val="pt-BR" w:eastAsia="es-ES"/>
              </w:rPr>
            </w:pPr>
          </w:p>
        </w:tc>
      </w:tr>
      <w:tr w:rsidR="006F5238" w:rsidRPr="00791593" w14:paraId="51916C7E" w14:textId="77777777" w:rsidTr="00B05F31">
        <w:trPr>
          <w:tblCellSpacing w:w="0" w:type="dxa"/>
          <w:jc w:val="center"/>
        </w:trPr>
        <w:tc>
          <w:tcPr>
            <w:tcW w:w="2500" w:type="pct"/>
          </w:tcPr>
          <w:p w14:paraId="404261FC" w14:textId="77777777" w:rsidR="006F5238" w:rsidRPr="00791593" w:rsidRDefault="006F5238" w:rsidP="006F5238">
            <w:pPr>
              <w:spacing w:after="0" w:line="240" w:lineRule="auto"/>
              <w:jc w:val="center"/>
              <w:rPr>
                <w:rFonts w:ascii="Arial" w:eastAsia="Times New Roman" w:hAnsi="Arial" w:cs="Arial"/>
                <w:b/>
                <w:bCs/>
                <w:sz w:val="28"/>
                <w:szCs w:val="28"/>
                <w:lang w:val="pt-BR" w:eastAsia="es-ES"/>
              </w:rPr>
            </w:pPr>
            <w:r w:rsidRPr="00791593">
              <w:rPr>
                <w:rFonts w:ascii="Arial" w:eastAsia="Times New Roman" w:hAnsi="Arial" w:cs="Arial"/>
                <w:b/>
                <w:bCs/>
                <w:sz w:val="28"/>
                <w:szCs w:val="28"/>
                <w:lang w:val="pt-BR" w:eastAsia="es-ES"/>
              </w:rPr>
              <w:t>MAGISTRADO</w:t>
            </w:r>
          </w:p>
          <w:p w14:paraId="4DB5CC99" w14:textId="77777777" w:rsidR="006F5238" w:rsidRPr="00791593" w:rsidRDefault="006F5238" w:rsidP="006F5238">
            <w:pPr>
              <w:spacing w:after="0" w:line="240" w:lineRule="auto"/>
              <w:jc w:val="center"/>
              <w:rPr>
                <w:rFonts w:ascii="Arial" w:eastAsia="Times New Roman" w:hAnsi="Arial" w:cs="Arial"/>
                <w:b/>
                <w:bCs/>
                <w:sz w:val="28"/>
                <w:szCs w:val="28"/>
                <w:lang w:val="pt-BR" w:eastAsia="es-ES"/>
              </w:rPr>
            </w:pPr>
          </w:p>
          <w:p w14:paraId="5276F16F" w14:textId="77777777" w:rsidR="006F5238" w:rsidRPr="00791593" w:rsidRDefault="006F5238" w:rsidP="006F5238">
            <w:pPr>
              <w:spacing w:after="0" w:line="240" w:lineRule="auto"/>
              <w:jc w:val="center"/>
              <w:rPr>
                <w:rFonts w:ascii="Arial" w:eastAsia="Times New Roman" w:hAnsi="Arial" w:cs="Arial"/>
                <w:b/>
                <w:bCs/>
                <w:sz w:val="28"/>
                <w:szCs w:val="28"/>
                <w:lang w:val="pt-BR" w:eastAsia="es-ES"/>
              </w:rPr>
            </w:pPr>
          </w:p>
          <w:p w14:paraId="3818FFB9" w14:textId="77777777" w:rsidR="006F5238" w:rsidRPr="00791593" w:rsidRDefault="006F5238" w:rsidP="006F5238">
            <w:pPr>
              <w:spacing w:after="0" w:line="240" w:lineRule="auto"/>
              <w:jc w:val="center"/>
              <w:rPr>
                <w:rFonts w:ascii="Arial" w:eastAsia="Times New Roman" w:hAnsi="Arial" w:cs="Arial"/>
                <w:b/>
                <w:bCs/>
                <w:sz w:val="28"/>
                <w:szCs w:val="28"/>
                <w:lang w:val="pt-BR" w:eastAsia="es-ES"/>
              </w:rPr>
            </w:pPr>
          </w:p>
          <w:p w14:paraId="3217323A" w14:textId="77777777" w:rsidR="006F5238" w:rsidRPr="00791593" w:rsidRDefault="006F5238" w:rsidP="006F5238">
            <w:pPr>
              <w:spacing w:after="0" w:line="240" w:lineRule="auto"/>
              <w:jc w:val="center"/>
              <w:rPr>
                <w:rFonts w:ascii="Arial" w:eastAsia="Times New Roman" w:hAnsi="Arial" w:cs="Arial"/>
                <w:sz w:val="28"/>
                <w:szCs w:val="28"/>
                <w:lang w:val="pt-BR" w:eastAsia="es-ES"/>
              </w:rPr>
            </w:pPr>
            <w:r w:rsidRPr="00791593">
              <w:rPr>
                <w:rFonts w:ascii="Arial" w:eastAsia="Times New Roman" w:hAnsi="Arial" w:cs="Arial"/>
                <w:b/>
                <w:bCs/>
                <w:sz w:val="28"/>
                <w:szCs w:val="28"/>
                <w:lang w:val="pt-BR" w:eastAsia="es-ES"/>
              </w:rPr>
              <w:t>SALVADOR OLIMPO NAVA GOMAR</w:t>
            </w:r>
          </w:p>
          <w:p w14:paraId="3EEEA2A1" w14:textId="77777777" w:rsidR="006F5238" w:rsidRPr="00791593" w:rsidRDefault="006F5238" w:rsidP="006F5238">
            <w:pPr>
              <w:spacing w:after="0" w:line="240" w:lineRule="auto"/>
              <w:jc w:val="center"/>
              <w:rPr>
                <w:rFonts w:ascii="Arial" w:eastAsia="Times New Roman" w:hAnsi="Arial" w:cs="Arial"/>
                <w:sz w:val="28"/>
                <w:szCs w:val="28"/>
                <w:lang w:val="pt-BR" w:eastAsia="es-ES"/>
              </w:rPr>
            </w:pPr>
          </w:p>
        </w:tc>
        <w:tc>
          <w:tcPr>
            <w:tcW w:w="2500" w:type="pct"/>
          </w:tcPr>
          <w:p w14:paraId="63E1BFDF" w14:textId="77777777" w:rsidR="006F5238" w:rsidRPr="00791593" w:rsidRDefault="006F5238" w:rsidP="006F5238">
            <w:pPr>
              <w:spacing w:after="0" w:line="240" w:lineRule="auto"/>
              <w:jc w:val="center"/>
              <w:rPr>
                <w:rFonts w:ascii="Arial" w:eastAsia="Times New Roman" w:hAnsi="Arial" w:cs="Arial"/>
                <w:b/>
                <w:bCs/>
                <w:sz w:val="28"/>
                <w:szCs w:val="28"/>
                <w:lang w:val="pt-BR" w:eastAsia="es-ES"/>
              </w:rPr>
            </w:pPr>
            <w:r w:rsidRPr="00791593">
              <w:rPr>
                <w:rFonts w:ascii="Arial" w:eastAsia="Times New Roman" w:hAnsi="Arial" w:cs="Arial"/>
                <w:b/>
                <w:bCs/>
                <w:sz w:val="28"/>
                <w:szCs w:val="28"/>
                <w:lang w:val="pt-BR" w:eastAsia="es-ES"/>
              </w:rPr>
              <w:t>MAGISTRADO</w:t>
            </w:r>
          </w:p>
          <w:p w14:paraId="668AAF7E" w14:textId="77777777" w:rsidR="006F5238" w:rsidRPr="00791593" w:rsidRDefault="006F5238" w:rsidP="006F5238">
            <w:pPr>
              <w:spacing w:after="0" w:line="240" w:lineRule="auto"/>
              <w:jc w:val="center"/>
              <w:rPr>
                <w:rFonts w:ascii="Arial" w:eastAsia="Times New Roman" w:hAnsi="Arial" w:cs="Arial"/>
                <w:sz w:val="28"/>
                <w:szCs w:val="28"/>
                <w:lang w:val="pt-BR" w:eastAsia="es-ES"/>
              </w:rPr>
            </w:pPr>
          </w:p>
          <w:p w14:paraId="717B5AAC" w14:textId="77777777" w:rsidR="006F5238" w:rsidRPr="00791593" w:rsidRDefault="006F5238" w:rsidP="006F5238">
            <w:pPr>
              <w:spacing w:after="0" w:line="240" w:lineRule="auto"/>
              <w:jc w:val="center"/>
              <w:rPr>
                <w:rFonts w:ascii="Arial" w:eastAsia="Times New Roman" w:hAnsi="Arial" w:cs="Arial"/>
                <w:sz w:val="28"/>
                <w:szCs w:val="28"/>
                <w:lang w:val="pt-BR" w:eastAsia="es-ES"/>
              </w:rPr>
            </w:pPr>
          </w:p>
          <w:p w14:paraId="245279E3" w14:textId="77777777" w:rsidR="006F5238" w:rsidRPr="00791593" w:rsidRDefault="006F5238" w:rsidP="006F5238">
            <w:pPr>
              <w:spacing w:after="0" w:line="240" w:lineRule="auto"/>
              <w:jc w:val="center"/>
              <w:rPr>
                <w:rFonts w:ascii="Arial" w:eastAsia="Times New Roman" w:hAnsi="Arial" w:cs="Arial"/>
                <w:sz w:val="28"/>
                <w:szCs w:val="28"/>
                <w:lang w:val="pt-BR" w:eastAsia="es-ES"/>
              </w:rPr>
            </w:pPr>
          </w:p>
          <w:p w14:paraId="0B1AC79E" w14:textId="77777777" w:rsidR="006F5238" w:rsidRPr="00791593" w:rsidRDefault="006F5238" w:rsidP="006F5238">
            <w:pPr>
              <w:spacing w:after="0" w:line="240" w:lineRule="auto"/>
              <w:jc w:val="center"/>
              <w:rPr>
                <w:rFonts w:ascii="Arial" w:eastAsia="Times New Roman" w:hAnsi="Arial" w:cs="Arial"/>
                <w:b/>
                <w:bCs/>
                <w:sz w:val="28"/>
                <w:szCs w:val="28"/>
                <w:lang w:val="pt-BR" w:eastAsia="es-ES"/>
              </w:rPr>
            </w:pPr>
            <w:r w:rsidRPr="00791593">
              <w:rPr>
                <w:rFonts w:ascii="Arial" w:eastAsia="Times New Roman" w:hAnsi="Arial" w:cs="Arial"/>
                <w:b/>
                <w:bCs/>
                <w:sz w:val="28"/>
                <w:szCs w:val="28"/>
                <w:lang w:val="pt-BR" w:eastAsia="es-ES"/>
              </w:rPr>
              <w:t>PEDRO ESTEBAN PENAGOS LÓPEZ</w:t>
            </w:r>
          </w:p>
          <w:p w14:paraId="1D68BD2F" w14:textId="77777777" w:rsidR="006F5238" w:rsidRPr="00791593" w:rsidRDefault="006F5238" w:rsidP="006F5238">
            <w:pPr>
              <w:spacing w:after="0" w:line="240" w:lineRule="auto"/>
              <w:jc w:val="center"/>
              <w:rPr>
                <w:rFonts w:ascii="Arial" w:eastAsia="Times New Roman" w:hAnsi="Arial" w:cs="Arial"/>
                <w:b/>
                <w:bCs/>
                <w:sz w:val="28"/>
                <w:szCs w:val="28"/>
                <w:lang w:val="pt-BR" w:eastAsia="es-ES"/>
              </w:rPr>
            </w:pPr>
          </w:p>
          <w:p w14:paraId="562E842C" w14:textId="77777777" w:rsidR="006F5238" w:rsidRPr="00791593" w:rsidRDefault="006F5238" w:rsidP="006F5238">
            <w:pPr>
              <w:spacing w:after="0" w:line="240" w:lineRule="auto"/>
              <w:jc w:val="center"/>
              <w:rPr>
                <w:rFonts w:ascii="Arial" w:eastAsia="Times New Roman" w:hAnsi="Arial" w:cs="Arial"/>
                <w:b/>
                <w:bCs/>
                <w:sz w:val="28"/>
                <w:szCs w:val="28"/>
                <w:lang w:val="pt-BR" w:eastAsia="es-ES"/>
              </w:rPr>
            </w:pPr>
          </w:p>
        </w:tc>
      </w:tr>
      <w:tr w:rsidR="006F5238" w:rsidRPr="00791593" w14:paraId="1BB57005" w14:textId="77777777" w:rsidTr="00B05F31">
        <w:trPr>
          <w:tblCellSpacing w:w="0" w:type="dxa"/>
          <w:jc w:val="center"/>
        </w:trPr>
        <w:tc>
          <w:tcPr>
            <w:tcW w:w="0" w:type="auto"/>
            <w:gridSpan w:val="2"/>
          </w:tcPr>
          <w:p w14:paraId="52FBF5D0"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SECRETARIO GENERAL DE ACUERDOS</w:t>
            </w:r>
          </w:p>
          <w:p w14:paraId="271216D0"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7C01F2C4" w14:textId="77777777" w:rsidR="006F5238" w:rsidRPr="00791593" w:rsidRDefault="006F5238" w:rsidP="006F5238">
            <w:pPr>
              <w:spacing w:after="0" w:line="240" w:lineRule="auto"/>
              <w:jc w:val="center"/>
              <w:rPr>
                <w:rFonts w:ascii="Arial" w:eastAsia="Times New Roman" w:hAnsi="Arial" w:cs="Arial"/>
                <w:b/>
                <w:bCs/>
                <w:sz w:val="28"/>
                <w:szCs w:val="28"/>
                <w:lang w:val="es-ES" w:eastAsia="es-ES"/>
              </w:rPr>
            </w:pPr>
          </w:p>
          <w:p w14:paraId="71CB34CC" w14:textId="77777777" w:rsidR="006F5238" w:rsidRPr="00791593" w:rsidRDefault="006F5238" w:rsidP="006F5238">
            <w:pPr>
              <w:spacing w:after="0" w:line="240" w:lineRule="auto"/>
              <w:jc w:val="center"/>
              <w:rPr>
                <w:rFonts w:ascii="Arial" w:eastAsia="Times New Roman" w:hAnsi="Arial" w:cs="Arial"/>
                <w:sz w:val="28"/>
                <w:szCs w:val="28"/>
                <w:lang w:val="es-ES" w:eastAsia="es-ES"/>
              </w:rPr>
            </w:pPr>
            <w:r w:rsidRPr="00791593">
              <w:rPr>
                <w:rFonts w:ascii="Arial" w:eastAsia="Times New Roman" w:hAnsi="Arial" w:cs="Arial"/>
                <w:b/>
                <w:bCs/>
                <w:sz w:val="28"/>
                <w:szCs w:val="28"/>
                <w:lang w:val="es-ES" w:eastAsia="es-ES"/>
              </w:rPr>
              <w:t>FELIPE DE LA MATA PIZAÑA</w:t>
            </w:r>
          </w:p>
        </w:tc>
      </w:tr>
    </w:tbl>
    <w:p w14:paraId="1A9737AD" w14:textId="77777777" w:rsidR="006F5238" w:rsidRPr="00791593" w:rsidRDefault="006F5238" w:rsidP="006F5238">
      <w:pPr>
        <w:spacing w:after="0" w:line="240" w:lineRule="auto"/>
        <w:jc w:val="both"/>
        <w:rPr>
          <w:rFonts w:ascii="Arial" w:eastAsia="Times New Roman" w:hAnsi="Arial" w:cs="Arial"/>
          <w:sz w:val="28"/>
          <w:szCs w:val="28"/>
          <w:lang w:val="es-ES" w:eastAsia="es-ES"/>
        </w:rPr>
      </w:pPr>
    </w:p>
    <w:p w14:paraId="7134C6C8" w14:textId="10BAD913" w:rsidR="00176340" w:rsidRPr="00791593" w:rsidRDefault="00176340" w:rsidP="00335852">
      <w:pPr>
        <w:rPr>
          <w:rFonts w:ascii="Arial" w:hAnsi="Arial" w:cs="Arial"/>
          <w:lang w:eastAsia="es-MX"/>
        </w:rPr>
      </w:pPr>
    </w:p>
    <w:p w14:paraId="6B266F76" w14:textId="3C8EFF99" w:rsidR="00176340" w:rsidRPr="00791593" w:rsidRDefault="00176340" w:rsidP="00335852">
      <w:pPr>
        <w:rPr>
          <w:rFonts w:ascii="Arial" w:hAnsi="Arial" w:cs="Arial"/>
          <w:lang w:eastAsia="es-MX"/>
        </w:rPr>
      </w:pPr>
    </w:p>
    <w:p w14:paraId="54F062A1" w14:textId="77777777" w:rsidR="00176340" w:rsidRPr="00791593" w:rsidRDefault="00176340" w:rsidP="00335852">
      <w:pPr>
        <w:rPr>
          <w:rFonts w:ascii="Arial" w:hAnsi="Arial" w:cs="Arial"/>
          <w:lang w:eastAsia="es-MX"/>
        </w:rPr>
      </w:pPr>
    </w:p>
    <w:p w14:paraId="3B7F4FBC" w14:textId="73876196" w:rsidR="00E60F54" w:rsidRPr="00791593" w:rsidRDefault="00E60F54" w:rsidP="008B254C">
      <w:pPr>
        <w:pStyle w:val="Ttulo4"/>
        <w:rPr>
          <w:rFonts w:ascii="Arial" w:hAnsi="Arial" w:cs="Arial"/>
          <w:i w:val="0"/>
          <w:iCs w:val="0"/>
          <w:color w:val="C00000"/>
          <w:sz w:val="24"/>
          <w:szCs w:val="24"/>
          <w:lang w:eastAsia="es-MX"/>
        </w:rPr>
      </w:pPr>
      <w:r w:rsidRPr="00791593">
        <w:rPr>
          <w:rFonts w:ascii="Arial" w:eastAsia="Times New Roman" w:hAnsi="Arial" w:cs="Arial"/>
          <w:b/>
          <w:bCs/>
          <w:i w:val="0"/>
          <w:iCs w:val="0"/>
          <w:color w:val="C00000"/>
          <w:sz w:val="24"/>
          <w:szCs w:val="24"/>
          <w:lang w:eastAsia="es-MX"/>
        </w:rPr>
        <w:t xml:space="preserve">CASO 1: </w:t>
      </w:r>
      <w:r w:rsidRPr="00791593">
        <w:rPr>
          <w:rFonts w:ascii="Arial" w:hAnsi="Arial" w:cs="Arial"/>
          <w:b/>
          <w:bCs/>
          <w:i w:val="0"/>
          <w:iCs w:val="0"/>
          <w:color w:val="C00000"/>
          <w:sz w:val="24"/>
          <w:szCs w:val="24"/>
          <w:shd w:val="clear" w:color="auto" w:fill="FFFFFF"/>
        </w:rPr>
        <w:t xml:space="preserve"> CASO YATAMA VS NICARAGUA</w:t>
      </w:r>
    </w:p>
    <w:p w14:paraId="1E22B35E" w14:textId="77777777" w:rsidR="00E60F54" w:rsidRPr="00791593" w:rsidRDefault="00E60F54" w:rsidP="00E60F54">
      <w:pPr>
        <w:spacing w:after="0" w:line="240" w:lineRule="auto"/>
        <w:jc w:val="both"/>
        <w:rPr>
          <w:rFonts w:ascii="Arial" w:hAnsi="Arial" w:cs="Arial"/>
          <w:lang w:eastAsia="es-MX"/>
        </w:rPr>
      </w:pPr>
    </w:p>
    <w:p w14:paraId="6052967D" w14:textId="77B0EC5C" w:rsidR="006F5238" w:rsidRPr="00791593" w:rsidRDefault="00E60F54" w:rsidP="00E60F54">
      <w:pPr>
        <w:spacing w:after="0" w:line="240" w:lineRule="auto"/>
        <w:rPr>
          <w:rFonts w:ascii="Arial" w:hAnsi="Arial" w:cs="Arial"/>
          <w:b/>
          <w:bCs/>
          <w:lang w:eastAsia="es-MX"/>
        </w:rPr>
      </w:pPr>
      <w:r w:rsidRPr="00791593">
        <w:rPr>
          <w:rFonts w:ascii="Arial" w:hAnsi="Arial" w:cs="Arial"/>
          <w:b/>
          <w:bCs/>
          <w:color w:val="000000"/>
          <w:shd w:val="clear" w:color="auto" w:fill="FFFFFF"/>
        </w:rPr>
        <w:t>Órgano CoIDH.</w:t>
      </w:r>
      <w:r w:rsidRPr="00791593">
        <w:rPr>
          <w:rFonts w:ascii="Arial" w:hAnsi="Arial" w:cs="Arial"/>
          <w:b/>
          <w:bCs/>
          <w:color w:val="000000"/>
        </w:rPr>
        <w:br/>
      </w:r>
    </w:p>
    <w:p w14:paraId="4D83F7FC" w14:textId="25AC246F" w:rsidR="00E60F54" w:rsidRPr="00791593" w:rsidRDefault="00E60F54" w:rsidP="00E60F54">
      <w:pPr>
        <w:spacing w:after="0" w:line="240" w:lineRule="auto"/>
        <w:jc w:val="both"/>
        <w:rPr>
          <w:rFonts w:ascii="Arial" w:hAnsi="Arial" w:cs="Arial"/>
          <w:b/>
          <w:bCs/>
          <w:lang w:eastAsia="es-MX"/>
        </w:rPr>
      </w:pPr>
      <w:r w:rsidRPr="00791593">
        <w:rPr>
          <w:rFonts w:ascii="Arial" w:hAnsi="Arial" w:cs="Arial"/>
          <w:b/>
          <w:bCs/>
          <w:lang w:eastAsia="es-MX"/>
        </w:rPr>
        <w:t>Corte Interamericana de Derechos Humanos</w:t>
      </w:r>
    </w:p>
    <w:p w14:paraId="113231BF" w14:textId="77777777" w:rsidR="00E60F54" w:rsidRPr="00791593" w:rsidRDefault="00E60F54" w:rsidP="00E60F54">
      <w:pPr>
        <w:spacing w:after="0" w:line="240" w:lineRule="auto"/>
        <w:jc w:val="both"/>
        <w:rPr>
          <w:rFonts w:ascii="Arial" w:hAnsi="Arial" w:cs="Arial"/>
          <w:b/>
          <w:bCs/>
          <w:color w:val="C00000"/>
          <w:lang w:eastAsia="es-MX"/>
        </w:rPr>
      </w:pPr>
      <w:r w:rsidRPr="00791593">
        <w:rPr>
          <w:rFonts w:ascii="Arial" w:hAnsi="Arial" w:cs="Arial"/>
          <w:b/>
          <w:bCs/>
          <w:color w:val="C00000"/>
          <w:lang w:eastAsia="es-MX"/>
        </w:rPr>
        <w:t xml:space="preserve">Caso Yatama Vs. Nicaragua </w:t>
      </w:r>
    </w:p>
    <w:p w14:paraId="4DAB20E9" w14:textId="77777777" w:rsidR="00E60F54" w:rsidRPr="00791593" w:rsidRDefault="00E60F54" w:rsidP="00E60F54">
      <w:pPr>
        <w:spacing w:after="0" w:line="240" w:lineRule="auto"/>
        <w:jc w:val="both"/>
        <w:rPr>
          <w:rFonts w:ascii="Arial" w:hAnsi="Arial" w:cs="Arial"/>
          <w:b/>
          <w:bCs/>
          <w:lang w:eastAsia="es-MX"/>
        </w:rPr>
      </w:pPr>
      <w:r w:rsidRPr="00791593">
        <w:rPr>
          <w:rFonts w:ascii="Arial" w:hAnsi="Arial" w:cs="Arial"/>
          <w:b/>
          <w:bCs/>
          <w:lang w:eastAsia="es-MX"/>
        </w:rPr>
        <w:t>Resuelto el 23 de junio de 2005</w:t>
      </w:r>
    </w:p>
    <w:p w14:paraId="391A7126" w14:textId="77777777" w:rsidR="00E60F54" w:rsidRPr="00791593" w:rsidRDefault="00E60F54" w:rsidP="00E60F54">
      <w:pPr>
        <w:spacing w:after="0" w:line="240" w:lineRule="auto"/>
        <w:jc w:val="both"/>
        <w:rPr>
          <w:rFonts w:ascii="Arial" w:hAnsi="Arial" w:cs="Arial"/>
          <w:lang w:eastAsia="es-MX"/>
        </w:rPr>
      </w:pPr>
    </w:p>
    <w:p w14:paraId="467384DD" w14:textId="77777777" w:rsidR="00E60F54" w:rsidRPr="00791593" w:rsidRDefault="00E60F54" w:rsidP="00E60F54">
      <w:pPr>
        <w:spacing w:after="0" w:line="240" w:lineRule="auto"/>
        <w:jc w:val="both"/>
        <w:rPr>
          <w:rFonts w:ascii="Arial" w:hAnsi="Arial" w:cs="Arial"/>
          <w:lang w:eastAsia="es-MX"/>
        </w:rPr>
      </w:pPr>
    </w:p>
    <w:p w14:paraId="58BCE5C1" w14:textId="77777777" w:rsidR="00E60F54" w:rsidRPr="00791593" w:rsidRDefault="00E60F54" w:rsidP="00E60F54">
      <w:pPr>
        <w:spacing w:after="0" w:line="240" w:lineRule="auto"/>
        <w:jc w:val="both"/>
        <w:rPr>
          <w:rFonts w:ascii="Arial" w:hAnsi="Arial" w:cs="Arial"/>
          <w:b/>
          <w:bCs/>
          <w:lang w:eastAsia="es-MX"/>
        </w:rPr>
      </w:pPr>
      <w:r w:rsidRPr="00791593">
        <w:rPr>
          <w:rFonts w:ascii="Arial" w:hAnsi="Arial" w:cs="Arial"/>
          <w:b/>
          <w:bCs/>
          <w:lang w:eastAsia="es-MX"/>
        </w:rPr>
        <w:t>Temática</w:t>
      </w:r>
    </w:p>
    <w:p w14:paraId="61C7044A" w14:textId="5E9CBE5D"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•Derecho de acceso a la justicia (debido proceso)</w:t>
      </w:r>
    </w:p>
    <w:p w14:paraId="2AFC694B" w14:textId="3E3FCBA7"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•Derechos políticos</w:t>
      </w:r>
    </w:p>
    <w:p w14:paraId="306036FE" w14:textId="3074A5A7"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•Participación política de comunidades indígenas</w:t>
      </w:r>
    </w:p>
    <w:p w14:paraId="762A7275" w14:textId="77777777"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 xml:space="preserve"> </w:t>
      </w:r>
    </w:p>
    <w:p w14:paraId="5575D795" w14:textId="59B4AEFA" w:rsidR="00E60F54" w:rsidRPr="00791593" w:rsidRDefault="00E60F54" w:rsidP="00E60F54">
      <w:pPr>
        <w:spacing w:after="0" w:line="240" w:lineRule="auto"/>
        <w:jc w:val="both"/>
        <w:rPr>
          <w:rFonts w:ascii="Arial" w:hAnsi="Arial" w:cs="Arial"/>
          <w:b/>
          <w:bCs/>
          <w:lang w:eastAsia="es-MX"/>
        </w:rPr>
      </w:pPr>
      <w:r w:rsidRPr="00791593">
        <w:rPr>
          <w:rFonts w:ascii="Arial" w:hAnsi="Arial" w:cs="Arial"/>
          <w:b/>
          <w:bCs/>
          <w:lang w:eastAsia="es-MX"/>
        </w:rPr>
        <w:t>I.</w:t>
      </w:r>
      <w:r w:rsidR="009A5DEF" w:rsidRPr="00791593">
        <w:rPr>
          <w:rFonts w:ascii="Arial" w:hAnsi="Arial" w:cs="Arial"/>
          <w:b/>
          <w:bCs/>
          <w:lang w:eastAsia="es-MX"/>
        </w:rPr>
        <w:t xml:space="preserve"> </w:t>
      </w:r>
      <w:r w:rsidRPr="00791593">
        <w:rPr>
          <w:rFonts w:ascii="Arial" w:hAnsi="Arial" w:cs="Arial"/>
          <w:b/>
          <w:bCs/>
          <w:lang w:eastAsia="es-MX"/>
        </w:rPr>
        <w:t>Hechos</w:t>
      </w:r>
    </w:p>
    <w:p w14:paraId="24DC4A52" w14:textId="77777777" w:rsidR="00E60F54" w:rsidRPr="00791593" w:rsidRDefault="00E60F54" w:rsidP="00E60F54">
      <w:pPr>
        <w:spacing w:after="0" w:line="240" w:lineRule="auto"/>
        <w:jc w:val="both"/>
        <w:rPr>
          <w:rFonts w:ascii="Arial" w:hAnsi="Arial" w:cs="Arial"/>
          <w:lang w:eastAsia="es-MX"/>
        </w:rPr>
      </w:pPr>
    </w:p>
    <w:p w14:paraId="321BE170" w14:textId="77777777"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Exclusión de los candidatos a alcaldes, vicealcaldes y concejales presentados por la organización indígena y partido político Yapti Tasba Masraka Nanih Asla Takanka (YATAMA), en las elecciones municipales de noviembre de 2000, en diversas regiones del Atlántico de Nicaragua, atribuida a diversas autoridades estatales.</w:t>
      </w:r>
    </w:p>
    <w:p w14:paraId="72A4619F" w14:textId="77777777" w:rsidR="00E60F54" w:rsidRPr="00791593" w:rsidRDefault="00E60F54" w:rsidP="00E60F54">
      <w:pPr>
        <w:spacing w:after="0" w:line="240" w:lineRule="auto"/>
        <w:jc w:val="both"/>
        <w:rPr>
          <w:rFonts w:ascii="Arial" w:hAnsi="Arial" w:cs="Arial"/>
          <w:lang w:eastAsia="es-MX"/>
        </w:rPr>
      </w:pPr>
    </w:p>
    <w:p w14:paraId="27420C18" w14:textId="5D7A1BFE" w:rsidR="00E60F54" w:rsidRPr="00791593" w:rsidRDefault="00E60F54" w:rsidP="00E60F54">
      <w:pPr>
        <w:spacing w:after="0" w:line="240" w:lineRule="auto"/>
        <w:jc w:val="both"/>
        <w:rPr>
          <w:rFonts w:ascii="Arial" w:hAnsi="Arial" w:cs="Arial"/>
          <w:b/>
          <w:bCs/>
          <w:lang w:eastAsia="es-MX"/>
        </w:rPr>
      </w:pPr>
      <w:r w:rsidRPr="00791593">
        <w:rPr>
          <w:rFonts w:ascii="Arial" w:hAnsi="Arial" w:cs="Arial"/>
          <w:b/>
          <w:bCs/>
          <w:lang w:eastAsia="es-MX"/>
        </w:rPr>
        <w:t>II.</w:t>
      </w:r>
      <w:r w:rsidR="009A5DEF" w:rsidRPr="00791593">
        <w:rPr>
          <w:rFonts w:ascii="Arial" w:hAnsi="Arial" w:cs="Arial"/>
          <w:b/>
          <w:bCs/>
          <w:lang w:eastAsia="es-MX"/>
        </w:rPr>
        <w:t xml:space="preserve"> </w:t>
      </w:r>
      <w:r w:rsidRPr="00791593">
        <w:rPr>
          <w:rFonts w:ascii="Arial" w:hAnsi="Arial" w:cs="Arial"/>
          <w:b/>
          <w:bCs/>
          <w:lang w:eastAsia="es-MX"/>
        </w:rPr>
        <w:t>Procedimiento ante órganos interamericanos</w:t>
      </w:r>
    </w:p>
    <w:p w14:paraId="2BD6CDF6" w14:textId="77777777" w:rsidR="00E60F54" w:rsidRPr="00791593" w:rsidRDefault="00E60F54" w:rsidP="00E60F54">
      <w:pPr>
        <w:spacing w:after="0" w:line="240" w:lineRule="auto"/>
        <w:jc w:val="both"/>
        <w:rPr>
          <w:rFonts w:ascii="Arial" w:hAnsi="Arial" w:cs="Arial"/>
          <w:lang w:eastAsia="es-MX"/>
        </w:rPr>
      </w:pPr>
    </w:p>
    <w:p w14:paraId="6AA816A7" w14:textId="3C22D34F"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w:t>
      </w:r>
      <w:r w:rsidR="009A5DEF" w:rsidRPr="00791593">
        <w:rPr>
          <w:rFonts w:ascii="Arial" w:hAnsi="Arial" w:cs="Arial"/>
          <w:lang w:eastAsia="es-MX"/>
        </w:rPr>
        <w:t xml:space="preserve"> </w:t>
      </w:r>
      <w:r w:rsidRPr="00791593">
        <w:rPr>
          <w:rFonts w:ascii="Arial" w:hAnsi="Arial" w:cs="Arial"/>
          <w:lang w:eastAsia="es-MX"/>
        </w:rPr>
        <w:t>La petición inicial fue presentada ante la Comisión el 26 de abril de 2001 por la organización YATAMA, y diversas organizaciones protectoras de derechos humanos.</w:t>
      </w:r>
    </w:p>
    <w:p w14:paraId="4D79FF06" w14:textId="77777777" w:rsidR="00E60F54" w:rsidRPr="00791593" w:rsidRDefault="00E60F54" w:rsidP="00E60F54">
      <w:pPr>
        <w:spacing w:after="0" w:line="240" w:lineRule="auto"/>
        <w:jc w:val="both"/>
        <w:rPr>
          <w:rFonts w:ascii="Arial" w:hAnsi="Arial" w:cs="Arial"/>
          <w:lang w:eastAsia="es-MX"/>
        </w:rPr>
      </w:pPr>
    </w:p>
    <w:p w14:paraId="5C397AC5" w14:textId="1A79E852"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w:t>
      </w:r>
      <w:r w:rsidR="00263CEC" w:rsidRPr="00791593">
        <w:rPr>
          <w:rFonts w:ascii="Arial" w:hAnsi="Arial" w:cs="Arial"/>
          <w:lang w:eastAsia="es-MX"/>
        </w:rPr>
        <w:t xml:space="preserve"> </w:t>
      </w:r>
      <w:r w:rsidRPr="00791593">
        <w:rPr>
          <w:rFonts w:ascii="Arial" w:hAnsi="Arial" w:cs="Arial"/>
          <w:lang w:eastAsia="es-MX"/>
        </w:rPr>
        <w:t>El 3 de diciembre de 2001 la Comisión Interamericana aprobó el Informe de admisibilidad No. 125/01.</w:t>
      </w:r>
    </w:p>
    <w:p w14:paraId="2427BF7E" w14:textId="77777777" w:rsidR="00E60F54" w:rsidRPr="00791593" w:rsidRDefault="00E60F54" w:rsidP="00E60F54">
      <w:pPr>
        <w:spacing w:after="0" w:line="240" w:lineRule="auto"/>
        <w:jc w:val="both"/>
        <w:rPr>
          <w:rFonts w:ascii="Arial" w:hAnsi="Arial" w:cs="Arial"/>
          <w:lang w:eastAsia="es-MX"/>
        </w:rPr>
      </w:pPr>
    </w:p>
    <w:p w14:paraId="23EA1C24" w14:textId="0D6FB415"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w:t>
      </w:r>
      <w:r w:rsidR="00263CEC" w:rsidRPr="00791593">
        <w:rPr>
          <w:rFonts w:ascii="Arial" w:hAnsi="Arial" w:cs="Arial"/>
          <w:lang w:eastAsia="es-MX"/>
        </w:rPr>
        <w:t xml:space="preserve"> </w:t>
      </w:r>
      <w:r w:rsidRPr="00791593">
        <w:rPr>
          <w:rFonts w:ascii="Arial" w:hAnsi="Arial" w:cs="Arial"/>
          <w:lang w:eastAsia="es-MX"/>
        </w:rPr>
        <w:t>El 4 de marzo de 2003 la Comisión adoptó el Informe N? 24/03, en el cual concluyó que el Estado era responsable e hizo varias recomendaciones.</w:t>
      </w:r>
    </w:p>
    <w:p w14:paraId="674662F9" w14:textId="77777777" w:rsidR="00E60F54" w:rsidRPr="00791593" w:rsidRDefault="00E60F54" w:rsidP="00E60F54">
      <w:pPr>
        <w:spacing w:after="0" w:line="240" w:lineRule="auto"/>
        <w:jc w:val="both"/>
        <w:rPr>
          <w:rFonts w:ascii="Arial" w:hAnsi="Arial" w:cs="Arial"/>
          <w:lang w:eastAsia="es-MX"/>
        </w:rPr>
      </w:pPr>
    </w:p>
    <w:p w14:paraId="124FD8C1" w14:textId="1A958700"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w:t>
      </w:r>
      <w:r w:rsidR="00263CEC" w:rsidRPr="00791593">
        <w:rPr>
          <w:rFonts w:ascii="Arial" w:hAnsi="Arial" w:cs="Arial"/>
          <w:lang w:eastAsia="es-MX"/>
        </w:rPr>
        <w:t xml:space="preserve"> </w:t>
      </w:r>
      <w:r w:rsidRPr="00791593">
        <w:rPr>
          <w:rFonts w:ascii="Arial" w:hAnsi="Arial" w:cs="Arial"/>
          <w:lang w:eastAsia="es-MX"/>
        </w:rPr>
        <w:t>El 17 de junio de 2003 la Comisión Interamericana presentó la demanda ante la Corte Interamericana de Derechos Humanos.</w:t>
      </w:r>
    </w:p>
    <w:p w14:paraId="1C3B25FA" w14:textId="77777777" w:rsidR="00E60F54" w:rsidRPr="00791593" w:rsidRDefault="00E60F54" w:rsidP="00E60F54">
      <w:pPr>
        <w:spacing w:after="0" w:line="240" w:lineRule="auto"/>
        <w:jc w:val="both"/>
        <w:rPr>
          <w:rFonts w:ascii="Arial" w:hAnsi="Arial" w:cs="Arial"/>
          <w:lang w:eastAsia="es-MX"/>
        </w:rPr>
      </w:pPr>
    </w:p>
    <w:p w14:paraId="242CB4B3" w14:textId="50C74451" w:rsidR="00E60F54" w:rsidRPr="00791593" w:rsidRDefault="00E60F54" w:rsidP="00E60F54">
      <w:pPr>
        <w:spacing w:after="0" w:line="240" w:lineRule="auto"/>
        <w:jc w:val="both"/>
        <w:rPr>
          <w:rFonts w:ascii="Arial" w:hAnsi="Arial" w:cs="Arial"/>
          <w:b/>
          <w:bCs/>
          <w:lang w:eastAsia="es-MX"/>
        </w:rPr>
      </w:pPr>
      <w:r w:rsidRPr="00791593">
        <w:rPr>
          <w:rFonts w:ascii="Arial" w:hAnsi="Arial" w:cs="Arial"/>
          <w:b/>
          <w:bCs/>
          <w:lang w:eastAsia="es-MX"/>
        </w:rPr>
        <w:t>III.</w:t>
      </w:r>
      <w:r w:rsidR="00263CEC" w:rsidRPr="00791593">
        <w:rPr>
          <w:rFonts w:ascii="Arial" w:hAnsi="Arial" w:cs="Arial"/>
          <w:b/>
          <w:bCs/>
          <w:lang w:eastAsia="es-MX"/>
        </w:rPr>
        <w:t xml:space="preserve"> </w:t>
      </w:r>
      <w:r w:rsidRPr="00791593">
        <w:rPr>
          <w:rFonts w:ascii="Arial" w:hAnsi="Arial" w:cs="Arial"/>
          <w:b/>
          <w:bCs/>
          <w:lang w:eastAsia="es-MX"/>
        </w:rPr>
        <w:t>Sentencia CoIDH (Fondo, Reparaciones y Costas)</w:t>
      </w:r>
    </w:p>
    <w:p w14:paraId="621CF870" w14:textId="77777777" w:rsidR="00E60F54" w:rsidRPr="00791593" w:rsidRDefault="00E60F54" w:rsidP="00E60F54">
      <w:pPr>
        <w:spacing w:after="0" w:line="240" w:lineRule="auto"/>
        <w:jc w:val="both"/>
        <w:rPr>
          <w:rFonts w:ascii="Arial" w:hAnsi="Arial" w:cs="Arial"/>
          <w:lang w:eastAsia="es-MX"/>
        </w:rPr>
      </w:pPr>
    </w:p>
    <w:p w14:paraId="0C73D07C" w14:textId="77777777"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La Corte se pronuncia respecto a los siguientes destacables aspectos:</w:t>
      </w:r>
    </w:p>
    <w:p w14:paraId="5211D8D2" w14:textId="77777777" w:rsidR="00E60F54" w:rsidRPr="00791593" w:rsidRDefault="00E60F54" w:rsidP="00E60F54">
      <w:pPr>
        <w:spacing w:after="0" w:line="240" w:lineRule="auto"/>
        <w:jc w:val="both"/>
        <w:rPr>
          <w:rFonts w:ascii="Arial" w:hAnsi="Arial" w:cs="Arial"/>
          <w:lang w:eastAsia="es-MX"/>
        </w:rPr>
      </w:pPr>
    </w:p>
    <w:p w14:paraId="11B7DDD6" w14:textId="77777777"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ILEGITIMIDAD DE LA REPRESENTACIÓN. FORMALIDADES EXIGIDAS EN EL DERECHO INTERNO NO SON APLICABLES EN EL DERECHO INTERNACIONAL DE LOS DERECHOS HUMANOS.</w:t>
      </w:r>
      <w:r w:rsidRPr="00791593">
        <w:rPr>
          <w:rFonts w:ascii="Arial" w:hAnsi="Arial" w:cs="Arial"/>
          <w:lang w:eastAsia="es-MX"/>
        </w:rPr>
        <w:t xml:space="preserve"> El acceso del individuo al Sistema Interamericano de Protección de los Derechos Humanos no puede ser restringido con base en la exigencia de contar con representante legal. La denuncia puede ser presentada por una persona distinta a la presunta víctima. La Corte ha señalado que “las formalidades características de ciertas ramas del derecho interno no rigen en el derecho internacional de los derechos humanos, cuyo principal y determinante cuidado es la debida y completa protección de esos derechos”. El alcance de la Convención Americana y del Reglamento debe ser interpretado por la Corte conforme al objeto y fin de dicho tratado, que es la protección de los derechos humanos, y de acuerdo al principio del efecto útil de las normas. Si no se admitiera una demanda porque se carece de representación, se incurriría en una restricción indebida que privaría a la presunta víctima de la posibilidad de acceder a la justicia. La Corte ha establecido que no es indispensable que los poderes otorgados por las presuntas víctimas para ser representadas en el proceso ante la Corte cumplan las mismas formalidades que regula el derecho interno del Estado demandado. Asimismo, ha señalado que: La práctica constante con respecto a las reglas de representación se ha guiado por [dichos parámetros] y, en consecuencia, ha sido flexible y se ha aplicado sin distinción. Esta amplitud de criterio al aceptar los instrumentos constitutivos de la representación tiene, sin embargo, ciertos límites que están dados por el objeto útil de la representación misma. Primero, dichos instrumentos deben identificar de manera unívoca al poderdante y reflejar una manifestación de voluntad libre de vicios. Deben además individualizar con claridad al apoderado y, por último, deben señalar con precisión el objeto de la representación. En opinión de esta Corte, los instrumentos que cumplan con los requisitos mencionados son válidos y adquieren plena efectividad al ser presentados ante el Tribunal. (párrafos 82, 84, 86 y 94)</w:t>
      </w:r>
    </w:p>
    <w:p w14:paraId="55C623A5" w14:textId="77777777"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 xml:space="preserve"> </w:t>
      </w:r>
    </w:p>
    <w:p w14:paraId="4590DCAF" w14:textId="77777777" w:rsidR="00E60F54" w:rsidRPr="00791593" w:rsidRDefault="00E60F54" w:rsidP="00E60F54">
      <w:pPr>
        <w:spacing w:after="0" w:line="240" w:lineRule="auto"/>
        <w:jc w:val="both"/>
        <w:rPr>
          <w:rFonts w:ascii="Arial" w:hAnsi="Arial" w:cs="Arial"/>
          <w:lang w:eastAsia="es-MX"/>
        </w:rPr>
      </w:pPr>
    </w:p>
    <w:p w14:paraId="616F0DF3" w14:textId="395CE102"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A.</w:t>
      </w:r>
      <w:r w:rsidR="0057441D" w:rsidRPr="00791593">
        <w:rPr>
          <w:rFonts w:ascii="Arial" w:hAnsi="Arial" w:cs="Arial"/>
          <w:b/>
          <w:bCs/>
          <w:lang w:eastAsia="es-MX"/>
        </w:rPr>
        <w:t xml:space="preserve"> </w:t>
      </w:r>
      <w:r w:rsidRPr="00791593">
        <w:rPr>
          <w:rFonts w:ascii="Arial" w:hAnsi="Arial" w:cs="Arial"/>
          <w:b/>
          <w:bCs/>
          <w:lang w:eastAsia="es-MX"/>
        </w:rPr>
        <w:t>PRINCIPIO DEL CONTRADICTORIO. SU APLICACIÓN EN LA OPORTUNIDAD EN MATERIA PROBATORIA</w:t>
      </w:r>
      <w:r w:rsidRPr="00791593">
        <w:rPr>
          <w:rFonts w:ascii="Arial" w:hAnsi="Arial" w:cs="Arial"/>
          <w:lang w:eastAsia="es-MX"/>
        </w:rPr>
        <w:t>. En materia probatoria rige el principio del contradictorio, que respeta el derecho de defensa de las partes. Al inicio de cada etapa procesal en la primera oportunidad que se les concede para pronunciarse por escrito las partes deben señalar qué pruebas ofrecerán. Además, en ejercicio de las potestades discrecionales contempladas en el Reglamento, la Corte o su Presidente podrán solicitar a las partes elementos probatorios adicionales como prueba para mejor resolver, sin que ello se traduzca en una nueva oportunidad para ampliar o complementar los alegatos, salvo que el Tribunal lo permita expresamente. La Corte ha señalado, en cuanto a la recepción y valoración de la prueba, que los procedimientos que se siguen ante ella no están sujetos a las mismas formalidades que las actuaciones judiciales internas, y que la incorporación de determinados elementos al acervo probatorio debe ser efectuada prestando particular atención a las circunstancias del caso concreto y teniendo presentes los límites que impone el respeto a la seguridad jurídica y al equilibrio procesal de las partes. Además, la Corte ha tenido en cuenta que la jurisprudencia internacional, al considerar que los tribunales internacionales tienen la potestad de apreciar y valorar las pruebas según las reglas de la sana crítica, no ha adoptado una rígida determinación del quantum de la prueba necesaria para fundar un fallo. Este criterio es válido para los tribunales internacionales de derechos humanos, que disponen de amplias facultades en la valoración de la prueba rendida ante ellos sobre los hechos pertinentes, de acuerdo con las reglas de la lógica y con base en la experiencia. (párrafos 106, 107 y 108)</w:t>
      </w:r>
    </w:p>
    <w:p w14:paraId="7C76FE16" w14:textId="77777777" w:rsidR="00E60F54" w:rsidRPr="00791593" w:rsidRDefault="00E60F54" w:rsidP="00E60F54">
      <w:pPr>
        <w:spacing w:after="0" w:line="240" w:lineRule="auto"/>
        <w:jc w:val="both"/>
        <w:rPr>
          <w:rFonts w:ascii="Arial" w:hAnsi="Arial" w:cs="Arial"/>
          <w:lang w:eastAsia="es-MX"/>
        </w:rPr>
      </w:pPr>
    </w:p>
    <w:p w14:paraId="7BFE97E3" w14:textId="5CF354AE"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B.</w:t>
      </w:r>
      <w:r w:rsidR="0057441D" w:rsidRPr="00791593">
        <w:rPr>
          <w:rFonts w:ascii="Arial" w:hAnsi="Arial" w:cs="Arial"/>
          <w:b/>
          <w:bCs/>
          <w:lang w:eastAsia="es-MX"/>
        </w:rPr>
        <w:t xml:space="preserve"> </w:t>
      </w:r>
      <w:r w:rsidRPr="00791593">
        <w:rPr>
          <w:rFonts w:ascii="Arial" w:hAnsi="Arial" w:cs="Arial"/>
          <w:b/>
          <w:bCs/>
          <w:lang w:eastAsia="es-MX"/>
        </w:rPr>
        <w:t>DERECHO AL DEBIDO PROCESO. GARANTÍAS QUE LO ASEGURAN EN MATERIA ELECTORAL.</w:t>
      </w:r>
      <w:r w:rsidRPr="00791593">
        <w:rPr>
          <w:rFonts w:ascii="Arial" w:hAnsi="Arial" w:cs="Arial"/>
          <w:lang w:eastAsia="es-MX"/>
        </w:rPr>
        <w:t xml:space="preserve"> Todos los órganos que ejerzan funciones de naturaleza materialmente jurisdiccional tienen el deber de adoptar decisiones justas basadas en el respeto pleno a las garantías del debido proceso establecidas en el artículo 8 de la Convención Americana. El artículo 8.1 de la Convención, que alude al derecho de toda persona a ser oída por un “juez o tribunal competente” para la “determinación de sus derechos”, es igualmente aplicable al supuesto en que alguna autoridad pública, no judicial, dicte resoluciones que afecten la determinación de tales derechos. Las decisiones que emiten los órganos internos en materia electoral pueden afectar el goce de los derechos políticos. Por lo tanto, en dicho ámbito también se deben observar las garantías mínimas consagradas en el artículo 8.1 de la Convención, en cuanto sean aplicables al procedimiento respectivo. Debe tomarse en cuenta que el procedimiento electoral que antecede a la celebración de elecciones requiere celeridad y un trámite sencillo que facilite la toma de decisiones en el marco del calendario electoral. Además las decisiones que adopten los órganos internos que puedan afectar derechos humanos, tal como el derecho a la participación política, deben estar debidamente fundamentadas, pues de lo contrario serían decisiones arbitrarias. (párrafos 149, 150 y 152)</w:t>
      </w:r>
    </w:p>
    <w:p w14:paraId="7115D014" w14:textId="77777777" w:rsidR="00E60F54" w:rsidRPr="00791593" w:rsidRDefault="00E60F54" w:rsidP="00E60F54">
      <w:pPr>
        <w:spacing w:after="0" w:line="240" w:lineRule="auto"/>
        <w:jc w:val="both"/>
        <w:rPr>
          <w:rFonts w:ascii="Arial" w:hAnsi="Arial" w:cs="Arial"/>
          <w:lang w:eastAsia="es-MX"/>
        </w:rPr>
      </w:pPr>
    </w:p>
    <w:p w14:paraId="6CDC8FC4" w14:textId="0D409C94"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C.</w:t>
      </w:r>
      <w:r w:rsidR="0057441D" w:rsidRPr="00791593">
        <w:rPr>
          <w:rFonts w:ascii="Arial" w:hAnsi="Arial" w:cs="Arial"/>
          <w:b/>
          <w:bCs/>
          <w:lang w:eastAsia="es-MX"/>
        </w:rPr>
        <w:t xml:space="preserve"> </w:t>
      </w:r>
      <w:r w:rsidRPr="00791593">
        <w:rPr>
          <w:rFonts w:ascii="Arial" w:hAnsi="Arial" w:cs="Arial"/>
          <w:b/>
          <w:bCs/>
          <w:lang w:eastAsia="es-MX"/>
        </w:rPr>
        <w:t>RECURSO EFECTIVO. EFECTOS EN LA PROTECCIÓN DE DERECHOS HUMANOS.</w:t>
      </w:r>
      <w:r w:rsidRPr="00791593">
        <w:rPr>
          <w:rFonts w:ascii="Arial" w:hAnsi="Arial" w:cs="Arial"/>
          <w:lang w:eastAsia="es-MX"/>
        </w:rPr>
        <w:t xml:space="preserve"> La salvaguarda de la persona frente al ejercicio arbitrario del poder público es el objetivo primordial de la protección internacional de los derechos humanos. La inexistencia de recursos internos efectivos coloca a las personas en estado de indefensión. El artículo 25.1 de la Convención ha establecido, en términos amplios, la obligación a cargo de los Estados de ofrecer, a todas las personas sometidas a su jurisdicción, un recurso judicial efectivo contra actos violatorios de sus derechos fundamentales. Dispone, además, que la garantía allí consagrada se aplica no sólo respecto de los derechos contenidos en la Convención, sino también de aquéllos que estén reconocidos por la Constitución o por la ley. La inexistencia de un recurso efectivo contra las violaciones de los derechos reconocidos por la Convención constituye una transgresión de la misma por el Estado Parte. No basta con que los recursos existan formalmente, para que el Estado cumpla lo dispuesto en el artículo 25 de la Convención, sino que los mismos deben tener efectividad, es decir, debe brindarse a la persona la posibilidad real de interponer un recurso, en los términos de aquél precepto.  La existencia de esta garantía “constituye uno de los pilares básicos, no sólo de la Convención Americana, sino del propio Estado de Derecho en una sociedad democrática en el sentido de la Convención”. (párrafos 167, 168 y 169)</w:t>
      </w:r>
    </w:p>
    <w:p w14:paraId="64843FD2" w14:textId="77777777"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 xml:space="preserve"> </w:t>
      </w:r>
    </w:p>
    <w:p w14:paraId="4091519A" w14:textId="77777777" w:rsidR="00E60F54" w:rsidRPr="00791593" w:rsidRDefault="00E60F54" w:rsidP="00E60F54">
      <w:pPr>
        <w:spacing w:after="0" w:line="240" w:lineRule="auto"/>
        <w:jc w:val="both"/>
        <w:rPr>
          <w:rFonts w:ascii="Arial" w:hAnsi="Arial" w:cs="Arial"/>
          <w:b/>
          <w:bCs/>
          <w:lang w:eastAsia="es-MX"/>
        </w:rPr>
      </w:pPr>
    </w:p>
    <w:p w14:paraId="21F45385" w14:textId="214DE95F"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D.</w:t>
      </w:r>
      <w:r w:rsidR="0057441D" w:rsidRPr="00791593">
        <w:rPr>
          <w:rFonts w:ascii="Arial" w:hAnsi="Arial" w:cs="Arial"/>
          <w:b/>
          <w:bCs/>
          <w:lang w:eastAsia="es-MX"/>
        </w:rPr>
        <w:t xml:space="preserve"> </w:t>
      </w:r>
      <w:r w:rsidRPr="00791593">
        <w:rPr>
          <w:rFonts w:ascii="Arial" w:hAnsi="Arial" w:cs="Arial"/>
          <w:b/>
          <w:bCs/>
          <w:lang w:eastAsia="es-MX"/>
        </w:rPr>
        <w:t>ADECUACIÓN DE NORMATIVA ESTATAL A LA CONVENCIÓN AMERICANA DE DERECHO HUMANOS. ESTABLECIMIENTO DE MEDIDAS EFECTIVAS PARA SU CUIMPLIMIENTO.</w:t>
      </w:r>
      <w:r w:rsidRPr="00791593">
        <w:rPr>
          <w:rFonts w:ascii="Arial" w:hAnsi="Arial" w:cs="Arial"/>
          <w:lang w:eastAsia="es-MX"/>
        </w:rPr>
        <w:t xml:space="preserve"> El deber general del Estado de adecuar su derecho interno a las disposiciones de la Convención para garantizar los derechos en ella consagrados, establecido en el artículo 2, incluye la expedición de normas y el desarrollo de prácticas conducentes a la observancia efectiva de los derechos y libertades consagrados en la misma, así como la adopción de medidas para suprimir las normas y prácticas de cualquier naturaleza que entrañen una violación a las garantías previstas en la Convención. Este deber general del Estado Parte implica que las medidas de derecho interno han de ser efectivas (principio del effet utile), para lo cual el Estado debe adaptar su actuación a la normativa de protección de la Convención. (párrafo 170)</w:t>
      </w:r>
    </w:p>
    <w:p w14:paraId="3534CF3D" w14:textId="77777777" w:rsidR="00E60F54" w:rsidRPr="00791593" w:rsidRDefault="00E60F54" w:rsidP="00E60F54">
      <w:pPr>
        <w:spacing w:after="0" w:line="240" w:lineRule="auto"/>
        <w:jc w:val="both"/>
        <w:rPr>
          <w:rFonts w:ascii="Arial" w:hAnsi="Arial" w:cs="Arial"/>
          <w:lang w:eastAsia="es-MX"/>
        </w:rPr>
      </w:pPr>
    </w:p>
    <w:p w14:paraId="45FF1A4C" w14:textId="77777777" w:rsidR="00E60F54" w:rsidRPr="00791593" w:rsidRDefault="00E60F54" w:rsidP="00E60F54">
      <w:pPr>
        <w:spacing w:after="0" w:line="240" w:lineRule="auto"/>
        <w:jc w:val="both"/>
        <w:rPr>
          <w:rFonts w:ascii="Arial" w:hAnsi="Arial" w:cs="Arial"/>
          <w:lang w:eastAsia="es-MX"/>
        </w:rPr>
      </w:pPr>
    </w:p>
    <w:p w14:paraId="66A0A5DB" w14:textId="4B36B5B0"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E.</w:t>
      </w:r>
      <w:r w:rsidR="004B2341" w:rsidRPr="00791593">
        <w:rPr>
          <w:rFonts w:ascii="Arial" w:hAnsi="Arial" w:cs="Arial"/>
          <w:b/>
          <w:bCs/>
          <w:lang w:eastAsia="es-MX"/>
        </w:rPr>
        <w:t xml:space="preserve"> </w:t>
      </w:r>
      <w:r w:rsidRPr="00791593">
        <w:rPr>
          <w:rFonts w:ascii="Arial" w:hAnsi="Arial" w:cs="Arial"/>
          <w:b/>
          <w:bCs/>
          <w:lang w:eastAsia="es-MX"/>
        </w:rPr>
        <w:t>RECURSO EFECTIVO. LOS ACTOS DE ÓRGANOS ELECTORALES INDEPENDIENTES DEBEN ESTAR SUJETOS A CONTROL JURISDICCIONAL.</w:t>
      </w:r>
      <w:r w:rsidRPr="00791593">
        <w:rPr>
          <w:rFonts w:ascii="Arial" w:hAnsi="Arial" w:cs="Arial"/>
          <w:lang w:eastAsia="es-MX"/>
        </w:rPr>
        <w:t xml:space="preserve"> Las exigencias derivadas del principio de independencia de los poderes del Estado no son incompatibles con la necesidad de consagrar recursos o mecanismos para proteger los derechos humanos. Independientemente de la regulación que cada Estado haga respecto del órgano supremo electoral, éste debe estar sujeto a algún control jurisdiccional que permita determinar si sus actos han sido adoptados al amparo de los derechos y garantías mínimas previstos en la Convención Americana, así como las establecidos en su propia legislación, lo cual no es incompatible con el respeto a las funciones que son propias de dicho órgano en materia electoral. Ese control es indispensable cuando los órganos supremos electorales, tienen amplias atribuciones, que exceden las facultades administrativas, y que podrían ser utilizados, sin un adecuado control, para favorecer determinados fines partidistas. En este ámbito, dicho recurso debe ser sencillo y rápido, tomando en cuenta las particularidades del procedimiento electoral. (párrafos 174 y 175)</w:t>
      </w:r>
    </w:p>
    <w:p w14:paraId="3C07B101" w14:textId="77777777" w:rsidR="00E60F54" w:rsidRPr="00791593" w:rsidRDefault="00E60F54" w:rsidP="00E60F54">
      <w:pPr>
        <w:spacing w:after="0" w:line="240" w:lineRule="auto"/>
        <w:jc w:val="both"/>
        <w:rPr>
          <w:rFonts w:ascii="Arial" w:hAnsi="Arial" w:cs="Arial"/>
          <w:b/>
          <w:bCs/>
          <w:lang w:eastAsia="es-MX"/>
        </w:rPr>
      </w:pPr>
    </w:p>
    <w:p w14:paraId="0E1E432A" w14:textId="45676DA2"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F.</w:t>
      </w:r>
      <w:r w:rsidR="004B2341" w:rsidRPr="00791593">
        <w:rPr>
          <w:rFonts w:ascii="Arial" w:hAnsi="Arial" w:cs="Arial"/>
          <w:b/>
          <w:bCs/>
          <w:lang w:eastAsia="es-MX"/>
        </w:rPr>
        <w:t xml:space="preserve"> </w:t>
      </w:r>
      <w:r w:rsidRPr="00791593">
        <w:rPr>
          <w:rFonts w:ascii="Arial" w:hAnsi="Arial" w:cs="Arial"/>
          <w:b/>
          <w:bCs/>
          <w:lang w:eastAsia="es-MX"/>
        </w:rPr>
        <w:t>PRINCIPIO DE PROTECCIÓN IGUALITARIA Y EFECTIVA DE LA LEY Y DE NO DISCRIMINACIÓN. APLICACIÓN Y RECONOCIMIENTO DE NORMAS CONVENCIONALES.</w:t>
      </w:r>
      <w:r w:rsidRPr="00791593">
        <w:rPr>
          <w:rFonts w:ascii="Arial" w:hAnsi="Arial" w:cs="Arial"/>
          <w:lang w:eastAsia="es-MX"/>
        </w:rPr>
        <w:t xml:space="preserve"> El principio de la protección igualitaria y efectiva de la ley y de la no discriminación constituye un dato sobresaliente en el sistema tutelar de los derechos humanos consagrado en muchos instrumentos internacionales y desarrollado por la doctrina y jurisprudencia internacionales. En la actual etapa de la evolución del derecho internacional, el principio fundamental de igualdad y no discriminación ha ingresado en el dominio del jus cogens. Sobre él descansa el andamiaje jurídico del orden público nacional e internacional y permea todo el ordenamiento jurídico. Ese principio posee un carácter fundamental para la salvaguardia de los derechos humanos tanto en el derecho internacional como en el interno; se trata de un principio de derecho imperativo. Por consiguiente, los Estados tienen la obligación de no introducir en su ordenamiento jurídico regulaciones discriminatorias, eliminar las regulaciones de carácter discriminatorio, combatir las prácticas de este carácter y establecer normas y otras medidas que reconozcan y aseguren la efectiva igualdad ante la ley de todas las personas. Es discriminatoria una distinción que carezca de justificación objetiva y razonable. (párrafos 184, y 185)</w:t>
      </w:r>
    </w:p>
    <w:p w14:paraId="3A0366E5" w14:textId="77777777" w:rsidR="00E60F54" w:rsidRPr="00791593" w:rsidRDefault="00E60F54" w:rsidP="00E60F54">
      <w:pPr>
        <w:spacing w:after="0" w:line="240" w:lineRule="auto"/>
        <w:jc w:val="both"/>
        <w:rPr>
          <w:rFonts w:ascii="Arial" w:hAnsi="Arial" w:cs="Arial"/>
          <w:lang w:eastAsia="es-MX"/>
        </w:rPr>
      </w:pPr>
    </w:p>
    <w:p w14:paraId="2F8F215B" w14:textId="25094462"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G.</w:t>
      </w:r>
      <w:r w:rsidR="004B2341" w:rsidRPr="00791593">
        <w:rPr>
          <w:rFonts w:ascii="Arial" w:hAnsi="Arial" w:cs="Arial"/>
          <w:b/>
          <w:bCs/>
          <w:lang w:eastAsia="es-MX"/>
        </w:rPr>
        <w:t xml:space="preserve"> </w:t>
      </w:r>
      <w:r w:rsidRPr="00791593">
        <w:rPr>
          <w:rFonts w:ascii="Arial" w:hAnsi="Arial" w:cs="Arial"/>
          <w:b/>
          <w:bCs/>
          <w:lang w:eastAsia="es-MX"/>
        </w:rPr>
        <w:t>PRINCIPIO DE IGUALDAD Y NO DISCRIMINACIÓN. OBLIGACIONES DE LOS ESTADOS PARA CONSAGRARLO EN SUS ORDENAMIENTOS ELECTORALES Y GARANTIZAR SU APLICACIÓN EN LOS DERECHOS POLÍTICOS.</w:t>
      </w:r>
      <w:r w:rsidRPr="00791593">
        <w:rPr>
          <w:rFonts w:ascii="Arial" w:hAnsi="Arial" w:cs="Arial"/>
          <w:lang w:eastAsia="es-MX"/>
        </w:rPr>
        <w:t xml:space="preserve"> El artículo 24 de la Convención Americana prohíbe la discriminación de derecho o de hecho, no sólo en cuanto a los derechos consagrados en dicho tratado, sino en lo que respecta a todas las leyes que apruebe el Estado y a su aplicación. Es decir, no se limita a reiterar lo dispuesto en el artículo 1.1 de la misma, respecto de la obligación de los Estados de respetar y garantizar, sin discriminación, los derechos reconocidos en dicho tratado, sino consagra un derecho que también acarrea obligaciones al Estado de respetar y garantizar el principio de igualdad y no discriminación en la salvaguardia de otros derechos y en toda la legislación interna que apruebe. La Corte ha establecido que el deber general del artículo 2 de la Convención implica la supresión de las normas y prácticas de cualquier naturaleza que entrañen violación a las garantías previstas en la Convención, así como la expedición de normas y el desarrollo de prácticas conducentes a la efectiva observancia de dichas garantías. (párrafos 186, y 189)</w:t>
      </w:r>
    </w:p>
    <w:p w14:paraId="20FF6273" w14:textId="77777777"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 xml:space="preserve"> </w:t>
      </w:r>
    </w:p>
    <w:p w14:paraId="007086B6" w14:textId="77777777" w:rsidR="00E60F54" w:rsidRPr="00791593" w:rsidRDefault="00E60F54" w:rsidP="00E60F54">
      <w:pPr>
        <w:spacing w:after="0" w:line="240" w:lineRule="auto"/>
        <w:jc w:val="both"/>
        <w:rPr>
          <w:rFonts w:ascii="Arial" w:hAnsi="Arial" w:cs="Arial"/>
          <w:lang w:eastAsia="es-MX"/>
        </w:rPr>
      </w:pPr>
    </w:p>
    <w:p w14:paraId="77EC98AE" w14:textId="679C3D3A"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H.</w:t>
      </w:r>
      <w:r w:rsidR="00EE2DFB" w:rsidRPr="00791593">
        <w:rPr>
          <w:rFonts w:ascii="Arial" w:hAnsi="Arial" w:cs="Arial"/>
          <w:b/>
          <w:bCs/>
          <w:lang w:eastAsia="es-MX"/>
        </w:rPr>
        <w:t xml:space="preserve"> </w:t>
      </w:r>
      <w:r w:rsidRPr="00791593">
        <w:rPr>
          <w:rFonts w:ascii="Arial" w:hAnsi="Arial" w:cs="Arial"/>
          <w:b/>
          <w:bCs/>
          <w:lang w:eastAsia="es-MX"/>
        </w:rPr>
        <w:t>PARTICIPACIÓN POLÍTICA. ELEMENTOS QUE LA INTEGRAN.</w:t>
      </w:r>
      <w:r w:rsidRPr="00791593">
        <w:rPr>
          <w:rFonts w:ascii="Arial" w:hAnsi="Arial" w:cs="Arial"/>
          <w:lang w:eastAsia="es-MX"/>
        </w:rPr>
        <w:t xml:space="preserve"> La participación política puede incluir amplias y diversas actividades que las personas realizan individualmente u organizados, con el propósito de intervenir en la designación de quienes gobernarán un Estado o se encargarán de la dirección de los asuntos públicos, así como influir en la formación de la política estatal a través de mecanismos de participación directa. El ejercicio de los derechos a ser elegido y a votar, íntimamente ligados entre sí, es la expresión de las dimensiones individual y social de la participación política. (párrafos 196 y 197)</w:t>
      </w:r>
    </w:p>
    <w:p w14:paraId="4AAA3DA1" w14:textId="77777777" w:rsidR="00E60F54" w:rsidRPr="00791593" w:rsidRDefault="00E60F54" w:rsidP="00E60F54">
      <w:pPr>
        <w:spacing w:after="0" w:line="240" w:lineRule="auto"/>
        <w:jc w:val="both"/>
        <w:rPr>
          <w:rFonts w:ascii="Arial" w:hAnsi="Arial" w:cs="Arial"/>
          <w:lang w:eastAsia="es-MX"/>
        </w:rPr>
      </w:pPr>
    </w:p>
    <w:p w14:paraId="000B1698" w14:textId="77777777" w:rsidR="00E60F54" w:rsidRPr="00791593" w:rsidRDefault="00E60F54" w:rsidP="00E60F54">
      <w:pPr>
        <w:spacing w:after="0" w:line="240" w:lineRule="auto"/>
        <w:jc w:val="both"/>
        <w:rPr>
          <w:rFonts w:ascii="Arial" w:hAnsi="Arial" w:cs="Arial"/>
          <w:b/>
          <w:bCs/>
          <w:lang w:eastAsia="es-MX"/>
        </w:rPr>
      </w:pPr>
    </w:p>
    <w:p w14:paraId="446E752C" w14:textId="5ACC1C76"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I.</w:t>
      </w:r>
      <w:r w:rsidR="00EE2DFB" w:rsidRPr="00791593">
        <w:rPr>
          <w:rFonts w:ascii="Arial" w:hAnsi="Arial" w:cs="Arial"/>
          <w:b/>
          <w:bCs/>
          <w:lang w:eastAsia="es-MX"/>
        </w:rPr>
        <w:t xml:space="preserve"> </w:t>
      </w:r>
      <w:r w:rsidRPr="00791593">
        <w:rPr>
          <w:rFonts w:ascii="Arial" w:hAnsi="Arial" w:cs="Arial"/>
          <w:b/>
          <w:bCs/>
          <w:lang w:eastAsia="es-MX"/>
        </w:rPr>
        <w:t>DERECHOS POLÍTICOS. IMPORTANCIA EN LA CONVENCIÓN AMERICANA DE LOS DERECHOS HUMANOS.</w:t>
      </w:r>
      <w:r w:rsidRPr="00791593">
        <w:rPr>
          <w:rFonts w:ascii="Arial" w:hAnsi="Arial" w:cs="Arial"/>
          <w:lang w:eastAsia="es-MX"/>
        </w:rPr>
        <w:t xml:space="preserve"> En una sociedad democrática los derechos y libertades inherentes a la persona, sus garantías y el Estado de Derecho constituyen una tríada, en la que cada componente se define, completa y adquiere sentido en función de los otros. Al ponderar la importancia que tienen los derechos políticos; incluso la Convención, en su artículo 27, prohíbe su suspensión y la de las garantías judiciales indispensables para la protección de éstos. La democracia representativa es determinante en todo el sistema del que la Convención forma parte, y constituye un principio reafirmado por los Estados americanos en la Carta de la OEA, instrumento fundamental del Sistema Interamericano. Los derechos políticos protegidos en la Convención Americana, así como en diversos instrumentos internacionales, propician el fortalecimiento de la democracia y el pluralismo político. (párrafos 191 y 192)</w:t>
      </w:r>
    </w:p>
    <w:p w14:paraId="5C91FC6A" w14:textId="77777777" w:rsidR="00E60F54" w:rsidRPr="00791593" w:rsidRDefault="00E60F54" w:rsidP="00E60F54">
      <w:pPr>
        <w:spacing w:after="0" w:line="240" w:lineRule="auto"/>
        <w:jc w:val="both"/>
        <w:rPr>
          <w:rFonts w:ascii="Arial" w:hAnsi="Arial" w:cs="Arial"/>
          <w:lang w:eastAsia="es-MX"/>
        </w:rPr>
      </w:pPr>
    </w:p>
    <w:p w14:paraId="678D5768" w14:textId="1F55F8EF"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J.</w:t>
      </w:r>
      <w:r w:rsidR="00EE2DFB" w:rsidRPr="00791593">
        <w:rPr>
          <w:rFonts w:ascii="Arial" w:hAnsi="Arial" w:cs="Arial"/>
          <w:b/>
          <w:bCs/>
          <w:lang w:eastAsia="es-MX"/>
        </w:rPr>
        <w:t xml:space="preserve"> </w:t>
      </w:r>
      <w:r w:rsidRPr="00791593">
        <w:rPr>
          <w:rFonts w:ascii="Arial" w:hAnsi="Arial" w:cs="Arial"/>
          <w:b/>
          <w:bCs/>
          <w:lang w:eastAsia="es-MX"/>
        </w:rPr>
        <w:t>DERECHOS POLÍTICOS. OBLIGACIÓN DE OBSERVAR EL PRINCIPIO DE IGUALDAD EN LA NORMATIVA QUE REGULE SU EJERCICIO.</w:t>
      </w:r>
      <w:r w:rsidRPr="00791593">
        <w:rPr>
          <w:rFonts w:ascii="Arial" w:hAnsi="Arial" w:cs="Arial"/>
          <w:lang w:eastAsia="es-MX"/>
        </w:rPr>
        <w:t xml:space="preserve"> El artículo 23 de la Convención consagra los derechos a la participación en la dirección de los asuntos públicos, a votar, a ser elegido, y a acceder a las funciones públicas, los cuales deben ser garantizados por el Estado en condiciones de igualdad. Es indispensable que el Estado genere las condiciones y mecanismos óptimos para dichos derechos políticos puedan ser ejercidos de forma efectiva, respetando el principio de igualdad y no discriminación. (párrafos 194 y 195)</w:t>
      </w:r>
    </w:p>
    <w:p w14:paraId="345F1603" w14:textId="77777777" w:rsidR="00E60F54" w:rsidRPr="00791593" w:rsidRDefault="00E60F54" w:rsidP="00E60F54">
      <w:pPr>
        <w:spacing w:after="0" w:line="240" w:lineRule="auto"/>
        <w:jc w:val="both"/>
        <w:rPr>
          <w:rFonts w:ascii="Arial" w:hAnsi="Arial" w:cs="Arial"/>
          <w:lang w:eastAsia="es-MX"/>
        </w:rPr>
      </w:pPr>
    </w:p>
    <w:p w14:paraId="3EDC33C7" w14:textId="4B12FA32"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K.</w:t>
      </w:r>
      <w:r w:rsidR="00EE2DFB" w:rsidRPr="00791593">
        <w:rPr>
          <w:rFonts w:ascii="Arial" w:hAnsi="Arial" w:cs="Arial"/>
          <w:b/>
          <w:bCs/>
          <w:lang w:eastAsia="es-MX"/>
        </w:rPr>
        <w:t xml:space="preserve"> </w:t>
      </w:r>
      <w:r w:rsidRPr="00791593">
        <w:rPr>
          <w:rFonts w:ascii="Arial" w:hAnsi="Arial" w:cs="Arial"/>
          <w:b/>
          <w:bCs/>
          <w:lang w:eastAsia="es-MX"/>
        </w:rPr>
        <w:t>DERECHOS POLÍTICOS. DERECHO A PARTICIPAR EN LA VIDA POLÍTICA MEDIANTE EL DERECHO AL VOTO.</w:t>
      </w:r>
      <w:r w:rsidRPr="00791593">
        <w:rPr>
          <w:rFonts w:ascii="Arial" w:hAnsi="Arial" w:cs="Arial"/>
          <w:lang w:eastAsia="es-MX"/>
        </w:rPr>
        <w:t xml:space="preserve"> Los ciudadanos tienen el derecho de participar en la dirección de los asuntos públicos por medio de representantes libremente elegidos. El derecho al voto es uno de los elementos esenciales para la existencia de la democracia y una de las formas en que los ciudadanos ejercen el derecho a la participación política. Este derecho implica que los ciudadanos puedan elegir libremente y en condiciones de igualdad a quienes los representarán. (párrafo 198)</w:t>
      </w:r>
    </w:p>
    <w:p w14:paraId="20BB2619" w14:textId="77777777" w:rsidR="00E60F54" w:rsidRPr="00791593" w:rsidRDefault="00E60F54" w:rsidP="00E60F54">
      <w:pPr>
        <w:spacing w:after="0" w:line="240" w:lineRule="auto"/>
        <w:jc w:val="both"/>
        <w:rPr>
          <w:rFonts w:ascii="Arial" w:hAnsi="Arial" w:cs="Arial"/>
          <w:lang w:eastAsia="es-MX"/>
        </w:rPr>
      </w:pPr>
    </w:p>
    <w:p w14:paraId="46B14787" w14:textId="6FEB0630"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L.</w:t>
      </w:r>
      <w:r w:rsidR="00EE2DFB" w:rsidRPr="00791593">
        <w:rPr>
          <w:rFonts w:ascii="Arial" w:hAnsi="Arial" w:cs="Arial"/>
          <w:b/>
          <w:bCs/>
          <w:lang w:eastAsia="es-MX"/>
        </w:rPr>
        <w:t xml:space="preserve"> </w:t>
      </w:r>
      <w:r w:rsidRPr="00791593">
        <w:rPr>
          <w:rFonts w:ascii="Arial" w:hAnsi="Arial" w:cs="Arial"/>
          <w:b/>
          <w:bCs/>
          <w:lang w:eastAsia="es-MX"/>
        </w:rPr>
        <w:t>DERECHOS POLÍTICOS. DERECHO A PARTICIPAR EN LA VIDA POLÍTICA EN CONDICIONES DE IGUALDAD MEDIANTE EL DERECHO A SER ELEGIDO.</w:t>
      </w:r>
      <w:r w:rsidRPr="00791593">
        <w:rPr>
          <w:rFonts w:ascii="Arial" w:hAnsi="Arial" w:cs="Arial"/>
          <w:lang w:eastAsia="es-MX"/>
        </w:rPr>
        <w:t xml:space="preserve"> La participación mediante el ejercicio del derecho a ser elegido supone que los ciudadanos puedan postularse como candidatos en condiciones de igualdad y que puedan ocupar los cargos públicos sujetos a elección si logran obtener la cantidad de votos necesarios para ello. El derecho a tener acceso a las funciones públicas en condiciones generales de igualdad protege el acceso a una forma directa de participación en el diseño, implementación, desarrollo y ejecución de las directrices políticas estatales a través de funciones públicas.  Se entiende que estas condiciones generales de igualdad están referidas tanto al acceso a la función pública por elección popular como por nombramiento o designación. (párrafos 199 Y 200)</w:t>
      </w:r>
    </w:p>
    <w:p w14:paraId="1A11D399" w14:textId="77777777" w:rsidR="00E60F54" w:rsidRPr="00791593" w:rsidRDefault="00E60F54" w:rsidP="00E60F54">
      <w:pPr>
        <w:spacing w:after="0" w:line="240" w:lineRule="auto"/>
        <w:jc w:val="both"/>
        <w:rPr>
          <w:rFonts w:ascii="Arial" w:hAnsi="Arial" w:cs="Arial"/>
          <w:b/>
          <w:bCs/>
          <w:lang w:eastAsia="es-MX"/>
        </w:rPr>
      </w:pPr>
    </w:p>
    <w:p w14:paraId="38EF47FC" w14:textId="34F69020"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M.</w:t>
      </w:r>
      <w:r w:rsidR="00853476" w:rsidRPr="00791593">
        <w:rPr>
          <w:rFonts w:ascii="Arial" w:hAnsi="Arial" w:cs="Arial"/>
          <w:b/>
          <w:bCs/>
          <w:lang w:eastAsia="es-MX"/>
        </w:rPr>
        <w:t xml:space="preserve"> </w:t>
      </w:r>
      <w:r w:rsidRPr="00791593">
        <w:rPr>
          <w:rFonts w:ascii="Arial" w:hAnsi="Arial" w:cs="Arial"/>
          <w:b/>
          <w:bCs/>
          <w:lang w:eastAsia="es-MX"/>
        </w:rPr>
        <w:t>DERECHOS POLÍTICOS. OBLIGACIÓN DE LOS ESTADOS DE GARANTIZARLOS A SECTORES VULNERABLES.</w:t>
      </w:r>
      <w:r w:rsidRPr="00791593">
        <w:rPr>
          <w:rFonts w:ascii="Arial" w:hAnsi="Arial" w:cs="Arial"/>
          <w:lang w:eastAsia="es-MX"/>
        </w:rPr>
        <w:t xml:space="preserve"> De conformidad con los artículos 23, 24, 1.1 y 2 de la Convención, el Estado tiene la obligación de garantizar el goce de los derechos políticos, lo cual implica que la regulación del ejercicio de dichos derechos y su aplicación sean acordes al principio de igualdad y no discriminación, y debe adoptar las medidas necesarias para garantizar su pleno ejercicio. Dicha obligación de garantizar no se cumple con la sola expedición de normativa que reconozca formalmente dichos derechos, sino requiere que el Estado adopte las medidas necesarias para garantizar su pleno ejercicio, considerando la situación de debilidad o desvalimiento en que se encuentran los integrantes de ciertos sectores o grupos sociales. Al analizar el goce de estos derechos, se debe tomar en consideración si se trata de personas que pertenecen a comunidades indígenas y/o étnicas, quienes se diferencian de la mayoría de la población, inter alia, por sus lenguas, costumbres y formas de organización, y enfrentan serias dificultades que los mantienen en una situación de vulnerabilidad y marginalidad. (párrafos 201 y 202)</w:t>
      </w:r>
    </w:p>
    <w:p w14:paraId="4EA95940" w14:textId="77777777"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 xml:space="preserve"> </w:t>
      </w:r>
    </w:p>
    <w:p w14:paraId="51D1C9C2" w14:textId="194671F0"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N.</w:t>
      </w:r>
      <w:r w:rsidR="00853476" w:rsidRPr="00791593">
        <w:rPr>
          <w:rFonts w:ascii="Arial" w:hAnsi="Arial" w:cs="Arial"/>
          <w:b/>
          <w:bCs/>
          <w:lang w:eastAsia="es-MX"/>
        </w:rPr>
        <w:t xml:space="preserve"> </w:t>
      </w:r>
      <w:r w:rsidRPr="00791593">
        <w:rPr>
          <w:rFonts w:ascii="Arial" w:hAnsi="Arial" w:cs="Arial"/>
          <w:b/>
          <w:bCs/>
          <w:lang w:eastAsia="es-MX"/>
        </w:rPr>
        <w:t>DERECHOS POLÍTICOS. ELEMENTOS A CONSIDERAR EN LA IMPOSICIÓN DE LÍMITES VÁLIDOS PARA SU DEBIDO EJERCICIO.</w:t>
      </w:r>
      <w:r w:rsidRPr="00791593">
        <w:rPr>
          <w:rFonts w:ascii="Arial" w:hAnsi="Arial" w:cs="Arial"/>
          <w:lang w:eastAsia="es-MX"/>
        </w:rPr>
        <w:t xml:space="preserve"> De acuerdo al artículo 29.a) de la Convención no se puede limitar el alcance pleno de los derechos políticos de manera que su reglamentación o las decisiones que se adopten en aplicación de ésta se conviertan en un impedimento para que las personas participen efectivamente en la conducción del Estado o se torne ilusoria dicha participación, privando a tales derechos de su contenido esencial. La previsión y aplicación de requisitos para ejercitar los derechos políticos no constituyen, per se, una restricción indebida a los derechos políticos. Esos derechos no son absolutos y pueden estar sujetos a limitaciones. Su reglamentación debe observar los principios de legalidad, necesidad y proporcionalidad en una sociedad democrática. La observancia del principio de legalidad exige que el Estado defina de manera precisa, mediante una ley, los requisitos para que los ciudadanos puedan participar en la contienda electoral, y que estipule claramente el procedimiento electoral que antecede a las elecciones. De acuerdo al artículo 23.2 de la Convención se puede reglamentar el ejercicio de los derechos y oportunidades a las que se refiere el inciso 1 de dicho artículo, exclusivamente por las razones establecidas en ese inciso. La restricción debe encontrase prevista en una ley, no ser discriminatoria, basarse en criterios razonables, atender a un propósito útil y oportuno que la torne necesaria para satisfacer un interés público imperativo, y ser proporcional a ese objetivo. Cuando hay varias opciones para alcanzar ese fin, debe escogerse la que restrinja menos el derecho protegido y guarde mayor proporcionalidad con el propósito que se persigue. (párrafos 204 y 206)</w:t>
      </w:r>
    </w:p>
    <w:p w14:paraId="78360BB0" w14:textId="77777777" w:rsidR="00E60F54" w:rsidRPr="00791593" w:rsidRDefault="00E60F54" w:rsidP="00E60F54">
      <w:pPr>
        <w:spacing w:after="0" w:line="240" w:lineRule="auto"/>
        <w:jc w:val="both"/>
        <w:rPr>
          <w:rFonts w:ascii="Arial" w:hAnsi="Arial" w:cs="Arial"/>
          <w:lang w:eastAsia="es-MX"/>
        </w:rPr>
      </w:pPr>
    </w:p>
    <w:p w14:paraId="4C6B5493" w14:textId="5D3C0CE5"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O.</w:t>
      </w:r>
      <w:r w:rsidR="00853476" w:rsidRPr="00791593">
        <w:rPr>
          <w:rFonts w:ascii="Arial" w:hAnsi="Arial" w:cs="Arial"/>
          <w:b/>
          <w:bCs/>
          <w:lang w:eastAsia="es-MX"/>
        </w:rPr>
        <w:t xml:space="preserve"> </w:t>
      </w:r>
      <w:r w:rsidRPr="00791593">
        <w:rPr>
          <w:rFonts w:ascii="Arial" w:hAnsi="Arial" w:cs="Arial"/>
          <w:b/>
          <w:bCs/>
          <w:lang w:eastAsia="es-MX"/>
        </w:rPr>
        <w:t>DERECHOS POLÍTICOS. ESTÁNDARES MÍNIMOS Y RAZONABLES PARA SU REGULACIÓN.</w:t>
      </w:r>
      <w:r w:rsidRPr="00791593">
        <w:rPr>
          <w:rFonts w:ascii="Arial" w:hAnsi="Arial" w:cs="Arial"/>
          <w:lang w:eastAsia="es-MX"/>
        </w:rPr>
        <w:t xml:space="preserve"> Los Estados pueden establecer estándares mínimos para regular la participación política, siempre y cuando sean razonables de acuerdo a los principios de la democracia representativa. Dichos estándares, deben garantizar, entre otras, la celebración de elecciones periódicas, libres, justas y basadas en el sufragio universal, igual y secreto como expresión de la voluntad de los electores que refleje la soberanía del pueblo, tomando en que cuenta que, según lo dispuesto en el artículo 6 de la Carta Democrática Interamericana, “promover y fomentar diversas formas de participación fortalece la democracia”, para lo cual se pueden diseñar normas orientadas a facilitar la participación de sectores específicos de la sociedad, tales como los miembros de las comunidades indígenas y étnicas. (párrafo 207)</w:t>
      </w:r>
    </w:p>
    <w:p w14:paraId="4C986C22" w14:textId="77777777" w:rsidR="00E60F54" w:rsidRPr="00791593" w:rsidRDefault="00E60F54" w:rsidP="00E60F54">
      <w:pPr>
        <w:spacing w:after="0" w:line="240" w:lineRule="auto"/>
        <w:jc w:val="both"/>
        <w:rPr>
          <w:rFonts w:ascii="Arial" w:hAnsi="Arial" w:cs="Arial"/>
          <w:lang w:eastAsia="es-MX"/>
        </w:rPr>
      </w:pPr>
    </w:p>
    <w:p w14:paraId="0E79414D" w14:textId="7AA4F7C7"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P.</w:t>
      </w:r>
      <w:r w:rsidR="00853476" w:rsidRPr="00791593">
        <w:rPr>
          <w:rFonts w:ascii="Arial" w:hAnsi="Arial" w:cs="Arial"/>
          <w:b/>
          <w:bCs/>
          <w:lang w:eastAsia="es-MX"/>
        </w:rPr>
        <w:t xml:space="preserve"> </w:t>
      </w:r>
      <w:r w:rsidRPr="00791593">
        <w:rPr>
          <w:rFonts w:ascii="Arial" w:hAnsi="Arial" w:cs="Arial"/>
          <w:b/>
          <w:bCs/>
          <w:lang w:eastAsia="es-MX"/>
        </w:rPr>
        <w:t>DERECHOS POLÍTICOS. RESTRICCIONES VÁLIDAS AL DERECHO A SER ELEGIDO.</w:t>
      </w:r>
      <w:r w:rsidRPr="00791593">
        <w:rPr>
          <w:rFonts w:ascii="Arial" w:hAnsi="Arial" w:cs="Arial"/>
          <w:lang w:eastAsia="es-MX"/>
        </w:rPr>
        <w:t xml:space="preserve"> Con respecto a las limitaciones al derecho a ser elegido, el Comité de Derechos Humanos de Naciones Unidas señaló que el derecho de las personas a presentarse a elecciones no deberá limitarse de forma excesiva mediante el requisito de que los candidatos sean miembros de partidos o pertenezcan a determinados partidos. Toda exigencia de que los candidatos cuenten con un mínimo de partidarios [para presentar su candidatura] deberá ser razonable y no constituir un obstáculo a esa candidatura. La normativa debe permitir un claro entendimiento del proceso por parte de los ciudadanos y de los órganos electorales e impedir su aplicación arbitraria y discrecional mediante interpretaciones extensivas y contradictorias que restrinjan indebidamente la participación de los ciudadanos, restricción particularmente indeseable cuando afecta severamente bienes fundamentales, como son los reconocidos a través de los derechos políticos. (párrafos 208 y 212)</w:t>
      </w:r>
    </w:p>
    <w:p w14:paraId="5CCADE7E" w14:textId="77777777" w:rsidR="00E60F54" w:rsidRPr="00791593" w:rsidRDefault="00E60F54" w:rsidP="00E60F54">
      <w:pPr>
        <w:spacing w:after="0" w:line="240" w:lineRule="auto"/>
        <w:jc w:val="both"/>
        <w:rPr>
          <w:rFonts w:ascii="Arial" w:hAnsi="Arial" w:cs="Arial"/>
          <w:lang w:eastAsia="es-MX"/>
        </w:rPr>
      </w:pPr>
    </w:p>
    <w:p w14:paraId="6DC67877" w14:textId="3502C424"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Q.</w:t>
      </w:r>
      <w:r w:rsidR="00853476" w:rsidRPr="00791593">
        <w:rPr>
          <w:rFonts w:ascii="Arial" w:hAnsi="Arial" w:cs="Arial"/>
          <w:b/>
          <w:bCs/>
          <w:lang w:eastAsia="es-MX"/>
        </w:rPr>
        <w:t xml:space="preserve"> </w:t>
      </w:r>
      <w:r w:rsidRPr="00791593">
        <w:rPr>
          <w:rFonts w:ascii="Arial" w:hAnsi="Arial" w:cs="Arial"/>
          <w:b/>
          <w:bCs/>
          <w:lang w:eastAsia="es-MX"/>
        </w:rPr>
        <w:t>DERECHO A SER ELEGIDO. VALIDEZ DE EXIGENCIA DE SER POSTULADO POR UN PARTIDO POLÍTICO.</w:t>
      </w:r>
      <w:r w:rsidRPr="00791593">
        <w:rPr>
          <w:rFonts w:ascii="Arial" w:hAnsi="Arial" w:cs="Arial"/>
          <w:lang w:eastAsia="es-MX"/>
        </w:rPr>
        <w:t xml:space="preserve"> No existe disposición en la Convención Americana que permita sostener que los ciudadanos sólo pueden ejercer el derecho a postularse como candidatos a un cargo electivo a través de un partido político. No se desconoce la importancia que revisten los partidos políticos como formas de asociación esenciales para el desarrollo y fortalecimiento de la democracia, pero se reconoce que hay otras formas a través de las cuales se impulsan candidaturas para cargos de elección popular con miras a la realización de fines comunes, cuando ello es pertinente e incluso necesario para favorecer o asegurar la participación política de grupos específicos de la sociedad, tomando en cuenta sus tradiciones y ordenamientos especiales, cuya legitimidad ha sido reconocida e incluso se halla sujeta a la protección explícita del Estado. Incluso, la Carta Democrática Interamericana señala que para la democracia es prioritario “el fortalecimiento de los partidos y de otras organizaciones políticas”. (párrafo 215)</w:t>
      </w:r>
    </w:p>
    <w:p w14:paraId="72084E43" w14:textId="77777777"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 xml:space="preserve"> </w:t>
      </w:r>
    </w:p>
    <w:p w14:paraId="43AF42DF" w14:textId="77777777" w:rsidR="00E60F54" w:rsidRPr="00791593" w:rsidRDefault="00E60F54" w:rsidP="00E60F54">
      <w:pPr>
        <w:spacing w:after="0" w:line="240" w:lineRule="auto"/>
        <w:jc w:val="both"/>
        <w:rPr>
          <w:rFonts w:ascii="Arial" w:hAnsi="Arial" w:cs="Arial"/>
          <w:lang w:eastAsia="es-MX"/>
        </w:rPr>
      </w:pPr>
    </w:p>
    <w:p w14:paraId="35A53975" w14:textId="0B745817"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R.</w:t>
      </w:r>
      <w:r w:rsidR="00853476" w:rsidRPr="00791593">
        <w:rPr>
          <w:rFonts w:ascii="Arial" w:hAnsi="Arial" w:cs="Arial"/>
          <w:b/>
          <w:bCs/>
          <w:lang w:eastAsia="es-MX"/>
        </w:rPr>
        <w:t xml:space="preserve"> </w:t>
      </w:r>
      <w:r w:rsidRPr="00791593">
        <w:rPr>
          <w:rFonts w:ascii="Arial" w:hAnsi="Arial" w:cs="Arial"/>
          <w:b/>
          <w:bCs/>
          <w:lang w:eastAsia="es-MX"/>
        </w:rPr>
        <w:t>DERECHOS POLÍTICOS. EXIGENCIA DE PROPOSITOS VÁLIDOS PARA ORGANIZACIONES CON PARTICIPACIÓN POLÍTICA.</w:t>
      </w:r>
      <w:r w:rsidRPr="00791593">
        <w:rPr>
          <w:rFonts w:ascii="Arial" w:hAnsi="Arial" w:cs="Arial"/>
          <w:lang w:eastAsia="es-MX"/>
        </w:rPr>
        <w:t xml:space="preserve"> Los partidos políticos y las organizaciones o grupos que participan en la vida del Estado, como es el caso de los procesos electorales en una sociedad democrática, deben tener propósitos compatibles con el respeto de los derechos y libertades consagrados en la Convención Americana. En este sentido, el artículo 16 de dicho tratado establece que el ejercicio del derecho a asociarse libremente “sólo puede estar sujeto a las restricciones previstas por la ley que sean necesarias en una sociedad democrática, en interés de la seguridad nacional, de la seguridad o del orden público, o para proteger la salud o la moral públicas o los derechos y libertades de los demás”. La participación en los asuntos públicos de organizaciones diversas de los partidos, sustentadas en los términos aludidos, es esencial para garantizar la expresión política legítima y necesaria cuando se trate de grupos de ciudadanos que de otra forma podrían quedar excluidos de esa participación, con lo que ello significa. Cualquier requisito para la participación política diseñado para partidos políticos, que no pueda ser cumplido por agrupaciones con diferente organización, es también contrario a los artículos 23 y 24 de la Convención Americana, en la medida en que limita, más allá de lo estrictamente necesario, el alcance pleno de los derechos políticos y se convierte en un impedimento para que los ciudadanos participen efectivamente en la dirección de los asuntos públicos. (párrafos 216, 217 y 220)</w:t>
      </w:r>
    </w:p>
    <w:p w14:paraId="1E9A0C2E" w14:textId="77777777" w:rsidR="00E60F54" w:rsidRPr="00791593" w:rsidRDefault="00E60F54" w:rsidP="00E60F54">
      <w:pPr>
        <w:spacing w:after="0" w:line="240" w:lineRule="auto"/>
        <w:jc w:val="both"/>
        <w:rPr>
          <w:rFonts w:ascii="Arial" w:hAnsi="Arial" w:cs="Arial"/>
          <w:lang w:eastAsia="es-MX"/>
        </w:rPr>
      </w:pPr>
    </w:p>
    <w:p w14:paraId="16D20FEA" w14:textId="365D6E2F"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S.</w:t>
      </w:r>
      <w:r w:rsidR="00202126" w:rsidRPr="00791593">
        <w:rPr>
          <w:rFonts w:ascii="Arial" w:hAnsi="Arial" w:cs="Arial"/>
          <w:b/>
          <w:bCs/>
          <w:lang w:eastAsia="es-MX"/>
        </w:rPr>
        <w:t xml:space="preserve"> </w:t>
      </w:r>
      <w:r w:rsidRPr="00791593">
        <w:rPr>
          <w:rFonts w:ascii="Arial" w:hAnsi="Arial" w:cs="Arial"/>
          <w:b/>
          <w:bCs/>
          <w:lang w:eastAsia="es-MX"/>
        </w:rPr>
        <w:t>DERECHOS POLÍTICOS. ELEMENTOS MÍNIMOS PARA GARANTIZAR LA PARTICIPACIÓN DE COMUNIDADES INDÍGENAS.</w:t>
      </w:r>
      <w:r w:rsidRPr="00791593">
        <w:rPr>
          <w:rFonts w:ascii="Arial" w:hAnsi="Arial" w:cs="Arial"/>
          <w:lang w:eastAsia="es-MX"/>
        </w:rPr>
        <w:t xml:space="preserve"> El Estado debe adoptar todas las medidas necesarias para garantizar que los miembros de las comunidades indígenas puedan participar, en condiciones de igualdad, en la toma de decisiones sobre asuntos y políticas que inciden o pueden incidir en sus derechos y en el desarrollo de dichas comunidades, de forma tal que puedan integrarse a las instituciones y órganos estatales y participar de manera directa y proporcional a su población en la dirección de los asuntos públicos, así como hacerlo desde sus propias instituciones y de acuerdo a sus valores, usos, costumbres y formas de organización, siempre que sean compatibles con los derechos humanos consagrados en la Convención. Las violaciones a los derechos de los candidatos propuestos por dichas instituciones son particularmente graves porque existe una estrecha relación entre el derecho a ser elegido y el derecho a votar para elegir representantes. Una indebida exclusión de los candidatos puede representar directamente un límite al ejercicio del derecho a votar e incidir negativamente en la más amplia y libre expresión de la voluntad del electorado, lo cual supone una consecuencia grave para la democracia.  Dicha afectación a los electores deviene del incumplimiento del Estado de la obligación general de garantizar el ejercicio del derecho a votar consagrada en el artículo 1.1 de la Convención. (párrafo 225)</w:t>
      </w:r>
    </w:p>
    <w:p w14:paraId="13B93743" w14:textId="77777777" w:rsidR="00E60F54" w:rsidRPr="00791593" w:rsidRDefault="00E60F54" w:rsidP="00E60F54">
      <w:pPr>
        <w:spacing w:after="0" w:line="240" w:lineRule="auto"/>
        <w:jc w:val="both"/>
        <w:rPr>
          <w:rFonts w:ascii="Arial" w:hAnsi="Arial" w:cs="Arial"/>
          <w:lang w:eastAsia="es-MX"/>
        </w:rPr>
      </w:pPr>
    </w:p>
    <w:p w14:paraId="4389C21B" w14:textId="1E8E6ECE" w:rsidR="00E60F54" w:rsidRPr="00791593" w:rsidRDefault="00E60F54" w:rsidP="00E60F54">
      <w:pPr>
        <w:spacing w:after="0" w:line="240" w:lineRule="auto"/>
        <w:jc w:val="both"/>
        <w:rPr>
          <w:rFonts w:ascii="Arial" w:hAnsi="Arial" w:cs="Arial"/>
          <w:lang w:eastAsia="es-MX"/>
        </w:rPr>
      </w:pPr>
      <w:r w:rsidRPr="00791593">
        <w:rPr>
          <w:rFonts w:ascii="Arial" w:hAnsi="Arial" w:cs="Arial"/>
          <w:b/>
          <w:bCs/>
          <w:lang w:eastAsia="es-MX"/>
        </w:rPr>
        <w:t>T.</w:t>
      </w:r>
      <w:r w:rsidR="00202126" w:rsidRPr="00791593">
        <w:rPr>
          <w:rFonts w:ascii="Arial" w:hAnsi="Arial" w:cs="Arial"/>
          <w:b/>
          <w:bCs/>
          <w:lang w:eastAsia="es-MX"/>
        </w:rPr>
        <w:t xml:space="preserve"> </w:t>
      </w:r>
      <w:r w:rsidRPr="00791593">
        <w:rPr>
          <w:rFonts w:ascii="Arial" w:hAnsi="Arial" w:cs="Arial"/>
          <w:b/>
          <w:bCs/>
          <w:lang w:eastAsia="es-MX"/>
        </w:rPr>
        <w:t>DERECHOS POLÍTICOS. VALOR DE LAS ASOCIACIONES LIGADAS A LA CULTURA INDÍGENAS.</w:t>
      </w:r>
      <w:r w:rsidRPr="00791593">
        <w:rPr>
          <w:rFonts w:ascii="Arial" w:hAnsi="Arial" w:cs="Arial"/>
          <w:lang w:eastAsia="es-MX"/>
        </w:rPr>
        <w:t xml:space="preserve"> Las asociaciones políticas conformadas por grupos indígenas contribuyen a establecer y preservar la identidad cultural de los miembros de las comunidades indígenas y étnicas. Su estructura y fines están ligados a los usos, costumbres y formas de organización de dichas comunidades. Como consecuencia de ello, con la indebida exclusión de la participación de sus candidatos se afecta particularmente a los miembros de las comunidades indígenas y étnicas que están representados por dichas organizaciones en las elecciones, al colocarlos en una situación de desigualdad en cuanto a las opciones entre las cuales pueden elegir al votar, pues se excluye de participar como candidatos a aquellas personas que, en principio, merecen su confianza por haber sido elegidas, en su caso, de forma directa en asambleas, de acuerdo a los usos y costumbres de dichas comunidades, para representar los intereses de los miembros de éstas. Dicha exclusión incide en la carencia de representación de las necesidades de los miembros de las referidas comunidades en los órganos regionales encargados de adoptar políticas y programas que podrían influir en su desarrollo. (párrafos 226 y 227)</w:t>
      </w:r>
    </w:p>
    <w:p w14:paraId="16E86B90" w14:textId="77777777" w:rsidR="00E60F54" w:rsidRPr="00791593" w:rsidRDefault="00E60F54" w:rsidP="00E60F54">
      <w:pPr>
        <w:spacing w:after="0" w:line="240" w:lineRule="auto"/>
        <w:jc w:val="both"/>
        <w:rPr>
          <w:rFonts w:ascii="Arial" w:hAnsi="Arial" w:cs="Arial"/>
          <w:b/>
          <w:bCs/>
          <w:lang w:eastAsia="es-MX"/>
        </w:rPr>
      </w:pPr>
    </w:p>
    <w:p w14:paraId="6D734069" w14:textId="2C970937" w:rsidR="00E60F54" w:rsidRPr="00791593" w:rsidRDefault="00E60F54" w:rsidP="00E60F54">
      <w:pPr>
        <w:spacing w:after="0" w:line="240" w:lineRule="auto"/>
        <w:jc w:val="both"/>
        <w:rPr>
          <w:rFonts w:ascii="Arial" w:hAnsi="Arial" w:cs="Arial"/>
          <w:b/>
          <w:bCs/>
          <w:lang w:eastAsia="es-MX"/>
        </w:rPr>
      </w:pPr>
      <w:r w:rsidRPr="00791593">
        <w:rPr>
          <w:rFonts w:ascii="Arial" w:hAnsi="Arial" w:cs="Arial"/>
          <w:b/>
          <w:bCs/>
          <w:lang w:eastAsia="es-MX"/>
        </w:rPr>
        <w:t>IV.</w:t>
      </w:r>
      <w:r w:rsidR="00202126" w:rsidRPr="00791593">
        <w:rPr>
          <w:rFonts w:ascii="Arial" w:hAnsi="Arial" w:cs="Arial"/>
          <w:b/>
          <w:bCs/>
          <w:lang w:eastAsia="es-MX"/>
        </w:rPr>
        <w:t xml:space="preserve"> </w:t>
      </w:r>
      <w:r w:rsidRPr="00791593">
        <w:rPr>
          <w:rFonts w:ascii="Arial" w:hAnsi="Arial" w:cs="Arial"/>
          <w:b/>
          <w:bCs/>
          <w:lang w:eastAsia="es-MX"/>
        </w:rPr>
        <w:t>Sentido de la sentencia</w:t>
      </w:r>
    </w:p>
    <w:p w14:paraId="797AF8D2" w14:textId="77777777" w:rsidR="00E60F54" w:rsidRPr="00791593" w:rsidRDefault="00E60F54" w:rsidP="00E60F54">
      <w:pPr>
        <w:spacing w:after="0" w:line="240" w:lineRule="auto"/>
        <w:jc w:val="both"/>
        <w:rPr>
          <w:rFonts w:ascii="Arial" w:hAnsi="Arial" w:cs="Arial"/>
          <w:lang w:eastAsia="es-MX"/>
        </w:rPr>
      </w:pPr>
    </w:p>
    <w:p w14:paraId="7DA89A14" w14:textId="77777777"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La Corte determinó:</w:t>
      </w:r>
    </w:p>
    <w:p w14:paraId="482BF2F7" w14:textId="77777777" w:rsidR="00E60F54" w:rsidRPr="00791593" w:rsidRDefault="00E60F54" w:rsidP="00E60F54">
      <w:pPr>
        <w:spacing w:after="0" w:line="240" w:lineRule="auto"/>
        <w:jc w:val="both"/>
        <w:rPr>
          <w:rFonts w:ascii="Arial" w:hAnsi="Arial" w:cs="Arial"/>
          <w:lang w:eastAsia="es-MX"/>
        </w:rPr>
      </w:pPr>
    </w:p>
    <w:p w14:paraId="5914D7C1" w14:textId="77777777" w:rsidR="00E60F54" w:rsidRPr="00791593" w:rsidRDefault="00E60F54" w:rsidP="00E60F54">
      <w:pPr>
        <w:spacing w:after="0" w:line="240" w:lineRule="auto"/>
        <w:jc w:val="both"/>
        <w:rPr>
          <w:rFonts w:ascii="Arial" w:hAnsi="Arial" w:cs="Arial"/>
          <w:lang w:eastAsia="es-MX"/>
        </w:rPr>
      </w:pPr>
    </w:p>
    <w:p w14:paraId="0FA5E1C8" w14:textId="49BDAC89"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i.</w:t>
      </w:r>
      <w:r w:rsidR="00202126" w:rsidRPr="00791593">
        <w:rPr>
          <w:rFonts w:ascii="Arial" w:hAnsi="Arial" w:cs="Arial"/>
          <w:lang w:eastAsia="es-MX"/>
        </w:rPr>
        <w:t xml:space="preserve"> </w:t>
      </w:r>
      <w:r w:rsidRPr="00791593">
        <w:rPr>
          <w:rFonts w:ascii="Arial" w:hAnsi="Arial" w:cs="Arial"/>
          <w:lang w:eastAsia="es-MX"/>
        </w:rPr>
        <w:t>El Estado violó el derecho a las garantías judiciales consagrado en el artículo 8.1 de la Convención Americana sobre Derechos Humanos, en relación con el artículo 1.1 de la misma, en perjuicio de los candidatos propuestos por YATAMA para participar en las elecciones municipales de 2000.</w:t>
      </w:r>
    </w:p>
    <w:p w14:paraId="69D360E3" w14:textId="77777777" w:rsidR="00E60F54" w:rsidRPr="00791593" w:rsidRDefault="00E60F54" w:rsidP="00E60F54">
      <w:pPr>
        <w:spacing w:after="0" w:line="240" w:lineRule="auto"/>
        <w:jc w:val="both"/>
        <w:rPr>
          <w:rFonts w:ascii="Arial" w:hAnsi="Arial" w:cs="Arial"/>
          <w:lang w:eastAsia="es-MX"/>
        </w:rPr>
      </w:pPr>
    </w:p>
    <w:p w14:paraId="59687C7B" w14:textId="1817D3BA" w:rsidR="00E60F54" w:rsidRPr="00791593" w:rsidRDefault="00E60F54" w:rsidP="00E60F54">
      <w:pPr>
        <w:spacing w:after="0" w:line="240" w:lineRule="auto"/>
        <w:jc w:val="both"/>
        <w:rPr>
          <w:rFonts w:ascii="Arial" w:hAnsi="Arial" w:cs="Arial"/>
          <w:lang w:eastAsia="es-MX"/>
        </w:rPr>
      </w:pPr>
      <w:r w:rsidRPr="00791593">
        <w:rPr>
          <w:rFonts w:ascii="Arial" w:hAnsi="Arial" w:cs="Arial"/>
          <w:lang w:eastAsia="es-MX"/>
        </w:rPr>
        <w:t>ii.</w:t>
      </w:r>
      <w:r w:rsidR="00202126" w:rsidRPr="00791593">
        <w:rPr>
          <w:rFonts w:ascii="Arial" w:hAnsi="Arial" w:cs="Arial"/>
          <w:lang w:eastAsia="es-MX"/>
        </w:rPr>
        <w:t xml:space="preserve"> </w:t>
      </w:r>
      <w:r w:rsidRPr="00791593">
        <w:rPr>
          <w:rFonts w:ascii="Arial" w:hAnsi="Arial" w:cs="Arial"/>
          <w:lang w:eastAsia="es-MX"/>
        </w:rPr>
        <w:t>El Estado violó los derechos políticos y el derecho a la igualdad ante la ley consagrados en los artículos 23 y 24 de la Convención Americana sobre Derechos Humanos, en relación con los artículos 1.1 y 2 de la misma, en perjuicio de los candidatos propuestos por YATAMA para participar en las elecciones municipales de 2000.</w:t>
      </w:r>
    </w:p>
    <w:p w14:paraId="2DC11C31" w14:textId="398CB299" w:rsidR="006F5238" w:rsidRPr="00791593" w:rsidRDefault="006F5238" w:rsidP="00E60F54">
      <w:pPr>
        <w:spacing w:after="0" w:line="240" w:lineRule="auto"/>
        <w:jc w:val="both"/>
        <w:rPr>
          <w:rFonts w:ascii="Arial" w:hAnsi="Arial" w:cs="Arial"/>
          <w:lang w:eastAsia="es-MX"/>
        </w:rPr>
      </w:pPr>
    </w:p>
    <w:p w14:paraId="0E9DD507" w14:textId="77777777" w:rsidR="00E60F54" w:rsidRPr="00791593" w:rsidRDefault="00E60F54" w:rsidP="00335852">
      <w:pPr>
        <w:rPr>
          <w:rFonts w:ascii="Arial" w:hAnsi="Arial" w:cs="Arial"/>
          <w:lang w:eastAsia="es-MX"/>
        </w:rPr>
      </w:pPr>
    </w:p>
    <w:p w14:paraId="45B9339C" w14:textId="77777777" w:rsidR="00335852" w:rsidRPr="00791593" w:rsidRDefault="00335852" w:rsidP="00335852">
      <w:pPr>
        <w:rPr>
          <w:rFonts w:ascii="Arial" w:hAnsi="Arial" w:cs="Arial"/>
          <w:lang w:eastAsia="es-MX"/>
        </w:rPr>
      </w:pPr>
    </w:p>
    <w:p w14:paraId="6AC635C1" w14:textId="49DBFBF0" w:rsidR="008F144A" w:rsidRPr="00791593" w:rsidRDefault="00335852" w:rsidP="00EE3E1D">
      <w:pPr>
        <w:pStyle w:val="Ttulo3"/>
        <w:rPr>
          <w:rFonts w:ascii="Arial" w:eastAsia="Times New Roman" w:hAnsi="Arial" w:cs="Arial"/>
          <w:b/>
          <w:bCs/>
          <w:color w:val="auto"/>
          <w:sz w:val="28"/>
          <w:szCs w:val="28"/>
          <w:lang w:eastAsia="es-MX"/>
        </w:rPr>
      </w:pPr>
      <w:r w:rsidRPr="00791593">
        <w:rPr>
          <w:rFonts w:ascii="Arial" w:eastAsia="Times New Roman" w:hAnsi="Arial" w:cs="Arial"/>
          <w:b/>
          <w:bCs/>
          <w:color w:val="auto"/>
          <w:sz w:val="28"/>
          <w:szCs w:val="28"/>
          <w:lang w:eastAsia="es-MX"/>
        </w:rPr>
        <w:t xml:space="preserve">3. SENTENCIA </w:t>
      </w:r>
      <w:hyperlink r:id="rId41" w:tgtFrame="_blank" w:history="1">
        <w:r w:rsidR="008F144A" w:rsidRPr="00791593">
          <w:rPr>
            <w:rFonts w:ascii="Arial" w:eastAsia="Times New Roman" w:hAnsi="Arial" w:cs="Arial"/>
            <w:b/>
            <w:bCs/>
            <w:color w:val="C00000"/>
            <w:sz w:val="28"/>
            <w:szCs w:val="28"/>
            <w:lang w:eastAsia="es-MX"/>
          </w:rPr>
          <w:t>SUP-JDC-364/2015</w:t>
        </w:r>
      </w:hyperlink>
    </w:p>
    <w:p w14:paraId="175CF6F7" w14:textId="647B0DDD" w:rsidR="00D03888" w:rsidRPr="00791593" w:rsidRDefault="00D03888" w:rsidP="00D03888">
      <w:pPr>
        <w:rPr>
          <w:rFonts w:ascii="Arial" w:hAnsi="Arial" w:cs="Arial"/>
        </w:rPr>
      </w:pPr>
    </w:p>
    <w:p w14:paraId="5FCFB099" w14:textId="3DB6CB34" w:rsidR="00D03888" w:rsidRPr="00791593" w:rsidRDefault="00D03888" w:rsidP="00D03888">
      <w:pPr>
        <w:rPr>
          <w:rFonts w:ascii="Arial" w:eastAsia="Times New Roman" w:hAnsi="Arial" w:cs="Arial"/>
          <w:b/>
          <w:bCs/>
          <w:sz w:val="28"/>
          <w:szCs w:val="28"/>
          <w:lang w:eastAsia="es-MX"/>
        </w:rPr>
      </w:pPr>
    </w:p>
    <w:p w14:paraId="704234D0" w14:textId="77777777" w:rsidR="00D03888" w:rsidRPr="00791593" w:rsidRDefault="00D03888" w:rsidP="00D03888">
      <w:pPr>
        <w:spacing w:before="100" w:beforeAutospacing="1" w:after="100" w:afterAutospacing="1" w:line="240" w:lineRule="auto"/>
        <w:ind w:left="3969"/>
        <w:jc w:val="both"/>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JUICIOS PARA LA PROTECCIÓN DE LOS DERECHOS POLÍTICO-ELECTORALES DEL CIUDADANO</w:t>
      </w:r>
    </w:p>
    <w:p w14:paraId="36F0F94A" w14:textId="77777777" w:rsidR="00D03888" w:rsidRPr="00791593" w:rsidRDefault="00D03888" w:rsidP="00D03888">
      <w:pPr>
        <w:spacing w:before="100" w:beforeAutospacing="1" w:after="100" w:afterAutospacing="1" w:line="240" w:lineRule="auto"/>
        <w:ind w:left="396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 xml:space="preserve">EXPEDIENTES: </w:t>
      </w:r>
      <w:r w:rsidRPr="00791593">
        <w:rPr>
          <w:rFonts w:ascii="Arial" w:eastAsia="Times New Roman" w:hAnsi="Arial" w:cs="Arial"/>
          <w:bCs/>
          <w:sz w:val="28"/>
          <w:szCs w:val="28"/>
          <w:lang w:val="es-ES" w:eastAsia="es-ES"/>
        </w:rPr>
        <w:t>SUP-JDC-364/2015 Y SU ACUMULADO SUP-JDC-533/2015</w:t>
      </w:r>
    </w:p>
    <w:p w14:paraId="55984ABF" w14:textId="77777777" w:rsidR="00D03888" w:rsidRPr="00791593" w:rsidRDefault="00D03888" w:rsidP="00D03888">
      <w:pPr>
        <w:spacing w:before="100" w:beforeAutospacing="1" w:after="100" w:afterAutospacing="1" w:line="240" w:lineRule="auto"/>
        <w:ind w:left="396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ACTORES:</w:t>
      </w:r>
      <w:r w:rsidRPr="00791593">
        <w:rPr>
          <w:rFonts w:ascii="Arial" w:eastAsia="Times New Roman" w:hAnsi="Arial" w:cs="Arial"/>
          <w:b/>
          <w:bCs/>
          <w:w w:val="90"/>
          <w:sz w:val="28"/>
          <w:szCs w:val="28"/>
          <w:lang w:val="es-ES" w:eastAsia="es-ES"/>
        </w:rPr>
        <w:t xml:space="preserve"> </w:t>
      </w:r>
      <w:r w:rsidRPr="00791593">
        <w:rPr>
          <w:rFonts w:ascii="Arial" w:eastAsia="Times New Roman" w:hAnsi="Arial" w:cs="Arial"/>
          <w:bCs/>
          <w:sz w:val="28"/>
          <w:szCs w:val="28"/>
          <w:lang w:val="es-ES" w:eastAsia="es-ES"/>
        </w:rPr>
        <w:t>JUAN FABIÁN JUÁREZ Y OTROS</w:t>
      </w:r>
    </w:p>
    <w:p w14:paraId="4E786A70" w14:textId="77777777" w:rsidR="00D03888" w:rsidRPr="00791593" w:rsidRDefault="00D03888" w:rsidP="00D03888">
      <w:pPr>
        <w:spacing w:before="100" w:beforeAutospacing="1" w:after="100" w:afterAutospacing="1" w:line="240" w:lineRule="auto"/>
        <w:ind w:left="396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 xml:space="preserve">AUTORIDADES RESPONSABLES: </w:t>
      </w:r>
      <w:r w:rsidRPr="00791593">
        <w:rPr>
          <w:rFonts w:ascii="Arial" w:eastAsia="Times New Roman" w:hAnsi="Arial" w:cs="Arial"/>
          <w:bCs/>
          <w:sz w:val="28"/>
          <w:szCs w:val="28"/>
          <w:lang w:val="es-ES" w:eastAsia="es-ES"/>
        </w:rPr>
        <w:t>TRIBUNAL ELECTORAL DEL ESTADO DE MICHOACÁN Y OTRO</w:t>
      </w:r>
    </w:p>
    <w:p w14:paraId="7C98177C" w14:textId="77777777" w:rsidR="00D03888" w:rsidRPr="00791593" w:rsidRDefault="00D03888" w:rsidP="00D03888">
      <w:pPr>
        <w:spacing w:before="100" w:beforeAutospacing="1" w:after="100" w:afterAutospacing="1" w:line="240" w:lineRule="auto"/>
        <w:ind w:left="3969"/>
        <w:jc w:val="both"/>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TERCEROS INTERESADOS:</w:t>
      </w:r>
      <w:r w:rsidRPr="00791593">
        <w:rPr>
          <w:rFonts w:ascii="Arial" w:eastAsia="Times New Roman" w:hAnsi="Arial" w:cs="Arial"/>
          <w:bCs/>
          <w:sz w:val="28"/>
          <w:szCs w:val="28"/>
          <w:lang w:val="es-ES" w:eastAsia="es-ES"/>
        </w:rPr>
        <w:t xml:space="preserve"> GLORIA FABIÁN CAMPOS Y OTROS </w:t>
      </w:r>
    </w:p>
    <w:p w14:paraId="71C9F737" w14:textId="77777777" w:rsidR="00D03888" w:rsidRPr="00791593" w:rsidRDefault="00D03888" w:rsidP="00D03888">
      <w:pPr>
        <w:spacing w:before="100" w:beforeAutospacing="1" w:after="100" w:afterAutospacing="1" w:line="240" w:lineRule="auto"/>
        <w:ind w:left="396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 xml:space="preserve">MAGISTRADA PONENTE: </w:t>
      </w:r>
      <w:r w:rsidRPr="00791593">
        <w:rPr>
          <w:rFonts w:ascii="Arial" w:eastAsia="Times New Roman" w:hAnsi="Arial" w:cs="Arial"/>
          <w:bCs/>
          <w:sz w:val="28"/>
          <w:szCs w:val="28"/>
          <w:lang w:val="es-ES" w:eastAsia="es-ES"/>
        </w:rPr>
        <w:t>MARÍA DEL CARMEN ALANIS FIGUEROA</w:t>
      </w:r>
    </w:p>
    <w:p w14:paraId="6C1DECE4" w14:textId="6CFCC430" w:rsidR="00D03888" w:rsidRPr="00791593" w:rsidRDefault="00D03888" w:rsidP="00D03888">
      <w:pPr>
        <w:spacing w:before="100" w:beforeAutospacing="1" w:after="100" w:afterAutospacing="1" w:line="240" w:lineRule="auto"/>
        <w:ind w:left="3969"/>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 xml:space="preserve">SECRETARIO: </w:t>
      </w:r>
      <w:r w:rsidRPr="00791593">
        <w:rPr>
          <w:rFonts w:ascii="Arial" w:eastAsia="Times New Roman" w:hAnsi="Arial" w:cs="Arial"/>
          <w:bCs/>
          <w:sz w:val="28"/>
          <w:szCs w:val="28"/>
          <w:lang w:val="es-ES" w:eastAsia="es-ES"/>
        </w:rPr>
        <w:t>RAÚL ZEUZ ÁVILA SÁNCHEZ</w:t>
      </w:r>
    </w:p>
    <w:p w14:paraId="37FF474B" w14:textId="77777777" w:rsidR="00D03888" w:rsidRPr="00791593" w:rsidRDefault="00D03888" w:rsidP="00D03888">
      <w:pPr>
        <w:spacing w:before="100" w:beforeAutospacing="1" w:after="100" w:afterAutospacing="1" w:line="240" w:lineRule="auto"/>
        <w:ind w:left="3969"/>
        <w:jc w:val="both"/>
        <w:rPr>
          <w:rFonts w:ascii="Arial" w:eastAsia="Times New Roman" w:hAnsi="Arial" w:cs="Arial"/>
          <w:bCs/>
          <w:sz w:val="28"/>
          <w:szCs w:val="28"/>
          <w:lang w:val="es-ES" w:eastAsia="es-ES"/>
        </w:rPr>
      </w:pPr>
    </w:p>
    <w:p w14:paraId="5315E708"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México, Distrito Federal, a cuatro de marzo de dos mil quince.</w:t>
      </w:r>
    </w:p>
    <w:p w14:paraId="0A4CEFA8" w14:textId="77777777" w:rsidR="00D03888" w:rsidRPr="00791593" w:rsidRDefault="00D03888" w:rsidP="00D03888">
      <w:pPr>
        <w:spacing w:before="100" w:beforeAutospacing="1" w:after="100" w:afterAutospacing="1" w:line="360" w:lineRule="auto"/>
        <w:jc w:val="both"/>
        <w:rPr>
          <w:rFonts w:ascii="Arial" w:eastAsia="Times New Roman" w:hAnsi="Arial" w:cs="Arial"/>
          <w:bCs/>
          <w:sz w:val="28"/>
          <w:szCs w:val="28"/>
          <w:lang w:val="es-ES" w:eastAsia="es-ES"/>
        </w:rPr>
      </w:pPr>
      <w:r w:rsidRPr="00791593">
        <w:rPr>
          <w:rFonts w:ascii="Arial" w:eastAsia="Times New Roman" w:hAnsi="Arial" w:cs="Arial"/>
          <w:sz w:val="28"/>
          <w:szCs w:val="28"/>
          <w:lang w:val="es-ES" w:eastAsia="es-ES"/>
        </w:rPr>
        <w:t xml:space="preserve"> </w:t>
      </w:r>
      <w:r w:rsidRPr="00791593">
        <w:rPr>
          <w:rFonts w:ascii="Arial" w:eastAsia="Times New Roman" w:hAnsi="Arial" w:cs="Arial"/>
          <w:b/>
          <w:bCs/>
          <w:sz w:val="28"/>
          <w:szCs w:val="28"/>
          <w:lang w:val="es-ES" w:eastAsia="es-MX"/>
        </w:rPr>
        <w:t>VISTOS</w:t>
      </w:r>
      <w:r w:rsidRPr="00791593">
        <w:rPr>
          <w:rFonts w:ascii="Arial" w:eastAsia="Times New Roman" w:hAnsi="Arial" w:cs="Arial"/>
          <w:sz w:val="28"/>
          <w:szCs w:val="28"/>
          <w:lang w:val="es-ES" w:eastAsia="es-MX"/>
        </w:rPr>
        <w:t>, para resolver los autos de los expedientes indicados en el rubro, relativos a los juicios para la protección de los derechos político-electorales del ciudadano promovidos por Juan Fabián Juárez, y otros ciudadanos, en contra de la sentencia de seis de enero del año en curso, dictada por el Tribunal Electoral del Estado de Michoacán, en el recurso de apelación identificado con el número TEEM-RAP-049/2014; así como de la respuesta emitida por el Concejo Mayor de Cherán, Michoacán de Ocampo, a la petición de los actores de realizar consulta a los ciudadanos de ese municipio, a efecto de determinar sobre la modificación al sistema electoral de esa comunidad, respectivamente, y</w:t>
      </w:r>
    </w:p>
    <w:p w14:paraId="4492BA07" w14:textId="77777777" w:rsidR="00D03888" w:rsidRPr="00791593" w:rsidRDefault="00D03888" w:rsidP="00D03888">
      <w:pPr>
        <w:spacing w:before="100" w:beforeAutospacing="1" w:after="100" w:afterAutospacing="1" w:line="360" w:lineRule="auto"/>
        <w:jc w:val="center"/>
        <w:rPr>
          <w:rFonts w:ascii="Arial" w:eastAsia="Times New Roman" w:hAnsi="Arial" w:cs="Arial"/>
          <w:b/>
          <w:sz w:val="28"/>
          <w:szCs w:val="28"/>
          <w:lang w:val="es-ES" w:eastAsia="es-ES"/>
        </w:rPr>
      </w:pPr>
      <w:r w:rsidRPr="00791593">
        <w:rPr>
          <w:rFonts w:ascii="Arial" w:eastAsia="Times New Roman" w:hAnsi="Arial" w:cs="Arial"/>
          <w:b/>
          <w:sz w:val="28"/>
          <w:szCs w:val="28"/>
          <w:lang w:val="es-ES" w:eastAsia="es-ES"/>
        </w:rPr>
        <w:t>R E S U L T A N D O:</w:t>
      </w:r>
    </w:p>
    <w:p w14:paraId="4BF768A6"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b/>
          <w:bCs/>
          <w:sz w:val="28"/>
          <w:szCs w:val="28"/>
          <w:lang w:eastAsia="es-ES"/>
        </w:rPr>
        <w:t xml:space="preserve">PRIMERO. Antecedentes. </w:t>
      </w:r>
      <w:r w:rsidRPr="00791593">
        <w:rPr>
          <w:rFonts w:ascii="Arial" w:eastAsia="Times New Roman" w:hAnsi="Arial" w:cs="Arial"/>
          <w:sz w:val="28"/>
          <w:szCs w:val="28"/>
          <w:lang w:val="es-ES" w:eastAsia="es-ES"/>
        </w:rPr>
        <w:t>De lo narrado en la demanda, así como de las constancias que obran en autos, se advierte lo siguiente:</w:t>
      </w:r>
    </w:p>
    <w:p w14:paraId="6D76746E" w14:textId="77777777" w:rsidR="00D03888" w:rsidRPr="00791593" w:rsidRDefault="00D03888" w:rsidP="00D03888">
      <w:pPr>
        <w:spacing w:before="100" w:beforeAutospacing="1" w:after="100" w:afterAutospacing="1" w:line="360" w:lineRule="auto"/>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I. Solicitud ciudadana.</w:t>
      </w:r>
      <w:r w:rsidRPr="00791593">
        <w:rPr>
          <w:rFonts w:ascii="Arial" w:eastAsia="Times New Roman" w:hAnsi="Arial" w:cs="Arial"/>
          <w:bCs/>
          <w:sz w:val="28"/>
          <w:szCs w:val="28"/>
          <w:lang w:val="es-ES" w:eastAsia="es-ES"/>
        </w:rPr>
        <w:t xml:space="preserve"> El once de septiembre de dos mil catorce, los actores, en su calidad de integrantes de la Comunidad Indígena de Cherán, Michoacán, presentaron un escrito dirigido al Presidente del Consejo General del Instituto Electoral de Michoacán, solicitando que se llevara a cabo una consulta pública entre los habitantes de dicho Municipio, para saber si las elecciones municipales que se realizarán el siete de junio de dos mil quince, al igual que la elección para Gobernador y diputados locales, se deben realizar a través de sus usos y costumbres o mediante la postulación de candidaturas por medio de partidos políticos o, en su caso, de candidaturas independientes.</w:t>
      </w:r>
    </w:p>
    <w:p w14:paraId="745D8EC7" w14:textId="77777777" w:rsidR="00D03888" w:rsidRPr="00791593" w:rsidRDefault="00D03888" w:rsidP="00D03888">
      <w:pPr>
        <w:spacing w:before="100" w:beforeAutospacing="1" w:after="100" w:afterAutospacing="1" w:line="360" w:lineRule="auto"/>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II. Respuesta a la solicitud.</w:t>
      </w:r>
      <w:r w:rsidRPr="00791593">
        <w:rPr>
          <w:rFonts w:ascii="Arial" w:eastAsia="Times New Roman" w:hAnsi="Arial" w:cs="Arial"/>
          <w:bCs/>
          <w:sz w:val="28"/>
          <w:szCs w:val="28"/>
          <w:lang w:val="es-ES" w:eastAsia="es-ES"/>
        </w:rPr>
        <w:t xml:space="preserve"> El quince de diciembre de dos mil catorce, el Consejo General de Instituto Electoral de Michoacán, en respuesta a la petición en comento, emitió el acuerdo CG-46/2014, en el que determinó que no procedía la solicitud realizada por los ciudadanos del Municipio de Cherán, Michoacán, para llevar a cabo la consulta pretendida, por considerar que no existían los elementos o circunstancias que lesionen los derechos de participación de los entonces peticionarios; asimismo, consideró que se encontraba firme la sentencia dictada por esta Sala Superior en el expediente identificado con la clave SUP-JDC-9167/2011, por lo que estimó que lo procedente es que la consulta se planteara ante el Consejo Mayor Comunal de Cherán.</w:t>
      </w:r>
    </w:p>
    <w:p w14:paraId="443B5B02" w14:textId="77777777" w:rsidR="00D03888" w:rsidRPr="00791593" w:rsidRDefault="00D03888" w:rsidP="00D03888">
      <w:pPr>
        <w:spacing w:before="100" w:beforeAutospacing="1" w:after="100" w:afterAutospacing="1" w:line="360" w:lineRule="auto"/>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 xml:space="preserve">SEGUNDO. Juicio de revisión constitucional electoral vía </w:t>
      </w:r>
      <w:r w:rsidRPr="00791593">
        <w:rPr>
          <w:rFonts w:ascii="Arial" w:eastAsia="Times New Roman" w:hAnsi="Arial" w:cs="Arial"/>
          <w:b/>
          <w:bCs/>
          <w:i/>
          <w:sz w:val="28"/>
          <w:szCs w:val="28"/>
          <w:lang w:val="es-ES" w:eastAsia="es-ES"/>
        </w:rPr>
        <w:t>per saltum</w:t>
      </w:r>
      <w:r w:rsidRPr="00791593">
        <w:rPr>
          <w:rFonts w:ascii="Arial" w:eastAsia="Times New Roman" w:hAnsi="Arial" w:cs="Arial"/>
          <w:b/>
          <w:bCs/>
          <w:sz w:val="28"/>
          <w:szCs w:val="28"/>
          <w:lang w:val="es-ES" w:eastAsia="es-ES"/>
        </w:rPr>
        <w:t>.</w:t>
      </w:r>
      <w:r w:rsidRPr="00791593">
        <w:rPr>
          <w:rFonts w:ascii="Arial" w:eastAsia="Times New Roman" w:hAnsi="Arial" w:cs="Arial"/>
          <w:bCs/>
          <w:sz w:val="28"/>
          <w:szCs w:val="28"/>
          <w:lang w:val="es-ES" w:eastAsia="es-ES"/>
        </w:rPr>
        <w:t xml:space="preserve"> Inconformes con dicho acuerdo, el veinte de diciembre de dos mil catorce, los actores promovieron, </w:t>
      </w:r>
      <w:r w:rsidRPr="00791593">
        <w:rPr>
          <w:rFonts w:ascii="Arial" w:eastAsia="Times New Roman" w:hAnsi="Arial" w:cs="Arial"/>
          <w:bCs/>
          <w:i/>
          <w:sz w:val="28"/>
          <w:szCs w:val="28"/>
          <w:lang w:val="es-ES" w:eastAsia="es-ES"/>
        </w:rPr>
        <w:t>per saltum,</w:t>
      </w:r>
      <w:r w:rsidRPr="00791593">
        <w:rPr>
          <w:rFonts w:ascii="Arial" w:eastAsia="Times New Roman" w:hAnsi="Arial" w:cs="Arial"/>
          <w:bCs/>
          <w:sz w:val="28"/>
          <w:szCs w:val="28"/>
          <w:lang w:val="es-ES" w:eastAsia="es-ES"/>
        </w:rPr>
        <w:t xml:space="preserve"> juicio de revisión constitucional electoral</w:t>
      </w:r>
      <w:r w:rsidRPr="00791593">
        <w:rPr>
          <w:rFonts w:ascii="Arial" w:eastAsia="Times New Roman" w:hAnsi="Arial" w:cs="Arial"/>
          <w:bCs/>
          <w:i/>
          <w:sz w:val="28"/>
          <w:szCs w:val="28"/>
          <w:lang w:val="es-ES" w:eastAsia="es-ES"/>
        </w:rPr>
        <w:t xml:space="preserve">, </w:t>
      </w:r>
      <w:r w:rsidRPr="00791593">
        <w:rPr>
          <w:rFonts w:ascii="Arial" w:eastAsia="Times New Roman" w:hAnsi="Arial" w:cs="Arial"/>
          <w:bCs/>
          <w:sz w:val="28"/>
          <w:szCs w:val="28"/>
          <w:lang w:val="es-ES" w:eastAsia="es-ES"/>
        </w:rPr>
        <w:t>ante el Instituto Electoral de Michoacán, para efecto de que esta Sala Superior se pronunciara al respecto.</w:t>
      </w:r>
    </w:p>
    <w:p w14:paraId="341F392A" w14:textId="77777777" w:rsidR="00D03888" w:rsidRPr="00791593" w:rsidRDefault="00D03888" w:rsidP="00D03888">
      <w:pPr>
        <w:spacing w:before="100" w:beforeAutospacing="1" w:after="100" w:afterAutospacing="1" w:line="360" w:lineRule="auto"/>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 xml:space="preserve">I. Acuerdo de Sala. </w:t>
      </w:r>
      <w:r w:rsidRPr="00791593">
        <w:rPr>
          <w:rFonts w:ascii="Arial" w:eastAsia="Times New Roman" w:hAnsi="Arial" w:cs="Arial"/>
          <w:bCs/>
          <w:sz w:val="28"/>
          <w:szCs w:val="28"/>
          <w:lang w:val="es-ES" w:eastAsia="es-ES"/>
        </w:rPr>
        <w:t xml:space="preserve">El veintitrés de diciembre de dos mil catorce, mediante acuerdo de Pleno, la Sala Superior del Tribunal Electoral del Poder Judicial de la Federación determinó que el juicio de referencia era improcedente al no actualizarse el </w:t>
      </w:r>
      <w:r w:rsidRPr="00791593">
        <w:rPr>
          <w:rFonts w:ascii="Arial" w:eastAsia="Times New Roman" w:hAnsi="Arial" w:cs="Arial"/>
          <w:bCs/>
          <w:i/>
          <w:sz w:val="28"/>
          <w:szCs w:val="28"/>
          <w:lang w:val="es-ES" w:eastAsia="es-ES"/>
        </w:rPr>
        <w:t xml:space="preserve">per saltum </w:t>
      </w:r>
      <w:r w:rsidRPr="00791593">
        <w:rPr>
          <w:rFonts w:ascii="Arial" w:eastAsia="Times New Roman" w:hAnsi="Arial" w:cs="Arial"/>
          <w:bCs/>
          <w:sz w:val="28"/>
          <w:szCs w:val="28"/>
          <w:lang w:val="es-ES" w:eastAsia="es-ES"/>
        </w:rPr>
        <w:t>de la demanda, ni haberse cumplido con el principio de definitividad al no haber agotado el medio de impugnación local, por lo que acordó reencauzarlo a recurso de apelación, competencia del Tribunal Electoral del Estado de Michoacán para que resolviera lo que en derecho procediera;</w:t>
      </w:r>
      <w:r w:rsidRPr="00791593">
        <w:rPr>
          <w:rFonts w:ascii="Arial" w:eastAsia="Times New Roman" w:hAnsi="Arial" w:cs="Arial"/>
          <w:b/>
          <w:bCs/>
          <w:sz w:val="28"/>
          <w:szCs w:val="28"/>
          <w:lang w:val="es-ES" w:eastAsia="es-ES"/>
        </w:rPr>
        <w:t xml:space="preserve"> </w:t>
      </w:r>
      <w:r w:rsidRPr="00791593">
        <w:rPr>
          <w:rFonts w:ascii="Arial" w:eastAsia="Times New Roman" w:hAnsi="Arial" w:cs="Arial"/>
          <w:bCs/>
          <w:sz w:val="28"/>
          <w:szCs w:val="28"/>
          <w:lang w:val="es-ES" w:eastAsia="es-ES"/>
        </w:rPr>
        <w:t>a dicho medio de impugnación comparecieron como terceros interesados los integrantes del Concejo Mayor de Gobierno Comunal, así como los integrantes de la Comisión de Enlace, de la Comunidad Indígena de Cherán, Michoacán, y el Partido Revolucionario Institucional a través de su representante propietario ante el Consejo General del Instituto Electoral de Michoacán.</w:t>
      </w:r>
    </w:p>
    <w:p w14:paraId="2CE0C724" w14:textId="77777777" w:rsidR="00D03888" w:rsidRPr="00791593" w:rsidRDefault="00D03888" w:rsidP="00D03888">
      <w:pPr>
        <w:spacing w:before="100" w:beforeAutospacing="1" w:after="100" w:afterAutospacing="1" w:line="360" w:lineRule="auto"/>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TERCERO. Resolución Impugnada en el expediente SUP-JDC-364/2015.</w:t>
      </w:r>
      <w:r w:rsidRPr="00791593">
        <w:rPr>
          <w:rFonts w:ascii="Arial" w:eastAsia="Times New Roman" w:hAnsi="Arial" w:cs="Arial"/>
          <w:bCs/>
          <w:sz w:val="28"/>
          <w:szCs w:val="28"/>
          <w:lang w:val="es-ES" w:eastAsia="es-ES"/>
        </w:rPr>
        <w:t xml:space="preserve"> El seis de enero de dos mil quince, el referido Tribunal local determinó modificar el Acuerdo CG-46/2014, dictado por el Consejo General del Instituto Electoral de Michoacán, y ordenó el envío de la solicitud formulada por los integrantes del ayuntamiento de San Francisco Cherán, al Concejo Mayor de Gobierno Comunal del citado municipio, para el efecto de que analizara y resolviera lo que en derecho correspondiera, y ordenó al Instituto Electoral de Michoacán para que en un plazo razonable se pronunciara respecto a las elecciones de Gobernador e integrantes del órgano legislativo, al ser la autoridad con competencia para sostener diálogos con las autoridades de la comunidad indígena para el debido desarrollo del proceso electoral.</w:t>
      </w:r>
    </w:p>
    <w:p w14:paraId="46448379" w14:textId="77777777" w:rsidR="00D03888" w:rsidRPr="00791593" w:rsidRDefault="00D03888" w:rsidP="00D03888">
      <w:pPr>
        <w:spacing w:before="100" w:beforeAutospacing="1" w:after="100" w:afterAutospacing="1" w:line="360" w:lineRule="auto"/>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CUARTO. Juicio ciudadano SUP-JDC-364/2015.</w:t>
      </w:r>
      <w:r w:rsidRPr="00791593">
        <w:rPr>
          <w:rFonts w:ascii="Arial" w:eastAsia="Times New Roman" w:hAnsi="Arial" w:cs="Arial"/>
          <w:bCs/>
          <w:sz w:val="28"/>
          <w:szCs w:val="28"/>
          <w:lang w:val="es-ES" w:eastAsia="es-ES"/>
        </w:rPr>
        <w:t xml:space="preserve"> </w:t>
      </w:r>
    </w:p>
    <w:p w14:paraId="4D74992A" w14:textId="77777777" w:rsidR="00D03888" w:rsidRPr="00791593" w:rsidRDefault="00D03888" w:rsidP="00D03888">
      <w:pPr>
        <w:spacing w:before="100" w:beforeAutospacing="1" w:after="100" w:afterAutospacing="1" w:line="360" w:lineRule="auto"/>
        <w:jc w:val="both"/>
        <w:rPr>
          <w:rFonts w:ascii="Arial" w:eastAsia="Times New Roman" w:hAnsi="Arial" w:cs="Arial"/>
          <w:bCs/>
          <w:sz w:val="28"/>
          <w:szCs w:val="28"/>
          <w:lang w:eastAsia="es-ES"/>
        </w:rPr>
      </w:pPr>
      <w:r w:rsidRPr="00791593">
        <w:rPr>
          <w:rFonts w:ascii="Arial" w:eastAsia="Times New Roman" w:hAnsi="Arial" w:cs="Arial"/>
          <w:b/>
          <w:bCs/>
          <w:sz w:val="28"/>
          <w:szCs w:val="28"/>
          <w:lang w:val="es-ES" w:eastAsia="es-ES"/>
        </w:rPr>
        <w:t>I. Presentación de la demanda.</w:t>
      </w:r>
      <w:r w:rsidRPr="00791593">
        <w:rPr>
          <w:rFonts w:ascii="Arial" w:eastAsia="Times New Roman" w:hAnsi="Arial" w:cs="Arial"/>
          <w:bCs/>
          <w:sz w:val="28"/>
          <w:szCs w:val="28"/>
          <w:lang w:val="es-ES" w:eastAsia="es-ES"/>
        </w:rPr>
        <w:t xml:space="preserve"> El trece de enero de dos mil quince, Juan Fabián Juárez y otros ciudadanos promovieron juicio para la protección de los derechos político-electorales</w:t>
      </w:r>
      <w:r w:rsidRPr="00791593">
        <w:rPr>
          <w:rFonts w:ascii="Arial" w:eastAsia="Times New Roman" w:hAnsi="Arial" w:cs="Arial"/>
          <w:bCs/>
          <w:sz w:val="28"/>
          <w:szCs w:val="28"/>
          <w:lang w:eastAsia="es-ES"/>
        </w:rPr>
        <w:t xml:space="preserve"> en contra de la sentencia antes mencionada.</w:t>
      </w:r>
    </w:p>
    <w:p w14:paraId="0D24C2CB" w14:textId="77777777" w:rsidR="00D03888" w:rsidRPr="00791593" w:rsidRDefault="00D03888" w:rsidP="00D03888">
      <w:pPr>
        <w:spacing w:before="100" w:beforeAutospacing="1" w:after="100" w:afterAutospacing="1" w:line="360" w:lineRule="auto"/>
        <w:jc w:val="both"/>
        <w:rPr>
          <w:rFonts w:ascii="Arial" w:eastAsia="Times New Roman" w:hAnsi="Arial" w:cs="Arial"/>
          <w:bCs/>
          <w:sz w:val="28"/>
          <w:szCs w:val="28"/>
          <w:lang w:eastAsia="es-ES"/>
        </w:rPr>
      </w:pPr>
      <w:r w:rsidRPr="00791593">
        <w:rPr>
          <w:rFonts w:ascii="Arial" w:eastAsia="Times New Roman" w:hAnsi="Arial" w:cs="Arial"/>
          <w:b/>
          <w:bCs/>
          <w:sz w:val="28"/>
          <w:szCs w:val="28"/>
          <w:lang w:eastAsia="es-ES"/>
        </w:rPr>
        <w:t xml:space="preserve">II. Terceros interesados. </w:t>
      </w:r>
      <w:r w:rsidRPr="00791593">
        <w:rPr>
          <w:rFonts w:ascii="Arial" w:eastAsia="Times New Roman" w:hAnsi="Arial" w:cs="Arial"/>
          <w:bCs/>
          <w:sz w:val="28"/>
          <w:szCs w:val="28"/>
          <w:lang w:eastAsia="es-ES"/>
        </w:rPr>
        <w:t>El dieciséis de enero de dos mil quince, Gloria Fabián Campos y otros ciudadanos comparecieron al juicio ciudadano en calidad de terceros interesados.</w:t>
      </w:r>
    </w:p>
    <w:p w14:paraId="565193C0"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b/>
          <w:bCs/>
          <w:sz w:val="28"/>
          <w:szCs w:val="28"/>
          <w:lang w:val="es-ES" w:eastAsia="es-ES"/>
        </w:rPr>
        <w:t xml:space="preserve">III. Remisión de demanda y constancias. </w:t>
      </w:r>
      <w:r w:rsidRPr="00791593">
        <w:rPr>
          <w:rFonts w:ascii="Arial" w:eastAsia="Times New Roman" w:hAnsi="Arial" w:cs="Arial"/>
          <w:bCs/>
          <w:sz w:val="28"/>
          <w:szCs w:val="28"/>
          <w:lang w:val="es-ES" w:eastAsia="es-ES"/>
        </w:rPr>
        <w:t>El diecisiete de enero del año en curso, En la Oficialía de Partes de esta Sala Superior se recibió oficio por el que la</w:t>
      </w:r>
      <w:r w:rsidRPr="00791593">
        <w:rPr>
          <w:rFonts w:ascii="Arial" w:eastAsia="Times New Roman" w:hAnsi="Arial" w:cs="Arial"/>
          <w:sz w:val="28"/>
          <w:szCs w:val="28"/>
          <w:lang w:val="es-ES" w:eastAsia="es-ES"/>
        </w:rPr>
        <w:t xml:space="preserve"> Secretaria General de Acuerdos del Tribunal Electoral del Estado de Michoacán, remitió </w:t>
      </w:r>
      <w:r w:rsidRPr="00791593">
        <w:rPr>
          <w:rFonts w:ascii="Arial" w:eastAsia="Times New Roman" w:hAnsi="Arial" w:cs="Arial"/>
          <w:sz w:val="28"/>
          <w:szCs w:val="28"/>
          <w:lang w:eastAsia="es-ES"/>
        </w:rPr>
        <w:t>a esta Sala Superior,</w:t>
      </w:r>
      <w:r w:rsidRPr="00791593">
        <w:rPr>
          <w:rFonts w:ascii="Arial" w:eastAsia="Times New Roman" w:hAnsi="Arial" w:cs="Arial"/>
          <w:sz w:val="28"/>
          <w:szCs w:val="28"/>
          <w:lang w:val="es-ES" w:eastAsia="es-ES"/>
        </w:rPr>
        <w:t xml:space="preserve"> el expediente integrado con motivo del juicio ciudadano </w:t>
      </w:r>
      <w:r w:rsidRPr="00791593">
        <w:rPr>
          <w:rFonts w:ascii="Arial" w:eastAsia="Times New Roman" w:hAnsi="Arial" w:cs="Arial"/>
          <w:b/>
          <w:bCs/>
          <w:sz w:val="28"/>
          <w:szCs w:val="28"/>
          <w:lang w:val="es-ES" w:eastAsia="es-ES"/>
        </w:rPr>
        <w:t>SUP-JDC-364/2015</w:t>
      </w:r>
      <w:r w:rsidRPr="00791593">
        <w:rPr>
          <w:rFonts w:ascii="Arial" w:eastAsia="Times New Roman" w:hAnsi="Arial" w:cs="Arial"/>
          <w:sz w:val="28"/>
          <w:szCs w:val="28"/>
          <w:lang w:val="es-ES" w:eastAsia="es-ES"/>
        </w:rPr>
        <w:t>, así como</w:t>
      </w:r>
      <w:r w:rsidRPr="00791593">
        <w:rPr>
          <w:rFonts w:ascii="Arial" w:eastAsia="Times New Roman" w:hAnsi="Arial" w:cs="Arial"/>
          <w:sz w:val="28"/>
          <w:szCs w:val="28"/>
          <w:lang w:eastAsia="es-ES"/>
        </w:rPr>
        <w:t xml:space="preserve"> la documentación que estimó necesaria para la resolución del asunto.</w:t>
      </w:r>
    </w:p>
    <w:p w14:paraId="129E1AD3"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b/>
          <w:sz w:val="28"/>
          <w:szCs w:val="28"/>
          <w:lang w:val="es-ES" w:eastAsia="es-ES"/>
        </w:rPr>
        <w:t>IV.</w:t>
      </w:r>
      <w:r w:rsidRPr="00791593">
        <w:rPr>
          <w:rFonts w:ascii="Arial" w:eastAsia="Times New Roman" w:hAnsi="Arial" w:cs="Arial"/>
          <w:sz w:val="28"/>
          <w:szCs w:val="28"/>
          <w:lang w:val="es-ES" w:eastAsia="es-ES"/>
        </w:rPr>
        <w:t xml:space="preserve"> </w:t>
      </w:r>
      <w:r w:rsidRPr="00791593">
        <w:rPr>
          <w:rFonts w:ascii="Arial" w:eastAsia="Times New Roman" w:hAnsi="Arial" w:cs="Arial"/>
          <w:b/>
          <w:bCs/>
          <w:sz w:val="28"/>
          <w:szCs w:val="28"/>
          <w:lang w:val="es-ES" w:eastAsia="es-ES"/>
        </w:rPr>
        <w:t xml:space="preserve">Turno a Ponencia. </w:t>
      </w:r>
      <w:r w:rsidRPr="00791593">
        <w:rPr>
          <w:rFonts w:ascii="Arial" w:eastAsia="Times New Roman" w:hAnsi="Arial" w:cs="Arial"/>
          <w:sz w:val="28"/>
          <w:szCs w:val="28"/>
          <w:lang w:val="es-ES" w:eastAsia="es-ES"/>
        </w:rPr>
        <w:t xml:space="preserve">Mediante acuerdo de diecinueve de enero del presente año, el Magistrado Presidente de esta Sala Superior turnó el expediente </w:t>
      </w:r>
      <w:r w:rsidRPr="00791593">
        <w:rPr>
          <w:rFonts w:ascii="Arial" w:eastAsia="Times New Roman" w:hAnsi="Arial" w:cs="Arial"/>
          <w:b/>
          <w:sz w:val="28"/>
          <w:szCs w:val="28"/>
          <w:lang w:val="es-ES" w:eastAsia="es-ES"/>
        </w:rPr>
        <w:t>SUP-JDC-364/2015</w:t>
      </w:r>
      <w:r w:rsidRPr="00791593">
        <w:rPr>
          <w:rFonts w:ascii="Arial" w:eastAsia="Times New Roman" w:hAnsi="Arial" w:cs="Arial"/>
          <w:sz w:val="28"/>
          <w:szCs w:val="28"/>
          <w:lang w:val="es-ES" w:eastAsia="es-ES"/>
        </w:rPr>
        <w:t>, a la Ponencia de la Magistrada María del Carmen Alanis Figueroa, para los efectos previstos en el artículo 19 de la Ley General del Sistema de Medios de Impugnación en Materia Electoral, los cuales se cumplimentaron en su oportunidad, por el Subsecretario General de Acuerdos de esta Sala Superior.</w:t>
      </w:r>
    </w:p>
    <w:p w14:paraId="5677BD9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b/>
          <w:sz w:val="28"/>
          <w:szCs w:val="28"/>
          <w:lang w:val="es-ES" w:eastAsia="es-ES"/>
        </w:rPr>
        <w:t xml:space="preserve">QUINTO. Acto impugnado en el expediente SUP-JDC-533/2015. </w:t>
      </w:r>
      <w:r w:rsidRPr="00791593">
        <w:rPr>
          <w:rFonts w:ascii="Arial" w:eastAsia="Times New Roman" w:hAnsi="Arial" w:cs="Arial"/>
          <w:sz w:val="28"/>
          <w:szCs w:val="28"/>
          <w:lang w:val="es-ES" w:eastAsia="es-ES"/>
        </w:rPr>
        <w:t>El veintidós de enero de dos mil quince, el Concejo Mayor de Gobierno Comunal, en su calidad de autoridad tradicional del municipio de Cherán, Michoacán de Ocampo, en cumplimiento a la sentencia dictada por el Tribunal Electoral del Estado de Michoacán en el expediente TEEM-RAP-049/2014, resolvió declarar improcedente la consulta presentada por los actores, por la que</w:t>
      </w:r>
      <w:r w:rsidRPr="00791593">
        <w:rPr>
          <w:rFonts w:ascii="Arial" w:eastAsia="Times New Roman" w:hAnsi="Arial" w:cs="Arial"/>
          <w:bCs/>
          <w:sz w:val="28"/>
          <w:szCs w:val="28"/>
          <w:lang w:val="es-ES" w:eastAsia="es-ES"/>
        </w:rPr>
        <w:t xml:space="preserve"> solicitaron que se llevara a cabo una consulta pública entre los habitantes de dicho Municipio, para saber si las elecciones municipales que se realizarán el siete de junio de dos mil quince se deben realizar a través de sus usos y costumbres o mediante la postulación de candidaturas por medio de partidos políticos o, en su caso, de candidaturas independientes.</w:t>
      </w:r>
    </w:p>
    <w:p w14:paraId="4AB1E2E9" w14:textId="77777777" w:rsidR="00D03888" w:rsidRPr="00791593" w:rsidRDefault="00D03888" w:rsidP="00D03888">
      <w:pPr>
        <w:spacing w:before="100" w:beforeAutospacing="1" w:after="100" w:afterAutospacing="1" w:line="360" w:lineRule="auto"/>
        <w:jc w:val="both"/>
        <w:rPr>
          <w:rFonts w:ascii="Arial" w:eastAsia="Times New Roman" w:hAnsi="Arial" w:cs="Arial"/>
          <w:bCs/>
          <w:sz w:val="28"/>
          <w:szCs w:val="28"/>
          <w:lang w:val="es-ES" w:eastAsia="es-ES"/>
        </w:rPr>
      </w:pPr>
      <w:r w:rsidRPr="00791593">
        <w:rPr>
          <w:rFonts w:ascii="Arial" w:eastAsia="Times New Roman" w:hAnsi="Arial" w:cs="Arial"/>
          <w:b/>
          <w:sz w:val="28"/>
          <w:szCs w:val="28"/>
          <w:lang w:val="es-ES" w:eastAsia="es-ES"/>
        </w:rPr>
        <w:t>SEXTO.</w:t>
      </w:r>
      <w:r w:rsidRPr="00791593">
        <w:rPr>
          <w:rFonts w:ascii="Arial" w:eastAsia="Times New Roman" w:hAnsi="Arial" w:cs="Arial"/>
          <w:sz w:val="28"/>
          <w:szCs w:val="28"/>
          <w:lang w:val="es-ES" w:eastAsia="es-ES"/>
        </w:rPr>
        <w:t xml:space="preserve"> </w:t>
      </w:r>
      <w:r w:rsidRPr="00791593">
        <w:rPr>
          <w:rFonts w:ascii="Arial" w:eastAsia="Times New Roman" w:hAnsi="Arial" w:cs="Arial"/>
          <w:b/>
          <w:bCs/>
          <w:sz w:val="28"/>
          <w:szCs w:val="28"/>
          <w:lang w:val="es-ES" w:eastAsia="es-ES"/>
        </w:rPr>
        <w:t>Juicio ciudadano SUP-JDC-533/2015.</w:t>
      </w:r>
      <w:r w:rsidRPr="00791593">
        <w:rPr>
          <w:rFonts w:ascii="Arial" w:eastAsia="Times New Roman" w:hAnsi="Arial" w:cs="Arial"/>
          <w:bCs/>
          <w:sz w:val="28"/>
          <w:szCs w:val="28"/>
          <w:lang w:val="es-ES" w:eastAsia="es-ES"/>
        </w:rPr>
        <w:t xml:space="preserve"> </w:t>
      </w:r>
    </w:p>
    <w:p w14:paraId="255AEB4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b/>
          <w:bCs/>
          <w:sz w:val="28"/>
          <w:szCs w:val="28"/>
          <w:lang w:val="es-ES" w:eastAsia="es-ES"/>
        </w:rPr>
        <w:t>I.</w:t>
      </w:r>
      <w:r w:rsidRPr="00791593">
        <w:rPr>
          <w:rFonts w:ascii="Arial" w:eastAsia="Times New Roman" w:hAnsi="Arial" w:cs="Arial"/>
          <w:bCs/>
          <w:sz w:val="28"/>
          <w:szCs w:val="28"/>
          <w:lang w:val="es-ES" w:eastAsia="es-ES"/>
        </w:rPr>
        <w:t xml:space="preserve"> El uno de febrero de dos mil quince, Juan Fabián Juárez y otros ciudadanos promovieron juicio para la protección de los derechos político-electorales</w:t>
      </w:r>
      <w:r w:rsidRPr="00791593">
        <w:rPr>
          <w:rFonts w:ascii="Arial" w:eastAsia="Times New Roman" w:hAnsi="Arial" w:cs="Arial"/>
          <w:bCs/>
          <w:sz w:val="28"/>
          <w:szCs w:val="28"/>
          <w:lang w:eastAsia="es-ES"/>
        </w:rPr>
        <w:t xml:space="preserve"> en contra de la respuesta precisada en el resultando inmediato anterior.</w:t>
      </w:r>
    </w:p>
    <w:p w14:paraId="2C01969B"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b/>
          <w:bCs/>
          <w:sz w:val="28"/>
          <w:szCs w:val="28"/>
          <w:lang w:val="es-ES" w:eastAsia="es-ES"/>
        </w:rPr>
        <w:t xml:space="preserve">II. Remisión del expediente y escrito. </w:t>
      </w:r>
      <w:r w:rsidRPr="00791593">
        <w:rPr>
          <w:rFonts w:ascii="Arial" w:eastAsia="Times New Roman" w:hAnsi="Arial" w:cs="Arial"/>
          <w:bCs/>
          <w:sz w:val="28"/>
          <w:szCs w:val="28"/>
          <w:lang w:val="es-ES" w:eastAsia="es-ES"/>
        </w:rPr>
        <w:t>El nueve de  febrero del año en curso, en la Oficialía de Partes de esta Sala Superior, se recibió oficio signado por quienes se ostentan como integrantes del Concejo Mayor de Gobierno Comunal de Cherán, Michoacán de Ocampo, por medio del que, entre otros documentos remitieron: A. El escrito inicial de demanda; B.</w:t>
      </w:r>
      <w:r w:rsidRPr="00791593">
        <w:rPr>
          <w:rFonts w:ascii="Arial" w:eastAsia="Times New Roman" w:hAnsi="Arial" w:cs="Arial"/>
          <w:b/>
          <w:bCs/>
          <w:sz w:val="28"/>
          <w:szCs w:val="28"/>
          <w:lang w:val="es-ES" w:eastAsia="es-ES"/>
        </w:rPr>
        <w:t xml:space="preserve"> </w:t>
      </w:r>
      <w:r w:rsidRPr="00791593">
        <w:rPr>
          <w:rFonts w:ascii="Arial" w:eastAsia="Times New Roman" w:hAnsi="Arial" w:cs="Arial"/>
          <w:bCs/>
          <w:sz w:val="28"/>
          <w:szCs w:val="28"/>
          <w:lang w:val="es-ES" w:eastAsia="es-ES"/>
        </w:rPr>
        <w:t>Diversas constancias relativas a la tramitación del medio de impugnación, y C.</w:t>
      </w:r>
      <w:r w:rsidRPr="00791593">
        <w:rPr>
          <w:rFonts w:ascii="Arial" w:eastAsia="Times New Roman" w:hAnsi="Arial" w:cs="Arial"/>
          <w:b/>
          <w:bCs/>
          <w:sz w:val="28"/>
          <w:szCs w:val="28"/>
          <w:lang w:val="es-ES" w:eastAsia="es-ES"/>
        </w:rPr>
        <w:t xml:space="preserve"> </w:t>
      </w:r>
      <w:r w:rsidRPr="00791593">
        <w:rPr>
          <w:rFonts w:ascii="Arial" w:eastAsia="Times New Roman" w:hAnsi="Arial" w:cs="Arial"/>
          <w:bCs/>
          <w:sz w:val="28"/>
          <w:szCs w:val="28"/>
          <w:lang w:val="es-ES" w:eastAsia="es-ES"/>
        </w:rPr>
        <w:t>El informe circunstanciado de Ley.</w:t>
      </w:r>
    </w:p>
    <w:p w14:paraId="53FB8389"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b/>
          <w:sz w:val="28"/>
          <w:szCs w:val="28"/>
          <w:lang w:val="es-ES" w:eastAsia="es-ES"/>
        </w:rPr>
        <w:t>III.</w:t>
      </w:r>
      <w:r w:rsidRPr="00791593">
        <w:rPr>
          <w:rFonts w:ascii="Arial" w:eastAsia="Times New Roman" w:hAnsi="Arial" w:cs="Arial"/>
          <w:sz w:val="28"/>
          <w:szCs w:val="28"/>
          <w:lang w:val="es-ES" w:eastAsia="es-ES"/>
        </w:rPr>
        <w:t xml:space="preserve"> </w:t>
      </w:r>
      <w:r w:rsidRPr="00791593">
        <w:rPr>
          <w:rFonts w:ascii="Arial" w:eastAsia="Times New Roman" w:hAnsi="Arial" w:cs="Arial"/>
          <w:b/>
          <w:bCs/>
          <w:sz w:val="28"/>
          <w:szCs w:val="28"/>
          <w:lang w:val="es-ES" w:eastAsia="es-ES"/>
        </w:rPr>
        <w:t xml:space="preserve">Turno a Ponencia. </w:t>
      </w:r>
      <w:r w:rsidRPr="00791593">
        <w:rPr>
          <w:rFonts w:ascii="Arial" w:eastAsia="Times New Roman" w:hAnsi="Arial" w:cs="Arial"/>
          <w:bCs/>
          <w:sz w:val="28"/>
          <w:szCs w:val="28"/>
          <w:lang w:val="es-ES" w:eastAsia="es-ES"/>
        </w:rPr>
        <w:t>El mismo día</w:t>
      </w:r>
      <w:r w:rsidRPr="00791593">
        <w:rPr>
          <w:rFonts w:ascii="Arial" w:eastAsia="Times New Roman" w:hAnsi="Arial" w:cs="Arial"/>
          <w:sz w:val="28"/>
          <w:szCs w:val="28"/>
          <w:lang w:val="es-ES" w:eastAsia="es-ES"/>
        </w:rPr>
        <w:t xml:space="preserve">, el Magistrado Presidente de esta Sala Superior acordó integrar, registrar el expediente </w:t>
      </w:r>
      <w:r w:rsidRPr="00791593">
        <w:rPr>
          <w:rFonts w:ascii="Arial" w:eastAsia="Times New Roman" w:hAnsi="Arial" w:cs="Arial"/>
          <w:b/>
          <w:sz w:val="28"/>
          <w:szCs w:val="28"/>
          <w:lang w:val="es-ES" w:eastAsia="es-ES"/>
        </w:rPr>
        <w:t>SUP-JDC-533/2015</w:t>
      </w:r>
      <w:r w:rsidRPr="00791593">
        <w:rPr>
          <w:rFonts w:ascii="Arial" w:eastAsia="Times New Roman" w:hAnsi="Arial" w:cs="Arial"/>
          <w:sz w:val="28"/>
          <w:szCs w:val="28"/>
          <w:lang w:val="es-ES" w:eastAsia="es-ES"/>
        </w:rPr>
        <w:t>, así como turnarlo a la ponencia a cargo de la Magistrada María del Carmen Alanis Figueroa, para los efectos previstos en el artículo 19 de la Ley General del Sistema de Medios de Impugnación en Materia Electoral. El señalado acuerdo se cumplimentó mediante acuerdo signado por la Subsecretaria General de Acuerdos en Funciones de esta Sala Superior.</w:t>
      </w:r>
    </w:p>
    <w:p w14:paraId="72F206B1"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b/>
          <w:sz w:val="28"/>
          <w:szCs w:val="28"/>
          <w:lang w:val="es-ES" w:eastAsia="es-ES"/>
        </w:rPr>
        <w:t>SÉPTIMO. Admisión y cierre de instrucción.</w:t>
      </w:r>
      <w:r w:rsidRPr="00791593">
        <w:rPr>
          <w:rFonts w:ascii="Arial" w:eastAsia="Times New Roman" w:hAnsi="Arial" w:cs="Arial"/>
          <w:b/>
          <w:bCs/>
          <w:sz w:val="28"/>
          <w:szCs w:val="28"/>
          <w:lang w:val="es-ES" w:eastAsia="es-ES"/>
        </w:rPr>
        <w:t xml:space="preserve"> </w:t>
      </w:r>
      <w:r w:rsidRPr="00791593">
        <w:rPr>
          <w:rFonts w:ascii="Arial" w:eastAsia="Times New Roman" w:hAnsi="Arial" w:cs="Arial"/>
          <w:sz w:val="28"/>
          <w:szCs w:val="28"/>
          <w:lang w:eastAsia="es-ES"/>
        </w:rPr>
        <w:t>En su oportunidad, la Magistrada Instructora radicó y admitió los medios de impugnación y, al considerar que los expedientes se encontraban debidamente integrados, declaró cerradas las respectivas instrucciones, quedando los autos en estado de dictar sentencia; y,</w:t>
      </w:r>
    </w:p>
    <w:p w14:paraId="49F7B208" w14:textId="77777777" w:rsidR="00D03888" w:rsidRPr="00791593" w:rsidRDefault="00D03888" w:rsidP="00D03888">
      <w:pPr>
        <w:spacing w:before="100" w:beforeAutospacing="1" w:after="100" w:afterAutospacing="1" w:line="360" w:lineRule="auto"/>
        <w:jc w:val="center"/>
        <w:rPr>
          <w:rFonts w:ascii="Arial" w:eastAsia="Times New Roman" w:hAnsi="Arial" w:cs="Arial"/>
          <w:b/>
          <w:bCs/>
          <w:sz w:val="28"/>
          <w:szCs w:val="28"/>
          <w:lang w:val="es-ES" w:eastAsia="es-ES"/>
        </w:rPr>
      </w:pPr>
      <w:r w:rsidRPr="00791593">
        <w:rPr>
          <w:rFonts w:ascii="Arial" w:eastAsia="Times New Roman" w:hAnsi="Arial" w:cs="Arial"/>
          <w:b/>
          <w:bCs/>
          <w:sz w:val="28"/>
          <w:szCs w:val="28"/>
          <w:lang w:val="es-ES" w:eastAsia="es-ES"/>
        </w:rPr>
        <w:t>C O N S I D E R A N D O:</w:t>
      </w:r>
    </w:p>
    <w:p w14:paraId="3E75AEF4"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PRIMERO. Jurisdicción y competencia.</w:t>
      </w:r>
      <w:r w:rsidRPr="00791593">
        <w:rPr>
          <w:rFonts w:ascii="Arial" w:eastAsia="Times New Roman" w:hAnsi="Arial" w:cs="Arial"/>
          <w:sz w:val="28"/>
          <w:szCs w:val="28"/>
          <w:lang w:eastAsia="es-ES"/>
        </w:rPr>
        <w:t xml:space="preserve"> El Tribunal Electoral del Poder Judicial de la Federación ejerce jurisdicción y esta Sala Superior es competente para conocer y resolver el medio de impugnación en que se actúa. Ello de conformidad con lo previsto en los artículos 41, párrafo segundo, base VI; 94, párrafos primero y quinto, y 99, párrafos primero, segundo y cuarto, fracción V, de la Constitución Política de los Estados Unidos Mexicanos; 1°, fracción II, 184, 185, 186, fracción III, inciso c); 187, párrafo primero; y 189, fracción I, inciso e) de la Ley Orgánica del Poder Judicial de la Federación; 3, párrafo 2, inciso c); 79, párrafo 1, 80, párrafo 1, inciso f); y 83, párrafo 1, inciso a) de la Ley General del Sistema de Medios de Impugnación en Materia Electoral, porque se trata de juicios para la protección de los derechos político-electorales del ciudadano, promovidos por diversos ciudadanos integrantes del municipio de Cherán, Michoacán de Ocampo, en contra de diversos actos que estiman, transgrede su derecho político-electoral de elegir a sus autoridades.</w:t>
      </w:r>
    </w:p>
    <w:p w14:paraId="43C59C82"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efecto, en los juicios de mérito los actores solicitan que se revoque la sentencia y oficios emitidos y, en esencia, que se realice una consulta a los integrantes de la comunidad de Cherán, Michoacán, a efecto de determinar el método de elección de autoridades municipales en el proceso electoral que actualmente tiene verificativo en esa entidad federativa.</w:t>
      </w:r>
    </w:p>
    <w:p w14:paraId="0F120737"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eastAsia="es-ES"/>
        </w:rPr>
        <w:t xml:space="preserve">Atento a ello, es que se actualiza la competencia de este órgano jurisdiccional para analizar y resolver la controversia planteada por </w:t>
      </w:r>
      <w:r w:rsidRPr="00791593">
        <w:rPr>
          <w:rFonts w:ascii="Arial" w:eastAsia="Times New Roman" w:hAnsi="Arial" w:cs="Arial"/>
          <w:sz w:val="28"/>
          <w:szCs w:val="28"/>
          <w:lang w:val="es-ES" w:eastAsia="es-MX"/>
        </w:rPr>
        <w:t>Juan Fabián Juárez, y otros ciudadanos, toda vez que se trata de medios de impugnación que se relacionan con una solicitud de realizar una consulta a los ciudadanos de una comunidad indígena, a efecto de determinar si las próximas elecciones deberán de llevarse a cabo bajo su sistema tradicional o no, supuesto respecto del cual, las Salas Regionales carecen de competencia para conocer y resolver sobre los medios de impugnación respectivos, por no estar contemplados expresamente en la legislación aplicable.</w:t>
      </w:r>
    </w:p>
    <w:p w14:paraId="41AB703E"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ES"/>
        </w:rPr>
        <w:t xml:space="preserve">En ese sentido, dado que la tutela de los derechos de los pueblos y comunidades indígenas a la autonomía y determinación propia sobre los procedimientos, mecanismos y normas que rigen su sistema electoral no está expresamente contemplada en alguno de los supuestos de competencia de las Salas Regionales, por lo que es la Sala Superior la competente para conocer de esas impugnaciones, al existir la obligación de este Tribunal Electoral de garantizar el derecho a la tutela judicial efectiva en la materia, derivado de lo previsto en los artículos 17 y 41 de la Constitución Política de los Estados Unidos Mexicanos. </w:t>
      </w:r>
    </w:p>
    <w:p w14:paraId="68FDDB41"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b/>
          <w:sz w:val="28"/>
          <w:szCs w:val="28"/>
          <w:lang w:eastAsia="es-ES"/>
        </w:rPr>
        <w:t>SEGUNDO.</w:t>
      </w:r>
      <w:r w:rsidRPr="00791593">
        <w:rPr>
          <w:rFonts w:ascii="Arial" w:eastAsia="Times New Roman" w:hAnsi="Arial" w:cs="Arial"/>
          <w:sz w:val="28"/>
          <w:szCs w:val="28"/>
          <w:lang w:eastAsia="es-ES"/>
        </w:rPr>
        <w:t xml:space="preserve"> </w:t>
      </w:r>
      <w:r w:rsidRPr="00791593">
        <w:rPr>
          <w:rFonts w:ascii="Arial" w:eastAsia="Times New Roman" w:hAnsi="Arial" w:cs="Arial"/>
          <w:b/>
          <w:sz w:val="28"/>
          <w:szCs w:val="28"/>
          <w:lang w:eastAsia="es-ES"/>
        </w:rPr>
        <w:t>Acumulación.</w:t>
      </w:r>
      <w:r w:rsidRPr="00791593">
        <w:rPr>
          <w:rFonts w:ascii="Arial" w:eastAsia="Times New Roman" w:hAnsi="Arial" w:cs="Arial"/>
          <w:sz w:val="28"/>
          <w:szCs w:val="28"/>
          <w:lang w:eastAsia="es-ES"/>
        </w:rPr>
        <w:t xml:space="preserve"> </w:t>
      </w:r>
      <w:r w:rsidRPr="00791593">
        <w:rPr>
          <w:rFonts w:ascii="Arial" w:eastAsia="Times New Roman" w:hAnsi="Arial" w:cs="Arial"/>
          <w:sz w:val="28"/>
          <w:szCs w:val="28"/>
          <w:lang w:val="es-ES" w:eastAsia="es-ES"/>
        </w:rPr>
        <w:t>Esta Sala Superior considera que debe acumularse el juicio para la protección de los derechos político-electorales del ciudadano, identificado con la clave SUP-JDC-533/2015 al diverso SUP-JDC-364/2015.</w:t>
      </w:r>
    </w:p>
    <w:p w14:paraId="6DD1398E"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En efecto, conforme a los artículos 31 de la Ley General del Sistema de Medios de Impugnación en Materia Electoral; 199, fracción XI, de la Ley Orgánica del Poder Judicial de la Federación y 86 del Reglamento Interno del Tribunal Electoral del Poder Judicial de la Federación, existe la facultad para acumular los medios de impugnación, cuando concurre conexidad en la causa, al controvertirse el mismo acto o resolución, o bien, se aduzca respecto de actos o resoluciones similares, una misma pretensión y causa de pedir.</w:t>
      </w:r>
    </w:p>
    <w:p w14:paraId="0E9A00D6"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En el caso, de las demandas de los referidos juicios para la protección de los derechos político-electorales del ciudadano, se advierte que existe conexidad en la causa, debido a que en ellas, los promoventes tienen como pretensión principal, que se realice una consulta a la ciudadanía de la comunidad indígena de Cherán, Michoacán de Ocampo, con la finalidad de que se modifiquen las normas y procedimientos por los que eligen a sus autoridades.</w:t>
      </w:r>
    </w:p>
    <w:p w14:paraId="451EDC25"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Por ello, para facilitar su resolución pronta y con el objeto de evitar la posibilidad de emitir fallos contradictorios, se deberá acumula el juicio para la protección de los derechos político-electorales del ciudadano radicado en el expediente SUP-JDC-533/2015 al SUP-JDC-364/2015, por ser este último el primero en que se ejerció el derecho a la tutela judicial efectiva.</w:t>
      </w:r>
    </w:p>
    <w:p w14:paraId="4BF05F71"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En consecuencia, deberá agregarse copia certificada de los puntos resolutivos de esta sentencia al expediente acumulado.</w:t>
      </w:r>
    </w:p>
    <w:p w14:paraId="5F8A5062"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 xml:space="preserve">TERCERO. Actos impugnados. </w:t>
      </w:r>
      <w:r w:rsidRPr="00791593">
        <w:rPr>
          <w:rFonts w:ascii="Arial" w:eastAsia="Times New Roman" w:hAnsi="Arial" w:cs="Arial"/>
          <w:sz w:val="28"/>
          <w:szCs w:val="28"/>
          <w:lang w:eastAsia="es-ES"/>
        </w:rPr>
        <w:t xml:space="preserve">De la revisión integral de los escritos de demanda, esta Sala Superior advierte que en el juicio para la protección de los derechos político-electorales del ciudadano radicado en el expediente SUP-JDC-364/2015, los actores señalan expresamente que se controvierte la sentencia </w:t>
      </w:r>
      <w:r w:rsidRPr="00791593">
        <w:rPr>
          <w:rFonts w:ascii="Arial" w:eastAsia="Times New Roman" w:hAnsi="Arial" w:cs="Arial"/>
          <w:sz w:val="28"/>
          <w:szCs w:val="28"/>
          <w:lang w:val="es-ES" w:eastAsia="es-MX"/>
        </w:rPr>
        <w:t>de seis de enero del año en curso, dictada por el Tribunal Electoral del Estado de Michoacán, en el recurso de apelación identificado con el número TEEM-RAP-049/2014, por la que, entre otros aspectos, ordenó al Concejo Mayor de Gobierno Comunal del Municipio de Cherán, Michoacán de Ocampo que respondiera la petición de consulta a esa comunidad indígena, sobre la modificación al sistema electoral de autoridades municipales.</w:t>
      </w:r>
    </w:p>
    <w:p w14:paraId="583AB3BD"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Por otra parte, en demanda del juicio para la protección de los derechos político-electorales del ciudadano radicado en el expediente SUP-JDC-533/2015, los ciudadanos enjuiciantes precisan que controvierten el “ACTA DE NOTIFICACIÓN DE ESCRITO DE CONTESTACIÓN A PETICIÓN DE CONSULTA HECHA POR LOS CC. JUAN FABIÁN JUÁREZ, ANTONIO TEHADON AMBROSIO, JORGE AMBROSIO DURÁN, IMELDA SÁNCHEZ TOMÁS Y MARÍA ELENA APOLINAR TEHADON, EN ATENCIÓN A LA SENTENCIA DICTADA POR EL TRIBUNAL ELECTORAL DEL ESTADO DE MUCHOACÁN DENTRO DEL RECURSO DE APELACIÓN CON NÚMERO DE EXPEDIENTE TEEM-RAP-49/2014, De fecha 22 de enero de 2015”.</w:t>
      </w:r>
    </w:p>
    <w:p w14:paraId="5F0E4854"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Ahora bien, la lectura integral del escrito de demanda, permite advertir a esta Sala Superior que los enjuiciantes refieren agravios tendentes a cuestionar la respuesta a la petición de consulta emitida por el Concejo Mayor del Gobierno Comunal de Cherán, Michoacán de Ocampo, por estimar que la determinación de declarar improcedente la consulta solicitada, lesiona, entre otros, sus derechos político-electorales de participación política así como de votar y ser votados.</w:t>
      </w:r>
    </w:p>
    <w:p w14:paraId="41F9A338"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este orden de ideas, el acto cuestionado en el juicio ciudadano radicado en el expediente identificado con la clave SUP-JDC-533/2015, es la respuesta a la petición de consulta antes mencionada.</w:t>
      </w:r>
    </w:p>
    <w:p w14:paraId="20F779FB" w14:textId="77777777" w:rsidR="00D03888" w:rsidRPr="00791593" w:rsidRDefault="00D03888" w:rsidP="00D03888">
      <w:pPr>
        <w:spacing w:before="100" w:beforeAutospacing="1" w:after="100" w:afterAutospacing="1" w:line="360" w:lineRule="auto"/>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CUARTO. Causas de improcedencia en el juicio para la protección de los derechos político-electorales del ciudadano radicado en el expediente SUP-JDC-533/2015.</w:t>
      </w:r>
    </w:p>
    <w:p w14:paraId="510F5578" w14:textId="77777777" w:rsidR="00D03888" w:rsidRPr="00791593" w:rsidRDefault="00D03888" w:rsidP="00D03888">
      <w:pPr>
        <w:spacing w:before="100" w:beforeAutospacing="1" w:after="100" w:afterAutospacing="1" w:line="360" w:lineRule="auto"/>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A. Falta de firma autógrafa de los promoventes.</w:t>
      </w:r>
    </w:p>
    <w:p w14:paraId="544EBAC7"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El Concejo Mayor de Gobierno Comunal, en su calidad de autoridad responsable en el medio de impugnación de referencia, plantea como causa de improcedencia, la prevista en el artículo 9, párrafo 3, de la Ley General del Sistema de Medios de Impugnación en Materia Electoral, relativa a la falta de firma autógrafa de los promoventes, toda vez que, en su concepto, en el escrito impugnativo se indica que el juicio se promueve por catorce ciudadanos; sin embargo, no contiene un apartado específico de donde se desprenda a quién corresponde cada una de las firmas asentadas al margen de cada una de las fojas del ocurso, máxime que, desde su perspectiva, sólo se advierten entre cuatro y cinco firmas de diferentes personas que suscribieron el documento, sin que hayan anexado elemento alguno que permita corroborar a cuales de los promoventes corresponden las signaturas.</w:t>
      </w:r>
    </w:p>
    <w:p w14:paraId="6B604A7E"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La causa de improcedencia resulta </w:t>
      </w:r>
      <w:r w:rsidRPr="00791593">
        <w:rPr>
          <w:rFonts w:ascii="Arial" w:eastAsia="Times New Roman" w:hAnsi="Arial" w:cs="Arial"/>
          <w:b/>
          <w:sz w:val="28"/>
          <w:szCs w:val="28"/>
          <w:lang w:eastAsia="es-ES"/>
        </w:rPr>
        <w:t>infundada</w:t>
      </w:r>
      <w:r w:rsidRPr="00791593">
        <w:rPr>
          <w:rFonts w:ascii="Arial" w:eastAsia="Times New Roman" w:hAnsi="Arial" w:cs="Arial"/>
          <w:sz w:val="28"/>
          <w:szCs w:val="28"/>
          <w:lang w:eastAsia="es-ES"/>
        </w:rPr>
        <w:t>, toda vez que esta Sala Superior advierte que de conformidad con lo previsto en el artículo 9, párrafo 1, inciso g), de la Ley General del Sistema de Medios de Impugnación en Materia Electoral, se establece como requisito que debe cumplir la demanda el de hacer constar el nombre y firma autógrafa del promovente, sin que exija mayor formalidad como lo pretende la autoridad responsable, que es contar con un apartado específico en que se señalen los nombres y correspondientes firmas de quienes suscriben el escrito de demanda.</w:t>
      </w:r>
    </w:p>
    <w:p w14:paraId="6816BAAF"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Atento a ello, basta con que en el escrito impugnativo se advierta la existencia de nombres de los impugnantes y firmas, para tener por satisfecho el requisito bajo estudio, y tener por acreditado que es su voluntad instar al órgano jurisdiccional al conocimiento y resolución de una controversia.</w:t>
      </w:r>
    </w:p>
    <w:p w14:paraId="4B04AF9A" w14:textId="77777777" w:rsidR="00D03888" w:rsidRPr="00791593" w:rsidRDefault="00D03888" w:rsidP="00D03888">
      <w:pPr>
        <w:spacing w:before="100" w:beforeAutospacing="1" w:after="100" w:afterAutospacing="1" w:line="360" w:lineRule="auto"/>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B. Falta de pruebas.</w:t>
      </w:r>
    </w:p>
    <w:p w14:paraId="0DD19398"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Plantea la autoridad responsable que procede el desechamiento del escrito de demanda, en términos de lo previsto en el artículo 9 de la Ley General del Sistema de Medios de Impugnación en Materia Electoral, en virtud de que los promoventes no acompañaron prueba alguna al medio de impugnación.</w:t>
      </w:r>
    </w:p>
    <w:p w14:paraId="3C17F03B"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La causa de improcedencia planteada es</w:t>
      </w:r>
      <w:r w:rsidRPr="00791593">
        <w:rPr>
          <w:rFonts w:ascii="Arial" w:eastAsia="Times New Roman" w:hAnsi="Arial" w:cs="Arial"/>
          <w:b/>
          <w:sz w:val="28"/>
          <w:szCs w:val="28"/>
          <w:lang w:eastAsia="es-ES"/>
        </w:rPr>
        <w:t xml:space="preserve"> infundada</w:t>
      </w:r>
      <w:r w:rsidRPr="00791593">
        <w:rPr>
          <w:rFonts w:ascii="Arial" w:eastAsia="Times New Roman" w:hAnsi="Arial" w:cs="Arial"/>
          <w:sz w:val="28"/>
          <w:szCs w:val="28"/>
          <w:lang w:eastAsia="es-ES"/>
        </w:rPr>
        <w:t>, toda vez que, en el presente asunto, la cuestión a resolver se centra en un punto de derecho que consistente en determinar si la respuesta otorgada por el Concejo Mayor del Gobierno Comunal de Cherán, Michoacán, sobre la petición de llevar a cabo una consulta a los ciudadanos de esa comunidad para modificar el sistema electoral que actualmente rige, es apegada a derecho o no.</w:t>
      </w:r>
    </w:p>
    <w:p w14:paraId="7D67E23E"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De esta manera, si la controversia planteada, se centra en determinar sobre puntos de derecho, se actualiza el supuesto establecido en el artículo 9, párrafo 2, de la Ley General del Sistema de Medios de Impugnación Electoral, en el sentido de que no es necesario cumplir con el requisito de aportar pruebas.</w:t>
      </w:r>
    </w:p>
    <w:p w14:paraId="155F6A6C" w14:textId="77777777" w:rsidR="00D03888" w:rsidRPr="00791593" w:rsidRDefault="00D03888" w:rsidP="00D03888">
      <w:pPr>
        <w:spacing w:before="100" w:beforeAutospacing="1" w:after="100" w:afterAutospacing="1" w:line="360" w:lineRule="auto"/>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C. Frivolidad de la demanda.</w:t>
      </w:r>
    </w:p>
    <w:p w14:paraId="08827B7E"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Expone la responsable que el acto impugnado se emitió en estricto apego al sistema normativo de la comunidad indígena, mientras que el medio de impugnación tiene por objeto entorpecer con recursos judiciales la renovación de la autoridad municipal.</w:t>
      </w:r>
    </w:p>
    <w:p w14:paraId="10C8447A"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Ha sido criterio reiterado de la Sala Superior, que un medio de impugnativo resulta frívolo, cuando es notorio el propósito del actor de interponerlo a sabiendas que no existe razón ni fundamento de derecho que pueda constituir una causa válida para acudir ante el órgano jurisdiccional.</w:t>
      </w:r>
    </w:p>
    <w:p w14:paraId="6DF7BC88"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Sobre la base de estas acepciones, se llega a la conclusión, que una demanda resulta frívola, cuando no se apoya en hechos ciertos, concretos y precisos; o los aducidos son obscuros o imprecisos, o se refieren a eventos que en modo alguno generan la vulneración de derechos.</w:t>
      </w:r>
    </w:p>
    <w:p w14:paraId="5408A0CB"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Así, un medio de defensa será improcedente cuando se pretendan activar los mecanismos de la impartición de justicia para tramitar, substanciar y resolver situaciones a sabiendas que la finalidad no se pueda conseguir, tanto porque la pretensión carezca de sustancia, como porque los hechos no puedan servir de base a la pretensión.</w:t>
      </w:r>
    </w:p>
    <w:p w14:paraId="6A0D8175"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Esto último acontece, cuando se trata de circunstancias fácticas que impiden la actualización del supuesto jurídico tutelado en la norma, o cuando las afirmaciones sobre hechos base de una pretensión, sea inalcanzable por no existir un derecho asistido, ser falsas o carentes de sustancia, objetividad y seriedad.</w:t>
      </w:r>
    </w:p>
    <w:p w14:paraId="232C4D0F"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En el caso, la causa de improcedencia planteada por la autoridad responsable es </w:t>
      </w:r>
      <w:r w:rsidRPr="00791593">
        <w:rPr>
          <w:rFonts w:ascii="Arial" w:eastAsia="Times New Roman" w:hAnsi="Arial" w:cs="Arial"/>
          <w:b/>
          <w:sz w:val="28"/>
          <w:szCs w:val="28"/>
          <w:lang w:eastAsia="es-ES"/>
        </w:rPr>
        <w:t>infundada</w:t>
      </w:r>
      <w:r w:rsidRPr="00791593">
        <w:rPr>
          <w:rFonts w:ascii="Arial" w:eastAsia="Times New Roman" w:hAnsi="Arial" w:cs="Arial"/>
          <w:sz w:val="28"/>
          <w:szCs w:val="28"/>
          <w:lang w:eastAsia="es-ES"/>
        </w:rPr>
        <w:t>, toda vez que la pretensión sustancial de los actores se centra en controvertir la respuesta que esa autoridad otorgó a una petición de consulta a la ciudadanía de la comunidad de Cherán, Michoacán, tendente a modificar el sistema electoral de la comunidad indígena.</w:t>
      </w:r>
    </w:p>
    <w:p w14:paraId="7594ECF9"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En este sentido, si los actores controvierten una resolución que consideran, afecta sus derechos político-electorales, en manera alguna es de considerarse que se trata de una demanda frívola, pues la constitucionalidad, y la conformidad de esa respuesta al derecho consuetudinario de esa comunidad debe ser analizada en el fondo de la controversia a partir de los agravios que dicen les causa el acto controvertido, y no mediante el estudio de procedencia que determine </w:t>
      </w:r>
      <w:r w:rsidRPr="00791593">
        <w:rPr>
          <w:rFonts w:ascii="Arial" w:eastAsia="Times New Roman" w:hAnsi="Arial" w:cs="Arial"/>
          <w:i/>
          <w:sz w:val="28"/>
          <w:szCs w:val="28"/>
          <w:lang w:eastAsia="es-ES"/>
        </w:rPr>
        <w:t>a priori</w:t>
      </w:r>
      <w:r w:rsidRPr="00791593">
        <w:rPr>
          <w:rFonts w:ascii="Arial" w:eastAsia="Times New Roman" w:hAnsi="Arial" w:cs="Arial"/>
          <w:sz w:val="28"/>
          <w:szCs w:val="28"/>
          <w:lang w:eastAsia="es-ES"/>
        </w:rPr>
        <w:t>, la eficacia de los argumentos expuestos por los justiciables.</w:t>
      </w:r>
    </w:p>
    <w:p w14:paraId="6D53F2F5" w14:textId="77777777" w:rsidR="00D03888" w:rsidRPr="00791593" w:rsidRDefault="00D03888" w:rsidP="00D03888">
      <w:pPr>
        <w:spacing w:before="100" w:beforeAutospacing="1" w:after="100" w:afterAutospacing="1" w:line="360" w:lineRule="auto"/>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 xml:space="preserve">QUINTO. </w:t>
      </w:r>
      <w:r w:rsidRPr="00791593">
        <w:rPr>
          <w:rFonts w:ascii="Arial" w:eastAsia="Times New Roman" w:hAnsi="Arial" w:cs="Arial"/>
          <w:b/>
          <w:i/>
          <w:sz w:val="28"/>
          <w:szCs w:val="28"/>
          <w:lang w:eastAsia="es-ES"/>
        </w:rPr>
        <w:t xml:space="preserve">Per saltum </w:t>
      </w:r>
      <w:r w:rsidRPr="00791593">
        <w:rPr>
          <w:rFonts w:ascii="Arial" w:eastAsia="Times New Roman" w:hAnsi="Arial" w:cs="Arial"/>
          <w:b/>
          <w:sz w:val="28"/>
          <w:szCs w:val="28"/>
          <w:lang w:eastAsia="es-ES"/>
        </w:rPr>
        <w:t>del juicio para la protección de los derechos político-electorales del ciudadano radicado en el expediente SUP-JDC-533/2015.</w:t>
      </w:r>
    </w:p>
    <w:p w14:paraId="489C8D6D"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 juicio de esta Sala Superior, se justifica la acción </w:t>
      </w:r>
      <w:r w:rsidRPr="00791593">
        <w:rPr>
          <w:rFonts w:ascii="Arial" w:eastAsia="Times New Roman" w:hAnsi="Arial" w:cs="Arial"/>
          <w:i/>
          <w:sz w:val="28"/>
          <w:szCs w:val="28"/>
          <w:lang w:eastAsia="es-ES"/>
        </w:rPr>
        <w:t>per saltum</w:t>
      </w:r>
      <w:r w:rsidRPr="00791593">
        <w:rPr>
          <w:rFonts w:ascii="Arial" w:eastAsia="Times New Roman" w:hAnsi="Arial" w:cs="Arial"/>
          <w:sz w:val="28"/>
          <w:szCs w:val="28"/>
          <w:lang w:eastAsia="es-ES"/>
        </w:rPr>
        <w:t xml:space="preserve"> para conocer del juico ciudadano de referencia.</w:t>
      </w:r>
    </w:p>
    <w:p w14:paraId="38EA6225"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Ello es así, porque esta Sala Superior ha estimado que cuando el agotamiento previo de los medios de impugnación, se traduzca en una amenaza seria para los derechos sustanciales que son objeto del litigio, porque los trámites que existen y el tiempo necesario para llevarlos a cabo puedan implicar la merma considerable o hasta la extinción del contenido de las pretensiones o de sus efectos o consecuencias, entonces debe tenerse por cumplido el requisito de definitividad y firmeza.</w:t>
      </w:r>
    </w:p>
    <w:p w14:paraId="12C3ED3A"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Lo anterior encuentra apoyo en la jurisprudencia de rubro: </w:t>
      </w:r>
      <w:r w:rsidRPr="00791593">
        <w:rPr>
          <w:rFonts w:ascii="Arial" w:eastAsia="Times New Roman" w:hAnsi="Arial" w:cs="Arial"/>
          <w:b/>
          <w:sz w:val="28"/>
          <w:szCs w:val="28"/>
          <w:lang w:eastAsia="es-ES"/>
        </w:rPr>
        <w:t>“DEFINITIVIDAD Y FIRMEZA. SI EL AGOTAMIENTO DE LOS MEDIOS IMPUGNATIVOS ORDINARIOS IMPLICAN LA MERMA O EXTINCIÓN DE LA PRETENSIÓN DEL ACTOR, DEBE TENERSE POR CUMPLIDO EL REQUISITO</w:t>
      </w:r>
      <w:r w:rsidRPr="00791593">
        <w:rPr>
          <w:rFonts w:ascii="Arial" w:eastAsia="Times New Roman" w:hAnsi="Arial" w:cs="Arial"/>
          <w:sz w:val="28"/>
          <w:szCs w:val="28"/>
          <w:lang w:eastAsia="es-ES"/>
        </w:rPr>
        <w:t xml:space="preserve">”, consultable en la </w:t>
      </w:r>
      <w:r w:rsidRPr="00791593">
        <w:rPr>
          <w:rFonts w:ascii="Arial" w:eastAsia="Times New Roman" w:hAnsi="Arial" w:cs="Arial"/>
          <w:i/>
          <w:sz w:val="28"/>
          <w:szCs w:val="28"/>
          <w:lang w:eastAsia="es-ES"/>
        </w:rPr>
        <w:t xml:space="preserve">Compilación 1997-2013. Jurisprudencia y tesis en materia electoral. </w:t>
      </w:r>
      <w:r w:rsidRPr="00791593">
        <w:rPr>
          <w:rFonts w:ascii="Arial" w:eastAsia="Times New Roman" w:hAnsi="Arial" w:cs="Arial"/>
          <w:sz w:val="28"/>
          <w:szCs w:val="28"/>
          <w:lang w:eastAsia="es-ES"/>
        </w:rPr>
        <w:t xml:space="preserve">Volumen 1, Jurisprudencia, páginas 272 a 274. </w:t>
      </w:r>
    </w:p>
    <w:p w14:paraId="01707E00"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el caso, la pretensión sustancial de los actores consiste en que se revoque la respuesta a su petición de consulta, con la finalidad de que se ordene realizar una consulta a la ciudadanía de Cherán, Michoacán de Ocampo, para modificar la manera en que eligen a sus autoridades, para transitar al sistema de elección regido por el Código Electoral de esa entidad federativa, en el que participan los partidos políticos y candidatos independientes, y eventualmente, se realicen elecciones en la anualidad que transcurre, bajo la modalidad que exponen.</w:t>
      </w:r>
    </w:p>
    <w:p w14:paraId="539E74C1"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Al respecto, este órgano jurisdiccional considera que se encuentra justificado el </w:t>
      </w:r>
      <w:r w:rsidRPr="00791593">
        <w:rPr>
          <w:rFonts w:ascii="Arial" w:eastAsia="Times New Roman" w:hAnsi="Arial" w:cs="Arial"/>
          <w:i/>
          <w:sz w:val="28"/>
          <w:szCs w:val="28"/>
          <w:lang w:eastAsia="es-ES"/>
        </w:rPr>
        <w:t>per saltum</w:t>
      </w:r>
      <w:r w:rsidRPr="00791593">
        <w:rPr>
          <w:rFonts w:ascii="Arial" w:eastAsia="Times New Roman" w:hAnsi="Arial" w:cs="Arial"/>
          <w:sz w:val="28"/>
          <w:szCs w:val="28"/>
          <w:lang w:eastAsia="es-ES"/>
        </w:rPr>
        <w:t>, dado el avance del actual proceso electoral local, y por tanto, no es dable exigir a la parte actora agotar el juicio para la protección de los derechos político-electorales previsto en el artículo 73, de la Ley de Justicia Electoral y de Participación Ciudadana del Estado de Michoacán, antes de acudir ante esta instancia jurisdiccional constitucional.</w:t>
      </w:r>
    </w:p>
    <w:p w14:paraId="00F1F725"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 anterior, porque el proceso electoral en esa entidad federativa, en el que se renovará, entre otros, a los diputados que conforman el Congreso local, así como a los integrantes de los ayuntamientos inició el tres de octubre de dos mil catorce, dentro del cual, han concluido las precampañas, y se encuentran próximas a iniciar las campañas electorales, conforme se dispone en los artículos 182, 158, y 190 del Código Electoral del Estado de Michoacán de Ocampo, por tanto, es innegable que existe premura para resolver los planteamientos que formula la parte accionante.</w:t>
      </w:r>
    </w:p>
    <w:p w14:paraId="5DA2FC03"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De ahí que esta Sala Superior estime que procede, </w:t>
      </w:r>
      <w:r w:rsidRPr="00791593">
        <w:rPr>
          <w:rFonts w:ascii="Arial" w:eastAsia="Times New Roman" w:hAnsi="Arial" w:cs="Arial"/>
          <w:i/>
          <w:sz w:val="28"/>
          <w:szCs w:val="28"/>
          <w:lang w:eastAsia="es-ES"/>
        </w:rPr>
        <w:t>per saltum</w:t>
      </w:r>
      <w:r w:rsidRPr="00791593">
        <w:rPr>
          <w:rFonts w:ascii="Arial" w:eastAsia="Times New Roman" w:hAnsi="Arial" w:cs="Arial"/>
          <w:sz w:val="28"/>
          <w:szCs w:val="28"/>
          <w:lang w:eastAsia="es-ES"/>
        </w:rPr>
        <w:t>, el examen de la impugnación presentada por el enjuiciante, aun cuando no se haya agotado el medio de impugnación local.</w:t>
      </w:r>
    </w:p>
    <w:p w14:paraId="50AAFA6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 xml:space="preserve">SEXTO. </w:t>
      </w:r>
      <w:r w:rsidRPr="00791593">
        <w:rPr>
          <w:rFonts w:ascii="Arial" w:eastAsia="Times New Roman" w:hAnsi="Arial" w:cs="Arial"/>
          <w:b/>
          <w:bCs/>
          <w:sz w:val="28"/>
          <w:szCs w:val="28"/>
          <w:lang w:val="es-ES" w:eastAsia="es-ES"/>
        </w:rPr>
        <w:t xml:space="preserve">Procedencia. </w:t>
      </w:r>
      <w:r w:rsidRPr="00791593">
        <w:rPr>
          <w:rFonts w:ascii="Arial" w:eastAsia="Times New Roman" w:hAnsi="Arial" w:cs="Arial"/>
          <w:sz w:val="28"/>
          <w:szCs w:val="28"/>
          <w:lang w:eastAsia="es-ES"/>
        </w:rPr>
        <w:t>Los juicios a estudio reúnen los requisitos de procedencia previstos en los artículos 7; 8; 9, párrafo 1; 79, párrafo 1; y, 80, párrafo 1, inciso f), de la Ley General del Sistema de Medios de Impugnación en Materia Electoral, por lo siguiente:</w:t>
      </w:r>
    </w:p>
    <w:p w14:paraId="4A55E5CA"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I. Forma.</w:t>
      </w:r>
      <w:r w:rsidRPr="00791593">
        <w:rPr>
          <w:rFonts w:ascii="Arial" w:eastAsia="Times New Roman" w:hAnsi="Arial" w:cs="Arial"/>
          <w:sz w:val="28"/>
          <w:szCs w:val="28"/>
          <w:lang w:eastAsia="es-ES"/>
        </w:rPr>
        <w:t xml:space="preserve"> Los medios de impugnación se presentaron por escrito ante las autoridades señaladas como responsables de los actos que se controvierten; se hace constar los nombres de los actores y su domicilio para oír y recibir notificaciones; se identifican las resoluciones impugnadas y las autoridades responsables; se mencionan los hechos en que se basa la impugnación y los conceptos de agravio; y, se hace constar el nombre y firma autógrafa de quienes promueven.</w:t>
      </w:r>
    </w:p>
    <w:p w14:paraId="5C5D4714"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II. Oportunidad.</w:t>
      </w:r>
      <w:r w:rsidRPr="00791593">
        <w:rPr>
          <w:rFonts w:ascii="Arial" w:eastAsia="Times New Roman" w:hAnsi="Arial" w:cs="Arial"/>
          <w:sz w:val="28"/>
          <w:szCs w:val="28"/>
          <w:lang w:eastAsia="es-ES"/>
        </w:rPr>
        <w:t xml:space="preserve"> En el artículo 8 de la Ley General del Sistema de Medios de Impugnación en Materia Electoral, se señala que los medios de impugnación previstos en ese ordenamiento, entre los que se encuentra el juicio para la protección de los derechos político-electorales del ciudadano, deben presentarse dentro de los cuatro días contados a partir del siguiente a aquél en que se tenga conocimiento del acto o resolución impugnado o se hubiese notificado de conformidad con la ley aplicable, salvo las excepciones previstas expresamente en dicho ordenamiento.</w:t>
      </w:r>
    </w:p>
    <w:p w14:paraId="017CBC29"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los medios de impugnación bajo estudio, se cumple con el requisito de referencia, toda vez que, por lo que respecta al juicio para la protección de los derechos político-electorales del ciudadano radicado en el expediente SUP-JDC-364/2015, la sentencia impugnada se emitió el seis de enero de dos mil quince y se notificó a los ciudadanos actores el nueve de enero del mismo año, en tanto que el escrito impugnativo se presentó el trece de enero de dos mil quince, de manera que cumple con el requisito bajo estudio.</w:t>
      </w:r>
    </w:p>
    <w:p w14:paraId="294B27F8"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lo que respecta al juicio para la protección de los derechos político-electorales del ciudadano radicado en el expediente SUP-JDC-533/2015, el acto controvertido, que es la respuesta a la petición de consulta a la ciudadanía de Cherán, Michoacán de Ocampo, relativa a la modificación del sistema mediante el que eligen a sus representantes populares, se emitió el veintidós de enero de dos mil quince, y se notificó a los ahora actores el veintiocho de enero del mismo año, de manera que si la demanda se presentó el uno de febrero siguiente, resulta evidente que también se presentó dentro del plazo legal previsto para ese efecto.</w:t>
      </w:r>
    </w:p>
    <w:p w14:paraId="43491BFA"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III. Legitimación y personería.</w:t>
      </w:r>
      <w:r w:rsidRPr="00791593">
        <w:rPr>
          <w:rFonts w:ascii="Arial" w:eastAsia="Times New Roman" w:hAnsi="Arial" w:cs="Arial"/>
          <w:sz w:val="28"/>
          <w:szCs w:val="28"/>
          <w:lang w:eastAsia="es-ES"/>
        </w:rPr>
        <w:t xml:space="preserve"> Los juicios se promovieron por parte legítima, ya que se presentaron por ciudadanos que habitan en el municipio que comprende la comunidad indígena de Cherán, Michoacán de Ocampo, por su propio derecho, aduciendo que los actos impugnados generan presuntas violaciones a sus derechos político-electorales.</w:t>
      </w:r>
    </w:p>
    <w:p w14:paraId="66C324B7"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IV. Interés jurídico.</w:t>
      </w:r>
      <w:r w:rsidRPr="00791593">
        <w:rPr>
          <w:rFonts w:ascii="Arial" w:eastAsia="Times New Roman" w:hAnsi="Arial" w:cs="Arial"/>
          <w:sz w:val="28"/>
          <w:szCs w:val="28"/>
          <w:lang w:eastAsia="es-ES"/>
        </w:rPr>
        <w:t xml:space="preserve"> Los promoventes cuentan con interés jurídico para impugnar tanto la sentencia </w:t>
      </w:r>
      <w:r w:rsidRPr="00791593">
        <w:rPr>
          <w:rFonts w:ascii="Arial" w:eastAsia="Times New Roman" w:hAnsi="Arial" w:cs="Arial"/>
          <w:sz w:val="28"/>
          <w:szCs w:val="28"/>
          <w:lang w:val="es-ES" w:eastAsia="es-MX"/>
        </w:rPr>
        <w:t>de seis de enero del año en curso, dictada por el Tribunal Electoral del Estado de Michoacán, en el recurso de apelación identificado con el número TEEM-RAP-049/2014, por la que, entre otros aspectos, ordenó al Concejo Mayor de Gobierno Comunal del Municipio de Cherán, Michoacán de Ocampo que respondiera la petición de consulta a esa comunidad indígena, sobre la modificación al sistema electoral de autoridades municipales.</w:t>
      </w:r>
    </w:p>
    <w:p w14:paraId="67646F5F"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Por otra parte, en demanda del juicio para la protección de los derechos político-electorales del ciudadano radicado en el expediente SUP-JDC-533/2015, los ciudadanos enjuiciantes precisan que controvierten el: “ACTA DE NOTIFICACIÓN DE ESCRITO DE CONTESTACIÓN A PETICIÓN DE CONSULTA HECHA POR LOS CC. JUAN FABIÁN JUÁREZ, ANTONIO TEHADON AMBROSIO, JORGE AMBROSIO DURÁN, IMELDA SÁNCHEZ TOMÁS Y MARÍA ELENA APOLINAR TEHADON, EN ATENCIÓN A LA SENTENCIA DICTADA POR EL TRIBUNAL ELECTORAL DEL ESTADO DE MUCHOACÁN DENTRO DEL RECURSO DE APELACIÓN CON NÚMERO DE EXPEDIENTE TEEM-RAP-49/2014, de fecha 22 de enero de 2015”.</w:t>
      </w:r>
    </w:p>
    <w:p w14:paraId="13118920"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Ahora bien, la lectura integral del escrito de demanda, permite advertir a esta Sala Superior que los enjuiciantes refieren agravios tendentes a cuestionar la respuesta a la petición de consulta emitida por el Concejo Mayor del Gobierno Comunal de Cherán, Michoacán de Ocampo, por estimar que la determinación de declarar improcedente la consulta solicitada, por los propios actores lesiona su derecho político-electoral a votar y ser votados.</w:t>
      </w:r>
    </w:p>
    <w:p w14:paraId="22C63C89"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b/>
          <w:sz w:val="28"/>
          <w:szCs w:val="28"/>
          <w:lang w:eastAsia="es-ES"/>
        </w:rPr>
        <w:t>V. Definitividad.</w:t>
      </w:r>
      <w:r w:rsidRPr="00791593">
        <w:rPr>
          <w:rFonts w:ascii="Arial" w:eastAsia="Times New Roman" w:hAnsi="Arial" w:cs="Arial"/>
          <w:sz w:val="28"/>
          <w:szCs w:val="28"/>
          <w:lang w:eastAsia="es-ES"/>
        </w:rPr>
        <w:t xml:space="preserve"> También se satisface el señalado requisito, toda vez que en relación con la sentencia </w:t>
      </w:r>
      <w:r w:rsidRPr="00791593">
        <w:rPr>
          <w:rFonts w:ascii="Arial" w:eastAsia="Times New Roman" w:hAnsi="Arial" w:cs="Arial"/>
          <w:sz w:val="28"/>
          <w:szCs w:val="28"/>
          <w:lang w:val="es-ES" w:eastAsia="es-MX"/>
        </w:rPr>
        <w:t xml:space="preserve">dictada por el Tribunal Electoral del Estado de Michoacán, en el recurso de apelación identificado con el número TEEM-RAP-049/2014, no </w:t>
      </w:r>
      <w:r w:rsidRPr="00791593">
        <w:rPr>
          <w:rFonts w:ascii="Arial" w:eastAsia="Times New Roman" w:hAnsi="Arial" w:cs="Arial"/>
          <w:sz w:val="28"/>
          <w:szCs w:val="28"/>
          <w:lang w:eastAsia="es-ES"/>
        </w:rPr>
        <w:t>procede otro medio de defensa por el que pueda confirmarse, modificarse o revocarse.</w:t>
      </w:r>
    </w:p>
    <w:p w14:paraId="2A0D182E"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val="es-ES" w:eastAsia="es-MX"/>
        </w:rPr>
        <w:t>Por lo que hace a la respuesta emitida por el Concejo Mayor de Cherán, Michoacán de Ocampo, a la petición de los actores de realizar consulta a los ciudadanos de ese municipio, a efecto de determinar sobre la modificación al sistema electoral de esa comunidad, el requisito relativo a la definitividad del acto, se actualiza una excepción al principio de definitividad, conforme se ha razonado en el considerando inmediato anterior.</w:t>
      </w:r>
    </w:p>
    <w:p w14:paraId="53657054"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Al haberse cumplido los requisitos mencionados en los párrafos que anteceden y en virtud de que no se actualiza alguna causa de improcedencia o sobreseimiento regulada en la legislación aplicable, lo conducente es abordar el estudio de fondo de las controversias planteadas.</w:t>
      </w:r>
    </w:p>
    <w:p w14:paraId="75933BA0"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b/>
          <w:sz w:val="28"/>
          <w:szCs w:val="28"/>
          <w:lang w:eastAsia="es-ES"/>
        </w:rPr>
        <w:t xml:space="preserve">SÉPTIMO. Cuestión previa. </w:t>
      </w:r>
      <w:r w:rsidRPr="00791593">
        <w:rPr>
          <w:rFonts w:ascii="Arial" w:eastAsia="Times New Roman" w:hAnsi="Arial" w:cs="Arial"/>
          <w:sz w:val="28"/>
          <w:szCs w:val="28"/>
          <w:lang w:eastAsia="es-ES"/>
        </w:rPr>
        <w:t>Resulta importante señalar, que la materia de análisis, abordará la problemática planteada por los actores, a la luz de lo que precisamente señalan en sus demandas de juicio para la protección de los derechos político-electorales del ciudadano, es decir, el que fue incorrecto que el Tribunal Electoral del Estado de Michoacán, concluyera que su solicitud para que la comunidad de Cherán, Michoacán transitara del sistema de usos y costumbres al de partidos políticos, desde luego, respecto de la elección municipal, fuera desahogada por el Consejo Mayor de Gobierno de la referida comunidad.</w:t>
      </w:r>
    </w:p>
    <w:p w14:paraId="2C6365A8"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Sobre lo señalado, es de puntualizar  que si bien en la solicitud que realizaron al Presidente del Consejo General del Instituto Electoral de Michoacán  el pasado once de septiembre de dos mil catorce, hicieron también alusión al cambio de régimen respecto a las elecciones de gobernador y diputados locales, dicho aspecto ante esta instancia no es materia de controversia.</w:t>
      </w:r>
    </w:p>
    <w:p w14:paraId="7C3FB3A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Respecto a lo señalado, incluso es tener presente que el aludido Tribunal Electoral de Michoacán, al resolver la impugnación que precisamente le fue presentada en contra de la respuesta dada por el citado Consejo General del Instituto Electoral de esa entidad, al margen de que reencauzó al referido Consejo Mayor de Gobierno la petición de consulta formulada por los ahora actores, también ordenó al Instituto Electoral de Michoacán, que en un plazo razonable se pronunciara conforme a derecho respecto a las elecciones relativas a Gobernador y renovación de integrantes del Poder Legislativo, toda vez que tenía la atribución de sostener diálogos con las autoridades de la comunidad indígena para el debido desarrollo de proceso electoral, y de ser necesario, en las elecciones regidas por el Derecho Consuetudinario, también estaba facultado para organizar campañas a fin de informar y establecer un dialogo abierto, incluyente y plural con los integrantes de las comunidades indígenas, respecto de los derechos de votar y ser votados en condiciones que garantizaran la igualdad sustantiva y no sólo formal. </w:t>
      </w:r>
    </w:p>
    <w:p w14:paraId="32DCBEED"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La situación que precede, evidencia claramente que la materia de estudio que ahora nos ocupa, exclusivamente se centra respecto a la petición de consulta de los actores, en torno al cambio de sistema de la elección de la comunidad de Cherán, respecto a la elección de Ayuntamientos.</w:t>
      </w:r>
    </w:p>
    <w:p w14:paraId="5995643C" w14:textId="77777777" w:rsidR="00D03888" w:rsidRPr="00791593" w:rsidRDefault="00D03888" w:rsidP="00D03888">
      <w:pPr>
        <w:spacing w:before="100" w:beforeAutospacing="1" w:after="100" w:afterAutospacing="1" w:line="360" w:lineRule="auto"/>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 xml:space="preserve">OCTAVO. Estudio del juicio para la protección de los derechos político-electorales del ciudadano SUP-JDC-364/2015. </w:t>
      </w:r>
    </w:p>
    <w:p w14:paraId="53333F57" w14:textId="77777777" w:rsidR="00D03888" w:rsidRPr="00791593" w:rsidRDefault="00D03888" w:rsidP="00D03888">
      <w:pPr>
        <w:spacing w:before="100" w:beforeAutospacing="1" w:after="100" w:afterAutospacing="1" w:line="360" w:lineRule="auto"/>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A. Agravios.</w:t>
      </w:r>
    </w:p>
    <w:p w14:paraId="7011DBDF"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eastAsia="es-ES"/>
        </w:rPr>
        <w:t>De la lectura integral del escrito de demanda por el que se controvierte</w:t>
      </w:r>
      <w:r w:rsidRPr="00791593">
        <w:rPr>
          <w:rFonts w:ascii="Arial" w:eastAsia="Times New Roman" w:hAnsi="Arial" w:cs="Arial"/>
          <w:sz w:val="28"/>
          <w:szCs w:val="28"/>
          <w:lang w:val="es-ES" w:eastAsia="es-MX"/>
        </w:rPr>
        <w:t xml:space="preserve"> la sentencia de seis de enero del año en curso, dictada por el Tribunal Electoral del Estado de Michoacán, en el recurso de apelación identificado con el número TEEM-RAP-049/2014, se deriva que los actores plantean como agravios que:</w:t>
      </w:r>
    </w:p>
    <w:p w14:paraId="782CF018"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w:t>
      </w:r>
      <w:r w:rsidRPr="00791593">
        <w:rPr>
          <w:rFonts w:ascii="Arial" w:eastAsia="Times New Roman" w:hAnsi="Arial" w:cs="Arial"/>
          <w:b/>
          <w:sz w:val="28"/>
          <w:szCs w:val="28"/>
          <w:lang w:val="es-ES" w:eastAsia="es-MX"/>
        </w:rPr>
        <w:t xml:space="preserve"> </w:t>
      </w:r>
      <w:r w:rsidRPr="00791593">
        <w:rPr>
          <w:rFonts w:ascii="Arial" w:eastAsia="Times New Roman" w:hAnsi="Arial" w:cs="Arial"/>
          <w:sz w:val="28"/>
          <w:szCs w:val="28"/>
          <w:lang w:val="es-ES" w:eastAsia="es-MX"/>
        </w:rPr>
        <w:t xml:space="preserve">De manera indebida, la autoridad responsable ratificó implícitamente la determinación del Consejo General del Instituto Electoral de Michoacán de resolver la improcedencia de la solicitud de consulta a la ciudadanía de Cherán, Michoacán de Ocampo, para modificar el sistema electoral de esa comunidad indígena. </w:t>
      </w:r>
    </w:p>
    <w:p w14:paraId="6F03D31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w:t>
      </w:r>
      <w:r w:rsidRPr="00791593">
        <w:rPr>
          <w:rFonts w:ascii="Arial" w:eastAsia="Times New Roman" w:hAnsi="Arial" w:cs="Arial"/>
          <w:b/>
          <w:sz w:val="28"/>
          <w:szCs w:val="28"/>
          <w:lang w:val="es-ES" w:eastAsia="es-MX"/>
        </w:rPr>
        <w:t xml:space="preserve"> </w:t>
      </w:r>
      <w:r w:rsidRPr="00791593">
        <w:rPr>
          <w:rFonts w:ascii="Arial" w:eastAsia="Times New Roman" w:hAnsi="Arial" w:cs="Arial"/>
          <w:sz w:val="28"/>
          <w:szCs w:val="28"/>
          <w:lang w:val="es-ES" w:eastAsia="es-MX"/>
        </w:rPr>
        <w:t>Que la autoridad responsable, de manera indebida, determinó que el Concejo Mayor del Gobierno Comunal de Cherán es el poseedor de la soberanía popular, siendo que, desde su perspectiva, conforme con lo previsto en el artículo 39 de la Constitución Política de los Estados Unidos Mexicanos la soberanía popular reside esencial y originalmente en el pueblo.</w:t>
      </w:r>
    </w:p>
    <w:p w14:paraId="00C6C5E6"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w:t>
      </w:r>
      <w:r w:rsidRPr="00791593">
        <w:rPr>
          <w:rFonts w:ascii="Arial" w:eastAsia="Times New Roman" w:hAnsi="Arial" w:cs="Arial"/>
          <w:b/>
          <w:sz w:val="28"/>
          <w:szCs w:val="28"/>
          <w:lang w:val="es-ES" w:eastAsia="es-MX"/>
        </w:rPr>
        <w:t xml:space="preserve"> </w:t>
      </w:r>
      <w:r w:rsidRPr="00791593">
        <w:rPr>
          <w:rFonts w:ascii="Arial" w:eastAsia="Times New Roman" w:hAnsi="Arial" w:cs="Arial"/>
          <w:sz w:val="28"/>
          <w:szCs w:val="28"/>
          <w:lang w:val="es-ES" w:eastAsia="es-MX"/>
        </w:rPr>
        <w:t>Que es contrario a su derecho fundamental de participación política, el que la responsable haya determinado que correspondía al Concejo Mayor del Gobierno Comunal de Cherán, Michoacán, determinar la procedencia o improcedencia de la solicitud de consulta.</w:t>
      </w:r>
    </w:p>
    <w:p w14:paraId="64A2AB3F"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val="es-ES" w:eastAsia="es-MX"/>
        </w:rPr>
        <w:t>-</w:t>
      </w:r>
      <w:r w:rsidRPr="00791593">
        <w:rPr>
          <w:rFonts w:ascii="Arial" w:eastAsia="Times New Roman" w:hAnsi="Arial" w:cs="Arial"/>
          <w:b/>
          <w:sz w:val="28"/>
          <w:szCs w:val="28"/>
          <w:lang w:val="es-ES" w:eastAsia="es-MX"/>
        </w:rPr>
        <w:t xml:space="preserve"> </w:t>
      </w:r>
      <w:r w:rsidRPr="00791593">
        <w:rPr>
          <w:rFonts w:ascii="Arial" w:eastAsia="Times New Roman" w:hAnsi="Arial" w:cs="Arial"/>
          <w:sz w:val="28"/>
          <w:szCs w:val="28"/>
          <w:lang w:val="es-ES" w:eastAsia="es-MX"/>
        </w:rPr>
        <w:t>Que con la determinación anterior, se establece que la actual integración del Concejo Mayor señalado es indefinida, al otorgarle la facultad de decidir sobre la realización de la consulta a la ciudadanía sobre la modificación al sistema electoral de esa comunidad indígena.</w:t>
      </w:r>
    </w:p>
    <w:p w14:paraId="4F906D8C" w14:textId="77777777" w:rsidR="00D03888" w:rsidRPr="00791593" w:rsidRDefault="00D03888" w:rsidP="00D03888">
      <w:pPr>
        <w:spacing w:before="100" w:beforeAutospacing="1" w:after="100" w:afterAutospacing="1" w:line="360" w:lineRule="auto"/>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B. Resolución impugnada.</w:t>
      </w:r>
    </w:p>
    <w:p w14:paraId="72C77B1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Para efecto de dar respuesta puntual a los planteamientos que exponen los ciudadanos actores, resulta pertinente referir, las consideraciones que, en esencia, sostuvo la autoridad responsable en lo que al caso interesa.</w:t>
      </w:r>
    </w:p>
    <w:p w14:paraId="69CAC68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La autoridad responsable estimó que el recurso de apelación que resolvió en cumplimiento de la sentencia dictada por esta Sala Superior en el juicio para la protección de los derechos político-electorales del ciudadano identificado con la clave SUP-JRC-481/2014, tuvo su origen en la petición que diversos ciudadanos de la comunidad indígena de Cherán dirigieron al Presidente del Instituto Electoral de Michoacán, para modificar el sistema de elecciones por usos y costumbres, la cual se atendió mediante acuerdo identificado con la clave CG-46/2014.</w:t>
      </w:r>
    </w:p>
    <w:p w14:paraId="232FDFE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Al respecto, refirió que el acto impugnado era el acuerdo antes mencionado, el cual se emitió por el Consejo General del Instituto Electoral de Michoacán, por medio del que determinó que no procedía la solicitud realizada por los peticionarios, pues el desahogo de esa petición, correspondía al Concejo Mayor de Gobierno Municipal del señalado municipio.</w:t>
      </w:r>
    </w:p>
    <w:p w14:paraId="7EAE2C42"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Para resolver la controversia expuesta, la autoridad responsable consideró que en términos de la normativa constitucional y convencional aplicable, los pueblos y comunidades indígenas cuentan con derecho a la libre determinación, y respecto del caso concreto, señaló que el sistema de elección de autoridades que rige actualmente en la comunidad indígena de Cherán, Michoacán, es el determinado por su sistema normativo y gobierno interno, conforme lo resuelto por esta Sala Superior en la sentencia dictada en el expediente SUP-JDC-9167/2011.</w:t>
      </w:r>
    </w:p>
    <w:p w14:paraId="7AE4E3C6"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Luego, procedió al estudio de los planteamientos en los que se adujo que era competencia del Instituto Electoral local, llevar a cabo la consulta solicitada y no del órgano de gobierno municipal, y los desestimó sobre la base de que conforme con lo dispuesto en el artículo 11, de la Ley Orgánica Municipal de ese Estado, el Decreto 443, emitido por el Congreso de esa entidad federativa, así como la sentencia dictada por la Suprema Corte de Justicia de la Nación en la Controversia Constitucional 32/2012, el Concejo Mayor de Cherán, es el órgano máximo de representación de esa comunidad indígena.</w:t>
      </w:r>
    </w:p>
    <w:p w14:paraId="3A031040"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Atento a lo anterior, concluyó que en pleno reconocimiento, mantenimiento y defensa de la autonomía para que esa comunidad indígena elija a sus autoridades o representantes, acorde a su sistema normativo interno y en plena congruencia con los derechos humanos, correspondía a ese órgano establecer de manera fundada y motivada la procedencia o improcedencia de la petición de consulta, a través de un procedimiento que sea apropiado a las partes involucradas, tomando en cuenta a las partes involucradas, la naturaleza de la petición, así como los métodos tradicionales de acuerdo a sus sistema normativo interno.</w:t>
      </w:r>
    </w:p>
    <w:p w14:paraId="229341B1"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 partir de lo anterior, la responsable determinó privar de efectos el acuerdo entonces impugnado, en la parte relativa a que “</w:t>
      </w:r>
      <w:r w:rsidRPr="00791593">
        <w:rPr>
          <w:rFonts w:ascii="Arial" w:eastAsia="Times New Roman" w:hAnsi="Arial" w:cs="Arial"/>
          <w:b/>
          <w:i/>
          <w:sz w:val="28"/>
          <w:szCs w:val="28"/>
          <w:lang w:eastAsia="es-ES"/>
        </w:rPr>
        <w:t>… se concluye que no procede la solicitud planteada, por no existir elementos o circunstancias que lesionen los derechos de participación de los peticionarios dentro del sistema que la comunidad adoptó…</w:t>
      </w:r>
      <w:r w:rsidRPr="00791593">
        <w:rPr>
          <w:rFonts w:ascii="Arial" w:eastAsia="Times New Roman" w:hAnsi="Arial" w:cs="Arial"/>
          <w:sz w:val="28"/>
          <w:szCs w:val="28"/>
          <w:lang w:eastAsia="es-ES"/>
        </w:rPr>
        <w:t>”</w:t>
      </w:r>
    </w:p>
    <w:p w14:paraId="064BDFFF"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Por ello, el Tribunal responsable ordenó reencausar al Concejo Mayor de Gobierno Comunal del Municipio de Cherán, Michoacán, la petición de consulta formulada por los entonces recurrentes, para efecto de que se determinara de manera pormenorizada, fundada y motivada, en el plazo de diez días naturales sobre la procedencia o improcedencia de la misma.</w:t>
      </w:r>
    </w:p>
    <w:p w14:paraId="27DCF20F" w14:textId="77777777" w:rsidR="00D03888" w:rsidRPr="00791593" w:rsidRDefault="00D03888" w:rsidP="00D03888">
      <w:pPr>
        <w:spacing w:before="100" w:beforeAutospacing="1" w:after="100" w:afterAutospacing="1" w:line="360" w:lineRule="auto"/>
        <w:jc w:val="both"/>
        <w:rPr>
          <w:rFonts w:ascii="Arial" w:eastAsia="Times New Roman" w:hAnsi="Arial" w:cs="Arial"/>
          <w:b/>
          <w:sz w:val="28"/>
          <w:szCs w:val="28"/>
          <w:lang w:eastAsia="es-ES"/>
        </w:rPr>
      </w:pPr>
      <w:r w:rsidRPr="00791593">
        <w:rPr>
          <w:rFonts w:ascii="Arial" w:eastAsia="Times New Roman" w:hAnsi="Arial" w:cs="Arial"/>
          <w:b/>
          <w:sz w:val="28"/>
          <w:szCs w:val="28"/>
          <w:lang w:eastAsia="es-ES"/>
        </w:rPr>
        <w:t>C. Respuesta a los agravios.</w:t>
      </w:r>
    </w:p>
    <w:p w14:paraId="623EFAAB" w14:textId="77777777" w:rsidR="00D03888" w:rsidRPr="00791593" w:rsidRDefault="00D03888" w:rsidP="00D03888">
      <w:pPr>
        <w:spacing w:before="100" w:beforeAutospacing="1" w:after="100" w:afterAutospacing="1" w:line="360" w:lineRule="auto"/>
        <w:jc w:val="both"/>
        <w:rPr>
          <w:rFonts w:ascii="Arial" w:eastAsia="Calibri" w:hAnsi="Arial" w:cs="Arial"/>
          <w:b/>
          <w:sz w:val="28"/>
          <w:szCs w:val="28"/>
          <w:lang w:val="es-ES"/>
        </w:rPr>
      </w:pPr>
      <w:r w:rsidRPr="00791593">
        <w:rPr>
          <w:rFonts w:ascii="Arial" w:eastAsia="Calibri" w:hAnsi="Arial" w:cs="Arial"/>
          <w:b/>
          <w:sz w:val="28"/>
          <w:szCs w:val="28"/>
          <w:lang w:val="es-ES"/>
        </w:rPr>
        <w:t>1. Confirmación de negativa de consulta.</w:t>
      </w:r>
    </w:p>
    <w:p w14:paraId="25236E6E"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Como puede advertirse de lo antes señalado, el planteamiento de los actores en el que refieren que el órgano jurisdiccional responsable ratificó de manera implícita la determinación del Consejo General del Instituto Electoral de Michoacán, de no realizar la consulta a la ciudadanía del municipio indígena de Cherán, Michoacán, es </w:t>
      </w:r>
      <w:r w:rsidRPr="00791593">
        <w:rPr>
          <w:rFonts w:ascii="Arial" w:eastAsia="Times New Roman" w:hAnsi="Arial" w:cs="Arial"/>
          <w:b/>
          <w:sz w:val="28"/>
          <w:szCs w:val="28"/>
          <w:lang w:eastAsia="es-ES"/>
        </w:rPr>
        <w:t>infundada</w:t>
      </w:r>
      <w:r w:rsidRPr="00791593">
        <w:rPr>
          <w:rFonts w:ascii="Arial" w:eastAsia="Times New Roman" w:hAnsi="Arial" w:cs="Arial"/>
          <w:sz w:val="28"/>
          <w:szCs w:val="28"/>
          <w:lang w:eastAsia="es-ES"/>
        </w:rPr>
        <w:t>.</w:t>
      </w:r>
    </w:p>
    <w:p w14:paraId="5B50328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Ello es así, en virtud de que, contrariamente a lo que afirman, la autoridad responsable no se pronunció sobre la procedencia o improcedencia de realizar la consulta solicitada, en virtud de que la decisión que adoptó, se circunscribió a determinar si el Consejo General del Instituto Electoral de esa entidad federativa era la autoridad competente para dar respuesta a esa petición, y al advertir que esa atribución recaía en diversa autoridad –Concejo Mayor de Gobierno Comunal de la comunidad indígena de Cherán-, determinó modificar la resolución impugnada, para el efecto de reencausar la petición a la autoridad competente para proveer sobre la solicitud mencionada. </w:t>
      </w:r>
    </w:p>
    <w:p w14:paraId="2EB014BB"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Así, la determinación del órgano jurisdiccional, en manera alguna, estableció la situación jurídica que debía regir sobre la pretensión de que se realizara la consulta a la ciudadanía de la mencionada comunidad indígena sobre la modificación a su sistema normativo, pues sólo se avocó al estudio tendente a determinar sobre la competencia para desahogar la petición de mérito.</w:t>
      </w:r>
    </w:p>
    <w:p w14:paraId="341804AE" w14:textId="77777777" w:rsidR="00D03888" w:rsidRPr="00791593" w:rsidRDefault="00D03888" w:rsidP="00D03888">
      <w:pPr>
        <w:spacing w:before="100" w:beforeAutospacing="1" w:after="100" w:afterAutospacing="1" w:line="360" w:lineRule="auto"/>
        <w:contextualSpacing/>
        <w:jc w:val="both"/>
        <w:rPr>
          <w:rFonts w:ascii="Arial" w:eastAsia="Calibri" w:hAnsi="Arial" w:cs="Arial"/>
          <w:b/>
          <w:sz w:val="28"/>
          <w:szCs w:val="28"/>
          <w:lang w:val="es-ES"/>
        </w:rPr>
      </w:pPr>
      <w:r w:rsidRPr="00791593">
        <w:rPr>
          <w:rFonts w:ascii="Arial" w:eastAsia="Calibri" w:hAnsi="Arial" w:cs="Arial"/>
          <w:b/>
          <w:sz w:val="28"/>
          <w:szCs w:val="28"/>
          <w:lang w:val="es-ES"/>
        </w:rPr>
        <w:t>2. Presunta violación a la soberanía popular.</w:t>
      </w:r>
    </w:p>
    <w:p w14:paraId="18784A46" w14:textId="77777777" w:rsidR="00D03888" w:rsidRPr="00791593" w:rsidRDefault="00D03888" w:rsidP="00D03888">
      <w:pPr>
        <w:spacing w:before="100" w:beforeAutospacing="1" w:after="100" w:afterAutospacing="1" w:line="360" w:lineRule="auto"/>
        <w:contextualSpacing/>
        <w:jc w:val="both"/>
        <w:rPr>
          <w:rFonts w:ascii="Arial" w:eastAsia="Times New Roman" w:hAnsi="Arial" w:cs="Arial"/>
          <w:sz w:val="28"/>
          <w:szCs w:val="28"/>
          <w:lang w:eastAsia="es-ES"/>
        </w:rPr>
      </w:pPr>
    </w:p>
    <w:p w14:paraId="59C628B5"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También es </w:t>
      </w:r>
      <w:r w:rsidRPr="00791593">
        <w:rPr>
          <w:rFonts w:ascii="Arial" w:eastAsia="Times New Roman" w:hAnsi="Arial" w:cs="Arial"/>
          <w:b/>
          <w:sz w:val="28"/>
          <w:szCs w:val="28"/>
          <w:lang w:eastAsia="es-ES"/>
        </w:rPr>
        <w:t xml:space="preserve">infundado </w:t>
      </w:r>
      <w:r w:rsidRPr="00791593">
        <w:rPr>
          <w:rFonts w:ascii="Arial" w:eastAsia="Times New Roman" w:hAnsi="Arial" w:cs="Arial"/>
          <w:sz w:val="28"/>
          <w:szCs w:val="28"/>
          <w:lang w:eastAsia="es-ES"/>
        </w:rPr>
        <w:t>el planteamiento de los enjuiciantes en el que refieren que la autoridad responsable, de manera indebida afirmó que el Concejo Mayor del Gobierno Comunal de Cherán es el poseedor de la soberanía popular.</w:t>
      </w:r>
    </w:p>
    <w:p w14:paraId="22149A52"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 anterior es así, en virtud de que, de la revisión de las consideraciones emitidas por la autoridad responsable, esta Sala Superior advierte que dicho órgano jurisdiccional refirió que el Concejo Mayor de Gobierno Comunal del Municipio de Cherán, es el órgano máximo de representación de esa comunidad indígena, de manera que atendiendo al principio constitucional de autodeterminación de esos pueblos y comunidades, era el facultado para emitir una respuesta a la petición de los justiciables, por lo que le vinculó para que de manera fundada y motivada, emitiera una respuesta a la petición de los actores, atendiendo a:</w:t>
      </w:r>
    </w:p>
    <w:p w14:paraId="0B710B37" w14:textId="77777777" w:rsidR="00D03888" w:rsidRPr="00791593" w:rsidRDefault="00D03888" w:rsidP="008D1689">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791593">
        <w:rPr>
          <w:rFonts w:ascii="Arial" w:eastAsia="Calibri" w:hAnsi="Arial" w:cs="Arial"/>
          <w:sz w:val="28"/>
          <w:szCs w:val="28"/>
          <w:lang w:val="es-ES"/>
        </w:rPr>
        <w:t>La Constitución Política de los Estados Unidos Mexicanos.</w:t>
      </w:r>
    </w:p>
    <w:p w14:paraId="0AC80524" w14:textId="77777777" w:rsidR="00D03888" w:rsidRPr="00791593" w:rsidRDefault="00D03888" w:rsidP="008D1689">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791593">
        <w:rPr>
          <w:rFonts w:ascii="Arial" w:eastAsia="Calibri" w:hAnsi="Arial" w:cs="Arial"/>
          <w:sz w:val="28"/>
          <w:szCs w:val="28"/>
          <w:lang w:val="es-ES"/>
        </w:rPr>
        <w:t>La Constitución Política del Estado Libre y Soberano de Michoacán de Ocampo.</w:t>
      </w:r>
    </w:p>
    <w:p w14:paraId="3679E67C" w14:textId="77777777" w:rsidR="00D03888" w:rsidRPr="00791593" w:rsidRDefault="00D03888" w:rsidP="008D1689">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791593">
        <w:rPr>
          <w:rFonts w:ascii="Arial" w:eastAsia="Calibri" w:hAnsi="Arial" w:cs="Arial"/>
          <w:sz w:val="28"/>
          <w:szCs w:val="28"/>
          <w:lang w:val="es-ES"/>
        </w:rPr>
        <w:t>La Ley Orgánica de la Administración Pública del Estado de Michoacán de Ocampo.</w:t>
      </w:r>
    </w:p>
    <w:p w14:paraId="7D8BE38F" w14:textId="77777777" w:rsidR="00D03888" w:rsidRPr="00791593" w:rsidRDefault="00D03888" w:rsidP="008D1689">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791593">
        <w:rPr>
          <w:rFonts w:ascii="Arial" w:eastAsia="Calibri" w:hAnsi="Arial" w:cs="Arial"/>
          <w:sz w:val="28"/>
          <w:szCs w:val="28"/>
          <w:lang w:val="es-ES"/>
        </w:rPr>
        <w:t>La Ley Orgánica Municipal de esa entidad federativa.</w:t>
      </w:r>
    </w:p>
    <w:p w14:paraId="7AA5CDD8" w14:textId="77777777" w:rsidR="00D03888" w:rsidRPr="00791593" w:rsidRDefault="00D03888" w:rsidP="008D1689">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791593">
        <w:rPr>
          <w:rFonts w:ascii="Arial" w:eastAsia="Calibri" w:hAnsi="Arial" w:cs="Arial"/>
          <w:sz w:val="28"/>
          <w:szCs w:val="28"/>
          <w:lang w:val="es-ES"/>
        </w:rPr>
        <w:t>Las normas que de acuerdo a sus usos y costumbres sean ajustables al caso concreto.</w:t>
      </w:r>
    </w:p>
    <w:p w14:paraId="45D6E30F" w14:textId="77777777" w:rsidR="00D03888" w:rsidRPr="00791593" w:rsidRDefault="00D03888" w:rsidP="008D1689">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791593">
        <w:rPr>
          <w:rFonts w:ascii="Arial" w:eastAsia="Times New Roman" w:hAnsi="Arial" w:cs="Arial"/>
          <w:sz w:val="28"/>
          <w:szCs w:val="28"/>
          <w:lang w:val="es-ES" w:eastAsia="es-MX"/>
        </w:rPr>
        <w:t>Los principios establecidos en el Convenio 169 de la Organización Internacional del Trabajo sobre Pueblos Indígenas y Tribales en Países Independientes.</w:t>
      </w:r>
    </w:p>
    <w:p w14:paraId="5FD19F92" w14:textId="77777777" w:rsidR="00D03888" w:rsidRPr="00791593" w:rsidRDefault="00D03888" w:rsidP="008D1689">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791593">
        <w:rPr>
          <w:rFonts w:ascii="Arial" w:eastAsia="Times New Roman" w:hAnsi="Arial" w:cs="Arial"/>
          <w:sz w:val="28"/>
          <w:szCs w:val="28"/>
          <w:lang w:val="es-ES" w:eastAsia="es-MX"/>
        </w:rPr>
        <w:t>La Declaración de los Pueblos Indígenas.</w:t>
      </w:r>
    </w:p>
    <w:p w14:paraId="07E39E2D" w14:textId="77777777" w:rsidR="00D03888" w:rsidRPr="00791593" w:rsidRDefault="00D03888" w:rsidP="008D1689">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791593">
        <w:rPr>
          <w:rFonts w:ascii="Arial" w:eastAsia="Times New Roman" w:hAnsi="Arial" w:cs="Arial"/>
          <w:sz w:val="28"/>
          <w:szCs w:val="28"/>
          <w:lang w:val="es-ES" w:eastAsia="es-MX"/>
        </w:rPr>
        <w:t>La tesis emitida por esta Sala Superior de rubro: “USOS Y COSTUMBRES. REQUISITOS DE VALIDEZ DE LAS CONSULTAS EN COMUNIDADES Y PUEBLOS INDÍGENAS, PARA CELEBRAR ELECCIONES”.</w:t>
      </w:r>
    </w:p>
    <w:p w14:paraId="4237DAAC" w14:textId="77777777" w:rsidR="00D03888" w:rsidRPr="00791593" w:rsidRDefault="00D03888" w:rsidP="008D1689">
      <w:pPr>
        <w:numPr>
          <w:ilvl w:val="0"/>
          <w:numId w:val="9"/>
        </w:numPr>
        <w:spacing w:before="100" w:beforeAutospacing="1" w:after="100" w:afterAutospacing="1" w:line="360" w:lineRule="auto"/>
        <w:contextualSpacing/>
        <w:jc w:val="both"/>
        <w:rPr>
          <w:rFonts w:ascii="Arial" w:eastAsia="Calibri" w:hAnsi="Arial" w:cs="Arial"/>
          <w:sz w:val="28"/>
          <w:szCs w:val="28"/>
          <w:lang w:val="es-ES"/>
        </w:rPr>
      </w:pPr>
      <w:r w:rsidRPr="00791593">
        <w:rPr>
          <w:rFonts w:ascii="Arial" w:eastAsia="Times New Roman" w:hAnsi="Arial" w:cs="Arial"/>
          <w:sz w:val="28"/>
          <w:szCs w:val="28"/>
          <w:lang w:val="es-ES" w:eastAsia="es-MX"/>
        </w:rPr>
        <w:t>La demás legislación y precedentes judiciales aplicables.</w:t>
      </w:r>
    </w:p>
    <w:p w14:paraId="73CCC668"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Así, contrariamente a la afirmación de los enjuiciantes, la responsable, en manera alguna, señaló que el Concejo Mayor de Gobierno Comunal del Municipio de Cherán, es el depositario o poseedor de la soberanía municipal.</w:t>
      </w:r>
    </w:p>
    <w:p w14:paraId="11E48064"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efecto, contrariamente a la apreciación de los aquí enjuiciantes, el Tribunal local señaló que si la pretensión de los actores consistía en que se emitiera un pronunciamiento sobre la propuesta de llevar a cabo una consulta ciudadana para modificar las normas relativas a la elección de las autoridades del municipio, la respuesta, debía ser congruente con la normativa constitucional y legal aplicable, y con el sistema normativo interno de la comunidad indígena, la cual debía emitirse por el máximo órgano de representación de la propia comunidad, sin que ello tuviera aparejada la consideración de que la soberanía de la comunidad se adjudica o deposita en ese órgano de gobierno consuetudinario, precisamente porque le vinculó a fundar y motivar la respuesta que al efecto emitiera.</w:t>
      </w:r>
    </w:p>
    <w:p w14:paraId="061E3281" w14:textId="77777777" w:rsidR="00D03888" w:rsidRPr="00791593" w:rsidRDefault="00D03888" w:rsidP="00D03888">
      <w:pPr>
        <w:spacing w:before="100" w:beforeAutospacing="1" w:after="100" w:afterAutospacing="1" w:line="360" w:lineRule="auto"/>
        <w:jc w:val="both"/>
        <w:rPr>
          <w:rFonts w:ascii="Arial" w:eastAsia="Calibri" w:hAnsi="Arial" w:cs="Arial"/>
          <w:b/>
          <w:sz w:val="28"/>
          <w:szCs w:val="28"/>
          <w:lang w:val="es-ES"/>
        </w:rPr>
      </w:pPr>
    </w:p>
    <w:p w14:paraId="4F843EDA" w14:textId="77777777" w:rsidR="00D03888" w:rsidRPr="00791593" w:rsidRDefault="00D03888" w:rsidP="00D03888">
      <w:pPr>
        <w:spacing w:before="100" w:beforeAutospacing="1" w:after="100" w:afterAutospacing="1" w:line="360" w:lineRule="auto"/>
        <w:jc w:val="both"/>
        <w:rPr>
          <w:rFonts w:ascii="Arial" w:eastAsia="Calibri" w:hAnsi="Arial" w:cs="Arial"/>
          <w:b/>
          <w:sz w:val="28"/>
          <w:szCs w:val="28"/>
          <w:lang w:val="es-ES"/>
        </w:rPr>
      </w:pPr>
      <w:r w:rsidRPr="00791593">
        <w:rPr>
          <w:rFonts w:ascii="Arial" w:eastAsia="Calibri" w:hAnsi="Arial" w:cs="Arial"/>
          <w:b/>
          <w:sz w:val="28"/>
          <w:szCs w:val="28"/>
          <w:lang w:val="es-ES"/>
        </w:rPr>
        <w:t xml:space="preserve">3. Presunta violación al derecho de participación política. </w:t>
      </w:r>
    </w:p>
    <w:p w14:paraId="1F6C0FAF"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Esta Sala Superior considera </w:t>
      </w:r>
      <w:r w:rsidRPr="00791593">
        <w:rPr>
          <w:rFonts w:ascii="Arial" w:eastAsia="Times New Roman" w:hAnsi="Arial" w:cs="Arial"/>
          <w:b/>
          <w:sz w:val="28"/>
          <w:szCs w:val="28"/>
          <w:lang w:eastAsia="es-ES"/>
        </w:rPr>
        <w:t>sustancialmente fundado</w:t>
      </w:r>
      <w:r w:rsidRPr="00791593">
        <w:rPr>
          <w:rFonts w:ascii="Arial" w:eastAsia="Times New Roman" w:hAnsi="Arial" w:cs="Arial"/>
          <w:sz w:val="28"/>
          <w:szCs w:val="28"/>
          <w:lang w:eastAsia="es-ES"/>
        </w:rPr>
        <w:t xml:space="preserve"> el agravio en que los enjuiciantes exponen que la determinación del Tribunal responsable de otorgar al Concejo Mayor del Gobierno Comunal de Cherán, Michoacán, la atribución de dar respuesta a su petición de consulta es ilegal.</w:t>
      </w:r>
    </w:p>
    <w:p w14:paraId="0FA261ED" w14:textId="77777777" w:rsidR="00D03888" w:rsidRPr="00791593" w:rsidRDefault="00D03888" w:rsidP="00D03888">
      <w:pPr>
        <w:spacing w:before="100" w:beforeAutospacing="1" w:after="100" w:afterAutospacing="1" w:line="360" w:lineRule="auto"/>
        <w:jc w:val="both"/>
        <w:rPr>
          <w:rFonts w:ascii="Arial" w:eastAsia="Times New Roman" w:hAnsi="Arial" w:cs="Arial"/>
          <w:i/>
          <w:sz w:val="28"/>
          <w:szCs w:val="28"/>
          <w:lang w:eastAsia="es-ES"/>
        </w:rPr>
      </w:pPr>
      <w:r w:rsidRPr="00791593">
        <w:rPr>
          <w:rFonts w:ascii="Arial" w:eastAsia="Times New Roman" w:hAnsi="Arial" w:cs="Arial"/>
          <w:i/>
          <w:sz w:val="28"/>
          <w:szCs w:val="28"/>
          <w:lang w:eastAsia="es-ES"/>
        </w:rPr>
        <w:t xml:space="preserve">Derecho a la autodeterminación y autonomía </w:t>
      </w:r>
    </w:p>
    <w:p w14:paraId="63938129"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 Para dar respuesta al agravio bajo estudio resulta necesario señalar que el derecho a la autodeterminación de las comunidades y pueblos indígenas y el derecho a la autonomía para definir sus propios sistemas normativas, instituciones y procedimientos de designación de autoridades están reconocidos en los artículos 2º, apartado A, fracciones I, II, III, VII y VIII, de la Constitución Política de los Estados Unidos Mexicanos; así como los artículos 1°, párrafo 1, de los Pactos Internacionales de Derechos Civiles y Políticos y de Derechos Económicos, Sociales y Culturales; 7 y 8, párrafo 2, del Convenio número 169 de la Organización Internacional del Trabajo sobre Pueblos Indígenas y Tribales en Países Independientes, y 4, 5, 20 y 33 de la Declaración de las Naciones Unidas sobre los Derechos de los Pueblos Indígenas. Derechos reconocidos también en los artículos 3, 114, 116, y 139 de la Constitución Política del Estado Libre y Soberano de Michoacán de Ocampo.</w:t>
      </w:r>
    </w:p>
    <w:p w14:paraId="2CCEE759"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Con base en ello, las normas, procedimientos y prácticas tradicionales seguidas por las comunidades o pueblos indígenas para la elección de sus autoridades o representantes ante los ayuntamientos, son parte del sistema jurídico nacional y por ello deben analizarse de manera integral y con perspectiva intercultural al momento de ser materia de un control jurisdiccional de regularidad en cuanto a su constitucionalidad y convencionalidad.</w:t>
      </w:r>
    </w:p>
    <w:p w14:paraId="188E18ED"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este sentido, el derecho de autogobierno como manifestación concreta de la autonomía comprende:</w:t>
      </w:r>
    </w:p>
    <w:p w14:paraId="1E5EFC8A"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1) El reconocimiento, mantenimiento y defensa de la autonomía de los citados pueblos para elegir a sus autoridades o representantes acorde con sus sistemas normativos (usos y costumbres) y respetando los derechos humanos de sus integrantes;</w:t>
      </w:r>
    </w:p>
    <w:p w14:paraId="3D0AF5B4"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2) El ejercicio de sus formas propias de gobierno interno, siguiendo para ello sus normas, procedimientos y prácticas tradicionales, a efecto de conservar y reforzar sus instituciones políticas y sociales;</w:t>
      </w:r>
    </w:p>
    <w:p w14:paraId="6880BD60"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3) La participación plena en la vida política del Estado, y</w:t>
      </w:r>
    </w:p>
    <w:p w14:paraId="2DEDF48D"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4) La intervención efectiva en todas las decisiones que les afecten y que son tomadas por las instituciones estatales, como las consultas previas con los pueblos indígenas en relación con cualquier medida que pueda afectar a sus intereses.</w:t>
      </w:r>
    </w:p>
    <w:p w14:paraId="1CCB958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Así, el autogobierno de las comunidades indígenas constituye una prerrogativa fundamental, indisponible para las autoridades y, por tanto, invocable ante los órganos jurisdiccionales para su respeto efectivo a través del sistema de medios de impugnación en materia electoral, conforme lo ha sostenido este órgano jurisdiccional en la tesis XXXV/2013 de rubro: </w:t>
      </w:r>
      <w:r w:rsidRPr="00791593">
        <w:rPr>
          <w:rFonts w:ascii="Arial" w:eastAsia="Times New Roman" w:hAnsi="Arial" w:cs="Arial"/>
          <w:b/>
          <w:sz w:val="28"/>
          <w:szCs w:val="28"/>
          <w:lang w:eastAsia="es-ES"/>
        </w:rPr>
        <w:t>“COMUNIDADES INDÍGENAS. ELEMENTOS QUE COMPONEN EL DERECHO DE AUTOGOBIERNO”</w:t>
      </w:r>
      <w:r w:rsidRPr="00791593">
        <w:rPr>
          <w:rFonts w:ascii="Arial" w:eastAsia="Times New Roman" w:hAnsi="Arial" w:cs="Arial"/>
          <w:sz w:val="28"/>
          <w:szCs w:val="28"/>
          <w:lang w:eastAsia="es-ES"/>
        </w:rPr>
        <w:t>, derivada de los asuntos SUP-JDC-9167/2011 y SUP-JDC-1740/2012.</w:t>
      </w:r>
    </w:p>
    <w:p w14:paraId="4934EAE9"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Considerando lo anterior y en atención a su importancia, a fin de garantizar el derecho de los pueblos y comunidades indígenas, este órgano jurisdiccional debe tomar en cuenta los sistemas normativos internos, al momento de aplicar la legislación nacional. </w:t>
      </w:r>
    </w:p>
    <w:p w14:paraId="0E24B853"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Esta Sala Superior ha sostenido que en términos de la Constitución General y tratados internacionales, el derecho de los pueblos y comunidades indígenas a la libre determinación constituye el principio que articula y engloba una serie de derechos específicos que constituyen manifestaciones concretas de autonomía, como son:</w:t>
      </w:r>
    </w:p>
    <w:p w14:paraId="31C00D2A"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i) Autonomía para decidir sus formas internas de convivencia y organización social, económica, política y cultural.</w:t>
      </w:r>
    </w:p>
    <w:p w14:paraId="2FC5C2E6"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ii) Autonomía para aplicar sus propios sistemas normativos en la regulación y solución de sus conflictos internos.</w:t>
      </w:r>
    </w:p>
    <w:p w14:paraId="50D2C5B3"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iii) Autonomía para elegir a las autoridades o representantes para el ejercicio de sus formas propias de gobierno interno, y</w:t>
      </w:r>
    </w:p>
    <w:p w14:paraId="40F73D31"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iv) Autonomía para acceder plenamente a la jurisdicción del Estado.</w:t>
      </w:r>
    </w:p>
    <w:p w14:paraId="67F3607B"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De esta forma, el reconocimiento y respeto de las instituciones comunitarias, como modalidades diferenciadas del ejercicio del derecho a la autodeterminación política de los pueblos y comunidades indígenas y de los derechos político-electorales de sus integrantes, forma parte integrante del derecho a la autodeterminación de los pueblos y comunidades indígenas y, en específico, del derecho a sus propios sistemas normativos para designar a dichas autoridades, lo que supone reconocer no sólo las reglas y principios aplicables, sino también el conjunto de valores que forman parte intrínseca del sentido de pertenencia a la comunidad de que se trate -como la búsqueda de consensos y la armonía social-.</w:t>
      </w:r>
    </w:p>
    <w:p w14:paraId="7EC94D29"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 anterior, no implica que el reconocimiento a las normas y procedimientos de los sistemas normativos indígenas sea absoluto, pues este órgano jurisdiccional también ha estimado que el derecho de libre determinación y, en consecuencia, de autonomía en la materia de elección de autoridades y representantes indígenas tiene límites establecidos en la propia constitución y tratados internacionales, en el sentido de que no se pueden vulnerar los derechos fundamentales, tal y como se ha sostenido en las sentencias dictadas en los expedientes SUP-REC-19/2014 y SUP-JDC-61/2012.</w:t>
      </w:r>
    </w:p>
    <w:p w14:paraId="0BA20F1D"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general, los límites del derecho de libre determinación y, en consecuencia, de la autonomía en la materia de elección de autoridades y representantes indígenas son los que se establecen por la propia Constitución federal (artículos 2°, apartado A, fracciones III y VIII) y los tratados internacionales (artículos 8°, párrafos 1 y 2, del Convenio 169 sobre Pueblos Indígenas y Tribales en Países Independientes y 46, párrafo 2, de la Declaración de las Naciones Unidas sobre Derechos de los Pueblos Indígenas).</w:t>
      </w:r>
    </w:p>
    <w:p w14:paraId="632A90B1"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Entonces, si bien es cierto que el reconocimiento del derecho de libre determinación de los pueblos indígenas no es absoluto, también lo es que dicho concepto tiene una significación especial, ya que constituye un fundamento para el ejercicio de los derechos individuales y colectivos.</w:t>
      </w:r>
    </w:p>
    <w:p w14:paraId="72FDC93D"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Entendido así el derecho a la libre determinación de los pueblos y comunidades indígenas como derecho a la autonomía o al autogobierno, el mismo constituye el fundamento de otros derechos como el derecho a definir sus propias formas de organización social, económica, política y cultural.</w:t>
      </w:r>
    </w:p>
    <w:p w14:paraId="0D1E1B6E"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Al respecto, es preciso señalar que el derecho a la organización política propia entraña la capacidad de definir sus propias instituciones, que no necesariamente tienen que corresponder estrictamente con el resto de las instituciones del Estado, además de que los pueblos y comunidades indígenas tienen el derecho de elegir a sus autoridades de acuerdo con sus propias instituciones, procedimientos, normas y prácticas tradicionales.</w:t>
      </w:r>
    </w:p>
    <w:p w14:paraId="570EFE96"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Esto implica que el núcleo básico del derecho indígena para la elección de las autoridades y los representantes en el ejercicio de las formas propias de gobierno interno está conformado por las normas que la propia comunidad determina en forma autónoma. Tales normas deben potencializarse en la medida en que no supongan una contravención manifiesta a otros derechos y principios constitucionales, para lo cual debe ponderarse, en cada caso, la circunstancias particulares de cada comunidad indígena, considerando que la protección de sus normas y procedimientos, en principio, garantiza el ejercicio de los derechos de las personas en el ámbito de la comunidad.</w:t>
      </w:r>
    </w:p>
    <w:p w14:paraId="7549A019" w14:textId="77777777" w:rsidR="00D03888" w:rsidRPr="00791593" w:rsidRDefault="00D03888" w:rsidP="00D03888">
      <w:pPr>
        <w:spacing w:before="100" w:beforeAutospacing="1" w:after="100" w:afterAutospacing="1" w:line="360" w:lineRule="auto"/>
        <w:jc w:val="both"/>
        <w:rPr>
          <w:rFonts w:ascii="Arial" w:eastAsia="Times New Roman" w:hAnsi="Arial" w:cs="Arial"/>
          <w:i/>
          <w:sz w:val="28"/>
          <w:szCs w:val="28"/>
          <w:lang w:eastAsia="es-ES"/>
        </w:rPr>
      </w:pPr>
      <w:r w:rsidRPr="00791593">
        <w:rPr>
          <w:rFonts w:ascii="Arial" w:eastAsia="Times New Roman" w:hAnsi="Arial" w:cs="Arial"/>
          <w:i/>
          <w:sz w:val="28"/>
          <w:szCs w:val="28"/>
          <w:lang w:eastAsia="es-ES"/>
        </w:rPr>
        <w:t>Derecho a la consulta</w:t>
      </w:r>
    </w:p>
    <w:p w14:paraId="248FD698"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Bajo esa perspectiva el Estado, por conducto de las autoridades competentes, debe en todo momento y para todos los efectos, participar, cooperar y coadyuvar con las autoridades políticas de los pueblos y comunidades indígenas, en las determinaciones sobre realizar o no consultas de manera previa respecto de todas aquellas decisiones que involucren su interés, ya sea en sus aspectos políticos, sociales, económicos y culturales.</w:t>
      </w:r>
    </w:p>
    <w:p w14:paraId="3D285445"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Para ello, se deben instrumentar, mediante el diálogo constante e incluyente, los mecanismos de consulta que garanticen la participación directa y activa de todos los miembros de dichas colectividades, tal y como se determina en el artículo 6 del citado Convenio sobre Pueblos Indígenas y Tribales en Países Independientes, así como en los artículos 4, 5 y 20 de la Declaración de las Naciones Unidas sobre los Derechos de los Pueblos Indígenas.</w:t>
      </w:r>
    </w:p>
    <w:p w14:paraId="4F35A6BE"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 anterior, porque en las previsiones comunitarias de  referencia, se exige que los gobiernos establezcan los medios que permitan a los pueblos interesados participar en la toma de decisiones a todos los niveles, mediante procedimientos adecuados y las instituciones representativas de las autoridades de esos pueblos, cada vez que se tenga por objeto establecer medidas legislativas o administrativas susceptibles de afectarles directamente.</w:t>
      </w:r>
    </w:p>
    <w:p w14:paraId="584AB265"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Ello, con el objeto de que todas las consultas deban efectuarse de buena fe y de una manera apropiada a las circunstancias, con la finalidad de llegar a un acuerdo o lograr el consentimiento libre, previo e informado acerca de las medidas propuestas.</w:t>
      </w:r>
    </w:p>
    <w:p w14:paraId="44AAB1B2"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MX"/>
        </w:rPr>
      </w:pPr>
      <w:r w:rsidRPr="00791593">
        <w:rPr>
          <w:rFonts w:ascii="Arial" w:eastAsia="Times New Roman" w:hAnsi="Arial" w:cs="Arial"/>
          <w:sz w:val="28"/>
          <w:szCs w:val="28"/>
          <w:lang w:eastAsia="es-MX"/>
        </w:rPr>
        <w:t>Cabe señalar que el derecho a la consulta implica la necesidad de que las comunidades y pueblos indígenas participen de manera efectiva en todas las decisiones que les afecten.</w:t>
      </w:r>
    </w:p>
    <w:p w14:paraId="636FCDCF"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MX"/>
        </w:rPr>
      </w:pPr>
      <w:r w:rsidRPr="00791593">
        <w:rPr>
          <w:rFonts w:ascii="Arial" w:eastAsia="Times New Roman" w:hAnsi="Arial" w:cs="Arial"/>
          <w:sz w:val="28"/>
          <w:szCs w:val="28"/>
          <w:lang w:eastAsia="es-MX"/>
        </w:rPr>
        <w:t>De esa suerte, con este derecho se pretende que la autogestión se convierta en el modelo predominante para la solución de la amplia gama de problemáticas que abarca las relaciones entre los pueblos indígenas y el Estado.</w:t>
      </w:r>
    </w:p>
    <w:p w14:paraId="5337575D"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MX"/>
        </w:rPr>
      </w:pPr>
      <w:r w:rsidRPr="00791593">
        <w:rPr>
          <w:rFonts w:ascii="Arial" w:eastAsia="Times New Roman" w:hAnsi="Arial" w:cs="Arial"/>
          <w:sz w:val="28"/>
          <w:szCs w:val="28"/>
          <w:lang w:eastAsia="es-MX"/>
        </w:rPr>
        <w:t>Asimismo, ese derecho implica el reconocimiento de la necesidad de involucrar de manera directa e inmediata a dichas comunidades y pueblos en las políticas y acciones estatales que afecten sus intereses y tiene por objetivo evitar tanto la imposición arbitraria de medidas como la exigencia de tomar en cuenta las necesidades y prioridades de las poblaciones indígenas interesadas o afectadas.</w:t>
      </w:r>
    </w:p>
    <w:p w14:paraId="0D1F6A79"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MX"/>
        </w:rPr>
      </w:pPr>
      <w:r w:rsidRPr="00791593">
        <w:rPr>
          <w:rFonts w:ascii="Arial" w:eastAsia="Times New Roman" w:hAnsi="Arial" w:cs="Arial"/>
          <w:sz w:val="28"/>
          <w:szCs w:val="28"/>
          <w:lang w:eastAsia="es-MX"/>
        </w:rPr>
        <w:t>En ese orden de ideas, la consulta formulada a las comunidades y pueblos indígenas respecto de cuestiones que les atañen, pero que son adoptadas por entidades externas implica un mecanismo de retroalimentación que permite a las autoridades estatales conocer, valorar y sobre todo tomar en cuenta la opinión de las mismas a fin de obtener un conocimiento libre, previo e informado sobre las políticas y acciones públicas que afectan sus intereses.</w:t>
      </w:r>
    </w:p>
    <w:p w14:paraId="094455B7"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sz w:val="28"/>
          <w:szCs w:val="28"/>
          <w:lang w:eastAsia="es-ES"/>
        </w:rPr>
        <w:t>E</w:t>
      </w:r>
      <w:r w:rsidRPr="00791593">
        <w:rPr>
          <w:rFonts w:ascii="Arial" w:eastAsia="Times New Roman" w:hAnsi="Arial" w:cs="Arial"/>
          <w:sz w:val="28"/>
          <w:szCs w:val="28"/>
          <w:lang w:val="es-ES" w:eastAsia="es-ES"/>
        </w:rPr>
        <w:t>l derecho a la consulta se encuentra principalmente contemplado en instrumentos internacionales de los que nuestro país es parte, por lo que, en aplicación directa del artículo primero constitucional, tal derecho encuentra su reconocimiento normativo y regulación en dichos instrumentos, pues con la reforma constitucional publicada en el Diario Oficial de la Federación de diez de junio de dos mil once, los tratados internacionales sobre derechos humanos forman parte integrante de la Constitución, habiendo adquirido por el método de incorporación por referencia el estatus y la jerarquía de normas constitucionales, y las disposiciones tanto de la Carta Magna como de dichos tratados se deben aplicar de manera directa por todas las autoridades federales, estatales y municipales e interpretarlas "favoreciendo en todo tiempo a las personas la protección más amplia" y con base en los principios de "universalidad, interdependencia, indivisibilidad y progresividad".</w:t>
      </w:r>
    </w:p>
    <w:p w14:paraId="1D98F1F9"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El derecho a la consulta, de conformidad con el artículo 6.1 del Convenio número 169 de la Organización Internacional del Trabajo sobre Pueblos Indígenas y Tribales en Países Independientes y artículo 19 la Declaración de las Naciones Unidas sobre los Derechos de los Pueblos Indígenas, es un derecho propio de los pueblos y comunidades indígenas, que debe realizarse a través de las instituciones representativas de los pueblos; de buena fe, y previa a la adopción de cualquier medida administrativa o legislativa que pueda afectarles directamente; y en virtud a ello, debe llevarse logrando acuerdo con el pueblo, o con su consentimiento libre, previo e informado.</w:t>
      </w:r>
    </w:p>
    <w:p w14:paraId="0F87A28B"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sz w:val="28"/>
          <w:szCs w:val="28"/>
          <w:lang w:val="es-ES" w:eastAsia="es-ES"/>
        </w:rPr>
        <w:t>El derecho a la consulta se trata de un derecho humano colectivo de los pueblos indígenas vinculado con la libre determinación, por lo que constituye un instrumento central para garantizar la realización de un amplio conjunto de derechos reconocidos tanto por el derecho nacional como por el internacional.</w:t>
      </w:r>
    </w:p>
    <w:p w14:paraId="6173741A"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sz w:val="28"/>
          <w:szCs w:val="28"/>
          <w:lang w:val="es-ES_tradnl" w:eastAsia="es-ES"/>
        </w:rPr>
        <w:t xml:space="preserve">El artículo 6 del convenio referido requiere que los gobiernos establezcan los medios que permitan a los pueblos interesados participar en la toma de decisiones a todos los niveles cada vez que se prevean medidas legislativas o administrativas susceptibles de afectarles directamente. </w:t>
      </w:r>
    </w:p>
    <w:p w14:paraId="2539FFD5"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sz w:val="28"/>
          <w:szCs w:val="28"/>
          <w:lang w:val="es-ES_tradnl" w:eastAsia="es-ES"/>
        </w:rPr>
        <w:t>La consulta a dichos pueblos implica la utilización tanto de procedimientos adecuados como de sus instituciones representativas a efecto de conocer, en forma efectiva y directa,  la opinión de los afectados, con lo cual se busca evitar la práctica de la simulación en el ejercicio de ese derecho.</w:t>
      </w:r>
    </w:p>
    <w:p w14:paraId="3D1867EB"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sz w:val="28"/>
          <w:szCs w:val="28"/>
          <w:lang w:val="es-ES_tradnl" w:eastAsia="es-ES"/>
        </w:rPr>
        <w:t>Por ello, se exige que las consultas llevadas a cabo en aplicación del Convenio deban efectuarse de buena fe y de una manera apropiada a las circunstancias, con la finalidad de llegar a un acuerdo o lograr el consentimiento acerca de las medidas propuestas.</w:t>
      </w:r>
    </w:p>
    <w:p w14:paraId="6C577E88"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sz w:val="28"/>
          <w:szCs w:val="28"/>
          <w:lang w:val="es-ES_tradnl" w:eastAsia="es-ES"/>
        </w:rPr>
        <w:t>Asimismo, se exige que los mecanismos consultivos observen una serie de principios reconocidos a nivel internacional y cumplan determinados requisitos esenciales, para considerar que la consulta en cuestión sea eficaz y cumpla su cometido, son los siguientes:</w:t>
      </w:r>
    </w:p>
    <w:p w14:paraId="739E1147"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i/>
          <w:sz w:val="28"/>
          <w:szCs w:val="28"/>
          <w:lang w:val="es-ES_tradnl" w:eastAsia="es-ES"/>
        </w:rPr>
        <w:t>1. La consulta debe realizarse con carácter previo</w:t>
      </w:r>
      <w:r w:rsidRPr="00791593">
        <w:rPr>
          <w:rFonts w:ascii="Arial" w:eastAsia="Times New Roman" w:hAnsi="Arial" w:cs="Arial"/>
          <w:sz w:val="28"/>
          <w:szCs w:val="28"/>
          <w:lang w:val="es-ES_tradnl" w:eastAsia="es-ES"/>
        </w:rPr>
        <w:t>: es necesario que la consulta se realice con anterioridad a la adopción de la medida; lo que implica que las comunidades afectadas deben ser involucradas lo antes posible en el proceso y consultadas previamente en todas las fases del proceso de producción normativa, de tal forma que las consultas no deben ser restringidas a propuestas iniciales sino sobre todo a toda propuesta que tengan relación con las ideas matrices de la medida en cuestión.</w:t>
      </w:r>
    </w:p>
    <w:p w14:paraId="1209C3F6"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i/>
          <w:sz w:val="28"/>
          <w:szCs w:val="28"/>
          <w:lang w:val="es-ES_tradnl" w:eastAsia="es-ES"/>
        </w:rPr>
        <w:t>2. La consulta no se agota con la mera información</w:t>
      </w:r>
      <w:r w:rsidRPr="00791593">
        <w:rPr>
          <w:rFonts w:ascii="Arial" w:eastAsia="Times New Roman" w:hAnsi="Arial" w:cs="Arial"/>
          <w:sz w:val="28"/>
          <w:szCs w:val="28"/>
          <w:lang w:val="es-ES_tradnl" w:eastAsia="es-ES"/>
        </w:rPr>
        <w:t>: la realización de una consulta implica necesariamente al establecimiento de un diálogo entre las partes signadas de comunicación y entendimiento, mutuo respeto y buena fe y con el deseo de llegar a un acuerdo común, por lo que no se trata simplemente de informar a las comunidades y pueblos el contenido de la medida legislativa o administrativa que se pretende adoptar, sino permitirles de forma genuina y objetiva su participación en la construcción de la misma.</w:t>
      </w:r>
    </w:p>
    <w:p w14:paraId="1BAF6EE4"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i/>
          <w:sz w:val="28"/>
          <w:szCs w:val="28"/>
          <w:lang w:val="es-ES_tradnl" w:eastAsia="es-ES"/>
        </w:rPr>
        <w:t>3. La consulta debe ser libre</w:t>
      </w:r>
      <w:r w:rsidRPr="00791593">
        <w:rPr>
          <w:rFonts w:ascii="Arial" w:eastAsia="Times New Roman" w:hAnsi="Arial" w:cs="Arial"/>
          <w:sz w:val="28"/>
          <w:szCs w:val="28"/>
          <w:lang w:val="es-ES_tradnl" w:eastAsia="es-ES"/>
        </w:rPr>
        <w:t>: la consulta debe realizarse libre de injerencias externas, sin que en ella puedan caber medidas coercitivas, intimidatorias o de manipulación a efecto de obtener o conseguir determinado resultado, situación que debe respetarse tanto a nivel colectivo como individual.</w:t>
      </w:r>
    </w:p>
    <w:p w14:paraId="343DCEF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sz w:val="28"/>
          <w:szCs w:val="28"/>
          <w:lang w:val="es-ES_tradnl" w:eastAsia="es-ES"/>
        </w:rPr>
        <w:t xml:space="preserve">4. </w:t>
      </w:r>
      <w:r w:rsidRPr="00791593">
        <w:rPr>
          <w:rFonts w:ascii="Arial" w:eastAsia="Times New Roman" w:hAnsi="Arial" w:cs="Arial"/>
          <w:i/>
          <w:sz w:val="28"/>
          <w:szCs w:val="28"/>
          <w:lang w:val="es-ES_tradnl" w:eastAsia="es-ES"/>
        </w:rPr>
        <w:t>La consulta deben ser de buena fe, dentro de un proceso que genere confianza entre las partes</w:t>
      </w:r>
      <w:r w:rsidRPr="00791593">
        <w:rPr>
          <w:rFonts w:ascii="Arial" w:eastAsia="Times New Roman" w:hAnsi="Arial" w:cs="Arial"/>
          <w:sz w:val="28"/>
          <w:szCs w:val="28"/>
          <w:lang w:val="es-ES_tradnl" w:eastAsia="es-ES"/>
        </w:rPr>
        <w:t>: si la consulta es  un instrumento de participación que debe responder al objetivo último de establecer un diálogo entre las partes basados en principios de confianza y respeto mutuos, y con miras a alcanzar un consenso entre las mismas; dentro de ese contexto la buena fe debe guiar en todo momento y durante todas sus etapas a la consulta.</w:t>
      </w:r>
    </w:p>
    <w:p w14:paraId="423A6F31"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i/>
          <w:sz w:val="28"/>
          <w:szCs w:val="28"/>
          <w:lang w:val="es-ES_tradnl" w:eastAsia="es-ES"/>
        </w:rPr>
        <w:t>5. La consulta debe ser adecuada y a través de las instituciones representativas indígenas</w:t>
      </w:r>
      <w:r w:rsidRPr="00791593">
        <w:rPr>
          <w:rFonts w:ascii="Arial" w:eastAsia="Times New Roman" w:hAnsi="Arial" w:cs="Arial"/>
          <w:sz w:val="28"/>
          <w:szCs w:val="28"/>
          <w:lang w:val="es-ES_tradnl" w:eastAsia="es-ES"/>
        </w:rPr>
        <w:t>: el Estado tiene la obligación de consultar con los pueblos indígenas según sus costumbres y tradiciones, tomando en cuenta los métodos tradicionales del pueblo para la toma de decisiones; lo que dependen en gran medida del ámbito o alcance de la medida específica que es objeto de la consulta y de la finalidad de la misma; por lo que, en cuanto al propio proceso de consulta, se deberá tomar en cuenta la opinión de los diferentes pueblos que participan en la consulta sobre el procedimiento a utilizarse para intercambiar, de manera que el procedimiento utilizado sea considerado apropiado por todas las partes.</w:t>
      </w:r>
    </w:p>
    <w:p w14:paraId="56C875E1"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sz w:val="28"/>
          <w:szCs w:val="28"/>
          <w:lang w:val="es-ES_tradnl" w:eastAsia="es-ES"/>
        </w:rPr>
        <w:t>La consulta debe ser accesible, lo que implica la ausencia de mecanismos institucionales específicos y se debe buscar los procedimientos que permitan la participación de un mayor número de pueblos y comunidades indígenas, teniendo en cuenta las limitaciones materiales, institucionales y temporales; sumado a que, se debe considerar la diversidad lingüística de los pueblos indígenas, particularmente en aquellas áreas donde la lengua oficial no sea hablada mayoritariamente por la población indígena.</w:t>
      </w:r>
    </w:p>
    <w:p w14:paraId="635F12BA"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sz w:val="28"/>
          <w:szCs w:val="28"/>
          <w:lang w:val="es-ES_tradnl" w:eastAsia="es-ES"/>
        </w:rPr>
        <w:t>Por último, el carácter adecuado de las consultas tiene una dimensión temporal, que de nuevo depende de las circunstancias precisas de la medida propuesta, teniendo en cuenta el respeto a las formas indígenas de decisión; por lo cual se deben prever los tiempos necesarios para que los pueblos indígenas puedan llevar a cabo sus procesos de toma de decisiones y participar efectivamente en las decisiones tomadas de una manera que se adapte a sus modelos culturales y sociales; si ello no se toma en cuenta será imposible cumplir con los requisitos esenciales de la consulta previa y la participación.</w:t>
      </w:r>
    </w:p>
    <w:p w14:paraId="515E492E"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sz w:val="28"/>
          <w:szCs w:val="28"/>
          <w:lang w:val="es-ES_tradnl" w:eastAsia="es-ES"/>
        </w:rPr>
        <w:t>6</w:t>
      </w:r>
      <w:r w:rsidRPr="00791593">
        <w:rPr>
          <w:rFonts w:ascii="Arial" w:eastAsia="Times New Roman" w:hAnsi="Arial" w:cs="Arial"/>
          <w:i/>
          <w:sz w:val="28"/>
          <w:szCs w:val="28"/>
          <w:lang w:val="es-ES_tradnl" w:eastAsia="es-ES"/>
        </w:rPr>
        <w:t>. La consulta debe ser sistemática y transparente</w:t>
      </w:r>
      <w:r w:rsidRPr="00791593">
        <w:rPr>
          <w:rFonts w:ascii="Arial" w:eastAsia="Times New Roman" w:hAnsi="Arial" w:cs="Arial"/>
          <w:sz w:val="28"/>
          <w:szCs w:val="28"/>
          <w:lang w:val="es-ES_tradnl" w:eastAsia="es-ES"/>
        </w:rPr>
        <w:t>: si bien la consulta no debe guiarse por mecanismos preestablecidos o específicos, lo cierto es que el desarrollo de la consulta debe responder a mecanismos o procedimientos sistemáticos y transparentes.</w:t>
      </w:r>
    </w:p>
    <w:p w14:paraId="292A3AD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sz w:val="28"/>
          <w:szCs w:val="28"/>
          <w:lang w:val="es-ES_tradnl" w:eastAsia="es-ES"/>
        </w:rPr>
        <w:t>Lo anterior, implica que el establecimiento del mecanismo de consulta tampoco puede ser una imposición externa a las comunidades y pueblos indígenas, sino que también en tal situación se debe atender a sus necesidades y demandas, de tal forma que el establecimiento del mecanismo en cuestión sea producto del consenso entre las partes involucradas.</w:t>
      </w:r>
    </w:p>
    <w:p w14:paraId="5420D8E5"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_tradnl" w:eastAsia="es-ES"/>
        </w:rPr>
      </w:pPr>
      <w:r w:rsidRPr="00791593">
        <w:rPr>
          <w:rFonts w:ascii="Arial" w:eastAsia="Times New Roman" w:hAnsi="Arial" w:cs="Arial"/>
          <w:sz w:val="28"/>
          <w:szCs w:val="28"/>
          <w:lang w:val="es-ES_tradnl" w:eastAsia="es-ES"/>
        </w:rPr>
        <w:t>Sin embargo, el desarrollo de este diálogo para establecer el mecanismo de consulta debe tener como resultado el establecimiento de un procedimiento sistemático y transparente, pues sólo de esa forma se responde a la necesidad de dotar de seguridad jurídica a todo acto del estado, así como a los objetivos de adecuación y representatividad de las consultas a los pueblos indígenas, evitando arbitrariedades y conflictos innecesarios; ante eso, dichos procedimientos deberán ser en sí mismo un proceso consensuado, con la participación activa de los pueblos indígenas; lo que se traduce en la conveniencia de determinar con mayor precisión los criterios utilizados para determinar la representatividad, forma de participación y metodología utilizada.</w:t>
      </w:r>
    </w:p>
    <w:p w14:paraId="0B2DB444" w14:textId="77777777" w:rsidR="00D03888" w:rsidRPr="00791593" w:rsidRDefault="00D03888" w:rsidP="00D03888">
      <w:pPr>
        <w:spacing w:before="100" w:beforeAutospacing="1" w:after="100" w:afterAutospacing="1" w:line="360" w:lineRule="auto"/>
        <w:jc w:val="both"/>
        <w:rPr>
          <w:rFonts w:ascii="Arial" w:eastAsia="Times New Roman" w:hAnsi="Arial" w:cs="Arial"/>
          <w:i/>
          <w:sz w:val="28"/>
          <w:szCs w:val="28"/>
          <w:lang w:eastAsia="es-ES"/>
        </w:rPr>
      </w:pPr>
      <w:r w:rsidRPr="00791593">
        <w:rPr>
          <w:rFonts w:ascii="Arial" w:eastAsia="Times New Roman" w:hAnsi="Arial" w:cs="Arial"/>
          <w:i/>
          <w:sz w:val="28"/>
          <w:szCs w:val="28"/>
          <w:lang w:eastAsia="es-ES"/>
        </w:rPr>
        <w:t>Caso concreto</w:t>
      </w:r>
    </w:p>
    <w:p w14:paraId="73695DD5"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Al respecto, la revisión integral de la normativa del Estado de Michoacán de Ocampo, no permite advertir la existencia de ley secundaria en la que se regule sobre la competencia y procedimiento para atender la petición de los ciudadanos enjuiciantes, relativa a que se celebre una consulta entre los ciudadanos de la comunidad de Cherán, a efecto de proveer sobre la procedencia o no de realizar una modificación al sistema electoral de la comunidad, para transitar al modelo previsto en la legislación ordinaria de esa entidad federativa.</w:t>
      </w:r>
    </w:p>
    <w:p w14:paraId="2C419902"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Es de tener en consideración que en el artículo 330 del Código Electoral para el Estado de Michoacán, se establece que en relación con las elecciones para integrar los ayuntamientos de las comunidades y los pueblos indígenas de esa entidad federativa, el Consejo General del Instituto Electoral de Michoacán, en su calidad de órgano superior de dirección, atenderá las solicitudes de los ciudadanos de los municipios interesados en tener una elección regida por su derecho consuetudinario y el proceso de consulta previa a los municipios interesados.</w:t>
      </w:r>
    </w:p>
    <w:p w14:paraId="6B97B977"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Es destacarse que el supuesto antes mencionado, se refiere a aquellos pueblos y comunidades indígenas en los que la elección de integrantes de los ayuntamientos se lleva a cabo mediante procesos electorales regulados en la legislación ordinaria y cuyos peticionarios, tengan como pretensión que se modifique esa situación, a efecto de que la elección de sus autoridades municipales, se lleve a cabo a través del sistema normativo propio de la comunidad indígena.</w:t>
      </w:r>
    </w:p>
    <w:p w14:paraId="36B2FEF8"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No obstante, no existe norma jurídica en la que se disponga el supuesto diverso en el que la pretensión de los integrantes de la comunidad sea, la de realizar una consulta a efecto de transitar de un sistema de elección de autoridades por derecho consuetudinario, al regulado en la legislación ordinaria, en el que participen los partidos políticos y candidatos independientes. </w:t>
      </w:r>
    </w:p>
    <w:p w14:paraId="0BEC49F0"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 juicio de esta Sala, conforme con las obligaciones que se derivan de los artículos 1 y 2, de la Constitución Política de los Estados Unidos Mexicanos, y de los demás artículos constitucionales que desarrollan la exigencia de reconocimiento y debida protección de la diversidad étnica y cultural de los pueblos indígenas y que vincula a todas las autoridades públicas sin excepción, la autoridad administrativa electoral se encuentra vinculada, en coordinación, cooperación y corresponsabilidad con las autoridades de gobierno comunal la comunidad indígena.</w:t>
      </w:r>
    </w:p>
    <w:p w14:paraId="02DD2780"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 anterior, independientemente de que, en cumplimiento de la atribución específica prevista en el artículo 2, apartado A, fracción III, de la Ley Fundamental, en las constituciones y leyes de las entidades federativas se encontraren o no contemplada, detallada o desarrollada esta exigencia, por tratarse de principios establecidos en la Constitución federal y en instrumentos internacionales suscritos y ratificados por los órganos constitucionalmente previstos, por lo que, en términos del artículo 133 de la Constitución Política de los Estados Unidos Mexicanos, constituyen la ley Suprema de la Unión, y, en esa medida, cuentan con un carácter imperativo, de orden público, de obediencia inexcusable y de imposible renuncia.</w:t>
      </w:r>
    </w:p>
    <w:p w14:paraId="79410C86"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Por tanto, el reconocimiento y protección del derecho de autogobierno de los pueblos indígenas no puede ser soslayado so pretexto de que tenga que ser contemplado, detallado o desarrollado por las leyes secundarias, porque lo importante es que tal derecho se encuentra contenido en el ordenamiento constitucional y en los referidos instrumentos internacionales, máxime que en la aplicación de este derecho las autoridades deben acudir a los principios rectores de interpretación y aplicación que en materia de derechos humanos.</w:t>
      </w:r>
    </w:p>
    <w:p w14:paraId="4F8A6545"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Considerar lo contrario implicaría desconocer y hacer nugatorio tanto el derecho a la libre determinación en su vertiente de autodisposición en materia política y sujetar el reconocimiento, ejercicio y defensa de ese derecho a la determinación del legislador secundario y de la autoridad administrativa encargada de velar por su aplicación, precisamente porque la vigencia del ordenamiento constitucional no se encuentra supeditada o condicionada a la voluntad de las autoridades legislativas y administrativas, pues al tratarse del ordenamiento máximo, cuenta con vigencia absoluta y fuerza normativa oponible a todo obstáculo legal.</w:t>
      </w:r>
    </w:p>
    <w:p w14:paraId="0B5BEAE6"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Así, en lo que al caso interesa, el reconocimiento de que la comunidad indígena de </w:t>
      </w:r>
      <w:bookmarkStart w:id="10" w:name="LPHit88"/>
      <w:bookmarkEnd w:id="10"/>
      <w:r w:rsidRPr="00791593">
        <w:rPr>
          <w:rFonts w:ascii="Arial" w:eastAsia="Times New Roman" w:hAnsi="Arial" w:cs="Arial"/>
          <w:sz w:val="28"/>
          <w:szCs w:val="28"/>
          <w:lang w:eastAsia="es-ES"/>
        </w:rPr>
        <w:t>Cherán tiene derecho al autogobierno como una manifestación concreta de su derecho a autodeterminarse constituye un elemento esencial para la protección y desarrollo de dicho pueblo, pues esos derechos forman parte del sistema constitucional, como mecanismos específicos de defensa de los derechos a la libertad de pensamiento y expresión, a la libertad de formas de vida y maneras de vivir, así como a la libertad de creación, mantenimiento y desarrollo de culturas, contempladas en el artículo 27, apartado 1 del Pacto Internacional de Derechos Civiles y Políticos, cuyo basamento último se encuentra en la especial consideración que el ordenamiento tiene para con la dignidad humana, como valor imprescindible sobre el que se ha de sustentar cualquier sociedad que pretenda dotar de legitimidad a las normas jurídicas que le rigen, derivado de la cláusula general del artículo 39 de la Constitución federal, así como del reconocimiento genérico a la personalidad jurídica y dignidad de todo ser humano, previsto en los artículos 16, apartado 1, del pacto recién invocado, 3 y 11, apartado 1 de la Convención Americana sobre Derechos Humanos.</w:t>
      </w:r>
    </w:p>
    <w:p w14:paraId="604F436F"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Por ende, es claro que la inexistencia de una ley secundaria respecto de un derecho fundamental no constituye una causa justificada para impedir su ejercicio y, mucho menos, para vulnerarlo, puesto que en ese tipo de situaciones los tribunales se encuentran en aptitud de aplicar directamente la Constitución a efecto de tutelar de manera eficaz, los derechos fundamentales de los gobernados.</w:t>
      </w:r>
    </w:p>
    <w:p w14:paraId="5BDAD6E9"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 xml:space="preserve">Atento a lo antes expuesto, este órgano jurisdiccional arriba a la conclusión de que es </w:t>
      </w:r>
      <w:r w:rsidRPr="00791593">
        <w:rPr>
          <w:rFonts w:ascii="Arial" w:eastAsia="Times New Roman" w:hAnsi="Arial" w:cs="Arial"/>
          <w:b/>
          <w:sz w:val="28"/>
          <w:szCs w:val="28"/>
          <w:lang w:eastAsia="es-ES"/>
        </w:rPr>
        <w:t>fundado</w:t>
      </w:r>
      <w:r w:rsidRPr="00791593">
        <w:rPr>
          <w:rFonts w:ascii="Arial" w:eastAsia="Times New Roman" w:hAnsi="Arial" w:cs="Arial"/>
          <w:sz w:val="28"/>
          <w:szCs w:val="28"/>
          <w:lang w:eastAsia="es-ES"/>
        </w:rPr>
        <w:t xml:space="preserve"> el agravio en el que los actores plantean que la responsable determinó indebidamente que el Consejo Mayor del Gobierno Comunal de Cherán ,Michoacán, es el órgano competente para dar respuesta a su petición, sobre la solicitud de realizar una consulta a la ciudadanía de esa comunidad indígena, para determinar si procede o no modificar las reglas consuetudinarias para la elección de sus autoridades municipales, a efecto de emplear las normas legisladas para la elección de integrantes de los ayuntamientos de esa entidad federativa. Al efecto, señalan que la transición al modelo constitucional y legal de las elecciones de sus autoridades municipales, es necesaria, porque el vigente sistema vulnera sus derechos de participación política, así como su derecho político-electoral a votar y ser votados, en atención a que, las determinaciones fundamentales de la comunidad se encuentran delegadas a un grupo minoritario de ciudadanos que imponen su voluntad a partir del ejercicio de las funciones públicas que desempeñan.</w:t>
      </w:r>
    </w:p>
    <w:p w14:paraId="75737D76"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Lo fundado del planteamiento de los actores estriba en que, en el artículo 2 de la Constitución Política de los Estados Unidos Mexicanos se establece que el derecho de las comunidades y pueblos indígenas para auto-organizarse y contar con gobierno propio electo a partir de las reglas, prácticas y procedimientos determinados en su sistema normativo interno, se encuentra condicionado a la satisfacción de parámetros mínimos, también de rango constitucional, tendentes a respetar, proteger, fomentar y garantizar los derechos fundamentales en materia político-electoral, así como los principios constitucionales esenciales que deben observarse en las elecciones.</w:t>
      </w:r>
    </w:p>
    <w:p w14:paraId="6AA10962"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En este sentido, las determinaciones tendentes a solventar las controversias que se susciten con motivo del sistema electoral adoptado por la propia comunidad indígena, se encuentran condicionadas a cumplir por un lado, con el principio constitucional de autodeterminación de los pueblos y comunidades indígenas, así como su derecho a emitir su normativa propia y a auto-organizarse y, por el otro, a que esas normas consuetudinarias, sean acordes con las reglas y valores constitucionales y los derechos humanos de los integrantes de la propia comunidad.</w:t>
      </w:r>
    </w:p>
    <w:p w14:paraId="3EF1D5A2"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De esta manera, debe ser la propia asamblea comunitaria de Cherán, Michoacán de Ocampo, atendiendo a su sistema normativo interno de toma de decisiones,  en coordinación, cooperación y corresponsabilidad, con el Instituto Electoral de Michoacán, quien otorgue una respuesta a la petición de consulta a los ciudadanos actores, en su calidad de integrantes de esa comunidad indígena, para determinar si procede o no realizar modificaciones pertinentes y necesarias a su sistema normativo interno, para garantizar los derechos de participación política de sus integrantes, desde luego, sin dejar al margen de ello otros principios y valores constitucionales, como la igualdad del voto y la participación de las mujeres en el ejercicio electivo.</w:t>
      </w:r>
    </w:p>
    <w:p w14:paraId="5E9D8A4E" w14:textId="77777777" w:rsidR="00D03888" w:rsidRPr="00791593" w:rsidRDefault="00D03888" w:rsidP="00D03888">
      <w:pPr>
        <w:spacing w:before="100" w:beforeAutospacing="1" w:after="100" w:afterAutospacing="1" w:line="360" w:lineRule="auto"/>
        <w:jc w:val="both"/>
        <w:rPr>
          <w:rFonts w:ascii="Arial" w:eastAsia="Calibri" w:hAnsi="Arial" w:cs="Arial"/>
          <w:sz w:val="28"/>
          <w:szCs w:val="28"/>
          <w:lang w:val="es-ES"/>
        </w:rPr>
      </w:pPr>
      <w:r w:rsidRPr="00791593">
        <w:rPr>
          <w:rFonts w:ascii="Arial" w:eastAsia="Calibri" w:hAnsi="Arial" w:cs="Arial"/>
          <w:sz w:val="28"/>
          <w:szCs w:val="28"/>
          <w:lang w:val="es-ES"/>
        </w:rPr>
        <w:t>Ello es así, porque la modificación al sistema normativo interno del municipio de Cherán, Michoacán de Ocampo, por alguna autoridad distinta a las reconocidas en los usos y costumbres de esa comunidad, llevaría inmersa la imposición de medidas o disposiciones ajenas al derecho consuetudinario de ese pueblo, lo que evidentemente, implicaría actos contraventores al principio de autodeterminación de los pueblos y comunidades indígenas   dispuesto en el artículo 2 de la Constitución Política de los Estados Unidos Mexicanos, bajo el pretexto de tutelar un principio señalado en el propio ordenamiento constitucional.</w:t>
      </w:r>
    </w:p>
    <w:p w14:paraId="5CCFC619" w14:textId="77777777" w:rsidR="00D03888" w:rsidRPr="00791593" w:rsidRDefault="00D03888" w:rsidP="00D03888">
      <w:pPr>
        <w:spacing w:before="100" w:beforeAutospacing="1" w:after="100" w:afterAutospacing="1" w:line="360" w:lineRule="auto"/>
        <w:jc w:val="both"/>
        <w:rPr>
          <w:rFonts w:ascii="Arial" w:eastAsia="Calibri" w:hAnsi="Arial" w:cs="Arial"/>
          <w:sz w:val="28"/>
          <w:szCs w:val="28"/>
          <w:lang w:val="es-ES"/>
        </w:rPr>
      </w:pPr>
      <w:r w:rsidRPr="00791593">
        <w:rPr>
          <w:rFonts w:ascii="Arial" w:eastAsia="Calibri" w:hAnsi="Arial" w:cs="Arial"/>
          <w:sz w:val="28"/>
          <w:szCs w:val="28"/>
          <w:lang w:val="es-ES"/>
        </w:rPr>
        <w:t>En este orden de ideas, esta Sala Superior considera que, a fin de garantizar los principios y parámetros mínimos de constitucionalidad que deben observarse en la elección de autoridades de pueblos y comunidades indígenas regidas bajo un sistema normativo propio, cuando se plantee la petición de realizar adecuaciones o reformas al sistema respectivo, debe analizarse y responderse por los órganos competentes conforme al derecho consuetudinario establecido por la propia comunidad, atendiendo a sus prácticas y procedimientos ancestrales, en coordinación, cooperación y corresponsabilidad con el Instituto Electoral de esa entidad federativa.</w:t>
      </w:r>
    </w:p>
    <w:p w14:paraId="29EF9F46" w14:textId="77777777" w:rsidR="00D03888" w:rsidRPr="00791593" w:rsidRDefault="00D03888" w:rsidP="00D03888">
      <w:pPr>
        <w:spacing w:before="100" w:beforeAutospacing="1" w:after="100" w:afterAutospacing="1" w:line="360" w:lineRule="auto"/>
        <w:jc w:val="both"/>
        <w:rPr>
          <w:rFonts w:ascii="Arial" w:eastAsia="Calibri" w:hAnsi="Arial" w:cs="Arial"/>
          <w:sz w:val="28"/>
          <w:szCs w:val="28"/>
          <w:lang w:val="es-ES"/>
        </w:rPr>
      </w:pPr>
      <w:r w:rsidRPr="00791593">
        <w:rPr>
          <w:rFonts w:ascii="Arial" w:eastAsia="Calibri" w:hAnsi="Arial" w:cs="Arial"/>
          <w:sz w:val="28"/>
          <w:szCs w:val="28"/>
          <w:lang w:val="es-ES"/>
        </w:rPr>
        <w:t>Lo anterior permite, por una parte, armonizar el sistema normativo de la comunidad con las bases mínimas establecidas en la Constitución Política de los Estados Unidos Mexicanos, y por otra, garantizar el libre ejercicio del derecho de esos pueblos a autogobernarse.</w:t>
      </w:r>
    </w:p>
    <w:p w14:paraId="68BE1360" w14:textId="77777777" w:rsidR="00D03888" w:rsidRPr="00791593" w:rsidRDefault="00D03888" w:rsidP="00D03888">
      <w:pPr>
        <w:spacing w:before="100" w:beforeAutospacing="1" w:after="100" w:afterAutospacing="1" w:line="360" w:lineRule="auto"/>
        <w:jc w:val="both"/>
        <w:rPr>
          <w:rFonts w:ascii="Arial" w:eastAsia="Calibri" w:hAnsi="Arial" w:cs="Arial"/>
          <w:sz w:val="28"/>
          <w:szCs w:val="28"/>
          <w:lang w:val="es-ES"/>
        </w:rPr>
      </w:pPr>
      <w:r w:rsidRPr="00791593">
        <w:rPr>
          <w:rFonts w:ascii="Arial" w:eastAsia="Calibri" w:hAnsi="Arial" w:cs="Arial"/>
          <w:sz w:val="28"/>
          <w:szCs w:val="28"/>
          <w:lang w:val="es-ES"/>
        </w:rPr>
        <w:t>En efecto, al tratarse de dos principios constitucionales que se traducen en imperativos de inexcusable observancia -por un lado los derechos de participación política y por otro, la autodeterminación de los pueblos y comunidades indígenas-, es indispensable que sea la propia asamblea de la comunidad, en conjunto y corresponsabilidad con el Instituto Electoral local, mediante sus procedimiento e instituciones consuetudinarias, la que determine si procede o no realizar adecuaciones al sistema normativo interno de la comunidad, garantizando con ello, la coexistencia de ambos principios constitucionales, y la armonía sistémica de las normas que deben regir en las elecciones de autoridades de ese pueblo.</w:t>
      </w:r>
    </w:p>
    <w:p w14:paraId="5EFA26A2" w14:textId="77777777" w:rsidR="00D03888" w:rsidRPr="00791593" w:rsidRDefault="00D03888" w:rsidP="00D03888">
      <w:pPr>
        <w:autoSpaceDE w:val="0"/>
        <w:autoSpaceDN w:val="0"/>
        <w:adjustRightInd w:val="0"/>
        <w:spacing w:before="100" w:beforeAutospacing="1" w:after="100" w:afterAutospacing="1" w:line="360" w:lineRule="auto"/>
        <w:jc w:val="both"/>
        <w:rPr>
          <w:rFonts w:ascii="Arial" w:eastAsia="Calibri" w:hAnsi="Arial" w:cs="Arial"/>
          <w:bCs/>
          <w:sz w:val="28"/>
          <w:szCs w:val="28"/>
          <w:lang w:val="es-ES"/>
        </w:rPr>
      </w:pPr>
      <w:r w:rsidRPr="00791593">
        <w:rPr>
          <w:rFonts w:ascii="Arial" w:eastAsia="Calibri" w:hAnsi="Arial" w:cs="Arial"/>
          <w:bCs/>
          <w:sz w:val="28"/>
          <w:szCs w:val="28"/>
          <w:lang w:val="es-ES"/>
        </w:rPr>
        <w:t xml:space="preserve">En este orden de ideas, si la autoridad responsable determinó que correspondía al </w:t>
      </w:r>
      <w:r w:rsidRPr="00791593">
        <w:rPr>
          <w:rFonts w:ascii="Arial" w:eastAsia="Times New Roman" w:hAnsi="Arial" w:cs="Arial"/>
          <w:sz w:val="28"/>
          <w:szCs w:val="28"/>
          <w:lang w:val="es-ES" w:eastAsia="es-MX"/>
        </w:rPr>
        <w:t>Concejo Mayor del Gobierno Comunal de Cherán, Michoacán</w:t>
      </w:r>
      <w:r w:rsidRPr="00791593">
        <w:rPr>
          <w:rFonts w:ascii="Arial" w:eastAsia="Calibri" w:hAnsi="Arial" w:cs="Arial"/>
          <w:bCs/>
          <w:sz w:val="28"/>
          <w:szCs w:val="28"/>
          <w:lang w:val="es-ES"/>
        </w:rPr>
        <w:t xml:space="preserve"> dar una respuesta a la petición de los actores de realizar una consulta a la ciudadanía de la comunidad indígena de Cherán, Michoacán, para efectos de determinar si procede o no realizar una modificación a su sistema electoral, lo fundado del planteamiento bajo estudio reside en que la petición de consulta, debe ser analizada por la Asamblea, al ser el órgano de mayor jerarquía dentro de la  comunidad, atendiendo en todo momento a sus instituciones propias y el derecho consuetudinario que rige en la mencionada comunidad, en armonía con los principios y reglas constitucionales, así como los derechos humanos de sus integrantes.</w:t>
      </w:r>
    </w:p>
    <w:p w14:paraId="3DA9101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val="es-ES" w:eastAsia="es-MX"/>
        </w:rPr>
        <w:t xml:space="preserve">Es de señalarse que la determinación que al efecto se adopte, en manera alguna podría tener como efecto que la elección de integrantes del Ayuntamiento de ese municipio se pudiera realizar bajo un sistema distinto el presente año. </w:t>
      </w:r>
      <w:r w:rsidRPr="00791593">
        <w:rPr>
          <w:rFonts w:ascii="Arial" w:eastAsia="Times New Roman" w:hAnsi="Arial" w:cs="Arial"/>
          <w:sz w:val="28"/>
          <w:szCs w:val="28"/>
          <w:lang w:eastAsia="es-ES"/>
        </w:rPr>
        <w:t>Esto, ya que debe tenerse en cuenta que por acuerdo de dieciséis de enero de dos mil quince, emitido por los jefes de fogata de los cuatro barrios que integran la comunidad indígena de Cherán, Michoacán, el tres de mayo del presente año designaran a sus autoridades por usos y costumbres. De igual manera, debe tenerse en cuenta que se encuentra en curso el proceso electoral local ordinario para la renovación de los miembros de los Ayuntamientos en el Estado de Michoacán.</w:t>
      </w:r>
    </w:p>
    <w:p w14:paraId="19DBD44C"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No obstante, la respuesta a la petición de consulta a la ciudadanía sobre la modificación al sistema electoral de la comunidad indígena de Cherán, Michoacán, para su aplicación en la elección de sus propias autoridades que tendrá verificativo en la presente anualidad y, en su caso, posteriores, sí deberá tener en consideración el planteamiento de que la elección de las autoridades de esa comunidad, se realice garantizando la secrecía y libertad del sufragio, y que se emita a través de urnas, y la determinación que al efecto se adopte.</w:t>
      </w:r>
    </w:p>
    <w:p w14:paraId="216C1E16"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eastAsia="es-ES"/>
        </w:rPr>
        <w:t xml:space="preserve">En vista de lo narrado, se </w:t>
      </w:r>
      <w:r w:rsidRPr="00791593">
        <w:rPr>
          <w:rFonts w:ascii="Arial" w:eastAsia="Times New Roman" w:hAnsi="Arial" w:cs="Arial"/>
          <w:sz w:val="28"/>
          <w:szCs w:val="28"/>
          <w:lang w:val="es-ES" w:eastAsia="es-MX"/>
        </w:rPr>
        <w:t>considera necesario</w:t>
      </w:r>
      <w:r w:rsidRPr="00791593">
        <w:rPr>
          <w:rFonts w:ascii="Arial" w:eastAsia="Times New Roman" w:hAnsi="Arial" w:cs="Arial"/>
          <w:b/>
          <w:sz w:val="28"/>
          <w:szCs w:val="28"/>
          <w:lang w:val="es-ES" w:eastAsia="es-MX"/>
        </w:rPr>
        <w:t xml:space="preserve"> </w:t>
      </w:r>
      <w:r w:rsidRPr="00791593">
        <w:rPr>
          <w:rFonts w:ascii="Arial" w:eastAsia="Times New Roman" w:hAnsi="Arial" w:cs="Arial"/>
          <w:sz w:val="28"/>
          <w:szCs w:val="28"/>
          <w:lang w:val="es-ES" w:eastAsia="es-MX"/>
        </w:rPr>
        <w:t>vincular</w:t>
      </w:r>
      <w:r w:rsidRPr="00791593">
        <w:rPr>
          <w:rFonts w:ascii="Arial" w:eastAsia="Times New Roman" w:hAnsi="Arial" w:cs="Arial"/>
          <w:b/>
          <w:sz w:val="28"/>
          <w:szCs w:val="28"/>
          <w:lang w:val="es-ES" w:eastAsia="es-MX"/>
        </w:rPr>
        <w:t xml:space="preserve"> </w:t>
      </w:r>
      <w:r w:rsidRPr="00791593">
        <w:rPr>
          <w:rFonts w:ascii="Arial" w:eastAsia="Times New Roman" w:hAnsi="Arial" w:cs="Arial"/>
          <w:sz w:val="28"/>
          <w:szCs w:val="28"/>
          <w:lang w:val="es-ES" w:eastAsia="es-MX"/>
        </w:rPr>
        <w:t xml:space="preserve">al Instituto Electoral de Michoacán, así como al Instituto Nacional Electoral, para que en el ámbito de sus atribuciones, realicen todas las acciones necesarias e involucren a las autoridades federales y locales pertinentes, con el objeto de que las próximas elecciones a celebrarse en la comunidad de Cherán, Michoacán, bajo el sistema de partidos políticos el próximo siete de junio, con relación a diputados federales y locales, así como de gobernador, se desarrollen de manera pacífica, de conformidad con lo mandatado por la propia Constitución y leyes secundarias aplicables. </w:t>
      </w:r>
    </w:p>
    <w:p w14:paraId="4BCAE77E"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En la misma lógica, se vincula al citado instituto electoral local, para que en el ámbito de sus atribuciones, tome las medidas y realice las acciones necesarias, para que se desarrollen las elecciones de autoridades internas de la población de Cherán, Michoacán, el próximo tres de mayo, bajo el sistema normativo interno.</w:t>
      </w:r>
    </w:p>
    <w:p w14:paraId="421F9AC6" w14:textId="77777777" w:rsidR="00D03888" w:rsidRPr="00791593" w:rsidRDefault="00D03888" w:rsidP="00D03888">
      <w:pPr>
        <w:autoSpaceDE w:val="0"/>
        <w:autoSpaceDN w:val="0"/>
        <w:adjustRightInd w:val="0"/>
        <w:spacing w:before="100" w:beforeAutospacing="1" w:after="100" w:afterAutospacing="1" w:line="360" w:lineRule="auto"/>
        <w:jc w:val="both"/>
        <w:rPr>
          <w:rFonts w:ascii="Arial" w:eastAsia="Calibri" w:hAnsi="Arial" w:cs="Arial"/>
          <w:b/>
          <w:bCs/>
          <w:sz w:val="28"/>
          <w:szCs w:val="28"/>
          <w:lang w:val="es-ES"/>
        </w:rPr>
      </w:pPr>
      <w:r w:rsidRPr="00791593">
        <w:rPr>
          <w:rFonts w:ascii="Arial" w:eastAsia="Calibri" w:hAnsi="Arial" w:cs="Arial"/>
          <w:b/>
          <w:bCs/>
          <w:sz w:val="28"/>
          <w:szCs w:val="28"/>
          <w:lang w:val="es-ES"/>
        </w:rPr>
        <w:t>4. Integración indefinida del Concejo Mayor del Gobierno Comunal de Cherán, Michoacán.</w:t>
      </w:r>
    </w:p>
    <w:p w14:paraId="51817B24" w14:textId="77777777" w:rsidR="00D03888" w:rsidRPr="00791593" w:rsidRDefault="00D03888" w:rsidP="00D03888">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Calibri" w:hAnsi="Arial" w:cs="Arial"/>
          <w:bCs/>
          <w:sz w:val="28"/>
          <w:szCs w:val="28"/>
          <w:lang w:val="es-ES"/>
        </w:rPr>
        <w:t xml:space="preserve">Por otra parte, esta Sala Superior considera que es </w:t>
      </w:r>
      <w:r w:rsidRPr="00791593">
        <w:rPr>
          <w:rFonts w:ascii="Arial" w:eastAsia="Calibri" w:hAnsi="Arial" w:cs="Arial"/>
          <w:b/>
          <w:bCs/>
          <w:sz w:val="28"/>
          <w:szCs w:val="28"/>
          <w:lang w:val="es-ES"/>
        </w:rPr>
        <w:t>infundado</w:t>
      </w:r>
      <w:r w:rsidRPr="00791593">
        <w:rPr>
          <w:rFonts w:ascii="Arial" w:eastAsia="Calibri" w:hAnsi="Arial" w:cs="Arial"/>
          <w:bCs/>
          <w:sz w:val="28"/>
          <w:szCs w:val="28"/>
          <w:lang w:val="es-ES"/>
        </w:rPr>
        <w:t xml:space="preserve"> el planteamiento de los justiciables, en el que señalan que con la sentencia impugnada, el Tribunal Electoral del Estado de Michoacán de Ocampo permite que la actual integración del </w:t>
      </w:r>
      <w:r w:rsidRPr="00791593">
        <w:rPr>
          <w:rFonts w:ascii="Arial" w:eastAsia="Times New Roman" w:hAnsi="Arial" w:cs="Arial"/>
          <w:sz w:val="28"/>
          <w:szCs w:val="28"/>
          <w:lang w:val="es-ES" w:eastAsia="es-MX"/>
        </w:rPr>
        <w:t>Concejo Mayor del Gobierno Comunal de Cherán, Michoacán, se mantenga, de manera indefinida en el ejercicio del cargo público, impidiendo con ello que se realicen elecciones tendentes a renovar a las autoridades de esa comunidad indígena.</w:t>
      </w:r>
    </w:p>
    <w:p w14:paraId="6F5DEC6B" w14:textId="77777777" w:rsidR="00D03888" w:rsidRPr="00791593" w:rsidRDefault="00D03888" w:rsidP="00D03888">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La calificativa del agravio obedece a que los enjuiciantes parten de la premisa inexacta de que con la sentencia impugnada se deja al arbitrio del Concejo Mayor del Gobierno Comunal de Cherán, Michoacán, la determinación sobre el momento en que habrá de llevarse a cabo un nuevo proceso electoral para renovar a las autoridades de esa comunidad indígena.</w:t>
      </w:r>
    </w:p>
    <w:p w14:paraId="0143A4A2" w14:textId="77777777" w:rsidR="00D03888" w:rsidRPr="00791593" w:rsidRDefault="00D03888" w:rsidP="00D03888">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Lo inexacto de la premisa de los aquí actores reside en que la autoridad responsable, en momento alguno, se pronunció sobre la periodicidad con la que deben renovarse a los representantes populares que ejercen los cargos públicos de gobierno de esa comunidad indígena.</w:t>
      </w:r>
    </w:p>
    <w:p w14:paraId="1B0F93BA" w14:textId="77777777" w:rsidR="00D03888" w:rsidRPr="00791593" w:rsidRDefault="00D03888" w:rsidP="00D03888">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En efecto, la sentencia del Tribunal local se circunscribió a señalar a la autoridad competente para dar respuesta a la petición de los actores, de celebrar una consulta a la ciudadanía de esa comunidad indígena para modificar su sistema electoral, pero en momento alguno emitió pronunciamiento tendente a señalar que los ciudadanos que actualmente integran el Concejo Mayor del Gobierno Comunal de Cherán, Michoacán, podrían mantenerse en el ejercicio del cargo hasta que determinen convocar a una nueva elección, de ahí lo infundado del agravio.</w:t>
      </w:r>
    </w:p>
    <w:p w14:paraId="3FA2F4E1" w14:textId="77777777" w:rsidR="00D03888" w:rsidRPr="00791593" w:rsidRDefault="00D03888" w:rsidP="00D03888">
      <w:pPr>
        <w:autoSpaceDE w:val="0"/>
        <w:autoSpaceDN w:val="0"/>
        <w:adjustRightInd w:val="0"/>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Con independencia de lo anterior, es de señalarse que obran en autos, copias certificadas de las Constancias “</w:t>
      </w:r>
      <w:r w:rsidRPr="00791593">
        <w:rPr>
          <w:rFonts w:ascii="Arial" w:eastAsia="Times New Roman" w:hAnsi="Arial" w:cs="Arial"/>
          <w:i/>
          <w:sz w:val="28"/>
          <w:szCs w:val="28"/>
          <w:lang w:val="es-ES" w:eastAsia="es-MX"/>
        </w:rPr>
        <w:t>de Mayoría y Validez de la elección del Concejo Mayor de Gobierno Comunal del Municipio de Cherán, Michoacán</w:t>
      </w:r>
      <w:r w:rsidRPr="00791593">
        <w:rPr>
          <w:rFonts w:ascii="Arial" w:eastAsia="Times New Roman" w:hAnsi="Arial" w:cs="Arial"/>
          <w:sz w:val="28"/>
          <w:szCs w:val="28"/>
          <w:lang w:val="es-ES" w:eastAsia="es-MX"/>
        </w:rPr>
        <w:t>”, de los ciudadanos que actualmente integran ese órgano de gobierno consuetudinario, en el que se precisa con claridad que el periodo de ejercicio comprende del cinco de febrero de dos mil doce, al treinta y uno de agosto de dos mil quince, con lo que, en todo caso, resulta infundado el planteamiento de los enjuiciantes, pues a partir de las documentales de referencia existe certeza plena de la fecha en que la actual integración de ese órgano de gobierno concluirán el periodo de ejercicio de ese cargo.</w:t>
      </w:r>
    </w:p>
    <w:p w14:paraId="69992474" w14:textId="77777777" w:rsidR="00D03888" w:rsidRPr="00791593" w:rsidRDefault="00D03888" w:rsidP="00D03888">
      <w:pPr>
        <w:spacing w:before="100" w:beforeAutospacing="1" w:after="100" w:afterAutospacing="1" w:line="360" w:lineRule="auto"/>
        <w:jc w:val="both"/>
        <w:rPr>
          <w:rFonts w:ascii="Arial" w:eastAsia="Times New Roman" w:hAnsi="Arial" w:cs="Arial"/>
          <w:b/>
          <w:sz w:val="28"/>
          <w:szCs w:val="28"/>
          <w:lang w:eastAsia="es-ES"/>
        </w:rPr>
      </w:pPr>
      <w:r w:rsidRPr="00791593">
        <w:rPr>
          <w:rFonts w:ascii="Arial" w:eastAsia="Times New Roman" w:hAnsi="Arial" w:cs="Arial"/>
          <w:b/>
          <w:sz w:val="28"/>
          <w:szCs w:val="28"/>
          <w:lang w:val="es-ES" w:eastAsia="es-ES"/>
        </w:rPr>
        <w:t>NOVENO</w:t>
      </w:r>
      <w:r w:rsidRPr="00791593">
        <w:rPr>
          <w:rFonts w:ascii="Arial" w:eastAsia="Times New Roman" w:hAnsi="Arial" w:cs="Arial"/>
          <w:b/>
          <w:sz w:val="28"/>
          <w:szCs w:val="28"/>
          <w:lang w:eastAsia="es-ES"/>
        </w:rPr>
        <w:t>. Estudio del juicio para la protección de los derechos político-electorales del ciudadano SUP-JDC-533/2014.</w:t>
      </w:r>
    </w:p>
    <w:p w14:paraId="33186E07"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De la lectura integral del escrito de demanda, se desprende que los ciudadanos actores exponen que la respuesta de veintidós de enero del presente año, emitida por el Concejo Mayor del Gobierno Comunal de Cherán, Michoacán de Ocampo, por la que declaró improcedente la consulta solicitada, lesiona, entre otros, sus derechos político-electorales de participación política, así como el de votar y ser votados en razón de que, aplica indebidamente disposiciones legales, pues estima que la autoridad responsable se encontraba obligada a verificar cual es la verdadera voluntad de los miembros de esa comunidad indígena.</w:t>
      </w:r>
    </w:p>
    <w:p w14:paraId="4B41CDFF"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Al respecto, refiere que la respuesta a su petición incumple con la fundamentación y motivación adecuada, debido a que no detalla las circunstancias de tiempo, modo y lugar, que le permitieron arribar a la conclusión de declarar improcedente la consulta planteada.</w:t>
      </w:r>
    </w:p>
    <w:p w14:paraId="3688861B"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Además, precisan que la autoridad responsable fue omisa en cumplir con su obligación constitucional de realizar la interpretación más favorable al derecho humano que ahora estiman vulnerado.</w:t>
      </w:r>
    </w:p>
    <w:p w14:paraId="2E8D84D0"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También señalan que no se agotó el principio de exhaustividad, pues esa autoridad se limitó a señalar que en el año dos mil once, ya se determinó por la propia comunidad, los procedimientos y reglas que deben seguirse en las elecciones de sus gobernantes municipales, sin establecer mecanismos o propuestas de solución.</w:t>
      </w:r>
    </w:p>
    <w:p w14:paraId="062CF296"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eastAsia="es-ES"/>
        </w:rPr>
        <w:t>Por lo anterior, los actores solicitan que se revoque el acuerdo controvertido y se ordene realizar la consulta pública que solicitan en su escrito petitorio primigenio.</w:t>
      </w:r>
    </w:p>
    <w:p w14:paraId="056321DD"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eastAsia="es-ES"/>
        </w:rPr>
        <w:t>Con independencia de los agravios expuestos por los actores, esta Sala Superior arriba a la conclusión de que procede la</w:t>
      </w:r>
      <w:r w:rsidRPr="00791593">
        <w:rPr>
          <w:rFonts w:ascii="Arial" w:eastAsia="Times New Roman" w:hAnsi="Arial" w:cs="Arial"/>
          <w:b/>
          <w:sz w:val="28"/>
          <w:szCs w:val="28"/>
          <w:lang w:eastAsia="es-ES"/>
        </w:rPr>
        <w:t xml:space="preserve"> modificación </w:t>
      </w:r>
      <w:r w:rsidRPr="00791593">
        <w:rPr>
          <w:rFonts w:ascii="Arial" w:eastAsia="Times New Roman" w:hAnsi="Arial" w:cs="Arial"/>
          <w:sz w:val="28"/>
          <w:szCs w:val="28"/>
          <w:lang w:eastAsia="es-ES"/>
        </w:rPr>
        <w:t xml:space="preserve">de la determinación que se analiza en el presente apartado, toda vez que se emitió en ejecución de la sentencia de </w:t>
      </w:r>
      <w:r w:rsidRPr="00791593">
        <w:rPr>
          <w:rFonts w:ascii="Arial" w:eastAsia="Times New Roman" w:hAnsi="Arial" w:cs="Arial"/>
          <w:sz w:val="28"/>
          <w:szCs w:val="28"/>
          <w:lang w:val="es-ES" w:eastAsia="es-MX"/>
        </w:rPr>
        <w:t>seis de enero del año en curso, dictada por el Tribunal Electoral del Estado de Michoacán, en el recurso de apelación identificado con la clave TEEM-RAP-049/2014, la que, conforme se ha analizado previamente, debe ser modificada a efecto de que la petición de consulta de los aquí enjuiciantes, sea efectuada por la Asamblea comunitaria, con la cooperación y coadyuvancia del Instituto Electoral de Michoacán</w:t>
      </w:r>
      <w:r w:rsidRPr="00791593">
        <w:rPr>
          <w:rFonts w:ascii="Arial" w:eastAsia="Calibri" w:hAnsi="Arial" w:cs="Arial"/>
          <w:bCs/>
          <w:sz w:val="28"/>
          <w:szCs w:val="28"/>
          <w:lang w:val="es-ES"/>
        </w:rPr>
        <w:t>, atendiendo en todo momento a las instituciones propias y el derecho consuetudinario que rige en la mencionada comunidad, en armonía con los principios y reglas constitucionales, así como los derechos humanos de sus integrantes.</w:t>
      </w:r>
    </w:p>
    <w:p w14:paraId="4716C5B2"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En efecto, como se ha señalado con antelación, el Tribunal Electoral del Estado de Michoacán determinó reencausar al Consejo Mayor del Gobierno Comunal de Cherán, Michoacán, la petición de consulta formulada por los aquí actores, a efecto de que determinara de manera fundada y motivada sobre la procedencia o improcedencia de la petición.</w:t>
      </w:r>
    </w:p>
    <w:p w14:paraId="4FAB1029"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Sin embargo, conforme se ha analizado a lo largo de la presente ejecutoria, la señalada petición debe ser analizada por las autoridades mencionadas, actuando de manera conjunta y atendiendo al sistema normativo propio de ese pueblo indígena, así como a los principios constitucionales y derecho humanos de los habitantes de esa comunidad.</w:t>
      </w:r>
    </w:p>
    <w:p w14:paraId="7097CE35"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 xml:space="preserve">No obsta para lo anterior, que esa determinación se haya emitido en cumplimiento de la sentencia de seis de enero del año en curso, dictada por el Tribunal Electoral del Estado de Michoacán, en el recurso de apelación identificado con el número TEEM-RAP-049/2014, toda vez que al haber sido válidamente impugnada, los efectos, y las determinaciones que eventualmente se emitieran para su cumplimiento, se encontraban </w:t>
      </w:r>
      <w:r w:rsidRPr="00791593">
        <w:rPr>
          <w:rFonts w:ascii="Arial" w:eastAsia="Times New Roman" w:hAnsi="Arial" w:cs="Arial"/>
          <w:i/>
          <w:sz w:val="28"/>
          <w:szCs w:val="28"/>
          <w:lang w:val="es-ES" w:eastAsia="es-MX"/>
        </w:rPr>
        <w:t>sub iudice</w:t>
      </w:r>
      <w:r w:rsidRPr="00791593">
        <w:rPr>
          <w:rFonts w:ascii="Arial" w:eastAsia="Times New Roman" w:hAnsi="Arial" w:cs="Arial"/>
          <w:sz w:val="28"/>
          <w:szCs w:val="28"/>
          <w:lang w:val="es-ES" w:eastAsia="es-MX"/>
        </w:rPr>
        <w:t>, y por ende, la vigencia y validez de esos actos, condicionada a que la determinación de la que derivaron alcanzara la calidad de sentencia ejecutoriada.</w:t>
      </w:r>
    </w:p>
    <w:p w14:paraId="0ACEB4E1"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eastAsia="es-ES"/>
        </w:rPr>
      </w:pPr>
      <w:r w:rsidRPr="00791593">
        <w:rPr>
          <w:rFonts w:ascii="Arial" w:eastAsia="Times New Roman" w:hAnsi="Arial" w:cs="Arial"/>
          <w:sz w:val="28"/>
          <w:szCs w:val="28"/>
          <w:lang w:val="es-ES" w:eastAsia="es-MX"/>
        </w:rPr>
        <w:t xml:space="preserve">De esta manera, al haberse determinado por este órgano jurisdiccional que la determinación de la pertinencia de la consulta debe efectuarse por la Asamblea y comunicada la respuesta, a partir de la actuación conjunta del Consejo Mayor del Gobierno Comunal de Cherán, Michoacán de Ocampo, y el Consejo General del Instituto Electoral local, lo procedente es </w:t>
      </w:r>
      <w:r w:rsidRPr="00791593">
        <w:rPr>
          <w:rFonts w:ascii="Arial" w:eastAsia="Times New Roman" w:hAnsi="Arial" w:cs="Arial"/>
          <w:b/>
          <w:sz w:val="28"/>
          <w:szCs w:val="28"/>
          <w:lang w:val="es-ES" w:eastAsia="es-MX"/>
        </w:rPr>
        <w:t xml:space="preserve">modificar </w:t>
      </w:r>
      <w:r w:rsidRPr="00791593">
        <w:rPr>
          <w:rFonts w:ascii="Arial" w:eastAsia="Times New Roman" w:hAnsi="Arial" w:cs="Arial"/>
          <w:sz w:val="28"/>
          <w:szCs w:val="28"/>
          <w:lang w:val="es-ES" w:eastAsia="es-MX"/>
        </w:rPr>
        <w:t>la determinación señalada.</w:t>
      </w:r>
    </w:p>
    <w:p w14:paraId="36FDC553" w14:textId="77777777" w:rsidR="00D03888" w:rsidRPr="00791593" w:rsidRDefault="00D03888" w:rsidP="00D03888">
      <w:pPr>
        <w:spacing w:before="100" w:beforeAutospacing="1" w:after="100" w:afterAutospacing="1" w:line="360" w:lineRule="auto"/>
        <w:jc w:val="both"/>
        <w:rPr>
          <w:rFonts w:ascii="Arial" w:eastAsia="Times New Roman" w:hAnsi="Arial" w:cs="Arial"/>
          <w:b/>
          <w:sz w:val="28"/>
          <w:szCs w:val="28"/>
          <w:lang w:val="es-ES" w:eastAsia="es-MX"/>
        </w:rPr>
      </w:pPr>
      <w:r w:rsidRPr="00791593">
        <w:rPr>
          <w:rFonts w:ascii="Arial" w:eastAsia="Times New Roman" w:hAnsi="Arial" w:cs="Arial"/>
          <w:b/>
          <w:sz w:val="28"/>
          <w:szCs w:val="28"/>
          <w:lang w:val="es-ES" w:eastAsia="es-MX"/>
        </w:rPr>
        <w:t xml:space="preserve">DÉCIMO. Efectos. </w:t>
      </w:r>
    </w:p>
    <w:p w14:paraId="4087D3B9" w14:textId="77777777" w:rsidR="00D03888" w:rsidRPr="00791593" w:rsidRDefault="00D03888" w:rsidP="00D03888">
      <w:pPr>
        <w:spacing w:before="100" w:beforeAutospacing="1" w:after="100" w:afterAutospacing="1" w:line="360" w:lineRule="auto"/>
        <w:jc w:val="both"/>
        <w:rPr>
          <w:rFonts w:ascii="Arial" w:eastAsia="Calibri" w:hAnsi="Arial" w:cs="Arial"/>
          <w:bCs/>
          <w:sz w:val="28"/>
          <w:szCs w:val="28"/>
          <w:lang w:val="es-ES"/>
        </w:rPr>
      </w:pPr>
      <w:r w:rsidRPr="00791593">
        <w:rPr>
          <w:rFonts w:ascii="Arial" w:eastAsia="Times New Roman" w:hAnsi="Arial" w:cs="Arial"/>
          <w:b/>
          <w:sz w:val="28"/>
          <w:szCs w:val="28"/>
          <w:lang w:val="es-ES" w:eastAsia="es-MX"/>
        </w:rPr>
        <w:t>1.</w:t>
      </w:r>
      <w:r w:rsidRPr="00791593">
        <w:rPr>
          <w:rFonts w:ascii="Arial" w:eastAsia="Times New Roman" w:hAnsi="Arial" w:cs="Arial"/>
          <w:sz w:val="28"/>
          <w:szCs w:val="28"/>
          <w:lang w:val="es-ES" w:eastAsia="es-MX"/>
        </w:rPr>
        <w:t xml:space="preserve"> Se  </w:t>
      </w:r>
      <w:r w:rsidRPr="00791593">
        <w:rPr>
          <w:rFonts w:ascii="Arial" w:eastAsia="Times New Roman" w:hAnsi="Arial" w:cs="Arial"/>
          <w:b/>
          <w:sz w:val="28"/>
          <w:szCs w:val="28"/>
          <w:lang w:val="es-ES" w:eastAsia="es-MX"/>
        </w:rPr>
        <w:t xml:space="preserve">modifica </w:t>
      </w:r>
      <w:r w:rsidRPr="00791593">
        <w:rPr>
          <w:rFonts w:ascii="Arial" w:eastAsia="Times New Roman" w:hAnsi="Arial" w:cs="Arial"/>
          <w:sz w:val="28"/>
          <w:szCs w:val="28"/>
          <w:lang w:val="es-ES" w:eastAsia="es-MX"/>
        </w:rPr>
        <w:t xml:space="preserve">la sentencia de seis de enero del año en curso, dictada por el Tribunal Electoral del Estado de Michoacán, en el recurso de apelación identificado con la clave TEEM-RAP-049/2014, para el efecto de que la petición de consulta a la ciudadanía de la comunidad indígena de Cherán, Michoacán de Ocampo, sea </w:t>
      </w:r>
      <w:r w:rsidRPr="00791593">
        <w:rPr>
          <w:rFonts w:ascii="Arial" w:eastAsia="Calibri" w:hAnsi="Arial" w:cs="Arial"/>
          <w:bCs/>
          <w:sz w:val="28"/>
          <w:szCs w:val="28"/>
          <w:lang w:val="es-ES"/>
        </w:rPr>
        <w:t>realizada por la Asamblea comunitaria.</w:t>
      </w:r>
    </w:p>
    <w:p w14:paraId="35D2407E"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b/>
          <w:sz w:val="28"/>
          <w:szCs w:val="28"/>
          <w:lang w:val="es-ES" w:eastAsia="es-MX"/>
        </w:rPr>
        <w:t xml:space="preserve">2. </w:t>
      </w:r>
      <w:r w:rsidRPr="00791593">
        <w:rPr>
          <w:rFonts w:ascii="Arial" w:eastAsia="Times New Roman" w:hAnsi="Arial" w:cs="Arial"/>
          <w:sz w:val="28"/>
          <w:szCs w:val="28"/>
          <w:lang w:val="es-ES" w:eastAsia="es-MX"/>
        </w:rPr>
        <w:t xml:space="preserve">Se </w:t>
      </w:r>
      <w:r w:rsidRPr="00791593">
        <w:rPr>
          <w:rFonts w:ascii="Arial" w:eastAsia="Times New Roman" w:hAnsi="Arial" w:cs="Arial"/>
          <w:b/>
          <w:sz w:val="28"/>
          <w:szCs w:val="28"/>
          <w:lang w:val="es-ES" w:eastAsia="es-MX"/>
        </w:rPr>
        <w:t xml:space="preserve">modifica </w:t>
      </w:r>
      <w:r w:rsidRPr="00791593">
        <w:rPr>
          <w:rFonts w:ascii="Arial" w:eastAsia="Times New Roman" w:hAnsi="Arial" w:cs="Arial"/>
          <w:sz w:val="28"/>
          <w:szCs w:val="28"/>
          <w:lang w:val="es-ES" w:eastAsia="es-MX"/>
        </w:rPr>
        <w:t>el acuerdo de veintidós de enero de dos mil quince, emitido por el  Concejo Mayor de Cherán, Michoacán de Ocampo, por el que declaró improcedente la petición de los actores de realizar consulta a los ciudadanos de ese municipio.</w:t>
      </w:r>
    </w:p>
    <w:p w14:paraId="5E00E4E8"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b/>
          <w:sz w:val="28"/>
          <w:szCs w:val="28"/>
          <w:lang w:val="es-ES" w:eastAsia="es-MX"/>
        </w:rPr>
        <w:t>3.</w:t>
      </w:r>
      <w:r w:rsidRPr="00791593">
        <w:rPr>
          <w:rFonts w:ascii="Arial" w:eastAsia="Times New Roman" w:hAnsi="Arial" w:cs="Arial"/>
          <w:sz w:val="28"/>
          <w:szCs w:val="28"/>
          <w:lang w:val="es-ES" w:eastAsia="es-MX"/>
        </w:rPr>
        <w:t xml:space="preserve"> Se </w:t>
      </w:r>
      <w:r w:rsidRPr="00791593">
        <w:rPr>
          <w:rFonts w:ascii="Arial" w:eastAsia="Times New Roman" w:hAnsi="Arial" w:cs="Arial"/>
          <w:b/>
          <w:sz w:val="28"/>
          <w:szCs w:val="28"/>
          <w:lang w:val="es-ES" w:eastAsia="es-MX"/>
        </w:rPr>
        <w:t xml:space="preserve">vincula </w:t>
      </w:r>
      <w:r w:rsidRPr="00791593">
        <w:rPr>
          <w:rFonts w:ascii="Arial" w:eastAsia="Times New Roman" w:hAnsi="Arial" w:cs="Arial"/>
          <w:sz w:val="28"/>
          <w:szCs w:val="28"/>
          <w:lang w:val="es-ES" w:eastAsia="es-MX"/>
        </w:rPr>
        <w:t>al Instituto Electoral de Michoacán, así como al Instituto Nacional Electoral, para que en el ámbito de sus atribuciones, tomen las medidas y realicen las acciones que estimen pertinentes, para que se desarrollen en la comunidad de Cherán, Michoacán, elecciones libres y pacíficas de diputados federales y locales, así como de gobernador, bajo el sistema de partidos políticos.</w:t>
      </w:r>
    </w:p>
    <w:p w14:paraId="635A8EE4"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b/>
          <w:sz w:val="28"/>
          <w:szCs w:val="28"/>
          <w:lang w:val="es-ES" w:eastAsia="es-MX"/>
        </w:rPr>
        <w:t>4.</w:t>
      </w:r>
      <w:r w:rsidRPr="00791593">
        <w:rPr>
          <w:rFonts w:ascii="Arial" w:eastAsia="Times New Roman" w:hAnsi="Arial" w:cs="Arial"/>
          <w:sz w:val="28"/>
          <w:szCs w:val="28"/>
          <w:lang w:val="es-ES" w:eastAsia="es-MX"/>
        </w:rPr>
        <w:t xml:space="preserve"> Se </w:t>
      </w:r>
      <w:r w:rsidRPr="00791593">
        <w:rPr>
          <w:rFonts w:ascii="Arial" w:eastAsia="Times New Roman" w:hAnsi="Arial" w:cs="Arial"/>
          <w:b/>
          <w:sz w:val="28"/>
          <w:szCs w:val="28"/>
          <w:lang w:val="es-ES" w:eastAsia="es-MX"/>
        </w:rPr>
        <w:t>vincula</w:t>
      </w:r>
      <w:r w:rsidRPr="00791593">
        <w:rPr>
          <w:rFonts w:ascii="Arial" w:eastAsia="Times New Roman" w:hAnsi="Arial" w:cs="Arial"/>
          <w:sz w:val="28"/>
          <w:szCs w:val="28"/>
          <w:lang w:val="es-ES" w:eastAsia="es-MX"/>
        </w:rPr>
        <w:t xml:space="preserve"> al Instituto Electoral de Michoacán, para que en el ámbito de sus atribuciones, tome las medidas y realice las acciones necesarias, para que se desarrollen las elecciones de autoridades internas de la población de Cherán, Michoacán, que se tiene programado se celebren el próximo tres de mayo, bajo el sistema normativo interno. </w:t>
      </w:r>
    </w:p>
    <w:p w14:paraId="2428AF46"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Por lo expuesto y fundado se</w:t>
      </w:r>
    </w:p>
    <w:p w14:paraId="47D8E03A" w14:textId="77777777" w:rsidR="00D03888" w:rsidRPr="00791593" w:rsidRDefault="00D03888" w:rsidP="00D03888">
      <w:pPr>
        <w:spacing w:before="100" w:beforeAutospacing="1" w:after="100" w:afterAutospacing="1" w:line="360" w:lineRule="auto"/>
        <w:jc w:val="center"/>
        <w:rPr>
          <w:rFonts w:ascii="Arial" w:eastAsia="Times New Roman" w:hAnsi="Arial" w:cs="Arial"/>
          <w:b/>
          <w:sz w:val="28"/>
          <w:szCs w:val="28"/>
          <w:lang w:val="es-ES" w:eastAsia="es-MX"/>
        </w:rPr>
      </w:pPr>
      <w:r w:rsidRPr="00791593">
        <w:rPr>
          <w:rFonts w:ascii="Arial" w:eastAsia="Times New Roman" w:hAnsi="Arial" w:cs="Arial"/>
          <w:b/>
          <w:sz w:val="28"/>
          <w:szCs w:val="28"/>
          <w:lang w:val="es-ES" w:eastAsia="es-MX"/>
        </w:rPr>
        <w:t>R E S U E L V E:</w:t>
      </w:r>
    </w:p>
    <w:p w14:paraId="661EFC11"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ES"/>
        </w:rPr>
      </w:pPr>
      <w:r w:rsidRPr="00791593">
        <w:rPr>
          <w:rFonts w:ascii="Arial" w:eastAsia="Times New Roman" w:hAnsi="Arial" w:cs="Arial"/>
          <w:b/>
          <w:sz w:val="28"/>
          <w:szCs w:val="28"/>
          <w:lang w:val="es-ES" w:eastAsia="es-MX"/>
        </w:rPr>
        <w:t xml:space="preserve">PRIMERO. </w:t>
      </w:r>
      <w:r w:rsidRPr="00791593">
        <w:rPr>
          <w:rFonts w:ascii="Arial" w:eastAsia="Times New Roman" w:hAnsi="Arial" w:cs="Arial"/>
          <w:sz w:val="28"/>
          <w:szCs w:val="28"/>
          <w:lang w:val="es-ES" w:eastAsia="es-MX"/>
        </w:rPr>
        <w:t xml:space="preserve">Se </w:t>
      </w:r>
      <w:r w:rsidRPr="00791593">
        <w:rPr>
          <w:rFonts w:ascii="Arial" w:eastAsia="Times New Roman" w:hAnsi="Arial" w:cs="Arial"/>
          <w:b/>
          <w:sz w:val="28"/>
          <w:szCs w:val="28"/>
          <w:lang w:val="es-ES" w:eastAsia="es-MX"/>
        </w:rPr>
        <w:t>acumula</w:t>
      </w:r>
      <w:r w:rsidRPr="00791593">
        <w:rPr>
          <w:rFonts w:ascii="Arial" w:eastAsia="Times New Roman" w:hAnsi="Arial" w:cs="Arial"/>
          <w:sz w:val="28"/>
          <w:szCs w:val="28"/>
          <w:lang w:val="es-ES" w:eastAsia="es-ES"/>
        </w:rPr>
        <w:t xml:space="preserve"> el juicio para la protección de los derechos político-electorales del ciudadano radicado en el expediente SUP-JDC-533/2015 al SUP-JDC-364/2015. En consecuencia, deberá agregarse copia certificada de los puntos resolutivos de esta sentencia al expediente acumulado.</w:t>
      </w:r>
    </w:p>
    <w:p w14:paraId="4DB900B3"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b/>
          <w:sz w:val="28"/>
          <w:szCs w:val="28"/>
          <w:lang w:val="es-ES" w:eastAsia="es-ES"/>
        </w:rPr>
        <w:t xml:space="preserve">SEGUNDO. </w:t>
      </w:r>
      <w:r w:rsidRPr="00791593">
        <w:rPr>
          <w:rFonts w:ascii="Arial" w:eastAsia="Times New Roman" w:hAnsi="Arial" w:cs="Arial"/>
          <w:sz w:val="28"/>
          <w:szCs w:val="28"/>
          <w:lang w:val="es-ES" w:eastAsia="es-ES"/>
        </w:rPr>
        <w:t xml:space="preserve">Se </w:t>
      </w:r>
      <w:r w:rsidRPr="00791593">
        <w:rPr>
          <w:rFonts w:ascii="Arial" w:eastAsia="Times New Roman" w:hAnsi="Arial" w:cs="Arial"/>
          <w:b/>
          <w:sz w:val="28"/>
          <w:szCs w:val="28"/>
          <w:lang w:val="es-ES" w:eastAsia="es-ES"/>
        </w:rPr>
        <w:t xml:space="preserve">modifica </w:t>
      </w:r>
      <w:r w:rsidRPr="00791593">
        <w:rPr>
          <w:rFonts w:ascii="Arial" w:eastAsia="Times New Roman" w:hAnsi="Arial" w:cs="Arial"/>
          <w:sz w:val="28"/>
          <w:szCs w:val="28"/>
          <w:lang w:val="es-ES" w:eastAsia="es-MX"/>
        </w:rPr>
        <w:t>la sentencia de seis de enero del año en curso, dictada por el Tribunal Electoral del Estado de Michoacán, en el recurso de apelación identificado con la clave TEEM-RAP-049/2014, para los efectos precisados en la parte última de la presente ejecutoria.</w:t>
      </w:r>
    </w:p>
    <w:p w14:paraId="4D5CBBC7"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b/>
          <w:sz w:val="28"/>
          <w:szCs w:val="28"/>
          <w:lang w:val="es-ES" w:eastAsia="es-MX"/>
        </w:rPr>
        <w:t xml:space="preserve">TERCERO.  </w:t>
      </w:r>
      <w:r w:rsidRPr="00791593">
        <w:rPr>
          <w:rFonts w:ascii="Arial" w:eastAsia="Times New Roman" w:hAnsi="Arial" w:cs="Arial"/>
          <w:sz w:val="28"/>
          <w:szCs w:val="28"/>
          <w:lang w:val="es-ES" w:eastAsia="es-MX"/>
        </w:rPr>
        <w:t xml:space="preserve">Se </w:t>
      </w:r>
      <w:r w:rsidRPr="00791593">
        <w:rPr>
          <w:rFonts w:ascii="Arial" w:eastAsia="Times New Roman" w:hAnsi="Arial" w:cs="Arial"/>
          <w:b/>
          <w:sz w:val="28"/>
          <w:szCs w:val="28"/>
          <w:lang w:val="es-ES" w:eastAsia="es-MX"/>
        </w:rPr>
        <w:t xml:space="preserve">modifica </w:t>
      </w:r>
      <w:r w:rsidRPr="00791593">
        <w:rPr>
          <w:rFonts w:ascii="Arial" w:eastAsia="Times New Roman" w:hAnsi="Arial" w:cs="Arial"/>
          <w:sz w:val="28"/>
          <w:szCs w:val="28"/>
          <w:lang w:val="es-ES" w:eastAsia="es-MX"/>
        </w:rPr>
        <w:t xml:space="preserve">el acuerdo de veintidós de enero de dos mil quince,  emitido  por  el  Concejo  Mayor  de  Cherán, </w:t>
      </w:r>
    </w:p>
    <w:p w14:paraId="799C9895"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sz w:val="28"/>
          <w:szCs w:val="28"/>
          <w:lang w:val="es-ES" w:eastAsia="es-MX"/>
        </w:rPr>
        <w:t>Michoacán de Ocampo, por el que declaró improcedente la petición de los actores de realizar consulta a los ciudadanos de ese municipio.</w:t>
      </w:r>
    </w:p>
    <w:p w14:paraId="07967D6D" w14:textId="77777777" w:rsidR="00D03888" w:rsidRPr="00791593" w:rsidRDefault="00D03888" w:rsidP="00D03888">
      <w:pPr>
        <w:spacing w:before="100" w:beforeAutospacing="1" w:after="100" w:afterAutospacing="1" w:line="360" w:lineRule="auto"/>
        <w:jc w:val="both"/>
        <w:rPr>
          <w:rFonts w:ascii="Arial" w:eastAsia="Times New Roman" w:hAnsi="Arial" w:cs="Arial"/>
          <w:sz w:val="28"/>
          <w:szCs w:val="28"/>
          <w:lang w:val="es-ES" w:eastAsia="es-MX"/>
        </w:rPr>
      </w:pPr>
      <w:r w:rsidRPr="00791593">
        <w:rPr>
          <w:rFonts w:ascii="Arial" w:eastAsia="Times New Roman" w:hAnsi="Arial" w:cs="Arial"/>
          <w:b/>
          <w:sz w:val="28"/>
          <w:szCs w:val="28"/>
          <w:lang w:val="es-ES" w:eastAsia="es-MX"/>
        </w:rPr>
        <w:t xml:space="preserve">CUARTO. </w:t>
      </w:r>
      <w:r w:rsidRPr="00791593">
        <w:rPr>
          <w:rFonts w:ascii="Arial" w:eastAsia="Times New Roman" w:hAnsi="Arial" w:cs="Arial"/>
          <w:sz w:val="28"/>
          <w:szCs w:val="28"/>
          <w:lang w:val="es-ES" w:eastAsia="es-MX"/>
        </w:rPr>
        <w:t xml:space="preserve">Se </w:t>
      </w:r>
      <w:r w:rsidRPr="00791593">
        <w:rPr>
          <w:rFonts w:ascii="Arial" w:eastAsia="Times New Roman" w:hAnsi="Arial" w:cs="Arial"/>
          <w:b/>
          <w:sz w:val="28"/>
          <w:szCs w:val="28"/>
          <w:lang w:val="es-ES" w:eastAsia="es-MX"/>
        </w:rPr>
        <w:t xml:space="preserve">vincula </w:t>
      </w:r>
      <w:r w:rsidRPr="00791593">
        <w:rPr>
          <w:rFonts w:ascii="Arial" w:eastAsia="Times New Roman" w:hAnsi="Arial" w:cs="Arial"/>
          <w:sz w:val="28"/>
          <w:szCs w:val="28"/>
          <w:lang w:val="es-ES" w:eastAsia="es-MX"/>
        </w:rPr>
        <w:t>al Instituto Electoral de Michoacán, así como al Instituto Nacional Electoral, para que en el ámbito de sus atribuciones, tomen las medidas y realicen las acciones que estimen pertinentes, para que desarrollen elecciones bajo el sistema de usos y costumbres y de partidos políticos en la comunidad de Cherán, Michoacán.</w:t>
      </w:r>
    </w:p>
    <w:p w14:paraId="3356644A" w14:textId="77777777" w:rsidR="00D03888" w:rsidRPr="00791593" w:rsidRDefault="00D03888" w:rsidP="00D03888">
      <w:pPr>
        <w:spacing w:before="100" w:beforeAutospacing="1" w:after="100" w:afterAutospacing="1" w:line="360" w:lineRule="auto"/>
        <w:jc w:val="both"/>
        <w:rPr>
          <w:rFonts w:ascii="Arial" w:eastAsia="Times New Roman" w:hAnsi="Arial" w:cs="Arial"/>
          <w:bCs/>
          <w:sz w:val="28"/>
          <w:szCs w:val="28"/>
          <w:lang w:val="es-ES" w:eastAsia="es-ES"/>
        </w:rPr>
      </w:pPr>
      <w:r w:rsidRPr="00791593">
        <w:rPr>
          <w:rFonts w:ascii="Arial" w:eastAsia="Times New Roman" w:hAnsi="Arial" w:cs="Arial"/>
          <w:b/>
          <w:bCs/>
          <w:sz w:val="28"/>
          <w:szCs w:val="28"/>
          <w:lang w:val="es-ES" w:eastAsia="es-ES"/>
        </w:rPr>
        <w:t>NOTIFÍQUESE; por correo certificado</w:t>
      </w:r>
      <w:r w:rsidRPr="00791593">
        <w:rPr>
          <w:rFonts w:ascii="Arial" w:eastAsia="Times New Roman" w:hAnsi="Arial" w:cs="Arial"/>
          <w:bCs/>
          <w:sz w:val="28"/>
          <w:szCs w:val="28"/>
          <w:lang w:val="es-ES" w:eastAsia="es-ES"/>
        </w:rPr>
        <w:t xml:space="preserve">, a los actores así como a los terceros interesados, en virtud de que no señalaron domicilio en la Ciudad de México, sede de este órgano jurisdiccional; </w:t>
      </w:r>
      <w:r w:rsidRPr="00791593">
        <w:rPr>
          <w:rFonts w:ascii="Arial" w:eastAsia="Times New Roman" w:hAnsi="Arial" w:cs="Arial"/>
          <w:b/>
          <w:bCs/>
          <w:sz w:val="28"/>
          <w:szCs w:val="28"/>
          <w:lang w:val="es-ES" w:eastAsia="es-ES"/>
        </w:rPr>
        <w:t>por oficio</w:t>
      </w:r>
      <w:r w:rsidRPr="00791593">
        <w:rPr>
          <w:rFonts w:ascii="Arial" w:eastAsia="Times New Roman" w:hAnsi="Arial" w:cs="Arial"/>
          <w:bCs/>
          <w:sz w:val="28"/>
          <w:szCs w:val="28"/>
          <w:lang w:val="es-ES" w:eastAsia="es-ES"/>
        </w:rPr>
        <w:t xml:space="preserve">, con copia certificada de la presente sentencia, al Tribunal Electoral del Estado de Michoacán, al Consejo General del Instituto Nacional Electoral, así como al Consejo General del Instituto Electoral de Michoacán, y por su conducto, a los Coordinadores de Barrio y al  Consejo Mayor del Gobierno Comunal de Cherán, Michoacán; y, por </w:t>
      </w:r>
      <w:r w:rsidRPr="00791593">
        <w:rPr>
          <w:rFonts w:ascii="Arial" w:eastAsia="Times New Roman" w:hAnsi="Arial" w:cs="Arial"/>
          <w:b/>
          <w:bCs/>
          <w:sz w:val="28"/>
          <w:szCs w:val="28"/>
          <w:lang w:val="es-ES" w:eastAsia="es-ES"/>
        </w:rPr>
        <w:t>estrados</w:t>
      </w:r>
      <w:r w:rsidRPr="00791593">
        <w:rPr>
          <w:rFonts w:ascii="Arial" w:eastAsia="Times New Roman" w:hAnsi="Arial" w:cs="Arial"/>
          <w:bCs/>
          <w:sz w:val="28"/>
          <w:szCs w:val="28"/>
          <w:lang w:val="es-ES" w:eastAsia="es-ES"/>
        </w:rPr>
        <w:t xml:space="preserve">, a los demás interesados. </w:t>
      </w:r>
    </w:p>
    <w:p w14:paraId="14522C60" w14:textId="77777777" w:rsidR="00D03888" w:rsidRPr="00791593" w:rsidRDefault="00D03888" w:rsidP="00D03888">
      <w:pPr>
        <w:spacing w:before="120" w:after="120" w:line="360" w:lineRule="auto"/>
        <w:jc w:val="both"/>
        <w:rPr>
          <w:rFonts w:ascii="Arial" w:eastAsia="Times New Roman" w:hAnsi="Arial" w:cs="Arial"/>
          <w:bCs/>
          <w:sz w:val="28"/>
          <w:szCs w:val="28"/>
          <w:lang w:eastAsia="es-MX"/>
        </w:rPr>
      </w:pPr>
      <w:r w:rsidRPr="00791593">
        <w:rPr>
          <w:rFonts w:ascii="Arial" w:eastAsia="Times New Roman" w:hAnsi="Arial" w:cs="Arial"/>
          <w:bCs/>
          <w:sz w:val="28"/>
          <w:szCs w:val="28"/>
          <w:lang w:eastAsia="es-MX"/>
        </w:rPr>
        <w:t>Lo anterior, de conformidad con lo previsto en los artículos 26, párrafo 3, 28 y 29, párrafos 1 y 2, y 84, párrafo 2, incisos a) y b), de la Ley General del Sistema de Medios de Impugnación en Materia Electoral.</w:t>
      </w:r>
    </w:p>
    <w:p w14:paraId="2F7D08E9" w14:textId="77777777" w:rsidR="00D03888" w:rsidRPr="00791593" w:rsidRDefault="00D03888" w:rsidP="00D03888">
      <w:pPr>
        <w:spacing w:before="120" w:after="120" w:line="360" w:lineRule="auto"/>
        <w:jc w:val="both"/>
        <w:rPr>
          <w:rFonts w:ascii="Arial" w:eastAsia="Times New Roman" w:hAnsi="Arial" w:cs="Arial"/>
          <w:bCs/>
          <w:sz w:val="28"/>
          <w:szCs w:val="28"/>
          <w:lang w:eastAsia="es-MX"/>
        </w:rPr>
      </w:pPr>
      <w:r w:rsidRPr="00791593">
        <w:rPr>
          <w:rFonts w:ascii="Arial" w:eastAsia="Times New Roman" w:hAnsi="Arial" w:cs="Arial"/>
          <w:bCs/>
          <w:sz w:val="28"/>
          <w:szCs w:val="28"/>
          <w:lang w:eastAsia="es-MX"/>
        </w:rPr>
        <w:t>Devuélvanse los documentos atinentes y, en su oportunidad, archívese el expediente como asunto total y definitivamente concluido.</w:t>
      </w:r>
    </w:p>
    <w:p w14:paraId="6ACBA8A9" w14:textId="77777777" w:rsidR="00D03888" w:rsidRPr="00791593" w:rsidRDefault="00D03888" w:rsidP="00D03888">
      <w:pPr>
        <w:spacing w:before="120" w:after="120" w:line="360" w:lineRule="auto"/>
        <w:jc w:val="both"/>
        <w:rPr>
          <w:rFonts w:ascii="Arial" w:eastAsia="Times New Roman" w:hAnsi="Arial" w:cs="Arial"/>
          <w:bCs/>
          <w:sz w:val="28"/>
          <w:szCs w:val="28"/>
          <w:lang w:eastAsia="es-MX"/>
        </w:rPr>
      </w:pPr>
      <w:r w:rsidRPr="00791593">
        <w:rPr>
          <w:rFonts w:ascii="Arial" w:eastAsia="Times New Roman" w:hAnsi="Arial" w:cs="Arial"/>
          <w:bCs/>
          <w:sz w:val="28"/>
          <w:szCs w:val="28"/>
          <w:lang w:eastAsia="es-MX"/>
        </w:rPr>
        <w:t xml:space="preserve">Así, por </w:t>
      </w:r>
      <w:r w:rsidRPr="00791593">
        <w:rPr>
          <w:rFonts w:ascii="Arial" w:eastAsia="Times New Roman" w:hAnsi="Arial" w:cs="Arial"/>
          <w:b/>
          <w:bCs/>
          <w:sz w:val="28"/>
          <w:szCs w:val="28"/>
          <w:lang w:eastAsia="es-MX"/>
        </w:rPr>
        <w:t>UNANIMIDAD</w:t>
      </w:r>
      <w:r w:rsidRPr="00791593">
        <w:rPr>
          <w:rFonts w:ascii="Arial" w:eastAsia="Times New Roman" w:hAnsi="Arial" w:cs="Arial"/>
          <w:bCs/>
          <w:sz w:val="28"/>
          <w:szCs w:val="28"/>
          <w:lang w:eastAsia="es-MX"/>
        </w:rPr>
        <w:t xml:space="preserve"> de votos, lo resolvieron los Magistrados que integran la Sala Superior del Tribunal Electoral del Poder Judicial de la Federación, con la ausencia del Magistrado Salvador Olimpo Nava Gomar, ante la Subsecretaria General de Acuerdos en Funciones que autoriza y da fe.</w:t>
      </w:r>
    </w:p>
    <w:p w14:paraId="22124951" w14:textId="77777777" w:rsidR="00D03888" w:rsidRPr="00791593" w:rsidRDefault="00D03888" w:rsidP="00D03888">
      <w:pPr>
        <w:spacing w:before="120" w:after="120" w:line="360" w:lineRule="auto"/>
        <w:jc w:val="both"/>
        <w:rPr>
          <w:rFonts w:ascii="Arial" w:eastAsia="Times New Roman" w:hAnsi="Arial" w:cs="Arial"/>
          <w:bCs/>
          <w:sz w:val="28"/>
          <w:szCs w:val="28"/>
          <w:lang w:eastAsia="es-MX"/>
        </w:rPr>
      </w:pPr>
    </w:p>
    <w:tbl>
      <w:tblPr>
        <w:tblW w:w="7935" w:type="dxa"/>
        <w:jc w:val="center"/>
        <w:tblCellSpacing w:w="0" w:type="dxa"/>
        <w:tblCellMar>
          <w:left w:w="0" w:type="dxa"/>
          <w:right w:w="0" w:type="dxa"/>
        </w:tblCellMar>
        <w:tblLook w:val="04A0" w:firstRow="1" w:lastRow="0" w:firstColumn="1" w:lastColumn="0" w:noHBand="0" w:noVBand="1"/>
      </w:tblPr>
      <w:tblGrid>
        <w:gridCol w:w="3967"/>
        <w:gridCol w:w="3968"/>
      </w:tblGrid>
      <w:tr w:rsidR="00D03888" w:rsidRPr="00791593" w14:paraId="55A8E82E" w14:textId="77777777" w:rsidTr="00B05F31">
        <w:trPr>
          <w:tblCellSpacing w:w="0" w:type="dxa"/>
          <w:jc w:val="center"/>
        </w:trPr>
        <w:tc>
          <w:tcPr>
            <w:tcW w:w="0" w:type="auto"/>
            <w:gridSpan w:val="2"/>
            <w:tcMar>
              <w:top w:w="60" w:type="dxa"/>
              <w:left w:w="60" w:type="dxa"/>
              <w:bottom w:w="60" w:type="dxa"/>
              <w:right w:w="60" w:type="dxa"/>
            </w:tcMar>
          </w:tcPr>
          <w:p w14:paraId="32936DE3" w14:textId="77777777" w:rsidR="00D03888" w:rsidRPr="00791593" w:rsidRDefault="00D03888" w:rsidP="00D03888">
            <w:pPr>
              <w:spacing w:after="0" w:line="240" w:lineRule="auto"/>
              <w:jc w:val="center"/>
              <w:rPr>
                <w:rFonts w:ascii="Arial" w:eastAsia="Calibri" w:hAnsi="Arial" w:cs="Arial"/>
                <w:b/>
                <w:bCs/>
                <w:sz w:val="28"/>
                <w:szCs w:val="28"/>
                <w:lang w:val="pt-BR" w:eastAsia="es-MX"/>
              </w:rPr>
            </w:pPr>
            <w:r w:rsidRPr="00791593">
              <w:rPr>
                <w:rFonts w:ascii="Arial" w:eastAsia="Times New Roman" w:hAnsi="Arial" w:cs="Arial"/>
                <w:b/>
                <w:bCs/>
                <w:sz w:val="28"/>
                <w:szCs w:val="28"/>
                <w:lang w:val="pt-BR" w:eastAsia="es-MX"/>
              </w:rPr>
              <w:t>MAGISTRADO PRESIDENTE</w:t>
            </w:r>
          </w:p>
          <w:p w14:paraId="5CEB5F8D" w14:textId="77777777" w:rsidR="00D03888" w:rsidRPr="00791593" w:rsidRDefault="00D03888" w:rsidP="00D03888">
            <w:pPr>
              <w:spacing w:after="0" w:line="240" w:lineRule="auto"/>
              <w:jc w:val="center"/>
              <w:rPr>
                <w:rFonts w:ascii="Arial" w:eastAsia="Times New Roman" w:hAnsi="Arial" w:cs="Arial"/>
                <w:b/>
                <w:bCs/>
                <w:sz w:val="28"/>
                <w:szCs w:val="28"/>
                <w:lang w:val="pt-BR" w:eastAsia="es-MX"/>
              </w:rPr>
            </w:pPr>
          </w:p>
          <w:p w14:paraId="4CBD8601" w14:textId="77777777" w:rsidR="00D03888" w:rsidRPr="00791593" w:rsidRDefault="00D03888" w:rsidP="00D03888">
            <w:pPr>
              <w:spacing w:after="0" w:line="240" w:lineRule="auto"/>
              <w:jc w:val="center"/>
              <w:rPr>
                <w:rFonts w:ascii="Arial" w:eastAsia="Times New Roman" w:hAnsi="Arial" w:cs="Arial"/>
                <w:b/>
                <w:bCs/>
                <w:sz w:val="28"/>
                <w:szCs w:val="28"/>
                <w:lang w:val="pt-BR" w:eastAsia="es-MX"/>
              </w:rPr>
            </w:pPr>
          </w:p>
          <w:p w14:paraId="1DCAAFC7" w14:textId="77777777" w:rsidR="00D03888" w:rsidRPr="00791593" w:rsidRDefault="00D03888" w:rsidP="00D03888">
            <w:pPr>
              <w:spacing w:after="0" w:line="240" w:lineRule="auto"/>
              <w:jc w:val="center"/>
              <w:rPr>
                <w:rFonts w:ascii="Arial" w:eastAsia="Times New Roman" w:hAnsi="Arial" w:cs="Arial"/>
                <w:b/>
                <w:bCs/>
                <w:sz w:val="28"/>
                <w:szCs w:val="28"/>
                <w:lang w:val="pt-BR" w:eastAsia="es-MX"/>
              </w:rPr>
            </w:pPr>
          </w:p>
          <w:p w14:paraId="03C62FDA" w14:textId="77777777" w:rsidR="00D03888" w:rsidRPr="00791593" w:rsidRDefault="00D03888" w:rsidP="00D03888">
            <w:pPr>
              <w:spacing w:after="0" w:line="240" w:lineRule="auto"/>
              <w:jc w:val="center"/>
              <w:rPr>
                <w:rFonts w:ascii="Arial" w:eastAsia="Times New Roman" w:hAnsi="Arial" w:cs="Arial"/>
                <w:b/>
                <w:bCs/>
                <w:sz w:val="28"/>
                <w:szCs w:val="28"/>
                <w:lang w:val="pt-BR" w:eastAsia="es-MX"/>
              </w:rPr>
            </w:pPr>
          </w:p>
          <w:p w14:paraId="65266767" w14:textId="77777777" w:rsidR="00D03888" w:rsidRPr="00791593" w:rsidRDefault="00D03888" w:rsidP="00D03888">
            <w:pPr>
              <w:spacing w:after="0" w:line="240" w:lineRule="auto"/>
              <w:jc w:val="center"/>
              <w:rPr>
                <w:rFonts w:ascii="Arial" w:eastAsia="Times New Roman" w:hAnsi="Arial" w:cs="Arial"/>
                <w:b/>
                <w:bCs/>
                <w:sz w:val="28"/>
                <w:szCs w:val="28"/>
                <w:lang w:val="pt-BR" w:eastAsia="es-MX"/>
              </w:rPr>
            </w:pPr>
            <w:r w:rsidRPr="00791593">
              <w:rPr>
                <w:rFonts w:ascii="Arial" w:eastAsia="Times New Roman" w:hAnsi="Arial" w:cs="Arial"/>
                <w:b/>
                <w:bCs/>
                <w:sz w:val="28"/>
                <w:szCs w:val="28"/>
                <w:lang w:val="pt-BR" w:eastAsia="es-MX"/>
              </w:rPr>
              <w:t>JOSÉ ALEJANDRO LUNA RAMOS</w:t>
            </w:r>
          </w:p>
          <w:p w14:paraId="0D59D6E1" w14:textId="77777777" w:rsidR="00D03888" w:rsidRPr="00791593" w:rsidRDefault="00D03888" w:rsidP="00D03888">
            <w:pPr>
              <w:spacing w:after="0" w:line="240" w:lineRule="auto"/>
              <w:jc w:val="center"/>
              <w:rPr>
                <w:rFonts w:ascii="Arial" w:eastAsia="Times New Roman" w:hAnsi="Arial" w:cs="Arial"/>
                <w:sz w:val="28"/>
                <w:szCs w:val="28"/>
                <w:lang w:eastAsia="es-MX"/>
              </w:rPr>
            </w:pPr>
          </w:p>
          <w:p w14:paraId="4A951DE6" w14:textId="77777777" w:rsidR="00D03888" w:rsidRPr="00791593" w:rsidRDefault="00D03888" w:rsidP="00D03888">
            <w:pPr>
              <w:spacing w:after="0" w:line="240" w:lineRule="auto"/>
              <w:jc w:val="center"/>
              <w:rPr>
                <w:rFonts w:ascii="Arial" w:eastAsia="Times New Roman" w:hAnsi="Arial" w:cs="Arial"/>
                <w:sz w:val="28"/>
                <w:szCs w:val="28"/>
                <w:lang w:eastAsia="es-MX"/>
              </w:rPr>
            </w:pPr>
          </w:p>
        </w:tc>
      </w:tr>
      <w:tr w:rsidR="00D03888" w:rsidRPr="00791593" w14:paraId="6521D604" w14:textId="77777777" w:rsidTr="00B05F31">
        <w:trPr>
          <w:tblCellSpacing w:w="0" w:type="dxa"/>
          <w:jc w:val="center"/>
        </w:trPr>
        <w:tc>
          <w:tcPr>
            <w:tcW w:w="0" w:type="auto"/>
            <w:tcMar>
              <w:top w:w="60" w:type="dxa"/>
              <w:left w:w="60" w:type="dxa"/>
              <w:bottom w:w="60" w:type="dxa"/>
              <w:right w:w="60" w:type="dxa"/>
            </w:tcMar>
          </w:tcPr>
          <w:p w14:paraId="4BE00E91"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MAGISTRADA</w:t>
            </w:r>
          </w:p>
          <w:p w14:paraId="6D9BB30E"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09310CE3"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39C80A0D"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4A36674B"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24258888"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MARÍA DEL CARMEN ALANIS FIGUEROA</w:t>
            </w:r>
          </w:p>
        </w:tc>
        <w:tc>
          <w:tcPr>
            <w:tcW w:w="0" w:type="auto"/>
            <w:tcMar>
              <w:top w:w="60" w:type="dxa"/>
              <w:left w:w="60" w:type="dxa"/>
              <w:bottom w:w="60" w:type="dxa"/>
              <w:right w:w="60" w:type="dxa"/>
            </w:tcMar>
          </w:tcPr>
          <w:p w14:paraId="4EF38C8B"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MAGISTRADO</w:t>
            </w:r>
          </w:p>
          <w:p w14:paraId="706380BE"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344EE778"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5212B68B"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32F1C511"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0021FD76"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 xml:space="preserve">CONSTANCIO CARRASCO </w:t>
            </w:r>
          </w:p>
          <w:p w14:paraId="33055B01"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DAZA</w:t>
            </w:r>
          </w:p>
          <w:p w14:paraId="6F81059C"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43C12E81"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tc>
      </w:tr>
      <w:tr w:rsidR="00D03888" w:rsidRPr="00791593" w14:paraId="4285A9C1" w14:textId="77777777" w:rsidTr="00B05F31">
        <w:trPr>
          <w:tblCellSpacing w:w="0" w:type="dxa"/>
          <w:jc w:val="center"/>
        </w:trPr>
        <w:tc>
          <w:tcPr>
            <w:tcW w:w="2500" w:type="pct"/>
            <w:tcMar>
              <w:top w:w="60" w:type="dxa"/>
              <w:left w:w="60" w:type="dxa"/>
              <w:bottom w:w="60" w:type="dxa"/>
              <w:right w:w="60" w:type="dxa"/>
            </w:tcMar>
          </w:tcPr>
          <w:p w14:paraId="5E1C3869"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7BACEFA1" w14:textId="77777777" w:rsidR="00D03888" w:rsidRPr="00791593" w:rsidRDefault="00D03888" w:rsidP="00D03888">
            <w:pPr>
              <w:spacing w:after="0" w:line="240" w:lineRule="auto"/>
              <w:jc w:val="center"/>
              <w:rPr>
                <w:rFonts w:ascii="Arial" w:eastAsia="Calibri" w:hAnsi="Arial" w:cs="Arial"/>
                <w:b/>
                <w:bCs/>
                <w:sz w:val="28"/>
                <w:szCs w:val="28"/>
                <w:lang w:eastAsia="es-MX"/>
              </w:rPr>
            </w:pPr>
            <w:r w:rsidRPr="00791593">
              <w:rPr>
                <w:rFonts w:ascii="Arial" w:eastAsia="Times New Roman" w:hAnsi="Arial" w:cs="Arial"/>
                <w:b/>
                <w:bCs/>
                <w:sz w:val="28"/>
                <w:szCs w:val="28"/>
                <w:lang w:eastAsia="es-MX"/>
              </w:rPr>
              <w:t>MAGISTRADO</w:t>
            </w:r>
          </w:p>
          <w:p w14:paraId="3471EB60"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115F8D55"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19BDA5FC"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1B957F8D"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FLAVIO GALVÁN RIVERA</w:t>
            </w:r>
          </w:p>
        </w:tc>
        <w:tc>
          <w:tcPr>
            <w:tcW w:w="2500" w:type="pct"/>
            <w:tcMar>
              <w:top w:w="60" w:type="dxa"/>
              <w:left w:w="60" w:type="dxa"/>
              <w:bottom w:w="60" w:type="dxa"/>
              <w:right w:w="60" w:type="dxa"/>
            </w:tcMar>
          </w:tcPr>
          <w:p w14:paraId="514B173E"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48C78941" w14:textId="77777777" w:rsidR="00D03888" w:rsidRPr="00791593" w:rsidRDefault="00D03888" w:rsidP="00D03888">
            <w:pPr>
              <w:spacing w:after="0" w:line="240" w:lineRule="auto"/>
              <w:jc w:val="center"/>
              <w:rPr>
                <w:rFonts w:ascii="Arial" w:eastAsia="Calibri" w:hAnsi="Arial" w:cs="Arial"/>
                <w:b/>
                <w:bCs/>
                <w:sz w:val="28"/>
                <w:szCs w:val="28"/>
                <w:lang w:eastAsia="es-MX"/>
              </w:rPr>
            </w:pPr>
            <w:r w:rsidRPr="00791593">
              <w:rPr>
                <w:rFonts w:ascii="Arial" w:eastAsia="Times New Roman" w:hAnsi="Arial" w:cs="Arial"/>
                <w:b/>
                <w:bCs/>
                <w:sz w:val="28"/>
                <w:szCs w:val="28"/>
                <w:lang w:eastAsia="es-MX"/>
              </w:rPr>
              <w:t>MAGISTRADO</w:t>
            </w:r>
          </w:p>
          <w:p w14:paraId="29E95363"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7730CF75"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2693BB2F"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0C80C156" w14:textId="77777777" w:rsidR="00D03888" w:rsidRPr="00791593" w:rsidRDefault="00D03888" w:rsidP="00D03888">
            <w:pPr>
              <w:spacing w:after="0" w:line="240" w:lineRule="auto"/>
              <w:jc w:val="center"/>
              <w:rPr>
                <w:rFonts w:ascii="Arial" w:eastAsia="Times New Roman" w:hAnsi="Arial" w:cs="Arial"/>
                <w:sz w:val="28"/>
                <w:szCs w:val="28"/>
                <w:lang w:val="pt-BR" w:eastAsia="es-MX"/>
              </w:rPr>
            </w:pPr>
            <w:r w:rsidRPr="00791593">
              <w:rPr>
                <w:rFonts w:ascii="Arial" w:eastAsia="Times New Roman" w:hAnsi="Arial" w:cs="Arial"/>
                <w:b/>
                <w:bCs/>
                <w:sz w:val="28"/>
                <w:szCs w:val="28"/>
                <w:lang w:eastAsia="es-MX"/>
              </w:rPr>
              <w:t>MANUEL GONZÁLEZ OROPEZA</w:t>
            </w:r>
          </w:p>
        </w:tc>
      </w:tr>
      <w:tr w:rsidR="00D03888" w:rsidRPr="00791593" w14:paraId="59B740AC" w14:textId="77777777" w:rsidTr="00B05F31">
        <w:trPr>
          <w:tblCellSpacing w:w="0" w:type="dxa"/>
          <w:jc w:val="center"/>
        </w:trPr>
        <w:tc>
          <w:tcPr>
            <w:tcW w:w="2500" w:type="pct"/>
            <w:tcMar>
              <w:top w:w="60" w:type="dxa"/>
              <w:left w:w="60" w:type="dxa"/>
              <w:bottom w:w="60" w:type="dxa"/>
              <w:right w:w="60" w:type="dxa"/>
            </w:tcMar>
          </w:tcPr>
          <w:p w14:paraId="1CCE1CB8" w14:textId="77777777" w:rsidR="00D03888" w:rsidRPr="00791593" w:rsidRDefault="00D03888" w:rsidP="00D03888">
            <w:pPr>
              <w:spacing w:after="0" w:line="240" w:lineRule="auto"/>
              <w:jc w:val="center"/>
              <w:rPr>
                <w:rFonts w:ascii="Arial" w:eastAsia="Times New Roman" w:hAnsi="Arial" w:cs="Arial"/>
                <w:sz w:val="28"/>
                <w:szCs w:val="28"/>
                <w:lang w:val="pt-BR" w:eastAsia="es-MX"/>
              </w:rPr>
            </w:pPr>
          </w:p>
        </w:tc>
        <w:tc>
          <w:tcPr>
            <w:tcW w:w="2500" w:type="pct"/>
            <w:tcMar>
              <w:top w:w="60" w:type="dxa"/>
              <w:left w:w="60" w:type="dxa"/>
              <w:bottom w:w="60" w:type="dxa"/>
              <w:right w:w="60" w:type="dxa"/>
            </w:tcMar>
            <w:vAlign w:val="center"/>
          </w:tcPr>
          <w:p w14:paraId="2A307CE3" w14:textId="77777777" w:rsidR="00D03888" w:rsidRPr="00791593" w:rsidRDefault="00D03888" w:rsidP="00D03888">
            <w:pPr>
              <w:spacing w:after="0" w:line="240" w:lineRule="auto"/>
              <w:jc w:val="center"/>
              <w:rPr>
                <w:rFonts w:ascii="Arial" w:eastAsia="Times New Roman" w:hAnsi="Arial" w:cs="Arial"/>
                <w:b/>
                <w:bCs/>
                <w:sz w:val="28"/>
                <w:szCs w:val="28"/>
                <w:lang w:val="pt-BR" w:eastAsia="es-ES"/>
              </w:rPr>
            </w:pPr>
          </w:p>
          <w:p w14:paraId="2133D33A" w14:textId="77777777" w:rsidR="00D03888" w:rsidRPr="00791593" w:rsidRDefault="00D03888" w:rsidP="00D03888">
            <w:pPr>
              <w:spacing w:after="0" w:line="240" w:lineRule="auto"/>
              <w:jc w:val="center"/>
              <w:rPr>
                <w:rFonts w:ascii="Arial" w:eastAsia="Times New Roman" w:hAnsi="Arial" w:cs="Arial"/>
                <w:b/>
                <w:bCs/>
                <w:sz w:val="28"/>
                <w:szCs w:val="28"/>
                <w:lang w:val="pt-BR" w:eastAsia="es-ES"/>
              </w:rPr>
            </w:pPr>
          </w:p>
          <w:p w14:paraId="5C3B2BD7" w14:textId="77777777" w:rsidR="00D03888" w:rsidRPr="00791593" w:rsidRDefault="00D03888" w:rsidP="00D03888">
            <w:pPr>
              <w:spacing w:after="0" w:line="240" w:lineRule="auto"/>
              <w:jc w:val="center"/>
              <w:rPr>
                <w:rFonts w:ascii="Arial" w:eastAsia="Times New Roman" w:hAnsi="Arial" w:cs="Arial"/>
                <w:b/>
                <w:bCs/>
                <w:sz w:val="28"/>
                <w:szCs w:val="28"/>
                <w:lang w:val="pt-BR" w:eastAsia="es-ES"/>
              </w:rPr>
            </w:pPr>
          </w:p>
          <w:p w14:paraId="650DB3CA" w14:textId="77777777" w:rsidR="00D03888" w:rsidRPr="00791593" w:rsidRDefault="00D03888" w:rsidP="00D03888">
            <w:pPr>
              <w:spacing w:after="0" w:line="240" w:lineRule="auto"/>
              <w:jc w:val="center"/>
              <w:rPr>
                <w:rFonts w:ascii="Arial" w:eastAsia="Times New Roman" w:hAnsi="Arial" w:cs="Arial"/>
                <w:b/>
                <w:bCs/>
                <w:sz w:val="28"/>
                <w:szCs w:val="28"/>
                <w:lang w:val="pt-BR" w:eastAsia="es-ES"/>
              </w:rPr>
            </w:pPr>
          </w:p>
        </w:tc>
      </w:tr>
      <w:tr w:rsidR="00D03888" w:rsidRPr="00791593" w14:paraId="78E238CE" w14:textId="77777777" w:rsidTr="00B05F31">
        <w:trPr>
          <w:tblCellSpacing w:w="0" w:type="dxa"/>
          <w:jc w:val="center"/>
        </w:trPr>
        <w:tc>
          <w:tcPr>
            <w:tcW w:w="0" w:type="auto"/>
            <w:gridSpan w:val="2"/>
            <w:tcMar>
              <w:top w:w="60" w:type="dxa"/>
              <w:left w:w="60" w:type="dxa"/>
              <w:bottom w:w="60" w:type="dxa"/>
              <w:right w:w="60" w:type="dxa"/>
            </w:tcMar>
          </w:tcPr>
          <w:p w14:paraId="6638DCBA" w14:textId="77777777" w:rsidR="00D03888" w:rsidRPr="00791593" w:rsidRDefault="00D03888" w:rsidP="00D03888">
            <w:pPr>
              <w:spacing w:after="0" w:line="240" w:lineRule="auto"/>
              <w:jc w:val="center"/>
              <w:rPr>
                <w:rFonts w:ascii="Arial" w:eastAsia="Times New Roman" w:hAnsi="Arial" w:cs="Arial"/>
                <w:b/>
                <w:bCs/>
                <w:sz w:val="28"/>
                <w:szCs w:val="28"/>
                <w:lang w:val="pt-BR" w:eastAsia="es-MX"/>
              </w:rPr>
            </w:pPr>
            <w:r w:rsidRPr="00791593">
              <w:rPr>
                <w:rFonts w:ascii="Arial" w:eastAsia="Times New Roman" w:hAnsi="Arial" w:cs="Arial"/>
                <w:b/>
                <w:bCs/>
                <w:sz w:val="28"/>
                <w:szCs w:val="28"/>
                <w:lang w:val="pt-BR" w:eastAsia="es-MX"/>
              </w:rPr>
              <w:t>MAGISTRADO</w:t>
            </w:r>
          </w:p>
          <w:p w14:paraId="2E78A809" w14:textId="77777777" w:rsidR="00D03888" w:rsidRPr="00791593" w:rsidRDefault="00D03888" w:rsidP="00D03888">
            <w:pPr>
              <w:spacing w:after="0" w:line="240" w:lineRule="auto"/>
              <w:jc w:val="center"/>
              <w:rPr>
                <w:rFonts w:ascii="Arial" w:eastAsia="Times New Roman" w:hAnsi="Arial" w:cs="Arial"/>
                <w:b/>
                <w:bCs/>
                <w:sz w:val="28"/>
                <w:szCs w:val="28"/>
                <w:lang w:val="pt-BR" w:eastAsia="es-MX"/>
              </w:rPr>
            </w:pPr>
          </w:p>
          <w:p w14:paraId="65D31A4A" w14:textId="77777777" w:rsidR="00D03888" w:rsidRPr="00791593" w:rsidRDefault="00D03888" w:rsidP="00D03888">
            <w:pPr>
              <w:spacing w:after="0" w:line="240" w:lineRule="auto"/>
              <w:jc w:val="center"/>
              <w:rPr>
                <w:rFonts w:ascii="Arial" w:eastAsia="Times New Roman" w:hAnsi="Arial" w:cs="Arial"/>
                <w:b/>
                <w:bCs/>
                <w:sz w:val="28"/>
                <w:szCs w:val="28"/>
                <w:lang w:val="pt-BR" w:eastAsia="es-MX"/>
              </w:rPr>
            </w:pPr>
          </w:p>
          <w:p w14:paraId="6EA46B7C" w14:textId="77777777" w:rsidR="00D03888" w:rsidRPr="00791593" w:rsidRDefault="00D03888" w:rsidP="00D03888">
            <w:pPr>
              <w:spacing w:after="0" w:line="240" w:lineRule="auto"/>
              <w:jc w:val="center"/>
              <w:rPr>
                <w:rFonts w:ascii="Arial" w:eastAsia="Times New Roman" w:hAnsi="Arial" w:cs="Arial"/>
                <w:b/>
                <w:bCs/>
                <w:sz w:val="28"/>
                <w:szCs w:val="28"/>
                <w:lang w:val="pt-BR" w:eastAsia="es-MX"/>
              </w:rPr>
            </w:pPr>
          </w:p>
          <w:p w14:paraId="34BC75C0" w14:textId="77777777" w:rsidR="00D03888" w:rsidRPr="00791593" w:rsidRDefault="00D03888" w:rsidP="00D03888">
            <w:pPr>
              <w:spacing w:after="0" w:line="240" w:lineRule="auto"/>
              <w:jc w:val="center"/>
              <w:rPr>
                <w:rFonts w:ascii="Arial" w:eastAsia="Times New Roman" w:hAnsi="Arial" w:cs="Arial"/>
                <w:sz w:val="28"/>
                <w:szCs w:val="28"/>
                <w:lang w:val="pt-BR" w:eastAsia="es-MX"/>
              </w:rPr>
            </w:pPr>
            <w:r w:rsidRPr="00791593">
              <w:rPr>
                <w:rFonts w:ascii="Arial" w:eastAsia="Times New Roman" w:hAnsi="Arial" w:cs="Arial"/>
                <w:b/>
                <w:bCs/>
                <w:sz w:val="28"/>
                <w:szCs w:val="28"/>
                <w:lang w:val="pt-BR" w:eastAsia="es-MX"/>
              </w:rPr>
              <w:t xml:space="preserve">PEDRO ESTEBAN PENAGOS LÓPEZ </w:t>
            </w:r>
          </w:p>
          <w:p w14:paraId="3CFE0A69"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tc>
      </w:tr>
      <w:tr w:rsidR="00D03888" w:rsidRPr="00791593" w14:paraId="553B39D7" w14:textId="77777777" w:rsidTr="00B05F31">
        <w:trPr>
          <w:tblCellSpacing w:w="0" w:type="dxa"/>
          <w:jc w:val="center"/>
        </w:trPr>
        <w:tc>
          <w:tcPr>
            <w:tcW w:w="0" w:type="auto"/>
            <w:gridSpan w:val="2"/>
            <w:tcMar>
              <w:top w:w="60" w:type="dxa"/>
              <w:left w:w="60" w:type="dxa"/>
              <w:bottom w:w="60" w:type="dxa"/>
              <w:right w:w="60" w:type="dxa"/>
            </w:tcMar>
          </w:tcPr>
          <w:p w14:paraId="19AA2ECC"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30D21A9B"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r w:rsidRPr="00791593">
              <w:rPr>
                <w:rFonts w:ascii="Arial" w:eastAsia="Times New Roman" w:hAnsi="Arial" w:cs="Arial"/>
                <w:b/>
                <w:bCs/>
                <w:sz w:val="28"/>
                <w:szCs w:val="28"/>
                <w:lang w:eastAsia="es-MX"/>
              </w:rPr>
              <w:t xml:space="preserve">SUBSECRETARIA GENERAL DE ACUERDOS </w:t>
            </w:r>
          </w:p>
          <w:p w14:paraId="075385A0" w14:textId="77777777" w:rsidR="00D03888" w:rsidRPr="00791593" w:rsidRDefault="00D03888" w:rsidP="00D03888">
            <w:pPr>
              <w:spacing w:after="0" w:line="240" w:lineRule="auto"/>
              <w:jc w:val="center"/>
              <w:rPr>
                <w:rFonts w:ascii="Arial" w:eastAsia="Calibri" w:hAnsi="Arial" w:cs="Arial"/>
                <w:b/>
                <w:bCs/>
                <w:sz w:val="28"/>
                <w:szCs w:val="28"/>
                <w:lang w:eastAsia="es-MX"/>
              </w:rPr>
            </w:pPr>
            <w:r w:rsidRPr="00791593">
              <w:rPr>
                <w:rFonts w:ascii="Arial" w:eastAsia="Times New Roman" w:hAnsi="Arial" w:cs="Arial"/>
                <w:b/>
                <w:bCs/>
                <w:sz w:val="28"/>
                <w:szCs w:val="28"/>
                <w:lang w:eastAsia="es-MX"/>
              </w:rPr>
              <w:t>EN FUNCIONES</w:t>
            </w:r>
          </w:p>
          <w:p w14:paraId="2A3A1262"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10E0097A"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7DD858EB" w14:textId="77777777" w:rsidR="00D03888" w:rsidRPr="00791593" w:rsidRDefault="00D03888" w:rsidP="00D03888">
            <w:pPr>
              <w:spacing w:after="0" w:line="240" w:lineRule="auto"/>
              <w:jc w:val="center"/>
              <w:rPr>
                <w:rFonts w:ascii="Arial" w:eastAsia="Times New Roman" w:hAnsi="Arial" w:cs="Arial"/>
                <w:b/>
                <w:bCs/>
                <w:sz w:val="28"/>
                <w:szCs w:val="28"/>
                <w:lang w:eastAsia="es-MX"/>
              </w:rPr>
            </w:pPr>
          </w:p>
          <w:p w14:paraId="6FD83A23" w14:textId="77777777" w:rsidR="00D03888" w:rsidRPr="00791593" w:rsidRDefault="00D03888" w:rsidP="00D03888">
            <w:pPr>
              <w:spacing w:after="0" w:line="240" w:lineRule="auto"/>
              <w:jc w:val="center"/>
              <w:rPr>
                <w:rFonts w:ascii="Arial" w:eastAsia="Times New Roman" w:hAnsi="Arial" w:cs="Arial"/>
                <w:b/>
                <w:sz w:val="28"/>
                <w:szCs w:val="28"/>
                <w:lang w:eastAsia="es-MX"/>
              </w:rPr>
            </w:pPr>
            <w:r w:rsidRPr="00791593">
              <w:rPr>
                <w:rFonts w:ascii="Arial" w:eastAsia="Times New Roman" w:hAnsi="Arial" w:cs="Arial"/>
                <w:b/>
                <w:sz w:val="28"/>
                <w:szCs w:val="28"/>
                <w:lang w:eastAsia="es-MX"/>
              </w:rPr>
              <w:t>MARÍA CECILIA SÁNCHEZ BARREIRO</w:t>
            </w:r>
          </w:p>
        </w:tc>
      </w:tr>
    </w:tbl>
    <w:p w14:paraId="5C26C0F3" w14:textId="77777777" w:rsidR="00D03888" w:rsidRPr="00791593" w:rsidRDefault="00D03888" w:rsidP="00D03888">
      <w:pPr>
        <w:spacing w:before="100" w:beforeAutospacing="1" w:after="100" w:afterAutospacing="1" w:line="360" w:lineRule="auto"/>
        <w:jc w:val="both"/>
        <w:rPr>
          <w:rFonts w:ascii="Arial" w:eastAsia="Times New Roman" w:hAnsi="Arial" w:cs="Arial"/>
          <w:sz w:val="30"/>
          <w:szCs w:val="30"/>
          <w:lang w:val="es-ES" w:eastAsia="es-MX"/>
        </w:rPr>
      </w:pPr>
    </w:p>
    <w:p w14:paraId="289E59C4" w14:textId="77777777" w:rsidR="00D03888" w:rsidRPr="00791593" w:rsidRDefault="00D03888" w:rsidP="00D03888">
      <w:pPr>
        <w:ind w:firstLine="708"/>
        <w:rPr>
          <w:rFonts w:ascii="Arial" w:hAnsi="Arial" w:cs="Arial"/>
          <w:lang w:eastAsia="es-MX"/>
        </w:rPr>
      </w:pPr>
    </w:p>
    <w:sectPr w:rsidR="00D03888" w:rsidRPr="0079159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2ED66" w14:textId="77777777" w:rsidR="008D1689" w:rsidRDefault="008D1689" w:rsidP="00DF77D2">
      <w:pPr>
        <w:spacing w:after="0" w:line="240" w:lineRule="auto"/>
      </w:pPr>
      <w:r>
        <w:separator/>
      </w:r>
    </w:p>
  </w:endnote>
  <w:endnote w:type="continuationSeparator" w:id="0">
    <w:p w14:paraId="383200A0" w14:textId="77777777" w:rsidR="008D1689" w:rsidRDefault="008D1689" w:rsidP="00DF7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90242" w14:textId="77777777" w:rsidR="008D1689" w:rsidRDefault="008D1689" w:rsidP="00DF77D2">
      <w:pPr>
        <w:spacing w:after="0" w:line="240" w:lineRule="auto"/>
      </w:pPr>
      <w:r>
        <w:separator/>
      </w:r>
    </w:p>
  </w:footnote>
  <w:footnote w:type="continuationSeparator" w:id="0">
    <w:p w14:paraId="6FF265C8" w14:textId="77777777" w:rsidR="008D1689" w:rsidRDefault="008D1689" w:rsidP="00DF77D2">
      <w:pPr>
        <w:spacing w:after="0" w:line="240" w:lineRule="auto"/>
      </w:pPr>
      <w:r>
        <w:continuationSeparator/>
      </w:r>
    </w:p>
  </w:footnote>
  <w:footnote w:id="1">
    <w:p w14:paraId="593BC2A9"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Este criterio se suscribió en el SUP-REC-18/2014.</w:t>
      </w:r>
    </w:p>
  </w:footnote>
  <w:footnote w:id="2">
    <w:p w14:paraId="64A7BE16"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w:t>
      </w:r>
      <w:r w:rsidRPr="00B609AE">
        <w:rPr>
          <w:rFonts w:ascii="Univers" w:hAnsi="Univers" w:cs="Arial"/>
          <w:bCs/>
        </w:rPr>
        <w:t>La aprobación se publicó en el Diario Oficial de la Federación el nueve de enero de mil novecientos ochenta y uno, en tanto que la promulgación se publicó el siete de mayo del mismo año</w:t>
      </w:r>
    </w:p>
  </w:footnote>
  <w:footnote w:id="3">
    <w:p w14:paraId="12343307"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w:t>
      </w:r>
      <w:r w:rsidRPr="00B609AE">
        <w:rPr>
          <w:rFonts w:ascii="Univers" w:hAnsi="Univers" w:cs="Arial"/>
        </w:rPr>
        <w:t>Caso Velázquez Rodríguez, sentencia de 29 de julio de 1988, párrafos 165 a 167, y Caso Godínez Cruz, sentencia de 20 de enero de 1989, párrafos 174 a 176.</w:t>
      </w:r>
    </w:p>
  </w:footnote>
  <w:footnote w:id="4">
    <w:p w14:paraId="77964FA2"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w:t>
      </w:r>
      <w:r w:rsidRPr="00B609AE">
        <w:rPr>
          <w:rFonts w:ascii="Univers" w:hAnsi="Univers" w:cs="Arial"/>
          <w:bCs/>
        </w:rPr>
        <w:t xml:space="preserve">Excepciones al agotamiento de los recursos internos [Art. 46.1, 46.2.a y 46.2.b Convención Americana Sobre Derechos Humanos]. Opinión consultiva OC-11/90 del 10 de agosto de 1990, párrafo 34; caso Bámara Velázquez. Sentencia de 25 de noviembre de 2000, párrafo 194; caso Hilaire, Constantine y Benjamín y Otros vs. Trinidad y Tobago. Sentencia de 21 de junio de 2002, párrafo 151, y caso Cantos. Sentencia de 28 de noviembre de 2002, párrafo 49. </w:t>
      </w:r>
    </w:p>
  </w:footnote>
  <w:footnote w:id="5">
    <w:p w14:paraId="5C79ED9D"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w:t>
      </w:r>
      <w:r w:rsidRPr="00B609AE">
        <w:rPr>
          <w:rFonts w:ascii="Univers" w:hAnsi="Univers" w:cs="Arial"/>
          <w:bCs/>
        </w:rPr>
        <w:t>Caso Comunidad Indígena Yakye Axa vs. Paraguay. Sentencia de 17 de junio de 2005, párrafo 51</w:t>
      </w:r>
      <w:r>
        <w:rPr>
          <w:rFonts w:ascii="Univers" w:hAnsi="Univers" w:cs="Arial"/>
          <w:bCs/>
        </w:rPr>
        <w:t>.</w:t>
      </w:r>
    </w:p>
  </w:footnote>
  <w:footnote w:id="6">
    <w:p w14:paraId="4C9D924D" w14:textId="77777777" w:rsidR="004D6EB2" w:rsidRPr="00D90245" w:rsidRDefault="004D6EB2" w:rsidP="00DF77D2">
      <w:pPr>
        <w:pStyle w:val="Textonotapie"/>
        <w:rPr>
          <w:rFonts w:ascii="Univers" w:hAnsi="Univers"/>
        </w:rPr>
      </w:pPr>
      <w:r w:rsidRPr="00D90245">
        <w:rPr>
          <w:rStyle w:val="Refdenotaalpie"/>
          <w:rFonts w:ascii="Univers" w:hAnsi="Univers"/>
        </w:rPr>
        <w:footnoteRef/>
      </w:r>
      <w:r w:rsidRPr="00D90245">
        <w:rPr>
          <w:rFonts w:ascii="Univers" w:hAnsi="Univers"/>
        </w:rPr>
        <w:t xml:space="preserve"> Este criterio se sostuvo por primera vez en el asunto SUP-JDC-637/2011 y acumulado.</w:t>
      </w:r>
    </w:p>
  </w:footnote>
  <w:footnote w:id="7">
    <w:p w14:paraId="54026DE3"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Consultable a página setenta y dos de la resolución recurrida. </w:t>
      </w:r>
    </w:p>
  </w:footnote>
  <w:footnote w:id="8">
    <w:p w14:paraId="7C3E761A"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Cfr. De la página sesenta y nueve a la ochenta y uno de la sentencia a debate. </w:t>
      </w:r>
    </w:p>
  </w:footnote>
  <w:footnote w:id="9">
    <w:p w14:paraId="0345BF15"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Cfr. Razonamientos esgrimidos de la página ochenta y uno a la ochenta y tres del acto impugnado.</w:t>
      </w:r>
    </w:p>
  </w:footnote>
  <w:footnote w:id="10">
    <w:p w14:paraId="25C03104"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Cfr. Consideraciones de la página ochenta y tres a la ochenta y seis de la sentencia combatida.</w:t>
      </w:r>
    </w:p>
    <w:p w14:paraId="59253C9F" w14:textId="77777777" w:rsidR="004D6EB2" w:rsidRPr="00B609AE" w:rsidRDefault="004D6EB2" w:rsidP="00DF77D2">
      <w:pPr>
        <w:pStyle w:val="Textonotapie"/>
        <w:jc w:val="both"/>
        <w:rPr>
          <w:rFonts w:ascii="Univers" w:hAnsi="Univers"/>
        </w:rPr>
      </w:pPr>
    </w:p>
  </w:footnote>
  <w:footnote w:id="11">
    <w:p w14:paraId="04938C43"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Capítulo VII “De las Pruebas” de la Ley del Sistema de Medios de Impugnación en Materia Electoral y de Participación Ciudadana para el Estado de Oaxaca.</w:t>
      </w:r>
    </w:p>
  </w:footnote>
  <w:footnote w:id="12">
    <w:p w14:paraId="2B789A6B"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Artículo 14 de la Ley del Sistema de Medios de Impugnación en Materia Electoral y de Participación Ciudadana para el Estado de Oaxaca.</w:t>
      </w:r>
    </w:p>
    <w:p w14:paraId="4CC8B790" w14:textId="77777777" w:rsidR="004D6EB2" w:rsidRPr="00B609AE" w:rsidRDefault="004D6EB2" w:rsidP="00DF77D2">
      <w:pPr>
        <w:pStyle w:val="Textonotapie"/>
        <w:jc w:val="both"/>
        <w:rPr>
          <w:rFonts w:ascii="Univers" w:hAnsi="Univers"/>
        </w:rPr>
      </w:pPr>
    </w:p>
  </w:footnote>
  <w:footnote w:id="13">
    <w:p w14:paraId="4B36EE19"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Artículo 14, párrafo 5, de la Ley del Sistema de Medios de Impugnación en Materia Electoral y de Participación Ciudadana para el Estado de Oaxaca.</w:t>
      </w:r>
    </w:p>
  </w:footnote>
  <w:footnote w:id="14">
    <w:p w14:paraId="1559064F"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Así se acordó en el auto de treinta y uno de diciembre de dos mil trece, que se ubica a foja cuatrocientos diecisiete del cuaderno accesorio número tres del expediente en estudio.</w:t>
      </w:r>
    </w:p>
  </w:footnote>
  <w:footnote w:id="15">
    <w:p w14:paraId="1353B448" w14:textId="77777777" w:rsidR="004D6EB2" w:rsidRPr="00B609AE" w:rsidRDefault="004D6EB2" w:rsidP="00DF77D2">
      <w:pPr>
        <w:pStyle w:val="Textonotapie"/>
        <w:jc w:val="both"/>
        <w:rPr>
          <w:rFonts w:ascii="Univers" w:hAnsi="Univers"/>
          <w:lang w:val="es-MX"/>
        </w:rPr>
      </w:pPr>
      <w:r w:rsidRPr="00B609AE">
        <w:rPr>
          <w:rStyle w:val="Refdenotaalpie"/>
          <w:rFonts w:ascii="Univers" w:hAnsi="Univers"/>
        </w:rPr>
        <w:footnoteRef/>
      </w:r>
      <w:r w:rsidRPr="00B609AE">
        <w:rPr>
          <w:rFonts w:ascii="Univers" w:hAnsi="Univers"/>
        </w:rPr>
        <w:t xml:space="preserve"> </w:t>
      </w:r>
      <w:r w:rsidRPr="00B609AE">
        <w:rPr>
          <w:rFonts w:ascii="Univers" w:hAnsi="Univers"/>
          <w:lang w:val="es-MX"/>
        </w:rPr>
        <w:t>Este criterio se</w:t>
      </w:r>
      <w:r>
        <w:rPr>
          <w:rFonts w:ascii="Univers" w:hAnsi="Univers"/>
          <w:lang w:val="es-MX"/>
        </w:rPr>
        <w:t xml:space="preserve"> encuentra en</w:t>
      </w:r>
      <w:r w:rsidRPr="00B609AE">
        <w:rPr>
          <w:rFonts w:ascii="Univers" w:hAnsi="Univers"/>
          <w:lang w:val="es-MX"/>
        </w:rPr>
        <w:t xml:space="preserve"> la</w:t>
      </w:r>
      <w:r>
        <w:rPr>
          <w:rFonts w:ascii="Univers" w:hAnsi="Univers"/>
          <w:lang w:val="es-MX"/>
        </w:rPr>
        <w:t xml:space="preserve"> sentencia del SUP-JDC-771/2007, entre otras.</w:t>
      </w:r>
    </w:p>
  </w:footnote>
  <w:footnote w:id="16">
    <w:p w14:paraId="0D37EEBF" w14:textId="77777777" w:rsidR="004D6EB2" w:rsidRPr="00B609AE" w:rsidRDefault="004D6EB2" w:rsidP="00DF77D2">
      <w:pPr>
        <w:pStyle w:val="Textonotapie"/>
        <w:jc w:val="both"/>
        <w:rPr>
          <w:rStyle w:val="Refdenotaalpie"/>
          <w:rFonts w:ascii="Univers" w:hAnsi="Univers"/>
        </w:rPr>
      </w:pPr>
      <w:r w:rsidRPr="00B609AE">
        <w:rPr>
          <w:rStyle w:val="Refdenotaalpie"/>
          <w:rFonts w:ascii="Univers" w:hAnsi="Univers"/>
        </w:rPr>
        <w:footnoteRef/>
      </w:r>
      <w:r w:rsidRPr="00B609AE">
        <w:rPr>
          <w:rStyle w:val="Refdenotaalpie"/>
          <w:rFonts w:ascii="Univers" w:hAnsi="Univers"/>
        </w:rPr>
        <w:t xml:space="preserve"> </w:t>
      </w:r>
      <w:r w:rsidRPr="00B609AE">
        <w:rPr>
          <w:rFonts w:ascii="Univers" w:hAnsi="Univers"/>
        </w:rPr>
        <w:t>Por ejemplo en la sentencia del asunto SUP-JRC-290/2007.</w:t>
      </w:r>
    </w:p>
  </w:footnote>
  <w:footnote w:id="17">
    <w:p w14:paraId="35CEDEE4" w14:textId="77777777" w:rsidR="004D6EB2" w:rsidRPr="00B609AE" w:rsidRDefault="004D6EB2" w:rsidP="00DF77D2">
      <w:pPr>
        <w:pStyle w:val="Textonotapie"/>
        <w:jc w:val="both"/>
        <w:rPr>
          <w:rFonts w:ascii="Univers" w:hAnsi="Univers"/>
          <w:lang w:val="es-MX"/>
        </w:rPr>
      </w:pPr>
      <w:r w:rsidRPr="00B609AE">
        <w:rPr>
          <w:rStyle w:val="Refdenotaalpie"/>
          <w:rFonts w:ascii="Univers" w:hAnsi="Univers"/>
        </w:rPr>
        <w:footnoteRef/>
      </w:r>
      <w:r w:rsidRPr="00B609AE">
        <w:rPr>
          <w:rFonts w:ascii="Univers" w:hAnsi="Univers"/>
        </w:rPr>
        <w:t xml:space="preserve"> Se encuentra repetida en la foja 339 del cuaderno accesorio 2.</w:t>
      </w:r>
    </w:p>
  </w:footnote>
  <w:footnote w:id="18">
    <w:p w14:paraId="5C49B1EF" w14:textId="77777777" w:rsidR="004D6EB2" w:rsidRPr="00B609AE" w:rsidRDefault="004D6EB2" w:rsidP="00DF77D2">
      <w:pPr>
        <w:pStyle w:val="Textonotapie"/>
        <w:jc w:val="both"/>
        <w:rPr>
          <w:rFonts w:ascii="Univers" w:hAnsi="Univers"/>
          <w:lang w:val="es-MX"/>
        </w:rPr>
      </w:pPr>
      <w:r w:rsidRPr="00B609AE">
        <w:rPr>
          <w:rStyle w:val="Refdenotaalpie"/>
          <w:rFonts w:ascii="Univers" w:hAnsi="Univers"/>
        </w:rPr>
        <w:footnoteRef/>
      </w:r>
      <w:r w:rsidRPr="00B609AE">
        <w:rPr>
          <w:rFonts w:ascii="Univers" w:hAnsi="Univers"/>
        </w:rPr>
        <w:t xml:space="preserve"> Se encuentra repetida en la foja 339 del cuaderno accesorio 2.</w:t>
      </w:r>
    </w:p>
  </w:footnote>
  <w:footnote w:id="19">
    <w:p w14:paraId="123C0740" w14:textId="77777777" w:rsidR="004D6EB2" w:rsidRPr="00B609AE" w:rsidRDefault="004D6EB2" w:rsidP="00DF77D2">
      <w:pPr>
        <w:pStyle w:val="Textonotapie"/>
        <w:jc w:val="both"/>
        <w:rPr>
          <w:rFonts w:ascii="Univers" w:hAnsi="Univers"/>
          <w:lang w:val="es-MX"/>
        </w:rPr>
      </w:pPr>
      <w:r w:rsidRPr="00B609AE">
        <w:rPr>
          <w:rStyle w:val="Refdenotaalpie"/>
          <w:rFonts w:ascii="Univers" w:hAnsi="Univers"/>
        </w:rPr>
        <w:footnoteRef/>
      </w:r>
      <w:r w:rsidRPr="00B609AE">
        <w:rPr>
          <w:rFonts w:ascii="Univers" w:hAnsi="Univers"/>
        </w:rPr>
        <w:t xml:space="preserve"> Similar criterio se sostuvo en los siguientes asuntos </w:t>
      </w:r>
      <w:r w:rsidRPr="00B609AE">
        <w:rPr>
          <w:rFonts w:ascii="Univers" w:hAnsi="Univers" w:cs="Arial"/>
          <w:bCs/>
          <w:lang w:val="es-MX"/>
        </w:rPr>
        <w:t>SUP-JDC-604/2012</w:t>
      </w:r>
      <w:r w:rsidRPr="00B609AE">
        <w:rPr>
          <w:rFonts w:ascii="Univers" w:hAnsi="Univers" w:cs="Arial"/>
          <w:bCs/>
        </w:rPr>
        <w:t xml:space="preserve">, </w:t>
      </w:r>
      <w:r w:rsidRPr="00B609AE">
        <w:rPr>
          <w:rFonts w:ascii="Univers" w:hAnsi="Univers" w:cs="Arial"/>
          <w:bCs/>
          <w:lang w:val="es-MX"/>
        </w:rPr>
        <w:t>SUP-JDC-316/2012, SUP-JRC-288/2010</w:t>
      </w:r>
      <w:r w:rsidRPr="00B609AE">
        <w:rPr>
          <w:rFonts w:ascii="Univers" w:hAnsi="Univers" w:cs="Arial"/>
          <w:bCs/>
        </w:rPr>
        <w:t xml:space="preserve">, </w:t>
      </w:r>
      <w:r w:rsidRPr="00B609AE">
        <w:rPr>
          <w:rFonts w:ascii="Univers" w:hAnsi="Univers" w:cs="Arial"/>
          <w:bCs/>
          <w:lang w:val="es-MX"/>
        </w:rPr>
        <w:t>entre otros.</w:t>
      </w:r>
    </w:p>
    <w:p w14:paraId="23EEEB88" w14:textId="77777777" w:rsidR="004D6EB2" w:rsidRPr="00B609AE" w:rsidRDefault="004D6EB2" w:rsidP="00DF77D2">
      <w:pPr>
        <w:pStyle w:val="Textonotapie"/>
        <w:jc w:val="both"/>
        <w:rPr>
          <w:rFonts w:ascii="Univers" w:hAnsi="Univers"/>
          <w:lang w:val="es-MX"/>
        </w:rPr>
      </w:pPr>
    </w:p>
  </w:footnote>
  <w:footnote w:id="20">
    <w:p w14:paraId="1FCE8C9C"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w:t>
      </w:r>
      <w:r w:rsidRPr="00B609AE">
        <w:rPr>
          <w:rFonts w:ascii="Univers" w:hAnsi="Univers"/>
          <w:b/>
          <w:i/>
        </w:rPr>
        <w:t>“</w:t>
      </w:r>
      <w:r w:rsidRPr="00B609AE">
        <w:rPr>
          <w:rFonts w:ascii="Univers" w:hAnsi="Univers" w:cs="Arial"/>
          <w:b/>
          <w:bCs/>
          <w:i/>
        </w:rPr>
        <w:t>PRUEBAS TÉCNICAS. POR SU NATURALEZA REQUIEREN DE LA DESCRIPCIÓN PRECISA DE LOS HECHOS Y CIRCUNSTANCIAS QUE SE PRETENDEN DEMOSTRAR.”</w:t>
      </w:r>
      <w:r w:rsidRPr="00B609AE">
        <w:rPr>
          <w:rFonts w:ascii="Univers" w:hAnsi="Univers" w:cs="Arial"/>
          <w:bCs/>
        </w:rPr>
        <w:t xml:space="preserve"> Consultable en la Compilación</w:t>
      </w:r>
      <w:r w:rsidRPr="00B609AE">
        <w:rPr>
          <w:rFonts w:ascii="Univers" w:hAnsi="Univers" w:cs="Arial"/>
          <w:bCs/>
          <w:lang w:val="es-MX"/>
        </w:rPr>
        <w:t>1997-2013, Jurisprudencia y tesis en materia electoral, volumen 1, jurisprudencia</w:t>
      </w:r>
      <w:r w:rsidRPr="00B609AE">
        <w:rPr>
          <w:rFonts w:ascii="Univers" w:hAnsi="Univers" w:cs="Arial"/>
          <w:bCs/>
        </w:rPr>
        <w:t>, página 594.</w:t>
      </w:r>
    </w:p>
    <w:p w14:paraId="51F50C18" w14:textId="77777777" w:rsidR="004D6EB2" w:rsidRPr="00B609AE" w:rsidRDefault="004D6EB2" w:rsidP="00DF77D2">
      <w:pPr>
        <w:pStyle w:val="Textonotapie"/>
        <w:jc w:val="both"/>
        <w:rPr>
          <w:rFonts w:ascii="Univers" w:hAnsi="Univers"/>
        </w:rPr>
      </w:pPr>
    </w:p>
  </w:footnote>
  <w:footnote w:id="21">
    <w:p w14:paraId="40DDE33D"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w:t>
      </w:r>
      <w:r w:rsidRPr="00B609AE">
        <w:rPr>
          <w:rFonts w:ascii="Univers" w:hAnsi="Univers"/>
          <w:b/>
          <w:i/>
        </w:rPr>
        <w:t>“</w:t>
      </w:r>
      <w:r w:rsidRPr="00B609AE">
        <w:rPr>
          <w:rFonts w:ascii="Univers" w:hAnsi="Univers" w:cs="Arial"/>
          <w:b/>
          <w:bCs/>
          <w:i/>
        </w:rPr>
        <w:t>PRUEBA TESTIMONIAL. EN MATERIA ELECTORAL SÓLO PUEDE APORTAR INDICIOS.”</w:t>
      </w:r>
      <w:r w:rsidRPr="00B609AE">
        <w:rPr>
          <w:rFonts w:ascii="Univers" w:hAnsi="Univers" w:cs="Arial"/>
          <w:bCs/>
        </w:rPr>
        <w:t xml:space="preserve"> Consultable en la Compilación </w:t>
      </w:r>
      <w:r w:rsidRPr="00B609AE">
        <w:rPr>
          <w:rFonts w:ascii="Univers" w:hAnsi="Univers" w:cs="Arial"/>
          <w:bCs/>
          <w:lang w:val="es-MX"/>
        </w:rPr>
        <w:t>1997-2013, Jurisprudencia y tesis en materia electoral, volumen 1, jurisprudencia</w:t>
      </w:r>
      <w:r w:rsidRPr="00B609AE">
        <w:rPr>
          <w:rFonts w:ascii="Univers" w:hAnsi="Univers" w:cs="Arial"/>
          <w:bCs/>
        </w:rPr>
        <w:t>, página 589.</w:t>
      </w:r>
    </w:p>
    <w:p w14:paraId="1B6371EE" w14:textId="77777777" w:rsidR="004D6EB2" w:rsidRPr="00B609AE" w:rsidRDefault="004D6EB2" w:rsidP="00DF77D2">
      <w:pPr>
        <w:pStyle w:val="Textonotapie"/>
        <w:jc w:val="both"/>
        <w:rPr>
          <w:rFonts w:ascii="Univers" w:hAnsi="Univers"/>
        </w:rPr>
      </w:pPr>
    </w:p>
  </w:footnote>
  <w:footnote w:id="22">
    <w:p w14:paraId="511677F9" w14:textId="77777777" w:rsidR="004D6EB2" w:rsidRPr="00B609AE" w:rsidRDefault="004D6EB2" w:rsidP="00DF77D2">
      <w:pPr>
        <w:pStyle w:val="Textonotapie"/>
        <w:jc w:val="both"/>
        <w:rPr>
          <w:rFonts w:ascii="Univers" w:hAnsi="Univers"/>
        </w:rPr>
      </w:pPr>
      <w:r w:rsidRPr="00B609AE">
        <w:rPr>
          <w:rStyle w:val="Refdenotaalpie"/>
          <w:rFonts w:ascii="Univers" w:hAnsi="Univers"/>
        </w:rPr>
        <w:footnoteRef/>
      </w:r>
      <w:r w:rsidRPr="00B609AE">
        <w:rPr>
          <w:rFonts w:ascii="Univers" w:hAnsi="Univers"/>
        </w:rPr>
        <w:t xml:space="preserve"> Consultables de foja 195 a 198 del cuaderno accesorio 2, del expediente en que se actúa.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23FF7"/>
    <w:multiLevelType w:val="hybridMultilevel"/>
    <w:tmpl w:val="B30EC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C723EE"/>
    <w:multiLevelType w:val="hybridMultilevel"/>
    <w:tmpl w:val="D51E97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BD40F69"/>
    <w:multiLevelType w:val="hybridMultilevel"/>
    <w:tmpl w:val="A4F4982C"/>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3D25645A"/>
    <w:multiLevelType w:val="hybridMultilevel"/>
    <w:tmpl w:val="65D06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04B2E20"/>
    <w:multiLevelType w:val="hybridMultilevel"/>
    <w:tmpl w:val="ADAAD8A6"/>
    <w:lvl w:ilvl="0" w:tplc="1A3A71CA">
      <w:start w:val="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3DA0B92"/>
    <w:multiLevelType w:val="hybridMultilevel"/>
    <w:tmpl w:val="78700216"/>
    <w:lvl w:ilvl="0" w:tplc="E2323108">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A430AB9"/>
    <w:multiLevelType w:val="hybridMultilevel"/>
    <w:tmpl w:val="28B40A4C"/>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5F7C5B75"/>
    <w:multiLevelType w:val="hybridMultilevel"/>
    <w:tmpl w:val="4558A2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20815AC"/>
    <w:multiLevelType w:val="hybridMultilevel"/>
    <w:tmpl w:val="F1CCA744"/>
    <w:lvl w:ilvl="0" w:tplc="6CF2F678">
      <w:start w:val="6"/>
      <w:numFmt w:val="bullet"/>
      <w:lvlText w:val=""/>
      <w:lvlJc w:val="left"/>
      <w:pPr>
        <w:ind w:left="1069" w:hanging="360"/>
      </w:pPr>
      <w:rPr>
        <w:rFonts w:ascii="Symbol" w:eastAsia="Times New Roman" w:hAnsi="Symbo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num w:numId="1">
    <w:abstractNumId w:val="0"/>
  </w:num>
  <w:num w:numId="2">
    <w:abstractNumId w:val="4"/>
  </w:num>
  <w:num w:numId="3">
    <w:abstractNumId w:val="8"/>
  </w:num>
  <w:num w:numId="4">
    <w:abstractNumId w:val="1"/>
  </w:num>
  <w:num w:numId="5">
    <w:abstractNumId w:val="2"/>
  </w:num>
  <w:num w:numId="6">
    <w:abstractNumId w:val="3"/>
  </w:num>
  <w:num w:numId="7">
    <w:abstractNumId w:val="6"/>
  </w:num>
  <w:num w:numId="8">
    <w:abstractNumId w:val="7"/>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A8"/>
    <w:rsid w:val="00003E8D"/>
    <w:rsid w:val="0002220C"/>
    <w:rsid w:val="001113B1"/>
    <w:rsid w:val="00153F6E"/>
    <w:rsid w:val="00160824"/>
    <w:rsid w:val="00176340"/>
    <w:rsid w:val="00177A9F"/>
    <w:rsid w:val="00180F6B"/>
    <w:rsid w:val="00202126"/>
    <w:rsid w:val="002053EB"/>
    <w:rsid w:val="00263CEC"/>
    <w:rsid w:val="00263E21"/>
    <w:rsid w:val="002809E0"/>
    <w:rsid w:val="002F412F"/>
    <w:rsid w:val="003233A8"/>
    <w:rsid w:val="00335852"/>
    <w:rsid w:val="00342255"/>
    <w:rsid w:val="003837FD"/>
    <w:rsid w:val="003D23E4"/>
    <w:rsid w:val="003E446B"/>
    <w:rsid w:val="003F54AF"/>
    <w:rsid w:val="00484D03"/>
    <w:rsid w:val="004B2341"/>
    <w:rsid w:val="004D6EB2"/>
    <w:rsid w:val="00513714"/>
    <w:rsid w:val="0057441D"/>
    <w:rsid w:val="005A27FA"/>
    <w:rsid w:val="005D42DF"/>
    <w:rsid w:val="00653E5F"/>
    <w:rsid w:val="006640CA"/>
    <w:rsid w:val="00690927"/>
    <w:rsid w:val="006F5238"/>
    <w:rsid w:val="007700FE"/>
    <w:rsid w:val="00791593"/>
    <w:rsid w:val="007B0BFE"/>
    <w:rsid w:val="00853476"/>
    <w:rsid w:val="008B254C"/>
    <w:rsid w:val="008C6C4D"/>
    <w:rsid w:val="008D1689"/>
    <w:rsid w:val="008F144A"/>
    <w:rsid w:val="009A5DEF"/>
    <w:rsid w:val="00A031AA"/>
    <w:rsid w:val="00A55592"/>
    <w:rsid w:val="00B66F04"/>
    <w:rsid w:val="00B87A59"/>
    <w:rsid w:val="00BB5894"/>
    <w:rsid w:val="00BF4BB6"/>
    <w:rsid w:val="00C37723"/>
    <w:rsid w:val="00C71861"/>
    <w:rsid w:val="00C73261"/>
    <w:rsid w:val="00CD7455"/>
    <w:rsid w:val="00D03888"/>
    <w:rsid w:val="00DF77D2"/>
    <w:rsid w:val="00E55338"/>
    <w:rsid w:val="00E60F54"/>
    <w:rsid w:val="00EB6B4A"/>
    <w:rsid w:val="00EE2DFB"/>
    <w:rsid w:val="00EE3E1D"/>
    <w:rsid w:val="00EF4D21"/>
    <w:rsid w:val="00F71C98"/>
    <w:rsid w:val="00F823DD"/>
    <w:rsid w:val="00FE02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E556D"/>
  <w15:chartTrackingRefBased/>
  <w15:docId w15:val="{6AA2FC62-29DD-4E52-B9A4-6F60878C8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EE3E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9"/>
    <w:unhideWhenUsed/>
    <w:qFormat/>
    <w:rsid w:val="00EE3E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E3E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EE3E1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link w:val="Ttulo5Car"/>
    <w:uiPriority w:val="9"/>
    <w:qFormat/>
    <w:rsid w:val="003233A8"/>
    <w:pPr>
      <w:spacing w:before="100" w:beforeAutospacing="1" w:after="100" w:afterAutospacing="1" w:line="240" w:lineRule="auto"/>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uiPriority w:val="9"/>
    <w:semiHidden/>
    <w:unhideWhenUsed/>
    <w:qFormat/>
    <w:rsid w:val="006F5238"/>
    <w:pPr>
      <w:keepNext/>
      <w:keepLines/>
      <w:spacing w:before="40" w:after="0"/>
      <w:outlineLvl w:val="5"/>
    </w:pPr>
    <w:rPr>
      <w:rFonts w:ascii="Cambria" w:eastAsia="Times New Roman" w:hAnsi="Cambria" w:cs="Times New Roman"/>
      <w:b/>
      <w:bCs/>
      <w:color w:val="595959"/>
      <w:spacing w:val="5"/>
      <w:lang w:val="en-US" w:bidi="en-US"/>
    </w:rPr>
  </w:style>
  <w:style w:type="paragraph" w:styleId="Ttulo7">
    <w:name w:val="heading 7"/>
    <w:basedOn w:val="Normal"/>
    <w:next w:val="Normal"/>
    <w:link w:val="Ttulo7Car"/>
    <w:uiPriority w:val="9"/>
    <w:semiHidden/>
    <w:unhideWhenUsed/>
    <w:qFormat/>
    <w:rsid w:val="006F5238"/>
    <w:pPr>
      <w:keepNext/>
      <w:keepLines/>
      <w:spacing w:before="40" w:after="0"/>
      <w:outlineLvl w:val="6"/>
    </w:pPr>
    <w:rPr>
      <w:rFonts w:ascii="Cambria" w:eastAsia="Times New Roman" w:hAnsi="Cambria" w:cs="Times New Roman"/>
      <w:b/>
      <w:bCs/>
      <w:i/>
      <w:iCs/>
      <w:color w:val="5A5A5A"/>
      <w:lang w:val="en-US" w:bidi="en-US"/>
    </w:rPr>
  </w:style>
  <w:style w:type="paragraph" w:styleId="Ttulo8">
    <w:name w:val="heading 8"/>
    <w:basedOn w:val="Normal"/>
    <w:next w:val="Normal"/>
    <w:link w:val="Ttulo8Car"/>
    <w:uiPriority w:val="9"/>
    <w:semiHidden/>
    <w:unhideWhenUsed/>
    <w:qFormat/>
    <w:rsid w:val="006F5238"/>
    <w:pPr>
      <w:keepNext/>
      <w:keepLines/>
      <w:spacing w:before="40" w:after="0"/>
      <w:outlineLvl w:val="7"/>
    </w:pPr>
    <w:rPr>
      <w:rFonts w:ascii="Cambria" w:eastAsia="Times New Roman" w:hAnsi="Cambria" w:cs="Times New Roman"/>
      <w:b/>
      <w:bCs/>
      <w:color w:val="7F7F7F"/>
      <w:lang w:val="en-US" w:bidi="en-US"/>
    </w:rPr>
  </w:style>
  <w:style w:type="paragraph" w:styleId="Ttulo9">
    <w:name w:val="heading 9"/>
    <w:basedOn w:val="Normal"/>
    <w:next w:val="Normal"/>
    <w:link w:val="Ttulo9Car"/>
    <w:uiPriority w:val="9"/>
    <w:semiHidden/>
    <w:unhideWhenUsed/>
    <w:qFormat/>
    <w:rsid w:val="006F5238"/>
    <w:pPr>
      <w:keepNext/>
      <w:keepLines/>
      <w:spacing w:before="40" w:after="0"/>
      <w:outlineLvl w:val="8"/>
    </w:pPr>
    <w:rPr>
      <w:rFonts w:ascii="Cambria" w:eastAsia="Times New Roman" w:hAnsi="Cambria" w:cs="Times New Roman"/>
      <w:b/>
      <w:bCs/>
      <w:i/>
      <w:iCs/>
      <w:color w:val="7F7F7F"/>
      <w:sz w:val="18"/>
      <w:szCs w:val="18"/>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nhideWhenUsed/>
    <w:rsid w:val="003233A8"/>
    <w:rPr>
      <w:color w:val="0000FF"/>
      <w:u w:val="single"/>
    </w:rPr>
  </w:style>
  <w:style w:type="character" w:customStyle="1" w:styleId="rubro">
    <w:name w:val="rubro"/>
    <w:basedOn w:val="Fuentedeprrafopredeter"/>
    <w:rsid w:val="003233A8"/>
  </w:style>
  <w:style w:type="character" w:customStyle="1" w:styleId="Ttulo5Car">
    <w:name w:val="Título 5 Car"/>
    <w:basedOn w:val="Fuentedeprrafopredeter"/>
    <w:link w:val="Ttulo5"/>
    <w:uiPriority w:val="9"/>
    <w:rsid w:val="003233A8"/>
    <w:rPr>
      <w:rFonts w:ascii="Times New Roman" w:eastAsia="Times New Roman" w:hAnsi="Times New Roman" w:cs="Times New Roman"/>
      <w:b/>
      <w:bCs/>
      <w:sz w:val="20"/>
      <w:szCs w:val="20"/>
      <w:lang w:eastAsia="es-MX"/>
    </w:rPr>
  </w:style>
  <w:style w:type="character" w:styleId="Textoennegrita">
    <w:name w:val="Strong"/>
    <w:basedOn w:val="Fuentedeprrafopredeter"/>
    <w:uiPriority w:val="22"/>
    <w:qFormat/>
    <w:rsid w:val="003233A8"/>
    <w:rPr>
      <w:b/>
      <w:bCs/>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C, Car Car Ca,Car C, C,Car"/>
    <w:basedOn w:val="Normal"/>
    <w:link w:val="NormalWebCar"/>
    <w:uiPriority w:val="99"/>
    <w:unhideWhenUsed/>
    <w:qFormat/>
    <w:rsid w:val="003233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EE3E1D"/>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EE3E1D"/>
    <w:rPr>
      <w:rFonts w:asciiTheme="majorHAnsi" w:eastAsiaTheme="majorEastAsia" w:hAnsiTheme="majorHAnsi" w:cstheme="majorBidi"/>
      <w:i/>
      <w:iCs/>
      <w:color w:val="2F5496" w:themeColor="accent1" w:themeShade="BF"/>
    </w:rPr>
  </w:style>
  <w:style w:type="character" w:customStyle="1" w:styleId="Ttulo1Car">
    <w:name w:val="Título 1 Car"/>
    <w:basedOn w:val="Fuentedeprrafopredeter"/>
    <w:link w:val="Ttulo1"/>
    <w:uiPriority w:val="99"/>
    <w:rsid w:val="00EE3E1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9"/>
    <w:rsid w:val="00EE3E1D"/>
    <w:rPr>
      <w:rFonts w:asciiTheme="majorHAnsi" w:eastAsiaTheme="majorEastAsia" w:hAnsiTheme="majorHAnsi" w:cstheme="majorBidi"/>
      <w:color w:val="2F5496" w:themeColor="accent1" w:themeShade="BF"/>
      <w:sz w:val="26"/>
      <w:szCs w:val="26"/>
    </w:rPr>
  </w:style>
  <w:style w:type="numbering" w:customStyle="1" w:styleId="Sinlista1">
    <w:name w:val="Sin lista1"/>
    <w:next w:val="Sinlista"/>
    <w:uiPriority w:val="99"/>
    <w:semiHidden/>
    <w:unhideWhenUsed/>
    <w:rsid w:val="00DF77D2"/>
  </w:style>
  <w:style w:type="paragraph" w:styleId="Encabezado">
    <w:name w:val="header"/>
    <w:basedOn w:val="Normal"/>
    <w:link w:val="EncabezadoCar"/>
    <w:rsid w:val="00DF77D2"/>
    <w:pPr>
      <w:tabs>
        <w:tab w:val="center" w:pos="4419"/>
        <w:tab w:val="right" w:pos="8838"/>
      </w:tabs>
      <w:spacing w:after="0" w:line="240" w:lineRule="auto"/>
    </w:pPr>
    <w:rPr>
      <w:rFonts w:ascii="Times New Roman" w:eastAsia="Times New Roman" w:hAnsi="Times New Roman" w:cs="Times New Roman"/>
      <w:sz w:val="24"/>
      <w:szCs w:val="24"/>
      <w:lang w:eastAsia="es-MX"/>
    </w:rPr>
  </w:style>
  <w:style w:type="character" w:customStyle="1" w:styleId="EncabezadoCar">
    <w:name w:val="Encabezado Car"/>
    <w:basedOn w:val="Fuentedeprrafopredeter"/>
    <w:link w:val="Encabezado"/>
    <w:rsid w:val="00DF77D2"/>
    <w:rPr>
      <w:rFonts w:ascii="Times New Roman" w:eastAsia="Times New Roman" w:hAnsi="Times New Roman" w:cs="Times New Roman"/>
      <w:sz w:val="24"/>
      <w:szCs w:val="24"/>
      <w:lang w:eastAsia="es-MX"/>
    </w:rPr>
  </w:style>
  <w:style w:type="paragraph" w:styleId="Piedepgina">
    <w:name w:val="footer"/>
    <w:basedOn w:val="Normal"/>
    <w:link w:val="PiedepginaCar"/>
    <w:rsid w:val="00DF77D2"/>
    <w:pPr>
      <w:tabs>
        <w:tab w:val="center" w:pos="4419"/>
        <w:tab w:val="right" w:pos="8838"/>
      </w:tabs>
      <w:spacing w:after="0" w:line="240" w:lineRule="auto"/>
    </w:pPr>
    <w:rPr>
      <w:rFonts w:ascii="Times New Roman" w:eastAsia="Times New Roman" w:hAnsi="Times New Roman" w:cs="Times New Roman"/>
      <w:sz w:val="24"/>
      <w:szCs w:val="24"/>
      <w:lang w:eastAsia="es-MX"/>
    </w:rPr>
  </w:style>
  <w:style w:type="character" w:customStyle="1" w:styleId="PiedepginaCar">
    <w:name w:val="Pie de página Car"/>
    <w:basedOn w:val="Fuentedeprrafopredeter"/>
    <w:link w:val="Piedepgina"/>
    <w:rsid w:val="00DF77D2"/>
    <w:rPr>
      <w:rFonts w:ascii="Times New Roman" w:eastAsia="Times New Roman" w:hAnsi="Times New Roman" w:cs="Times New Roman"/>
      <w:sz w:val="24"/>
      <w:szCs w:val="24"/>
      <w:lang w:eastAsia="es-MX"/>
    </w:rPr>
  </w:style>
  <w:style w:type="character" w:styleId="Nmerodepgina">
    <w:name w:val="page number"/>
    <w:basedOn w:val="Fuentedeprrafopredeter"/>
    <w:rsid w:val="00DF77D2"/>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C Car"/>
    <w:link w:val="NormalWeb"/>
    <w:uiPriority w:val="99"/>
    <w:rsid w:val="00DF77D2"/>
    <w:rPr>
      <w:rFonts w:ascii="Times New Roman" w:eastAsia="Times New Roman" w:hAnsi="Times New Roman" w:cs="Times New Roman"/>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qFormat/>
    <w:rsid w:val="00DF77D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DF77D2"/>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
    <w:rsid w:val="00DF77D2"/>
    <w:rPr>
      <w:vertAlign w:val="superscript"/>
    </w:rPr>
  </w:style>
  <w:style w:type="paragraph" w:customStyle="1" w:styleId="Style3">
    <w:name w:val="Style3"/>
    <w:basedOn w:val="Normal"/>
    <w:uiPriority w:val="99"/>
    <w:rsid w:val="00DF77D2"/>
    <w:pPr>
      <w:widowControl w:val="0"/>
      <w:autoSpaceDE w:val="0"/>
      <w:autoSpaceDN w:val="0"/>
      <w:adjustRightInd w:val="0"/>
      <w:spacing w:after="0" w:line="307" w:lineRule="exact"/>
      <w:jc w:val="center"/>
    </w:pPr>
    <w:rPr>
      <w:rFonts w:ascii="Constantia" w:eastAsia="Times New Roman" w:hAnsi="Constantia" w:cs="Times New Roman"/>
      <w:sz w:val="24"/>
      <w:szCs w:val="24"/>
      <w:lang w:eastAsia="es-MX"/>
    </w:rPr>
  </w:style>
  <w:style w:type="paragraph" w:customStyle="1" w:styleId="Style5">
    <w:name w:val="Style5"/>
    <w:basedOn w:val="Normal"/>
    <w:uiPriority w:val="99"/>
    <w:rsid w:val="00DF77D2"/>
    <w:pPr>
      <w:widowControl w:val="0"/>
      <w:autoSpaceDE w:val="0"/>
      <w:autoSpaceDN w:val="0"/>
      <w:adjustRightInd w:val="0"/>
      <w:spacing w:after="0" w:line="298" w:lineRule="exact"/>
      <w:ind w:firstLine="850"/>
      <w:jc w:val="both"/>
    </w:pPr>
    <w:rPr>
      <w:rFonts w:ascii="Constantia" w:eastAsia="Times New Roman" w:hAnsi="Constantia" w:cs="Times New Roman"/>
      <w:sz w:val="24"/>
      <w:szCs w:val="24"/>
      <w:lang w:eastAsia="es-MX"/>
    </w:rPr>
  </w:style>
  <w:style w:type="paragraph" w:customStyle="1" w:styleId="Style7">
    <w:name w:val="Style7"/>
    <w:basedOn w:val="Normal"/>
    <w:uiPriority w:val="99"/>
    <w:rsid w:val="00DF77D2"/>
    <w:pPr>
      <w:widowControl w:val="0"/>
      <w:autoSpaceDE w:val="0"/>
      <w:autoSpaceDN w:val="0"/>
      <w:adjustRightInd w:val="0"/>
      <w:spacing w:after="0" w:line="240" w:lineRule="auto"/>
    </w:pPr>
    <w:rPr>
      <w:rFonts w:ascii="Constantia" w:eastAsia="Times New Roman" w:hAnsi="Constantia" w:cs="Times New Roman"/>
      <w:sz w:val="24"/>
      <w:szCs w:val="24"/>
      <w:lang w:eastAsia="es-MX"/>
    </w:rPr>
  </w:style>
  <w:style w:type="paragraph" w:customStyle="1" w:styleId="Style8">
    <w:name w:val="Style8"/>
    <w:basedOn w:val="Normal"/>
    <w:uiPriority w:val="99"/>
    <w:rsid w:val="00DF77D2"/>
    <w:pPr>
      <w:widowControl w:val="0"/>
      <w:autoSpaceDE w:val="0"/>
      <w:autoSpaceDN w:val="0"/>
      <w:adjustRightInd w:val="0"/>
      <w:spacing w:after="0" w:line="298" w:lineRule="exact"/>
      <w:jc w:val="both"/>
    </w:pPr>
    <w:rPr>
      <w:rFonts w:ascii="Constantia" w:eastAsia="Times New Roman" w:hAnsi="Constantia" w:cs="Times New Roman"/>
      <w:sz w:val="24"/>
      <w:szCs w:val="24"/>
      <w:lang w:eastAsia="es-MX"/>
    </w:rPr>
  </w:style>
  <w:style w:type="character" w:customStyle="1" w:styleId="FontStyle12">
    <w:name w:val="Font Style12"/>
    <w:uiPriority w:val="99"/>
    <w:rsid w:val="00DF77D2"/>
    <w:rPr>
      <w:rFonts w:ascii="Arial" w:hAnsi="Arial" w:cs="Arial"/>
      <w:b/>
      <w:bCs/>
      <w:sz w:val="24"/>
      <w:szCs w:val="24"/>
    </w:rPr>
  </w:style>
  <w:style w:type="character" w:customStyle="1" w:styleId="FontStyle19">
    <w:name w:val="Font Style19"/>
    <w:uiPriority w:val="99"/>
    <w:rsid w:val="00DF77D2"/>
    <w:rPr>
      <w:rFonts w:ascii="Arial" w:hAnsi="Arial" w:cs="Arial"/>
      <w:sz w:val="24"/>
      <w:szCs w:val="24"/>
    </w:rPr>
  </w:style>
  <w:style w:type="paragraph" w:customStyle="1" w:styleId="PROEMIO">
    <w:name w:val="PROEMIO"/>
    <w:basedOn w:val="Normal"/>
    <w:rsid w:val="00DF77D2"/>
    <w:pPr>
      <w:spacing w:before="240" w:after="240" w:line="240" w:lineRule="auto"/>
      <w:ind w:left="3402"/>
      <w:jc w:val="both"/>
    </w:pPr>
    <w:rPr>
      <w:rFonts w:ascii="Times New Roman" w:eastAsia="Times New Roman" w:hAnsi="Times New Roman" w:cs="Times New Roman"/>
      <w:b/>
      <w:caps/>
      <w:sz w:val="24"/>
      <w:szCs w:val="24"/>
      <w:lang w:eastAsia="es-MX"/>
    </w:rPr>
  </w:style>
  <w:style w:type="paragraph" w:customStyle="1" w:styleId="TEXTOLIBRE">
    <w:name w:val="TEXTO LIBRE"/>
    <w:basedOn w:val="Normal"/>
    <w:rsid w:val="00DF77D2"/>
    <w:pPr>
      <w:spacing w:before="120" w:after="120" w:line="360" w:lineRule="auto"/>
      <w:ind w:firstLine="709"/>
      <w:jc w:val="both"/>
    </w:pPr>
    <w:rPr>
      <w:rFonts w:ascii="Times New Roman" w:eastAsia="Times New Roman" w:hAnsi="Times New Roman" w:cs="Times New Roman"/>
      <w:sz w:val="24"/>
      <w:szCs w:val="24"/>
      <w:lang w:eastAsia="es-MX"/>
    </w:rPr>
  </w:style>
  <w:style w:type="paragraph" w:customStyle="1" w:styleId="Style18">
    <w:name w:val="Style18"/>
    <w:basedOn w:val="Normal"/>
    <w:uiPriority w:val="99"/>
    <w:rsid w:val="00DF77D2"/>
    <w:pPr>
      <w:widowControl w:val="0"/>
      <w:autoSpaceDE w:val="0"/>
      <w:autoSpaceDN w:val="0"/>
      <w:adjustRightInd w:val="0"/>
      <w:spacing w:after="0" w:line="480" w:lineRule="exact"/>
      <w:ind w:firstLine="720"/>
      <w:jc w:val="both"/>
    </w:pPr>
    <w:rPr>
      <w:rFonts w:ascii="Arial" w:eastAsia="Times New Roman" w:hAnsi="Arial" w:cs="Times New Roman"/>
      <w:sz w:val="24"/>
      <w:szCs w:val="24"/>
      <w:lang w:eastAsia="es-ES"/>
    </w:rPr>
  </w:style>
  <w:style w:type="character" w:customStyle="1" w:styleId="FontStyle50">
    <w:name w:val="Font Style50"/>
    <w:uiPriority w:val="99"/>
    <w:rsid w:val="00DF77D2"/>
    <w:rPr>
      <w:rFonts w:ascii="Arial" w:hAnsi="Arial" w:cs="Arial"/>
      <w:b/>
      <w:bCs/>
      <w:i/>
      <w:iCs/>
      <w:sz w:val="22"/>
      <w:szCs w:val="22"/>
    </w:rPr>
  </w:style>
  <w:style w:type="character" w:customStyle="1" w:styleId="FontStyle55">
    <w:name w:val="Font Style55"/>
    <w:uiPriority w:val="99"/>
    <w:rsid w:val="00DF77D2"/>
    <w:rPr>
      <w:rFonts w:ascii="Arial" w:hAnsi="Arial" w:cs="Arial"/>
      <w:sz w:val="26"/>
      <w:szCs w:val="26"/>
    </w:rPr>
  </w:style>
  <w:style w:type="paragraph" w:customStyle="1" w:styleId="Style1">
    <w:name w:val="Style1"/>
    <w:basedOn w:val="Normal"/>
    <w:uiPriority w:val="99"/>
    <w:rsid w:val="00DF77D2"/>
    <w:pPr>
      <w:widowControl w:val="0"/>
      <w:autoSpaceDE w:val="0"/>
      <w:autoSpaceDN w:val="0"/>
      <w:adjustRightInd w:val="0"/>
      <w:spacing w:after="0" w:line="483" w:lineRule="exact"/>
      <w:ind w:firstLine="533"/>
      <w:jc w:val="both"/>
    </w:pPr>
    <w:rPr>
      <w:rFonts w:ascii="Arial" w:eastAsia="Times New Roman" w:hAnsi="Arial" w:cs="Times New Roman"/>
      <w:sz w:val="24"/>
      <w:szCs w:val="24"/>
      <w:lang w:eastAsia="es-ES"/>
    </w:rPr>
  </w:style>
  <w:style w:type="paragraph" w:customStyle="1" w:styleId="Style6">
    <w:name w:val="Style6"/>
    <w:basedOn w:val="Normal"/>
    <w:uiPriority w:val="99"/>
    <w:rsid w:val="00DF77D2"/>
    <w:pPr>
      <w:widowControl w:val="0"/>
      <w:autoSpaceDE w:val="0"/>
      <w:autoSpaceDN w:val="0"/>
      <w:adjustRightInd w:val="0"/>
      <w:spacing w:after="0" w:line="483" w:lineRule="exact"/>
      <w:ind w:firstLine="720"/>
      <w:jc w:val="both"/>
    </w:pPr>
    <w:rPr>
      <w:rFonts w:ascii="Arial" w:eastAsia="Times New Roman" w:hAnsi="Arial" w:cs="Times New Roman"/>
      <w:sz w:val="24"/>
      <w:szCs w:val="24"/>
      <w:lang w:eastAsia="es-ES"/>
    </w:rPr>
  </w:style>
  <w:style w:type="paragraph" w:customStyle="1" w:styleId="Style29">
    <w:name w:val="Style29"/>
    <w:basedOn w:val="Normal"/>
    <w:uiPriority w:val="99"/>
    <w:rsid w:val="00DF77D2"/>
    <w:pPr>
      <w:widowControl w:val="0"/>
      <w:autoSpaceDE w:val="0"/>
      <w:autoSpaceDN w:val="0"/>
      <w:adjustRightInd w:val="0"/>
      <w:spacing w:after="0" w:line="240" w:lineRule="auto"/>
    </w:pPr>
    <w:rPr>
      <w:rFonts w:ascii="Arial" w:eastAsia="Times New Roman" w:hAnsi="Arial" w:cs="Times New Roman"/>
      <w:sz w:val="24"/>
      <w:szCs w:val="24"/>
      <w:lang w:eastAsia="es-ES"/>
    </w:rPr>
  </w:style>
  <w:style w:type="character" w:customStyle="1" w:styleId="FontStyle53">
    <w:name w:val="Font Style53"/>
    <w:uiPriority w:val="99"/>
    <w:rsid w:val="00DF77D2"/>
    <w:rPr>
      <w:rFonts w:ascii="Arial" w:hAnsi="Arial" w:cs="Arial"/>
      <w:i/>
      <w:iCs/>
      <w:sz w:val="26"/>
      <w:szCs w:val="26"/>
    </w:rPr>
  </w:style>
  <w:style w:type="character" w:customStyle="1" w:styleId="FontStyle54">
    <w:name w:val="Font Style54"/>
    <w:uiPriority w:val="99"/>
    <w:rsid w:val="00DF77D2"/>
    <w:rPr>
      <w:rFonts w:ascii="Arial" w:hAnsi="Arial" w:cs="Arial"/>
      <w:b/>
      <w:bCs/>
      <w:sz w:val="26"/>
      <w:szCs w:val="26"/>
    </w:rPr>
  </w:style>
  <w:style w:type="character" w:customStyle="1" w:styleId="FontStyle56">
    <w:name w:val="Font Style56"/>
    <w:uiPriority w:val="99"/>
    <w:rsid w:val="00DF77D2"/>
    <w:rPr>
      <w:rFonts w:ascii="Arial" w:hAnsi="Arial" w:cs="Arial"/>
      <w:b/>
      <w:bCs/>
      <w:sz w:val="22"/>
      <w:szCs w:val="22"/>
    </w:rPr>
  </w:style>
  <w:style w:type="character" w:customStyle="1" w:styleId="FontStyle57">
    <w:name w:val="Font Style57"/>
    <w:uiPriority w:val="99"/>
    <w:rsid w:val="00DF77D2"/>
    <w:rPr>
      <w:rFonts w:ascii="Arial" w:hAnsi="Arial" w:cs="Arial"/>
      <w:sz w:val="22"/>
      <w:szCs w:val="22"/>
    </w:rPr>
  </w:style>
  <w:style w:type="paragraph" w:customStyle="1" w:styleId="Style2">
    <w:name w:val="Style2"/>
    <w:basedOn w:val="Normal"/>
    <w:uiPriority w:val="99"/>
    <w:rsid w:val="00DF77D2"/>
    <w:pPr>
      <w:widowControl w:val="0"/>
      <w:autoSpaceDE w:val="0"/>
      <w:autoSpaceDN w:val="0"/>
      <w:adjustRightInd w:val="0"/>
      <w:spacing w:after="0" w:line="276" w:lineRule="exact"/>
      <w:jc w:val="both"/>
    </w:pPr>
    <w:rPr>
      <w:rFonts w:ascii="Arial" w:eastAsia="Times New Roman" w:hAnsi="Arial" w:cs="Times New Roman"/>
      <w:sz w:val="24"/>
      <w:szCs w:val="24"/>
      <w:lang w:eastAsia="es-ES"/>
    </w:rPr>
  </w:style>
  <w:style w:type="paragraph" w:customStyle="1" w:styleId="Style9">
    <w:name w:val="Style9"/>
    <w:basedOn w:val="Normal"/>
    <w:uiPriority w:val="99"/>
    <w:rsid w:val="00DF77D2"/>
    <w:pPr>
      <w:widowControl w:val="0"/>
      <w:autoSpaceDE w:val="0"/>
      <w:autoSpaceDN w:val="0"/>
      <w:adjustRightInd w:val="0"/>
      <w:spacing w:after="0" w:line="483" w:lineRule="exact"/>
      <w:ind w:firstLine="600"/>
      <w:jc w:val="both"/>
    </w:pPr>
    <w:rPr>
      <w:rFonts w:ascii="Arial" w:eastAsia="Times New Roman" w:hAnsi="Arial" w:cs="Times New Roman"/>
      <w:sz w:val="24"/>
      <w:szCs w:val="24"/>
      <w:lang w:eastAsia="es-ES"/>
    </w:rPr>
  </w:style>
  <w:style w:type="paragraph" w:customStyle="1" w:styleId="Style10">
    <w:name w:val="Style10"/>
    <w:basedOn w:val="Normal"/>
    <w:uiPriority w:val="99"/>
    <w:rsid w:val="00DF77D2"/>
    <w:pPr>
      <w:widowControl w:val="0"/>
      <w:autoSpaceDE w:val="0"/>
      <w:autoSpaceDN w:val="0"/>
      <w:adjustRightInd w:val="0"/>
      <w:spacing w:after="0" w:line="230" w:lineRule="exact"/>
      <w:ind w:firstLine="715"/>
      <w:jc w:val="both"/>
    </w:pPr>
    <w:rPr>
      <w:rFonts w:ascii="Arial" w:eastAsia="Times New Roman" w:hAnsi="Arial" w:cs="Times New Roman"/>
      <w:sz w:val="24"/>
      <w:szCs w:val="24"/>
      <w:lang w:eastAsia="es-ES"/>
    </w:rPr>
  </w:style>
  <w:style w:type="paragraph" w:customStyle="1" w:styleId="Style12">
    <w:name w:val="Style12"/>
    <w:basedOn w:val="Normal"/>
    <w:uiPriority w:val="99"/>
    <w:rsid w:val="00DF77D2"/>
    <w:pPr>
      <w:widowControl w:val="0"/>
      <w:autoSpaceDE w:val="0"/>
      <w:autoSpaceDN w:val="0"/>
      <w:adjustRightInd w:val="0"/>
      <w:spacing w:after="0" w:line="278" w:lineRule="exact"/>
      <w:ind w:firstLine="998"/>
      <w:jc w:val="both"/>
    </w:pPr>
    <w:rPr>
      <w:rFonts w:ascii="Arial" w:eastAsia="Times New Roman" w:hAnsi="Arial" w:cs="Times New Roman"/>
      <w:sz w:val="24"/>
      <w:szCs w:val="24"/>
      <w:lang w:eastAsia="es-ES"/>
    </w:rPr>
  </w:style>
  <w:style w:type="paragraph" w:customStyle="1" w:styleId="Style13">
    <w:name w:val="Style13"/>
    <w:basedOn w:val="Normal"/>
    <w:uiPriority w:val="99"/>
    <w:rsid w:val="00DF77D2"/>
    <w:pPr>
      <w:widowControl w:val="0"/>
      <w:autoSpaceDE w:val="0"/>
      <w:autoSpaceDN w:val="0"/>
      <w:adjustRightInd w:val="0"/>
      <w:spacing w:after="0" w:line="314" w:lineRule="exact"/>
    </w:pPr>
    <w:rPr>
      <w:rFonts w:ascii="Arial" w:eastAsia="Times New Roman" w:hAnsi="Arial" w:cs="Times New Roman"/>
      <w:sz w:val="24"/>
      <w:szCs w:val="24"/>
      <w:lang w:eastAsia="es-ES"/>
    </w:rPr>
  </w:style>
  <w:style w:type="paragraph" w:customStyle="1" w:styleId="Style14">
    <w:name w:val="Style14"/>
    <w:basedOn w:val="Normal"/>
    <w:uiPriority w:val="99"/>
    <w:rsid w:val="00DF77D2"/>
    <w:pPr>
      <w:widowControl w:val="0"/>
      <w:autoSpaceDE w:val="0"/>
      <w:autoSpaceDN w:val="0"/>
      <w:adjustRightInd w:val="0"/>
      <w:spacing w:after="0" w:line="485" w:lineRule="exact"/>
      <w:jc w:val="both"/>
    </w:pPr>
    <w:rPr>
      <w:rFonts w:ascii="Arial" w:eastAsia="Times New Roman" w:hAnsi="Arial" w:cs="Times New Roman"/>
      <w:sz w:val="24"/>
      <w:szCs w:val="24"/>
      <w:lang w:eastAsia="es-ES"/>
    </w:rPr>
  </w:style>
  <w:style w:type="paragraph" w:customStyle="1" w:styleId="Style15">
    <w:name w:val="Style15"/>
    <w:basedOn w:val="Normal"/>
    <w:uiPriority w:val="99"/>
    <w:rsid w:val="00DF77D2"/>
    <w:pPr>
      <w:widowControl w:val="0"/>
      <w:autoSpaceDE w:val="0"/>
      <w:autoSpaceDN w:val="0"/>
      <w:adjustRightInd w:val="0"/>
      <w:spacing w:after="0" w:line="269" w:lineRule="exact"/>
      <w:jc w:val="both"/>
    </w:pPr>
    <w:rPr>
      <w:rFonts w:ascii="Arial" w:eastAsia="Times New Roman" w:hAnsi="Arial" w:cs="Times New Roman"/>
      <w:sz w:val="24"/>
      <w:szCs w:val="24"/>
      <w:lang w:eastAsia="es-ES"/>
    </w:rPr>
  </w:style>
  <w:style w:type="paragraph" w:customStyle="1" w:styleId="Style16">
    <w:name w:val="Style16"/>
    <w:basedOn w:val="Normal"/>
    <w:uiPriority w:val="99"/>
    <w:rsid w:val="00DF77D2"/>
    <w:pPr>
      <w:widowControl w:val="0"/>
      <w:autoSpaceDE w:val="0"/>
      <w:autoSpaceDN w:val="0"/>
      <w:adjustRightInd w:val="0"/>
      <w:spacing w:after="0" w:line="230" w:lineRule="exact"/>
      <w:jc w:val="both"/>
    </w:pPr>
    <w:rPr>
      <w:rFonts w:ascii="Arial" w:eastAsia="Times New Roman" w:hAnsi="Arial" w:cs="Times New Roman"/>
      <w:sz w:val="24"/>
      <w:szCs w:val="24"/>
      <w:lang w:eastAsia="es-ES"/>
    </w:rPr>
  </w:style>
  <w:style w:type="paragraph" w:customStyle="1" w:styleId="Style17">
    <w:name w:val="Style17"/>
    <w:basedOn w:val="Normal"/>
    <w:uiPriority w:val="99"/>
    <w:rsid w:val="00DF77D2"/>
    <w:pPr>
      <w:widowControl w:val="0"/>
      <w:autoSpaceDE w:val="0"/>
      <w:autoSpaceDN w:val="0"/>
      <w:adjustRightInd w:val="0"/>
      <w:spacing w:after="0" w:line="240" w:lineRule="auto"/>
    </w:pPr>
    <w:rPr>
      <w:rFonts w:ascii="Arial" w:eastAsia="Times New Roman" w:hAnsi="Arial" w:cs="Times New Roman"/>
      <w:sz w:val="24"/>
      <w:szCs w:val="24"/>
      <w:lang w:eastAsia="es-ES"/>
    </w:rPr>
  </w:style>
  <w:style w:type="paragraph" w:customStyle="1" w:styleId="Style19">
    <w:name w:val="Style19"/>
    <w:basedOn w:val="Normal"/>
    <w:uiPriority w:val="99"/>
    <w:rsid w:val="00DF77D2"/>
    <w:pPr>
      <w:widowControl w:val="0"/>
      <w:autoSpaceDE w:val="0"/>
      <w:autoSpaceDN w:val="0"/>
      <w:adjustRightInd w:val="0"/>
      <w:spacing w:after="0" w:line="240" w:lineRule="auto"/>
      <w:jc w:val="both"/>
    </w:pPr>
    <w:rPr>
      <w:rFonts w:ascii="Arial" w:eastAsia="Times New Roman" w:hAnsi="Arial" w:cs="Times New Roman"/>
      <w:sz w:val="24"/>
      <w:szCs w:val="24"/>
      <w:lang w:eastAsia="es-ES"/>
    </w:rPr>
  </w:style>
  <w:style w:type="paragraph" w:customStyle="1" w:styleId="Style20">
    <w:name w:val="Style20"/>
    <w:basedOn w:val="Normal"/>
    <w:uiPriority w:val="99"/>
    <w:rsid w:val="00DF77D2"/>
    <w:pPr>
      <w:widowControl w:val="0"/>
      <w:autoSpaceDE w:val="0"/>
      <w:autoSpaceDN w:val="0"/>
      <w:adjustRightInd w:val="0"/>
      <w:spacing w:after="0" w:line="319" w:lineRule="exact"/>
      <w:jc w:val="both"/>
    </w:pPr>
    <w:rPr>
      <w:rFonts w:ascii="Arial" w:eastAsia="Times New Roman" w:hAnsi="Arial" w:cs="Times New Roman"/>
      <w:sz w:val="24"/>
      <w:szCs w:val="24"/>
      <w:lang w:eastAsia="es-ES"/>
    </w:rPr>
  </w:style>
  <w:style w:type="paragraph" w:customStyle="1" w:styleId="Style21">
    <w:name w:val="Style21"/>
    <w:basedOn w:val="Normal"/>
    <w:uiPriority w:val="99"/>
    <w:rsid w:val="00DF77D2"/>
    <w:pPr>
      <w:widowControl w:val="0"/>
      <w:autoSpaceDE w:val="0"/>
      <w:autoSpaceDN w:val="0"/>
      <w:adjustRightInd w:val="0"/>
      <w:spacing w:after="0" w:line="317" w:lineRule="exact"/>
      <w:jc w:val="both"/>
    </w:pPr>
    <w:rPr>
      <w:rFonts w:ascii="Arial" w:eastAsia="Times New Roman" w:hAnsi="Arial" w:cs="Times New Roman"/>
      <w:sz w:val="24"/>
      <w:szCs w:val="24"/>
      <w:lang w:eastAsia="es-ES"/>
    </w:rPr>
  </w:style>
  <w:style w:type="paragraph" w:customStyle="1" w:styleId="Style22">
    <w:name w:val="Style22"/>
    <w:basedOn w:val="Normal"/>
    <w:uiPriority w:val="99"/>
    <w:rsid w:val="00DF77D2"/>
    <w:pPr>
      <w:widowControl w:val="0"/>
      <w:autoSpaceDE w:val="0"/>
      <w:autoSpaceDN w:val="0"/>
      <w:adjustRightInd w:val="0"/>
      <w:spacing w:after="0" w:line="276" w:lineRule="exact"/>
      <w:ind w:firstLine="389"/>
      <w:jc w:val="both"/>
    </w:pPr>
    <w:rPr>
      <w:rFonts w:ascii="Arial" w:eastAsia="Times New Roman" w:hAnsi="Arial" w:cs="Times New Roman"/>
      <w:sz w:val="24"/>
      <w:szCs w:val="24"/>
      <w:lang w:eastAsia="es-ES"/>
    </w:rPr>
  </w:style>
  <w:style w:type="paragraph" w:customStyle="1" w:styleId="Style23">
    <w:name w:val="Style23"/>
    <w:basedOn w:val="Normal"/>
    <w:uiPriority w:val="99"/>
    <w:rsid w:val="00DF77D2"/>
    <w:pPr>
      <w:widowControl w:val="0"/>
      <w:autoSpaceDE w:val="0"/>
      <w:autoSpaceDN w:val="0"/>
      <w:adjustRightInd w:val="0"/>
      <w:spacing w:after="0" w:line="253" w:lineRule="exact"/>
      <w:jc w:val="both"/>
    </w:pPr>
    <w:rPr>
      <w:rFonts w:ascii="Arial" w:eastAsia="Times New Roman" w:hAnsi="Arial" w:cs="Times New Roman"/>
      <w:sz w:val="24"/>
      <w:szCs w:val="24"/>
      <w:lang w:eastAsia="es-ES"/>
    </w:rPr>
  </w:style>
  <w:style w:type="paragraph" w:customStyle="1" w:styleId="Style24">
    <w:name w:val="Style24"/>
    <w:basedOn w:val="Normal"/>
    <w:uiPriority w:val="99"/>
    <w:rsid w:val="00DF77D2"/>
    <w:pPr>
      <w:widowControl w:val="0"/>
      <w:autoSpaceDE w:val="0"/>
      <w:autoSpaceDN w:val="0"/>
      <w:adjustRightInd w:val="0"/>
      <w:spacing w:after="0" w:line="253" w:lineRule="exact"/>
      <w:jc w:val="both"/>
    </w:pPr>
    <w:rPr>
      <w:rFonts w:ascii="Arial" w:eastAsia="Times New Roman" w:hAnsi="Arial" w:cs="Times New Roman"/>
      <w:sz w:val="24"/>
      <w:szCs w:val="24"/>
      <w:lang w:eastAsia="es-ES"/>
    </w:rPr>
  </w:style>
  <w:style w:type="paragraph" w:customStyle="1" w:styleId="Style25">
    <w:name w:val="Style25"/>
    <w:basedOn w:val="Normal"/>
    <w:uiPriority w:val="99"/>
    <w:rsid w:val="00DF77D2"/>
    <w:pPr>
      <w:widowControl w:val="0"/>
      <w:autoSpaceDE w:val="0"/>
      <w:autoSpaceDN w:val="0"/>
      <w:adjustRightInd w:val="0"/>
      <w:spacing w:after="0" w:line="253" w:lineRule="exact"/>
    </w:pPr>
    <w:rPr>
      <w:rFonts w:ascii="Arial" w:eastAsia="Times New Roman" w:hAnsi="Arial" w:cs="Times New Roman"/>
      <w:sz w:val="24"/>
      <w:szCs w:val="24"/>
      <w:lang w:eastAsia="es-ES"/>
    </w:rPr>
  </w:style>
  <w:style w:type="paragraph" w:customStyle="1" w:styleId="Style26">
    <w:name w:val="Style26"/>
    <w:basedOn w:val="Normal"/>
    <w:uiPriority w:val="99"/>
    <w:rsid w:val="00DF77D2"/>
    <w:pPr>
      <w:widowControl w:val="0"/>
      <w:autoSpaceDE w:val="0"/>
      <w:autoSpaceDN w:val="0"/>
      <w:adjustRightInd w:val="0"/>
      <w:spacing w:after="0" w:line="317" w:lineRule="exact"/>
      <w:jc w:val="both"/>
    </w:pPr>
    <w:rPr>
      <w:rFonts w:ascii="Arial" w:eastAsia="Times New Roman" w:hAnsi="Arial" w:cs="Times New Roman"/>
      <w:sz w:val="24"/>
      <w:szCs w:val="24"/>
      <w:lang w:eastAsia="es-ES"/>
    </w:rPr>
  </w:style>
  <w:style w:type="paragraph" w:customStyle="1" w:styleId="Style27">
    <w:name w:val="Style27"/>
    <w:basedOn w:val="Normal"/>
    <w:uiPriority w:val="99"/>
    <w:rsid w:val="00DF77D2"/>
    <w:pPr>
      <w:widowControl w:val="0"/>
      <w:autoSpaceDE w:val="0"/>
      <w:autoSpaceDN w:val="0"/>
      <w:adjustRightInd w:val="0"/>
      <w:spacing w:after="0" w:line="274" w:lineRule="exact"/>
      <w:ind w:firstLine="130"/>
      <w:jc w:val="both"/>
    </w:pPr>
    <w:rPr>
      <w:rFonts w:ascii="Arial" w:eastAsia="Times New Roman" w:hAnsi="Arial" w:cs="Times New Roman"/>
      <w:sz w:val="24"/>
      <w:szCs w:val="24"/>
      <w:lang w:eastAsia="es-ES"/>
    </w:rPr>
  </w:style>
  <w:style w:type="paragraph" w:customStyle="1" w:styleId="Style28">
    <w:name w:val="Style28"/>
    <w:basedOn w:val="Normal"/>
    <w:uiPriority w:val="99"/>
    <w:rsid w:val="00DF77D2"/>
    <w:pPr>
      <w:widowControl w:val="0"/>
      <w:autoSpaceDE w:val="0"/>
      <w:autoSpaceDN w:val="0"/>
      <w:adjustRightInd w:val="0"/>
      <w:spacing w:after="0" w:line="276" w:lineRule="exact"/>
      <w:ind w:firstLine="682"/>
      <w:jc w:val="both"/>
    </w:pPr>
    <w:rPr>
      <w:rFonts w:ascii="Arial" w:eastAsia="Times New Roman" w:hAnsi="Arial" w:cs="Times New Roman"/>
      <w:sz w:val="24"/>
      <w:szCs w:val="24"/>
      <w:lang w:eastAsia="es-ES"/>
    </w:rPr>
  </w:style>
  <w:style w:type="paragraph" w:customStyle="1" w:styleId="Style31">
    <w:name w:val="Style31"/>
    <w:basedOn w:val="Normal"/>
    <w:uiPriority w:val="99"/>
    <w:rsid w:val="00DF77D2"/>
    <w:pPr>
      <w:widowControl w:val="0"/>
      <w:autoSpaceDE w:val="0"/>
      <w:autoSpaceDN w:val="0"/>
      <w:adjustRightInd w:val="0"/>
      <w:spacing w:after="0" w:line="446" w:lineRule="exact"/>
      <w:jc w:val="both"/>
    </w:pPr>
    <w:rPr>
      <w:rFonts w:ascii="Arial" w:eastAsia="Times New Roman" w:hAnsi="Arial" w:cs="Times New Roman"/>
      <w:sz w:val="24"/>
      <w:szCs w:val="24"/>
      <w:lang w:eastAsia="es-ES"/>
    </w:rPr>
  </w:style>
  <w:style w:type="paragraph" w:customStyle="1" w:styleId="Style32">
    <w:name w:val="Style32"/>
    <w:basedOn w:val="Normal"/>
    <w:uiPriority w:val="99"/>
    <w:rsid w:val="00DF77D2"/>
    <w:pPr>
      <w:widowControl w:val="0"/>
      <w:autoSpaceDE w:val="0"/>
      <w:autoSpaceDN w:val="0"/>
      <w:adjustRightInd w:val="0"/>
      <w:spacing w:after="0" w:line="276" w:lineRule="exact"/>
      <w:ind w:firstLine="998"/>
      <w:jc w:val="both"/>
    </w:pPr>
    <w:rPr>
      <w:rFonts w:ascii="Arial" w:eastAsia="Times New Roman" w:hAnsi="Arial" w:cs="Times New Roman"/>
      <w:sz w:val="24"/>
      <w:szCs w:val="24"/>
      <w:lang w:eastAsia="es-ES"/>
    </w:rPr>
  </w:style>
  <w:style w:type="paragraph" w:customStyle="1" w:styleId="Style33">
    <w:name w:val="Style33"/>
    <w:basedOn w:val="Normal"/>
    <w:uiPriority w:val="99"/>
    <w:rsid w:val="00DF77D2"/>
    <w:pPr>
      <w:widowControl w:val="0"/>
      <w:autoSpaceDE w:val="0"/>
      <w:autoSpaceDN w:val="0"/>
      <w:adjustRightInd w:val="0"/>
      <w:spacing w:after="0" w:line="319" w:lineRule="exact"/>
      <w:ind w:firstLine="706"/>
    </w:pPr>
    <w:rPr>
      <w:rFonts w:ascii="Arial" w:eastAsia="Times New Roman" w:hAnsi="Arial" w:cs="Times New Roman"/>
      <w:sz w:val="24"/>
      <w:szCs w:val="24"/>
      <w:lang w:eastAsia="es-ES"/>
    </w:rPr>
  </w:style>
  <w:style w:type="paragraph" w:customStyle="1" w:styleId="Style34">
    <w:name w:val="Style34"/>
    <w:basedOn w:val="Normal"/>
    <w:uiPriority w:val="99"/>
    <w:rsid w:val="00DF77D2"/>
    <w:pPr>
      <w:widowControl w:val="0"/>
      <w:autoSpaceDE w:val="0"/>
      <w:autoSpaceDN w:val="0"/>
      <w:adjustRightInd w:val="0"/>
      <w:spacing w:after="0" w:line="240" w:lineRule="auto"/>
      <w:jc w:val="both"/>
    </w:pPr>
    <w:rPr>
      <w:rFonts w:ascii="Arial" w:eastAsia="Times New Roman" w:hAnsi="Arial" w:cs="Times New Roman"/>
      <w:sz w:val="24"/>
      <w:szCs w:val="24"/>
      <w:lang w:eastAsia="es-ES"/>
    </w:rPr>
  </w:style>
  <w:style w:type="paragraph" w:customStyle="1" w:styleId="Style35">
    <w:name w:val="Style35"/>
    <w:basedOn w:val="Normal"/>
    <w:uiPriority w:val="99"/>
    <w:rsid w:val="00DF77D2"/>
    <w:pPr>
      <w:widowControl w:val="0"/>
      <w:autoSpaceDE w:val="0"/>
      <w:autoSpaceDN w:val="0"/>
      <w:adjustRightInd w:val="0"/>
      <w:spacing w:after="0" w:line="322" w:lineRule="exact"/>
      <w:jc w:val="both"/>
    </w:pPr>
    <w:rPr>
      <w:rFonts w:ascii="Arial" w:eastAsia="Times New Roman" w:hAnsi="Arial" w:cs="Times New Roman"/>
      <w:sz w:val="24"/>
      <w:szCs w:val="24"/>
      <w:lang w:eastAsia="es-ES"/>
    </w:rPr>
  </w:style>
  <w:style w:type="paragraph" w:customStyle="1" w:styleId="Style36">
    <w:name w:val="Style36"/>
    <w:basedOn w:val="Normal"/>
    <w:uiPriority w:val="99"/>
    <w:rsid w:val="00DF77D2"/>
    <w:pPr>
      <w:widowControl w:val="0"/>
      <w:autoSpaceDE w:val="0"/>
      <w:autoSpaceDN w:val="0"/>
      <w:adjustRightInd w:val="0"/>
      <w:spacing w:after="0" w:line="276" w:lineRule="exact"/>
      <w:ind w:firstLine="562"/>
      <w:jc w:val="both"/>
    </w:pPr>
    <w:rPr>
      <w:rFonts w:ascii="Arial" w:eastAsia="Times New Roman" w:hAnsi="Arial" w:cs="Times New Roman"/>
      <w:sz w:val="24"/>
      <w:szCs w:val="24"/>
      <w:lang w:eastAsia="es-ES"/>
    </w:rPr>
  </w:style>
  <w:style w:type="paragraph" w:customStyle="1" w:styleId="Style37">
    <w:name w:val="Style37"/>
    <w:basedOn w:val="Normal"/>
    <w:uiPriority w:val="99"/>
    <w:rsid w:val="00DF77D2"/>
    <w:pPr>
      <w:widowControl w:val="0"/>
      <w:autoSpaceDE w:val="0"/>
      <w:autoSpaceDN w:val="0"/>
      <w:adjustRightInd w:val="0"/>
      <w:spacing w:after="0" w:line="259" w:lineRule="exact"/>
      <w:jc w:val="both"/>
    </w:pPr>
    <w:rPr>
      <w:rFonts w:ascii="Arial" w:eastAsia="Times New Roman" w:hAnsi="Arial" w:cs="Times New Roman"/>
      <w:sz w:val="24"/>
      <w:szCs w:val="24"/>
      <w:lang w:eastAsia="es-ES"/>
    </w:rPr>
  </w:style>
  <w:style w:type="paragraph" w:customStyle="1" w:styleId="Style38">
    <w:name w:val="Style38"/>
    <w:basedOn w:val="Normal"/>
    <w:uiPriority w:val="99"/>
    <w:rsid w:val="00DF77D2"/>
    <w:pPr>
      <w:widowControl w:val="0"/>
      <w:autoSpaceDE w:val="0"/>
      <w:autoSpaceDN w:val="0"/>
      <w:adjustRightInd w:val="0"/>
      <w:spacing w:after="0" w:line="278" w:lineRule="exact"/>
      <w:jc w:val="both"/>
    </w:pPr>
    <w:rPr>
      <w:rFonts w:ascii="Arial" w:eastAsia="Times New Roman" w:hAnsi="Arial" w:cs="Times New Roman"/>
      <w:sz w:val="24"/>
      <w:szCs w:val="24"/>
      <w:lang w:eastAsia="es-ES"/>
    </w:rPr>
  </w:style>
  <w:style w:type="paragraph" w:customStyle="1" w:styleId="Style39">
    <w:name w:val="Style39"/>
    <w:basedOn w:val="Normal"/>
    <w:uiPriority w:val="99"/>
    <w:rsid w:val="00DF77D2"/>
    <w:pPr>
      <w:widowControl w:val="0"/>
      <w:autoSpaceDE w:val="0"/>
      <w:autoSpaceDN w:val="0"/>
      <w:adjustRightInd w:val="0"/>
      <w:spacing w:after="0" w:line="276" w:lineRule="exact"/>
      <w:jc w:val="both"/>
    </w:pPr>
    <w:rPr>
      <w:rFonts w:ascii="Arial" w:eastAsia="Times New Roman" w:hAnsi="Arial" w:cs="Times New Roman"/>
      <w:sz w:val="24"/>
      <w:szCs w:val="24"/>
      <w:lang w:eastAsia="es-ES"/>
    </w:rPr>
  </w:style>
  <w:style w:type="character" w:customStyle="1" w:styleId="FontStyle41">
    <w:name w:val="Font Style41"/>
    <w:uiPriority w:val="99"/>
    <w:rsid w:val="00DF77D2"/>
    <w:rPr>
      <w:rFonts w:ascii="Arial" w:hAnsi="Arial" w:cs="Arial"/>
      <w:b/>
      <w:bCs/>
      <w:sz w:val="22"/>
      <w:szCs w:val="22"/>
    </w:rPr>
  </w:style>
  <w:style w:type="character" w:customStyle="1" w:styleId="FontStyle42">
    <w:name w:val="Font Style42"/>
    <w:uiPriority w:val="99"/>
    <w:rsid w:val="00DF77D2"/>
    <w:rPr>
      <w:rFonts w:ascii="Arial" w:hAnsi="Arial" w:cs="Arial"/>
      <w:sz w:val="18"/>
      <w:szCs w:val="18"/>
    </w:rPr>
  </w:style>
  <w:style w:type="character" w:customStyle="1" w:styleId="FontStyle43">
    <w:name w:val="Font Style43"/>
    <w:uiPriority w:val="99"/>
    <w:rsid w:val="00DF77D2"/>
    <w:rPr>
      <w:rFonts w:ascii="Arial" w:hAnsi="Arial" w:cs="Arial"/>
      <w:b/>
      <w:bCs/>
      <w:sz w:val="18"/>
      <w:szCs w:val="18"/>
    </w:rPr>
  </w:style>
  <w:style w:type="character" w:customStyle="1" w:styleId="FontStyle44">
    <w:name w:val="Font Style44"/>
    <w:uiPriority w:val="99"/>
    <w:rsid w:val="00DF77D2"/>
    <w:rPr>
      <w:rFonts w:ascii="Arial" w:hAnsi="Arial" w:cs="Arial"/>
      <w:b/>
      <w:bCs/>
      <w:i/>
      <w:iCs/>
      <w:sz w:val="20"/>
      <w:szCs w:val="20"/>
    </w:rPr>
  </w:style>
  <w:style w:type="character" w:customStyle="1" w:styleId="FontStyle45">
    <w:name w:val="Font Style45"/>
    <w:uiPriority w:val="99"/>
    <w:rsid w:val="00DF77D2"/>
    <w:rPr>
      <w:rFonts w:ascii="Arial" w:hAnsi="Arial" w:cs="Arial"/>
      <w:b/>
      <w:bCs/>
      <w:sz w:val="20"/>
      <w:szCs w:val="20"/>
    </w:rPr>
  </w:style>
  <w:style w:type="character" w:customStyle="1" w:styleId="FontStyle46">
    <w:name w:val="Font Style46"/>
    <w:uiPriority w:val="99"/>
    <w:rsid w:val="00DF77D2"/>
    <w:rPr>
      <w:rFonts w:ascii="Arial" w:hAnsi="Arial" w:cs="Arial"/>
      <w:i/>
      <w:iCs/>
      <w:sz w:val="20"/>
      <w:szCs w:val="20"/>
    </w:rPr>
  </w:style>
  <w:style w:type="character" w:customStyle="1" w:styleId="FontStyle47">
    <w:name w:val="Font Style47"/>
    <w:uiPriority w:val="99"/>
    <w:rsid w:val="00DF77D2"/>
    <w:rPr>
      <w:rFonts w:ascii="Arial" w:hAnsi="Arial" w:cs="Arial"/>
      <w:i/>
      <w:iCs/>
      <w:sz w:val="18"/>
      <w:szCs w:val="18"/>
    </w:rPr>
  </w:style>
  <w:style w:type="character" w:customStyle="1" w:styleId="FontStyle49">
    <w:name w:val="Font Style49"/>
    <w:uiPriority w:val="99"/>
    <w:rsid w:val="00DF77D2"/>
    <w:rPr>
      <w:rFonts w:ascii="Arial" w:hAnsi="Arial" w:cs="Arial"/>
      <w:b/>
      <w:bCs/>
      <w:sz w:val="22"/>
      <w:szCs w:val="22"/>
    </w:rPr>
  </w:style>
  <w:style w:type="character" w:customStyle="1" w:styleId="FontStyle51">
    <w:name w:val="Font Style51"/>
    <w:uiPriority w:val="99"/>
    <w:rsid w:val="00DF77D2"/>
    <w:rPr>
      <w:rFonts w:ascii="Arial" w:hAnsi="Arial" w:cs="Arial"/>
      <w:i/>
      <w:iCs/>
      <w:sz w:val="22"/>
      <w:szCs w:val="22"/>
    </w:rPr>
  </w:style>
  <w:style w:type="character" w:customStyle="1" w:styleId="FontStyle52">
    <w:name w:val="Font Style52"/>
    <w:uiPriority w:val="99"/>
    <w:rsid w:val="00DF77D2"/>
    <w:rPr>
      <w:rFonts w:ascii="Arial" w:hAnsi="Arial" w:cs="Arial"/>
      <w:sz w:val="20"/>
      <w:szCs w:val="20"/>
    </w:rPr>
  </w:style>
  <w:style w:type="table" w:styleId="Tablaconcuadrcula">
    <w:name w:val="Table Grid"/>
    <w:basedOn w:val="Tablanormal"/>
    <w:uiPriority w:val="59"/>
    <w:rsid w:val="00DF77D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DF77D2"/>
    <w:pPr>
      <w:spacing w:after="0" w:line="240" w:lineRule="auto"/>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rsid w:val="00DF77D2"/>
    <w:rPr>
      <w:rFonts w:ascii="Tahoma" w:eastAsia="Times New Roman" w:hAnsi="Tahoma" w:cs="Tahoma"/>
      <w:sz w:val="16"/>
      <w:szCs w:val="16"/>
      <w:lang w:eastAsia="es-MX"/>
    </w:rPr>
  </w:style>
  <w:style w:type="character" w:styleId="Refdecomentario">
    <w:name w:val="annotation reference"/>
    <w:rsid w:val="00DF77D2"/>
    <w:rPr>
      <w:sz w:val="16"/>
      <w:szCs w:val="16"/>
    </w:rPr>
  </w:style>
  <w:style w:type="paragraph" w:styleId="Textocomentario">
    <w:name w:val="annotation text"/>
    <w:basedOn w:val="Normal"/>
    <w:link w:val="TextocomentarioCar"/>
    <w:rsid w:val="00DF77D2"/>
    <w:pPr>
      <w:spacing w:after="0" w:line="240" w:lineRule="auto"/>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
    <w:rsid w:val="00DF77D2"/>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rsid w:val="00DF77D2"/>
    <w:rPr>
      <w:b/>
      <w:bCs/>
    </w:rPr>
  </w:style>
  <w:style w:type="character" w:customStyle="1" w:styleId="AsuntodelcomentarioCar">
    <w:name w:val="Asunto del comentario Car"/>
    <w:basedOn w:val="TextocomentarioCar"/>
    <w:link w:val="Asuntodelcomentario"/>
    <w:rsid w:val="00DF77D2"/>
    <w:rPr>
      <w:rFonts w:ascii="Times New Roman" w:eastAsia="Times New Roman" w:hAnsi="Times New Roman" w:cs="Times New Roman"/>
      <w:b/>
      <w:bCs/>
      <w:sz w:val="20"/>
      <w:szCs w:val="20"/>
      <w:lang w:eastAsia="es-MX"/>
    </w:rPr>
  </w:style>
  <w:style w:type="paragraph" w:styleId="Revisin">
    <w:name w:val="Revision"/>
    <w:hidden/>
    <w:uiPriority w:val="99"/>
    <w:semiHidden/>
    <w:rsid w:val="00DF77D2"/>
    <w:pPr>
      <w:spacing w:after="0" w:line="240" w:lineRule="auto"/>
    </w:pPr>
    <w:rPr>
      <w:rFonts w:ascii="Times New Roman" w:eastAsia="Times New Roman" w:hAnsi="Times New Roman" w:cs="Times New Roman"/>
      <w:sz w:val="24"/>
      <w:szCs w:val="24"/>
      <w:lang w:eastAsia="es-MX"/>
    </w:rPr>
  </w:style>
  <w:style w:type="paragraph" w:styleId="z-Principiodelformulario">
    <w:name w:val="HTML Top of Form"/>
    <w:basedOn w:val="Normal"/>
    <w:next w:val="Normal"/>
    <w:link w:val="z-PrincipiodelformularioCar"/>
    <w:hidden/>
    <w:uiPriority w:val="99"/>
    <w:unhideWhenUsed/>
    <w:rsid w:val="00DF77D2"/>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rsid w:val="00DF77D2"/>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nhideWhenUsed/>
    <w:rsid w:val="00DF77D2"/>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rsid w:val="00DF77D2"/>
    <w:rPr>
      <w:rFonts w:ascii="Arial" w:eastAsia="Times New Roman" w:hAnsi="Arial" w:cs="Arial"/>
      <w:vanish/>
      <w:sz w:val="16"/>
      <w:szCs w:val="16"/>
      <w:lang w:eastAsia="es-MX"/>
    </w:rPr>
  </w:style>
  <w:style w:type="paragraph" w:customStyle="1" w:styleId="General">
    <w:name w:val="General"/>
    <w:basedOn w:val="Normal"/>
    <w:link w:val="GeneralCar"/>
    <w:uiPriority w:val="99"/>
    <w:qFormat/>
    <w:rsid w:val="00DF77D2"/>
    <w:pPr>
      <w:spacing w:after="0" w:line="360" w:lineRule="auto"/>
      <w:ind w:firstLine="709"/>
      <w:jc w:val="both"/>
    </w:pPr>
    <w:rPr>
      <w:rFonts w:ascii="Times New Roman" w:eastAsia="Times New Roman" w:hAnsi="Times New Roman" w:cs="Times New Roman"/>
      <w:sz w:val="28"/>
      <w:szCs w:val="24"/>
      <w:lang w:val="es-ES" w:eastAsia="es-ES"/>
    </w:rPr>
  </w:style>
  <w:style w:type="character" w:customStyle="1" w:styleId="GeneralCar">
    <w:name w:val="General Car"/>
    <w:link w:val="General"/>
    <w:uiPriority w:val="99"/>
    <w:locked/>
    <w:rsid w:val="00DF77D2"/>
    <w:rPr>
      <w:rFonts w:ascii="Times New Roman" w:eastAsia="Times New Roman" w:hAnsi="Times New Roman" w:cs="Times New Roman"/>
      <w:sz w:val="28"/>
      <w:szCs w:val="24"/>
      <w:lang w:val="es-ES" w:eastAsia="es-ES"/>
    </w:rPr>
  </w:style>
  <w:style w:type="paragraph" w:styleId="Prrafodelista">
    <w:name w:val="List Paragraph"/>
    <w:basedOn w:val="Normal"/>
    <w:link w:val="PrrafodelistaCar"/>
    <w:uiPriority w:val="34"/>
    <w:qFormat/>
    <w:rsid w:val="00DF77D2"/>
    <w:pPr>
      <w:spacing w:after="0" w:line="240" w:lineRule="auto"/>
      <w:ind w:left="720"/>
      <w:contextualSpacing/>
    </w:pPr>
    <w:rPr>
      <w:rFonts w:ascii="Times New Roman" w:eastAsia="Times New Roman" w:hAnsi="Times New Roman" w:cs="Times New Roman"/>
      <w:sz w:val="24"/>
      <w:szCs w:val="24"/>
      <w:lang w:eastAsia="es-MX"/>
    </w:rPr>
  </w:style>
  <w:style w:type="paragraph" w:customStyle="1" w:styleId="Normalsentencia">
    <w:name w:val="Normal sentencia"/>
    <w:basedOn w:val="Normal"/>
    <w:link w:val="NormalsentenciaCar"/>
    <w:qFormat/>
    <w:rsid w:val="00DF77D2"/>
    <w:pPr>
      <w:spacing w:after="0" w:line="360" w:lineRule="auto"/>
      <w:ind w:firstLine="709"/>
      <w:jc w:val="both"/>
    </w:pPr>
    <w:rPr>
      <w:rFonts w:ascii="Arial" w:eastAsia="Times New Roman" w:hAnsi="Arial" w:cs="Times New Roman"/>
      <w:sz w:val="28"/>
      <w:lang w:val="es-ES" w:eastAsia="es-ES"/>
    </w:rPr>
  </w:style>
  <w:style w:type="character" w:customStyle="1" w:styleId="NormalsentenciaCar">
    <w:name w:val="Normal sentencia Car"/>
    <w:link w:val="Normalsentencia"/>
    <w:locked/>
    <w:rsid w:val="00DF77D2"/>
    <w:rPr>
      <w:rFonts w:ascii="Arial" w:eastAsia="Times New Roman" w:hAnsi="Arial" w:cs="Times New Roman"/>
      <w:sz w:val="28"/>
      <w:lang w:val="es-ES" w:eastAsia="es-ES"/>
    </w:rPr>
  </w:style>
  <w:style w:type="paragraph" w:customStyle="1" w:styleId="Default">
    <w:name w:val="Default"/>
    <w:rsid w:val="00DF77D2"/>
    <w:pPr>
      <w:autoSpaceDE w:val="0"/>
      <w:autoSpaceDN w:val="0"/>
      <w:adjustRightInd w:val="0"/>
      <w:spacing w:after="0" w:line="240" w:lineRule="auto"/>
    </w:pPr>
    <w:rPr>
      <w:rFonts w:ascii="Arial Narrow" w:eastAsia="Calibri" w:hAnsi="Arial Narrow" w:cs="Arial Narrow"/>
      <w:color w:val="000000"/>
      <w:sz w:val="24"/>
      <w:szCs w:val="24"/>
      <w:lang w:eastAsia="es-MX"/>
    </w:rPr>
  </w:style>
  <w:style w:type="paragraph" w:customStyle="1" w:styleId="Sinespaciado1">
    <w:name w:val="Sin espaciado1"/>
    <w:next w:val="Sinespaciado"/>
    <w:uiPriority w:val="1"/>
    <w:qFormat/>
    <w:rsid w:val="00DF77D2"/>
    <w:pPr>
      <w:spacing w:after="0" w:line="240" w:lineRule="auto"/>
    </w:pPr>
  </w:style>
  <w:style w:type="paragraph" w:styleId="Textoindependiente">
    <w:name w:val="Body Text"/>
    <w:basedOn w:val="Normal"/>
    <w:link w:val="TextoindependienteCar"/>
    <w:rsid w:val="00DF77D2"/>
    <w:pPr>
      <w:spacing w:after="0" w:line="360" w:lineRule="auto"/>
      <w:jc w:val="both"/>
    </w:pPr>
    <w:rPr>
      <w:rFonts w:ascii="CG Times" w:eastAsia="Times New Roman" w:hAnsi="CG Times" w:cs="Times New Roman"/>
      <w:sz w:val="28"/>
      <w:szCs w:val="24"/>
      <w:lang w:eastAsia="es-ES"/>
    </w:rPr>
  </w:style>
  <w:style w:type="character" w:customStyle="1" w:styleId="TextoindependienteCar">
    <w:name w:val="Texto independiente Car"/>
    <w:basedOn w:val="Fuentedeprrafopredeter"/>
    <w:link w:val="Textoindependiente"/>
    <w:rsid w:val="00DF77D2"/>
    <w:rPr>
      <w:rFonts w:ascii="CG Times" w:eastAsia="Times New Roman" w:hAnsi="CG Times" w:cs="Times New Roman"/>
      <w:sz w:val="28"/>
      <w:szCs w:val="24"/>
      <w:lang w:eastAsia="es-ES"/>
    </w:rPr>
  </w:style>
  <w:style w:type="paragraph" w:customStyle="1" w:styleId="Style4">
    <w:name w:val="Style4"/>
    <w:basedOn w:val="Normal"/>
    <w:uiPriority w:val="99"/>
    <w:rsid w:val="00DF77D2"/>
    <w:pPr>
      <w:widowControl w:val="0"/>
      <w:autoSpaceDE w:val="0"/>
      <w:autoSpaceDN w:val="0"/>
      <w:adjustRightInd w:val="0"/>
      <w:spacing w:after="0" w:line="276" w:lineRule="exact"/>
      <w:jc w:val="both"/>
    </w:pPr>
    <w:rPr>
      <w:rFonts w:ascii="Arial" w:eastAsia="Times New Roman" w:hAnsi="Arial" w:cs="Arial"/>
      <w:sz w:val="24"/>
      <w:szCs w:val="24"/>
      <w:lang w:eastAsia="es-MX"/>
    </w:rPr>
  </w:style>
  <w:style w:type="character" w:customStyle="1" w:styleId="FontStyle11">
    <w:name w:val="Font Style11"/>
    <w:basedOn w:val="Fuentedeprrafopredeter"/>
    <w:uiPriority w:val="99"/>
    <w:rsid w:val="00DF77D2"/>
    <w:rPr>
      <w:rFonts w:ascii="Arial" w:hAnsi="Arial" w:cs="Arial"/>
      <w:sz w:val="22"/>
      <w:szCs w:val="22"/>
    </w:rPr>
  </w:style>
  <w:style w:type="character" w:customStyle="1" w:styleId="FontStyle13">
    <w:name w:val="Font Style13"/>
    <w:basedOn w:val="Fuentedeprrafopredeter"/>
    <w:uiPriority w:val="99"/>
    <w:rsid w:val="00DF77D2"/>
    <w:rPr>
      <w:rFonts w:ascii="Arial" w:hAnsi="Arial" w:cs="Arial"/>
      <w:sz w:val="26"/>
      <w:szCs w:val="26"/>
    </w:rPr>
  </w:style>
  <w:style w:type="character" w:customStyle="1" w:styleId="FontStyle14">
    <w:name w:val="Font Style14"/>
    <w:basedOn w:val="Fuentedeprrafopredeter"/>
    <w:uiPriority w:val="99"/>
    <w:rsid w:val="00DF77D2"/>
    <w:rPr>
      <w:rFonts w:ascii="Arial" w:hAnsi="Arial" w:cs="Arial"/>
      <w:b/>
      <w:bCs/>
      <w:i/>
      <w:iCs/>
      <w:sz w:val="22"/>
      <w:szCs w:val="22"/>
    </w:rPr>
  </w:style>
  <w:style w:type="character" w:customStyle="1" w:styleId="FontStyle15">
    <w:name w:val="Font Style15"/>
    <w:basedOn w:val="Fuentedeprrafopredeter"/>
    <w:uiPriority w:val="99"/>
    <w:rsid w:val="00DF77D2"/>
    <w:rPr>
      <w:rFonts w:ascii="Arial" w:hAnsi="Arial" w:cs="Arial"/>
      <w:i/>
      <w:iCs/>
      <w:sz w:val="26"/>
      <w:szCs w:val="26"/>
    </w:rPr>
  </w:style>
  <w:style w:type="character" w:customStyle="1" w:styleId="FontStyle16">
    <w:name w:val="Font Style16"/>
    <w:basedOn w:val="Fuentedeprrafopredeter"/>
    <w:uiPriority w:val="99"/>
    <w:rsid w:val="00DF77D2"/>
    <w:rPr>
      <w:rFonts w:ascii="Arial" w:hAnsi="Arial" w:cs="Arial"/>
      <w:b/>
      <w:bCs/>
      <w:sz w:val="26"/>
      <w:szCs w:val="26"/>
    </w:rPr>
  </w:style>
  <w:style w:type="paragraph" w:styleId="Sangra2detindependiente">
    <w:name w:val="Body Text Indent 2"/>
    <w:basedOn w:val="Normal"/>
    <w:link w:val="Sangra2detindependienteCar"/>
    <w:rsid w:val="00DF77D2"/>
    <w:pPr>
      <w:spacing w:after="120" w:line="480" w:lineRule="auto"/>
      <w:ind w:left="283"/>
    </w:pPr>
    <w:rPr>
      <w:rFonts w:ascii="Times New Roman" w:eastAsia="Times New Roman" w:hAnsi="Times New Roman" w:cs="Times New Roman"/>
      <w:sz w:val="24"/>
      <w:szCs w:val="24"/>
      <w:lang w:eastAsia="es-MX"/>
    </w:rPr>
  </w:style>
  <w:style w:type="character" w:customStyle="1" w:styleId="Sangra2detindependienteCar">
    <w:name w:val="Sangría 2 de t. independiente Car"/>
    <w:basedOn w:val="Fuentedeprrafopredeter"/>
    <w:link w:val="Sangra2detindependiente"/>
    <w:rsid w:val="00DF77D2"/>
    <w:rPr>
      <w:rFonts w:ascii="Times New Roman" w:eastAsia="Times New Roman" w:hAnsi="Times New Roman" w:cs="Times New Roman"/>
      <w:sz w:val="24"/>
      <w:szCs w:val="24"/>
      <w:lang w:eastAsia="es-MX"/>
    </w:rPr>
  </w:style>
  <w:style w:type="paragraph" w:customStyle="1" w:styleId="Firmas">
    <w:name w:val="Firmas"/>
    <w:basedOn w:val="Normal"/>
    <w:rsid w:val="00DF77D2"/>
    <w:pPr>
      <w:spacing w:after="0" w:line="240" w:lineRule="auto"/>
      <w:jc w:val="center"/>
    </w:pPr>
    <w:rPr>
      <w:rFonts w:ascii="Arial" w:eastAsia="Times New Roman" w:hAnsi="Arial" w:cs="Times New Roman"/>
      <w:b/>
      <w:bCs/>
      <w:sz w:val="24"/>
      <w:szCs w:val="24"/>
      <w:lang w:val="es-ES" w:eastAsia="es-ES"/>
    </w:rPr>
  </w:style>
  <w:style w:type="character" w:customStyle="1" w:styleId="apple-converted-space">
    <w:name w:val="apple-converted-space"/>
    <w:basedOn w:val="Fuentedeprrafopredeter"/>
    <w:rsid w:val="00DF77D2"/>
  </w:style>
  <w:style w:type="paragraph" w:styleId="Sinespaciado">
    <w:name w:val="No Spacing"/>
    <w:uiPriority w:val="1"/>
    <w:qFormat/>
    <w:rsid w:val="00DF77D2"/>
    <w:pPr>
      <w:spacing w:after="0" w:line="240" w:lineRule="auto"/>
    </w:pPr>
  </w:style>
  <w:style w:type="paragraph" w:customStyle="1" w:styleId="Ttulo61">
    <w:name w:val="Título 61"/>
    <w:basedOn w:val="Normal"/>
    <w:next w:val="Normal"/>
    <w:uiPriority w:val="9"/>
    <w:semiHidden/>
    <w:unhideWhenUsed/>
    <w:qFormat/>
    <w:locked/>
    <w:rsid w:val="006F5238"/>
    <w:pPr>
      <w:shd w:val="clear" w:color="auto" w:fill="FFFFFF"/>
      <w:spacing w:after="0" w:line="271" w:lineRule="auto"/>
      <w:outlineLvl w:val="5"/>
    </w:pPr>
    <w:rPr>
      <w:rFonts w:ascii="Cambria" w:eastAsia="Times New Roman" w:hAnsi="Cambria" w:cs="Times New Roman"/>
      <w:b/>
      <w:bCs/>
      <w:color w:val="595959"/>
      <w:spacing w:val="5"/>
      <w:lang w:val="en-US" w:bidi="en-US"/>
    </w:rPr>
  </w:style>
  <w:style w:type="paragraph" w:customStyle="1" w:styleId="Ttulo71">
    <w:name w:val="Título 71"/>
    <w:basedOn w:val="Normal"/>
    <w:next w:val="Normal"/>
    <w:uiPriority w:val="9"/>
    <w:semiHidden/>
    <w:unhideWhenUsed/>
    <w:qFormat/>
    <w:locked/>
    <w:rsid w:val="006F5238"/>
    <w:pPr>
      <w:spacing w:after="0" w:line="276" w:lineRule="auto"/>
      <w:outlineLvl w:val="6"/>
    </w:pPr>
    <w:rPr>
      <w:rFonts w:ascii="Cambria" w:eastAsia="Times New Roman" w:hAnsi="Cambria" w:cs="Times New Roman"/>
      <w:b/>
      <w:bCs/>
      <w:i/>
      <w:iCs/>
      <w:color w:val="5A5A5A"/>
      <w:sz w:val="20"/>
      <w:szCs w:val="20"/>
      <w:lang w:val="en-US" w:bidi="en-US"/>
    </w:rPr>
  </w:style>
  <w:style w:type="paragraph" w:customStyle="1" w:styleId="Ttulo81">
    <w:name w:val="Título 81"/>
    <w:basedOn w:val="Normal"/>
    <w:next w:val="Normal"/>
    <w:uiPriority w:val="9"/>
    <w:semiHidden/>
    <w:unhideWhenUsed/>
    <w:qFormat/>
    <w:locked/>
    <w:rsid w:val="006F5238"/>
    <w:pPr>
      <w:spacing w:after="0" w:line="276" w:lineRule="auto"/>
      <w:outlineLvl w:val="7"/>
    </w:pPr>
    <w:rPr>
      <w:rFonts w:ascii="Cambria" w:eastAsia="Times New Roman" w:hAnsi="Cambria" w:cs="Times New Roman"/>
      <w:b/>
      <w:bCs/>
      <w:color w:val="7F7F7F"/>
      <w:sz w:val="20"/>
      <w:szCs w:val="20"/>
      <w:lang w:val="en-US" w:bidi="en-US"/>
    </w:rPr>
  </w:style>
  <w:style w:type="paragraph" w:customStyle="1" w:styleId="Ttulo91">
    <w:name w:val="Título 91"/>
    <w:basedOn w:val="Normal"/>
    <w:next w:val="Normal"/>
    <w:uiPriority w:val="9"/>
    <w:semiHidden/>
    <w:unhideWhenUsed/>
    <w:qFormat/>
    <w:locked/>
    <w:rsid w:val="006F5238"/>
    <w:pPr>
      <w:spacing w:after="0" w:line="271" w:lineRule="auto"/>
      <w:outlineLvl w:val="8"/>
    </w:pPr>
    <w:rPr>
      <w:rFonts w:ascii="Cambria" w:eastAsia="Times New Roman" w:hAnsi="Cambria" w:cs="Times New Roman"/>
      <w:b/>
      <w:bCs/>
      <w:i/>
      <w:iCs/>
      <w:color w:val="7F7F7F"/>
      <w:sz w:val="18"/>
      <w:szCs w:val="18"/>
      <w:lang w:val="en-US" w:bidi="en-US"/>
    </w:rPr>
  </w:style>
  <w:style w:type="numbering" w:customStyle="1" w:styleId="Sinlista2">
    <w:name w:val="Sin lista2"/>
    <w:next w:val="Sinlista"/>
    <w:uiPriority w:val="99"/>
    <w:semiHidden/>
    <w:unhideWhenUsed/>
    <w:rsid w:val="006F5238"/>
  </w:style>
  <w:style w:type="paragraph" w:customStyle="1" w:styleId="centrado">
    <w:name w:val="centrado"/>
    <w:basedOn w:val="Normal"/>
    <w:link w:val="centradoCar"/>
    <w:rsid w:val="006F5238"/>
    <w:pPr>
      <w:spacing w:before="360" w:after="360" w:line="360" w:lineRule="auto"/>
      <w:jc w:val="center"/>
    </w:pPr>
    <w:rPr>
      <w:rFonts w:ascii="Arial" w:eastAsia="Times New Roman" w:hAnsi="Arial" w:cs="Times New Roman"/>
      <w:b/>
      <w:caps/>
      <w:spacing w:val="40"/>
      <w:sz w:val="28"/>
      <w:szCs w:val="24"/>
      <w:lang w:eastAsia="es-ES"/>
    </w:rPr>
  </w:style>
  <w:style w:type="character" w:customStyle="1" w:styleId="centradoCar">
    <w:name w:val="centrado Car"/>
    <w:basedOn w:val="Fuentedeprrafopredeter"/>
    <w:link w:val="centrado"/>
    <w:locked/>
    <w:rsid w:val="006F5238"/>
    <w:rPr>
      <w:rFonts w:ascii="Arial" w:eastAsia="Times New Roman" w:hAnsi="Arial" w:cs="Times New Roman"/>
      <w:b/>
      <w:caps/>
      <w:spacing w:val="40"/>
      <w:sz w:val="28"/>
      <w:szCs w:val="24"/>
      <w:lang w:eastAsia="es-ES"/>
    </w:rPr>
  </w:style>
  <w:style w:type="paragraph" w:customStyle="1" w:styleId="proemio0">
    <w:name w:val="proemio"/>
    <w:basedOn w:val="Normal"/>
    <w:rsid w:val="006F5238"/>
    <w:pPr>
      <w:spacing w:before="360" w:after="360" w:line="240" w:lineRule="auto"/>
      <w:ind w:left="2835"/>
      <w:jc w:val="both"/>
    </w:pPr>
    <w:rPr>
      <w:rFonts w:ascii="Times New Roman" w:eastAsia="Times New Roman" w:hAnsi="Times New Roman" w:cs="Times New Roman"/>
      <w:b/>
      <w:caps/>
      <w:sz w:val="28"/>
      <w:szCs w:val="24"/>
      <w:lang w:eastAsia="es-ES"/>
    </w:rPr>
  </w:style>
  <w:style w:type="character" w:customStyle="1" w:styleId="NormalWebChar">
    <w:name w:val="Normal (Web) Char"/>
    <w:aliases w:val="Normal (Web) Car1 Char,Normal (Web) Car Car Char,Normal (Web) Car1 Car Car Char,Normal (Web) Car Car Car Car Car Car Car Car Car Car Char,Normal (Web) Car Car Car Car Car Car Char,Normal (Web) Car Car Car Car Char,Car Car Car Car Char"/>
    <w:locked/>
    <w:rsid w:val="006F5238"/>
    <w:rPr>
      <w:rFonts w:ascii="Arial Unicode MS" w:eastAsia="Arial Unicode MS" w:hAnsi="Arial Unicode MS"/>
      <w:sz w:val="20"/>
      <w:lang w:val="es-ES" w:eastAsia="es-ES"/>
    </w:rPr>
  </w:style>
  <w:style w:type="paragraph" w:customStyle="1" w:styleId="PARRAFOSENTENCIA">
    <w:name w:val="PARRAFO SENTENCIA"/>
    <w:basedOn w:val="Normal"/>
    <w:link w:val="PARRAFOSENTENCIACar"/>
    <w:rsid w:val="006F5238"/>
    <w:pPr>
      <w:spacing w:before="100" w:beforeAutospacing="1" w:after="100" w:afterAutospacing="1" w:line="360" w:lineRule="auto"/>
      <w:ind w:firstLine="709"/>
      <w:jc w:val="both"/>
    </w:pPr>
    <w:rPr>
      <w:rFonts w:ascii="Arial" w:eastAsia="Times New Roman" w:hAnsi="Arial" w:cs="Arial"/>
      <w:sz w:val="28"/>
      <w:szCs w:val="27"/>
      <w:lang w:val="es-ES" w:eastAsia="es-ES"/>
    </w:rPr>
  </w:style>
  <w:style w:type="character" w:customStyle="1" w:styleId="PARRAFOSENTENCIACar">
    <w:name w:val="PARRAFO SENTENCIA Car"/>
    <w:basedOn w:val="Fuentedeprrafopredeter"/>
    <w:link w:val="PARRAFOSENTENCIA"/>
    <w:rsid w:val="006F5238"/>
    <w:rPr>
      <w:rFonts w:ascii="Arial" w:eastAsia="Times New Roman" w:hAnsi="Arial" w:cs="Arial"/>
      <w:sz w:val="28"/>
      <w:szCs w:val="27"/>
      <w:lang w:val="es-ES" w:eastAsia="es-ES"/>
    </w:rPr>
  </w:style>
  <w:style w:type="paragraph" w:styleId="Lista2">
    <w:name w:val="List 2"/>
    <w:basedOn w:val="Normal"/>
    <w:uiPriority w:val="99"/>
    <w:rsid w:val="006F5238"/>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rsid w:val="006F5238"/>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rsid w:val="006F5238"/>
    <w:pPr>
      <w:spacing w:after="120" w:line="240" w:lineRule="auto"/>
      <w:ind w:firstLine="210"/>
      <w:jc w:val="left"/>
    </w:pPr>
    <w:rPr>
      <w:rFonts w:ascii="Times New Roman" w:hAnsi="Times New Roman"/>
      <w:sz w:val="24"/>
      <w:lang w:val="es-ES"/>
    </w:rPr>
  </w:style>
  <w:style w:type="character" w:customStyle="1" w:styleId="TextoindependienteprimerasangraCar">
    <w:name w:val="Texto independiente primera sangría Car"/>
    <w:basedOn w:val="TextoindependienteCar"/>
    <w:link w:val="Textoindependienteprimerasangra"/>
    <w:rsid w:val="006F5238"/>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rsid w:val="006F5238"/>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6F523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6F5238"/>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6F5238"/>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locked/>
    <w:rsid w:val="006F5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te4fondoCar">
    <w:name w:val="corte4 fondo Car"/>
    <w:basedOn w:val="Normal"/>
    <w:link w:val="corte4fondoCarCar"/>
    <w:rsid w:val="006F5238"/>
    <w:pPr>
      <w:spacing w:after="0" w:line="360" w:lineRule="auto"/>
      <w:ind w:firstLine="709"/>
      <w:jc w:val="both"/>
    </w:pPr>
    <w:rPr>
      <w:rFonts w:ascii="Arial" w:eastAsia="Times New Roman" w:hAnsi="Arial" w:cs="Times New Roman"/>
      <w:sz w:val="30"/>
      <w:szCs w:val="24"/>
      <w:lang w:eastAsia="es-MX"/>
    </w:rPr>
  </w:style>
  <w:style w:type="character" w:customStyle="1" w:styleId="corte4fondoCarCar">
    <w:name w:val="corte4 fondo Car Car"/>
    <w:basedOn w:val="Fuentedeprrafopredeter"/>
    <w:link w:val="corte4fondoCar"/>
    <w:rsid w:val="006F5238"/>
    <w:rPr>
      <w:rFonts w:ascii="Arial" w:eastAsia="Times New Roman" w:hAnsi="Arial" w:cs="Times New Roman"/>
      <w:sz w:val="30"/>
      <w:szCs w:val="24"/>
      <w:lang w:eastAsia="es-MX"/>
    </w:rPr>
  </w:style>
  <w:style w:type="paragraph" w:customStyle="1" w:styleId="corte4fondoCarCarCar">
    <w:name w:val="corte4 fondo Car Car Car"/>
    <w:basedOn w:val="Normal"/>
    <w:link w:val="corte4fondoCarCarCarCar"/>
    <w:rsid w:val="006F5238"/>
    <w:pPr>
      <w:spacing w:after="0" w:line="360" w:lineRule="auto"/>
      <w:ind w:firstLine="709"/>
      <w:jc w:val="both"/>
    </w:pPr>
    <w:rPr>
      <w:rFonts w:ascii="Arial" w:eastAsia="Times New Roman" w:hAnsi="Arial" w:cs="Times New Roman"/>
      <w:sz w:val="30"/>
      <w:szCs w:val="20"/>
      <w:lang w:val="es-ES_tradnl" w:eastAsia="es-MX"/>
    </w:rPr>
  </w:style>
  <w:style w:type="character" w:customStyle="1" w:styleId="corte4fondoCarCarCarCar">
    <w:name w:val="corte4 fondo Car Car Car Car"/>
    <w:basedOn w:val="Fuentedeprrafopredeter"/>
    <w:link w:val="corte4fondoCarCarCar"/>
    <w:rsid w:val="006F5238"/>
    <w:rPr>
      <w:rFonts w:ascii="Arial" w:eastAsia="Times New Roman" w:hAnsi="Arial" w:cs="Times New Roman"/>
      <w:sz w:val="30"/>
      <w:szCs w:val="20"/>
      <w:lang w:val="es-ES_tradnl" w:eastAsia="es-MX"/>
    </w:rPr>
  </w:style>
  <w:style w:type="paragraph" w:customStyle="1" w:styleId="Texto">
    <w:name w:val="Texto"/>
    <w:basedOn w:val="Normal"/>
    <w:rsid w:val="006F5238"/>
    <w:pPr>
      <w:spacing w:after="101" w:line="216" w:lineRule="exact"/>
      <w:ind w:firstLine="288"/>
      <w:jc w:val="both"/>
    </w:pPr>
    <w:rPr>
      <w:rFonts w:ascii="Arial" w:eastAsia="Times New Roman" w:hAnsi="Arial" w:cs="Arial"/>
      <w:sz w:val="18"/>
      <w:szCs w:val="18"/>
      <w:lang w:eastAsia="es-ES"/>
    </w:rPr>
  </w:style>
  <w:style w:type="character" w:customStyle="1" w:styleId="lbl-encabezado-blanco">
    <w:name w:val="lbl-encabezado-blanco"/>
    <w:basedOn w:val="Fuentedeprrafopredeter"/>
    <w:rsid w:val="006F5238"/>
  </w:style>
  <w:style w:type="paragraph" w:customStyle="1" w:styleId="titulo">
    <w:name w:val="titulo"/>
    <w:link w:val="tituloCar"/>
    <w:qFormat/>
    <w:rsid w:val="006F5238"/>
    <w:pPr>
      <w:widowControl w:val="0"/>
      <w:tabs>
        <w:tab w:val="left" w:pos="0"/>
        <w:tab w:val="left" w:pos="424"/>
        <w:tab w:val="left" w:pos="720"/>
      </w:tabs>
      <w:suppressAutoHyphens/>
      <w:spacing w:after="0" w:line="240" w:lineRule="auto"/>
      <w:jc w:val="both"/>
    </w:pPr>
    <w:rPr>
      <w:rFonts w:ascii="Garamond" w:eastAsia="SimSun" w:hAnsi="Garamond" w:cs="Times New Roman"/>
      <w:spacing w:val="-3"/>
      <w:sz w:val="28"/>
      <w:szCs w:val="20"/>
      <w:lang w:val="es-ES_tradnl" w:eastAsia="es-ES"/>
    </w:rPr>
  </w:style>
  <w:style w:type="paragraph" w:customStyle="1" w:styleId="citaley">
    <w:name w:val="cita ley"/>
    <w:basedOn w:val="Normal"/>
    <w:link w:val="citaleyCar"/>
    <w:qFormat/>
    <w:rsid w:val="006F5238"/>
    <w:pPr>
      <w:spacing w:after="200" w:line="240" w:lineRule="auto"/>
      <w:ind w:left="709" w:right="708"/>
      <w:jc w:val="both"/>
    </w:pPr>
    <w:rPr>
      <w:rFonts w:ascii="Univers" w:eastAsia="Calibri" w:hAnsi="Univers" w:cs="Times New Roman"/>
      <w:b/>
      <w:sz w:val="28"/>
      <w:szCs w:val="28"/>
    </w:rPr>
  </w:style>
  <w:style w:type="character" w:customStyle="1" w:styleId="citaleyCar">
    <w:name w:val="cita ley Car"/>
    <w:link w:val="citaley"/>
    <w:rsid w:val="006F5238"/>
    <w:rPr>
      <w:rFonts w:ascii="Univers" w:eastAsia="Calibri" w:hAnsi="Univers" w:cs="Times New Roman"/>
      <w:b/>
      <w:sz w:val="28"/>
      <w:szCs w:val="28"/>
    </w:rPr>
  </w:style>
  <w:style w:type="character" w:customStyle="1" w:styleId="tituloCar">
    <w:name w:val="titulo Car"/>
    <w:basedOn w:val="Fuentedeprrafopredeter"/>
    <w:link w:val="titulo"/>
    <w:rsid w:val="006F5238"/>
    <w:rPr>
      <w:rFonts w:ascii="Garamond" w:eastAsia="SimSun" w:hAnsi="Garamond" w:cs="Times New Roman"/>
      <w:spacing w:val="-3"/>
      <w:sz w:val="28"/>
      <w:szCs w:val="20"/>
      <w:lang w:val="es-ES_tradnl" w:eastAsia="es-ES"/>
    </w:rPr>
  </w:style>
  <w:style w:type="character" w:customStyle="1" w:styleId="Ttulo6Car">
    <w:name w:val="Título 6 Car"/>
    <w:basedOn w:val="Fuentedeprrafopredeter"/>
    <w:link w:val="Ttulo6"/>
    <w:uiPriority w:val="9"/>
    <w:semiHidden/>
    <w:rsid w:val="006F5238"/>
    <w:rPr>
      <w:rFonts w:ascii="Cambria" w:eastAsia="Times New Roman" w:hAnsi="Cambria" w:cs="Times New Roman"/>
      <w:b/>
      <w:bCs/>
      <w:color w:val="595959"/>
      <w:spacing w:val="5"/>
      <w:sz w:val="22"/>
      <w:szCs w:val="22"/>
      <w:shd w:val="clear" w:color="auto" w:fill="FFFFFF"/>
      <w:lang w:val="en-US" w:eastAsia="en-US" w:bidi="en-US"/>
    </w:rPr>
  </w:style>
  <w:style w:type="character" w:customStyle="1" w:styleId="Ttulo7Car">
    <w:name w:val="Título 7 Car"/>
    <w:basedOn w:val="Fuentedeprrafopredeter"/>
    <w:link w:val="Ttulo7"/>
    <w:uiPriority w:val="9"/>
    <w:semiHidden/>
    <w:rsid w:val="006F5238"/>
    <w:rPr>
      <w:rFonts w:ascii="Cambria" w:eastAsia="Times New Roman" w:hAnsi="Cambria" w:cs="Times New Roman"/>
      <w:b/>
      <w:bCs/>
      <w:i/>
      <w:iCs/>
      <w:color w:val="5A5A5A"/>
      <w:lang w:val="en-US" w:eastAsia="en-US" w:bidi="en-US"/>
    </w:rPr>
  </w:style>
  <w:style w:type="character" w:customStyle="1" w:styleId="Ttulo8Car">
    <w:name w:val="Título 8 Car"/>
    <w:basedOn w:val="Fuentedeprrafopredeter"/>
    <w:link w:val="Ttulo8"/>
    <w:uiPriority w:val="9"/>
    <w:semiHidden/>
    <w:rsid w:val="006F5238"/>
    <w:rPr>
      <w:rFonts w:ascii="Cambria" w:eastAsia="Times New Roman" w:hAnsi="Cambria" w:cs="Times New Roman"/>
      <w:b/>
      <w:bCs/>
      <w:color w:val="7F7F7F"/>
      <w:lang w:val="en-US" w:eastAsia="en-US" w:bidi="en-US"/>
    </w:rPr>
  </w:style>
  <w:style w:type="character" w:customStyle="1" w:styleId="Ttulo9Car">
    <w:name w:val="Título 9 Car"/>
    <w:basedOn w:val="Fuentedeprrafopredeter"/>
    <w:link w:val="Ttulo9"/>
    <w:uiPriority w:val="9"/>
    <w:semiHidden/>
    <w:rsid w:val="006F5238"/>
    <w:rPr>
      <w:rFonts w:ascii="Cambria" w:eastAsia="Times New Roman" w:hAnsi="Cambria" w:cs="Times New Roman"/>
      <w:b/>
      <w:bCs/>
      <w:i/>
      <w:iCs/>
      <w:color w:val="7F7F7F"/>
      <w:sz w:val="18"/>
      <w:szCs w:val="18"/>
      <w:lang w:val="en-US" w:eastAsia="en-US" w:bidi="en-US"/>
    </w:rPr>
  </w:style>
  <w:style w:type="paragraph" w:customStyle="1" w:styleId="Ttulo10">
    <w:name w:val="Título1"/>
    <w:basedOn w:val="Normal"/>
    <w:next w:val="Normal"/>
    <w:uiPriority w:val="10"/>
    <w:qFormat/>
    <w:locked/>
    <w:rsid w:val="006F5238"/>
    <w:pPr>
      <w:spacing w:after="300" w:line="240" w:lineRule="auto"/>
      <w:contextualSpacing/>
    </w:pPr>
    <w:rPr>
      <w:rFonts w:ascii="Cambria" w:eastAsia="Times New Roman" w:hAnsi="Cambria" w:cs="Times New Roman"/>
      <w:smallCaps/>
      <w:sz w:val="52"/>
      <w:szCs w:val="52"/>
      <w:lang w:val="en-US" w:bidi="en-US"/>
    </w:rPr>
  </w:style>
  <w:style w:type="character" w:customStyle="1" w:styleId="PuestoCar">
    <w:name w:val="Puesto Car"/>
    <w:basedOn w:val="Fuentedeprrafopredeter"/>
    <w:link w:val="Puesto"/>
    <w:uiPriority w:val="10"/>
    <w:rsid w:val="006F5238"/>
    <w:rPr>
      <w:rFonts w:ascii="Cambria" w:eastAsia="Times New Roman" w:hAnsi="Cambria" w:cs="Times New Roman"/>
      <w:smallCaps/>
      <w:sz w:val="52"/>
      <w:szCs w:val="52"/>
      <w:lang w:val="en-US" w:eastAsia="en-US" w:bidi="en-US"/>
    </w:rPr>
  </w:style>
  <w:style w:type="paragraph" w:customStyle="1" w:styleId="Subttulo1">
    <w:name w:val="Subtítulo1"/>
    <w:basedOn w:val="Normal"/>
    <w:next w:val="Normal"/>
    <w:uiPriority w:val="11"/>
    <w:qFormat/>
    <w:locked/>
    <w:rsid w:val="006F5238"/>
    <w:pPr>
      <w:spacing w:after="200" w:line="276" w:lineRule="auto"/>
    </w:pPr>
    <w:rPr>
      <w:rFonts w:ascii="Cambria" w:eastAsia="Times New Roman" w:hAnsi="Cambria" w:cs="Times New Roman"/>
      <w:i/>
      <w:iCs/>
      <w:smallCaps/>
      <w:spacing w:val="10"/>
      <w:sz w:val="28"/>
      <w:szCs w:val="28"/>
      <w:lang w:val="en-US" w:bidi="en-US"/>
    </w:rPr>
  </w:style>
  <w:style w:type="character" w:customStyle="1" w:styleId="SubttuloCar">
    <w:name w:val="Subtítulo Car"/>
    <w:basedOn w:val="Fuentedeprrafopredeter"/>
    <w:link w:val="Subttulo"/>
    <w:uiPriority w:val="11"/>
    <w:rsid w:val="006F5238"/>
    <w:rPr>
      <w:rFonts w:ascii="Cambria" w:eastAsia="Times New Roman" w:hAnsi="Cambria" w:cs="Times New Roman"/>
      <w:i/>
      <w:iCs/>
      <w:smallCaps/>
      <w:spacing w:val="10"/>
      <w:sz w:val="28"/>
      <w:szCs w:val="28"/>
      <w:lang w:val="en-US" w:eastAsia="en-US" w:bidi="en-US"/>
    </w:rPr>
  </w:style>
  <w:style w:type="character" w:styleId="nfasis">
    <w:name w:val="Emphasis"/>
    <w:uiPriority w:val="20"/>
    <w:qFormat/>
    <w:rsid w:val="006F5238"/>
    <w:rPr>
      <w:b/>
      <w:bCs/>
      <w:i/>
      <w:iCs/>
      <w:spacing w:val="10"/>
    </w:rPr>
  </w:style>
  <w:style w:type="paragraph" w:customStyle="1" w:styleId="Cita1">
    <w:name w:val="Cita1"/>
    <w:basedOn w:val="Normal"/>
    <w:next w:val="Normal"/>
    <w:uiPriority w:val="29"/>
    <w:qFormat/>
    <w:rsid w:val="006F5238"/>
    <w:pPr>
      <w:spacing w:after="200" w:line="276" w:lineRule="auto"/>
    </w:pPr>
    <w:rPr>
      <w:rFonts w:ascii="Cambria" w:eastAsia="Times New Roman" w:hAnsi="Cambria" w:cs="Times New Roman"/>
      <w:i/>
      <w:iCs/>
      <w:lang w:val="en-US" w:bidi="en-US"/>
    </w:rPr>
  </w:style>
  <w:style w:type="character" w:customStyle="1" w:styleId="CitaCar">
    <w:name w:val="Cita Car"/>
    <w:basedOn w:val="Fuentedeprrafopredeter"/>
    <w:link w:val="Cita"/>
    <w:uiPriority w:val="29"/>
    <w:rsid w:val="006F5238"/>
    <w:rPr>
      <w:rFonts w:ascii="Cambria" w:eastAsia="Times New Roman" w:hAnsi="Cambria" w:cs="Times New Roman"/>
      <w:i/>
      <w:iCs/>
      <w:sz w:val="22"/>
      <w:szCs w:val="22"/>
      <w:lang w:val="en-US" w:eastAsia="en-US" w:bidi="en-US"/>
    </w:rPr>
  </w:style>
  <w:style w:type="paragraph" w:customStyle="1" w:styleId="Citadestacada1">
    <w:name w:val="Cita destacada1"/>
    <w:basedOn w:val="Normal"/>
    <w:next w:val="Normal"/>
    <w:uiPriority w:val="30"/>
    <w:qFormat/>
    <w:rsid w:val="006F5238"/>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lang w:val="en-US" w:bidi="en-US"/>
    </w:rPr>
  </w:style>
  <w:style w:type="character" w:customStyle="1" w:styleId="CitadestacadaCar">
    <w:name w:val="Cita destacada Car"/>
    <w:basedOn w:val="Fuentedeprrafopredeter"/>
    <w:link w:val="Citadestacada"/>
    <w:uiPriority w:val="30"/>
    <w:rsid w:val="006F5238"/>
    <w:rPr>
      <w:rFonts w:ascii="Cambria" w:eastAsia="Times New Roman" w:hAnsi="Cambria" w:cs="Times New Roman"/>
      <w:i/>
      <w:iCs/>
      <w:sz w:val="22"/>
      <w:szCs w:val="22"/>
      <w:lang w:val="en-US" w:eastAsia="en-US" w:bidi="en-US"/>
    </w:rPr>
  </w:style>
  <w:style w:type="character" w:styleId="nfasissutil">
    <w:name w:val="Subtle Emphasis"/>
    <w:uiPriority w:val="19"/>
    <w:qFormat/>
    <w:rsid w:val="006F5238"/>
    <w:rPr>
      <w:i/>
      <w:iCs/>
    </w:rPr>
  </w:style>
  <w:style w:type="character" w:styleId="nfasisintenso">
    <w:name w:val="Intense Emphasis"/>
    <w:uiPriority w:val="21"/>
    <w:qFormat/>
    <w:rsid w:val="006F5238"/>
    <w:rPr>
      <w:b/>
      <w:bCs/>
      <w:i/>
      <w:iCs/>
    </w:rPr>
  </w:style>
  <w:style w:type="character" w:styleId="Referenciasutil">
    <w:name w:val="Subtle Reference"/>
    <w:basedOn w:val="Fuentedeprrafopredeter"/>
    <w:uiPriority w:val="31"/>
    <w:qFormat/>
    <w:rsid w:val="006F5238"/>
    <w:rPr>
      <w:smallCaps/>
    </w:rPr>
  </w:style>
  <w:style w:type="character" w:styleId="Referenciaintensa">
    <w:name w:val="Intense Reference"/>
    <w:uiPriority w:val="32"/>
    <w:qFormat/>
    <w:rsid w:val="006F5238"/>
    <w:rPr>
      <w:b/>
      <w:bCs/>
      <w:smallCaps/>
    </w:rPr>
  </w:style>
  <w:style w:type="character" w:styleId="Ttulodellibro">
    <w:name w:val="Book Title"/>
    <w:basedOn w:val="Fuentedeprrafopredeter"/>
    <w:uiPriority w:val="33"/>
    <w:qFormat/>
    <w:rsid w:val="006F5238"/>
    <w:rPr>
      <w:i/>
      <w:iCs/>
      <w:smallCaps/>
      <w:spacing w:val="5"/>
    </w:rPr>
  </w:style>
  <w:style w:type="paragraph" w:styleId="TtulodeTDC">
    <w:name w:val="TOC Heading"/>
    <w:basedOn w:val="Ttulo1"/>
    <w:next w:val="Normal"/>
    <w:uiPriority w:val="39"/>
    <w:semiHidden/>
    <w:unhideWhenUsed/>
    <w:qFormat/>
    <w:rsid w:val="006F5238"/>
    <w:pPr>
      <w:keepNext w:val="0"/>
      <w:keepLines w:val="0"/>
      <w:spacing w:before="480" w:line="276" w:lineRule="auto"/>
      <w:contextualSpacing/>
      <w:outlineLvl w:val="9"/>
    </w:pPr>
    <w:rPr>
      <w:smallCaps/>
      <w:color w:val="auto"/>
      <w:spacing w:val="5"/>
      <w:sz w:val="36"/>
      <w:szCs w:val="36"/>
      <w:lang w:val="en-US" w:bidi="en-US"/>
    </w:rPr>
  </w:style>
  <w:style w:type="paragraph" w:customStyle="1" w:styleId="Body1">
    <w:name w:val="Body 1"/>
    <w:rsid w:val="006F5238"/>
    <w:pPr>
      <w:widowControl w:val="0"/>
      <w:spacing w:after="0" w:line="240" w:lineRule="auto"/>
      <w:jc w:val="both"/>
      <w:outlineLvl w:val="0"/>
    </w:pPr>
    <w:rPr>
      <w:rFonts w:ascii="Arial" w:eastAsia="Arial Unicode MS" w:hAnsi="Arial" w:cs="Times New Roman"/>
      <w:color w:val="000000"/>
      <w:sz w:val="24"/>
      <w:szCs w:val="20"/>
      <w:u w:color="000000"/>
      <w:lang w:val="es-ES_tradnl" w:eastAsia="es-ES_tradnl"/>
    </w:rPr>
  </w:style>
  <w:style w:type="paragraph" w:customStyle="1" w:styleId="corte4fondo">
    <w:name w:val="corte4 fondo"/>
    <w:basedOn w:val="Normal"/>
    <w:link w:val="corte4fondoCar2"/>
    <w:uiPriority w:val="99"/>
    <w:rsid w:val="006F5238"/>
    <w:pPr>
      <w:spacing w:after="0" w:line="360" w:lineRule="auto"/>
      <w:ind w:firstLine="709"/>
      <w:jc w:val="both"/>
    </w:pPr>
    <w:rPr>
      <w:rFonts w:ascii="Arial" w:eastAsia="Times New Roman" w:hAnsi="Arial" w:cs="Arial"/>
      <w:sz w:val="30"/>
      <w:szCs w:val="30"/>
      <w:lang w:val="es-ES_tradnl" w:eastAsia="es-MX"/>
    </w:rPr>
  </w:style>
  <w:style w:type="character" w:customStyle="1" w:styleId="corte4fondoCar2">
    <w:name w:val="corte4 fondo Car2"/>
    <w:basedOn w:val="Fuentedeprrafopredeter"/>
    <w:link w:val="corte4fondo"/>
    <w:uiPriority w:val="99"/>
    <w:locked/>
    <w:rsid w:val="006F5238"/>
    <w:rPr>
      <w:rFonts w:ascii="Arial" w:eastAsia="Times New Roman" w:hAnsi="Arial" w:cs="Arial"/>
      <w:sz w:val="30"/>
      <w:szCs w:val="30"/>
      <w:lang w:val="es-ES_tradnl" w:eastAsia="es-MX"/>
    </w:rPr>
  </w:style>
  <w:style w:type="table" w:customStyle="1" w:styleId="Tablaconcuadrcula11">
    <w:name w:val="Tabla con cuadrícula11"/>
    <w:basedOn w:val="Tablanormal"/>
    <w:next w:val="Tablaconcuadrcula"/>
    <w:rsid w:val="006F523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6F523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6F5238"/>
  </w:style>
  <w:style w:type="paragraph" w:styleId="Lista4">
    <w:name w:val="List 4"/>
    <w:basedOn w:val="Normal"/>
    <w:uiPriority w:val="99"/>
    <w:rsid w:val="006F5238"/>
    <w:pPr>
      <w:spacing w:after="200" w:line="276" w:lineRule="auto"/>
      <w:ind w:left="1132" w:hanging="283"/>
    </w:pPr>
    <w:rPr>
      <w:rFonts w:ascii="Calibri" w:eastAsia="Calibri" w:hAnsi="Calibri" w:cs="Times New Roman"/>
    </w:rPr>
  </w:style>
  <w:style w:type="table" w:customStyle="1" w:styleId="Tablaconcuadrcula3">
    <w:name w:val="Tabla con cuadrícula3"/>
    <w:basedOn w:val="Tablanormal"/>
    <w:next w:val="Tablaconcuadrcula"/>
    <w:locked/>
    <w:rsid w:val="006F5238"/>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6F523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6F523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6F5238"/>
    <w:pPr>
      <w:spacing w:after="0" w:line="240" w:lineRule="auto"/>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locked/>
    <w:rsid w:val="006F5238"/>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1">
    <w:name w:val="Título 6 Car1"/>
    <w:basedOn w:val="Fuentedeprrafopredeter"/>
    <w:uiPriority w:val="9"/>
    <w:semiHidden/>
    <w:rsid w:val="006F5238"/>
    <w:rPr>
      <w:rFonts w:asciiTheme="majorHAnsi" w:eastAsiaTheme="majorEastAsia" w:hAnsiTheme="majorHAnsi" w:cstheme="majorBidi"/>
      <w:color w:val="1F3763" w:themeColor="accent1" w:themeShade="7F"/>
    </w:rPr>
  </w:style>
  <w:style w:type="character" w:customStyle="1" w:styleId="Ttulo7Car1">
    <w:name w:val="Título 7 Car1"/>
    <w:basedOn w:val="Fuentedeprrafopredeter"/>
    <w:uiPriority w:val="9"/>
    <w:semiHidden/>
    <w:rsid w:val="006F5238"/>
    <w:rPr>
      <w:rFonts w:asciiTheme="majorHAnsi" w:eastAsiaTheme="majorEastAsia" w:hAnsiTheme="majorHAnsi" w:cstheme="majorBidi"/>
      <w:i/>
      <w:iCs/>
      <w:color w:val="1F3763" w:themeColor="accent1" w:themeShade="7F"/>
    </w:rPr>
  </w:style>
  <w:style w:type="character" w:customStyle="1" w:styleId="Ttulo8Car1">
    <w:name w:val="Título 8 Car1"/>
    <w:basedOn w:val="Fuentedeprrafopredeter"/>
    <w:uiPriority w:val="9"/>
    <w:semiHidden/>
    <w:rsid w:val="006F5238"/>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6F5238"/>
    <w:rPr>
      <w:rFonts w:asciiTheme="majorHAnsi" w:eastAsiaTheme="majorEastAsia" w:hAnsiTheme="majorHAnsi" w:cstheme="majorBidi"/>
      <w:i/>
      <w:iCs/>
      <w:color w:val="272727" w:themeColor="text1" w:themeTint="D8"/>
      <w:sz w:val="21"/>
      <w:szCs w:val="21"/>
    </w:rPr>
  </w:style>
  <w:style w:type="paragraph" w:styleId="Puesto">
    <w:name w:val="Title"/>
    <w:basedOn w:val="Normal"/>
    <w:next w:val="Normal"/>
    <w:link w:val="PuestoCar"/>
    <w:uiPriority w:val="10"/>
    <w:qFormat/>
    <w:rsid w:val="006F5238"/>
    <w:pPr>
      <w:spacing w:after="0" w:line="240" w:lineRule="auto"/>
      <w:contextualSpacing/>
    </w:pPr>
    <w:rPr>
      <w:rFonts w:ascii="Cambria" w:eastAsia="Times New Roman" w:hAnsi="Cambria" w:cs="Times New Roman"/>
      <w:smallCaps/>
      <w:sz w:val="52"/>
      <w:szCs w:val="52"/>
      <w:lang w:val="en-US" w:bidi="en-US"/>
    </w:rPr>
  </w:style>
  <w:style w:type="character" w:customStyle="1" w:styleId="TtuloCar1">
    <w:name w:val="Título Car1"/>
    <w:basedOn w:val="Fuentedeprrafopredeter"/>
    <w:uiPriority w:val="10"/>
    <w:rsid w:val="006F523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F5238"/>
    <w:pPr>
      <w:numPr>
        <w:ilvl w:val="1"/>
      </w:numPr>
    </w:pPr>
    <w:rPr>
      <w:rFonts w:ascii="Cambria" w:eastAsia="Times New Roman" w:hAnsi="Cambria" w:cs="Times New Roman"/>
      <w:i/>
      <w:iCs/>
      <w:smallCaps/>
      <w:spacing w:val="10"/>
      <w:sz w:val="28"/>
      <w:szCs w:val="28"/>
      <w:lang w:val="en-US" w:bidi="en-US"/>
    </w:rPr>
  </w:style>
  <w:style w:type="character" w:customStyle="1" w:styleId="SubttuloCar1">
    <w:name w:val="Subtítulo Car1"/>
    <w:basedOn w:val="Fuentedeprrafopredeter"/>
    <w:uiPriority w:val="11"/>
    <w:rsid w:val="006F5238"/>
    <w:rPr>
      <w:rFonts w:eastAsiaTheme="minorEastAsia"/>
      <w:color w:val="5A5A5A" w:themeColor="text1" w:themeTint="A5"/>
      <w:spacing w:val="15"/>
    </w:rPr>
  </w:style>
  <w:style w:type="paragraph" w:styleId="Cita">
    <w:name w:val="Quote"/>
    <w:basedOn w:val="Normal"/>
    <w:next w:val="Normal"/>
    <w:link w:val="CitaCar"/>
    <w:uiPriority w:val="29"/>
    <w:qFormat/>
    <w:rsid w:val="006F5238"/>
    <w:pPr>
      <w:spacing w:before="200"/>
      <w:ind w:left="864" w:right="864"/>
      <w:jc w:val="center"/>
    </w:pPr>
    <w:rPr>
      <w:rFonts w:ascii="Cambria" w:eastAsia="Times New Roman" w:hAnsi="Cambria" w:cs="Times New Roman"/>
      <w:i/>
      <w:iCs/>
      <w:lang w:val="en-US" w:bidi="en-US"/>
    </w:rPr>
  </w:style>
  <w:style w:type="character" w:customStyle="1" w:styleId="CitaCar1">
    <w:name w:val="Cita Car1"/>
    <w:basedOn w:val="Fuentedeprrafopredeter"/>
    <w:uiPriority w:val="29"/>
    <w:rsid w:val="006F5238"/>
    <w:rPr>
      <w:i/>
      <w:iCs/>
      <w:color w:val="404040" w:themeColor="text1" w:themeTint="BF"/>
    </w:rPr>
  </w:style>
  <w:style w:type="paragraph" w:styleId="Citadestacada">
    <w:name w:val="Intense Quote"/>
    <w:basedOn w:val="Normal"/>
    <w:next w:val="Normal"/>
    <w:link w:val="CitadestacadaCar"/>
    <w:uiPriority w:val="30"/>
    <w:qFormat/>
    <w:rsid w:val="006F5238"/>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i/>
      <w:iCs/>
      <w:lang w:val="en-US" w:bidi="en-US"/>
    </w:rPr>
  </w:style>
  <w:style w:type="character" w:customStyle="1" w:styleId="CitadestacadaCar1">
    <w:name w:val="Cita destacada Car1"/>
    <w:basedOn w:val="Fuentedeprrafopredeter"/>
    <w:uiPriority w:val="30"/>
    <w:rsid w:val="006F5238"/>
    <w:rPr>
      <w:i/>
      <w:iCs/>
      <w:color w:val="4472C4" w:themeColor="accent1"/>
    </w:rPr>
  </w:style>
  <w:style w:type="numbering" w:customStyle="1" w:styleId="Sinlista3">
    <w:name w:val="Sin lista3"/>
    <w:next w:val="Sinlista"/>
    <w:uiPriority w:val="99"/>
    <w:semiHidden/>
    <w:unhideWhenUsed/>
    <w:rsid w:val="00D03888"/>
  </w:style>
  <w:style w:type="character" w:customStyle="1" w:styleId="PrrafodelistaCar">
    <w:name w:val="Párrafo de lista Car"/>
    <w:basedOn w:val="Fuentedeprrafopredeter"/>
    <w:link w:val="Prrafodelista"/>
    <w:uiPriority w:val="34"/>
    <w:locked/>
    <w:rsid w:val="00D03888"/>
    <w:rPr>
      <w:rFonts w:ascii="Times New Roman" w:eastAsia="Times New Roman" w:hAnsi="Times New Roman" w:cs="Times New Roman"/>
      <w:sz w:val="24"/>
      <w:szCs w:val="24"/>
      <w:lang w:eastAsia="es-MX"/>
    </w:rPr>
  </w:style>
  <w:style w:type="table" w:customStyle="1" w:styleId="Tablaconcuadrcula6">
    <w:name w:val="Tabla con cuadrícula6"/>
    <w:basedOn w:val="Tablanormal"/>
    <w:next w:val="Tablaconcuadrcula"/>
    <w:uiPriority w:val="59"/>
    <w:rsid w:val="00D038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341855">
      <w:bodyDiv w:val="1"/>
      <w:marLeft w:val="0"/>
      <w:marRight w:val="0"/>
      <w:marTop w:val="0"/>
      <w:marBottom w:val="0"/>
      <w:divBdr>
        <w:top w:val="none" w:sz="0" w:space="0" w:color="auto"/>
        <w:left w:val="none" w:sz="0" w:space="0" w:color="auto"/>
        <w:bottom w:val="none" w:sz="0" w:space="0" w:color="auto"/>
        <w:right w:val="none" w:sz="0" w:space="0" w:color="auto"/>
      </w:divBdr>
    </w:div>
    <w:div w:id="1106003305">
      <w:bodyDiv w:val="1"/>
      <w:marLeft w:val="0"/>
      <w:marRight w:val="0"/>
      <w:marTop w:val="0"/>
      <w:marBottom w:val="0"/>
      <w:divBdr>
        <w:top w:val="none" w:sz="0" w:space="0" w:color="auto"/>
        <w:left w:val="none" w:sz="0" w:space="0" w:color="auto"/>
        <w:bottom w:val="none" w:sz="0" w:space="0" w:color="auto"/>
        <w:right w:val="none" w:sz="0" w:space="0" w:color="auto"/>
      </w:divBdr>
      <w:divsChild>
        <w:div w:id="282467541">
          <w:marLeft w:val="0"/>
          <w:marRight w:val="0"/>
          <w:marTop w:val="0"/>
          <w:marBottom w:val="0"/>
          <w:divBdr>
            <w:top w:val="none" w:sz="0" w:space="0" w:color="auto"/>
            <w:left w:val="none" w:sz="0" w:space="0" w:color="auto"/>
            <w:bottom w:val="none" w:sz="0" w:space="0" w:color="auto"/>
            <w:right w:val="none" w:sz="0" w:space="0" w:color="auto"/>
          </w:divBdr>
        </w:div>
        <w:div w:id="966861419">
          <w:marLeft w:val="0"/>
          <w:marRight w:val="0"/>
          <w:marTop w:val="0"/>
          <w:marBottom w:val="0"/>
          <w:divBdr>
            <w:top w:val="none" w:sz="0" w:space="0" w:color="auto"/>
            <w:left w:val="none" w:sz="0" w:space="0" w:color="auto"/>
            <w:bottom w:val="none" w:sz="0" w:space="0" w:color="auto"/>
            <w:right w:val="none" w:sz="0" w:space="0" w:color="auto"/>
          </w:divBdr>
        </w:div>
        <w:div w:id="35547550">
          <w:marLeft w:val="0"/>
          <w:marRight w:val="0"/>
          <w:marTop w:val="0"/>
          <w:marBottom w:val="0"/>
          <w:divBdr>
            <w:top w:val="none" w:sz="0" w:space="0" w:color="auto"/>
            <w:left w:val="none" w:sz="0" w:space="0" w:color="auto"/>
            <w:bottom w:val="none" w:sz="0" w:space="0" w:color="auto"/>
            <w:right w:val="none" w:sz="0" w:space="0" w:color="auto"/>
          </w:divBdr>
        </w:div>
        <w:div w:id="2105808285">
          <w:marLeft w:val="0"/>
          <w:marRight w:val="0"/>
          <w:marTop w:val="0"/>
          <w:marBottom w:val="0"/>
          <w:divBdr>
            <w:top w:val="none" w:sz="0" w:space="0" w:color="auto"/>
            <w:left w:val="none" w:sz="0" w:space="0" w:color="auto"/>
            <w:bottom w:val="none" w:sz="0" w:space="0" w:color="auto"/>
            <w:right w:val="none" w:sz="0" w:space="0" w:color="auto"/>
          </w:divBdr>
        </w:div>
        <w:div w:id="882405587">
          <w:marLeft w:val="0"/>
          <w:marRight w:val="0"/>
          <w:marTop w:val="0"/>
          <w:marBottom w:val="0"/>
          <w:divBdr>
            <w:top w:val="none" w:sz="0" w:space="0" w:color="auto"/>
            <w:left w:val="none" w:sz="0" w:space="0" w:color="auto"/>
            <w:bottom w:val="none" w:sz="0" w:space="0" w:color="auto"/>
            <w:right w:val="none" w:sz="0" w:space="0" w:color="auto"/>
          </w:divBdr>
        </w:div>
        <w:div w:id="1864048714">
          <w:marLeft w:val="0"/>
          <w:marRight w:val="0"/>
          <w:marTop w:val="0"/>
          <w:marBottom w:val="0"/>
          <w:divBdr>
            <w:top w:val="none" w:sz="0" w:space="0" w:color="auto"/>
            <w:left w:val="none" w:sz="0" w:space="0" w:color="auto"/>
            <w:bottom w:val="none" w:sz="0" w:space="0" w:color="auto"/>
            <w:right w:val="none" w:sz="0" w:space="0" w:color="auto"/>
          </w:divBdr>
        </w:div>
      </w:divsChild>
    </w:div>
    <w:div w:id="1528257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gob.mx/IUSEapp/tesisjur.aspx?idTesis=27/2016&amp;tpoBusqueda=S&amp;sWord=27/2016" TargetMode="External"/><Relationship Id="rId18" Type="http://schemas.openxmlformats.org/officeDocument/2006/relationships/image" Target="media/image1.emf"/><Relationship Id="rId26" Type="http://schemas.openxmlformats.org/officeDocument/2006/relationships/image" Target="media/image9.emf"/><Relationship Id="rId39" Type="http://schemas.openxmlformats.org/officeDocument/2006/relationships/image" Target="media/image22.png"/><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fontTable" Target="fontTable.xml"/><Relationship Id="rId7" Type="http://schemas.openxmlformats.org/officeDocument/2006/relationships/hyperlink" Target="javascript:__doPostBack('grdIUSE$ctl03$btnIr','')" TargetMode="External"/><Relationship Id="rId2" Type="http://schemas.openxmlformats.org/officeDocument/2006/relationships/styles" Target="styles.xml"/><Relationship Id="rId16" Type="http://schemas.openxmlformats.org/officeDocument/2006/relationships/hyperlink" Target="http://portal.te.gob.mx/colecciones/sentencias/html/SUP/2014/REC/SUP-REC-00834-2014.htm" TargetMode="Externa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hyperlink" Target="http://portal.te.gob.mx/colecciones/sentencias/html/SUP/2015/JDC/SUP-JDC-00364-2015.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gob.mx/IUSEapp/tesisjur.aspx?idTesis=27/2016&amp;tpoBusqueda=S&amp;sWord=27/2016"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cid:image001.png@01CF6B09.8F7C4F00" TargetMode="External"/><Relationship Id="rId5" Type="http://schemas.openxmlformats.org/officeDocument/2006/relationships/footnotes" Target="footnotes.xml"/><Relationship Id="rId15" Type="http://schemas.openxmlformats.org/officeDocument/2006/relationships/hyperlink" Target="http://portal.te.gob.mx/colecciones/sentencias/html/SUP/2014/REC/SUP-REC-00827-2014.htm"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hyperlink" Target="http://portal.te.gob.mx/colecciones/sentencias/html/SUP/2014/REC/SUP-REC-00827-2014.htm" TargetMode="External"/><Relationship Id="rId19" Type="http://schemas.openxmlformats.org/officeDocument/2006/relationships/image" Target="media/image2.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hyperlink" Target="https://www.te.gob.mx/IUSEapp/tesisjur.aspx?idTesis=27/2016&amp;tpoBusqueda=S&amp;sWord=27/2016" TargetMode="External"/><Relationship Id="rId14" Type="http://schemas.openxmlformats.org/officeDocument/2006/relationships/hyperlink" Target="http://portal.te.gob.mx/colecciones/sentencias/html/SUP/2015/JDC/SUP-JDC-00364-2015.htm"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theme" Target="theme/theme1.xml"/><Relationship Id="rId8" Type="http://schemas.openxmlformats.org/officeDocument/2006/relationships/hyperlink" Target="javascript:__doPostBack('grdIUSE$ctl03$btnIr','')" TargetMode="External"/><Relationship Id="rId3" Type="http://schemas.openxmlformats.org/officeDocument/2006/relationships/settings" Target="settings.xml"/><Relationship Id="rId12" Type="http://schemas.openxmlformats.org/officeDocument/2006/relationships/hyperlink" Target="http://portal.te.gob.mx/colecciones/sentencias/html/SUP/2014/REC/SUP-REC-00834-2014.htm" TargetMode="External"/><Relationship Id="rId17" Type="http://schemas.openxmlformats.org/officeDocument/2006/relationships/hyperlink" Target="http://www.microrregiones.gob.mx/catloc/LocdeMun.aspx?tipo=clave&amp;campo=loc&amp;ent=20&amp;mun=348"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230</Pages>
  <Words>85595</Words>
  <Characters>470776</Characters>
  <Application>Microsoft Office Word</Application>
  <DocSecurity>0</DocSecurity>
  <Lines>3923</Lines>
  <Paragraphs>1110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Sosa</dc:creator>
  <cp:keywords/>
  <dc:description/>
  <cp:lastModifiedBy>Eliseo</cp:lastModifiedBy>
  <cp:revision>66</cp:revision>
  <dcterms:created xsi:type="dcterms:W3CDTF">2020-12-12T19:54:00Z</dcterms:created>
  <dcterms:modified xsi:type="dcterms:W3CDTF">2020-12-15T17:11:00Z</dcterms:modified>
</cp:coreProperties>
</file>