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281D6" w14:textId="77777777" w:rsidR="005D0220" w:rsidRPr="00715283" w:rsidRDefault="005D0220" w:rsidP="00785021">
      <w:pPr>
        <w:pStyle w:val="Ttulo1"/>
        <w:rPr>
          <w:rFonts w:ascii="Arial" w:eastAsia="Times New Roman" w:hAnsi="Arial" w:cs="Arial"/>
          <w:color w:val="212529"/>
          <w:sz w:val="28"/>
          <w:szCs w:val="28"/>
          <w:lang w:eastAsia="es-MX"/>
        </w:rPr>
      </w:pPr>
      <w:r w:rsidRPr="00715283">
        <w:rPr>
          <w:rFonts w:ascii="Arial" w:eastAsia="Times New Roman" w:hAnsi="Arial" w:cs="Arial"/>
          <w:b/>
          <w:bCs/>
          <w:color w:val="212529"/>
          <w:sz w:val="28"/>
          <w:szCs w:val="28"/>
          <w:lang w:eastAsia="es-MX"/>
        </w:rPr>
        <w:t>TEMA: AUTONOMÍA, AUTO GOBIERNO Y PLURALISMO DE LAS COMUNIDADES INDÍGENAS/GÉNERO</w:t>
      </w:r>
    </w:p>
    <w:p w14:paraId="23A5921E" w14:textId="21E34E0F" w:rsidR="005D0220" w:rsidRDefault="005D0220"/>
    <w:p w14:paraId="495B7272" w14:textId="73F61B08" w:rsidR="005D0220" w:rsidRPr="005D0220" w:rsidRDefault="00785021" w:rsidP="00785021">
      <w:pPr>
        <w:pStyle w:val="Ttulo2"/>
        <w:numPr>
          <w:ilvl w:val="0"/>
          <w:numId w:val="1"/>
        </w:numPr>
        <w:rPr>
          <w:rFonts w:ascii="Arial" w:hAnsi="Arial" w:cs="Arial"/>
          <w:b/>
          <w:bCs/>
          <w:color w:val="auto"/>
          <w:sz w:val="28"/>
          <w:szCs w:val="28"/>
        </w:rPr>
      </w:pPr>
      <w:r>
        <w:rPr>
          <w:rFonts w:ascii="Arial" w:hAnsi="Arial" w:cs="Arial"/>
          <w:b/>
          <w:bCs/>
          <w:color w:val="auto"/>
          <w:sz w:val="28"/>
          <w:szCs w:val="28"/>
        </w:rPr>
        <w:t xml:space="preserve">SENTENCIA </w:t>
      </w:r>
      <w:r w:rsidR="005D0220" w:rsidRPr="005D0220">
        <w:rPr>
          <w:rFonts w:ascii="Arial" w:hAnsi="Arial" w:cs="Arial"/>
          <w:b/>
          <w:bCs/>
          <w:color w:val="C00000"/>
          <w:sz w:val="28"/>
          <w:szCs w:val="28"/>
        </w:rPr>
        <w:t>SUP-REC-861/2014</w:t>
      </w:r>
    </w:p>
    <w:p w14:paraId="28366207" w14:textId="383A02C8" w:rsidR="005D0220" w:rsidRDefault="005D0220"/>
    <w:p w14:paraId="24899736" w14:textId="4D7AC351" w:rsidR="00C424AA" w:rsidRDefault="00C424AA">
      <w:bookmarkStart w:id="0" w:name="_GoBack"/>
      <w:bookmarkEnd w:id="0"/>
    </w:p>
    <w:p w14:paraId="59253F38"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r w:rsidRPr="00C424AA">
        <w:rPr>
          <w:rFonts w:ascii="Arial" w:eastAsia="Times New Roman" w:hAnsi="Arial" w:cs="Arial"/>
          <w:b/>
          <w:sz w:val="28"/>
          <w:szCs w:val="28"/>
          <w:lang w:eastAsia="es-ES"/>
        </w:rPr>
        <w:t>RECURSO DE RECONSIDERACIÓN</w:t>
      </w:r>
    </w:p>
    <w:p w14:paraId="04F72323"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p>
    <w:p w14:paraId="180B9663" w14:textId="77777777" w:rsidR="00C424AA" w:rsidRPr="00C424AA" w:rsidRDefault="00C424AA" w:rsidP="00C424AA">
      <w:pPr>
        <w:spacing w:after="0" w:line="240" w:lineRule="auto"/>
        <w:ind w:left="3119"/>
        <w:jc w:val="both"/>
        <w:rPr>
          <w:rFonts w:ascii="Arial" w:eastAsia="Times New Roman" w:hAnsi="Arial" w:cs="Arial"/>
          <w:sz w:val="28"/>
          <w:szCs w:val="28"/>
          <w:lang w:eastAsia="es-ES"/>
        </w:rPr>
      </w:pPr>
      <w:r w:rsidRPr="00C424AA">
        <w:rPr>
          <w:rFonts w:ascii="Arial" w:eastAsia="Times New Roman" w:hAnsi="Arial" w:cs="Arial"/>
          <w:b/>
          <w:sz w:val="28"/>
          <w:szCs w:val="28"/>
          <w:lang w:eastAsia="es-ES"/>
        </w:rPr>
        <w:t xml:space="preserve">EXPEDIENTE: </w:t>
      </w:r>
      <w:r w:rsidRPr="00C424AA">
        <w:rPr>
          <w:rFonts w:ascii="Arial" w:eastAsia="Times New Roman" w:hAnsi="Arial" w:cs="Arial"/>
          <w:sz w:val="28"/>
          <w:szCs w:val="28"/>
          <w:lang w:eastAsia="es-ES"/>
        </w:rPr>
        <w:t>SUP-REC-861/2014</w:t>
      </w:r>
    </w:p>
    <w:p w14:paraId="0F950EF0"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p>
    <w:p w14:paraId="646ABECA" w14:textId="77777777" w:rsidR="00C424AA" w:rsidRPr="00C424AA" w:rsidRDefault="00C424AA" w:rsidP="00C424AA">
      <w:pPr>
        <w:spacing w:after="0" w:line="240" w:lineRule="auto"/>
        <w:ind w:left="3119"/>
        <w:jc w:val="both"/>
        <w:rPr>
          <w:rFonts w:ascii="Arial" w:eastAsia="Times New Roman" w:hAnsi="Arial" w:cs="Arial"/>
          <w:sz w:val="28"/>
          <w:szCs w:val="28"/>
          <w:lang w:eastAsia="es-ES"/>
        </w:rPr>
      </w:pPr>
      <w:r w:rsidRPr="00C424AA">
        <w:rPr>
          <w:rFonts w:ascii="Arial" w:eastAsia="Times New Roman" w:hAnsi="Arial" w:cs="Arial"/>
          <w:b/>
          <w:sz w:val="28"/>
          <w:szCs w:val="28"/>
          <w:lang w:eastAsia="es-ES"/>
        </w:rPr>
        <w:t xml:space="preserve">ACTOR: </w:t>
      </w:r>
      <w:r w:rsidRPr="00C424AA">
        <w:rPr>
          <w:rFonts w:ascii="Arial" w:eastAsia="Times New Roman" w:hAnsi="Arial" w:cs="Arial"/>
          <w:sz w:val="28"/>
          <w:szCs w:val="28"/>
          <w:lang w:eastAsia="es-ES"/>
        </w:rPr>
        <w:t>CONSTANTINO HERNÁNDEZ PINACHO Y OTROS</w:t>
      </w:r>
    </w:p>
    <w:p w14:paraId="6E262EA9"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p>
    <w:p w14:paraId="49D8FD15" w14:textId="77777777" w:rsidR="00C424AA" w:rsidRPr="00C424AA" w:rsidRDefault="00C424AA" w:rsidP="00C424AA">
      <w:pPr>
        <w:spacing w:after="0" w:line="240" w:lineRule="auto"/>
        <w:ind w:left="3119"/>
        <w:jc w:val="both"/>
        <w:rPr>
          <w:rFonts w:ascii="Arial" w:eastAsia="Times New Roman" w:hAnsi="Arial" w:cs="Arial"/>
          <w:bCs/>
          <w:sz w:val="28"/>
          <w:szCs w:val="28"/>
          <w:lang w:eastAsia="es-ES"/>
        </w:rPr>
      </w:pPr>
      <w:r w:rsidRPr="00C424AA">
        <w:rPr>
          <w:rFonts w:ascii="Arial" w:eastAsia="Times New Roman" w:hAnsi="Arial" w:cs="Arial"/>
          <w:b/>
          <w:sz w:val="28"/>
          <w:szCs w:val="28"/>
          <w:lang w:eastAsia="es-ES"/>
        </w:rPr>
        <w:t xml:space="preserve">AUTORIDAD RESPONSABLE: </w:t>
      </w:r>
      <w:r w:rsidRPr="00C424AA">
        <w:rPr>
          <w:rFonts w:ascii="Arial" w:eastAsia="Times New Roman" w:hAnsi="Arial" w:cs="Arial"/>
          <w:bCs/>
          <w:sz w:val="28"/>
          <w:szCs w:val="28"/>
          <w:lang w:eastAsia="es-ES"/>
        </w:rPr>
        <w:t>SALA REGIONAL DEL TRIBUNAL ELECTORAL DEL PODER JUDICIAL DE LA FEDERACIÓN CORRESPONDIENTE A LA TERCERA CIRCUNSCRIPCIÓN PLURINOMINAL CON SEDE EN XALAPA, VERACRUZ</w:t>
      </w:r>
    </w:p>
    <w:p w14:paraId="2471F9DA" w14:textId="77777777" w:rsidR="00C424AA" w:rsidRPr="00C424AA" w:rsidRDefault="00C424AA" w:rsidP="00C424AA">
      <w:pPr>
        <w:spacing w:after="0" w:line="240" w:lineRule="auto"/>
        <w:ind w:left="3119"/>
        <w:jc w:val="both"/>
        <w:rPr>
          <w:rFonts w:ascii="Arial" w:eastAsia="Times New Roman" w:hAnsi="Arial" w:cs="Arial"/>
          <w:bCs/>
          <w:sz w:val="28"/>
          <w:szCs w:val="28"/>
          <w:lang w:eastAsia="es-ES"/>
        </w:rPr>
      </w:pPr>
    </w:p>
    <w:p w14:paraId="438AF743"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r w:rsidRPr="00C424AA">
        <w:rPr>
          <w:rFonts w:ascii="Arial" w:eastAsia="Times New Roman" w:hAnsi="Arial" w:cs="Arial"/>
          <w:b/>
          <w:bCs/>
          <w:sz w:val="28"/>
          <w:szCs w:val="28"/>
          <w:lang w:eastAsia="es-ES"/>
        </w:rPr>
        <w:t xml:space="preserve">TERCERO INTERESADO: </w:t>
      </w:r>
      <w:r w:rsidRPr="00C424AA">
        <w:rPr>
          <w:rFonts w:ascii="Arial" w:eastAsia="Times New Roman" w:hAnsi="Arial" w:cs="Arial"/>
          <w:bCs/>
          <w:sz w:val="28"/>
          <w:szCs w:val="28"/>
          <w:lang w:eastAsia="es-ES"/>
        </w:rPr>
        <w:t>GILBERTO MENDOZA CORTÉS</w:t>
      </w:r>
    </w:p>
    <w:p w14:paraId="453CA1BA"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p>
    <w:p w14:paraId="421534FC" w14:textId="77777777" w:rsidR="00C424AA" w:rsidRPr="00C424AA" w:rsidRDefault="00C424AA" w:rsidP="00C424AA">
      <w:pPr>
        <w:spacing w:after="0" w:line="240" w:lineRule="auto"/>
        <w:ind w:left="3119"/>
        <w:jc w:val="both"/>
        <w:rPr>
          <w:rFonts w:ascii="Arial" w:eastAsia="Times New Roman" w:hAnsi="Arial" w:cs="Arial"/>
          <w:sz w:val="28"/>
          <w:szCs w:val="28"/>
          <w:lang w:eastAsia="es-ES"/>
        </w:rPr>
      </w:pPr>
      <w:r w:rsidRPr="00C424AA">
        <w:rPr>
          <w:rFonts w:ascii="Arial" w:eastAsia="Times New Roman" w:hAnsi="Arial" w:cs="Arial"/>
          <w:b/>
          <w:sz w:val="28"/>
          <w:szCs w:val="28"/>
          <w:lang w:eastAsia="es-ES"/>
        </w:rPr>
        <w:t>MAGISTRADA PONENTE:</w:t>
      </w:r>
      <w:r w:rsidRPr="00C424AA">
        <w:rPr>
          <w:rFonts w:ascii="Arial" w:eastAsia="Times New Roman" w:hAnsi="Arial" w:cs="Arial"/>
          <w:sz w:val="28"/>
          <w:szCs w:val="28"/>
          <w:lang w:eastAsia="es-ES"/>
        </w:rPr>
        <w:t xml:space="preserve"> MARÍA DEL CARMEN ALANIS FIGUEROA </w:t>
      </w:r>
    </w:p>
    <w:p w14:paraId="429E8E46" w14:textId="77777777" w:rsidR="00C424AA" w:rsidRPr="00C424AA" w:rsidRDefault="00C424AA" w:rsidP="00C424AA">
      <w:pPr>
        <w:spacing w:after="0" w:line="240" w:lineRule="auto"/>
        <w:ind w:left="3119"/>
        <w:jc w:val="both"/>
        <w:rPr>
          <w:rFonts w:ascii="Arial" w:eastAsia="Times New Roman" w:hAnsi="Arial" w:cs="Arial"/>
          <w:b/>
          <w:sz w:val="28"/>
          <w:szCs w:val="28"/>
          <w:lang w:eastAsia="es-ES"/>
        </w:rPr>
      </w:pPr>
    </w:p>
    <w:p w14:paraId="57C4EE64" w14:textId="77777777" w:rsidR="00C424AA" w:rsidRPr="00C424AA" w:rsidRDefault="00C424AA" w:rsidP="00C424AA">
      <w:pPr>
        <w:spacing w:after="0" w:line="240" w:lineRule="auto"/>
        <w:ind w:left="3119"/>
        <w:jc w:val="both"/>
        <w:rPr>
          <w:rFonts w:ascii="Arial" w:eastAsia="Times New Roman" w:hAnsi="Arial" w:cs="Arial"/>
          <w:sz w:val="28"/>
          <w:szCs w:val="28"/>
          <w:lang w:eastAsia="es-ES"/>
        </w:rPr>
      </w:pPr>
      <w:r w:rsidRPr="00C424AA">
        <w:rPr>
          <w:rFonts w:ascii="Arial" w:eastAsia="Times New Roman" w:hAnsi="Arial" w:cs="Arial"/>
          <w:b/>
          <w:sz w:val="28"/>
          <w:szCs w:val="28"/>
          <w:lang w:eastAsia="es-ES"/>
        </w:rPr>
        <w:t xml:space="preserve">SECRETARIOS: </w:t>
      </w:r>
      <w:r w:rsidRPr="00C424AA">
        <w:rPr>
          <w:rFonts w:ascii="Arial" w:eastAsia="Times New Roman" w:hAnsi="Arial" w:cs="Arial"/>
          <w:sz w:val="28"/>
          <w:szCs w:val="28"/>
          <w:lang w:eastAsia="es-ES"/>
        </w:rPr>
        <w:t>ANDRÉS CARLOS VÁZQUEZ MURILLO Y DANIEL ÁVILA SANTANA.</w:t>
      </w:r>
    </w:p>
    <w:p w14:paraId="38FA5FCD" w14:textId="77777777" w:rsidR="00C424AA" w:rsidRPr="00C424AA" w:rsidRDefault="00C424AA" w:rsidP="00C424AA">
      <w:pPr>
        <w:spacing w:after="0" w:line="360" w:lineRule="auto"/>
        <w:jc w:val="both"/>
        <w:rPr>
          <w:rFonts w:ascii="Arial" w:eastAsia="Times New Roman" w:hAnsi="Arial" w:cs="Arial"/>
          <w:b/>
          <w:sz w:val="28"/>
          <w:szCs w:val="28"/>
          <w:lang w:eastAsia="es-ES"/>
        </w:rPr>
      </w:pPr>
    </w:p>
    <w:p w14:paraId="7839FD68" w14:textId="77777777" w:rsidR="00C424AA" w:rsidRPr="00C424AA" w:rsidRDefault="00C424AA" w:rsidP="00C424AA">
      <w:pPr>
        <w:spacing w:after="0" w:line="360" w:lineRule="auto"/>
        <w:jc w:val="both"/>
        <w:rPr>
          <w:rFonts w:ascii="Arial" w:eastAsia="Times New Roman" w:hAnsi="Arial" w:cs="Arial"/>
          <w:sz w:val="28"/>
          <w:szCs w:val="28"/>
          <w:lang w:eastAsia="es-ES"/>
        </w:rPr>
      </w:pPr>
      <w:r w:rsidRPr="00C424AA">
        <w:rPr>
          <w:rFonts w:ascii="Arial" w:eastAsia="Times New Roman" w:hAnsi="Arial" w:cs="Arial"/>
          <w:sz w:val="28"/>
          <w:szCs w:val="28"/>
          <w:lang w:eastAsia="es-ES"/>
        </w:rPr>
        <w:t>México, Distrito Federal, a cuatro de junio de dos mil catorce.</w:t>
      </w:r>
    </w:p>
    <w:p w14:paraId="63BB78FD" w14:textId="77777777" w:rsidR="00C424AA" w:rsidRPr="00C424AA" w:rsidRDefault="00C424AA" w:rsidP="00C424AA">
      <w:pPr>
        <w:spacing w:after="0" w:line="360" w:lineRule="auto"/>
        <w:ind w:firstLine="709"/>
        <w:jc w:val="both"/>
        <w:rPr>
          <w:rFonts w:ascii="Arial" w:eastAsia="Times New Roman" w:hAnsi="Arial" w:cs="Arial"/>
          <w:sz w:val="28"/>
          <w:szCs w:val="28"/>
          <w:lang w:eastAsia="es-ES"/>
        </w:rPr>
      </w:pPr>
    </w:p>
    <w:p w14:paraId="2A1D65A4" w14:textId="77777777" w:rsidR="00C424AA" w:rsidRPr="00C424AA" w:rsidRDefault="00C424AA" w:rsidP="00C424AA">
      <w:pPr>
        <w:spacing w:after="0" w:line="360" w:lineRule="auto"/>
        <w:jc w:val="both"/>
        <w:rPr>
          <w:rFonts w:ascii="Arial" w:eastAsia="Times New Roman" w:hAnsi="Arial" w:cs="Arial"/>
          <w:bCs/>
          <w:sz w:val="28"/>
          <w:szCs w:val="28"/>
          <w:lang w:eastAsia="es-ES"/>
        </w:rPr>
      </w:pPr>
      <w:r w:rsidRPr="00C424AA">
        <w:rPr>
          <w:rFonts w:ascii="Arial" w:eastAsia="Times New Roman" w:hAnsi="Arial" w:cs="Arial"/>
          <w:b/>
          <w:sz w:val="28"/>
          <w:szCs w:val="28"/>
          <w:lang w:eastAsia="es-ES"/>
        </w:rPr>
        <w:t>VISTOS</w:t>
      </w:r>
      <w:r w:rsidRPr="00C424AA">
        <w:rPr>
          <w:rFonts w:ascii="Arial" w:eastAsia="Times New Roman" w:hAnsi="Arial" w:cs="Arial"/>
          <w:sz w:val="28"/>
          <w:szCs w:val="28"/>
          <w:lang w:eastAsia="es-ES"/>
        </w:rPr>
        <w:t xml:space="preserve"> para resolver los autos del expediente relativo al recurso de reconsideración identificado con la clave </w:t>
      </w:r>
      <w:r w:rsidRPr="00C424AA">
        <w:rPr>
          <w:rFonts w:ascii="Arial" w:eastAsia="Times New Roman" w:hAnsi="Arial" w:cs="Arial"/>
          <w:b/>
          <w:sz w:val="28"/>
          <w:szCs w:val="28"/>
          <w:lang w:eastAsia="es-ES"/>
        </w:rPr>
        <w:t xml:space="preserve">SUP-REC-861/2014 </w:t>
      </w:r>
      <w:r w:rsidRPr="00C424AA">
        <w:rPr>
          <w:rFonts w:ascii="Arial" w:eastAsia="Times New Roman" w:hAnsi="Arial" w:cs="Arial"/>
          <w:sz w:val="28"/>
          <w:szCs w:val="28"/>
          <w:lang w:eastAsia="es-ES"/>
        </w:rPr>
        <w:t xml:space="preserve">interpuesto por </w:t>
      </w:r>
      <w:r w:rsidRPr="00C424AA">
        <w:rPr>
          <w:rFonts w:ascii="Univers" w:eastAsia="Times New Roman" w:hAnsi="Univers" w:cs="Times New Roman"/>
          <w:sz w:val="28"/>
          <w:szCs w:val="28"/>
          <w:lang w:val="es-ES" w:eastAsia="es-ES"/>
        </w:rPr>
        <w:t xml:space="preserve">Constantino Hernández Pinacho, Salomón Pinacho </w:t>
      </w:r>
      <w:r w:rsidRPr="00C424AA">
        <w:rPr>
          <w:rFonts w:ascii="Univers" w:eastAsia="Times New Roman" w:hAnsi="Univers" w:cs="Times New Roman"/>
          <w:sz w:val="28"/>
          <w:szCs w:val="28"/>
          <w:lang w:val="es-ES" w:eastAsia="es-ES"/>
        </w:rPr>
        <w:lastRenderedPageBreak/>
        <w:t>Pérez, Sergio Santos Jerónimo e Imeldo Rosas Jerónimo</w:t>
      </w:r>
      <w:r w:rsidRPr="00C424AA">
        <w:rPr>
          <w:rFonts w:ascii="Arial" w:eastAsia="Times New Roman" w:hAnsi="Arial" w:cs="Arial"/>
          <w:sz w:val="28"/>
          <w:szCs w:val="28"/>
          <w:lang w:eastAsia="es-ES"/>
        </w:rPr>
        <w:t>, en contra la sentencia de diez de abril de este año, emitida por la Sala Regional del Tribunal Electoral del Poder Judicial de la Federación, correspondiente a la Tercera Circunscripción Plurinominal, con sede en Xalapa, Veracruz, al resolver el expediente SX-JDC-108/2014</w:t>
      </w:r>
      <w:r w:rsidRPr="00C424AA">
        <w:rPr>
          <w:rFonts w:ascii="Arial" w:eastAsia="Times New Roman" w:hAnsi="Arial" w:cs="Arial"/>
          <w:bCs/>
          <w:sz w:val="28"/>
          <w:szCs w:val="28"/>
          <w:lang w:eastAsia="es-ES"/>
        </w:rPr>
        <w:t>,</w:t>
      </w:r>
      <w:r w:rsidRPr="00C424AA">
        <w:rPr>
          <w:rFonts w:ascii="Arial" w:eastAsia="Times New Roman" w:hAnsi="Arial" w:cs="Arial"/>
          <w:b/>
          <w:bCs/>
          <w:sz w:val="28"/>
          <w:szCs w:val="28"/>
          <w:lang w:eastAsia="es-ES"/>
        </w:rPr>
        <w:t xml:space="preserve"> </w:t>
      </w:r>
      <w:r w:rsidRPr="00C424AA">
        <w:rPr>
          <w:rFonts w:ascii="Arial" w:eastAsia="Times New Roman" w:hAnsi="Arial" w:cs="Arial"/>
          <w:bCs/>
          <w:sz w:val="28"/>
          <w:szCs w:val="28"/>
          <w:lang w:eastAsia="es-ES"/>
        </w:rPr>
        <w:t>y</w:t>
      </w:r>
    </w:p>
    <w:p w14:paraId="44D1155A" w14:textId="77777777" w:rsidR="00C424AA" w:rsidRPr="00C424AA" w:rsidRDefault="00C424AA" w:rsidP="00C424AA">
      <w:pPr>
        <w:spacing w:after="0" w:line="360" w:lineRule="auto"/>
        <w:ind w:firstLine="709"/>
        <w:jc w:val="both"/>
        <w:rPr>
          <w:rFonts w:ascii="Arial" w:eastAsia="Times New Roman" w:hAnsi="Arial" w:cs="Arial"/>
          <w:sz w:val="28"/>
          <w:szCs w:val="28"/>
          <w:lang w:eastAsia="es-ES"/>
        </w:rPr>
      </w:pPr>
    </w:p>
    <w:p w14:paraId="242CF032" w14:textId="77777777" w:rsidR="00C424AA" w:rsidRPr="00C424AA" w:rsidRDefault="00C424AA" w:rsidP="00C424AA">
      <w:pPr>
        <w:spacing w:after="0" w:line="360" w:lineRule="auto"/>
        <w:ind w:firstLine="709"/>
        <w:jc w:val="center"/>
        <w:rPr>
          <w:rFonts w:ascii="Arial" w:eastAsia="Times New Roman" w:hAnsi="Arial" w:cs="Arial"/>
          <w:b/>
          <w:sz w:val="28"/>
          <w:szCs w:val="28"/>
          <w:lang w:eastAsia="es-ES"/>
        </w:rPr>
      </w:pPr>
      <w:r w:rsidRPr="00C424AA">
        <w:rPr>
          <w:rFonts w:ascii="Arial" w:eastAsia="Times New Roman" w:hAnsi="Arial" w:cs="Arial"/>
          <w:b/>
          <w:sz w:val="28"/>
          <w:szCs w:val="28"/>
          <w:lang w:eastAsia="es-ES"/>
        </w:rPr>
        <w:t>R E S U L T A N D O</w:t>
      </w:r>
    </w:p>
    <w:p w14:paraId="6B07611D" w14:textId="77777777" w:rsidR="00C424AA" w:rsidRPr="00C424AA" w:rsidRDefault="00C424AA" w:rsidP="00C424AA">
      <w:pPr>
        <w:spacing w:after="0" w:line="360" w:lineRule="auto"/>
        <w:ind w:firstLine="709"/>
        <w:jc w:val="center"/>
        <w:rPr>
          <w:rFonts w:ascii="Arial" w:eastAsia="Times New Roman" w:hAnsi="Arial" w:cs="Arial"/>
          <w:b/>
          <w:sz w:val="28"/>
          <w:szCs w:val="28"/>
          <w:lang w:eastAsia="es-ES"/>
        </w:rPr>
      </w:pPr>
    </w:p>
    <w:p w14:paraId="15258328" w14:textId="77777777" w:rsidR="00C424AA" w:rsidRPr="00C424AA" w:rsidRDefault="00C424AA" w:rsidP="00C424AA">
      <w:pPr>
        <w:spacing w:before="240" w:after="240" w:line="360" w:lineRule="auto"/>
        <w:jc w:val="both"/>
        <w:rPr>
          <w:rFonts w:ascii="Arial" w:eastAsia="Arial Unicode MS" w:hAnsi="Arial" w:cs="Times New Roman"/>
          <w:bCs/>
          <w:sz w:val="28"/>
          <w:szCs w:val="28"/>
          <w:lang w:eastAsia="es-MX"/>
        </w:rPr>
      </w:pPr>
      <w:r w:rsidRPr="00C424AA">
        <w:rPr>
          <w:rFonts w:ascii="Arial" w:eastAsia="Arial Unicode MS" w:hAnsi="Arial" w:cs="Times New Roman"/>
          <w:b/>
          <w:bCs/>
          <w:sz w:val="28"/>
          <w:szCs w:val="28"/>
          <w:lang w:eastAsia="es-MX"/>
        </w:rPr>
        <w:t xml:space="preserve">I. Antecedentes. </w:t>
      </w:r>
      <w:r w:rsidRPr="00C424AA">
        <w:rPr>
          <w:rFonts w:ascii="Arial" w:eastAsia="Arial Unicode MS" w:hAnsi="Arial" w:cs="Times New Roman"/>
          <w:sz w:val="28"/>
          <w:szCs w:val="28"/>
          <w:lang w:eastAsia="es-MX"/>
        </w:rPr>
        <w:t xml:space="preserve">De los autos del expediente que motiva la presente actuación se advierte lo siguiente: </w:t>
      </w:r>
    </w:p>
    <w:p w14:paraId="5B25657A" w14:textId="77777777" w:rsidR="00C424AA" w:rsidRPr="00C424AA" w:rsidRDefault="00C424AA" w:rsidP="00C424AA">
      <w:pPr>
        <w:spacing w:before="240" w:after="240" w:line="360" w:lineRule="auto"/>
        <w:jc w:val="both"/>
        <w:rPr>
          <w:rFonts w:ascii="Arial" w:eastAsia="Arial Unicode MS" w:hAnsi="Arial" w:cs="Times New Roman"/>
          <w:b/>
          <w:sz w:val="28"/>
          <w:szCs w:val="28"/>
          <w:lang w:eastAsia="es-MX"/>
        </w:rPr>
      </w:pPr>
      <w:r w:rsidRPr="00C424AA">
        <w:rPr>
          <w:rFonts w:ascii="Arial" w:eastAsia="Arial Unicode MS" w:hAnsi="Arial" w:cs="Times New Roman"/>
          <w:b/>
          <w:sz w:val="28"/>
          <w:szCs w:val="28"/>
          <w:lang w:eastAsia="es-MX"/>
        </w:rPr>
        <w:t xml:space="preserve">1. </w:t>
      </w:r>
      <w:r w:rsidRPr="00C424AA">
        <w:rPr>
          <w:rFonts w:ascii="Arial" w:eastAsia="Arial Unicode MS" w:hAnsi="Arial" w:cs="Times New Roman"/>
          <w:b/>
          <w:bCs/>
          <w:sz w:val="28"/>
          <w:szCs w:val="28"/>
          <w:lang w:eastAsia="es-MX"/>
        </w:rPr>
        <w:t>Acuerdo de validez de elección</w:t>
      </w:r>
      <w:r w:rsidRPr="00C424AA">
        <w:rPr>
          <w:rFonts w:ascii="Arial" w:eastAsia="Arial Unicode MS" w:hAnsi="Arial" w:cs="Times New Roman"/>
          <w:b/>
          <w:sz w:val="28"/>
          <w:szCs w:val="28"/>
          <w:lang w:eastAsia="es-MX"/>
        </w:rPr>
        <w:t xml:space="preserve">. </w:t>
      </w:r>
      <w:r w:rsidRPr="00C424AA">
        <w:rPr>
          <w:rFonts w:ascii="Arial" w:eastAsia="Arial Unicode MS" w:hAnsi="Arial" w:cs="Times New Roman"/>
          <w:sz w:val="28"/>
          <w:szCs w:val="28"/>
          <w:lang w:eastAsia="es-MX"/>
        </w:rPr>
        <w:t>El veintinueve de diciembre de dos mil trece, el Consejo General del Instituto Estatal Electoral y de Participación Ciudadana de Oaxaca emitió el acuerdo CG-IEEPCO-SNI-141/2013, mediante el cual calificó como válida la elección de Concejales del Ayuntamiento de Santo Tomás Tamazulapan, Miahuatlán, Oaxaca, para el periodo dos mil catorce-dos mil dieciséis (2014-2016) y ordenó la expedición de las constancias respectivas.</w:t>
      </w:r>
      <w:r w:rsidRPr="00C424AA">
        <w:rPr>
          <w:rFonts w:ascii="Arial" w:eastAsia="Arial Unicode MS" w:hAnsi="Arial" w:cs="Times New Roman"/>
          <w:b/>
          <w:sz w:val="28"/>
          <w:szCs w:val="28"/>
          <w:lang w:eastAsia="es-MX"/>
        </w:rPr>
        <w:t xml:space="preserve"> </w:t>
      </w:r>
    </w:p>
    <w:p w14:paraId="44B2F241" w14:textId="77777777" w:rsidR="00C424AA" w:rsidRPr="00C424AA" w:rsidRDefault="00C424AA" w:rsidP="00C424AA">
      <w:pPr>
        <w:spacing w:before="240" w:after="240" w:line="360" w:lineRule="auto"/>
        <w:jc w:val="both"/>
        <w:rPr>
          <w:rFonts w:ascii="Arial" w:eastAsia="Arial Unicode MS" w:hAnsi="Arial" w:cs="Times New Roman"/>
          <w:b/>
          <w:sz w:val="28"/>
          <w:szCs w:val="28"/>
          <w:lang w:eastAsia="es-MX"/>
        </w:rPr>
      </w:pPr>
      <w:r w:rsidRPr="00C424AA">
        <w:rPr>
          <w:rFonts w:ascii="Arial" w:eastAsia="Arial Unicode MS" w:hAnsi="Arial" w:cs="Times New Roman"/>
          <w:b/>
          <w:sz w:val="28"/>
          <w:szCs w:val="28"/>
          <w:lang w:eastAsia="es-MX"/>
        </w:rPr>
        <w:t xml:space="preserve">2. Juicio electoral de los sistemas normativos internos. </w:t>
      </w:r>
      <w:r w:rsidRPr="00C424AA">
        <w:rPr>
          <w:rFonts w:ascii="Arial" w:eastAsia="Arial Unicode MS" w:hAnsi="Arial" w:cs="Times New Roman"/>
          <w:sz w:val="28"/>
          <w:szCs w:val="28"/>
          <w:lang w:eastAsia="es-MX"/>
        </w:rPr>
        <w:t>Inconformes con lo anterior, los actores junto con doscientos noventa y un ciudadanos del Municipio de Santo Tomás Tamazulapan, Miahuatlán, Oaxaca, el treinta de diciembre de dos mil trece, promovieron juicio electoral de los sistemas normativos internos ante el Tribunal Electoral del Poder Judicial de Oaxaca, mismo que se radicó con la clave JNI/06/2014.</w:t>
      </w:r>
    </w:p>
    <w:p w14:paraId="200487E6" w14:textId="77777777" w:rsidR="00C424AA" w:rsidRPr="00C424AA" w:rsidRDefault="00C424AA" w:rsidP="00C424AA">
      <w:pPr>
        <w:spacing w:before="240" w:after="240" w:line="360" w:lineRule="auto"/>
        <w:jc w:val="both"/>
        <w:rPr>
          <w:rFonts w:ascii="Arial" w:eastAsia="Arial Unicode MS" w:hAnsi="Arial" w:cs="Times New Roman"/>
          <w:sz w:val="28"/>
          <w:szCs w:val="28"/>
          <w:lang w:eastAsia="es-MX"/>
        </w:rPr>
      </w:pPr>
      <w:r w:rsidRPr="00C424AA">
        <w:rPr>
          <w:rFonts w:ascii="Arial" w:eastAsia="Arial Unicode MS" w:hAnsi="Arial" w:cs="Times New Roman"/>
          <w:b/>
          <w:sz w:val="28"/>
          <w:szCs w:val="28"/>
          <w:lang w:eastAsia="es-MX"/>
        </w:rPr>
        <w:lastRenderedPageBreak/>
        <w:t xml:space="preserve">3. Resolución de juicio electoral de los sistemas normativos internos. </w:t>
      </w:r>
      <w:r w:rsidRPr="00C424AA">
        <w:rPr>
          <w:rFonts w:ascii="Arial" w:eastAsia="Arial Unicode MS" w:hAnsi="Arial" w:cs="Times New Roman"/>
          <w:sz w:val="28"/>
          <w:szCs w:val="28"/>
          <w:lang w:eastAsia="es-MX"/>
        </w:rPr>
        <w:t>El veinticuatro de febrero del año que transcurre, el Tribunal Estatal Electoral del Poder Judicial de Oaxaca resolvió el citado juicio en los siguientes términos:</w:t>
      </w:r>
    </w:p>
    <w:p w14:paraId="68DE45B0" w14:textId="77777777" w:rsidR="00C424AA" w:rsidRPr="00C424AA" w:rsidRDefault="00C424AA" w:rsidP="00C424AA">
      <w:pPr>
        <w:spacing w:before="240" w:after="240" w:line="240" w:lineRule="auto"/>
        <w:ind w:left="1134"/>
        <w:jc w:val="both"/>
        <w:rPr>
          <w:rFonts w:ascii="Arial" w:eastAsia="Arial Unicode MS" w:hAnsi="Arial" w:cs="Times New Roman"/>
          <w:sz w:val="28"/>
          <w:szCs w:val="28"/>
          <w:lang w:eastAsia="es-MX"/>
        </w:rPr>
      </w:pPr>
      <w:r w:rsidRPr="00C424AA">
        <w:rPr>
          <w:rFonts w:ascii="Arial" w:eastAsia="Arial Unicode MS" w:hAnsi="Arial" w:cs="Times New Roman"/>
          <w:sz w:val="28"/>
          <w:szCs w:val="28"/>
          <w:lang w:eastAsia="es-MX"/>
        </w:rPr>
        <w:t>PRIMERO. Se CONFIRMA el acuerdo CG-IEEPCO-SNI-141/2013 de veintinueve de diciembre de dos mil trece, emitido por el Instituto Estatal Electoral y de Participación Ciudadana de Oaxaca, mediante el cual declaró válida la asamblea general comunitaria de nombramiento de autoridades municipales del Ayuntamiento de Santo Tomás Tamazulapam (sic) Miahuatlán, Oaxaca, en los términos precisados en las RAZONES y FUNDAMENTOS CUARTO (sic) de la presente sentencia.</w:t>
      </w:r>
    </w:p>
    <w:p w14:paraId="3224678D" w14:textId="77777777" w:rsidR="00C424AA" w:rsidRPr="00C424AA" w:rsidRDefault="00C424AA" w:rsidP="00C424AA">
      <w:pPr>
        <w:spacing w:before="240" w:after="240" w:line="240" w:lineRule="auto"/>
        <w:ind w:left="1134"/>
        <w:jc w:val="both"/>
        <w:rPr>
          <w:rFonts w:ascii="Arial" w:eastAsia="Arial Unicode MS" w:hAnsi="Arial" w:cs="Times New Roman"/>
          <w:sz w:val="28"/>
          <w:szCs w:val="28"/>
          <w:lang w:eastAsia="es-MX"/>
        </w:rPr>
      </w:pPr>
      <w:r w:rsidRPr="00C424AA">
        <w:rPr>
          <w:rFonts w:ascii="Arial" w:eastAsia="Arial Unicode MS" w:hAnsi="Arial" w:cs="Times New Roman"/>
          <w:sz w:val="28"/>
          <w:szCs w:val="28"/>
          <w:lang w:eastAsia="es-MX"/>
        </w:rPr>
        <w:t>SEGUNDO. Quedan subsistentes las constancias de mayoría expedidas a los ciudadanos electos en la asamblea general comunitaria de quince de diciembre de dos mil trece, en términos de las RAZONES Y FUNDAMENTOS CUARTO (sic) de la presente resolución.</w:t>
      </w:r>
    </w:p>
    <w:p w14:paraId="39A5544E" w14:textId="77777777" w:rsidR="00C424AA" w:rsidRPr="00C424AA" w:rsidRDefault="00C424AA" w:rsidP="00C424AA">
      <w:pPr>
        <w:spacing w:before="240" w:after="240" w:line="240" w:lineRule="auto"/>
        <w:ind w:left="1134"/>
        <w:jc w:val="both"/>
        <w:rPr>
          <w:rFonts w:ascii="Arial" w:eastAsia="Arial Unicode MS" w:hAnsi="Arial" w:cs="Times New Roman"/>
          <w:sz w:val="28"/>
          <w:szCs w:val="28"/>
          <w:lang w:eastAsia="es-MX"/>
        </w:rPr>
      </w:pPr>
      <w:r w:rsidRPr="00C424AA">
        <w:rPr>
          <w:rFonts w:ascii="Arial" w:eastAsia="Arial Unicode MS" w:hAnsi="Arial" w:cs="Times New Roman"/>
          <w:sz w:val="28"/>
          <w:szCs w:val="28"/>
          <w:lang w:eastAsia="es-MX"/>
        </w:rPr>
        <w:t>TERCERO. Notifíquese…</w:t>
      </w:r>
    </w:p>
    <w:p w14:paraId="16A00423" w14:textId="77777777" w:rsidR="00C424AA" w:rsidRPr="00C424AA" w:rsidRDefault="00C424AA" w:rsidP="00C424AA">
      <w:pPr>
        <w:spacing w:before="240" w:after="240" w:line="360" w:lineRule="auto"/>
        <w:jc w:val="both"/>
        <w:rPr>
          <w:rFonts w:ascii="Arial" w:eastAsia="Arial Unicode MS" w:hAnsi="Arial" w:cs="Times New Roman"/>
          <w:sz w:val="28"/>
          <w:szCs w:val="28"/>
          <w:lang w:eastAsia="es-MX"/>
        </w:rPr>
      </w:pPr>
      <w:r w:rsidRPr="00C424AA">
        <w:rPr>
          <w:rFonts w:ascii="Arial" w:eastAsia="Arial Unicode MS" w:hAnsi="Arial" w:cs="Times New Roman"/>
          <w:sz w:val="28"/>
          <w:szCs w:val="28"/>
          <w:lang w:eastAsia="es-MX"/>
        </w:rPr>
        <w:t>La resolución referida fue notificada a los actores, el veinticinco de febrero siguiente.</w:t>
      </w:r>
    </w:p>
    <w:p w14:paraId="13CB775A" w14:textId="77777777" w:rsidR="00C424AA" w:rsidRPr="00C424AA" w:rsidRDefault="00C424AA" w:rsidP="00C424AA">
      <w:pPr>
        <w:spacing w:before="240" w:after="240" w:line="360" w:lineRule="auto"/>
        <w:jc w:val="both"/>
        <w:rPr>
          <w:rFonts w:ascii="Arial" w:eastAsia="Arial Unicode MS" w:hAnsi="Arial" w:cs="Times New Roman"/>
          <w:sz w:val="28"/>
          <w:szCs w:val="28"/>
          <w:lang w:eastAsia="es-MX"/>
        </w:rPr>
      </w:pPr>
      <w:r w:rsidRPr="00C424AA">
        <w:rPr>
          <w:rFonts w:ascii="Arial" w:eastAsia="Arial Unicode MS" w:hAnsi="Arial" w:cs="Times New Roman"/>
          <w:b/>
          <w:sz w:val="28"/>
          <w:szCs w:val="28"/>
          <w:lang w:eastAsia="es-MX"/>
        </w:rPr>
        <w:t xml:space="preserve">4. Juicio para la Protección de los Derechos Político-Electorales del Ciudadano. </w:t>
      </w:r>
      <w:r w:rsidRPr="00C424AA">
        <w:rPr>
          <w:rFonts w:ascii="Arial" w:eastAsia="Arial Unicode MS" w:hAnsi="Arial" w:cs="Times New Roman"/>
          <w:sz w:val="28"/>
          <w:szCs w:val="28"/>
          <w:lang w:eastAsia="es-MX"/>
        </w:rPr>
        <w:t>El veintiocho de febrero del año en curso, los actores</w:t>
      </w:r>
      <w:r w:rsidRPr="00C424AA">
        <w:rPr>
          <w:rFonts w:ascii="Arial" w:eastAsia="Arial Unicode MS" w:hAnsi="Arial" w:cs="Times New Roman"/>
          <w:sz w:val="28"/>
          <w:szCs w:val="28"/>
          <w:lang w:val="es-ES" w:eastAsia="es-MX"/>
        </w:rPr>
        <w:t xml:space="preserve"> junto con ochenta y ocho habitantes del Municipio de Santo Tomás Tamazulapan, Miahuatlán, Oaxaca, </w:t>
      </w:r>
      <w:r w:rsidRPr="00C424AA">
        <w:rPr>
          <w:rFonts w:ascii="Arial" w:eastAsia="Arial Unicode MS" w:hAnsi="Arial" w:cs="Times New Roman"/>
          <w:sz w:val="28"/>
          <w:szCs w:val="28"/>
          <w:lang w:eastAsia="es-MX"/>
        </w:rPr>
        <w:t xml:space="preserve">presentaron ante el Tribunal Estatal Electoral del Poder Judicial del Estado de Oaxaca, demanda de juicio para la protección de los derechos político-electorales del ciudadano, para su trámite ante el Tribunal Electoral del Poder Judicial de la </w:t>
      </w:r>
      <w:r w:rsidRPr="00C424AA">
        <w:rPr>
          <w:rFonts w:ascii="Arial" w:eastAsia="Arial Unicode MS" w:hAnsi="Arial" w:cs="Times New Roman"/>
          <w:sz w:val="28"/>
          <w:szCs w:val="28"/>
          <w:lang w:eastAsia="es-MX"/>
        </w:rPr>
        <w:lastRenderedPageBreak/>
        <w:t xml:space="preserve">Federación, el cual se radico ante la responsable con el número de expediente </w:t>
      </w:r>
      <w:r w:rsidRPr="00C424AA">
        <w:rPr>
          <w:rFonts w:ascii="Arial" w:eastAsia="Arial Unicode MS" w:hAnsi="Arial" w:cs="Times New Roman"/>
          <w:bCs/>
          <w:sz w:val="28"/>
          <w:szCs w:val="28"/>
          <w:lang w:eastAsia="es-MX"/>
        </w:rPr>
        <w:t>SX-JDC-108/2014</w:t>
      </w:r>
      <w:r w:rsidRPr="00C424AA">
        <w:rPr>
          <w:rFonts w:ascii="Arial" w:eastAsia="Arial Unicode MS" w:hAnsi="Arial" w:cs="Times New Roman"/>
          <w:sz w:val="28"/>
          <w:szCs w:val="28"/>
          <w:lang w:eastAsia="es-MX"/>
        </w:rPr>
        <w:t>.</w:t>
      </w:r>
    </w:p>
    <w:p w14:paraId="7FAE79DA" w14:textId="77777777" w:rsidR="00C424AA" w:rsidRPr="00C424AA" w:rsidRDefault="00C424AA" w:rsidP="00C424AA">
      <w:pPr>
        <w:spacing w:before="240" w:after="240" w:line="360" w:lineRule="auto"/>
        <w:jc w:val="both"/>
        <w:rPr>
          <w:rFonts w:ascii="Arial" w:eastAsia="Arial Unicode MS" w:hAnsi="Arial" w:cs="Times New Roman"/>
          <w:sz w:val="28"/>
          <w:szCs w:val="28"/>
          <w:lang w:eastAsia="es-MX"/>
        </w:rPr>
      </w:pPr>
      <w:r w:rsidRPr="00C424AA">
        <w:rPr>
          <w:rFonts w:ascii="Arial" w:eastAsia="Arial Unicode MS" w:hAnsi="Arial" w:cs="Times New Roman"/>
          <w:b/>
          <w:sz w:val="28"/>
          <w:szCs w:val="28"/>
          <w:lang w:eastAsia="es-MX"/>
        </w:rPr>
        <w:t xml:space="preserve">5. Resolución de la Sala Xalapa. </w:t>
      </w:r>
      <w:r w:rsidRPr="00C424AA">
        <w:rPr>
          <w:rFonts w:ascii="Arial" w:eastAsia="Arial Unicode MS" w:hAnsi="Arial" w:cs="Times New Roman"/>
          <w:sz w:val="28"/>
          <w:szCs w:val="28"/>
          <w:lang w:eastAsia="es-MX"/>
        </w:rPr>
        <w:t>El diez de abril de dos mil catorce, la responsable resolvió el juicio ciudadano en los siguientes términos:</w:t>
      </w:r>
    </w:p>
    <w:p w14:paraId="6385AF4E" w14:textId="77777777" w:rsidR="00C424AA" w:rsidRPr="00C424AA" w:rsidRDefault="00C424AA" w:rsidP="00C424AA">
      <w:pPr>
        <w:spacing w:before="240" w:after="240" w:line="240" w:lineRule="auto"/>
        <w:ind w:left="1134"/>
        <w:jc w:val="both"/>
        <w:rPr>
          <w:rFonts w:ascii="Arial" w:eastAsia="Arial Unicode MS" w:hAnsi="Arial" w:cs="Times New Roman"/>
          <w:sz w:val="24"/>
          <w:szCs w:val="24"/>
          <w:lang w:eastAsia="es-MX"/>
        </w:rPr>
      </w:pPr>
      <w:r w:rsidRPr="00C424AA">
        <w:rPr>
          <w:rFonts w:ascii="Arial" w:eastAsia="Arial Unicode MS" w:hAnsi="Arial" w:cs="Times New Roman"/>
          <w:bCs/>
          <w:sz w:val="24"/>
          <w:szCs w:val="24"/>
          <w:lang w:eastAsia="es-MX"/>
        </w:rPr>
        <w:t xml:space="preserve">ÚNICO. Se confirma </w:t>
      </w:r>
      <w:r w:rsidRPr="00C424AA">
        <w:rPr>
          <w:rFonts w:ascii="Arial" w:eastAsia="Arial Unicode MS" w:hAnsi="Arial" w:cs="Times New Roman"/>
          <w:sz w:val="24"/>
          <w:szCs w:val="24"/>
          <w:lang w:eastAsia="es-MX"/>
        </w:rPr>
        <w:t>la sentencia de veinticuatro de febrero de la presente anualidad, dictada por el Tribunal Estatal Electoral del Poder Judicial de Oaxaca, en el juicio electoral de los sistemas normativos internos identificado con la clave JNI/06/2014, que a su vez confirmó el acuerdo CG-IEEPCO-SNI-141/2013 de veintinueve de diciembre de dos mil trece, emitido por el Consejo General del Instituto Estatal Electoral y de Participación Ciudadana de Oaxaca, que validó la elección de concejales del Ayuntamiento de Santo Tomás Tamazulapan, Miahuatlán, Oaxaca, celebrada el quince de diciembre de ese mismo año.</w:t>
      </w:r>
    </w:p>
    <w:p w14:paraId="1AA34125" w14:textId="77777777" w:rsidR="00C424AA" w:rsidRPr="00C424AA" w:rsidRDefault="00C424AA" w:rsidP="00C424AA">
      <w:pPr>
        <w:spacing w:before="240" w:after="240" w:line="360" w:lineRule="auto"/>
        <w:jc w:val="both"/>
        <w:rPr>
          <w:rFonts w:ascii="Arial" w:eastAsia="Arial Unicode MS" w:hAnsi="Arial" w:cs="Times New Roman"/>
          <w:sz w:val="28"/>
          <w:szCs w:val="28"/>
          <w:lang w:eastAsia="es-MX"/>
        </w:rPr>
      </w:pPr>
      <w:r w:rsidRPr="00C424AA">
        <w:rPr>
          <w:rFonts w:ascii="Arial" w:eastAsia="Arial Unicode MS" w:hAnsi="Arial" w:cs="Times New Roman"/>
          <w:b/>
          <w:sz w:val="28"/>
          <w:szCs w:val="28"/>
          <w:lang w:eastAsia="es-MX"/>
        </w:rPr>
        <w:t xml:space="preserve">II. Juicio de revisión constitucional electoral. </w:t>
      </w:r>
      <w:r w:rsidRPr="00C424AA">
        <w:rPr>
          <w:rFonts w:ascii="Arial" w:eastAsia="Arial Unicode MS" w:hAnsi="Arial" w:cs="Times New Roman"/>
          <w:sz w:val="28"/>
          <w:szCs w:val="28"/>
          <w:lang w:eastAsia="es-MX"/>
        </w:rPr>
        <w:t>El quince de abril de dos mil catorce, los actores, presentaron demanda de juicio de revisión constitucional electoral, a fin de impugnar la sentencia antes referida.</w:t>
      </w:r>
    </w:p>
    <w:p w14:paraId="0406DAF2" w14:textId="77777777" w:rsidR="00C424AA" w:rsidRPr="00C424AA" w:rsidRDefault="00C424AA" w:rsidP="00C424AA">
      <w:pPr>
        <w:tabs>
          <w:tab w:val="left" w:pos="-720"/>
        </w:tabs>
        <w:suppressAutoHyphens/>
        <w:spacing w:after="0" w:line="360" w:lineRule="auto"/>
        <w:jc w:val="both"/>
        <w:rPr>
          <w:rFonts w:ascii="Arial" w:eastAsia="Times New Roman" w:hAnsi="Arial" w:cs="Arial"/>
          <w:sz w:val="28"/>
          <w:szCs w:val="28"/>
          <w:lang w:val="es-ES" w:eastAsia="es-ES"/>
        </w:rPr>
      </w:pPr>
      <w:r w:rsidRPr="00C424AA">
        <w:rPr>
          <w:rFonts w:ascii="Arial" w:eastAsia="Times New Roman" w:hAnsi="Arial" w:cs="Arial"/>
          <w:b/>
          <w:sz w:val="28"/>
          <w:szCs w:val="28"/>
          <w:lang w:val="es-ES" w:eastAsia="es-ES"/>
        </w:rPr>
        <w:t xml:space="preserve">III. Tercero Interesado. </w:t>
      </w:r>
      <w:r w:rsidRPr="00C424AA">
        <w:rPr>
          <w:rFonts w:ascii="Arial" w:eastAsia="Times New Roman" w:hAnsi="Arial" w:cs="Arial"/>
          <w:sz w:val="28"/>
          <w:szCs w:val="28"/>
          <w:lang w:val="es-ES" w:eastAsia="es-ES"/>
        </w:rPr>
        <w:t>El diecisiete de abril del año en curso, Gilberto Mendoza Cortes, presentó escrito de comparecencia como tercero interesado.</w:t>
      </w:r>
    </w:p>
    <w:p w14:paraId="160A39BA" w14:textId="77777777" w:rsidR="00C424AA" w:rsidRPr="00C424AA" w:rsidRDefault="00C424AA" w:rsidP="00C424AA">
      <w:pPr>
        <w:spacing w:before="240" w:after="240" w:line="360" w:lineRule="auto"/>
        <w:jc w:val="both"/>
        <w:rPr>
          <w:rFonts w:ascii="Arial" w:eastAsia="Arial Unicode MS" w:hAnsi="Arial" w:cs="Times New Roman"/>
          <w:sz w:val="28"/>
          <w:szCs w:val="28"/>
          <w:lang w:eastAsia="es-MX"/>
        </w:rPr>
      </w:pPr>
      <w:r w:rsidRPr="00C424AA">
        <w:rPr>
          <w:rFonts w:ascii="Arial" w:eastAsia="Arial Unicode MS" w:hAnsi="Arial" w:cs="Times New Roman"/>
          <w:b/>
          <w:sz w:val="28"/>
          <w:szCs w:val="28"/>
          <w:lang w:eastAsia="es-MX"/>
        </w:rPr>
        <w:t xml:space="preserve">IV. Acuerdo plenario de reencauzamiento. </w:t>
      </w:r>
      <w:r w:rsidRPr="00C424AA">
        <w:rPr>
          <w:rFonts w:ascii="Arial" w:eastAsia="Arial Unicode MS" w:hAnsi="Arial" w:cs="Times New Roman"/>
          <w:sz w:val="28"/>
          <w:szCs w:val="28"/>
          <w:lang w:eastAsia="es-MX"/>
        </w:rPr>
        <w:t>El veintiocho de abril de dos mil catorce, esta Sala Superior dictó acuerdo plenario en los siguientes términos:</w:t>
      </w:r>
    </w:p>
    <w:p w14:paraId="215556CF" w14:textId="77777777" w:rsidR="00C424AA" w:rsidRPr="00C424AA" w:rsidRDefault="00C424AA" w:rsidP="00C424AA">
      <w:pPr>
        <w:spacing w:before="100" w:beforeAutospacing="1" w:after="100" w:afterAutospacing="1" w:line="240" w:lineRule="auto"/>
        <w:ind w:left="1134"/>
        <w:jc w:val="center"/>
        <w:rPr>
          <w:rFonts w:ascii="Univers" w:eastAsia="Times New Roman" w:hAnsi="Univers" w:cs="Times New Roman"/>
          <w:b/>
          <w:bCs/>
          <w:sz w:val="24"/>
          <w:szCs w:val="24"/>
          <w:lang w:eastAsia="es-MX"/>
        </w:rPr>
      </w:pPr>
      <w:r w:rsidRPr="00C424AA">
        <w:rPr>
          <w:rFonts w:ascii="Univers" w:eastAsia="Times New Roman" w:hAnsi="Univers" w:cs="Times New Roman"/>
          <w:b/>
          <w:bCs/>
          <w:sz w:val="24"/>
          <w:szCs w:val="24"/>
          <w:lang w:eastAsia="es-MX"/>
        </w:rPr>
        <w:t>A C U E R D A:</w:t>
      </w:r>
    </w:p>
    <w:p w14:paraId="61F00C8D" w14:textId="77777777" w:rsidR="00C424AA" w:rsidRPr="00C424AA" w:rsidRDefault="00C424AA" w:rsidP="00C424AA">
      <w:pPr>
        <w:spacing w:before="100" w:beforeAutospacing="1" w:after="100" w:afterAutospacing="1" w:line="240" w:lineRule="auto"/>
        <w:ind w:left="1134"/>
        <w:jc w:val="both"/>
        <w:rPr>
          <w:rFonts w:ascii="Univers" w:eastAsia="Times New Roman" w:hAnsi="Univers" w:cs="Times New Roman"/>
          <w:bCs/>
          <w:sz w:val="24"/>
          <w:szCs w:val="24"/>
          <w:lang w:eastAsia="es-MX"/>
        </w:rPr>
      </w:pPr>
      <w:r w:rsidRPr="00C424AA">
        <w:rPr>
          <w:rFonts w:ascii="Univers" w:eastAsia="Times New Roman" w:hAnsi="Univers" w:cs="Times New Roman"/>
          <w:b/>
          <w:bCs/>
          <w:sz w:val="24"/>
          <w:szCs w:val="24"/>
          <w:lang w:eastAsia="es-MX"/>
        </w:rPr>
        <w:t xml:space="preserve">PRIMERO. </w:t>
      </w:r>
      <w:r w:rsidRPr="00C424AA">
        <w:rPr>
          <w:rFonts w:ascii="Univers" w:eastAsia="Times New Roman" w:hAnsi="Univers" w:cs="Times New Roman"/>
          <w:bCs/>
          <w:sz w:val="24"/>
          <w:szCs w:val="24"/>
          <w:lang w:eastAsia="es-MX"/>
        </w:rPr>
        <w:t xml:space="preserve">Es </w:t>
      </w:r>
      <w:r w:rsidRPr="00C424AA">
        <w:rPr>
          <w:rFonts w:ascii="Univers" w:eastAsia="Times New Roman" w:hAnsi="Univers" w:cs="Times New Roman"/>
          <w:b/>
          <w:bCs/>
          <w:sz w:val="24"/>
          <w:szCs w:val="24"/>
          <w:lang w:eastAsia="es-MX"/>
        </w:rPr>
        <w:t xml:space="preserve">improcedente </w:t>
      </w:r>
      <w:r w:rsidRPr="00C424AA">
        <w:rPr>
          <w:rFonts w:ascii="Univers" w:eastAsia="Times New Roman" w:hAnsi="Univers" w:cs="Times New Roman"/>
          <w:bCs/>
          <w:sz w:val="24"/>
          <w:szCs w:val="24"/>
          <w:lang w:eastAsia="es-MX"/>
        </w:rPr>
        <w:t xml:space="preserve">el juicio de revisión constitucional electoral promovido por </w:t>
      </w:r>
      <w:r w:rsidRPr="00C424AA">
        <w:rPr>
          <w:rFonts w:ascii="Univers" w:eastAsia="Times New Roman" w:hAnsi="Univers" w:cs="Times New Roman"/>
          <w:sz w:val="24"/>
          <w:szCs w:val="24"/>
          <w:lang w:eastAsia="es-MX"/>
        </w:rPr>
        <w:t>Constantino Hernández Pinacho, Salomón Pinacho Pérez, Sergio Santos Jerónimo e Imeldo Rosas Jerónimo, por su propio derecho</w:t>
      </w:r>
      <w:r w:rsidRPr="00C424AA">
        <w:rPr>
          <w:rFonts w:ascii="Univers" w:eastAsia="Times New Roman" w:hAnsi="Univers" w:cs="Times New Roman"/>
          <w:bCs/>
          <w:sz w:val="24"/>
          <w:szCs w:val="24"/>
          <w:lang w:eastAsia="es-MX"/>
        </w:rPr>
        <w:t>.</w:t>
      </w:r>
    </w:p>
    <w:p w14:paraId="511E76C1" w14:textId="77777777" w:rsidR="00C424AA" w:rsidRPr="00C424AA" w:rsidRDefault="00C424AA" w:rsidP="00C424AA">
      <w:pPr>
        <w:spacing w:before="100" w:beforeAutospacing="1" w:after="100" w:afterAutospacing="1" w:line="240" w:lineRule="auto"/>
        <w:ind w:left="1134"/>
        <w:jc w:val="both"/>
        <w:rPr>
          <w:rFonts w:ascii="Univers" w:eastAsia="Times New Roman" w:hAnsi="Univers" w:cs="Times New Roman"/>
          <w:bCs/>
          <w:sz w:val="24"/>
          <w:szCs w:val="24"/>
          <w:lang w:eastAsia="es-MX"/>
        </w:rPr>
      </w:pPr>
      <w:r w:rsidRPr="00C424AA">
        <w:rPr>
          <w:rFonts w:ascii="Univers" w:eastAsia="Times New Roman" w:hAnsi="Univers" w:cs="Times New Roman"/>
          <w:b/>
          <w:bCs/>
          <w:sz w:val="24"/>
          <w:szCs w:val="24"/>
          <w:lang w:eastAsia="es-MX"/>
        </w:rPr>
        <w:t xml:space="preserve">SEGUNDO. </w:t>
      </w:r>
      <w:r w:rsidRPr="00C424AA">
        <w:rPr>
          <w:rFonts w:ascii="Univers" w:eastAsia="Times New Roman" w:hAnsi="Univers" w:cs="Times New Roman"/>
          <w:bCs/>
          <w:sz w:val="24"/>
          <w:szCs w:val="24"/>
          <w:lang w:eastAsia="es-MX"/>
        </w:rPr>
        <w:t>Se</w:t>
      </w:r>
      <w:r w:rsidRPr="00C424AA">
        <w:rPr>
          <w:rFonts w:ascii="Univers" w:eastAsia="Times New Roman" w:hAnsi="Univers" w:cs="Times New Roman"/>
          <w:b/>
          <w:bCs/>
          <w:sz w:val="24"/>
          <w:szCs w:val="24"/>
          <w:lang w:eastAsia="es-MX"/>
        </w:rPr>
        <w:t xml:space="preserve"> </w:t>
      </w:r>
      <w:bookmarkStart w:id="1" w:name="LPHit1"/>
      <w:bookmarkEnd w:id="1"/>
      <w:r w:rsidRPr="00C424AA">
        <w:rPr>
          <w:rFonts w:ascii="Univers" w:eastAsia="Times New Roman" w:hAnsi="Univers" w:cs="Times New Roman"/>
          <w:b/>
          <w:bCs/>
          <w:sz w:val="24"/>
          <w:szCs w:val="24"/>
          <w:lang w:eastAsia="es-MX"/>
        </w:rPr>
        <w:t xml:space="preserve">reencauza  </w:t>
      </w:r>
      <w:r w:rsidRPr="00C424AA">
        <w:rPr>
          <w:rFonts w:ascii="Univers" w:eastAsia="Times New Roman" w:hAnsi="Univers" w:cs="Times New Roman"/>
          <w:bCs/>
          <w:sz w:val="24"/>
          <w:szCs w:val="24"/>
          <w:lang w:eastAsia="es-MX"/>
        </w:rPr>
        <w:t xml:space="preserve">el juicio presentado por </w:t>
      </w:r>
      <w:r w:rsidRPr="00C424AA">
        <w:rPr>
          <w:rFonts w:ascii="Univers" w:eastAsia="Times New Roman" w:hAnsi="Univers" w:cs="Times New Roman"/>
          <w:sz w:val="24"/>
          <w:szCs w:val="24"/>
          <w:lang w:eastAsia="es-MX"/>
        </w:rPr>
        <w:t xml:space="preserve">Constantino Hernández Pinacho, Salomón Pinacho Pérez, Sergio Santos Jerónimo e </w:t>
      </w:r>
      <w:r w:rsidRPr="00C424AA">
        <w:rPr>
          <w:rFonts w:ascii="Univers" w:eastAsia="Times New Roman" w:hAnsi="Univers" w:cs="Times New Roman"/>
          <w:sz w:val="24"/>
          <w:szCs w:val="24"/>
          <w:lang w:eastAsia="es-MX"/>
        </w:rPr>
        <w:lastRenderedPageBreak/>
        <w:t>Imeldo Rosas Jerónimo</w:t>
      </w:r>
      <w:r w:rsidRPr="00C424AA">
        <w:rPr>
          <w:rFonts w:ascii="Univers" w:eastAsia="Times New Roman" w:hAnsi="Univers" w:cs="Times New Roman"/>
          <w:bCs/>
          <w:sz w:val="24"/>
          <w:szCs w:val="24"/>
          <w:lang w:eastAsia="es-MX"/>
        </w:rPr>
        <w:t xml:space="preserve"> a recurso de reconsideración, en términos del último considerando de este acuerdo.</w:t>
      </w:r>
    </w:p>
    <w:p w14:paraId="18BEBBC8" w14:textId="77777777" w:rsidR="00C424AA" w:rsidRPr="00C424AA" w:rsidRDefault="00C424AA" w:rsidP="00C424AA">
      <w:pPr>
        <w:spacing w:before="100" w:beforeAutospacing="1" w:after="100" w:afterAutospacing="1" w:line="240" w:lineRule="auto"/>
        <w:ind w:left="1134"/>
        <w:jc w:val="both"/>
        <w:rPr>
          <w:rFonts w:ascii="Univers" w:eastAsia="Times New Roman" w:hAnsi="Univers" w:cs="Times New Roman"/>
          <w:bCs/>
          <w:sz w:val="24"/>
          <w:szCs w:val="24"/>
          <w:lang w:eastAsia="es-MX"/>
        </w:rPr>
      </w:pPr>
      <w:r w:rsidRPr="00C424AA">
        <w:rPr>
          <w:rFonts w:ascii="Univers" w:eastAsia="Times New Roman" w:hAnsi="Univers" w:cs="Times New Roman"/>
          <w:b/>
          <w:bCs/>
          <w:sz w:val="24"/>
          <w:szCs w:val="24"/>
          <w:lang w:eastAsia="es-MX"/>
        </w:rPr>
        <w:t>TERCERO. Remítanse</w:t>
      </w:r>
      <w:r w:rsidRPr="00C424AA">
        <w:rPr>
          <w:rFonts w:ascii="Univers" w:eastAsia="Times New Roman" w:hAnsi="Univers" w:cs="Times New Roman"/>
          <w:bCs/>
          <w:sz w:val="24"/>
          <w:szCs w:val="24"/>
          <w:lang w:eastAsia="es-MX"/>
        </w:rPr>
        <w:t xml:space="preserve"> los autos del presente juicio a la Secretaría General de Acuerdos de esta Sala Superior, a fin de que realice las anotaciones pertinentes y, hecho lo anterior, los devuelva a la Magistrada Instructora, para los efectos legales procedentes.</w:t>
      </w:r>
    </w:p>
    <w:p w14:paraId="6836B02F" w14:textId="77777777" w:rsidR="00C424AA" w:rsidRPr="00C424AA" w:rsidRDefault="00C424AA" w:rsidP="00C424AA">
      <w:pPr>
        <w:tabs>
          <w:tab w:val="left" w:pos="-720"/>
        </w:tabs>
        <w:suppressAutoHyphens/>
        <w:spacing w:after="0" w:line="360" w:lineRule="auto"/>
        <w:jc w:val="both"/>
        <w:rPr>
          <w:rFonts w:ascii="Arial" w:eastAsia="Times New Roman" w:hAnsi="Arial" w:cs="Arial"/>
          <w:sz w:val="28"/>
          <w:szCs w:val="28"/>
          <w:lang w:val="es-ES" w:eastAsia="es-ES"/>
        </w:rPr>
      </w:pPr>
    </w:p>
    <w:p w14:paraId="1511F4B0" w14:textId="77777777" w:rsidR="00C424AA" w:rsidRPr="00C424AA" w:rsidRDefault="00C424AA" w:rsidP="00C424AA">
      <w:pPr>
        <w:tabs>
          <w:tab w:val="left" w:pos="-720"/>
        </w:tabs>
        <w:suppressAutoHyphens/>
        <w:spacing w:after="0" w:line="360" w:lineRule="auto"/>
        <w:jc w:val="both"/>
        <w:rPr>
          <w:rFonts w:ascii="Arial" w:eastAsia="Times New Roman" w:hAnsi="Arial" w:cs="Arial"/>
          <w:sz w:val="28"/>
          <w:szCs w:val="28"/>
          <w:lang w:val="es-ES" w:eastAsia="es-ES"/>
        </w:rPr>
      </w:pPr>
      <w:r w:rsidRPr="00C424AA">
        <w:rPr>
          <w:rFonts w:ascii="Arial" w:eastAsia="Times New Roman" w:hAnsi="Arial" w:cs="Arial"/>
          <w:b/>
          <w:sz w:val="28"/>
          <w:szCs w:val="28"/>
          <w:lang w:val="es-ES" w:eastAsia="es-ES"/>
        </w:rPr>
        <w:t>V. Turno de expediente.</w:t>
      </w:r>
      <w:r w:rsidRPr="00C424AA">
        <w:rPr>
          <w:rFonts w:ascii="Arial" w:eastAsia="Times New Roman" w:hAnsi="Arial" w:cs="Arial"/>
          <w:sz w:val="28"/>
          <w:szCs w:val="28"/>
          <w:lang w:val="es-ES" w:eastAsia="es-ES"/>
        </w:rPr>
        <w:t xml:space="preserve"> El veintiocho de abril de dos mil catorce, el Magistrado Presidente de esta Sala Superior del Tribunal Electoral del Poder Judicial de la Federación ordenó integrar el expediente del recurso de reconsideración, identificado con el número </w:t>
      </w:r>
      <w:r w:rsidRPr="00C424AA">
        <w:rPr>
          <w:rFonts w:ascii="Arial" w:eastAsia="Times New Roman" w:hAnsi="Arial" w:cs="Arial"/>
          <w:b/>
          <w:sz w:val="28"/>
          <w:szCs w:val="28"/>
          <w:lang w:val="es-ES" w:eastAsia="es-ES"/>
        </w:rPr>
        <w:t>SUP-REC-861/2014</w:t>
      </w:r>
      <w:r w:rsidRPr="00C424AA">
        <w:rPr>
          <w:rFonts w:ascii="Arial" w:eastAsia="Times New Roman" w:hAnsi="Arial" w:cs="Arial"/>
          <w:sz w:val="28"/>
          <w:szCs w:val="28"/>
          <w:lang w:val="es-ES" w:eastAsia="es-ES"/>
        </w:rPr>
        <w:t xml:space="preserve"> y, turnarlo a la Ponencia de la Magistrada María del Carmen Alanis Figueroa, para los efectos previstos en los artículos 19 y 68, de la Ley General del Sistema de Medios de Impugnación en Materia Electoral.</w:t>
      </w:r>
    </w:p>
    <w:p w14:paraId="6CE4AFD8" w14:textId="77777777" w:rsidR="00C424AA" w:rsidRPr="00C424AA" w:rsidRDefault="00C424AA" w:rsidP="00C424AA">
      <w:pPr>
        <w:tabs>
          <w:tab w:val="left" w:pos="-720"/>
        </w:tabs>
        <w:suppressAutoHyphens/>
        <w:spacing w:after="0" w:line="360" w:lineRule="auto"/>
        <w:jc w:val="both"/>
        <w:rPr>
          <w:rFonts w:ascii="Arial" w:eastAsia="Times New Roman" w:hAnsi="Arial" w:cs="Arial"/>
          <w:sz w:val="28"/>
          <w:szCs w:val="28"/>
          <w:lang w:eastAsia="es-ES"/>
        </w:rPr>
      </w:pPr>
    </w:p>
    <w:p w14:paraId="1C3ADC3E" w14:textId="77777777" w:rsidR="00C424AA" w:rsidRPr="00C424AA" w:rsidRDefault="00C424AA" w:rsidP="00C424AA">
      <w:pPr>
        <w:tabs>
          <w:tab w:val="left" w:pos="-720"/>
        </w:tabs>
        <w:suppressAutoHyphens/>
        <w:spacing w:after="240" w:line="360" w:lineRule="auto"/>
        <w:jc w:val="both"/>
        <w:rPr>
          <w:rFonts w:ascii="Arial" w:eastAsia="Times New Roman" w:hAnsi="Arial" w:cs="Arial"/>
          <w:sz w:val="28"/>
          <w:szCs w:val="28"/>
          <w:lang w:eastAsia="es-ES"/>
        </w:rPr>
      </w:pPr>
      <w:r w:rsidRPr="00C424AA">
        <w:rPr>
          <w:rFonts w:ascii="Arial" w:eastAsia="Times New Roman" w:hAnsi="Arial" w:cs="Arial"/>
          <w:b/>
          <w:sz w:val="28"/>
          <w:szCs w:val="28"/>
          <w:lang w:eastAsia="es-ES"/>
        </w:rPr>
        <w:t xml:space="preserve">VI. </w:t>
      </w:r>
      <w:r w:rsidRPr="00C424AA">
        <w:rPr>
          <w:rFonts w:ascii="Arial" w:eastAsia="Times New Roman" w:hAnsi="Arial" w:cs="Arial"/>
          <w:b/>
          <w:bCs/>
          <w:sz w:val="28"/>
          <w:szCs w:val="28"/>
          <w:lang w:eastAsia="es-ES"/>
        </w:rPr>
        <w:t>Radicación.</w:t>
      </w:r>
      <w:r w:rsidRPr="00C424AA">
        <w:rPr>
          <w:rFonts w:ascii="Arial" w:eastAsia="Times New Roman" w:hAnsi="Arial" w:cs="Arial"/>
          <w:b/>
          <w:sz w:val="28"/>
          <w:szCs w:val="28"/>
          <w:lang w:eastAsia="es-ES"/>
        </w:rPr>
        <w:t xml:space="preserve"> </w:t>
      </w:r>
      <w:r w:rsidRPr="00C424AA">
        <w:rPr>
          <w:rFonts w:ascii="Arial" w:eastAsia="Times New Roman" w:hAnsi="Arial" w:cs="Arial"/>
          <w:sz w:val="28"/>
          <w:szCs w:val="28"/>
          <w:lang w:eastAsia="es-ES"/>
        </w:rPr>
        <w:t>En su oportunidad, la Magistrada Instructora radicó ante su Ponencia el expediente relativo al presente recurso de reconsideración y lo admitió; y,</w:t>
      </w:r>
    </w:p>
    <w:p w14:paraId="19200A39" w14:textId="77777777" w:rsidR="00C424AA" w:rsidRPr="00C424AA" w:rsidRDefault="00C424AA" w:rsidP="00C424AA">
      <w:pPr>
        <w:widowControl w:val="0"/>
        <w:spacing w:after="100" w:afterAutospacing="1" w:line="360" w:lineRule="auto"/>
        <w:ind w:firstLine="709"/>
        <w:jc w:val="center"/>
        <w:rPr>
          <w:rFonts w:ascii="Arial" w:eastAsia="Times New Roman" w:hAnsi="Arial" w:cs="Arial"/>
          <w:b/>
          <w:bCs/>
          <w:sz w:val="28"/>
          <w:szCs w:val="28"/>
          <w:lang w:eastAsia="es-ES"/>
        </w:rPr>
      </w:pPr>
    </w:p>
    <w:p w14:paraId="7D34DC0F" w14:textId="77777777" w:rsidR="00C424AA" w:rsidRPr="00C424AA" w:rsidRDefault="00C424AA" w:rsidP="00C424AA">
      <w:pPr>
        <w:widowControl w:val="0"/>
        <w:spacing w:after="100" w:afterAutospacing="1" w:line="360" w:lineRule="auto"/>
        <w:ind w:firstLine="709"/>
        <w:jc w:val="center"/>
        <w:rPr>
          <w:rFonts w:ascii="Arial" w:eastAsia="Times New Roman" w:hAnsi="Arial" w:cs="Arial"/>
          <w:b/>
          <w:bCs/>
          <w:sz w:val="28"/>
          <w:szCs w:val="24"/>
          <w:lang w:val="es-ES" w:eastAsia="es-ES"/>
        </w:rPr>
      </w:pPr>
      <w:r w:rsidRPr="00C424AA">
        <w:rPr>
          <w:rFonts w:ascii="Arial" w:eastAsia="Times New Roman" w:hAnsi="Arial" w:cs="Arial"/>
          <w:b/>
          <w:bCs/>
          <w:sz w:val="28"/>
          <w:szCs w:val="28"/>
          <w:lang w:eastAsia="es-ES"/>
        </w:rPr>
        <w:t>C O N S I D E R A N D O</w:t>
      </w:r>
    </w:p>
    <w:p w14:paraId="6FEB23DB" w14:textId="77777777" w:rsidR="00C424AA" w:rsidRPr="00C424AA" w:rsidRDefault="00C424AA" w:rsidP="00C424AA">
      <w:pPr>
        <w:spacing w:after="0" w:line="360" w:lineRule="auto"/>
        <w:jc w:val="both"/>
        <w:rPr>
          <w:rFonts w:ascii="Arial" w:eastAsia="Times New Roman" w:hAnsi="Arial" w:cs="Arial"/>
          <w:b/>
          <w:sz w:val="28"/>
          <w:szCs w:val="24"/>
          <w:lang w:val="es-ES" w:eastAsia="es-ES"/>
        </w:rPr>
      </w:pPr>
      <w:r w:rsidRPr="00C424AA">
        <w:rPr>
          <w:rFonts w:ascii="Arial" w:eastAsia="Times New Roman" w:hAnsi="Arial" w:cs="Arial"/>
          <w:b/>
          <w:bCs/>
          <w:sz w:val="28"/>
          <w:szCs w:val="24"/>
          <w:lang w:val="es-ES" w:eastAsia="es-ES"/>
        </w:rPr>
        <w:t>PRIMERO. Competencia.</w:t>
      </w:r>
      <w:r w:rsidRPr="00C424AA">
        <w:rPr>
          <w:rFonts w:ascii="Arial" w:eastAsia="Times New Roman" w:hAnsi="Arial" w:cs="Arial"/>
          <w:b/>
          <w:sz w:val="28"/>
          <w:szCs w:val="24"/>
          <w:lang w:val="es-ES" w:eastAsia="es-ES"/>
        </w:rPr>
        <w:t xml:space="preserve"> </w:t>
      </w:r>
      <w:r w:rsidRPr="00C424AA">
        <w:rPr>
          <w:rFonts w:ascii="Arial" w:eastAsia="Times New Roman" w:hAnsi="Arial" w:cs="Arial"/>
          <w:sz w:val="28"/>
          <w:szCs w:val="24"/>
          <w:lang w:val="es-ES" w:eastAsia="es-ES"/>
        </w:rPr>
        <w:t xml:space="preserve">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w:t>
      </w:r>
      <w:r w:rsidRPr="00C424AA">
        <w:rPr>
          <w:rFonts w:ascii="Arial" w:eastAsia="Times New Roman" w:hAnsi="Arial" w:cs="Arial"/>
          <w:sz w:val="28"/>
          <w:szCs w:val="24"/>
          <w:lang w:val="es-ES" w:eastAsia="es-ES"/>
        </w:rPr>
        <w:lastRenderedPageBreak/>
        <w:t>Poder Judicial de la Federación, y 64, de la Ley General del Sistema de Medios de Impugnación en Materia Electoral, porque se trata de un recurso de reconsideración promovido por diversos ciudadanos para controvertir la sentencia dictada por la Sala Regional Xalapa de este Tribunal Electoral, al resolver el juicio para la protección de los derechos político-electorales del ciudadano, identificado con la clave de expediente SX-JDC-108/2014.</w:t>
      </w:r>
    </w:p>
    <w:p w14:paraId="2ACB84DE"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5CB4F94F" w14:textId="77777777" w:rsidR="00C424AA" w:rsidRPr="00C424AA" w:rsidRDefault="00C424AA" w:rsidP="00C424AA">
      <w:pPr>
        <w:spacing w:after="0" w:line="360" w:lineRule="auto"/>
        <w:jc w:val="both"/>
        <w:rPr>
          <w:rFonts w:ascii="Arial" w:eastAsia="Times New Roman" w:hAnsi="Arial" w:cs="Arial"/>
          <w:b/>
          <w:bCs/>
          <w:sz w:val="28"/>
          <w:szCs w:val="28"/>
          <w:lang w:val="es-ES" w:eastAsia="es-ES"/>
        </w:rPr>
      </w:pPr>
      <w:r w:rsidRPr="00C424AA">
        <w:rPr>
          <w:rFonts w:ascii="Arial" w:eastAsia="Times New Roman" w:hAnsi="Arial" w:cs="Arial"/>
          <w:b/>
          <w:sz w:val="28"/>
          <w:szCs w:val="24"/>
          <w:lang w:val="es-ES" w:eastAsia="es-ES"/>
        </w:rPr>
        <w:t>SEGUNDO.</w:t>
      </w:r>
      <w:r w:rsidRPr="00C424AA">
        <w:rPr>
          <w:rFonts w:ascii="Arial" w:eastAsia="Times New Roman" w:hAnsi="Arial" w:cs="Arial"/>
          <w:b/>
          <w:bCs/>
          <w:sz w:val="28"/>
          <w:szCs w:val="28"/>
          <w:lang w:val="es-ES" w:eastAsia="es-ES"/>
        </w:rPr>
        <w:t xml:space="preserve"> Requisitos, presupuestos generales y especiales para la procedencia del recurso de reconsideración.</w:t>
      </w:r>
    </w:p>
    <w:p w14:paraId="25CD428A" w14:textId="77777777" w:rsidR="00C424AA" w:rsidRPr="00C424AA" w:rsidRDefault="00C424AA" w:rsidP="00C424AA">
      <w:pPr>
        <w:spacing w:after="0" w:line="360" w:lineRule="auto"/>
        <w:jc w:val="both"/>
        <w:rPr>
          <w:rFonts w:ascii="Arial" w:eastAsia="Times New Roman" w:hAnsi="Arial" w:cs="Arial"/>
          <w:b/>
          <w:sz w:val="28"/>
          <w:szCs w:val="24"/>
          <w:lang w:val="es-ES" w:eastAsia="es-ES"/>
        </w:rPr>
      </w:pPr>
    </w:p>
    <w:p w14:paraId="4E7E5EC1"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b/>
          <w:sz w:val="28"/>
          <w:szCs w:val="24"/>
          <w:lang w:val="es-ES" w:eastAsia="es-ES"/>
        </w:rPr>
        <w:t>a). Forma.</w:t>
      </w:r>
      <w:r w:rsidRPr="00C424AA">
        <w:rPr>
          <w:rFonts w:ascii="Arial" w:eastAsia="Times New Roman" w:hAnsi="Arial" w:cs="Arial"/>
          <w:sz w:val="28"/>
          <w:szCs w:val="24"/>
          <w:lang w:val="es-ES" w:eastAsia="es-ES"/>
        </w:rPr>
        <w:t xml:space="preserve"> El presente recurso se presentó por escrito ante la Sala Regional responsable; en él se hace constar el nombre de los recurrentes, el domicilio para recibir notificaciones y personas autorizadas para tal efecto; se identifica el acto impugnado, se enuncian los hechos y agravios en los que se basa la impugnación, así como los preceptos presuntamente violados.</w:t>
      </w:r>
    </w:p>
    <w:p w14:paraId="6105FBE9"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3D9E05C4"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b/>
          <w:sz w:val="28"/>
          <w:szCs w:val="24"/>
          <w:lang w:val="es-ES" w:eastAsia="es-ES"/>
        </w:rPr>
        <w:t>b) Oportunidad.</w:t>
      </w:r>
      <w:r w:rsidRPr="00C424AA">
        <w:rPr>
          <w:rFonts w:ascii="Arial" w:eastAsia="Times New Roman" w:hAnsi="Arial" w:cs="Arial"/>
          <w:sz w:val="28"/>
          <w:szCs w:val="24"/>
          <w:lang w:val="es-ES" w:eastAsia="es-ES"/>
        </w:rPr>
        <w:t xml:space="preserve"> La demanda del recurso de reconsideración que se resuelve es oportuna, aún y cuando 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w:t>
      </w:r>
    </w:p>
    <w:p w14:paraId="72500E29"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043C328F"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 xml:space="preserve">En el caso, la sentencia les fue notificada a los actores mediante correo electrónico el once de abril de dos mil catorce, tal como consta en el </w:t>
      </w:r>
      <w:r w:rsidRPr="00C424AA">
        <w:rPr>
          <w:rFonts w:ascii="Arial" w:eastAsia="Times New Roman" w:hAnsi="Arial" w:cs="Arial"/>
          <w:sz w:val="28"/>
          <w:szCs w:val="24"/>
          <w:lang w:val="es-ES" w:eastAsia="es-ES"/>
        </w:rPr>
        <w:lastRenderedPageBreak/>
        <w:t>acuse de recepción y la razón de notificación que obran en autos.</w:t>
      </w:r>
      <w:r w:rsidRPr="00C424AA">
        <w:rPr>
          <w:rFonts w:ascii="Arial" w:eastAsia="Times New Roman" w:hAnsi="Arial" w:cs="Times New Roman"/>
          <w:sz w:val="28"/>
          <w:szCs w:val="24"/>
          <w:vertAlign w:val="superscript"/>
          <w:lang w:val="es-ES" w:eastAsia="es-ES"/>
        </w:rPr>
        <w:footnoteReference w:id="1"/>
      </w:r>
      <w:r w:rsidRPr="00C424AA">
        <w:rPr>
          <w:rFonts w:ascii="Arial" w:eastAsia="Times New Roman" w:hAnsi="Arial" w:cs="Arial"/>
          <w:sz w:val="28"/>
          <w:szCs w:val="24"/>
          <w:lang w:val="es-ES" w:eastAsia="es-ES"/>
        </w:rPr>
        <w:t xml:space="preserve"> Por tanto, el plazo de interposición del recurso de reconsideración transcurrió del doce al catorce de abril.</w:t>
      </w:r>
    </w:p>
    <w:p w14:paraId="146C4E93"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1A0F20D7"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En la especie, la demanda fue presentada el quince de abril, por lo que pudiera concluirse que se hizo de manera extemporánea, razón por la cual el presente medio de impugnación podría desecharse.</w:t>
      </w:r>
    </w:p>
    <w:p w14:paraId="516B9DDD"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2894053F" w14:textId="77777777" w:rsidR="00C424AA" w:rsidRPr="00C424AA" w:rsidRDefault="00C424AA" w:rsidP="00C424AA">
      <w:pPr>
        <w:spacing w:after="0" w:line="360" w:lineRule="auto"/>
        <w:jc w:val="both"/>
        <w:rPr>
          <w:rFonts w:ascii="Arial" w:eastAsia="Times New Roman" w:hAnsi="Arial" w:cs="Arial"/>
          <w:sz w:val="28"/>
          <w:szCs w:val="24"/>
          <w:lang w:eastAsia="es-ES"/>
        </w:rPr>
      </w:pPr>
      <w:r w:rsidRPr="00C424AA">
        <w:rPr>
          <w:rFonts w:ascii="Arial" w:eastAsia="Times New Roman" w:hAnsi="Arial" w:cs="Arial"/>
          <w:sz w:val="28"/>
          <w:szCs w:val="24"/>
          <w:lang w:val="es-ES" w:eastAsia="es-ES"/>
        </w:rPr>
        <w:t>Sin embargo, conforme al criterio reiterado de esta Sala Superior, contenido en la tesis de jurisprudencia 7/2014,</w:t>
      </w:r>
      <w:r w:rsidRPr="00C424AA">
        <w:rPr>
          <w:rFonts w:ascii="Arial" w:eastAsia="Times New Roman" w:hAnsi="Arial" w:cs="Times New Roman"/>
          <w:sz w:val="28"/>
          <w:szCs w:val="24"/>
          <w:vertAlign w:val="superscript"/>
          <w:lang w:val="es-ES" w:eastAsia="es-ES"/>
        </w:rPr>
        <w:footnoteReference w:id="2"/>
      </w:r>
      <w:r w:rsidRPr="00C424AA">
        <w:rPr>
          <w:rFonts w:ascii="Arial" w:eastAsia="Times New Roman" w:hAnsi="Arial" w:cs="Arial"/>
          <w:sz w:val="28"/>
          <w:szCs w:val="24"/>
          <w:lang w:val="es-ES" w:eastAsia="es-ES"/>
        </w:rPr>
        <w:t xml:space="preserve"> se debe atender la calidad de indígenas de los recurrentes, por lo que cuando interpongan el recurso de reconsideración, no se debe aplicar la regla específica de dicho medio impugnativo</w:t>
      </w:r>
      <w:r w:rsidRPr="00C424AA">
        <w:rPr>
          <w:rFonts w:ascii="Arial" w:eastAsia="Times New Roman" w:hAnsi="Arial" w:cs="Arial"/>
          <w:sz w:val="28"/>
          <w:szCs w:val="24"/>
          <w:lang w:eastAsia="es-ES"/>
        </w:rPr>
        <w:t>.</w:t>
      </w:r>
    </w:p>
    <w:p w14:paraId="519A132F" w14:textId="77777777" w:rsidR="00C424AA" w:rsidRPr="00C424AA" w:rsidRDefault="00C424AA" w:rsidP="00C424AA">
      <w:pPr>
        <w:spacing w:after="0" w:line="360" w:lineRule="auto"/>
        <w:jc w:val="both"/>
        <w:rPr>
          <w:rFonts w:ascii="Arial" w:eastAsia="Times New Roman" w:hAnsi="Arial" w:cs="Arial"/>
          <w:sz w:val="28"/>
          <w:szCs w:val="24"/>
          <w:lang w:eastAsia="es-ES"/>
        </w:rPr>
      </w:pPr>
    </w:p>
    <w:p w14:paraId="1EDECEFD"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eastAsia="es-ES"/>
        </w:rPr>
        <w:t>El contenido de la tesis de jurisprudencia citada es el siguiente:</w:t>
      </w:r>
    </w:p>
    <w:p w14:paraId="64B77C60"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6E2B5F1D" w14:textId="77777777" w:rsidR="00C424AA" w:rsidRPr="00C424AA" w:rsidRDefault="00C424AA" w:rsidP="00C424AA">
      <w:pPr>
        <w:spacing w:after="0" w:line="240" w:lineRule="auto"/>
        <w:ind w:left="850" w:right="283"/>
        <w:jc w:val="both"/>
        <w:rPr>
          <w:rFonts w:ascii="Arial" w:eastAsia="Times New Roman" w:hAnsi="Arial" w:cs="Arial"/>
          <w:sz w:val="24"/>
          <w:szCs w:val="24"/>
          <w:lang w:val="es-ES" w:eastAsia="es-ES"/>
        </w:rPr>
      </w:pPr>
      <w:r w:rsidRPr="00C424AA">
        <w:rPr>
          <w:rFonts w:ascii="Arial" w:eastAsia="Times New Roman" w:hAnsi="Arial" w:cs="Arial"/>
          <w:sz w:val="24"/>
          <w:szCs w:val="24"/>
          <w:lang w:val="es-ES" w:eastAsia="es-ES"/>
        </w:rPr>
        <w:t xml:space="preserve">COMUNIDADES INDÍGENAS. INTERPOSICIÓN OPORTUNA DEL RECURSO DE RECONSIDERACIÓN CONFORME AL CRITERIO DE PROGRESIVIDAD.- De los artículos 1º, 2º,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Si bien </w:t>
      </w:r>
      <w:r w:rsidRPr="00C424AA">
        <w:rPr>
          <w:rFonts w:ascii="Arial" w:eastAsia="Times New Roman" w:hAnsi="Arial" w:cs="Arial"/>
          <w:sz w:val="24"/>
          <w:szCs w:val="24"/>
          <w:lang w:val="es-ES" w:eastAsia="es-ES"/>
        </w:rPr>
        <w:lastRenderedPageBreak/>
        <w:t>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10ECDF7D"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6A466CF0" w14:textId="77777777" w:rsidR="00C424AA" w:rsidRPr="00C424AA" w:rsidRDefault="00C424AA" w:rsidP="00C424AA">
      <w:pPr>
        <w:spacing w:after="0" w:line="360" w:lineRule="auto"/>
        <w:jc w:val="both"/>
        <w:rPr>
          <w:rFonts w:ascii="Arial" w:eastAsia="Arial Unicode MS" w:hAnsi="Arial" w:cs="Times New Roman"/>
          <w:sz w:val="28"/>
          <w:szCs w:val="28"/>
          <w:lang w:eastAsia="es-MX"/>
        </w:rPr>
      </w:pPr>
      <w:r w:rsidRPr="00C424AA">
        <w:rPr>
          <w:rFonts w:ascii="Arial" w:eastAsia="Times New Roman" w:hAnsi="Arial" w:cs="Arial"/>
          <w:sz w:val="28"/>
          <w:szCs w:val="24"/>
          <w:lang w:val="es-ES" w:eastAsia="es-ES"/>
        </w:rPr>
        <w:t xml:space="preserve">En el caso, debe tenerse en cuenta que la comunidad indígena de Santo Tomás Tamazulapan, </w:t>
      </w:r>
      <w:r w:rsidRPr="00C424AA">
        <w:rPr>
          <w:rFonts w:ascii="Arial" w:eastAsia="Arial Unicode MS" w:hAnsi="Arial" w:cs="Times New Roman"/>
          <w:sz w:val="28"/>
          <w:szCs w:val="28"/>
          <w:lang w:eastAsia="es-MX"/>
        </w:rPr>
        <w:t>Miahuatlán, se localiza en la sierra sur del Estado de Oaxaca, zona que por su densa orografía dificulta el acceso y salida.</w:t>
      </w:r>
    </w:p>
    <w:p w14:paraId="2ACE2BAC" w14:textId="77777777" w:rsidR="00C424AA" w:rsidRPr="00C424AA" w:rsidRDefault="00C424AA" w:rsidP="00C424AA">
      <w:pPr>
        <w:spacing w:after="0" w:line="360" w:lineRule="auto"/>
        <w:jc w:val="both"/>
        <w:rPr>
          <w:rFonts w:ascii="Arial" w:eastAsia="Arial Unicode MS" w:hAnsi="Arial" w:cs="Times New Roman"/>
          <w:sz w:val="28"/>
          <w:szCs w:val="28"/>
          <w:lang w:eastAsia="es-MX"/>
        </w:rPr>
      </w:pPr>
    </w:p>
    <w:p w14:paraId="426E4252" w14:textId="77777777" w:rsidR="00C424AA" w:rsidRPr="00C424AA" w:rsidRDefault="00C424AA" w:rsidP="00C424AA">
      <w:pPr>
        <w:spacing w:after="0" w:line="360" w:lineRule="auto"/>
        <w:jc w:val="both"/>
        <w:rPr>
          <w:rFonts w:ascii="Arial" w:eastAsia="Arial Unicode MS" w:hAnsi="Arial" w:cs="Times New Roman"/>
          <w:sz w:val="28"/>
          <w:szCs w:val="28"/>
          <w:lang w:eastAsia="es-MX"/>
        </w:rPr>
      </w:pPr>
      <w:r w:rsidRPr="00C424AA">
        <w:rPr>
          <w:rFonts w:ascii="Arial" w:eastAsia="Arial Unicode MS" w:hAnsi="Arial" w:cs="Times New Roman"/>
          <w:sz w:val="28"/>
          <w:szCs w:val="28"/>
          <w:lang w:eastAsia="es-MX"/>
        </w:rPr>
        <w:t>En este sentido, toda vez que los actores tenían la carga procesal de presentar la demanda hasta la Ciudad de Xalapa, en donde se localiza la sala responsable, debe estimarse que la presentación de la demande el quince de abril fue oportuna.</w:t>
      </w:r>
    </w:p>
    <w:p w14:paraId="1AF31FA7"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7C1217AA"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b/>
          <w:sz w:val="28"/>
          <w:szCs w:val="24"/>
          <w:lang w:val="es-ES" w:eastAsia="es-ES"/>
        </w:rPr>
        <w:t>c) Legitimación e interés jurídico</w:t>
      </w:r>
      <w:r w:rsidRPr="00C424AA">
        <w:rPr>
          <w:rFonts w:ascii="Arial" w:eastAsia="Times New Roman" w:hAnsi="Arial" w:cs="Arial"/>
          <w:sz w:val="28"/>
          <w:szCs w:val="24"/>
          <w:lang w:val="es-ES" w:eastAsia="es-ES"/>
        </w:rPr>
        <w:t>. Los recurrentes están legitimados para interponer el presente recurso, pues son ciudadanos indígenas que aducen la violación a sus derechos fundamentales y fueron quienes promovieron uno de los juicios ciudadanos a los que recayó la sentencia controvertida y tienen interés jurídico pues aducen que la misma resulta contraria a sus intereses.</w:t>
      </w:r>
    </w:p>
    <w:p w14:paraId="5D22D855"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1CD20D39"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b/>
          <w:sz w:val="28"/>
          <w:szCs w:val="24"/>
          <w:lang w:val="es-ES" w:eastAsia="es-ES"/>
        </w:rPr>
        <w:t>d) Definitividad</w:t>
      </w:r>
      <w:r w:rsidRPr="00C424AA">
        <w:rPr>
          <w:rFonts w:ascii="Arial" w:eastAsia="Times New Roman" w:hAnsi="Arial" w:cs="Arial"/>
          <w:sz w:val="28"/>
          <w:szCs w:val="24"/>
          <w:lang w:val="es-ES" w:eastAsia="es-ES"/>
        </w:rPr>
        <w:t>. Se cumple con este requisito, ya que en contra de la sentencia controvertida no procede algún otro medio de impugnación.</w:t>
      </w:r>
    </w:p>
    <w:p w14:paraId="4151FD1A"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lastRenderedPageBreak/>
        <w:t xml:space="preserve"> </w:t>
      </w:r>
    </w:p>
    <w:p w14:paraId="0167AD89"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b/>
          <w:sz w:val="28"/>
          <w:szCs w:val="24"/>
          <w:lang w:val="es-ES" w:eastAsia="es-ES"/>
        </w:rPr>
        <w:t>e) Requisito especial de procedencia.</w:t>
      </w:r>
      <w:r w:rsidRPr="00C424AA">
        <w:rPr>
          <w:rFonts w:ascii="Arial" w:eastAsia="Times New Roman" w:hAnsi="Arial" w:cs="Arial"/>
          <w:sz w:val="28"/>
          <w:szCs w:val="24"/>
          <w:lang w:val="es-ES" w:eastAsia="es-ES"/>
        </w:rPr>
        <w:t xml:space="preserve"> En la especie se acredita este requisito, atento a las siguientes consideraciones.</w:t>
      </w:r>
    </w:p>
    <w:p w14:paraId="01790125"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1A2D878A"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En el artículo 61, párrafo 1, de la Ley General del Sistema de Medios de Impugnación en Materia Electoral, se establece que el recurso de reconsideración es procedente para impugnar sentencias de fondo dictadas por las salas regionales de este Tribunal Electoral.</w:t>
      </w:r>
    </w:p>
    <w:p w14:paraId="5FB586B8"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51FE1A45"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En los incisos a) y b) del precepto normativo señalado se prevén los actos que pueden ser objeto de controversia mediante el recurso de reconsideración:</w:t>
      </w:r>
    </w:p>
    <w:p w14:paraId="1C42ADEC"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4516FCF1" w14:textId="77777777" w:rsidR="00C424AA" w:rsidRPr="00C424AA" w:rsidRDefault="00C424AA" w:rsidP="00C424AA">
      <w:pPr>
        <w:numPr>
          <w:ilvl w:val="0"/>
          <w:numId w:val="2"/>
        </w:numPr>
        <w:spacing w:after="0"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Las sentencias dictadas en los juicios de inconformidad, que se hubiesen promovido para controvertir los resultados de las elecciones de diputados y senadores, por el principio de mayoría relativa.</w:t>
      </w:r>
    </w:p>
    <w:p w14:paraId="1DF28AF6" w14:textId="77777777" w:rsidR="00C424AA" w:rsidRPr="00C424AA" w:rsidRDefault="00C424AA" w:rsidP="00C424AA">
      <w:pPr>
        <w:spacing w:after="0" w:line="360" w:lineRule="auto"/>
        <w:jc w:val="both"/>
        <w:rPr>
          <w:rFonts w:ascii="Arial" w:eastAsia="Times New Roman" w:hAnsi="Arial" w:cs="Arial"/>
          <w:sz w:val="28"/>
          <w:szCs w:val="28"/>
          <w:lang w:val="es-ES" w:eastAsia="es-ES"/>
        </w:rPr>
      </w:pPr>
    </w:p>
    <w:p w14:paraId="7CC9B7EF" w14:textId="77777777" w:rsidR="00C424AA" w:rsidRPr="00C424AA" w:rsidRDefault="00C424AA" w:rsidP="00C424AA">
      <w:pPr>
        <w:numPr>
          <w:ilvl w:val="0"/>
          <w:numId w:val="2"/>
        </w:numPr>
        <w:spacing w:after="0"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La asignación de diputados y senadores electos por el principio de representación proporcional, que lleve a cabo el Consejo General del Instituto Federal Electoral.</w:t>
      </w:r>
    </w:p>
    <w:p w14:paraId="61A25158" w14:textId="77777777" w:rsidR="00C424AA" w:rsidRPr="00C424AA" w:rsidRDefault="00C424AA" w:rsidP="00C424AA">
      <w:pPr>
        <w:spacing w:after="0" w:line="360" w:lineRule="auto"/>
        <w:jc w:val="both"/>
        <w:rPr>
          <w:rFonts w:ascii="Arial" w:eastAsia="Times New Roman" w:hAnsi="Arial" w:cs="Arial"/>
          <w:sz w:val="28"/>
          <w:szCs w:val="28"/>
          <w:lang w:val="es-ES" w:eastAsia="es-ES"/>
        </w:rPr>
      </w:pPr>
    </w:p>
    <w:p w14:paraId="2B17912F" w14:textId="77777777" w:rsidR="00C424AA" w:rsidRPr="00C424AA" w:rsidRDefault="00C424AA" w:rsidP="00C424AA">
      <w:pPr>
        <w:numPr>
          <w:ilvl w:val="0"/>
          <w:numId w:val="2"/>
        </w:numPr>
        <w:spacing w:after="0"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Las sentencias dictadas en los demás medios de impugnación, de la competencia de las Salas Regionales, cuando éstas hubiesen determinado la no aplicación de una ley electoral, por considerarla contraria a la Constitución Federal.</w:t>
      </w:r>
    </w:p>
    <w:p w14:paraId="42298759"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4E3A41EA"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lastRenderedPageBreak/>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federal.</w:t>
      </w:r>
    </w:p>
    <w:p w14:paraId="2BFF8D05"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05D1B896"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federal,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59A2F5B5"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5BB908D4"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w:t>
      </w:r>
      <w:r w:rsidRPr="00C424AA">
        <w:rPr>
          <w:rFonts w:ascii="Arial" w:eastAsia="Times New Roman" w:hAnsi="Arial" w:cs="Arial"/>
          <w:sz w:val="28"/>
          <w:szCs w:val="24"/>
          <w:lang w:val="es-ES" w:eastAsia="es-ES"/>
        </w:rPr>
        <w:lastRenderedPageBreak/>
        <w:t>están facultadas para revisar las sentencias relativas a la no aplicación de leyes sobre la materia electoral contrarias a la Constitución, la Sala Superior concluye que el recurso de reconsideración también es procedente cuando existen irregularidades graves,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64949251"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32BE1D72"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427C6718"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398BE4E7"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 xml:space="preserve">En el caso, los recurrentes aducen que se vulnera la forma de organización de los pueblos y comunidades indígenas por la aplicación de principios constitucionales por parte de la Sala responsable. Ello, porque al resolver sobre la validez de la asamblea general comunitaria de Santo Tomás Tamazulapan, Miahuatlán, Oaxaca, la Sala Regional responsable vulneró los usos y costumbres comunitarios de esa </w:t>
      </w:r>
      <w:r w:rsidRPr="00C424AA">
        <w:rPr>
          <w:rFonts w:ascii="Arial" w:eastAsia="Times New Roman" w:hAnsi="Arial" w:cs="Arial"/>
          <w:sz w:val="28"/>
          <w:szCs w:val="24"/>
          <w:lang w:val="es-ES" w:eastAsia="es-ES"/>
        </w:rPr>
        <w:lastRenderedPageBreak/>
        <w:t xml:space="preserve">población, pues dicha asamblea no se realizó conforme al sistema normativo interno de dicha comunidad. </w:t>
      </w:r>
    </w:p>
    <w:p w14:paraId="46D93BF2"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16DD9E70"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En ese sentido, esta Sala Superior estima que procede el análisis del recurso de reconsideración interpuesto, pues en los agravios se aduce que la sentencia de la Sala Responsable se violentó la celebración de una elección libre y auténtica, regida por el sistema normativo interno de una comunidad indígena, lo que constituye una afectación al derecho a la libre determinación del pueblo indígena de Santo Tomás Tamazulapan.</w:t>
      </w:r>
    </w:p>
    <w:p w14:paraId="4F13FB43"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4C9B2B9B"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Dicho lo anterior,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w:t>
      </w:r>
    </w:p>
    <w:p w14:paraId="77E4B338"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1BBC6A5A"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r w:rsidRPr="00C424AA">
        <w:rPr>
          <w:rFonts w:ascii="Arial" w:eastAsia="Times New Roman" w:hAnsi="Arial" w:cs="Arial"/>
          <w:sz w:val="28"/>
          <w:szCs w:val="24"/>
          <w:lang w:val="es-ES" w:eastAsia="es-ES"/>
        </w:rPr>
        <w:t xml:space="preserve">Similar criterio se sostuvo en los recursos de reconsideración SUP-REC-20/2014, SUP-REC-818/2014 y SUP-REC-827/2014 resueltos en sesión pública de veintiséis de marzo (los dos primeros) y el nueve de abril (el último), todos de dos mil catorce, los cuales no sólo son coincidentes con este asunto en cuanto la materia de impugnación, esto es, procesos electivos bajo sistemas normativos internos en elección de integrantes de un ayuntamiento del Estado de Oaxaca; sino que además, en estos asuntos se involucraron principios constitucionales del derecho electoral, cuya observancia, como ya se dijo, debe </w:t>
      </w:r>
      <w:r w:rsidRPr="00C424AA">
        <w:rPr>
          <w:rFonts w:ascii="Arial" w:eastAsia="Times New Roman" w:hAnsi="Arial" w:cs="Arial"/>
          <w:sz w:val="28"/>
          <w:szCs w:val="24"/>
          <w:lang w:val="es-ES" w:eastAsia="es-ES"/>
        </w:rPr>
        <w:lastRenderedPageBreak/>
        <w:t>preservarse, lo que permitió adentrarse al estudio de las cuestiones de fondo planteadas.</w:t>
      </w:r>
    </w:p>
    <w:p w14:paraId="2648ADAD" w14:textId="77777777" w:rsidR="00C424AA" w:rsidRPr="00C424AA" w:rsidRDefault="00C424AA" w:rsidP="00C424AA">
      <w:pPr>
        <w:spacing w:after="0" w:line="360" w:lineRule="auto"/>
        <w:jc w:val="both"/>
        <w:rPr>
          <w:rFonts w:ascii="Arial" w:eastAsia="Times New Roman" w:hAnsi="Arial" w:cs="Arial"/>
          <w:sz w:val="28"/>
          <w:szCs w:val="24"/>
          <w:lang w:val="es-ES" w:eastAsia="es-ES"/>
        </w:rPr>
      </w:pPr>
    </w:p>
    <w:p w14:paraId="4D3B9B6A" w14:textId="77777777" w:rsidR="00C424AA" w:rsidRPr="00C424AA" w:rsidRDefault="00C424AA" w:rsidP="00C424AA">
      <w:pPr>
        <w:spacing w:before="100" w:beforeAutospacing="1" w:after="100" w:afterAutospacing="1" w:line="360" w:lineRule="auto"/>
        <w:jc w:val="both"/>
        <w:rPr>
          <w:rFonts w:ascii="Arial" w:eastAsia="Times New Roman" w:hAnsi="Arial" w:cs="Arial"/>
          <w:bCs/>
          <w:sz w:val="28"/>
          <w:szCs w:val="28"/>
          <w:lang w:eastAsia="es-ES"/>
        </w:rPr>
      </w:pPr>
      <w:r w:rsidRPr="00C424AA">
        <w:rPr>
          <w:rFonts w:ascii="Arial" w:eastAsia="Times New Roman" w:hAnsi="Arial" w:cs="Arial"/>
          <w:b/>
          <w:bCs/>
          <w:sz w:val="28"/>
          <w:szCs w:val="20"/>
          <w:lang w:eastAsia="es-ES"/>
        </w:rPr>
        <w:t xml:space="preserve">TERCERO. Tercero Interesado. </w:t>
      </w:r>
      <w:r w:rsidRPr="00C424AA">
        <w:rPr>
          <w:rFonts w:ascii="Arial" w:eastAsia="Times New Roman" w:hAnsi="Arial" w:cs="Arial"/>
          <w:bCs/>
          <w:sz w:val="28"/>
          <w:szCs w:val="27"/>
          <w:lang w:eastAsia="es-ES"/>
        </w:rPr>
        <w:t xml:space="preserve">El artículo 17, apartado 4, de la Ley General del Sistema de Medios de Impugnación en Materia Electoral establece que los </w:t>
      </w:r>
      <w:r w:rsidRPr="00C424AA">
        <w:rPr>
          <w:rFonts w:ascii="Arial" w:eastAsia="Times New Roman" w:hAnsi="Arial" w:cs="Arial"/>
          <w:bCs/>
          <w:sz w:val="28"/>
          <w:szCs w:val="28"/>
          <w:lang w:eastAsia="es-ES"/>
        </w:rPr>
        <w:t>terceros interesados podrán comparecer al juicio mediante los escritos que consideren pertinentes.</w:t>
      </w:r>
    </w:p>
    <w:p w14:paraId="02C61BFC" w14:textId="77777777" w:rsidR="00C424AA" w:rsidRPr="00C424AA" w:rsidRDefault="00C424AA" w:rsidP="00C424AA">
      <w:pPr>
        <w:spacing w:before="100" w:beforeAutospacing="1" w:after="100" w:afterAutospacing="1" w:line="360" w:lineRule="auto"/>
        <w:jc w:val="both"/>
        <w:rPr>
          <w:rFonts w:ascii="Arial" w:eastAsia="Times New Roman" w:hAnsi="Arial" w:cs="Arial"/>
          <w:bCs/>
          <w:sz w:val="28"/>
          <w:szCs w:val="28"/>
          <w:lang w:eastAsia="es-MX"/>
        </w:rPr>
      </w:pPr>
      <w:r w:rsidRPr="00C424AA">
        <w:rPr>
          <w:rFonts w:ascii="Arial" w:eastAsia="Times New Roman" w:hAnsi="Arial" w:cs="Arial"/>
          <w:sz w:val="28"/>
          <w:szCs w:val="28"/>
          <w:lang w:eastAsia="es-MX"/>
        </w:rPr>
        <w:t xml:space="preserve">En este recurso comparece con el carácter aludido, Gilberto Mendoza Cortés, </w:t>
      </w:r>
      <w:r w:rsidRPr="00C424AA">
        <w:rPr>
          <w:rFonts w:ascii="Arial" w:eastAsia="Times New Roman" w:hAnsi="Arial" w:cs="Arial"/>
          <w:bCs/>
          <w:sz w:val="28"/>
          <w:szCs w:val="28"/>
          <w:lang w:eastAsia="es-MX"/>
        </w:rPr>
        <w:t>por lo cual, se hace patente analizar lo siguiente:</w:t>
      </w:r>
    </w:p>
    <w:p w14:paraId="052C4A4C"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bCs/>
          <w:sz w:val="28"/>
          <w:szCs w:val="28"/>
          <w:lang w:val="es-ES" w:eastAsia="es-ES"/>
        </w:rPr>
        <w:t>a) Forma.</w:t>
      </w:r>
      <w:r w:rsidRPr="00C424AA">
        <w:rPr>
          <w:rFonts w:ascii="Arial" w:eastAsia="Times New Roman" w:hAnsi="Arial" w:cs="Arial"/>
          <w:sz w:val="28"/>
          <w:szCs w:val="28"/>
          <w:lang w:val="es-ES" w:eastAsia="es-ES"/>
        </w:rPr>
        <w:t xml:space="preserve"> Se advierte que el ciudadano en cuestión compareció por escrito ante sala regional responsable, en el que se contiene su nombre y firma autógrafa, señalando domicilio para oír y recibir notificaciones, expresando las razones en que funda su interés incompatible con el de los impetrantes, además de ofrecer y aportar las pruebas que consideró pertinentes para sustentar sus afirmaciones.</w:t>
      </w:r>
    </w:p>
    <w:p w14:paraId="0F2AFE7C"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eastAsia="es-ES"/>
        </w:rPr>
      </w:pPr>
      <w:r w:rsidRPr="00C424AA">
        <w:rPr>
          <w:rFonts w:ascii="Arial" w:eastAsia="Times New Roman" w:hAnsi="Arial" w:cs="Arial"/>
          <w:b/>
          <w:bCs/>
          <w:sz w:val="28"/>
          <w:szCs w:val="28"/>
          <w:lang w:eastAsia="es-ES"/>
        </w:rPr>
        <w:t xml:space="preserve">b) Oportunidad. </w:t>
      </w:r>
      <w:r w:rsidRPr="00C424AA">
        <w:rPr>
          <w:rFonts w:ascii="Arial" w:eastAsia="Times New Roman" w:hAnsi="Arial" w:cs="Arial"/>
          <w:bCs/>
          <w:sz w:val="28"/>
          <w:szCs w:val="28"/>
          <w:lang w:eastAsia="es-ES"/>
        </w:rPr>
        <w:t>Al haber sido exhibido en el plazo legal, se admite el escrito del compareciente referido, ya que el plazo inició a las catorce horas</w:t>
      </w:r>
      <w:r w:rsidRPr="00C424AA">
        <w:rPr>
          <w:rFonts w:ascii="Arial" w:eastAsia="Times New Roman" w:hAnsi="Arial" w:cs="Arial"/>
          <w:bCs/>
          <w:sz w:val="28"/>
          <w:szCs w:val="27"/>
          <w:lang w:eastAsia="es-ES"/>
        </w:rPr>
        <w:t xml:space="preserve"> con quince minutos del quince de abril de dos mil catorce, y </w:t>
      </w:r>
      <w:r w:rsidRPr="00C424AA">
        <w:rPr>
          <w:rFonts w:ascii="Arial" w:eastAsia="Times New Roman" w:hAnsi="Arial" w:cs="Arial"/>
          <w:sz w:val="28"/>
          <w:szCs w:val="28"/>
          <w:lang w:eastAsia="es-ES"/>
        </w:rPr>
        <w:t>concluyó a la misma hora del día diecisiete de ese mismo mes y año, en tanto que su escrito lo presentó ese día a las trece horas con cincuenta y ocho minutos.</w:t>
      </w:r>
    </w:p>
    <w:p w14:paraId="7F71A058"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bCs/>
          <w:sz w:val="28"/>
          <w:szCs w:val="28"/>
          <w:lang w:val="es-ES" w:eastAsia="es-ES"/>
        </w:rPr>
        <w:t>c) Interés jurídico.</w:t>
      </w:r>
      <w:r w:rsidRPr="00C424AA">
        <w:rPr>
          <w:rFonts w:ascii="Arial" w:eastAsia="Times New Roman" w:hAnsi="Arial" w:cs="Arial"/>
          <w:sz w:val="28"/>
          <w:szCs w:val="28"/>
          <w:lang w:val="es-ES" w:eastAsia="es-ES"/>
        </w:rPr>
        <w:t xml:space="preserve"> La calidad jurídica de tercero interesado, está reservada a los ciudadanos, partidos políticos, coaliciones de partidos, candidatos, organizaciones o agrupaciones políticas o de ciudadanos, </w:t>
      </w:r>
      <w:r w:rsidRPr="00C424AA">
        <w:rPr>
          <w:rFonts w:ascii="Arial" w:eastAsia="Times New Roman" w:hAnsi="Arial" w:cs="Arial"/>
          <w:sz w:val="28"/>
          <w:szCs w:val="28"/>
          <w:lang w:val="es-ES" w:eastAsia="es-ES"/>
        </w:rPr>
        <w:lastRenderedPageBreak/>
        <w:t>que manifiesten tener un interés legítimo en la causa, derivado de un derecho que resulte incompatible con la pretensión de la parte demandante, según lo previsto en el artículo 12, párrafo primero, inciso c), de la Ley General del Sistema de Medios de Impugnación en Materia Electoral.</w:t>
      </w:r>
    </w:p>
    <w:p w14:paraId="45214199" w14:textId="77777777" w:rsidR="00C424AA" w:rsidRPr="00C424AA" w:rsidRDefault="00C424AA" w:rsidP="00C424AA">
      <w:pPr>
        <w:widowControl w:val="0"/>
        <w:autoSpaceDE w:val="0"/>
        <w:autoSpaceDN w:val="0"/>
        <w:adjustRightInd w:val="0"/>
        <w:spacing w:before="240"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el caso, Gilberto Mendoza Cortés comparece ostentándose como Presidente Municipal de Santo Tomás Tamazulapan, Miahuatlán, Oaxaca, al resultar electo en la Asamblea General Comunitaria que tuvo por válida el Consejo General del Instituto Electoral y de Participación Ciudadana de Oaxaca, misma que fue confirmada tanto por el tribunal electoral de dicho Estado, como por la sala regional responsable, lo que hace manifiesta su pretensión de un derecho incompatible con el de los actores, pues la pretensión de los actores es que se declare la nulidad de la asamblea en comento, en tanto que la del tercero interesado consiste en la confirmación de la declaración de validez de la misma.</w:t>
      </w:r>
    </w:p>
    <w:p w14:paraId="27DE62ED"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Consecuentemente, al acreditarse todos los supuestos de procedibilidad indicados por la Ley General del Sistema de Medios de Impugnación en Materia Electoral, se le reconoce el carácter de tercero interesado en este juicio a Gilberto Mendoza Cortés.</w:t>
      </w:r>
    </w:p>
    <w:p w14:paraId="1985D77F"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bCs/>
          <w:sz w:val="28"/>
          <w:szCs w:val="28"/>
          <w:lang w:val="es-ES" w:eastAsia="es-ES"/>
        </w:rPr>
        <w:t xml:space="preserve">CUARTO. </w:t>
      </w:r>
      <w:r w:rsidRPr="00C424AA">
        <w:rPr>
          <w:rFonts w:ascii="Arial" w:eastAsia="Times New Roman" w:hAnsi="Arial" w:cs="Arial"/>
          <w:b/>
          <w:sz w:val="28"/>
          <w:szCs w:val="28"/>
          <w:lang w:val="es-ES" w:eastAsia="es-ES"/>
        </w:rPr>
        <w:t xml:space="preserve">Causales de improcedencia. </w:t>
      </w:r>
      <w:r w:rsidRPr="00C424AA">
        <w:rPr>
          <w:rFonts w:ascii="Arial" w:eastAsia="Times New Roman" w:hAnsi="Arial" w:cs="Arial"/>
          <w:sz w:val="28"/>
          <w:szCs w:val="28"/>
          <w:lang w:val="es-ES" w:eastAsia="es-ES"/>
        </w:rPr>
        <w:t>El tercero interesado hace valer las siguientes causales de improcedencia:</w:t>
      </w:r>
    </w:p>
    <w:p w14:paraId="3EA8DBDC"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sz w:val="28"/>
          <w:szCs w:val="28"/>
          <w:lang w:val="es-ES" w:eastAsia="es-ES"/>
        </w:rPr>
        <w:t xml:space="preserve">a) Extemporaneidad. </w:t>
      </w:r>
      <w:r w:rsidRPr="00C424AA">
        <w:rPr>
          <w:rFonts w:ascii="Arial" w:eastAsia="Times New Roman" w:hAnsi="Arial" w:cs="Arial"/>
          <w:sz w:val="28"/>
          <w:szCs w:val="28"/>
          <w:lang w:val="es-ES" w:eastAsia="es-ES"/>
        </w:rPr>
        <w:t xml:space="preserve">Sustentada en que la demanda fue presentada fuera del plazo de tres días establecido para el recurso de reconsideración. Esta causal es infundada, pues como ya se vio en </w:t>
      </w:r>
      <w:r w:rsidRPr="00C424AA">
        <w:rPr>
          <w:rFonts w:ascii="Arial" w:eastAsia="Times New Roman" w:hAnsi="Arial" w:cs="Arial"/>
          <w:sz w:val="28"/>
          <w:szCs w:val="28"/>
          <w:lang w:val="es-ES" w:eastAsia="es-ES"/>
        </w:rPr>
        <w:lastRenderedPageBreak/>
        <w:t>considerando segundo, inciso b), correspondiente a la oportunidad, por las circunstancias particulares del caso, debe considerarse que la demanda fue presentada de forma oportuna.</w:t>
      </w:r>
    </w:p>
    <w:p w14:paraId="6F074DA7"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sz w:val="28"/>
          <w:szCs w:val="28"/>
          <w:lang w:val="es-ES" w:eastAsia="es-ES"/>
        </w:rPr>
        <w:t xml:space="preserve">b) Incumplimiento del requisito especial de procedencia del recurso de reconsideración. </w:t>
      </w:r>
      <w:r w:rsidRPr="00C424AA">
        <w:rPr>
          <w:rFonts w:ascii="Arial" w:eastAsia="Times New Roman" w:hAnsi="Arial" w:cs="Arial"/>
          <w:sz w:val="28"/>
          <w:szCs w:val="28"/>
          <w:lang w:val="es-ES" w:eastAsia="es-ES"/>
        </w:rPr>
        <w:t>Esta causal de improcedencia también se considera infundada, pues como ya se analizó en el considerando segundo, inciso e), en el caso se la sentencia de la Sala Responsable se violentó la celebración de una elección libre y auténtica, regida por el sistema normativo interno de una comunidad indígena, lo que constituye una afectación al derecho a la libre determinación del pueblo indígena de Santo Tomás Tamazulapan, lo cual es suficiente para tener por cumplido el requisito en comento.</w:t>
      </w:r>
    </w:p>
    <w:p w14:paraId="063AEB7E"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bCs/>
          <w:sz w:val="28"/>
          <w:szCs w:val="28"/>
          <w:lang w:val="es-ES" w:eastAsia="es-ES"/>
        </w:rPr>
        <w:t>QUINTO. Estudio de fondo.</w:t>
      </w:r>
      <w:r w:rsidRPr="00C424AA">
        <w:rPr>
          <w:rFonts w:ascii="Arial" w:eastAsia="Times New Roman" w:hAnsi="Arial" w:cs="Arial"/>
          <w:bCs/>
          <w:sz w:val="28"/>
          <w:szCs w:val="28"/>
          <w:lang w:val="es-ES" w:eastAsia="es-ES"/>
        </w:rPr>
        <w:t xml:space="preserve"> La controversia en el presente asunto consiste en determinar si el quince de diciembre de dos mil trece se celebró la asamblea general comunitaria en </w:t>
      </w:r>
      <w:r w:rsidRPr="00C424AA">
        <w:rPr>
          <w:rFonts w:ascii="Arial" w:eastAsia="Times New Roman" w:hAnsi="Arial" w:cs="Arial"/>
          <w:sz w:val="28"/>
          <w:szCs w:val="28"/>
          <w:lang w:val="es-ES" w:eastAsia="es-ES"/>
        </w:rPr>
        <w:t>Santo Tomás Tamazulapan, Miahuatlán, Oaxaca, en la que se eligieron a las autoridades comunitarias de dicho municipio, o si por el contrario, como afirman los actores, la misma se suspendió antes de que fueran electas.</w:t>
      </w:r>
    </w:p>
    <w:p w14:paraId="1D6902F0" w14:textId="77777777" w:rsidR="00C424AA" w:rsidRPr="00C424AA" w:rsidRDefault="00C424AA" w:rsidP="00C424AA">
      <w:pPr>
        <w:spacing w:before="100" w:beforeAutospacing="1" w:after="100" w:afterAutospacing="1" w:line="360" w:lineRule="auto"/>
        <w:jc w:val="both"/>
        <w:rPr>
          <w:rFonts w:ascii="Arial" w:eastAsia="Times New Roman" w:hAnsi="Arial" w:cs="Arial"/>
          <w:bCs/>
          <w:sz w:val="28"/>
          <w:szCs w:val="28"/>
          <w:lang w:val="es-ES" w:eastAsia="es-ES"/>
        </w:rPr>
      </w:pPr>
      <w:r w:rsidRPr="00C424AA">
        <w:rPr>
          <w:rFonts w:ascii="Arial" w:eastAsia="Times New Roman" w:hAnsi="Arial" w:cs="Arial"/>
          <w:bCs/>
          <w:sz w:val="28"/>
          <w:szCs w:val="28"/>
          <w:lang w:val="es-ES" w:eastAsia="es-ES"/>
        </w:rPr>
        <w:t>Al respecto, no existe controversia sobre el inicio de la citada asamblea a las 11:45 horas de la fecha indicada. La controversia radica en si dicha asamblea fue suspendida antes de elegir a las autoridades municipales o si en la misma se realizó la elección de los concejales municipales.</w:t>
      </w:r>
    </w:p>
    <w:p w14:paraId="60A27393" w14:textId="77777777" w:rsidR="00C424AA" w:rsidRPr="00C424AA" w:rsidRDefault="00C424AA" w:rsidP="00C424AA">
      <w:pPr>
        <w:spacing w:before="100" w:beforeAutospacing="1" w:after="100" w:afterAutospacing="1" w:line="360" w:lineRule="auto"/>
        <w:jc w:val="both"/>
        <w:rPr>
          <w:rFonts w:ascii="Arial" w:eastAsia="Times New Roman" w:hAnsi="Arial" w:cs="Arial"/>
          <w:bCs/>
          <w:sz w:val="28"/>
          <w:szCs w:val="28"/>
          <w:lang w:val="es-ES" w:eastAsia="es-ES"/>
        </w:rPr>
      </w:pPr>
      <w:r w:rsidRPr="00C424AA">
        <w:rPr>
          <w:rFonts w:ascii="Arial" w:eastAsia="Times New Roman" w:hAnsi="Arial" w:cs="Arial"/>
          <w:bCs/>
          <w:sz w:val="28"/>
          <w:szCs w:val="28"/>
          <w:lang w:val="es-ES" w:eastAsia="es-ES"/>
        </w:rPr>
        <w:t xml:space="preserve">En efecto, los actores aducen que al momento de realizar las propuestas a candidatos a la presidencia municipal, surgió descontento </w:t>
      </w:r>
      <w:r w:rsidRPr="00C424AA">
        <w:rPr>
          <w:rFonts w:ascii="Arial" w:eastAsia="Times New Roman" w:hAnsi="Arial" w:cs="Arial"/>
          <w:bCs/>
          <w:sz w:val="28"/>
          <w:szCs w:val="28"/>
          <w:lang w:val="es-ES" w:eastAsia="es-ES"/>
        </w:rPr>
        <w:lastRenderedPageBreak/>
        <w:t>y desacuerdo entre los asambleístas, momento en el cual un grupo de personas, encabezados por Gilberto Mendoza Cortés, Antonia Antonio Márquez y Asunción Pérez Ramírez, de forma agresiva, irrumpieron en la asamblea, causando desorden, razón por la cual se decidió suspender dicha asamblea.</w:t>
      </w:r>
    </w:p>
    <w:p w14:paraId="5338A5B1" w14:textId="77777777" w:rsidR="00C424AA" w:rsidRPr="00C424AA" w:rsidRDefault="00C424AA" w:rsidP="00C424AA">
      <w:pPr>
        <w:spacing w:before="100" w:beforeAutospacing="1" w:after="100" w:afterAutospacing="1" w:line="360" w:lineRule="auto"/>
        <w:jc w:val="both"/>
        <w:rPr>
          <w:rFonts w:ascii="Arial" w:eastAsia="Times New Roman" w:hAnsi="Arial" w:cs="Arial"/>
          <w:bCs/>
          <w:sz w:val="28"/>
          <w:szCs w:val="28"/>
          <w:lang w:val="es-ES" w:eastAsia="es-ES"/>
        </w:rPr>
      </w:pPr>
      <w:r w:rsidRPr="00C424AA">
        <w:rPr>
          <w:rFonts w:ascii="Arial" w:eastAsia="Times New Roman" w:hAnsi="Arial" w:cs="Arial"/>
          <w:bCs/>
          <w:sz w:val="28"/>
          <w:szCs w:val="28"/>
          <w:lang w:val="es-ES" w:eastAsia="es-ES"/>
        </w:rPr>
        <w:t>Al respecto, en el expediente de la elección comunitaria obran dos actas de la asamblea general comunitaria celebrada el quince de diciembre de dos mil catorce:</w:t>
      </w:r>
    </w:p>
    <w:p w14:paraId="3F396898"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bCs/>
          <w:sz w:val="28"/>
          <w:szCs w:val="28"/>
          <w:lang w:val="es-ES" w:eastAsia="es-ES"/>
        </w:rPr>
        <w:t>1.</w:t>
      </w:r>
      <w:r w:rsidRPr="00C424AA">
        <w:rPr>
          <w:rFonts w:ascii="Arial" w:eastAsia="Times New Roman" w:hAnsi="Arial" w:cs="Arial"/>
          <w:bCs/>
          <w:sz w:val="28"/>
          <w:szCs w:val="28"/>
          <w:lang w:val="es-ES" w:eastAsia="es-ES"/>
        </w:rPr>
        <w:t xml:space="preserve"> Acta circunstanciada remitida por </w:t>
      </w:r>
      <w:r w:rsidRPr="00C424AA">
        <w:rPr>
          <w:rFonts w:ascii="Arial" w:eastAsia="Times New Roman" w:hAnsi="Arial" w:cs="Arial"/>
          <w:sz w:val="28"/>
          <w:szCs w:val="28"/>
          <w:lang w:val="es-ES" w:eastAsia="es-ES"/>
        </w:rPr>
        <w:t>Constantino Hernández Pinacho, Salomón Pinacho Pérez, Sergio Santos Jerónimo, Imeldo Rosas Jerónimo y Elsa Cortés Pacheco, en su calidad de Presidente Municipal, Síndico Municipal, Regidor de Hacienda, Regidor de Obras y Secretaria Municipal, del municipio de Santo Tomás Tamazulapan, Miahuatlán, Oaxaca, para el período 2011-2013.</w:t>
      </w:r>
      <w:r w:rsidRPr="00C424AA">
        <w:rPr>
          <w:rFonts w:ascii="Arial" w:eastAsia="Times New Roman" w:hAnsi="Arial" w:cs="Arial"/>
          <w:sz w:val="28"/>
          <w:szCs w:val="28"/>
          <w:vertAlign w:val="superscript"/>
          <w:lang w:val="es-ES" w:eastAsia="es-ES"/>
        </w:rPr>
        <w:footnoteReference w:id="3"/>
      </w:r>
    </w:p>
    <w:p w14:paraId="186E5B46"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b/>
          <w:sz w:val="28"/>
          <w:szCs w:val="28"/>
          <w:lang w:val="es-ES" w:eastAsia="es-ES"/>
        </w:rPr>
        <w:t xml:space="preserve">2. </w:t>
      </w:r>
      <w:r w:rsidRPr="00C424AA">
        <w:rPr>
          <w:rFonts w:ascii="Arial" w:eastAsia="Times New Roman" w:hAnsi="Arial" w:cs="Arial"/>
          <w:sz w:val="28"/>
          <w:szCs w:val="28"/>
          <w:lang w:val="es-ES" w:eastAsia="es-ES"/>
        </w:rPr>
        <w:t>Acta circunstanciada remitida por Antonia Antonio Márquez y Asunción Pérez Ramírez, en su calidad de presidenta y secretario de la mesa de los debates de la asamblea general comunitaria celebrada el quince de diciembre de dos mil trece.</w:t>
      </w:r>
    </w:p>
    <w:p w14:paraId="5CB04DEA" w14:textId="77777777" w:rsidR="00C424AA" w:rsidRPr="00C424AA" w:rsidRDefault="00C424AA" w:rsidP="00C424AA">
      <w:pPr>
        <w:widowControl w:val="0"/>
        <w:spacing w:before="100" w:beforeAutospacing="1" w:after="100" w:afterAutospacing="1" w:line="360" w:lineRule="auto"/>
        <w:jc w:val="both"/>
        <w:rPr>
          <w:rFonts w:ascii="Arial" w:eastAsia="Times New Roman" w:hAnsi="Arial" w:cs="Arial"/>
          <w:sz w:val="28"/>
          <w:szCs w:val="28"/>
          <w:lang w:eastAsia="es-MX"/>
        </w:rPr>
      </w:pPr>
      <w:r w:rsidRPr="00C424AA">
        <w:rPr>
          <w:rFonts w:ascii="Arial" w:eastAsia="Times New Roman" w:hAnsi="Arial" w:cs="Arial"/>
          <w:sz w:val="28"/>
          <w:szCs w:val="28"/>
          <w:lang w:eastAsia="es-ES"/>
        </w:rPr>
        <w:t xml:space="preserve">Estas actas constituyen documentales publicas conforme a lo previsto en el artículo 14, párrafo 1, inciso a) y párrafo 4, incisos a), b) y c), con relación al artículo 16, párrafo 1, ambos de la Ley General del Sistema de Medios de Impugnación en Materia Electoral, debido a que se trata de actas elaboradas por autoridades electorales, conforme al sistema </w:t>
      </w:r>
      <w:r w:rsidRPr="00C424AA">
        <w:rPr>
          <w:rFonts w:ascii="Arial" w:eastAsia="Times New Roman" w:hAnsi="Arial" w:cs="Arial"/>
          <w:sz w:val="28"/>
          <w:szCs w:val="28"/>
          <w:lang w:eastAsia="es-ES"/>
        </w:rPr>
        <w:lastRenderedPageBreak/>
        <w:t xml:space="preserve">normativo indígena, levantadas el día de celebración de la asamblea general comunitaria para elegir a los integrantes del Ayuntamiento </w:t>
      </w:r>
      <w:r w:rsidRPr="00C424AA">
        <w:rPr>
          <w:rFonts w:ascii="Arial" w:eastAsia="Times New Roman" w:hAnsi="Arial" w:cs="Arial"/>
          <w:sz w:val="28"/>
          <w:szCs w:val="28"/>
          <w:lang w:eastAsia="es-MX"/>
        </w:rPr>
        <w:t xml:space="preserve">de </w:t>
      </w:r>
      <w:r w:rsidRPr="00C424AA">
        <w:rPr>
          <w:rFonts w:ascii="Arial" w:eastAsia="Times New Roman" w:hAnsi="Arial" w:cs="Arial"/>
          <w:sz w:val="28"/>
          <w:szCs w:val="28"/>
          <w:lang w:val="es-ES" w:eastAsia="es-ES"/>
        </w:rPr>
        <w:t>Santo Tomás Tamazulapan, Miahuatlán, Oaxaca</w:t>
      </w:r>
      <w:r w:rsidRPr="00C424AA">
        <w:rPr>
          <w:rFonts w:ascii="Arial" w:eastAsia="Times New Roman" w:hAnsi="Arial" w:cs="Arial"/>
          <w:sz w:val="28"/>
          <w:szCs w:val="28"/>
          <w:lang w:eastAsia="es-MX"/>
        </w:rPr>
        <w:t>.</w:t>
      </w:r>
    </w:p>
    <w:p w14:paraId="72AA00C4"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El primer punto a dilucidar consiste en determinar si, como lo afirman los actores, la asamblea general comunitaria de referencia fue suspendida válidamente.</w:t>
      </w:r>
    </w:p>
    <w:p w14:paraId="7EEC5B95"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Como ya se mencionó, no existe controversia sobre la instalación de la asamblea general comunitaria a las 11:45 horas del quince de diciembre de dos mil trece, pues tal hecho es aceptado tanto por los actores, como por el tercero interesado.</w:t>
      </w:r>
    </w:p>
    <w:p w14:paraId="4C82510C"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Además, tanto en el acta circunstanciada referida en el punto 1, que es uno de los medios de prueba en el cual los actores sustentan su pretensión, como en la referida en el punto 2, se asienta tal circunstancia.</w:t>
      </w:r>
    </w:p>
    <w:p w14:paraId="3E6C252E"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Ahora bien, la determinación de suspender la asamblea general comunitaria correspondía a la propia asamblea, y no a las autoridades municipales presentes o a la mesa de los debates.</w:t>
      </w:r>
    </w:p>
    <w:p w14:paraId="55DB3E29"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efecto, en los sistemas normativos indígenas la asamblea general comunitaria es el órgano máximo de decisión al cual le corresponde tomar las decisiones que resultan trascendentes para la comunidad, al integrarse como los ciudadanos mayores de edad que se encuentren en ejercicio de sus derechos comunitarios.</w:t>
      </w:r>
    </w:p>
    <w:p w14:paraId="56EC8CAD" w14:textId="77777777" w:rsidR="00C424AA" w:rsidRPr="00C424AA" w:rsidRDefault="00C424AA" w:rsidP="00C424AA">
      <w:pPr>
        <w:widowControl w:val="0"/>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El ejercicio del derecho constitucional a la libre determinación </w:t>
      </w:r>
      <w:r w:rsidRPr="00C424AA">
        <w:rPr>
          <w:rFonts w:ascii="Arial" w:eastAsia="Times New Roman" w:hAnsi="Arial" w:cs="Arial"/>
          <w:sz w:val="28"/>
          <w:szCs w:val="28"/>
          <w:lang w:val="es-ES" w:eastAsia="es-ES"/>
        </w:rPr>
        <w:lastRenderedPageBreak/>
        <w:t xml:space="preserve">reconocido a los pueblos y comunidades indígenas ha sido conceptualizada por diversos intelectuales como la </w:t>
      </w:r>
      <w:r w:rsidRPr="00C424AA">
        <w:rPr>
          <w:rFonts w:ascii="Arial" w:eastAsia="Times New Roman" w:hAnsi="Arial" w:cs="Arial"/>
          <w:i/>
          <w:sz w:val="28"/>
          <w:szCs w:val="28"/>
          <w:lang w:val="es-ES" w:eastAsia="es-ES"/>
        </w:rPr>
        <w:t>teoría de la comunalidad</w:t>
      </w:r>
      <w:r w:rsidRPr="00C424AA">
        <w:rPr>
          <w:rFonts w:ascii="Arial" w:eastAsia="Times New Roman" w:hAnsi="Arial" w:cs="Arial"/>
          <w:sz w:val="28"/>
          <w:szCs w:val="28"/>
          <w:lang w:val="es-ES" w:eastAsia="es-ES"/>
        </w:rPr>
        <w:t>.</w:t>
      </w:r>
    </w:p>
    <w:p w14:paraId="4BDDA443" w14:textId="77777777" w:rsidR="00C424AA" w:rsidRPr="00C424AA" w:rsidRDefault="00C424AA" w:rsidP="00C424AA">
      <w:pPr>
        <w:widowControl w:val="0"/>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La </w:t>
      </w:r>
      <w:r w:rsidRPr="00C424AA">
        <w:rPr>
          <w:rFonts w:ascii="Arial" w:eastAsia="Times New Roman" w:hAnsi="Arial" w:cs="Arial"/>
          <w:i/>
          <w:sz w:val="28"/>
          <w:szCs w:val="28"/>
          <w:lang w:val="es-ES" w:eastAsia="es-ES"/>
        </w:rPr>
        <w:t xml:space="preserve">comunalidad </w:t>
      </w:r>
      <w:r w:rsidRPr="00C424AA">
        <w:rPr>
          <w:rFonts w:ascii="Arial" w:eastAsia="Times New Roman" w:hAnsi="Arial" w:cs="Arial"/>
          <w:sz w:val="28"/>
          <w:szCs w:val="28"/>
          <w:lang w:val="es-ES" w:eastAsia="es-ES"/>
        </w:rPr>
        <w:t>es la forma en la cual los pueblos indígenas entienden el ejercicio de la autodeterminación en sus comunidades, y el diseño que éstos se han dado al interior.</w:t>
      </w:r>
      <w:r w:rsidRPr="00C424AA">
        <w:rPr>
          <w:rFonts w:ascii="Arial" w:eastAsia="Times New Roman" w:hAnsi="Arial" w:cs="Arial"/>
          <w:sz w:val="28"/>
          <w:szCs w:val="28"/>
          <w:vertAlign w:val="superscript"/>
          <w:lang w:val="es-ES" w:eastAsia="es-ES"/>
        </w:rPr>
        <w:footnoteReference w:id="4"/>
      </w:r>
    </w:p>
    <w:p w14:paraId="10F368E6"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Conforme a Floriberto Díaz Gomez, los elementos de la </w:t>
      </w:r>
      <w:r w:rsidRPr="00C424AA">
        <w:rPr>
          <w:rFonts w:ascii="Arial" w:eastAsia="Times New Roman" w:hAnsi="Arial" w:cs="Arial"/>
          <w:i/>
          <w:sz w:val="28"/>
          <w:szCs w:val="28"/>
          <w:lang w:val="es-ES" w:eastAsia="es-ES"/>
        </w:rPr>
        <w:t>comunalidad</w:t>
      </w:r>
      <w:r w:rsidRPr="00C424AA">
        <w:rPr>
          <w:rFonts w:ascii="Arial" w:eastAsia="Times New Roman" w:hAnsi="Arial" w:cs="Arial"/>
          <w:sz w:val="28"/>
          <w:szCs w:val="28"/>
          <w:lang w:val="es-ES" w:eastAsia="es-ES"/>
        </w:rPr>
        <w:t xml:space="preserve"> son los siguientes:</w:t>
      </w:r>
      <w:r w:rsidRPr="00C424AA">
        <w:rPr>
          <w:rFonts w:ascii="Arial" w:eastAsia="Times New Roman" w:hAnsi="Arial" w:cs="Arial"/>
          <w:sz w:val="28"/>
          <w:szCs w:val="28"/>
          <w:vertAlign w:val="superscript"/>
          <w:lang w:val="es-ES" w:eastAsia="es-ES"/>
        </w:rPr>
        <w:footnoteReference w:id="5"/>
      </w:r>
    </w:p>
    <w:p w14:paraId="650BE8C3" w14:textId="77777777" w:rsidR="00C424AA" w:rsidRPr="00C424AA" w:rsidRDefault="00C424AA" w:rsidP="00C424AA">
      <w:pPr>
        <w:numPr>
          <w:ilvl w:val="0"/>
          <w:numId w:val="3"/>
        </w:numPr>
        <w:spacing w:before="100" w:beforeAutospacing="1" w:after="100" w:afterAutospacing="1" w:line="360" w:lineRule="auto"/>
        <w:contextualSpacing/>
        <w:jc w:val="both"/>
        <w:rPr>
          <w:rFonts w:ascii="Arial" w:eastAsia="Times New Roman" w:hAnsi="Arial" w:cs="Arial"/>
          <w:i/>
          <w:sz w:val="28"/>
          <w:szCs w:val="28"/>
          <w:lang w:val="es-ES" w:eastAsia="es-ES"/>
        </w:rPr>
      </w:pPr>
      <w:r w:rsidRPr="00C424AA">
        <w:rPr>
          <w:rFonts w:ascii="Arial" w:eastAsia="Times New Roman" w:hAnsi="Arial" w:cs="Arial"/>
          <w:i/>
          <w:sz w:val="28"/>
          <w:szCs w:val="28"/>
          <w:lang w:val="es-ES" w:eastAsia="es-ES"/>
        </w:rPr>
        <w:t>La Tierra, como Madre y como territorio</w:t>
      </w:r>
    </w:p>
    <w:p w14:paraId="14ED7D4C" w14:textId="77777777" w:rsidR="00C424AA" w:rsidRPr="00C424AA" w:rsidRDefault="00C424AA" w:rsidP="00C424AA">
      <w:pPr>
        <w:numPr>
          <w:ilvl w:val="0"/>
          <w:numId w:val="3"/>
        </w:numPr>
        <w:spacing w:before="100" w:beforeAutospacing="1" w:after="100" w:afterAutospacing="1" w:line="360" w:lineRule="auto"/>
        <w:contextualSpacing/>
        <w:jc w:val="both"/>
        <w:rPr>
          <w:rFonts w:ascii="Arial" w:eastAsia="Times New Roman" w:hAnsi="Arial" w:cs="Arial"/>
          <w:i/>
          <w:sz w:val="28"/>
          <w:szCs w:val="28"/>
          <w:lang w:val="es-ES" w:eastAsia="es-ES"/>
        </w:rPr>
      </w:pPr>
      <w:r w:rsidRPr="00C424AA">
        <w:rPr>
          <w:rFonts w:ascii="Arial" w:eastAsia="Times New Roman" w:hAnsi="Arial" w:cs="Arial"/>
          <w:i/>
          <w:sz w:val="28"/>
          <w:szCs w:val="28"/>
          <w:lang w:val="es-ES" w:eastAsia="es-ES"/>
        </w:rPr>
        <w:t>El consenso en Asamblea para la toma de decisiones.</w:t>
      </w:r>
    </w:p>
    <w:p w14:paraId="75EC9B22" w14:textId="77777777" w:rsidR="00C424AA" w:rsidRPr="00C424AA" w:rsidRDefault="00C424AA" w:rsidP="00C424AA">
      <w:pPr>
        <w:numPr>
          <w:ilvl w:val="0"/>
          <w:numId w:val="3"/>
        </w:numPr>
        <w:spacing w:before="100" w:beforeAutospacing="1" w:after="100" w:afterAutospacing="1" w:line="360" w:lineRule="auto"/>
        <w:contextualSpacing/>
        <w:jc w:val="both"/>
        <w:rPr>
          <w:rFonts w:ascii="Arial" w:eastAsia="Times New Roman" w:hAnsi="Arial" w:cs="Arial"/>
          <w:i/>
          <w:sz w:val="28"/>
          <w:szCs w:val="28"/>
          <w:lang w:val="es-ES" w:eastAsia="es-ES"/>
        </w:rPr>
      </w:pPr>
      <w:r w:rsidRPr="00C424AA">
        <w:rPr>
          <w:rFonts w:ascii="Arial" w:eastAsia="Times New Roman" w:hAnsi="Arial" w:cs="Arial"/>
          <w:i/>
          <w:sz w:val="28"/>
          <w:szCs w:val="28"/>
          <w:lang w:val="es-ES" w:eastAsia="es-ES"/>
        </w:rPr>
        <w:t>El servicio gratuito, como ejercicio de autoridad.</w:t>
      </w:r>
    </w:p>
    <w:p w14:paraId="11084EFB" w14:textId="77777777" w:rsidR="00C424AA" w:rsidRPr="00C424AA" w:rsidRDefault="00C424AA" w:rsidP="00C424AA">
      <w:pPr>
        <w:numPr>
          <w:ilvl w:val="0"/>
          <w:numId w:val="3"/>
        </w:numPr>
        <w:spacing w:before="100" w:beforeAutospacing="1" w:after="100" w:afterAutospacing="1" w:line="360" w:lineRule="auto"/>
        <w:contextualSpacing/>
        <w:jc w:val="both"/>
        <w:rPr>
          <w:rFonts w:ascii="Arial" w:eastAsia="Times New Roman" w:hAnsi="Arial" w:cs="Arial"/>
          <w:i/>
          <w:sz w:val="28"/>
          <w:szCs w:val="28"/>
          <w:lang w:val="es-ES" w:eastAsia="es-ES"/>
        </w:rPr>
      </w:pPr>
      <w:r w:rsidRPr="00C424AA">
        <w:rPr>
          <w:rFonts w:ascii="Arial" w:eastAsia="Times New Roman" w:hAnsi="Arial" w:cs="Arial"/>
          <w:i/>
          <w:sz w:val="28"/>
          <w:szCs w:val="28"/>
          <w:lang w:val="es-ES" w:eastAsia="es-ES"/>
        </w:rPr>
        <w:t>El trabajo colectivo, como un acto de recreación.</w:t>
      </w:r>
    </w:p>
    <w:p w14:paraId="06CAAEC1" w14:textId="77777777" w:rsidR="00C424AA" w:rsidRPr="00C424AA" w:rsidRDefault="00C424AA" w:rsidP="00C424AA">
      <w:pPr>
        <w:numPr>
          <w:ilvl w:val="0"/>
          <w:numId w:val="3"/>
        </w:numPr>
        <w:spacing w:before="100" w:beforeAutospacing="1" w:after="100" w:afterAutospacing="1" w:line="360" w:lineRule="auto"/>
        <w:contextualSpacing/>
        <w:jc w:val="both"/>
        <w:rPr>
          <w:rFonts w:ascii="Arial" w:eastAsia="Times New Roman" w:hAnsi="Arial" w:cs="Arial"/>
          <w:i/>
          <w:sz w:val="28"/>
          <w:szCs w:val="28"/>
          <w:lang w:val="es-ES" w:eastAsia="es-ES"/>
        </w:rPr>
      </w:pPr>
      <w:r w:rsidRPr="00C424AA">
        <w:rPr>
          <w:rFonts w:ascii="Arial" w:eastAsia="Times New Roman" w:hAnsi="Arial" w:cs="Arial"/>
          <w:i/>
          <w:sz w:val="28"/>
          <w:szCs w:val="28"/>
          <w:lang w:val="es-ES" w:eastAsia="es-ES"/>
        </w:rPr>
        <w:t>Los ritos y ceremonias, como expresión del don comunal.</w:t>
      </w:r>
    </w:p>
    <w:p w14:paraId="289EE51A"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este mismo sentido, Juan Jose Rendón Monzón considera que los elementos fundamentales son el territorio comunal, el trabajo comunal, el poder político comunal, la fiesta comunal y la asamblea comunal.</w:t>
      </w:r>
      <w:r w:rsidRPr="00C424AA">
        <w:rPr>
          <w:rFonts w:ascii="Arial" w:eastAsia="Times New Roman" w:hAnsi="Arial" w:cs="Arial"/>
          <w:sz w:val="28"/>
          <w:szCs w:val="28"/>
          <w:vertAlign w:val="superscript"/>
          <w:lang w:val="es-ES" w:eastAsia="es-ES"/>
        </w:rPr>
        <w:footnoteReference w:id="6"/>
      </w:r>
    </w:p>
    <w:p w14:paraId="72C7D8C1"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Dicho autor define a la asamblea comunal como la instancia en donde la voluntad comunal cobra forma, mediante la deliberación y la toma de decisiones, a las que ordinariamente se llega por consenso y se encarga de atender todos los asuntos que atañen a la vida comunal, relativos al </w:t>
      </w:r>
      <w:r w:rsidRPr="00C424AA">
        <w:rPr>
          <w:rFonts w:ascii="Arial" w:eastAsia="Times New Roman" w:hAnsi="Arial" w:cs="Arial"/>
          <w:sz w:val="28"/>
          <w:szCs w:val="28"/>
          <w:lang w:val="es-ES" w:eastAsia="es-ES"/>
        </w:rPr>
        <w:lastRenderedPageBreak/>
        <w:t>territorio, al poder político, al trabajo colectivo, la fiesta comunal, o cualquier otro relacionado como la vida de la comunidad.</w:t>
      </w:r>
      <w:r w:rsidRPr="00C424AA">
        <w:rPr>
          <w:rFonts w:ascii="Arial" w:eastAsia="Times New Roman" w:hAnsi="Arial" w:cs="Arial"/>
          <w:sz w:val="28"/>
          <w:szCs w:val="28"/>
          <w:vertAlign w:val="superscript"/>
          <w:lang w:val="es-ES" w:eastAsia="es-ES"/>
        </w:rPr>
        <w:footnoteReference w:id="7"/>
      </w:r>
    </w:p>
    <w:p w14:paraId="77D35ACC"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las asambleas se elige al poder político comunal, como encargados de ejercer la voluntad de la comunidad, a través de los sistemas de cargos, que comprenden autoridades, comisiones y comités, tanto civiles como religiosos.</w:t>
      </w:r>
      <w:r w:rsidRPr="00C424AA">
        <w:rPr>
          <w:rFonts w:ascii="Arial" w:eastAsia="Times New Roman" w:hAnsi="Arial" w:cs="Arial"/>
          <w:sz w:val="28"/>
          <w:szCs w:val="28"/>
          <w:vertAlign w:val="superscript"/>
          <w:lang w:val="es-ES" w:eastAsia="es-ES"/>
        </w:rPr>
        <w:footnoteReference w:id="8"/>
      </w:r>
    </w:p>
    <w:p w14:paraId="024F3987"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Para Jaime Martínez Luna en la asamblea general es uno de los ejercicios más claros de autodeterminación indígena, a través de una organización de forma tal que la instancia de participación es clara y precisa.</w:t>
      </w:r>
      <w:r w:rsidRPr="00C424AA">
        <w:rPr>
          <w:rFonts w:ascii="Arial" w:eastAsia="Times New Roman" w:hAnsi="Arial" w:cs="Arial"/>
          <w:sz w:val="28"/>
          <w:szCs w:val="28"/>
          <w:vertAlign w:val="superscript"/>
          <w:lang w:val="es-ES" w:eastAsia="es-ES"/>
        </w:rPr>
        <w:footnoteReference w:id="9"/>
      </w:r>
    </w:p>
    <w:p w14:paraId="345E956F"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Al respecto menciona:</w:t>
      </w:r>
    </w:p>
    <w:p w14:paraId="2B978F4E" w14:textId="77777777" w:rsidR="00C424AA" w:rsidRPr="00C424AA" w:rsidRDefault="00C424AA" w:rsidP="00C424AA">
      <w:pPr>
        <w:spacing w:before="100" w:beforeAutospacing="1" w:after="100" w:afterAutospacing="1" w:line="240" w:lineRule="auto"/>
        <w:ind w:left="850" w:right="283"/>
        <w:jc w:val="both"/>
        <w:rPr>
          <w:rFonts w:ascii="Arial" w:eastAsia="Times New Roman" w:hAnsi="Arial" w:cs="Arial"/>
          <w:i/>
          <w:sz w:val="28"/>
          <w:szCs w:val="28"/>
          <w:lang w:val="es-ES" w:eastAsia="es-ES"/>
        </w:rPr>
      </w:pPr>
      <w:r w:rsidRPr="00C424AA">
        <w:rPr>
          <w:rFonts w:ascii="Arial" w:eastAsia="Times New Roman" w:hAnsi="Arial" w:cs="Arial"/>
          <w:i/>
          <w:sz w:val="28"/>
          <w:szCs w:val="28"/>
          <w:lang w:val="es-ES" w:eastAsia="es-ES"/>
        </w:rPr>
        <w:t xml:space="preserve">La asamblea es la máxima autoridad en la comunidad, es la reunión de todos los jefes de familia, en la que intervienen también mujeres. En ella participan los mismo silentes que parlantes, lo mismo trabajadores del campo que artesanos y profesionales. En la asamblea se trabaja siempre por consenso, aunque en muchos casos y por cuestiones prácticas se use el mayoriteo. La elección de autoridades no refleja ninguna intención o lineamiento partidista, se fundamenta en el prestigio y éste en el trabajo. </w:t>
      </w:r>
    </w:p>
    <w:p w14:paraId="706174DB"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Lo anterior pone de relieve que conforme a la cosmovisión de los pueblos y comunidades indígenas, así como conforme a su derecho ancestral, la asamblea general comunitaria es el máximo órgano de </w:t>
      </w:r>
      <w:r w:rsidRPr="00C424AA">
        <w:rPr>
          <w:rFonts w:ascii="Arial" w:eastAsia="Times New Roman" w:hAnsi="Arial" w:cs="Arial"/>
          <w:sz w:val="28"/>
          <w:szCs w:val="28"/>
          <w:lang w:val="es-ES" w:eastAsia="es-ES"/>
        </w:rPr>
        <w:lastRenderedPageBreak/>
        <w:t>decisión al interior de la comunidad, al cual le corresponde adoptar las decisiones que resulten trascendentes para la comunidad.</w:t>
      </w:r>
    </w:p>
    <w:p w14:paraId="65CCE75F"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Por tanto, la decisión de suspender la asamblea general comunitaria de quince de diciembre de dos mil trece correspondía a la propia asamblea.</w:t>
      </w:r>
    </w:p>
    <w:p w14:paraId="00D5246C"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Sin embargo, en autos no obra ningún medio de prueba con el cual se demuestre tal circunstancia.</w:t>
      </w:r>
    </w:p>
    <w:p w14:paraId="0BE2EED9"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efecto, en el acta circunstanciada de la asamblea exhibida ante la autoridad administrativa electoral local, una vez que fue nombrada la mesa de debates, se asentó lo siguiente:</w:t>
      </w:r>
    </w:p>
    <w:p w14:paraId="1BF1A35F"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w:t>
      </w:r>
    </w:p>
    <w:p w14:paraId="20153CC2"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Una vez nombrada la mesa de debates el Presidente Municipal según nuestros usos y costumbres se le delegaron a esta mesa de debates el nombramiento de los concejales para lo cual fue electa. Aclarando el Presidente Municipal que en ese momento se retiraba con su cabildo para no entorpecer los trabajos de la elección.</w:t>
      </w:r>
    </w:p>
    <w:p w14:paraId="69C89403"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4EE31BC1"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Acto seguido el Presidente de la mesa de debates puso a consideración de la asamblea la forma de elección, después de algunas participaciones se acordó que se utilizaría la opción múltiple, iniciando a recibir las propuestas a candidatos, los cuales fueron las siguientes personas:</w:t>
      </w:r>
    </w:p>
    <w:p w14:paraId="79ACA968"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6FEBE301" w14:textId="77777777" w:rsidR="00C424AA" w:rsidRPr="00C424AA" w:rsidRDefault="00C424AA" w:rsidP="00C424AA">
      <w:pPr>
        <w:numPr>
          <w:ilvl w:val="0"/>
          <w:numId w:val="6"/>
        </w:numPr>
        <w:spacing w:after="200" w:line="240" w:lineRule="auto"/>
        <w:ind w:left="1701" w:right="283"/>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Simeón Márquez Nolasco.</w:t>
      </w:r>
    </w:p>
    <w:p w14:paraId="477090AE" w14:textId="77777777" w:rsidR="00C424AA" w:rsidRPr="00C424AA" w:rsidRDefault="00C424AA" w:rsidP="00C424AA">
      <w:pPr>
        <w:numPr>
          <w:ilvl w:val="0"/>
          <w:numId w:val="6"/>
        </w:numPr>
        <w:spacing w:after="200" w:line="240" w:lineRule="auto"/>
        <w:ind w:left="1701" w:right="283"/>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Mauro Márquez Pinacho</w:t>
      </w:r>
    </w:p>
    <w:p w14:paraId="446B2BAB" w14:textId="77777777" w:rsidR="00C424AA" w:rsidRPr="00C424AA" w:rsidRDefault="00C424AA" w:rsidP="00C424AA">
      <w:pPr>
        <w:numPr>
          <w:ilvl w:val="0"/>
          <w:numId w:val="6"/>
        </w:numPr>
        <w:spacing w:after="200" w:line="240" w:lineRule="auto"/>
        <w:ind w:left="1701" w:right="283"/>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Ortencio Santos Márquez</w:t>
      </w:r>
    </w:p>
    <w:p w14:paraId="5E770B66" w14:textId="77777777" w:rsidR="00C424AA" w:rsidRPr="00C424AA" w:rsidRDefault="00C424AA" w:rsidP="00C424AA">
      <w:pPr>
        <w:numPr>
          <w:ilvl w:val="0"/>
          <w:numId w:val="6"/>
        </w:numPr>
        <w:spacing w:after="200" w:line="240" w:lineRule="auto"/>
        <w:ind w:left="1701" w:right="283"/>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Pablo Mendoza Ramírez</w:t>
      </w:r>
    </w:p>
    <w:p w14:paraId="17FD1E73" w14:textId="77777777" w:rsidR="00C424AA" w:rsidRPr="00C424AA" w:rsidRDefault="00C424AA" w:rsidP="00C424AA">
      <w:pPr>
        <w:numPr>
          <w:ilvl w:val="0"/>
          <w:numId w:val="6"/>
        </w:numPr>
        <w:spacing w:after="200" w:line="240" w:lineRule="auto"/>
        <w:ind w:left="1701" w:right="283"/>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Gilberto Mendoza Cortes.</w:t>
      </w:r>
    </w:p>
    <w:p w14:paraId="6485E5CF"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Con esta última propuesta del C. Gilberto Mendoza Cortes surgió el descontento y desacuerdo por parte varios asambleístas porque no se respetaron los acuerdos previos sobre los requisitos que debían reunir el candidato a </w:t>
      </w:r>
      <w:r w:rsidRPr="00C424AA">
        <w:rPr>
          <w:rFonts w:ascii="Arial" w:eastAsia="Times New Roman" w:hAnsi="Arial" w:cs="Arial"/>
          <w:sz w:val="28"/>
          <w:szCs w:val="28"/>
          <w:lang w:val="es-ES" w:eastAsia="es-ES"/>
        </w:rPr>
        <w:lastRenderedPageBreak/>
        <w:t>Presidente Municipal, lo cual había sido votado y aprobado por la asamblea como ya se dijo al inicio de esta acta.</w:t>
      </w:r>
    </w:p>
    <w:p w14:paraId="7FCE33B3"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24A263BF"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medio de tanta discusión los nombrados para la mesa de debates Secretario, Presidente y la mayoría de los escrutadores, optaron por retirarse y abandonar sus actividades de conducir la asamblea que se estaba realizando quedando así abandonada la asamblea.</w:t>
      </w:r>
    </w:p>
    <w:p w14:paraId="04D96AD6"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23E43C0E"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Entre tanta confusión la C. Antonia Antonio Márquez y un grupo no mayor a cien personas, se apoderaron de la mesa y el aparato de sonido, para que a propuesta y decisión de ellos se llevara a cabo con las pocas personas que se encontraban presentes a la elección de la nueva autoridad.</w:t>
      </w:r>
    </w:p>
    <w:p w14:paraId="05E0B44A"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18712E23"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Actividades de la cuales la Autoridad Municipal en funciones desconoce el resultado, debido a que en ese momento el cabildo ya no se encontraba presente por haberse retirado tiempo antes a sus oficinas. </w:t>
      </w:r>
    </w:p>
    <w:p w14:paraId="4903B17B"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2DBCA170"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Lo que manifestamos en la presente para conocimiento de quien corresponda y se actúe en consecuencia.</w:t>
      </w:r>
    </w:p>
    <w:p w14:paraId="388A12CA"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23FFA5B4"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Aclarando que como la mayoría de los que habían sido electos por la asamblea para integrar la mesa de debates ya se habían retirado y es el motivo por el que no aparecen las firmas correspondientes.</w:t>
      </w:r>
    </w:p>
    <w:p w14:paraId="2184A776"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p>
    <w:p w14:paraId="79190EC3" w14:textId="77777777" w:rsidR="00C424AA" w:rsidRPr="00C424AA" w:rsidRDefault="00C424AA" w:rsidP="00C424AA">
      <w:pPr>
        <w:spacing w:after="0" w:line="240" w:lineRule="auto"/>
        <w:ind w:left="850" w:right="283"/>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Por lo tanto dichos trabajos no se pudieron clausurar por parte del Presidente Municipal.</w:t>
      </w:r>
    </w:p>
    <w:p w14:paraId="5158582F"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De lo anterior se advierte lo siguiente:</w:t>
      </w:r>
    </w:p>
    <w:p w14:paraId="453BDAF7" w14:textId="77777777" w:rsidR="00C424AA" w:rsidRPr="00C424AA" w:rsidRDefault="00C424AA" w:rsidP="00C424AA">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Ante la propuesta de Gilberto Mendoza Cortés existió desacuerdo por parte de varios asambleístas, por considerar que no se respetaban los acuerdos previos relacionados con los requisitos para ser candidato a presidente municipal.</w:t>
      </w:r>
    </w:p>
    <w:p w14:paraId="244C120B" w14:textId="77777777" w:rsidR="00C424AA" w:rsidRPr="00C424AA" w:rsidRDefault="00C424AA" w:rsidP="00C424AA">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lastRenderedPageBreak/>
        <w:t>Por las discusiones originadas el presidente, el secretario, la mayoría de los escrutadores de la mesa de los debates abandonaron la asamblea.</w:t>
      </w:r>
    </w:p>
    <w:p w14:paraId="155D0172" w14:textId="77777777" w:rsidR="00C424AA" w:rsidRPr="00C424AA" w:rsidRDefault="00C424AA" w:rsidP="00C424AA">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Asimismo, el cabildo también se ausentó de la asamblea general comunitaria.</w:t>
      </w:r>
    </w:p>
    <w:p w14:paraId="2C0D36E6" w14:textId="77777777" w:rsidR="00C424AA" w:rsidRPr="00C424AA" w:rsidRDefault="00C424AA" w:rsidP="00C424AA">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Un grupo de ciudadanos continuaron con la asamblea, resultados que son desconocidos por la autoridad municipal.</w:t>
      </w:r>
    </w:p>
    <w:p w14:paraId="11FFF025"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Por tanto, contrariamente a lo sustentado por lo actores, no se advierte la existencia de una determinación adoptada por la asamblea general comunitaria para suspenderla, pues al respecto no se hizo referencia alguna en el acta en comento.</w:t>
      </w:r>
    </w:p>
    <w:p w14:paraId="22AC8612"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Asimismo, el hecho de que la mayoría de los integrantes de la mesa de los debates se hubiera retirado de la asamblea, tampoco se traduce en la suspensión de la asamblea, si se tiene en cuenta que se trata de un órgano auxiliar de la propia asamblea, cuya finalidad consiste en realizar el cómputo de los votos, a fin de estar condiciones de conocer la voluntad del máximo órgano de decisión.</w:t>
      </w:r>
    </w:p>
    <w:p w14:paraId="4FA03715"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el mismo sentido, el hecho de que la autoridad municipal se hubiera ausentado y desconozca el resultado de una asamblea general no es suficiente para restar efectos a la misma, pues si bien el presidente municipal cuenta con facultades para convocar a la asamblea, una vez que ésta se instala, se convierte en la máxima autoridad comunal, cuyos acuerdos no están sujetos a confirmación o ratificación del presidente o del cabildo.</w:t>
      </w:r>
    </w:p>
    <w:p w14:paraId="506DF29A"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lastRenderedPageBreak/>
        <w:t>Ahora bien, como ya se dijo, existe diversa acta circunstanciada, en la cual existe coincidencia con la anterior hasta el abandono de la asamblea por parte de cuarto integrantes de la mesa de los debates.</w:t>
      </w:r>
    </w:p>
    <w:p w14:paraId="2500CCD9"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efecto, ambas actas son coincidentes en lo siguiente:</w:t>
      </w:r>
    </w:p>
    <w:p w14:paraId="2ABF5E93"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Instalación de la asamblea general a las 11:45 horas del quince de diciembre de dos mil trece.</w:t>
      </w:r>
    </w:p>
    <w:p w14:paraId="0A9BFAA8"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Pase de lista de 307 ciudadanos, por lo que existió quórum legal de la misma.</w:t>
      </w:r>
    </w:p>
    <w:p w14:paraId="1CEBBCED"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Presentación a la Asamblea por parte de Constantino Hernández Pinacho de los requisitos para ser candidatos a concejales.</w:t>
      </w:r>
    </w:p>
    <w:p w14:paraId="1ABB84ED"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Modificación de los requisitos presentados por el presidente municipal, pues se modificó el requisito relativo a ser ciudadano mayor de 50 años, para quedar a ser mayor de 20.</w:t>
      </w:r>
    </w:p>
    <w:p w14:paraId="26E72DC0"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Designación de la mesa de los debates de la siguiente forma: como presidente Espiridión Pacheco Mendoza Adán Pinacho Marquez como secretario y como escrutadores Marcial Alejandro Pinacho Cortés, Cleotilde Cortés Cortés, Margarita Pinacho Cortés, Julián Pinacho Mendoza, Cristina Pinacho Hernández y Romualda Santos Pacheco.</w:t>
      </w:r>
    </w:p>
    <w:p w14:paraId="0DD2D454"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Aprobación del método de elección mediante opción múltiple para la elección de propietarios y los suplentes mediante terna.</w:t>
      </w:r>
    </w:p>
    <w:p w14:paraId="6C28491E"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Aceptación de propuestas a candidatos a la presidencia municipal: Simeón Márquez Nolasco, Mauro Márquez Pinacho, Hortencio Santos Márquez, Pablo Mendoza Ramírez y Gilberto Mendoza Cortés.</w:t>
      </w:r>
    </w:p>
    <w:p w14:paraId="608A035A"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lastRenderedPageBreak/>
        <w:t>Inconformidad por algunos asambleístas por la postulación de Gilberto Mendoza Cortés, lo cual desató discusiones entre los mismos.</w:t>
      </w:r>
    </w:p>
    <w:p w14:paraId="29AF6C7D" w14:textId="77777777" w:rsidR="00C424AA" w:rsidRPr="00C424AA" w:rsidRDefault="00C424AA" w:rsidP="00C424AA">
      <w:pPr>
        <w:numPr>
          <w:ilvl w:val="0"/>
          <w:numId w:val="5"/>
        </w:numPr>
        <w:spacing w:before="100" w:beforeAutospacing="1" w:after="100" w:afterAutospacing="1" w:line="360" w:lineRule="auto"/>
        <w:contextualSpacing/>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Abandono de la asamblea por parte del presidente y secretario de la mesa de los debates, así como de dos escrutadores.</w:t>
      </w:r>
    </w:p>
    <w:p w14:paraId="49E1B440"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Ahora bien, en el acta referida en el punto número 2 se refiere que se hizo un nuevo pase de lista, que tuvo como resultado 292 comuneros presentes, y que por mayoría de votos, la asamblea general decidió sustituir a los integrantes de la mesa de debates que se habían retirado y continuar con la elección de los miembros del cabildo.</w:t>
      </w:r>
    </w:p>
    <w:p w14:paraId="72CCE7F8"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Lo anterior pone de relieve que únicamente 15 comuneros se retiraron de la asamblea, lo que equivale al 4.89%, razón por la cual el porcentaje de comuneros que se retiró fue mínimo, por lo que no afectó la validez de la asamblea.</w:t>
      </w:r>
    </w:p>
    <w:p w14:paraId="39EC0470"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Asimismo, el hecho de que algunos integrantes de la mesa de los debates y otros ciudadanos se hubieran retirado, así como el nuevo pase de asistencia y la sustitución de los miembros de dicha mesa que se ausentaron interrumpió de manera provisional el desarrollo ordinario de la asamblea, lo cierto es que no trascendieron en grado tal que tuviera como resultado la suspensión definitiva, de la propia asamblea.</w:t>
      </w:r>
    </w:p>
    <w:p w14:paraId="2E731388"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Igualmente, debe tenerse en cuenta que tales sucesos ocurrieron con anterioridad a la elección de los integrantes del cabido municipal, pues apenas se encontraban en la etapa correspondiente a la postulación de candidatos a la presidencia municipal, por lo que no existe ninguna duda </w:t>
      </w:r>
      <w:r w:rsidRPr="00C424AA">
        <w:rPr>
          <w:rFonts w:ascii="Arial" w:eastAsia="Times New Roman" w:hAnsi="Arial" w:cs="Arial"/>
          <w:sz w:val="28"/>
          <w:szCs w:val="28"/>
          <w:lang w:val="es-ES" w:eastAsia="es-ES"/>
        </w:rPr>
        <w:lastRenderedPageBreak/>
        <w:t>sobre la voluntad de la asamblea general comunitaria en relación con las candidaturas que finalmente resultaron electas.</w:t>
      </w:r>
    </w:p>
    <w:p w14:paraId="0FC10FE4"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Por tanto, las pruebas antes valoradas ponen en evidencia que la voluntad de la asamblea general comunitaria fue continuar con el proceso electivo iniciado, a pesar de la ausencia de los integrantes de la mesa de los debates y la oposición de los miembros del ayuntamiento a tal circunstancia.</w:t>
      </w:r>
    </w:p>
    <w:p w14:paraId="7C8B5C3D"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cambio, como ya se refirió, en el caso no se encuentra demostrado que la asamblea general comunitaria hubiera determinado su suspensión, tal como lo consideran los actores.</w:t>
      </w:r>
    </w:p>
    <w:p w14:paraId="095E9C21"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Como ya se dijo, no es obstáculo para lo anterior ni la ausencia de algunos miembros de la mesa de los debates, ni la oposición del cabildo que en ese momento se encontraba en funciones, pues la asamblea general comunitaria, en su carácter de máximo órgano de decisión al interior de la comunidad, se encontraba facultada para adoptar las decisiones de sustituir a los faltantes de la mesa de los debates y a continuar con el proceso electivo.</w:t>
      </w:r>
    </w:p>
    <w:p w14:paraId="0D985D28" w14:textId="77777777" w:rsidR="00C424AA" w:rsidRPr="00C424AA" w:rsidRDefault="00C424AA" w:rsidP="00C424AA">
      <w:pPr>
        <w:spacing w:before="100" w:beforeAutospacing="1" w:after="100" w:afterAutospacing="1" w:line="360" w:lineRule="auto"/>
        <w:jc w:val="both"/>
        <w:rPr>
          <w:rFonts w:ascii="Arial" w:eastAsia="Arial Unicode MS" w:hAnsi="Arial" w:cs="Arial"/>
          <w:sz w:val="28"/>
          <w:szCs w:val="28"/>
          <w:lang w:eastAsia="es-MX"/>
        </w:rPr>
      </w:pPr>
      <w:r w:rsidRPr="00C424AA">
        <w:rPr>
          <w:rFonts w:ascii="Arial" w:eastAsia="Times New Roman" w:hAnsi="Arial" w:cs="Arial"/>
          <w:sz w:val="28"/>
          <w:szCs w:val="28"/>
          <w:lang w:val="es-ES" w:eastAsia="es-ES"/>
        </w:rPr>
        <w:t xml:space="preserve">En efecto, conforme al sistema normativo indígena adoptado en la comunidad de </w:t>
      </w:r>
      <w:r w:rsidRPr="00C424AA">
        <w:rPr>
          <w:rFonts w:ascii="Arial" w:eastAsia="Arial Unicode MS" w:hAnsi="Arial" w:cs="Arial"/>
          <w:sz w:val="28"/>
          <w:szCs w:val="28"/>
          <w:lang w:eastAsia="es-MX"/>
        </w:rPr>
        <w:t>Santo Tomás Tamazulapan, Miahuatlán, la asamblea general comunitaria debe estar presidida por una mesa de los debates, cuya función consiste en computar el sentido de la votación de los asistentes, a fin de determinar la voluntad de la asamblea.</w:t>
      </w:r>
    </w:p>
    <w:p w14:paraId="293A7FBB"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Arial Unicode MS" w:hAnsi="Arial" w:cs="Arial"/>
          <w:sz w:val="28"/>
          <w:szCs w:val="28"/>
          <w:lang w:eastAsia="es-MX"/>
        </w:rPr>
        <w:t xml:space="preserve">Por tanto, si la propia asamblea general comunitaria nombró a los miembros faltantes de la mesa de los debates, es dable concluir que la </w:t>
      </w:r>
      <w:r w:rsidRPr="00C424AA">
        <w:rPr>
          <w:rFonts w:ascii="Arial" w:eastAsia="Arial Unicode MS" w:hAnsi="Arial" w:cs="Arial"/>
          <w:sz w:val="28"/>
          <w:szCs w:val="28"/>
          <w:lang w:eastAsia="es-MX"/>
        </w:rPr>
        <w:lastRenderedPageBreak/>
        <w:t>asamblea se desarrolló conforme a las normas que integran los el derecho indígena en la comunidad, pues fue precedida por el órgano facultado para ello, mismo que fue designado de forma legítima.</w:t>
      </w:r>
    </w:p>
    <w:p w14:paraId="4442E540"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Tampoco resta validez al acta circunstanciada referida en el punto 2, el hecho de no estar firmada por los integrantes del cabildo municipal, pues la actitud procesal de los actores, que integraban el cabildo municipal, denota que no estaban de acuerdo con la continuación de la asamblea general comunitaria de referencia, por lo siguiente:</w:t>
      </w:r>
    </w:p>
    <w:p w14:paraId="5561AA8E"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el acta elaborada por ellos, asientan que la asamblea no se concluyó, sino que fue suspendida porque el presidente y el secretario de la mesa de debates, así como dos escrutadores abandonaron la asamblea.</w:t>
      </w:r>
    </w:p>
    <w:p w14:paraId="1ED8EF6A"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Impugnaron la declaración de validez realizada por el Consejo General del Instituto Electoral y de Participación Ciudadana de Oaxaca, y continuaron con la cadena impugnativa hasta esta instancia, refiriendo como causa de pedir que por unanimidad de votos de los integrantes, se determinó suspender la asamblea general comunitaria de quince de diciembre de dos mil trece, sin lograr demostrar tal afirmación.</w:t>
      </w:r>
    </w:p>
    <w:p w14:paraId="03658995"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Lo anterior pone en evidencia que los integrantes del cabildo no estaban de acuerdo con la continuación de la asamblea, a pesar de que la decisión comunitaria era en sentido contrario. Tan es así, que en el acta que elaboraron asientan que se retiraron de la asamblea. Por tanto, ante tal oposición, lo ordinario resulta que no firmaran el acta respectiva.</w:t>
      </w:r>
    </w:p>
    <w:p w14:paraId="695BC4F6"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lastRenderedPageBreak/>
        <w:t>Sin embargo, al igual que la mesa de los debates, el cabildo es un órgano auxiliar de la asamblea general, en su calidad de máximo órgano decisor al interior de la comunidad, por lo que si su decisión de continuar con la asamblea debe prevalecer, a pesar de la oposición del cabildo.</w:t>
      </w:r>
    </w:p>
    <w:p w14:paraId="009FF52D"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este sentido, como ya se dijo, es suficiente que el acta circunstanciada haya sido firmada por los integrantes de la mesa de los debates y los candidatos electos para que tenga validez.</w:t>
      </w:r>
    </w:p>
    <w:p w14:paraId="138D70BA"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Por tanto, la conclusión que se impone es que la asamblea general comunitaria celebrada el quince de diciembre de dos mil trece y la elección del cabildo fue celebrada y los candidatos electos válidamente.</w:t>
      </w:r>
    </w:p>
    <w:p w14:paraId="342A5DF3"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De esta forma, no asiste razón a los actores en el agravio en el cual aducen que la autoridad responsable no tomó en cuenta las pruebas documentales ofrecidas, pues de su valoración arribó a la misma conclusión que esta Sala Superior y que, por tanto, su resolución no estuviera fundada ni motivada.</w:t>
      </w:r>
    </w:p>
    <w:p w14:paraId="5862F21B"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este sentido, lo procedente es confirmar la resolución impugnada.</w:t>
      </w:r>
    </w:p>
    <w:p w14:paraId="66EEC831"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b/>
          <w:bCs/>
          <w:sz w:val="28"/>
          <w:szCs w:val="28"/>
          <w:lang w:val="es-ES" w:eastAsia="es-ES"/>
        </w:rPr>
        <w:t xml:space="preserve">SEXTO. </w:t>
      </w:r>
      <w:r w:rsidRPr="00C424AA">
        <w:rPr>
          <w:rFonts w:ascii="Arial" w:eastAsia="Times New Roman" w:hAnsi="Arial" w:cs="Arial"/>
          <w:b/>
          <w:sz w:val="28"/>
          <w:szCs w:val="28"/>
          <w:lang w:val="es-ES" w:eastAsia="es-ES"/>
        </w:rPr>
        <w:t xml:space="preserve">Consideraciones relacionadas con la publicitación de la sentencia y de su traducción. </w:t>
      </w:r>
      <w:r w:rsidRPr="00C424AA">
        <w:rPr>
          <w:rFonts w:ascii="Arial" w:eastAsia="Times New Roman" w:hAnsi="Arial" w:cs="Arial"/>
          <w:sz w:val="28"/>
          <w:szCs w:val="28"/>
          <w:lang w:val="es-ES" w:eastAsia="es-ES"/>
        </w:rPr>
        <w:t xml:space="preserve">Con el objeto de promover la mayor difusión y publicitación del sentido y alcance de la presente resolución por parte de los integrantes de la comunidad de Santo Tomás Tamazulapan, Miahuatlán, Oaxaca, esta Sala Superior estima procedente elaborar un resumen oficial, para efecto de su difusión y, en su caso, traducción en la lengua que corresponda según el caso, de </w:t>
      </w:r>
      <w:r w:rsidRPr="00C424AA">
        <w:rPr>
          <w:rFonts w:ascii="Arial" w:eastAsia="Times New Roman" w:hAnsi="Arial" w:cs="Arial"/>
          <w:sz w:val="28"/>
          <w:szCs w:val="28"/>
          <w:lang w:val="es-ES" w:eastAsia="es-ES"/>
        </w:rPr>
        <w:lastRenderedPageBreak/>
        <w:t>acuerdo con el Catálogo Municipal de Usos y Costumbres o el que corresponda.</w:t>
      </w:r>
    </w:p>
    <w:p w14:paraId="7182E1CE"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451D8C27"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199698CD"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b/>
          <w:sz w:val="28"/>
          <w:szCs w:val="28"/>
          <w:lang w:val="es-ES" w:eastAsia="es-ES"/>
        </w:rPr>
      </w:pPr>
      <w:r w:rsidRPr="00C424AA">
        <w:rPr>
          <w:rFonts w:ascii="Arial" w:eastAsia="Times New Roman" w:hAnsi="Arial" w:cs="Arial"/>
          <w:sz w:val="28"/>
          <w:szCs w:val="28"/>
          <w:lang w:val="es-ES" w:eastAsia="es-ES"/>
        </w:rPr>
        <w:lastRenderedPageBreak/>
        <w:t xml:space="preserve">Ello es acorde también con la </w:t>
      </w:r>
      <w:r w:rsidRPr="00C424AA">
        <w:rPr>
          <w:rFonts w:ascii="Arial" w:eastAsia="Times New Roman" w:hAnsi="Arial" w:cs="Arial"/>
          <w:i/>
          <w:sz w:val="28"/>
          <w:szCs w:val="28"/>
          <w:lang w:val="es-ES" w:eastAsia="es-ES"/>
        </w:rPr>
        <w:t xml:space="preserve">ratio essendi </w:t>
      </w:r>
      <w:r w:rsidRPr="00C424AA">
        <w:rPr>
          <w:rFonts w:ascii="Arial" w:eastAsia="Times New Roman" w:hAnsi="Arial" w:cs="Arial"/>
          <w:sz w:val="28"/>
          <w:szCs w:val="28"/>
          <w:lang w:val="es-ES" w:eastAsia="es-ES"/>
        </w:rPr>
        <w:t>de</w:t>
      </w:r>
      <w:r w:rsidRPr="00C424AA">
        <w:rPr>
          <w:rFonts w:ascii="Arial" w:eastAsia="Times New Roman" w:hAnsi="Arial" w:cs="Arial"/>
          <w:i/>
          <w:sz w:val="28"/>
          <w:szCs w:val="28"/>
          <w:lang w:val="es-ES" w:eastAsia="es-ES"/>
        </w:rPr>
        <w:t xml:space="preserve"> </w:t>
      </w:r>
      <w:r w:rsidRPr="00C424AA">
        <w:rPr>
          <w:rFonts w:ascii="Arial" w:eastAsia="Times New Roman" w:hAnsi="Arial" w:cs="Arial"/>
          <w:sz w:val="28"/>
          <w:szCs w:val="28"/>
          <w:lang w:val="es-ES" w:eastAsia="es-ES"/>
        </w:rPr>
        <w:t>la tesis XIV/2002</w:t>
      </w:r>
      <w:r w:rsidRPr="00C424AA">
        <w:rPr>
          <w:rFonts w:ascii="Arial" w:eastAsia="Times New Roman" w:hAnsi="Arial" w:cs="Arial"/>
          <w:sz w:val="28"/>
          <w:szCs w:val="28"/>
          <w:vertAlign w:val="superscript"/>
          <w:lang w:val="es-ES" w:eastAsia="es-ES"/>
        </w:rPr>
        <w:footnoteReference w:id="10"/>
      </w:r>
      <w:r w:rsidRPr="00C424AA">
        <w:rPr>
          <w:rFonts w:ascii="Arial" w:eastAsia="Times New Roman" w:hAnsi="Arial" w:cs="Arial"/>
          <w:sz w:val="28"/>
          <w:szCs w:val="28"/>
          <w:lang w:val="es-ES" w:eastAsia="es-ES"/>
        </w:rPr>
        <w:t xml:space="preserve"> de rubro </w:t>
      </w:r>
      <w:r w:rsidRPr="00C424AA">
        <w:rPr>
          <w:rFonts w:ascii="Arial" w:eastAsia="Times New Roman" w:hAnsi="Arial" w:cs="Arial"/>
          <w:b/>
          <w:sz w:val="28"/>
          <w:szCs w:val="28"/>
          <w:lang w:val="es-ES" w:eastAsia="es-ES"/>
        </w:rPr>
        <w:t>COMUNIDADES INDÍGENAS. EN LOS MEDIOS DE IMPUGNACIÓN EL JUZGADOR DEBE VALORAR LA DESIGNACIÓN DE UN INTÉRPRETE Y LA REALIZACIÓN DE LA TRADUCCIÓN RESPECTIVA.</w:t>
      </w:r>
    </w:p>
    <w:p w14:paraId="4170A1C7"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En el caso, se estima conveniente la traducción del resumen oficial y de los puntos resolutivos de la sentencia, atendiendo a que, de acuerdo con los datos disponibles existen al menos setenta y ocho personas hablantes de lengua indígena,</w:t>
      </w:r>
      <w:r w:rsidRPr="00C424AA">
        <w:rPr>
          <w:rFonts w:ascii="Arial" w:eastAsia="Times New Roman" w:hAnsi="Arial" w:cs="Arial"/>
          <w:sz w:val="28"/>
          <w:szCs w:val="28"/>
          <w:vertAlign w:val="superscript"/>
          <w:lang w:val="es-ES" w:eastAsia="es-ES"/>
        </w:rPr>
        <w:footnoteReference w:id="11"/>
      </w:r>
      <w:r w:rsidRPr="00C424AA">
        <w:rPr>
          <w:rFonts w:ascii="Arial" w:eastAsia="Times New Roman" w:hAnsi="Arial" w:cs="Arial"/>
          <w:sz w:val="28"/>
          <w:szCs w:val="28"/>
          <w:lang w:val="es-ES" w:eastAsia="es-ES"/>
        </w:rPr>
        <w:t xml:space="preserve"> a fin de que tanto 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18FB16B4"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Par tal efecto, con apoyo en el Instituto Nacional de Lenguas Indígenas de conformidad con la cláusula segunda incisos a), y e), del Convenio General de Colaboración firmado el seis de mayo de dos mil catorce entre este Tribunal y dicho Instituto, se le </w:t>
      </w:r>
      <w:r w:rsidRPr="00C424AA">
        <w:rPr>
          <w:rFonts w:ascii="Arial" w:eastAsia="Times New Roman" w:hAnsi="Arial" w:cs="Arial"/>
          <w:b/>
          <w:sz w:val="28"/>
          <w:szCs w:val="28"/>
          <w:lang w:val="es-ES" w:eastAsia="es-ES"/>
        </w:rPr>
        <w:t xml:space="preserve">vincula </w:t>
      </w:r>
      <w:r w:rsidRPr="00C424AA">
        <w:rPr>
          <w:rFonts w:ascii="Arial" w:eastAsia="Times New Roman" w:hAnsi="Arial" w:cs="Arial"/>
          <w:sz w:val="28"/>
          <w:szCs w:val="28"/>
          <w:lang w:val="es-ES" w:eastAsia="es-ES"/>
        </w:rPr>
        <w:t>para realizar la traducción de los puntos resolutivos y del resumen correspondiente, con el fin de que con posterioridad, se hagan del conocimiento y se difundan a los integrantes de la comunidad de Santo Tomás Tamazulapan, Miahuatlán, Oaxaca.</w:t>
      </w:r>
    </w:p>
    <w:p w14:paraId="73A2AED6"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lastRenderedPageBreak/>
        <w:t xml:space="preserve">Para ese efecto se deberá considerar como oficial el siguiente </w:t>
      </w:r>
    </w:p>
    <w:p w14:paraId="431A3177" w14:textId="77777777" w:rsidR="00C424AA" w:rsidRPr="00C424AA" w:rsidRDefault="00C424AA" w:rsidP="00C424AA">
      <w:pPr>
        <w:spacing w:before="240" w:after="240" w:line="240" w:lineRule="auto"/>
        <w:ind w:left="708"/>
        <w:jc w:val="center"/>
        <w:rPr>
          <w:rFonts w:ascii="Arial" w:eastAsia="Times New Roman" w:hAnsi="Arial" w:cs="Arial"/>
          <w:b/>
          <w:sz w:val="28"/>
          <w:szCs w:val="28"/>
          <w:lang w:val="es-ES" w:eastAsia="es-ES"/>
        </w:rPr>
      </w:pPr>
      <w:r w:rsidRPr="00C424AA">
        <w:rPr>
          <w:rFonts w:ascii="Arial" w:eastAsia="Times New Roman" w:hAnsi="Arial" w:cs="Arial"/>
          <w:b/>
          <w:sz w:val="28"/>
          <w:szCs w:val="28"/>
          <w:lang w:val="es-ES" w:eastAsia="es-ES"/>
        </w:rPr>
        <w:t xml:space="preserve">RESUMEN </w:t>
      </w:r>
    </w:p>
    <w:p w14:paraId="5EE88775" w14:textId="77777777" w:rsidR="00C424AA" w:rsidRPr="00C424AA" w:rsidRDefault="00C424AA" w:rsidP="00C424AA">
      <w:pPr>
        <w:spacing w:before="240" w:after="240" w:line="240" w:lineRule="auto"/>
        <w:ind w:left="708"/>
        <w:contextualSpacing/>
        <w:mirrorIndents/>
        <w:jc w:val="both"/>
        <w:rPr>
          <w:rFonts w:ascii="Arial" w:eastAsia="Times New Roman" w:hAnsi="Arial" w:cs="Arial"/>
          <w:b/>
          <w:sz w:val="28"/>
          <w:szCs w:val="28"/>
          <w:lang w:val="es-ES" w:eastAsia="es-ES"/>
        </w:rPr>
      </w:pPr>
    </w:p>
    <w:p w14:paraId="19A17C8E" w14:textId="77777777" w:rsidR="00C424AA" w:rsidRPr="00C424AA" w:rsidRDefault="00C424AA" w:rsidP="00C424AA">
      <w:pPr>
        <w:spacing w:before="240" w:after="240" w:line="240" w:lineRule="auto"/>
        <w:ind w:left="708"/>
        <w:contextualSpacing/>
        <w:mirrorIndents/>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El 4 de junio de 2014, la Sala Superior del Tribunal Electoral del Poder Judicial de la Federación relacionado con la impugnación de la elección del Municipio de Santo Tomás Tamazulapan, Miahuatlán, Oaxaca. La decisión fue en el sentido de confirmar en definitiva el resultado de la elección de los integrantes del cabildo encabezados por Gilberto Mendoza Cortés.</w:t>
      </w:r>
    </w:p>
    <w:p w14:paraId="63342063" w14:textId="77777777" w:rsidR="00C424AA" w:rsidRPr="00C424AA" w:rsidRDefault="00C424AA" w:rsidP="00C424AA">
      <w:pPr>
        <w:spacing w:before="240" w:after="240" w:line="240" w:lineRule="auto"/>
        <w:ind w:left="708"/>
        <w:contextualSpacing/>
        <w:mirrorIndents/>
        <w:jc w:val="both"/>
        <w:rPr>
          <w:rFonts w:ascii="Arial" w:eastAsia="Times New Roman" w:hAnsi="Arial" w:cs="Arial"/>
          <w:sz w:val="28"/>
          <w:szCs w:val="28"/>
          <w:lang w:val="es-ES" w:eastAsia="es-ES"/>
        </w:rPr>
      </w:pPr>
    </w:p>
    <w:p w14:paraId="61CB56C5" w14:textId="77777777" w:rsidR="00C424AA" w:rsidRPr="00C424AA" w:rsidRDefault="00C424AA" w:rsidP="00C424AA">
      <w:pPr>
        <w:spacing w:before="240" w:after="240" w:line="240" w:lineRule="auto"/>
        <w:ind w:left="708"/>
        <w:contextualSpacing/>
        <w:mirrorIndents/>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La decisión tiene como sustento en el reconocimiento de la asamblea general comunitaria como máximo órgano de decisión, conforme al sistema normativo indígena existente en el municipio, la cual determinó que a pesar de las inconformidades surgidas con la postulación de candidatos, se continuara con la misma y se sustituyera a los integrantes de la mesa de los debates que se retiraron. Por tanto la elección del cabildo se realizó conforme a las normas comunitarias vigentes en el municipio.</w:t>
      </w:r>
    </w:p>
    <w:p w14:paraId="50CCB77B" w14:textId="77777777" w:rsidR="00C424AA" w:rsidRPr="00C424AA" w:rsidRDefault="00C424AA" w:rsidP="00C424AA">
      <w:pPr>
        <w:spacing w:before="240" w:after="240" w:line="240" w:lineRule="auto"/>
        <w:ind w:left="708"/>
        <w:contextualSpacing/>
        <w:mirrorIndents/>
        <w:jc w:val="both"/>
        <w:rPr>
          <w:rFonts w:ascii="Arial" w:eastAsia="Times New Roman" w:hAnsi="Arial" w:cs="Arial"/>
          <w:sz w:val="28"/>
          <w:szCs w:val="28"/>
          <w:lang w:val="es-ES" w:eastAsia="es-ES"/>
        </w:rPr>
      </w:pPr>
    </w:p>
    <w:p w14:paraId="58A7C372"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Con base en lo anterior, se solicita al referido Instituto Nacional que en breve término remita a esta Sala Superior constancia de la respectiva traducción para los efectos señalados.</w:t>
      </w:r>
    </w:p>
    <w:p w14:paraId="3701DD7B" w14:textId="77777777" w:rsidR="00C424AA" w:rsidRPr="00C424AA" w:rsidRDefault="00C424AA" w:rsidP="00C424AA">
      <w:pPr>
        <w:tabs>
          <w:tab w:val="left" w:pos="426"/>
          <w:tab w:val="left" w:pos="6096"/>
        </w:tabs>
        <w:spacing w:before="240" w:after="240"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 xml:space="preserve">Asimismo se </w:t>
      </w:r>
      <w:r w:rsidRPr="00C424AA">
        <w:rPr>
          <w:rFonts w:ascii="Arial" w:eastAsia="Times New Roman" w:hAnsi="Arial" w:cs="Arial"/>
          <w:b/>
          <w:sz w:val="28"/>
          <w:szCs w:val="28"/>
          <w:lang w:val="es-ES" w:eastAsia="es-ES"/>
        </w:rPr>
        <w:t xml:space="preserve">vincula </w:t>
      </w:r>
      <w:r w:rsidRPr="00C424AA">
        <w:rPr>
          <w:rFonts w:ascii="Arial" w:eastAsia="Times New Roman" w:hAnsi="Arial" w:cs="Arial"/>
          <w:sz w:val="28"/>
          <w:szCs w:val="28"/>
          <w:lang w:val="es-ES" w:eastAsia="es-ES"/>
        </w:rPr>
        <w:t xml:space="preserve">al Instituto Estatal Electoral y de Participación Ciudadana del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de manera oral y en lengua indígena, el resumen y su traducción. </w:t>
      </w:r>
    </w:p>
    <w:p w14:paraId="5D9A9531" w14:textId="77777777" w:rsidR="00C424AA" w:rsidRPr="00C424AA" w:rsidRDefault="00C424AA" w:rsidP="00C424AA">
      <w:pPr>
        <w:spacing w:before="100" w:beforeAutospacing="1" w:after="100" w:afterAutospacing="1" w:line="360" w:lineRule="auto"/>
        <w:jc w:val="both"/>
        <w:rPr>
          <w:rFonts w:ascii="Arial" w:eastAsia="Times New Roman" w:hAnsi="Arial" w:cs="Arial"/>
          <w:sz w:val="28"/>
          <w:szCs w:val="28"/>
          <w:lang w:val="es-ES" w:eastAsia="es-ES"/>
        </w:rPr>
      </w:pPr>
      <w:r w:rsidRPr="00C424AA">
        <w:rPr>
          <w:rFonts w:ascii="Arial" w:eastAsia="Times New Roman" w:hAnsi="Arial" w:cs="Arial"/>
          <w:sz w:val="28"/>
          <w:szCs w:val="28"/>
          <w:lang w:val="es-ES" w:eastAsia="es-ES"/>
        </w:rPr>
        <w:t>Por lo anteriormente expuesto y fundado se</w:t>
      </w:r>
    </w:p>
    <w:p w14:paraId="0E5A6D05" w14:textId="77777777" w:rsidR="00C424AA" w:rsidRPr="00C424AA" w:rsidRDefault="00C424AA" w:rsidP="00C424AA">
      <w:pPr>
        <w:spacing w:after="0" w:line="360" w:lineRule="auto"/>
        <w:ind w:firstLine="708"/>
        <w:jc w:val="center"/>
        <w:rPr>
          <w:rFonts w:ascii="Arial" w:eastAsia="Times New Roman" w:hAnsi="Arial" w:cs="Arial"/>
          <w:b/>
          <w:sz w:val="28"/>
          <w:szCs w:val="28"/>
          <w:lang w:eastAsia="es-ES"/>
        </w:rPr>
      </w:pPr>
      <w:r w:rsidRPr="00C424AA">
        <w:rPr>
          <w:rFonts w:ascii="Arial" w:eastAsia="Times New Roman" w:hAnsi="Arial" w:cs="Arial"/>
          <w:b/>
          <w:sz w:val="28"/>
          <w:szCs w:val="28"/>
          <w:lang w:eastAsia="es-ES"/>
        </w:rPr>
        <w:lastRenderedPageBreak/>
        <w:t>R E S U E L V E</w:t>
      </w:r>
    </w:p>
    <w:p w14:paraId="3E1501BA" w14:textId="77777777" w:rsidR="00C424AA" w:rsidRPr="00C424AA" w:rsidRDefault="00C424AA" w:rsidP="00C424AA">
      <w:pPr>
        <w:spacing w:after="0" w:line="360" w:lineRule="auto"/>
        <w:ind w:firstLine="708"/>
        <w:jc w:val="center"/>
        <w:rPr>
          <w:rFonts w:ascii="Arial" w:eastAsia="Times New Roman" w:hAnsi="Arial" w:cs="Arial"/>
          <w:b/>
          <w:sz w:val="28"/>
          <w:szCs w:val="28"/>
          <w:lang w:eastAsia="es-ES"/>
        </w:rPr>
      </w:pPr>
    </w:p>
    <w:p w14:paraId="46F01D27" w14:textId="77777777" w:rsidR="00C424AA" w:rsidRPr="00C424AA" w:rsidRDefault="00C424AA" w:rsidP="00C424AA">
      <w:pPr>
        <w:spacing w:after="0" w:line="360" w:lineRule="auto"/>
        <w:jc w:val="both"/>
        <w:rPr>
          <w:rFonts w:ascii="Arial" w:eastAsia="Times New Roman" w:hAnsi="Arial" w:cs="Arial"/>
          <w:sz w:val="28"/>
          <w:szCs w:val="28"/>
          <w:lang w:eastAsia="es-ES"/>
        </w:rPr>
      </w:pPr>
      <w:r w:rsidRPr="00C424AA">
        <w:rPr>
          <w:rFonts w:ascii="Arial" w:eastAsia="Times New Roman" w:hAnsi="Arial" w:cs="Arial"/>
          <w:b/>
          <w:sz w:val="28"/>
          <w:szCs w:val="28"/>
          <w:lang w:eastAsia="es-ES"/>
        </w:rPr>
        <w:t xml:space="preserve">PRIMERO. </w:t>
      </w:r>
      <w:r w:rsidRPr="00C424AA">
        <w:rPr>
          <w:rFonts w:ascii="Arial" w:eastAsia="Times New Roman" w:hAnsi="Arial" w:cs="Arial"/>
          <w:sz w:val="28"/>
          <w:szCs w:val="28"/>
          <w:lang w:eastAsia="es-ES"/>
        </w:rPr>
        <w:t>Se confirma la sentencia de diez de abril de este año, emitida por la Sala Regional del Tribunal Electoral del Poder Judicial de la Federación, correspondiente a la Tercera Circunscripción Plurinominal, con sede en Xalapa, Veracruz, al resolver el expediente SX-JDC-108/2014.</w:t>
      </w:r>
    </w:p>
    <w:p w14:paraId="049B402E" w14:textId="77777777" w:rsidR="00C424AA" w:rsidRPr="00C424AA" w:rsidRDefault="00C424AA" w:rsidP="00C424AA">
      <w:pPr>
        <w:spacing w:after="0" w:line="360" w:lineRule="auto"/>
        <w:jc w:val="both"/>
        <w:rPr>
          <w:rFonts w:ascii="Arial" w:eastAsia="Times New Roman" w:hAnsi="Arial" w:cs="Arial"/>
          <w:sz w:val="28"/>
          <w:szCs w:val="28"/>
          <w:lang w:eastAsia="es-ES"/>
        </w:rPr>
      </w:pPr>
    </w:p>
    <w:p w14:paraId="52F9E479" w14:textId="77777777" w:rsidR="00C424AA" w:rsidRPr="00C424AA" w:rsidRDefault="00C424AA" w:rsidP="00C424AA">
      <w:pPr>
        <w:spacing w:after="0" w:line="360" w:lineRule="auto"/>
        <w:jc w:val="both"/>
        <w:rPr>
          <w:rFonts w:ascii="Arial" w:eastAsia="Times New Roman" w:hAnsi="Arial" w:cs="Arial"/>
          <w:bCs/>
          <w:sz w:val="28"/>
          <w:szCs w:val="28"/>
          <w:lang w:eastAsia="es-ES"/>
        </w:rPr>
      </w:pPr>
      <w:r w:rsidRPr="00C424AA">
        <w:rPr>
          <w:rFonts w:ascii="Arial" w:eastAsia="Times New Roman" w:hAnsi="Arial" w:cs="Arial"/>
          <w:b/>
          <w:bCs/>
          <w:sz w:val="28"/>
          <w:szCs w:val="28"/>
          <w:lang w:eastAsia="es-ES"/>
        </w:rPr>
        <w:t>SEGUNDO.</w:t>
      </w:r>
      <w:r w:rsidRPr="00C424AA">
        <w:rPr>
          <w:rFonts w:ascii="Arial" w:eastAsia="Times New Roman" w:hAnsi="Arial" w:cs="Arial"/>
          <w:bCs/>
          <w:sz w:val="28"/>
          <w:szCs w:val="28"/>
          <w:lang w:eastAsia="es-ES"/>
        </w:rPr>
        <w:t xml:space="preserve"> Se vincula al Instituto Estatal Electoral y de Participación Ciudadana de Oaxaca a realizar todas las acciones ordenadas en esta sentencia, así como informar dentro de las veinticuatro horas siguientes sobre los actos tendentes al cumplimiento de este fallo.</w:t>
      </w:r>
    </w:p>
    <w:p w14:paraId="57BEE5E6" w14:textId="77777777" w:rsidR="00C424AA" w:rsidRPr="00C424AA" w:rsidRDefault="00C424AA" w:rsidP="00C424AA">
      <w:pPr>
        <w:spacing w:after="0" w:line="360" w:lineRule="auto"/>
        <w:jc w:val="both"/>
        <w:rPr>
          <w:rFonts w:ascii="Arial" w:eastAsia="Times New Roman" w:hAnsi="Arial" w:cs="Arial"/>
          <w:bCs/>
          <w:sz w:val="28"/>
          <w:szCs w:val="28"/>
          <w:lang w:eastAsia="es-ES"/>
        </w:rPr>
      </w:pPr>
    </w:p>
    <w:p w14:paraId="518690A1" w14:textId="77777777" w:rsidR="00C424AA" w:rsidRPr="00C424AA" w:rsidRDefault="00C424AA" w:rsidP="00C424AA">
      <w:pPr>
        <w:spacing w:after="0" w:line="360" w:lineRule="auto"/>
        <w:jc w:val="both"/>
        <w:rPr>
          <w:rFonts w:ascii="Arial" w:eastAsia="Times New Roman" w:hAnsi="Arial" w:cs="Arial"/>
          <w:bCs/>
          <w:sz w:val="28"/>
          <w:szCs w:val="28"/>
          <w:lang w:eastAsia="es-ES"/>
        </w:rPr>
      </w:pPr>
      <w:r w:rsidRPr="00C424AA">
        <w:rPr>
          <w:rFonts w:ascii="Arial" w:eastAsia="Times New Roman" w:hAnsi="Arial" w:cs="Arial"/>
          <w:b/>
          <w:bCs/>
          <w:sz w:val="28"/>
          <w:szCs w:val="28"/>
          <w:lang w:eastAsia="es-ES"/>
        </w:rPr>
        <w:t>TERCERO</w:t>
      </w:r>
      <w:r w:rsidRPr="00C424AA">
        <w:rPr>
          <w:rFonts w:ascii="Arial" w:eastAsia="Times New Roman" w:hAnsi="Arial" w:cs="Arial"/>
          <w:bCs/>
          <w:sz w:val="28"/>
          <w:szCs w:val="28"/>
          <w:lang w:eastAsia="es-ES"/>
        </w:rPr>
        <w:t>. Se vincula al Instituto Nacional de Lenguas Indígenas para los efectos citados en el último considerando de esta sentencia.</w:t>
      </w:r>
    </w:p>
    <w:p w14:paraId="326755CB" w14:textId="77777777" w:rsidR="00C424AA" w:rsidRPr="00C424AA" w:rsidRDefault="00C424AA" w:rsidP="00C424AA">
      <w:pPr>
        <w:spacing w:after="0" w:line="360" w:lineRule="auto"/>
        <w:jc w:val="both"/>
        <w:rPr>
          <w:rFonts w:ascii="Arial" w:eastAsia="Times New Roman" w:hAnsi="Arial" w:cs="Arial"/>
          <w:bCs/>
          <w:sz w:val="28"/>
          <w:szCs w:val="28"/>
          <w:lang w:eastAsia="es-ES"/>
        </w:rPr>
      </w:pPr>
    </w:p>
    <w:p w14:paraId="41531667" w14:textId="77777777" w:rsidR="00C424AA" w:rsidRPr="00C424AA" w:rsidRDefault="00C424AA" w:rsidP="00C424AA">
      <w:pPr>
        <w:spacing w:after="0" w:line="360" w:lineRule="auto"/>
        <w:jc w:val="both"/>
        <w:rPr>
          <w:rFonts w:ascii="Arial" w:eastAsia="Times New Roman" w:hAnsi="Arial" w:cs="Arial"/>
          <w:sz w:val="28"/>
          <w:szCs w:val="28"/>
          <w:lang w:eastAsia="es-MX"/>
        </w:rPr>
      </w:pPr>
      <w:r w:rsidRPr="00C424AA">
        <w:rPr>
          <w:rFonts w:ascii="Arial" w:eastAsia="Times New Roman" w:hAnsi="Arial" w:cs="Arial"/>
          <w:b/>
          <w:bCs/>
          <w:sz w:val="28"/>
          <w:szCs w:val="28"/>
          <w:lang w:eastAsia="es-MX"/>
        </w:rPr>
        <w:t>NOTIFÍQUESE</w:t>
      </w:r>
      <w:r w:rsidRPr="00C424AA">
        <w:rPr>
          <w:rFonts w:ascii="Arial" w:eastAsia="Times New Roman" w:hAnsi="Arial" w:cs="Arial"/>
          <w:bCs/>
          <w:sz w:val="28"/>
          <w:szCs w:val="28"/>
          <w:lang w:eastAsia="es-MX"/>
        </w:rPr>
        <w:t xml:space="preserve">, </w:t>
      </w:r>
      <w:r w:rsidRPr="00C424AA">
        <w:rPr>
          <w:rFonts w:ascii="Arial" w:eastAsia="Times New Roman" w:hAnsi="Arial" w:cs="Arial"/>
          <w:b/>
          <w:bCs/>
          <w:sz w:val="28"/>
          <w:szCs w:val="28"/>
          <w:lang w:eastAsia="es-MX"/>
        </w:rPr>
        <w:t xml:space="preserve">personalmente </w:t>
      </w:r>
      <w:r w:rsidRPr="00C424AA">
        <w:rPr>
          <w:rFonts w:ascii="Arial" w:eastAsia="Times New Roman" w:hAnsi="Arial" w:cs="Arial"/>
          <w:bCs/>
          <w:sz w:val="28"/>
          <w:szCs w:val="28"/>
          <w:lang w:eastAsia="es-MX"/>
        </w:rPr>
        <w:t>a los actores y al tercero interesado</w:t>
      </w:r>
      <w:r w:rsidRPr="00C424AA">
        <w:rPr>
          <w:rFonts w:ascii="Arial" w:eastAsia="Times New Roman" w:hAnsi="Arial" w:cs="Arial"/>
          <w:sz w:val="28"/>
          <w:szCs w:val="28"/>
          <w:lang w:eastAsia="es-MX"/>
        </w:rPr>
        <w:t xml:space="preserve">, en los domicilios señalado para tal efecto; </w:t>
      </w:r>
      <w:r w:rsidRPr="00C424AA">
        <w:rPr>
          <w:rFonts w:ascii="Arial" w:eastAsia="Times New Roman" w:hAnsi="Arial" w:cs="Arial"/>
          <w:b/>
          <w:bCs/>
          <w:sz w:val="28"/>
          <w:szCs w:val="28"/>
          <w:lang w:eastAsia="es-MX"/>
        </w:rPr>
        <w:t>por correo electrónico</w:t>
      </w:r>
      <w:r w:rsidRPr="00C424AA">
        <w:rPr>
          <w:rFonts w:ascii="Arial" w:eastAsia="Times New Roman" w:hAnsi="Arial" w:cs="Arial"/>
          <w:bCs/>
          <w:sz w:val="28"/>
          <w:szCs w:val="28"/>
          <w:lang w:eastAsia="es-MX"/>
        </w:rPr>
        <w:t>,</w:t>
      </w:r>
      <w:r w:rsidRPr="00C424AA">
        <w:rPr>
          <w:rFonts w:ascii="Arial" w:eastAsia="Times New Roman" w:hAnsi="Arial" w:cs="Arial"/>
          <w:sz w:val="28"/>
          <w:szCs w:val="28"/>
          <w:lang w:eastAsia="es-MX"/>
        </w:rPr>
        <w:t xml:space="preserve"> acompañado de copia certificada de la presente ejecutoria, a la Sala Regional responsable;</w:t>
      </w:r>
      <w:r w:rsidRPr="00C424AA">
        <w:rPr>
          <w:rFonts w:ascii="Arial" w:eastAsia="Arial Unicode MS" w:hAnsi="Arial" w:cs="Arial"/>
          <w:sz w:val="28"/>
          <w:szCs w:val="28"/>
          <w:lang w:eastAsia="es-MX"/>
        </w:rPr>
        <w:t xml:space="preserve"> </w:t>
      </w:r>
      <w:r w:rsidRPr="00C424AA">
        <w:rPr>
          <w:rFonts w:ascii="Arial" w:eastAsia="Times New Roman" w:hAnsi="Arial" w:cs="Arial"/>
          <w:b/>
          <w:bCs/>
          <w:sz w:val="28"/>
          <w:szCs w:val="28"/>
          <w:lang w:eastAsia="es-MX"/>
        </w:rPr>
        <w:t>por oficio</w:t>
      </w:r>
      <w:r w:rsidRPr="00C424AA">
        <w:rPr>
          <w:rFonts w:ascii="Arial" w:eastAsia="Times New Roman" w:hAnsi="Arial" w:cs="Arial"/>
          <w:bCs/>
          <w:sz w:val="28"/>
          <w:szCs w:val="28"/>
          <w:lang w:eastAsia="es-MX"/>
        </w:rPr>
        <w:t xml:space="preserve">, </w:t>
      </w:r>
      <w:r w:rsidRPr="00C424AA">
        <w:rPr>
          <w:rFonts w:ascii="Arial" w:eastAsia="Times New Roman" w:hAnsi="Arial" w:cs="Arial"/>
          <w:sz w:val="28"/>
          <w:szCs w:val="28"/>
          <w:lang w:eastAsia="es-MX"/>
        </w:rPr>
        <w:t xml:space="preserve">con copia certificada de esta sentencia, </w:t>
      </w:r>
      <w:r w:rsidRPr="00C424AA">
        <w:rPr>
          <w:rFonts w:ascii="Arial" w:eastAsia="Times New Roman" w:hAnsi="Arial" w:cs="Arial"/>
          <w:sz w:val="28"/>
          <w:szCs w:val="28"/>
          <w:lang w:eastAsia="es-ES"/>
        </w:rPr>
        <w:t>al Instituto Estatal Electoral y de Participación Ciudadana de Oaxaca, así como</w:t>
      </w:r>
      <w:r w:rsidRPr="00C424AA">
        <w:rPr>
          <w:rFonts w:ascii="Arial" w:eastAsia="Times New Roman" w:hAnsi="Arial" w:cs="Arial"/>
          <w:sz w:val="28"/>
          <w:szCs w:val="28"/>
          <w:lang w:eastAsia="es-MX"/>
        </w:rPr>
        <w:t xml:space="preserve"> al Instituto Nacional de Lenguas Indígenas, </w:t>
      </w:r>
      <w:r w:rsidRPr="00C424AA">
        <w:rPr>
          <w:rFonts w:ascii="Arial" w:eastAsia="Arial Unicode MS" w:hAnsi="Arial" w:cs="Arial"/>
          <w:sz w:val="28"/>
          <w:szCs w:val="28"/>
          <w:lang w:eastAsia="es-MX"/>
        </w:rPr>
        <w:t xml:space="preserve">y por </w:t>
      </w:r>
      <w:r w:rsidRPr="00C424AA">
        <w:rPr>
          <w:rFonts w:ascii="Arial" w:eastAsia="Arial Unicode MS" w:hAnsi="Arial" w:cs="Arial"/>
          <w:b/>
          <w:sz w:val="28"/>
          <w:szCs w:val="28"/>
          <w:lang w:eastAsia="es-MX"/>
        </w:rPr>
        <w:t>estrados</w:t>
      </w:r>
      <w:r w:rsidRPr="00C424AA">
        <w:rPr>
          <w:rFonts w:ascii="Arial" w:eastAsia="Arial Unicode MS" w:hAnsi="Arial" w:cs="Arial"/>
          <w:sz w:val="28"/>
          <w:szCs w:val="28"/>
          <w:lang w:eastAsia="es-MX"/>
        </w:rPr>
        <w:t xml:space="preserve"> a los demás interesados</w:t>
      </w:r>
      <w:r w:rsidRPr="00C424AA">
        <w:rPr>
          <w:rFonts w:ascii="Arial" w:eastAsia="Times New Roman" w:hAnsi="Arial" w:cs="Arial"/>
          <w:sz w:val="28"/>
          <w:szCs w:val="28"/>
          <w:lang w:eastAsia="es-MX"/>
        </w:rPr>
        <w:t>. Lo anterior, en términos de los artículos 26, párrafo 3; 27, 28 y 70, de la Ley General del Sistema de Medios de Impugnación en Materia Electoral, relacionados con los numerales 102; 103 y 110, del Reglamento Interno del Tribunal Electoral del Poder Judicial de la Federación.</w:t>
      </w:r>
    </w:p>
    <w:p w14:paraId="2B8F361A" w14:textId="77777777" w:rsidR="00C424AA" w:rsidRPr="00C424AA" w:rsidRDefault="00C424AA" w:rsidP="00C424AA">
      <w:pPr>
        <w:spacing w:after="0" w:line="360" w:lineRule="auto"/>
        <w:jc w:val="both"/>
        <w:rPr>
          <w:rFonts w:ascii="Arial" w:eastAsia="Times New Roman" w:hAnsi="Arial" w:cs="Arial"/>
          <w:b/>
          <w:bCs/>
          <w:sz w:val="28"/>
          <w:szCs w:val="28"/>
          <w:lang w:eastAsia="es-MX"/>
        </w:rPr>
      </w:pPr>
    </w:p>
    <w:p w14:paraId="301B3E44" w14:textId="77777777" w:rsidR="00C424AA" w:rsidRPr="00C424AA" w:rsidRDefault="00C424AA" w:rsidP="00C424AA">
      <w:pPr>
        <w:spacing w:after="0" w:line="360" w:lineRule="auto"/>
        <w:jc w:val="both"/>
        <w:rPr>
          <w:rFonts w:ascii="Arial" w:eastAsia="Times New Roman" w:hAnsi="Arial" w:cs="Arial"/>
          <w:sz w:val="28"/>
          <w:szCs w:val="28"/>
          <w:lang w:eastAsia="es-ES"/>
        </w:rPr>
      </w:pPr>
      <w:r w:rsidRPr="00C424AA">
        <w:rPr>
          <w:rFonts w:ascii="Arial" w:eastAsia="Times New Roman" w:hAnsi="Arial" w:cs="Arial"/>
          <w:sz w:val="28"/>
          <w:szCs w:val="28"/>
          <w:lang w:eastAsia="es-ES"/>
        </w:rPr>
        <w:t>En su oportunidad, devuélvanse los documentos atinentes y archívese el expediente como asunto total y definitivamente concluido.</w:t>
      </w:r>
    </w:p>
    <w:p w14:paraId="203080BC" w14:textId="77777777" w:rsidR="00C424AA" w:rsidRPr="00C424AA" w:rsidRDefault="00C424AA" w:rsidP="00C424AA">
      <w:pPr>
        <w:spacing w:after="0" w:line="360" w:lineRule="auto"/>
        <w:jc w:val="both"/>
        <w:rPr>
          <w:rFonts w:ascii="Arial" w:eastAsia="Times New Roman" w:hAnsi="Arial" w:cs="Arial"/>
          <w:sz w:val="28"/>
          <w:szCs w:val="28"/>
          <w:lang w:eastAsia="es-ES"/>
        </w:rPr>
      </w:pPr>
    </w:p>
    <w:p w14:paraId="7FC77174" w14:textId="77777777" w:rsidR="00C424AA" w:rsidRPr="00C424AA" w:rsidRDefault="00C424AA" w:rsidP="00C424AA">
      <w:pPr>
        <w:spacing w:after="0" w:line="360" w:lineRule="auto"/>
        <w:jc w:val="both"/>
        <w:rPr>
          <w:rFonts w:ascii="Arial" w:eastAsia="Times New Roman" w:hAnsi="Arial" w:cs="Arial"/>
          <w:sz w:val="28"/>
          <w:szCs w:val="28"/>
          <w:lang w:eastAsia="es-ES"/>
        </w:rPr>
      </w:pPr>
      <w:r w:rsidRPr="00C424AA">
        <w:rPr>
          <w:rFonts w:ascii="Arial" w:eastAsia="Times New Roman" w:hAnsi="Arial" w:cs="Arial"/>
          <w:sz w:val="28"/>
          <w:szCs w:val="28"/>
          <w:lang w:eastAsia="es-ES"/>
        </w:rPr>
        <w:t xml:space="preserve">Así, por </w:t>
      </w:r>
      <w:r w:rsidRPr="00C424AA">
        <w:rPr>
          <w:rFonts w:ascii="Arial" w:eastAsia="Times New Roman" w:hAnsi="Arial" w:cs="Arial"/>
          <w:b/>
          <w:sz w:val="28"/>
          <w:szCs w:val="28"/>
          <w:lang w:eastAsia="es-ES"/>
        </w:rPr>
        <w:t>unanimidad</w:t>
      </w:r>
      <w:r w:rsidRPr="00C424AA">
        <w:rPr>
          <w:rFonts w:ascii="Arial" w:eastAsia="Times New Roman" w:hAnsi="Arial" w:cs="Arial"/>
          <w:sz w:val="28"/>
          <w:szCs w:val="28"/>
          <w:lang w:eastAsia="es-ES"/>
        </w:rPr>
        <w:t xml:space="preserve"> de votos, lo resolvieron los Magistrados que integran la Sala Superior del Tribunal Electoral del Poder Judicial de la Federación, con la ausencia del Magistrado Presidente José Alejandro Luna Ramos y los Magistrados Constancio Carrasco Daza y Manuel González Oropeza, ante el Secretario General de Acuerdos que autoriza y da fe. </w:t>
      </w:r>
    </w:p>
    <w:tbl>
      <w:tblPr>
        <w:tblW w:w="7935" w:type="dxa"/>
        <w:jc w:val="center"/>
        <w:tblCellSpacing w:w="0" w:type="dxa"/>
        <w:tblCellMar>
          <w:left w:w="0" w:type="dxa"/>
          <w:right w:w="0" w:type="dxa"/>
        </w:tblCellMar>
        <w:tblLook w:val="04A0" w:firstRow="1" w:lastRow="0" w:firstColumn="1" w:lastColumn="0" w:noHBand="0" w:noVBand="1"/>
      </w:tblPr>
      <w:tblGrid>
        <w:gridCol w:w="3627"/>
        <w:gridCol w:w="4308"/>
      </w:tblGrid>
      <w:tr w:rsidR="00C424AA" w:rsidRPr="00C424AA" w14:paraId="40F25E18" w14:textId="77777777" w:rsidTr="00BA1197">
        <w:trPr>
          <w:tblCellSpacing w:w="0" w:type="dxa"/>
          <w:jc w:val="center"/>
        </w:trPr>
        <w:tc>
          <w:tcPr>
            <w:tcW w:w="0" w:type="auto"/>
            <w:gridSpan w:val="2"/>
            <w:tcMar>
              <w:top w:w="60" w:type="dxa"/>
              <w:left w:w="60" w:type="dxa"/>
              <w:bottom w:w="60" w:type="dxa"/>
              <w:right w:w="60" w:type="dxa"/>
            </w:tcMar>
          </w:tcPr>
          <w:p w14:paraId="21586215"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p>
          <w:p w14:paraId="56B78BAE"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p>
          <w:p w14:paraId="5A767A0F" w14:textId="77777777" w:rsidR="00C424AA" w:rsidRPr="00C424AA" w:rsidRDefault="00C424AA" w:rsidP="00C424AA">
            <w:pPr>
              <w:spacing w:after="0" w:line="240" w:lineRule="auto"/>
              <w:jc w:val="center"/>
              <w:rPr>
                <w:rFonts w:ascii="Arial" w:eastAsia="Calibri" w:hAnsi="Arial" w:cs="Arial"/>
                <w:b/>
                <w:bCs/>
                <w:sz w:val="28"/>
                <w:szCs w:val="28"/>
                <w:lang w:val="pt-BR" w:eastAsia="es-MX"/>
              </w:rPr>
            </w:pPr>
            <w:r w:rsidRPr="00C424AA">
              <w:rPr>
                <w:rFonts w:ascii="Arial" w:eastAsia="Times New Roman" w:hAnsi="Arial" w:cs="Arial"/>
                <w:b/>
                <w:bCs/>
                <w:sz w:val="28"/>
                <w:szCs w:val="28"/>
                <w:lang w:val="pt-BR" w:eastAsia="es-MX"/>
              </w:rPr>
              <w:t>MAGISTRADO PRESIDENTE</w:t>
            </w:r>
          </w:p>
          <w:p w14:paraId="0E358837"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r w:rsidRPr="00C424AA">
              <w:rPr>
                <w:rFonts w:ascii="Arial" w:eastAsia="Times New Roman" w:hAnsi="Arial" w:cs="Arial"/>
                <w:b/>
                <w:bCs/>
                <w:sz w:val="28"/>
                <w:szCs w:val="28"/>
                <w:lang w:val="pt-BR" w:eastAsia="es-MX"/>
              </w:rPr>
              <w:t>POR MINISTERIO DE LEY</w:t>
            </w:r>
          </w:p>
          <w:p w14:paraId="36B755A3"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p>
          <w:p w14:paraId="325D15C6"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p>
          <w:p w14:paraId="38191250"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p>
          <w:p w14:paraId="34E0688C" w14:textId="77777777" w:rsidR="00C424AA" w:rsidRPr="00C424AA" w:rsidRDefault="00C424AA" w:rsidP="00C424AA">
            <w:pPr>
              <w:spacing w:after="0" w:line="240" w:lineRule="auto"/>
              <w:jc w:val="center"/>
              <w:rPr>
                <w:rFonts w:ascii="Arial" w:eastAsia="Times New Roman" w:hAnsi="Arial" w:cs="Arial"/>
                <w:b/>
                <w:bCs/>
                <w:sz w:val="28"/>
                <w:szCs w:val="28"/>
                <w:lang w:val="pt-BR" w:eastAsia="es-MX"/>
              </w:rPr>
            </w:pPr>
            <w:r w:rsidRPr="00C424AA">
              <w:rPr>
                <w:rFonts w:ascii="Arial" w:eastAsia="Times New Roman" w:hAnsi="Arial" w:cs="Arial"/>
                <w:b/>
                <w:bCs/>
                <w:sz w:val="28"/>
                <w:szCs w:val="28"/>
                <w:lang w:val="pt-BR" w:eastAsia="es-MX"/>
              </w:rPr>
              <w:t>PEDRO ESTEBAN PENAGOS LÓPEZ</w:t>
            </w:r>
          </w:p>
          <w:p w14:paraId="20178267" w14:textId="77777777" w:rsidR="00C424AA" w:rsidRPr="00C424AA" w:rsidRDefault="00C424AA" w:rsidP="00C424AA">
            <w:pPr>
              <w:spacing w:after="0" w:line="240" w:lineRule="auto"/>
              <w:jc w:val="center"/>
              <w:rPr>
                <w:rFonts w:ascii="Arial" w:eastAsia="Times New Roman" w:hAnsi="Arial" w:cs="Arial"/>
                <w:sz w:val="28"/>
                <w:szCs w:val="28"/>
                <w:lang w:eastAsia="es-MX"/>
              </w:rPr>
            </w:pPr>
          </w:p>
        </w:tc>
      </w:tr>
      <w:tr w:rsidR="00C424AA" w:rsidRPr="00C424AA" w14:paraId="56436BB8" w14:textId="77777777" w:rsidTr="00BA1197">
        <w:trPr>
          <w:tblCellSpacing w:w="0" w:type="dxa"/>
          <w:jc w:val="center"/>
        </w:trPr>
        <w:tc>
          <w:tcPr>
            <w:tcW w:w="0" w:type="auto"/>
            <w:tcMar>
              <w:top w:w="60" w:type="dxa"/>
              <w:left w:w="60" w:type="dxa"/>
              <w:bottom w:w="60" w:type="dxa"/>
              <w:right w:w="60" w:type="dxa"/>
            </w:tcMar>
          </w:tcPr>
          <w:p w14:paraId="2D108CCC"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6EF62BEC"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MAGISTRADA</w:t>
            </w:r>
          </w:p>
          <w:p w14:paraId="74FFF750"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1ABFBE90"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48FE4F96"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5F400CF3"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 xml:space="preserve">MARÍA DEL CARMEN </w:t>
            </w:r>
          </w:p>
          <w:p w14:paraId="373DAFDA"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ALANIS FIGUEROA</w:t>
            </w:r>
          </w:p>
        </w:tc>
        <w:tc>
          <w:tcPr>
            <w:tcW w:w="0" w:type="auto"/>
            <w:tcMar>
              <w:top w:w="60" w:type="dxa"/>
              <w:left w:w="60" w:type="dxa"/>
              <w:bottom w:w="60" w:type="dxa"/>
              <w:right w:w="60" w:type="dxa"/>
            </w:tcMar>
          </w:tcPr>
          <w:p w14:paraId="54901569"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36924778"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MAGISTRADO</w:t>
            </w:r>
          </w:p>
          <w:p w14:paraId="24CC96C5"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57C0C4AE"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19461B22"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318BAB9D"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FLAVIO GALVÁN RIVERA</w:t>
            </w:r>
          </w:p>
        </w:tc>
      </w:tr>
      <w:tr w:rsidR="00C424AA" w:rsidRPr="00C424AA" w14:paraId="238B0E72" w14:textId="77777777" w:rsidTr="00BA1197">
        <w:trPr>
          <w:tblCellSpacing w:w="0" w:type="dxa"/>
          <w:jc w:val="center"/>
        </w:trPr>
        <w:tc>
          <w:tcPr>
            <w:tcW w:w="0" w:type="auto"/>
            <w:gridSpan w:val="2"/>
            <w:tcMar>
              <w:top w:w="60" w:type="dxa"/>
              <w:left w:w="60" w:type="dxa"/>
              <w:bottom w:w="60" w:type="dxa"/>
              <w:right w:w="60" w:type="dxa"/>
            </w:tcMar>
          </w:tcPr>
          <w:p w14:paraId="738848D5"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4E5F0F29"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MAGISTRADO</w:t>
            </w:r>
          </w:p>
          <w:p w14:paraId="2FD5746F"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2AE08651"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028D898D"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0AE29B93"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r w:rsidRPr="00C424AA">
              <w:rPr>
                <w:rFonts w:ascii="Arial" w:eastAsia="Times New Roman" w:hAnsi="Arial" w:cs="Arial"/>
                <w:b/>
                <w:bCs/>
                <w:sz w:val="28"/>
                <w:szCs w:val="28"/>
                <w:lang w:eastAsia="es-MX"/>
              </w:rPr>
              <w:t>SALVADOR OLIMPO NAVA GOMAR</w:t>
            </w:r>
          </w:p>
          <w:p w14:paraId="32771678"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1DA5CFAE"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7D1D057C"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5D68623D" w14:textId="77777777" w:rsidR="00C424AA" w:rsidRPr="00C424AA" w:rsidRDefault="00C424AA" w:rsidP="00C424AA">
            <w:pPr>
              <w:spacing w:after="0" w:line="240" w:lineRule="auto"/>
              <w:jc w:val="center"/>
              <w:rPr>
                <w:rFonts w:ascii="Arial" w:eastAsia="Calibri" w:hAnsi="Arial" w:cs="Arial"/>
                <w:b/>
                <w:bCs/>
                <w:sz w:val="28"/>
                <w:szCs w:val="28"/>
                <w:lang w:eastAsia="es-MX"/>
              </w:rPr>
            </w:pPr>
            <w:r w:rsidRPr="00C424AA">
              <w:rPr>
                <w:rFonts w:ascii="Arial" w:eastAsia="Times New Roman" w:hAnsi="Arial" w:cs="Arial"/>
                <w:b/>
                <w:bCs/>
                <w:sz w:val="28"/>
                <w:szCs w:val="28"/>
                <w:lang w:eastAsia="es-MX"/>
              </w:rPr>
              <w:t>SECRETARIO GENERAL DE ACUERDOS</w:t>
            </w:r>
          </w:p>
          <w:p w14:paraId="088DADE2"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3E5463E9"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4689ACF3" w14:textId="77777777" w:rsidR="00C424AA" w:rsidRPr="00C424AA" w:rsidRDefault="00C424AA" w:rsidP="00C424AA">
            <w:pPr>
              <w:spacing w:after="0" w:line="240" w:lineRule="auto"/>
              <w:jc w:val="center"/>
              <w:rPr>
                <w:rFonts w:ascii="Arial" w:eastAsia="Times New Roman" w:hAnsi="Arial" w:cs="Arial"/>
                <w:b/>
                <w:bCs/>
                <w:sz w:val="28"/>
                <w:szCs w:val="28"/>
                <w:lang w:eastAsia="es-MX"/>
              </w:rPr>
            </w:pPr>
          </w:p>
          <w:p w14:paraId="2ABCAECF" w14:textId="77777777" w:rsidR="00C424AA" w:rsidRPr="00C424AA" w:rsidRDefault="00C424AA" w:rsidP="00C424AA">
            <w:pPr>
              <w:spacing w:after="0" w:line="240" w:lineRule="auto"/>
              <w:jc w:val="center"/>
              <w:rPr>
                <w:rFonts w:ascii="Arial" w:eastAsia="Times New Roman" w:hAnsi="Arial" w:cs="Arial"/>
                <w:sz w:val="28"/>
                <w:szCs w:val="28"/>
                <w:lang w:eastAsia="es-MX"/>
              </w:rPr>
            </w:pPr>
            <w:r w:rsidRPr="00C424AA">
              <w:rPr>
                <w:rFonts w:ascii="Arial" w:eastAsia="Times New Roman" w:hAnsi="Arial" w:cs="Arial"/>
                <w:b/>
                <w:bCs/>
                <w:sz w:val="28"/>
                <w:szCs w:val="28"/>
                <w:lang w:eastAsia="es-MX"/>
              </w:rPr>
              <w:t>FELIPE DE LA MATA PIZAÑA</w:t>
            </w:r>
          </w:p>
        </w:tc>
      </w:tr>
    </w:tbl>
    <w:p w14:paraId="28B5FDB0" w14:textId="77777777" w:rsidR="00C424AA" w:rsidRPr="00C424AA" w:rsidRDefault="00C424AA" w:rsidP="00C424AA">
      <w:pPr>
        <w:spacing w:after="0" w:line="360" w:lineRule="auto"/>
        <w:jc w:val="both"/>
        <w:rPr>
          <w:rFonts w:ascii="Arial" w:eastAsia="Times New Roman" w:hAnsi="Arial" w:cs="Arial"/>
          <w:sz w:val="28"/>
          <w:szCs w:val="28"/>
          <w:lang w:val="es-ES" w:eastAsia="es-ES"/>
        </w:rPr>
      </w:pPr>
    </w:p>
    <w:p w14:paraId="79A3C5F3" w14:textId="77777777" w:rsidR="00C424AA" w:rsidRDefault="00C424AA"/>
    <w:sectPr w:rsidR="00C424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23773" w14:textId="77777777" w:rsidR="00885012" w:rsidRDefault="00885012" w:rsidP="00C424AA">
      <w:pPr>
        <w:spacing w:after="0" w:line="240" w:lineRule="auto"/>
      </w:pPr>
      <w:r>
        <w:separator/>
      </w:r>
    </w:p>
  </w:endnote>
  <w:endnote w:type="continuationSeparator" w:id="0">
    <w:p w14:paraId="59B2BF17" w14:textId="77777777" w:rsidR="00885012" w:rsidRDefault="00885012" w:rsidP="00C4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7E6EC" w14:textId="77777777" w:rsidR="00885012" w:rsidRDefault="00885012" w:rsidP="00C424AA">
      <w:pPr>
        <w:spacing w:after="0" w:line="240" w:lineRule="auto"/>
      </w:pPr>
      <w:r>
        <w:separator/>
      </w:r>
    </w:p>
  </w:footnote>
  <w:footnote w:type="continuationSeparator" w:id="0">
    <w:p w14:paraId="394FCC6B" w14:textId="77777777" w:rsidR="00885012" w:rsidRDefault="00885012" w:rsidP="00C424AA">
      <w:pPr>
        <w:spacing w:after="0" w:line="240" w:lineRule="auto"/>
      </w:pPr>
      <w:r>
        <w:continuationSeparator/>
      </w:r>
    </w:p>
  </w:footnote>
  <w:footnote w:id="1">
    <w:p w14:paraId="68D20D58" w14:textId="77777777" w:rsidR="00C424AA" w:rsidRPr="002B69CD" w:rsidRDefault="00C424AA" w:rsidP="00C424AA">
      <w:pPr>
        <w:pStyle w:val="Textonotapie"/>
        <w:jc w:val="both"/>
        <w:rPr>
          <w:rFonts w:ascii="Arial" w:hAnsi="Arial" w:cs="Arial"/>
          <w:sz w:val="24"/>
          <w:szCs w:val="24"/>
        </w:rPr>
      </w:pPr>
      <w:r w:rsidRPr="002B69CD">
        <w:rPr>
          <w:rStyle w:val="Refdenotaalpie"/>
          <w:rFonts w:ascii="Arial" w:hAnsi="Arial" w:cs="Arial"/>
          <w:sz w:val="24"/>
          <w:szCs w:val="24"/>
        </w:rPr>
        <w:footnoteRef/>
      </w:r>
      <w:r w:rsidRPr="002B69CD">
        <w:rPr>
          <w:rFonts w:ascii="Arial" w:hAnsi="Arial" w:cs="Arial"/>
          <w:sz w:val="24"/>
          <w:szCs w:val="24"/>
        </w:rPr>
        <w:t xml:space="preserve"> Cuaderno accesorio 1, pp. 335-337.</w:t>
      </w:r>
    </w:p>
  </w:footnote>
  <w:footnote w:id="2">
    <w:p w14:paraId="5D56E2F3"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Aprobada por la Sala Superior del Tribunal Electoral del Poder Judicial de la Federación en sesión pública celebrada el quince de abril de dos mil catorce</w:t>
      </w:r>
    </w:p>
  </w:footnote>
  <w:footnote w:id="3">
    <w:p w14:paraId="694D7963"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Cuaderno accesorio 3, páginas 82-100.</w:t>
      </w:r>
    </w:p>
  </w:footnote>
  <w:footnote w:id="4">
    <w:p w14:paraId="5C36C77F"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 xml:space="preserve">Cfr. Díaz Gómez, Floriberto. </w:t>
      </w:r>
      <w:r w:rsidRPr="002B69CD">
        <w:rPr>
          <w:rFonts w:ascii="Arial" w:hAnsi="Arial" w:cs="Arial"/>
          <w:i/>
          <w:sz w:val="24"/>
          <w:szCs w:val="24"/>
          <w:lang w:val="es-MX"/>
        </w:rPr>
        <w:t>Comunalidad, energía viva del pensamiento mixe</w:t>
      </w:r>
      <w:r w:rsidRPr="002B69CD">
        <w:rPr>
          <w:rFonts w:ascii="Arial" w:hAnsi="Arial" w:cs="Arial"/>
          <w:sz w:val="24"/>
          <w:szCs w:val="24"/>
          <w:lang w:val="es-MX"/>
        </w:rPr>
        <w:t>. México, Universidad Nacional Autónoma de México, 2007, colección la Pluralidad Cultural en México, núm. 14, pp. 34-40.</w:t>
      </w:r>
    </w:p>
  </w:footnote>
  <w:footnote w:id="5">
    <w:p w14:paraId="3C9028A1"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Ídem. p. 40.</w:t>
      </w:r>
    </w:p>
  </w:footnote>
  <w:footnote w:id="6">
    <w:p w14:paraId="01738BFF"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 xml:space="preserve">Rendón Monzón, Juan José. </w:t>
      </w:r>
      <w:r w:rsidRPr="002B69CD">
        <w:rPr>
          <w:rFonts w:ascii="Arial" w:hAnsi="Arial" w:cs="Arial"/>
          <w:i/>
          <w:sz w:val="24"/>
          <w:szCs w:val="24"/>
          <w:lang w:val="es-MX"/>
        </w:rPr>
        <w:t xml:space="preserve">La comunalidad. Modo de vida en los pueblos indios. </w:t>
      </w:r>
      <w:r w:rsidRPr="002B69CD">
        <w:rPr>
          <w:rFonts w:ascii="Arial" w:hAnsi="Arial" w:cs="Arial"/>
          <w:sz w:val="24"/>
          <w:szCs w:val="24"/>
          <w:lang w:val="es-MX"/>
        </w:rPr>
        <w:t>México, 2003 Consejo Nacional para la Cultura y las Artes, pp. 39-44.</w:t>
      </w:r>
    </w:p>
  </w:footnote>
  <w:footnote w:id="7">
    <w:p w14:paraId="48CE7181"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Ídem. p. 44.</w:t>
      </w:r>
    </w:p>
  </w:footnote>
  <w:footnote w:id="8">
    <w:p w14:paraId="32E540BA"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Ídem. p. 43.</w:t>
      </w:r>
    </w:p>
  </w:footnote>
  <w:footnote w:id="9">
    <w:p w14:paraId="1FF0DCDD"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 xml:space="preserve">Martínez Luna, Jaime. </w:t>
      </w:r>
      <w:r w:rsidRPr="002B69CD">
        <w:rPr>
          <w:rFonts w:ascii="Arial" w:hAnsi="Arial" w:cs="Arial"/>
          <w:i/>
          <w:sz w:val="24"/>
          <w:szCs w:val="24"/>
          <w:lang w:val="es-MX"/>
        </w:rPr>
        <w:t>Eso que llaman comunalidad</w:t>
      </w:r>
      <w:r w:rsidRPr="002B69CD">
        <w:rPr>
          <w:rFonts w:ascii="Arial" w:hAnsi="Arial" w:cs="Arial"/>
          <w:sz w:val="24"/>
          <w:szCs w:val="24"/>
          <w:lang w:val="es-MX"/>
        </w:rPr>
        <w:t>. México, 2010. Consejo Nacional para la Cultura y las Artes, Gobierno del Estado de Oaxaca y Fundación Alfredo Harp Helú Oaxaca, A.C. p. 48.</w:t>
      </w:r>
    </w:p>
  </w:footnote>
  <w:footnote w:id="10">
    <w:p w14:paraId="7655D416"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Consultable en la Compilación 1997-2013, Jurisprudencia y Tesis en Materia Electoral. Tesis. Volumen 2,Tomo I, páginas 1031 y 1032</w:t>
      </w:r>
    </w:p>
  </w:footnote>
  <w:footnote w:id="11">
    <w:p w14:paraId="55B64CF9" w14:textId="77777777" w:rsidR="00C424AA" w:rsidRPr="002B69CD" w:rsidRDefault="00C424AA" w:rsidP="00C424AA">
      <w:pPr>
        <w:pStyle w:val="Textonotapie"/>
        <w:jc w:val="both"/>
        <w:rPr>
          <w:rFonts w:ascii="Arial" w:hAnsi="Arial" w:cs="Arial"/>
          <w:sz w:val="24"/>
          <w:szCs w:val="24"/>
          <w:lang w:val="es-MX"/>
        </w:rPr>
      </w:pPr>
      <w:r w:rsidRPr="002B69CD">
        <w:rPr>
          <w:rStyle w:val="Refdenotaalpie"/>
          <w:rFonts w:ascii="Arial" w:hAnsi="Arial" w:cs="Arial"/>
          <w:sz w:val="24"/>
          <w:szCs w:val="24"/>
        </w:rPr>
        <w:footnoteRef/>
      </w:r>
      <w:r w:rsidRPr="002B69CD">
        <w:rPr>
          <w:rFonts w:ascii="Arial" w:hAnsi="Arial" w:cs="Arial"/>
          <w:sz w:val="24"/>
          <w:szCs w:val="24"/>
        </w:rPr>
        <w:t xml:space="preserve"> </w:t>
      </w:r>
      <w:r w:rsidRPr="002B69CD">
        <w:rPr>
          <w:rFonts w:ascii="Arial" w:hAnsi="Arial" w:cs="Arial"/>
          <w:sz w:val="24"/>
          <w:szCs w:val="24"/>
          <w:lang w:val="es-MX"/>
        </w:rPr>
        <w:t xml:space="preserve">Plan municipal de Desarrollo de Santo Tomás Tamazulapan.2008-2010 clave PDM533/12/08, consultable en el sitio electrónico de la Secretaría de Finanzas del Estado de Oaxaca: </w:t>
      </w:r>
      <w:hyperlink r:id="rId1" w:history="1">
        <w:r w:rsidRPr="002B69CD">
          <w:rPr>
            <w:rStyle w:val="Hipervnculo"/>
            <w:sz w:val="24"/>
            <w:szCs w:val="24"/>
            <w:lang w:val="es-MX"/>
          </w:rPr>
          <w:t>https://www.finanzasoaxaca.gob.mx/pmds.html</w:t>
        </w:r>
      </w:hyperlink>
      <w:r w:rsidRPr="002B69CD">
        <w:rPr>
          <w:rFonts w:ascii="Arial" w:hAnsi="Arial" w:cs="Arial"/>
          <w:sz w:val="24"/>
          <w:szCs w:val="24"/>
          <w:lang w:val="es-MX"/>
        </w:rPr>
        <w:t>.</w:t>
      </w:r>
    </w:p>
    <w:p w14:paraId="4DB3C565" w14:textId="77777777" w:rsidR="00C424AA" w:rsidRPr="002B69CD" w:rsidRDefault="00C424AA" w:rsidP="00C424AA">
      <w:pPr>
        <w:pStyle w:val="Textonotapie"/>
        <w:jc w:val="both"/>
        <w:rPr>
          <w:rFonts w:ascii="Arial" w:hAnsi="Arial" w:cs="Arial"/>
          <w:sz w:val="24"/>
          <w:szCs w:val="24"/>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B6623"/>
    <w:multiLevelType w:val="hybridMultilevel"/>
    <w:tmpl w:val="15AA6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992F5B"/>
    <w:multiLevelType w:val="hybridMultilevel"/>
    <w:tmpl w:val="C480F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64F1144"/>
    <w:multiLevelType w:val="hybridMultilevel"/>
    <w:tmpl w:val="2B98B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512460"/>
    <w:multiLevelType w:val="hybridMultilevel"/>
    <w:tmpl w:val="82B83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4E7091"/>
    <w:multiLevelType w:val="hybridMultilevel"/>
    <w:tmpl w:val="9392CB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610543"/>
    <w:multiLevelType w:val="hybridMultilevel"/>
    <w:tmpl w:val="B838C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20"/>
    <w:rsid w:val="001203A9"/>
    <w:rsid w:val="00263E21"/>
    <w:rsid w:val="003837FD"/>
    <w:rsid w:val="005D0220"/>
    <w:rsid w:val="00715283"/>
    <w:rsid w:val="00785021"/>
    <w:rsid w:val="00885012"/>
    <w:rsid w:val="00C424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C8A7"/>
  <w15:chartTrackingRefBased/>
  <w15:docId w15:val="{B5EE08CB-6F7C-4334-AB59-A7113712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850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850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5D022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5D0220"/>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D0220"/>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5D0220"/>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5D0220"/>
    <w:rPr>
      <w:b/>
      <w:bCs/>
    </w:rPr>
  </w:style>
  <w:style w:type="character" w:styleId="Hipervnculo">
    <w:name w:val="Hyperlink"/>
    <w:basedOn w:val="Fuentedeprrafopredeter"/>
    <w:uiPriority w:val="99"/>
    <w:semiHidden/>
    <w:unhideWhenUsed/>
    <w:rsid w:val="005D0220"/>
    <w:rPr>
      <w:color w:val="0000FF"/>
      <w:u w:val="single"/>
    </w:rPr>
  </w:style>
  <w:style w:type="paragraph" w:styleId="NormalWeb">
    <w:name w:val="Normal (Web)"/>
    <w:basedOn w:val="Normal"/>
    <w:uiPriority w:val="99"/>
    <w:semiHidden/>
    <w:unhideWhenUsed/>
    <w:rsid w:val="005D02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785021"/>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785021"/>
    <w:rPr>
      <w:rFonts w:asciiTheme="majorHAnsi" w:eastAsiaTheme="majorEastAsia" w:hAnsiTheme="majorHAnsi" w:cstheme="majorBidi"/>
      <w:color w:val="2F5496"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qFormat/>
    <w:rsid w:val="00C424AA"/>
    <w:pPr>
      <w:spacing w:after="0" w:line="240" w:lineRule="auto"/>
    </w:pPr>
    <w:rPr>
      <w:rFonts w:ascii="Univers" w:eastAsia="Times New Roman" w:hAnsi="Univers"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424AA"/>
    <w:rPr>
      <w:rFonts w:ascii="Univers" w:eastAsia="Times New Roman" w:hAnsi="Univers"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rsid w:val="00C424A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0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zasoaxaca.gob.mx/pmds.html%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7114</Words>
  <Characters>39128</Characters>
  <Application>Microsoft Office Word</Application>
  <DocSecurity>0</DocSecurity>
  <Lines>326</Lines>
  <Paragraphs>92</Paragraphs>
  <ScaleCrop>false</ScaleCrop>
  <Company/>
  <LinksUpToDate>false</LinksUpToDate>
  <CharactersWithSpaces>46150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2020-12-11T00:04:00Z</dcterms:created>
  <dcterms:modified xsi:type="dcterms:W3CDTF">2020-12-15T19:10:00Z</dcterms:modified>
</cp:coreProperties>
</file>