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2E8" w:rsidRDefault="009572E8" w:rsidP="009D3250">
      <w:pPr>
        <w:ind w:left="3402"/>
        <w:jc w:val="both"/>
        <w:rPr>
          <w:rFonts w:ascii="Century Gothic" w:hAnsi="Century Gothic" w:cs="Arial"/>
          <w:b/>
          <w:bCs/>
          <w:sz w:val="27"/>
          <w:szCs w:val="27"/>
        </w:rPr>
      </w:pPr>
    </w:p>
    <w:p w:rsidR="00D7197B" w:rsidRPr="00CD38A0" w:rsidRDefault="00C4333D" w:rsidP="009D3250">
      <w:pPr>
        <w:ind w:left="3402"/>
        <w:jc w:val="both"/>
        <w:rPr>
          <w:rFonts w:ascii="Century Gothic" w:hAnsi="Century Gothic" w:cs="Arial"/>
          <w:b/>
          <w:bCs/>
          <w:sz w:val="27"/>
          <w:szCs w:val="27"/>
        </w:rPr>
      </w:pPr>
      <w:r>
        <w:rPr>
          <w:rFonts w:ascii="Century Gothic" w:hAnsi="Century Gothic" w:cs="Arial"/>
          <w:b/>
          <w:bCs/>
          <w:sz w:val="27"/>
          <w:szCs w:val="27"/>
        </w:rPr>
        <w:t>ASUNTO GENERAL</w:t>
      </w:r>
    </w:p>
    <w:p w:rsidR="00D7197B" w:rsidRPr="00AD23C0" w:rsidRDefault="00D7197B" w:rsidP="009D3250">
      <w:pPr>
        <w:ind w:left="3402"/>
        <w:rPr>
          <w:rFonts w:ascii="Century Gothic" w:hAnsi="Century Gothic" w:cs="Arial"/>
          <w:b/>
          <w:bCs/>
          <w:sz w:val="28"/>
          <w:szCs w:val="27"/>
        </w:rPr>
      </w:pPr>
    </w:p>
    <w:p w:rsidR="00D7197B" w:rsidRPr="00CD38A0" w:rsidRDefault="00D7197B" w:rsidP="009D3250">
      <w:pPr>
        <w:ind w:left="3402"/>
        <w:jc w:val="both"/>
        <w:rPr>
          <w:rFonts w:ascii="Century Gothic" w:hAnsi="Century Gothic" w:cs="Arial"/>
          <w:b/>
          <w:bCs/>
          <w:sz w:val="27"/>
          <w:szCs w:val="27"/>
          <w:lang w:val="pt-BR"/>
        </w:rPr>
      </w:pPr>
      <w:r w:rsidRPr="00CD38A0">
        <w:rPr>
          <w:rFonts w:ascii="Century Gothic" w:hAnsi="Century Gothic" w:cs="Arial"/>
          <w:b/>
          <w:bCs/>
          <w:sz w:val="27"/>
          <w:szCs w:val="27"/>
          <w:lang w:val="pt-BR"/>
        </w:rPr>
        <w:t xml:space="preserve">EXPEDIENTE: </w:t>
      </w:r>
      <w:r w:rsidR="004B65D2" w:rsidRPr="00CD38A0">
        <w:rPr>
          <w:rFonts w:ascii="Century Gothic" w:hAnsi="Century Gothic" w:cs="Arial"/>
          <w:bCs/>
          <w:sz w:val="27"/>
          <w:szCs w:val="27"/>
          <w:lang w:val="pt-BR"/>
        </w:rPr>
        <w:t>SUP-</w:t>
      </w:r>
      <w:r w:rsidR="00C4333D">
        <w:rPr>
          <w:rFonts w:ascii="Century Gothic" w:hAnsi="Century Gothic" w:cs="Arial"/>
          <w:bCs/>
          <w:sz w:val="27"/>
          <w:szCs w:val="27"/>
          <w:lang w:val="pt-BR"/>
        </w:rPr>
        <w:t>AG-92/</w:t>
      </w:r>
      <w:r w:rsidR="002D0087" w:rsidRPr="00CD38A0">
        <w:rPr>
          <w:rFonts w:ascii="Century Gothic" w:hAnsi="Century Gothic" w:cs="Arial"/>
          <w:bCs/>
          <w:sz w:val="27"/>
          <w:szCs w:val="27"/>
          <w:lang w:val="pt-BR"/>
        </w:rPr>
        <w:t>2017</w:t>
      </w:r>
    </w:p>
    <w:p w:rsidR="00D7197B" w:rsidRPr="00AD23C0" w:rsidRDefault="00D7197B" w:rsidP="009D3250">
      <w:pPr>
        <w:ind w:left="3402"/>
        <w:rPr>
          <w:rFonts w:ascii="Century Gothic" w:hAnsi="Century Gothic" w:cs="Arial"/>
          <w:b/>
          <w:bCs/>
          <w:sz w:val="28"/>
          <w:szCs w:val="27"/>
          <w:lang w:val="pt-BR"/>
        </w:rPr>
      </w:pPr>
    </w:p>
    <w:p w:rsidR="00D7197B" w:rsidRPr="00AF50AC" w:rsidRDefault="002D0087" w:rsidP="009D3250">
      <w:pPr>
        <w:ind w:left="3402"/>
        <w:jc w:val="both"/>
        <w:rPr>
          <w:rFonts w:ascii="Century Gothic" w:hAnsi="Century Gothic" w:cs="Arial"/>
          <w:bCs/>
          <w:sz w:val="27"/>
          <w:szCs w:val="27"/>
        </w:rPr>
      </w:pPr>
      <w:r w:rsidRPr="00CD38A0">
        <w:rPr>
          <w:rFonts w:ascii="Century Gothic" w:hAnsi="Century Gothic" w:cs="Arial"/>
          <w:b/>
          <w:bCs/>
          <w:sz w:val="27"/>
          <w:szCs w:val="27"/>
          <w:lang w:val="es-MX"/>
        </w:rPr>
        <w:t>ACTOR</w:t>
      </w:r>
      <w:r w:rsidR="00D7197B" w:rsidRPr="00CD38A0">
        <w:rPr>
          <w:rFonts w:ascii="Century Gothic" w:hAnsi="Century Gothic" w:cs="Arial"/>
          <w:b/>
          <w:bCs/>
          <w:sz w:val="27"/>
          <w:szCs w:val="27"/>
          <w:lang w:val="es-MX"/>
        </w:rPr>
        <w:t xml:space="preserve">: </w:t>
      </w:r>
      <w:r w:rsidR="00AF50AC">
        <w:rPr>
          <w:rFonts w:ascii="Arial" w:hAnsi="Arial" w:cs="Arial"/>
          <w:noProof/>
          <w:sz w:val="26"/>
          <w:szCs w:val="26"/>
          <w:lang w:val="es-MX" w:eastAsia="es-MX"/>
        </w:rPr>
        <w:drawing>
          <wp:inline distT="0" distB="0" distL="0" distR="0" wp14:anchorId="516B25C2" wp14:editId="169474C5">
            <wp:extent cx="1981200"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p>
    <w:p w:rsidR="00D7197B" w:rsidRPr="00AD23C0" w:rsidRDefault="00D7197B" w:rsidP="00C4333D">
      <w:pPr>
        <w:rPr>
          <w:rFonts w:ascii="Century Gothic" w:hAnsi="Century Gothic" w:cs="Arial"/>
          <w:b/>
          <w:bCs/>
          <w:sz w:val="28"/>
          <w:szCs w:val="27"/>
        </w:rPr>
      </w:pPr>
    </w:p>
    <w:p w:rsidR="00D7197B" w:rsidRPr="00CD38A0" w:rsidRDefault="00D7197B" w:rsidP="009D3250">
      <w:pPr>
        <w:ind w:left="3402"/>
        <w:jc w:val="both"/>
        <w:rPr>
          <w:rFonts w:ascii="Century Gothic" w:hAnsi="Century Gothic" w:cs="Arial"/>
          <w:b/>
          <w:bCs/>
          <w:sz w:val="27"/>
          <w:szCs w:val="27"/>
        </w:rPr>
      </w:pPr>
      <w:r w:rsidRPr="00CD38A0">
        <w:rPr>
          <w:rFonts w:ascii="Century Gothic" w:hAnsi="Century Gothic" w:cs="Arial"/>
          <w:b/>
          <w:bCs/>
          <w:sz w:val="27"/>
          <w:szCs w:val="27"/>
        </w:rPr>
        <w:t>MAGISTRAD</w:t>
      </w:r>
      <w:r w:rsidR="0055447E" w:rsidRPr="00CD38A0">
        <w:rPr>
          <w:rFonts w:ascii="Century Gothic" w:hAnsi="Century Gothic" w:cs="Arial"/>
          <w:b/>
          <w:bCs/>
          <w:sz w:val="27"/>
          <w:szCs w:val="27"/>
        </w:rPr>
        <w:t>A</w:t>
      </w:r>
      <w:r w:rsidRPr="00CD38A0">
        <w:rPr>
          <w:rFonts w:ascii="Century Gothic" w:hAnsi="Century Gothic" w:cs="Arial"/>
          <w:b/>
          <w:bCs/>
          <w:sz w:val="27"/>
          <w:szCs w:val="27"/>
        </w:rPr>
        <w:t xml:space="preserve"> ELECTORAL: </w:t>
      </w:r>
      <w:r w:rsidR="00D90EEC" w:rsidRPr="00CD38A0">
        <w:rPr>
          <w:rFonts w:ascii="Century Gothic" w:hAnsi="Century Gothic" w:cs="Arial"/>
          <w:bCs/>
          <w:sz w:val="27"/>
          <w:szCs w:val="27"/>
        </w:rPr>
        <w:t>MÓNICA ARALÍ SOTO FREGOSO</w:t>
      </w:r>
    </w:p>
    <w:p w:rsidR="00D7197B" w:rsidRPr="00AD23C0" w:rsidRDefault="00D7197B" w:rsidP="009D3250">
      <w:pPr>
        <w:ind w:left="3402"/>
        <w:rPr>
          <w:rFonts w:ascii="Century Gothic" w:hAnsi="Century Gothic" w:cs="Arial"/>
          <w:b/>
          <w:bCs/>
          <w:sz w:val="28"/>
          <w:szCs w:val="27"/>
        </w:rPr>
      </w:pPr>
    </w:p>
    <w:p w:rsidR="00D7197B" w:rsidRPr="00125248" w:rsidRDefault="00D7197B" w:rsidP="00125248">
      <w:pPr>
        <w:ind w:left="3402"/>
        <w:jc w:val="both"/>
        <w:rPr>
          <w:rFonts w:ascii="Century Gothic" w:hAnsi="Century Gothic" w:cs="Arial"/>
          <w:b/>
          <w:bCs/>
          <w:sz w:val="27"/>
          <w:szCs w:val="27"/>
        </w:rPr>
      </w:pPr>
      <w:r w:rsidRPr="00CD38A0">
        <w:rPr>
          <w:rFonts w:ascii="Century Gothic" w:hAnsi="Century Gothic" w:cs="Arial"/>
          <w:b/>
          <w:bCs/>
          <w:sz w:val="27"/>
          <w:szCs w:val="27"/>
        </w:rPr>
        <w:t>SE</w:t>
      </w:r>
      <w:r w:rsidR="00354CE6" w:rsidRPr="00CD38A0">
        <w:rPr>
          <w:rFonts w:ascii="Century Gothic" w:hAnsi="Century Gothic" w:cs="Arial"/>
          <w:b/>
          <w:bCs/>
          <w:sz w:val="27"/>
          <w:szCs w:val="27"/>
        </w:rPr>
        <w:t>CRETARIA</w:t>
      </w:r>
      <w:r w:rsidRPr="00CD38A0">
        <w:rPr>
          <w:rFonts w:ascii="Century Gothic" w:hAnsi="Century Gothic" w:cs="Arial"/>
          <w:b/>
          <w:bCs/>
          <w:sz w:val="27"/>
          <w:szCs w:val="27"/>
        </w:rPr>
        <w:t>:</w:t>
      </w:r>
      <w:r w:rsidR="00D90EEC" w:rsidRPr="00CD38A0">
        <w:rPr>
          <w:rFonts w:ascii="Century Gothic" w:hAnsi="Century Gothic" w:cs="Arial"/>
          <w:b/>
          <w:bCs/>
          <w:sz w:val="27"/>
          <w:szCs w:val="27"/>
        </w:rPr>
        <w:t xml:space="preserve"> </w:t>
      </w:r>
      <w:r w:rsidR="00354CE6" w:rsidRPr="00CD38A0">
        <w:rPr>
          <w:rFonts w:ascii="Century Gothic" w:hAnsi="Century Gothic" w:cs="Arial"/>
          <w:bCs/>
          <w:sz w:val="27"/>
          <w:szCs w:val="27"/>
        </w:rPr>
        <w:t>MARÍA FERNANDA SÁNCHEZ RUBIO</w:t>
      </w:r>
      <w:r w:rsidR="00C4333D">
        <w:rPr>
          <w:rFonts w:ascii="Century Gothic" w:hAnsi="Century Gothic" w:cs="Arial"/>
          <w:bCs/>
          <w:sz w:val="27"/>
          <w:szCs w:val="27"/>
        </w:rPr>
        <w:t xml:space="preserve"> </w:t>
      </w:r>
    </w:p>
    <w:p w:rsidR="00AF091B" w:rsidRPr="00AD23C0" w:rsidRDefault="00AF091B" w:rsidP="009D3250">
      <w:pPr>
        <w:spacing w:line="360" w:lineRule="auto"/>
        <w:jc w:val="both"/>
        <w:rPr>
          <w:rFonts w:ascii="Century Gothic" w:hAnsi="Century Gothic" w:cs="Arial"/>
          <w:position w:val="6"/>
          <w:sz w:val="28"/>
          <w:szCs w:val="27"/>
          <w:lang w:eastAsia="es-MX"/>
        </w:rPr>
      </w:pPr>
    </w:p>
    <w:p w:rsidR="0023307B" w:rsidRPr="00CD38A0" w:rsidRDefault="00602C43" w:rsidP="009D3250">
      <w:pPr>
        <w:spacing w:line="360" w:lineRule="auto"/>
        <w:jc w:val="both"/>
        <w:rPr>
          <w:rFonts w:ascii="Century Gothic" w:hAnsi="Century Gothic" w:cs="Arial"/>
          <w:position w:val="6"/>
          <w:sz w:val="27"/>
          <w:szCs w:val="27"/>
          <w:lang w:eastAsia="es-MX"/>
        </w:rPr>
      </w:pPr>
      <w:r w:rsidRPr="00CD38A0">
        <w:rPr>
          <w:rFonts w:ascii="Century Gothic" w:hAnsi="Century Gothic" w:cs="Arial"/>
          <w:position w:val="6"/>
          <w:sz w:val="27"/>
          <w:szCs w:val="27"/>
          <w:lang w:eastAsia="es-MX"/>
        </w:rPr>
        <w:t xml:space="preserve">Ciudad de México, a </w:t>
      </w:r>
      <w:r w:rsidR="00174BC5">
        <w:rPr>
          <w:rFonts w:ascii="Century Gothic" w:hAnsi="Century Gothic" w:cs="Arial"/>
          <w:position w:val="6"/>
          <w:sz w:val="27"/>
          <w:szCs w:val="27"/>
          <w:lang w:eastAsia="es-MX"/>
        </w:rPr>
        <w:t>veinte</w:t>
      </w:r>
      <w:r w:rsidR="005260BB">
        <w:rPr>
          <w:rFonts w:ascii="Century Gothic" w:hAnsi="Century Gothic" w:cs="Arial"/>
          <w:position w:val="6"/>
          <w:sz w:val="27"/>
          <w:szCs w:val="27"/>
          <w:lang w:eastAsia="es-MX"/>
        </w:rPr>
        <w:t xml:space="preserve"> de diciem</w:t>
      </w:r>
      <w:r w:rsidR="00B01DD1" w:rsidRPr="00CD38A0">
        <w:rPr>
          <w:rFonts w:ascii="Century Gothic" w:hAnsi="Century Gothic" w:cs="Arial"/>
          <w:position w:val="6"/>
          <w:sz w:val="27"/>
          <w:szCs w:val="27"/>
          <w:lang w:eastAsia="es-MX"/>
        </w:rPr>
        <w:t>bre</w:t>
      </w:r>
      <w:r w:rsidR="004B65D2" w:rsidRPr="00CD38A0">
        <w:rPr>
          <w:rFonts w:ascii="Century Gothic" w:hAnsi="Century Gothic" w:cs="Arial"/>
          <w:position w:val="6"/>
          <w:sz w:val="27"/>
          <w:szCs w:val="27"/>
          <w:lang w:eastAsia="es-MX"/>
        </w:rPr>
        <w:t xml:space="preserve"> de dos mil diecisiete. </w:t>
      </w:r>
      <w:r w:rsidR="00354CE6" w:rsidRPr="00CD38A0">
        <w:rPr>
          <w:rFonts w:ascii="Century Gothic" w:hAnsi="Century Gothic" w:cs="Arial"/>
          <w:position w:val="6"/>
          <w:sz w:val="27"/>
          <w:szCs w:val="27"/>
          <w:lang w:eastAsia="es-MX"/>
        </w:rPr>
        <w:t xml:space="preserve"> </w:t>
      </w:r>
    </w:p>
    <w:p w:rsidR="00126C17" w:rsidRPr="00AD23C0" w:rsidRDefault="00126C17" w:rsidP="009D3250">
      <w:pPr>
        <w:spacing w:line="360" w:lineRule="auto"/>
        <w:jc w:val="both"/>
        <w:rPr>
          <w:rFonts w:ascii="Century Gothic" w:hAnsi="Century Gothic"/>
          <w:sz w:val="28"/>
          <w:szCs w:val="27"/>
          <w:lang w:eastAsia="es-MX"/>
        </w:rPr>
      </w:pPr>
    </w:p>
    <w:p w:rsidR="005260BB" w:rsidRPr="007F77F6" w:rsidRDefault="00272443" w:rsidP="007F77F6">
      <w:pPr>
        <w:spacing w:line="360" w:lineRule="auto"/>
        <w:jc w:val="both"/>
        <w:rPr>
          <w:rFonts w:ascii="Century Gothic" w:hAnsi="Century Gothic"/>
          <w:sz w:val="27"/>
          <w:szCs w:val="27"/>
          <w:lang w:eastAsia="es-MX"/>
        </w:rPr>
      </w:pPr>
      <w:r w:rsidRPr="00CD38A0">
        <w:rPr>
          <w:rFonts w:ascii="Century Gothic" w:hAnsi="Century Gothic"/>
          <w:sz w:val="27"/>
          <w:szCs w:val="27"/>
          <w:lang w:eastAsia="es-MX"/>
        </w:rPr>
        <w:t xml:space="preserve">En el </w:t>
      </w:r>
      <w:r w:rsidR="007F77F6">
        <w:rPr>
          <w:rFonts w:ascii="Century Gothic" w:hAnsi="Century Gothic"/>
          <w:sz w:val="27"/>
          <w:szCs w:val="27"/>
          <w:lang w:eastAsia="es-MX"/>
        </w:rPr>
        <w:t>asunto general</w:t>
      </w:r>
      <w:r w:rsidR="00850071">
        <w:rPr>
          <w:rFonts w:ascii="Century Gothic" w:hAnsi="Century Gothic"/>
          <w:sz w:val="27"/>
          <w:szCs w:val="27"/>
          <w:lang w:eastAsia="es-MX"/>
        </w:rPr>
        <w:t xml:space="preserve"> </w:t>
      </w:r>
      <w:r w:rsidR="005260BB">
        <w:rPr>
          <w:rFonts w:ascii="Century Gothic" w:hAnsi="Century Gothic"/>
          <w:sz w:val="27"/>
          <w:szCs w:val="27"/>
          <w:lang w:eastAsia="es-MX"/>
        </w:rPr>
        <w:t>indicado al rubro</w:t>
      </w:r>
      <w:r w:rsidRPr="00CD38A0">
        <w:rPr>
          <w:rFonts w:ascii="Century Gothic" w:hAnsi="Century Gothic"/>
          <w:sz w:val="27"/>
          <w:szCs w:val="27"/>
          <w:lang w:eastAsia="es-MX"/>
        </w:rPr>
        <w:t xml:space="preserve">, la Sala Superior del Tribunal Electoral del Poder Judicial de la Federación, </w:t>
      </w:r>
      <w:r w:rsidR="00AF091B" w:rsidRPr="00CD38A0">
        <w:rPr>
          <w:rFonts w:ascii="Century Gothic" w:hAnsi="Century Gothic"/>
          <w:b/>
          <w:sz w:val="27"/>
          <w:szCs w:val="27"/>
          <w:lang w:eastAsia="es-MX"/>
        </w:rPr>
        <w:t>RESUELVE</w:t>
      </w:r>
      <w:r w:rsidR="007F77F6">
        <w:rPr>
          <w:rFonts w:ascii="Century Gothic" w:hAnsi="Century Gothic"/>
          <w:sz w:val="27"/>
          <w:szCs w:val="27"/>
          <w:lang w:eastAsia="es-MX"/>
        </w:rPr>
        <w:t xml:space="preserve"> </w:t>
      </w:r>
      <w:r w:rsidR="00C41BE7">
        <w:rPr>
          <w:rFonts w:ascii="Century Gothic" w:hAnsi="Century Gothic"/>
          <w:sz w:val="27"/>
          <w:szCs w:val="27"/>
          <w:lang w:eastAsia="es-MX"/>
        </w:rPr>
        <w:t xml:space="preserve">desechar de plano la demanda presentada por el actor. </w:t>
      </w:r>
      <w:r w:rsidR="007F77F6">
        <w:rPr>
          <w:rFonts w:ascii="Century Gothic" w:hAnsi="Century Gothic"/>
          <w:sz w:val="27"/>
          <w:szCs w:val="27"/>
          <w:lang w:eastAsia="es-MX"/>
        </w:rPr>
        <w:t xml:space="preserve"> </w:t>
      </w:r>
    </w:p>
    <w:p w:rsidR="00AF091B" w:rsidRPr="00AD23C0" w:rsidRDefault="00AF091B" w:rsidP="009D3250">
      <w:pPr>
        <w:spacing w:line="360" w:lineRule="auto"/>
        <w:rPr>
          <w:rFonts w:ascii="Century Gothic" w:hAnsi="Century Gothic" w:cs="Arial"/>
          <w:b/>
          <w:bCs/>
          <w:position w:val="6"/>
          <w:sz w:val="28"/>
          <w:szCs w:val="27"/>
          <w:lang w:eastAsia="es-MX"/>
        </w:rPr>
      </w:pPr>
    </w:p>
    <w:p w:rsidR="0023307B" w:rsidRPr="00CD38A0" w:rsidRDefault="00DE33DA" w:rsidP="00AF091B">
      <w:pPr>
        <w:spacing w:line="360" w:lineRule="auto"/>
        <w:rPr>
          <w:rFonts w:ascii="Century Gothic" w:hAnsi="Century Gothic" w:cs="Arial"/>
          <w:b/>
          <w:bCs/>
          <w:position w:val="6"/>
          <w:sz w:val="27"/>
          <w:szCs w:val="27"/>
          <w:lang w:eastAsia="es-MX"/>
        </w:rPr>
      </w:pPr>
      <w:r w:rsidRPr="00CD38A0">
        <w:rPr>
          <w:rFonts w:ascii="Century Gothic" w:hAnsi="Century Gothic" w:cs="Arial"/>
          <w:b/>
          <w:bCs/>
          <w:position w:val="6"/>
          <w:sz w:val="27"/>
          <w:szCs w:val="27"/>
          <w:lang w:eastAsia="es-MX"/>
        </w:rPr>
        <w:t>ANTECEDENTES</w:t>
      </w:r>
    </w:p>
    <w:p w:rsidR="00AF091B" w:rsidRPr="00AD23C0" w:rsidRDefault="00AF091B" w:rsidP="00AF091B">
      <w:pPr>
        <w:spacing w:line="360" w:lineRule="auto"/>
        <w:rPr>
          <w:rFonts w:ascii="Century Gothic" w:hAnsi="Century Gothic" w:cs="Arial"/>
          <w:b/>
          <w:bCs/>
          <w:position w:val="6"/>
          <w:sz w:val="28"/>
          <w:szCs w:val="27"/>
          <w:lang w:eastAsia="es-MX"/>
        </w:rPr>
      </w:pPr>
    </w:p>
    <w:p w:rsidR="0023307B" w:rsidRPr="00CD38A0" w:rsidRDefault="0023307B" w:rsidP="009D3250">
      <w:pPr>
        <w:spacing w:line="360" w:lineRule="auto"/>
        <w:jc w:val="both"/>
        <w:rPr>
          <w:rFonts w:ascii="Century Gothic" w:hAnsi="Century Gothic" w:cs="Arial"/>
          <w:bCs/>
          <w:position w:val="6"/>
          <w:sz w:val="27"/>
          <w:szCs w:val="27"/>
          <w:lang w:eastAsia="es-MX"/>
        </w:rPr>
      </w:pPr>
      <w:r w:rsidRPr="00CD38A0">
        <w:rPr>
          <w:rFonts w:ascii="Century Gothic" w:hAnsi="Century Gothic" w:cs="Arial"/>
          <w:bCs/>
          <w:position w:val="6"/>
          <w:sz w:val="27"/>
          <w:szCs w:val="27"/>
          <w:lang w:eastAsia="es-MX"/>
        </w:rPr>
        <w:t xml:space="preserve">Del escrito de demanda y de las constancias </w:t>
      </w:r>
      <w:r w:rsidR="006B3694" w:rsidRPr="00CD38A0">
        <w:rPr>
          <w:rFonts w:ascii="Century Gothic" w:hAnsi="Century Gothic" w:cs="Arial"/>
          <w:bCs/>
          <w:position w:val="6"/>
          <w:sz w:val="27"/>
          <w:szCs w:val="27"/>
          <w:lang w:eastAsia="es-MX"/>
        </w:rPr>
        <w:t>del</w:t>
      </w:r>
      <w:r w:rsidRPr="00CD38A0">
        <w:rPr>
          <w:rFonts w:ascii="Century Gothic" w:hAnsi="Century Gothic" w:cs="Arial"/>
          <w:bCs/>
          <w:position w:val="6"/>
          <w:sz w:val="27"/>
          <w:szCs w:val="27"/>
          <w:lang w:eastAsia="es-MX"/>
        </w:rPr>
        <w:t xml:space="preserve"> expediente se </w:t>
      </w:r>
      <w:r w:rsidR="003430A1" w:rsidRPr="00CD38A0">
        <w:rPr>
          <w:rFonts w:ascii="Century Gothic" w:hAnsi="Century Gothic" w:cs="Arial"/>
          <w:bCs/>
          <w:position w:val="6"/>
          <w:sz w:val="27"/>
          <w:szCs w:val="27"/>
          <w:lang w:eastAsia="es-MX"/>
        </w:rPr>
        <w:t>advierten</w:t>
      </w:r>
      <w:r w:rsidRPr="00CD38A0">
        <w:rPr>
          <w:rFonts w:ascii="Century Gothic" w:hAnsi="Century Gothic" w:cs="Arial"/>
          <w:bCs/>
          <w:position w:val="6"/>
          <w:sz w:val="27"/>
          <w:szCs w:val="27"/>
          <w:lang w:eastAsia="es-MX"/>
        </w:rPr>
        <w:t xml:space="preserve"> lo</w:t>
      </w:r>
      <w:r w:rsidR="00700FE5" w:rsidRPr="00CD38A0">
        <w:rPr>
          <w:rFonts w:ascii="Century Gothic" w:hAnsi="Century Gothic" w:cs="Arial"/>
          <w:bCs/>
          <w:position w:val="6"/>
          <w:sz w:val="27"/>
          <w:szCs w:val="27"/>
          <w:lang w:eastAsia="es-MX"/>
        </w:rPr>
        <w:t>s</w:t>
      </w:r>
      <w:r w:rsidRPr="00CD38A0">
        <w:rPr>
          <w:rFonts w:ascii="Century Gothic" w:hAnsi="Century Gothic" w:cs="Arial"/>
          <w:bCs/>
          <w:position w:val="6"/>
          <w:sz w:val="27"/>
          <w:szCs w:val="27"/>
          <w:lang w:eastAsia="es-MX"/>
        </w:rPr>
        <w:t xml:space="preserve"> </w:t>
      </w:r>
      <w:r w:rsidR="00700FE5" w:rsidRPr="00CD38A0">
        <w:rPr>
          <w:rFonts w:ascii="Century Gothic" w:hAnsi="Century Gothic" w:cs="Arial"/>
          <w:bCs/>
          <w:position w:val="6"/>
          <w:sz w:val="27"/>
          <w:szCs w:val="27"/>
          <w:lang w:eastAsia="es-MX"/>
        </w:rPr>
        <w:t>hechos</w:t>
      </w:r>
      <w:r w:rsidR="00732399" w:rsidRPr="00CD38A0">
        <w:rPr>
          <w:rFonts w:ascii="Century Gothic" w:hAnsi="Century Gothic" w:cs="Arial"/>
          <w:bCs/>
          <w:position w:val="6"/>
          <w:sz w:val="27"/>
          <w:szCs w:val="27"/>
          <w:lang w:eastAsia="es-MX"/>
        </w:rPr>
        <w:t xml:space="preserve"> siguientes</w:t>
      </w:r>
      <w:r w:rsidRPr="00CD38A0">
        <w:rPr>
          <w:rFonts w:ascii="Century Gothic" w:hAnsi="Century Gothic" w:cs="Arial"/>
          <w:bCs/>
          <w:position w:val="6"/>
          <w:sz w:val="27"/>
          <w:szCs w:val="27"/>
          <w:lang w:eastAsia="es-MX"/>
        </w:rPr>
        <w:t>:</w:t>
      </w:r>
    </w:p>
    <w:p w:rsidR="00BD7556" w:rsidRPr="00AD23C0" w:rsidRDefault="00BD7556" w:rsidP="00DE33DA">
      <w:pPr>
        <w:pStyle w:val="Sinespaciado"/>
        <w:spacing w:line="360" w:lineRule="auto"/>
        <w:jc w:val="both"/>
        <w:rPr>
          <w:rFonts w:ascii="Century Gothic" w:hAnsi="Century Gothic" w:cs="Arial"/>
          <w:bCs/>
          <w:position w:val="6"/>
          <w:sz w:val="28"/>
          <w:szCs w:val="27"/>
          <w:lang w:eastAsia="es-MX"/>
        </w:rPr>
      </w:pPr>
    </w:p>
    <w:p w:rsidR="00F51FB3" w:rsidRDefault="00DE33DA" w:rsidP="00DE33DA">
      <w:pPr>
        <w:pStyle w:val="Sinespaciado"/>
        <w:spacing w:line="360" w:lineRule="auto"/>
        <w:jc w:val="both"/>
        <w:rPr>
          <w:rFonts w:ascii="Century Gothic" w:hAnsi="Century Gothic" w:cs="Arial"/>
          <w:bCs/>
          <w:position w:val="6"/>
          <w:sz w:val="27"/>
          <w:szCs w:val="27"/>
          <w:lang w:eastAsia="es-MX"/>
        </w:rPr>
      </w:pPr>
      <w:r w:rsidRPr="00CD38A0">
        <w:rPr>
          <w:rFonts w:ascii="Century Gothic" w:hAnsi="Century Gothic" w:cs="Arial"/>
          <w:b/>
          <w:bCs/>
          <w:position w:val="6"/>
          <w:sz w:val="27"/>
          <w:szCs w:val="27"/>
          <w:lang w:eastAsia="es-MX"/>
        </w:rPr>
        <w:t xml:space="preserve">I. </w:t>
      </w:r>
      <w:r w:rsidR="005260BB">
        <w:rPr>
          <w:rFonts w:ascii="Century Gothic" w:hAnsi="Century Gothic" w:cs="Arial"/>
          <w:b/>
          <w:bCs/>
          <w:position w:val="6"/>
          <w:sz w:val="27"/>
          <w:szCs w:val="27"/>
          <w:lang w:eastAsia="es-MX"/>
        </w:rPr>
        <w:t xml:space="preserve">Recepción del medio de impugnación. </w:t>
      </w:r>
      <w:r w:rsidR="005260BB">
        <w:rPr>
          <w:rFonts w:ascii="Century Gothic" w:hAnsi="Century Gothic" w:cs="Arial"/>
          <w:bCs/>
          <w:position w:val="6"/>
          <w:sz w:val="27"/>
          <w:szCs w:val="27"/>
          <w:lang w:eastAsia="es-MX"/>
        </w:rPr>
        <w:t xml:space="preserve">El veintiséis de septiembre del presente año, se recibió en la Oficialía de Partes de esta Sala Superior, escrito por medio del cual </w:t>
      </w:r>
      <w:r w:rsidR="00AF50AC">
        <w:rPr>
          <w:rFonts w:ascii="Arial" w:hAnsi="Arial" w:cs="Arial"/>
          <w:noProof/>
          <w:sz w:val="26"/>
          <w:szCs w:val="26"/>
          <w:lang w:val="es-MX" w:eastAsia="es-MX"/>
        </w:rPr>
        <w:drawing>
          <wp:inline distT="0" distB="0" distL="0" distR="0" wp14:anchorId="3FFBC058" wp14:editId="380ED07A">
            <wp:extent cx="1981200" cy="4381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r w:rsidR="001B2A85">
        <w:rPr>
          <w:rFonts w:ascii="Century Gothic" w:hAnsi="Century Gothic" w:cs="Arial"/>
          <w:bCs/>
          <w:position w:val="6"/>
          <w:sz w:val="27"/>
          <w:szCs w:val="27"/>
          <w:lang w:eastAsia="es-MX"/>
        </w:rPr>
        <w:t>promovió</w:t>
      </w:r>
      <w:r w:rsidR="005260BB">
        <w:rPr>
          <w:rFonts w:ascii="Century Gothic" w:hAnsi="Century Gothic" w:cs="Arial"/>
          <w:bCs/>
          <w:position w:val="6"/>
          <w:sz w:val="27"/>
          <w:szCs w:val="27"/>
          <w:lang w:eastAsia="es-MX"/>
        </w:rPr>
        <w:t xml:space="preserve"> “juicio de amparo directo” </w:t>
      </w:r>
      <w:r w:rsidR="005260BB">
        <w:rPr>
          <w:rFonts w:ascii="Century Gothic" w:hAnsi="Century Gothic" w:cs="Arial"/>
          <w:bCs/>
          <w:position w:val="6"/>
          <w:sz w:val="27"/>
          <w:szCs w:val="27"/>
          <w:lang w:eastAsia="es-MX"/>
        </w:rPr>
        <w:lastRenderedPageBreak/>
        <w:t xml:space="preserve">contra actos de omisión en el “Código Federal de Instituciones y Procedimientos Electorales”. </w:t>
      </w:r>
    </w:p>
    <w:p w:rsidR="005260BB" w:rsidRDefault="005260BB" w:rsidP="00DE33DA">
      <w:pPr>
        <w:pStyle w:val="Sinespaciado"/>
        <w:spacing w:line="360" w:lineRule="auto"/>
        <w:jc w:val="both"/>
        <w:rPr>
          <w:rFonts w:ascii="Century Gothic" w:hAnsi="Century Gothic" w:cs="Arial"/>
          <w:bCs/>
          <w:position w:val="6"/>
          <w:sz w:val="27"/>
          <w:szCs w:val="27"/>
          <w:lang w:eastAsia="es-MX"/>
        </w:rPr>
      </w:pPr>
    </w:p>
    <w:p w:rsidR="005260BB" w:rsidRPr="005260BB" w:rsidRDefault="00256D46" w:rsidP="00DE33DA">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Cs/>
          <w:position w:val="6"/>
          <w:sz w:val="27"/>
          <w:szCs w:val="27"/>
          <w:lang w:eastAsia="es-MX"/>
        </w:rPr>
        <w:t>En dicho escrito manifestó</w:t>
      </w:r>
      <w:r w:rsidR="005260BB">
        <w:rPr>
          <w:rFonts w:ascii="Century Gothic" w:hAnsi="Century Gothic" w:cs="Arial"/>
          <w:bCs/>
          <w:position w:val="6"/>
          <w:sz w:val="27"/>
          <w:szCs w:val="27"/>
          <w:lang w:eastAsia="es-MX"/>
        </w:rPr>
        <w:t xml:space="preserve"> ser una persona con</w:t>
      </w:r>
      <w:r>
        <w:rPr>
          <w:rFonts w:ascii="Century Gothic" w:hAnsi="Century Gothic" w:cs="Arial"/>
          <w:bCs/>
          <w:position w:val="6"/>
          <w:sz w:val="27"/>
          <w:szCs w:val="27"/>
          <w:lang w:eastAsia="es-MX"/>
        </w:rPr>
        <w:t xml:space="preserve"> discapacidad mental, y solicitó</w:t>
      </w:r>
      <w:r w:rsidR="005260BB">
        <w:rPr>
          <w:rFonts w:ascii="Century Gothic" w:hAnsi="Century Gothic" w:cs="Arial"/>
          <w:bCs/>
          <w:position w:val="6"/>
          <w:sz w:val="27"/>
          <w:szCs w:val="27"/>
          <w:lang w:eastAsia="es-MX"/>
        </w:rPr>
        <w:t>, entre ot</w:t>
      </w:r>
      <w:r>
        <w:rPr>
          <w:rFonts w:ascii="Century Gothic" w:hAnsi="Century Gothic" w:cs="Arial"/>
          <w:bCs/>
          <w:position w:val="6"/>
          <w:sz w:val="27"/>
          <w:szCs w:val="27"/>
          <w:lang w:eastAsia="es-MX"/>
        </w:rPr>
        <w:t>ras cuestiones, que se le asignara</w:t>
      </w:r>
      <w:r w:rsidR="005260BB">
        <w:rPr>
          <w:rFonts w:ascii="Century Gothic" w:hAnsi="Century Gothic" w:cs="Arial"/>
          <w:bCs/>
          <w:position w:val="6"/>
          <w:sz w:val="27"/>
          <w:szCs w:val="27"/>
          <w:lang w:eastAsia="es-MX"/>
        </w:rPr>
        <w:t xml:space="preserve"> un defensor público. </w:t>
      </w:r>
    </w:p>
    <w:p w:rsidR="00F51FB3" w:rsidRPr="00AD23C0" w:rsidRDefault="00F51FB3" w:rsidP="00DE33DA">
      <w:pPr>
        <w:pStyle w:val="Sinespaciado"/>
        <w:spacing w:line="360" w:lineRule="auto"/>
        <w:jc w:val="both"/>
        <w:rPr>
          <w:rFonts w:ascii="Century Gothic" w:hAnsi="Century Gothic" w:cs="Arial"/>
          <w:bCs/>
          <w:position w:val="6"/>
          <w:sz w:val="28"/>
          <w:szCs w:val="27"/>
          <w:lang w:eastAsia="es-MX"/>
        </w:rPr>
      </w:pPr>
    </w:p>
    <w:p w:rsidR="005260BB" w:rsidRPr="00CD38A0" w:rsidRDefault="005260BB" w:rsidP="005260BB">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
          <w:bCs/>
          <w:position w:val="6"/>
          <w:sz w:val="27"/>
          <w:szCs w:val="27"/>
          <w:lang w:eastAsia="es-MX"/>
        </w:rPr>
        <w:t>II</w:t>
      </w:r>
      <w:r w:rsidR="00F51FB3" w:rsidRPr="00CD38A0">
        <w:rPr>
          <w:rFonts w:ascii="Century Gothic" w:hAnsi="Century Gothic" w:cs="Arial"/>
          <w:b/>
          <w:bCs/>
          <w:position w:val="6"/>
          <w:sz w:val="27"/>
          <w:szCs w:val="27"/>
          <w:lang w:eastAsia="es-MX"/>
        </w:rPr>
        <w:t xml:space="preserve">. </w:t>
      </w:r>
      <w:r>
        <w:rPr>
          <w:rFonts w:ascii="Century Gothic" w:hAnsi="Century Gothic" w:cs="Arial"/>
          <w:b/>
          <w:bCs/>
          <w:position w:val="6"/>
          <w:sz w:val="27"/>
          <w:szCs w:val="27"/>
          <w:lang w:eastAsia="es-MX"/>
        </w:rPr>
        <w:t xml:space="preserve">Integración, registro y turno. </w:t>
      </w:r>
      <w:r>
        <w:rPr>
          <w:rFonts w:ascii="Century Gothic" w:hAnsi="Century Gothic" w:cs="Arial"/>
          <w:bCs/>
          <w:position w:val="6"/>
          <w:sz w:val="27"/>
          <w:szCs w:val="27"/>
          <w:lang w:eastAsia="es-MX"/>
        </w:rPr>
        <w:t xml:space="preserve">El mismo veintiséis de septiembre, la Magistrada Presidenta </w:t>
      </w:r>
      <w:r w:rsidRPr="00CD38A0">
        <w:rPr>
          <w:rFonts w:ascii="Century Gothic" w:hAnsi="Century Gothic" w:cs="Arial"/>
          <w:bCs/>
          <w:position w:val="6"/>
          <w:sz w:val="27"/>
          <w:szCs w:val="27"/>
          <w:lang w:eastAsia="es-MX"/>
        </w:rPr>
        <w:t>acordó in</w:t>
      </w:r>
      <w:r w:rsidR="00925FE7">
        <w:rPr>
          <w:rFonts w:ascii="Century Gothic" w:hAnsi="Century Gothic" w:cs="Arial"/>
          <w:bCs/>
          <w:position w:val="6"/>
          <w:sz w:val="27"/>
          <w:szCs w:val="27"/>
          <w:lang w:eastAsia="es-MX"/>
        </w:rPr>
        <w:t>tegrar el expediente SUP-AG-92</w:t>
      </w:r>
      <w:r w:rsidRPr="00CD38A0">
        <w:rPr>
          <w:rFonts w:ascii="Century Gothic" w:hAnsi="Century Gothic" w:cs="Arial"/>
          <w:bCs/>
          <w:position w:val="6"/>
          <w:sz w:val="27"/>
          <w:szCs w:val="27"/>
          <w:lang w:eastAsia="es-MX"/>
        </w:rPr>
        <w:t xml:space="preserve">/2017, y lo turnó a la ponencia de la Magistrada Mónica Aralí Soto Fregoso </w:t>
      </w:r>
      <w:r w:rsidR="007A571B">
        <w:rPr>
          <w:rFonts w:ascii="Century Gothic" w:hAnsi="Century Gothic" w:cs="Arial"/>
          <w:bCs/>
          <w:position w:val="6"/>
          <w:sz w:val="27"/>
          <w:szCs w:val="27"/>
          <w:lang w:eastAsia="es-MX"/>
        </w:rPr>
        <w:t xml:space="preserve">para que acordara lo que en derecho proceda y, en su caso, sustanciara el procedimiento respectivo para proponer a la Sala la resolución que corresponda. </w:t>
      </w:r>
      <w:r w:rsidRPr="00CD38A0">
        <w:rPr>
          <w:rFonts w:ascii="Century Gothic" w:hAnsi="Century Gothic" w:cs="Arial"/>
          <w:bCs/>
          <w:position w:val="6"/>
          <w:sz w:val="27"/>
          <w:szCs w:val="27"/>
          <w:lang w:eastAsia="es-MX"/>
        </w:rPr>
        <w:t xml:space="preserve"> </w:t>
      </w:r>
    </w:p>
    <w:p w:rsidR="005260BB" w:rsidRPr="00AD23C0" w:rsidRDefault="005260BB" w:rsidP="005260BB">
      <w:pPr>
        <w:pStyle w:val="Sinespaciado"/>
        <w:spacing w:line="360" w:lineRule="auto"/>
        <w:jc w:val="both"/>
        <w:rPr>
          <w:rFonts w:ascii="Century Gothic" w:hAnsi="Century Gothic" w:cs="Arial"/>
          <w:bCs/>
          <w:position w:val="6"/>
          <w:sz w:val="28"/>
          <w:szCs w:val="27"/>
          <w:lang w:eastAsia="es-MX"/>
        </w:rPr>
      </w:pPr>
    </w:p>
    <w:p w:rsidR="005260BB" w:rsidRPr="00CD38A0" w:rsidRDefault="005260BB" w:rsidP="005260BB">
      <w:pPr>
        <w:pStyle w:val="Sinespaciado"/>
        <w:spacing w:line="360" w:lineRule="auto"/>
        <w:jc w:val="both"/>
        <w:rPr>
          <w:rFonts w:ascii="Century Gothic" w:hAnsi="Century Gothic" w:cs="Arial"/>
          <w:bCs/>
          <w:position w:val="6"/>
          <w:sz w:val="27"/>
          <w:szCs w:val="27"/>
          <w:lang w:eastAsia="es-MX"/>
        </w:rPr>
      </w:pPr>
      <w:r w:rsidRPr="00CD38A0">
        <w:rPr>
          <w:rFonts w:ascii="Century Gothic" w:hAnsi="Century Gothic" w:cs="Arial"/>
          <w:bCs/>
          <w:position w:val="6"/>
          <w:sz w:val="27"/>
          <w:szCs w:val="27"/>
          <w:lang w:eastAsia="es-MX"/>
        </w:rPr>
        <w:t xml:space="preserve">Dicho acuerdo fue cumplimentado por la Secretaria General de Acuerdos mediante oficio de turno </w:t>
      </w:r>
      <w:r w:rsidR="007A571B">
        <w:rPr>
          <w:rFonts w:ascii="Century Gothic" w:hAnsi="Century Gothic" w:cs="Arial"/>
          <w:bCs/>
          <w:position w:val="6"/>
          <w:sz w:val="27"/>
          <w:szCs w:val="27"/>
          <w:lang w:eastAsia="es-MX"/>
        </w:rPr>
        <w:t>TEPJF-SGA-6045</w:t>
      </w:r>
      <w:r w:rsidRPr="00CD38A0">
        <w:rPr>
          <w:rFonts w:ascii="Century Gothic" w:hAnsi="Century Gothic" w:cs="Arial"/>
          <w:bCs/>
          <w:position w:val="6"/>
          <w:sz w:val="27"/>
          <w:szCs w:val="27"/>
          <w:lang w:eastAsia="es-MX"/>
        </w:rPr>
        <w:t>/17.</w:t>
      </w:r>
    </w:p>
    <w:p w:rsidR="00610422" w:rsidRPr="00AD23C0" w:rsidRDefault="00610422" w:rsidP="00DE33DA">
      <w:pPr>
        <w:pStyle w:val="Sinespaciado"/>
        <w:spacing w:line="360" w:lineRule="auto"/>
        <w:jc w:val="both"/>
        <w:rPr>
          <w:rFonts w:ascii="Century Gothic" w:hAnsi="Century Gothic" w:cs="Arial"/>
          <w:bCs/>
          <w:position w:val="6"/>
          <w:sz w:val="28"/>
          <w:szCs w:val="27"/>
          <w:lang w:eastAsia="es-MX"/>
        </w:rPr>
      </w:pPr>
    </w:p>
    <w:p w:rsidR="003A6D06" w:rsidRDefault="00873D69" w:rsidP="00F759D8">
      <w:pPr>
        <w:pStyle w:val="Sinespaciado"/>
        <w:spacing w:line="360" w:lineRule="auto"/>
        <w:jc w:val="both"/>
        <w:rPr>
          <w:rFonts w:ascii="Century Gothic" w:hAnsi="Century Gothic" w:cs="Arial"/>
          <w:b/>
          <w:bCs/>
          <w:position w:val="6"/>
          <w:sz w:val="27"/>
          <w:szCs w:val="27"/>
          <w:lang w:eastAsia="es-MX"/>
        </w:rPr>
      </w:pPr>
      <w:r w:rsidRPr="00CD38A0">
        <w:rPr>
          <w:rFonts w:ascii="Century Gothic" w:hAnsi="Century Gothic" w:cs="Arial"/>
          <w:b/>
          <w:bCs/>
          <w:position w:val="6"/>
          <w:sz w:val="27"/>
          <w:szCs w:val="27"/>
          <w:lang w:eastAsia="es-MX"/>
        </w:rPr>
        <w:t>I</w:t>
      </w:r>
      <w:r w:rsidR="00F759D8">
        <w:rPr>
          <w:rFonts w:ascii="Century Gothic" w:hAnsi="Century Gothic" w:cs="Arial"/>
          <w:b/>
          <w:bCs/>
          <w:position w:val="6"/>
          <w:sz w:val="27"/>
          <w:szCs w:val="27"/>
          <w:lang w:eastAsia="es-MX"/>
        </w:rPr>
        <w:t>I</w:t>
      </w:r>
      <w:r w:rsidRPr="00CD38A0">
        <w:rPr>
          <w:rFonts w:ascii="Century Gothic" w:hAnsi="Century Gothic" w:cs="Arial"/>
          <w:b/>
          <w:bCs/>
          <w:position w:val="6"/>
          <w:sz w:val="27"/>
          <w:szCs w:val="27"/>
          <w:lang w:eastAsia="es-MX"/>
        </w:rPr>
        <w:t xml:space="preserve">I. </w:t>
      </w:r>
      <w:r w:rsidR="003A6D06">
        <w:rPr>
          <w:rFonts w:ascii="Century Gothic" w:hAnsi="Century Gothic" w:cs="Arial"/>
          <w:b/>
          <w:bCs/>
          <w:position w:val="6"/>
          <w:sz w:val="27"/>
          <w:szCs w:val="27"/>
          <w:lang w:eastAsia="es-MX"/>
        </w:rPr>
        <w:t>Trámite como Asunto General</w:t>
      </w:r>
      <w:r w:rsidR="00D04D27" w:rsidRPr="00CD38A0">
        <w:rPr>
          <w:rFonts w:ascii="Century Gothic" w:hAnsi="Century Gothic" w:cs="Arial"/>
          <w:b/>
          <w:bCs/>
          <w:position w:val="6"/>
          <w:sz w:val="27"/>
          <w:szCs w:val="27"/>
          <w:lang w:eastAsia="es-MX"/>
        </w:rPr>
        <w:t xml:space="preserve">. </w:t>
      </w:r>
    </w:p>
    <w:p w:rsidR="003A6D06" w:rsidRDefault="003A6D06" w:rsidP="00F759D8">
      <w:pPr>
        <w:pStyle w:val="Sinespaciado"/>
        <w:spacing w:line="360" w:lineRule="auto"/>
        <w:jc w:val="both"/>
        <w:rPr>
          <w:rFonts w:ascii="Century Gothic" w:hAnsi="Century Gothic" w:cs="Arial"/>
          <w:b/>
          <w:bCs/>
          <w:position w:val="6"/>
          <w:sz w:val="27"/>
          <w:szCs w:val="27"/>
          <w:lang w:eastAsia="es-MX"/>
        </w:rPr>
      </w:pPr>
    </w:p>
    <w:p w:rsidR="00D44438" w:rsidRDefault="003A6D06" w:rsidP="00F759D8">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
          <w:bCs/>
          <w:position w:val="6"/>
          <w:sz w:val="27"/>
          <w:szCs w:val="27"/>
          <w:lang w:eastAsia="es-MX"/>
        </w:rPr>
        <w:t xml:space="preserve">1. Radicación. </w:t>
      </w:r>
      <w:r w:rsidR="007A571B">
        <w:rPr>
          <w:rFonts w:ascii="Century Gothic" w:hAnsi="Century Gothic" w:cs="Arial"/>
          <w:bCs/>
          <w:position w:val="6"/>
          <w:sz w:val="27"/>
          <w:szCs w:val="27"/>
          <w:lang w:eastAsia="es-MX"/>
        </w:rPr>
        <w:t>El veinte de octubre siguiente</w:t>
      </w:r>
      <w:r w:rsidR="00F759D8">
        <w:rPr>
          <w:rFonts w:ascii="Century Gothic" w:hAnsi="Century Gothic" w:cs="Arial"/>
          <w:bCs/>
          <w:position w:val="6"/>
          <w:sz w:val="27"/>
          <w:szCs w:val="27"/>
          <w:lang w:eastAsia="es-MX"/>
        </w:rPr>
        <w:t xml:space="preserve">, la Magistrada Instructora radicó en su ponencia el expediente </w:t>
      </w:r>
      <w:r w:rsidR="00850071">
        <w:rPr>
          <w:rFonts w:ascii="Century Gothic" w:hAnsi="Century Gothic" w:cs="Arial"/>
          <w:bCs/>
          <w:position w:val="6"/>
          <w:sz w:val="27"/>
          <w:szCs w:val="27"/>
          <w:lang w:eastAsia="es-MX"/>
        </w:rPr>
        <w:t xml:space="preserve">SUP-AG-92/2017. </w:t>
      </w:r>
      <w:r w:rsidR="007A571B">
        <w:rPr>
          <w:rFonts w:ascii="Century Gothic" w:hAnsi="Century Gothic" w:cs="Arial"/>
          <w:bCs/>
          <w:position w:val="6"/>
          <w:sz w:val="27"/>
          <w:szCs w:val="27"/>
          <w:lang w:eastAsia="es-MX"/>
        </w:rPr>
        <w:t xml:space="preserve">Además, tuvo por recibidos </w:t>
      </w:r>
      <w:r w:rsidR="006B4F5B">
        <w:rPr>
          <w:rFonts w:ascii="Century Gothic" w:hAnsi="Century Gothic" w:cs="Arial"/>
          <w:bCs/>
          <w:position w:val="6"/>
          <w:sz w:val="27"/>
          <w:szCs w:val="27"/>
          <w:lang w:eastAsia="es-MX"/>
        </w:rPr>
        <w:t>diversos escritos presentados por el actor, en los cuales:</w:t>
      </w:r>
    </w:p>
    <w:p w:rsidR="006B4F5B" w:rsidRDefault="006B4F5B" w:rsidP="00CE155C">
      <w:pPr>
        <w:pStyle w:val="Sinespaciado"/>
        <w:numPr>
          <w:ilvl w:val="0"/>
          <w:numId w:val="1"/>
        </w:numPr>
        <w:spacing w:line="360" w:lineRule="auto"/>
        <w:jc w:val="both"/>
        <w:rPr>
          <w:rFonts w:ascii="Century Gothic" w:hAnsi="Century Gothic" w:cs="Arial"/>
          <w:bCs/>
          <w:position w:val="6"/>
          <w:sz w:val="27"/>
          <w:szCs w:val="27"/>
          <w:lang w:eastAsia="es-MX"/>
        </w:rPr>
      </w:pPr>
      <w:r>
        <w:rPr>
          <w:rFonts w:ascii="Century Gothic" w:hAnsi="Century Gothic" w:cs="Arial"/>
          <w:bCs/>
          <w:position w:val="6"/>
          <w:sz w:val="27"/>
          <w:szCs w:val="27"/>
          <w:lang w:eastAsia="es-MX"/>
        </w:rPr>
        <w:t>Solicitó la ampliación de su demanda;</w:t>
      </w:r>
    </w:p>
    <w:p w:rsidR="006B4F5B" w:rsidRDefault="006B4F5B" w:rsidP="00CE155C">
      <w:pPr>
        <w:pStyle w:val="Sinespaciado"/>
        <w:numPr>
          <w:ilvl w:val="0"/>
          <w:numId w:val="1"/>
        </w:numPr>
        <w:spacing w:line="360" w:lineRule="auto"/>
        <w:jc w:val="both"/>
        <w:rPr>
          <w:rFonts w:ascii="Century Gothic" w:hAnsi="Century Gothic" w:cs="Arial"/>
          <w:bCs/>
          <w:position w:val="6"/>
          <w:sz w:val="27"/>
          <w:szCs w:val="27"/>
          <w:lang w:eastAsia="es-MX"/>
        </w:rPr>
      </w:pPr>
      <w:r>
        <w:rPr>
          <w:rFonts w:ascii="Century Gothic" w:hAnsi="Century Gothic" w:cs="Arial"/>
          <w:bCs/>
          <w:position w:val="6"/>
          <w:sz w:val="27"/>
          <w:szCs w:val="27"/>
          <w:lang w:eastAsia="es-MX"/>
        </w:rPr>
        <w:t>Solicitó la suspensión del acto reclamado; y</w:t>
      </w:r>
    </w:p>
    <w:p w:rsidR="006B4F5B" w:rsidRPr="00CD38A0" w:rsidRDefault="006B4F5B" w:rsidP="00CE155C">
      <w:pPr>
        <w:pStyle w:val="Sinespaciado"/>
        <w:numPr>
          <w:ilvl w:val="0"/>
          <w:numId w:val="1"/>
        </w:numPr>
        <w:spacing w:line="360" w:lineRule="auto"/>
        <w:jc w:val="both"/>
        <w:rPr>
          <w:rFonts w:ascii="Century Gothic" w:hAnsi="Century Gothic" w:cs="Arial"/>
          <w:bCs/>
          <w:position w:val="6"/>
          <w:sz w:val="27"/>
          <w:szCs w:val="27"/>
          <w:lang w:eastAsia="es-MX"/>
        </w:rPr>
      </w:pPr>
      <w:r>
        <w:rPr>
          <w:rFonts w:ascii="Century Gothic" w:hAnsi="Century Gothic" w:cs="Arial"/>
          <w:bCs/>
          <w:position w:val="6"/>
          <w:sz w:val="27"/>
          <w:szCs w:val="27"/>
          <w:lang w:eastAsia="es-MX"/>
        </w:rPr>
        <w:t xml:space="preserve">Reiteró su petición de que se le asignara un asesor jurídico. </w:t>
      </w:r>
    </w:p>
    <w:p w:rsidR="00D44438" w:rsidRDefault="00D44438" w:rsidP="00DE33DA">
      <w:pPr>
        <w:pStyle w:val="Sinespaciado"/>
        <w:spacing w:line="360" w:lineRule="auto"/>
        <w:jc w:val="both"/>
        <w:rPr>
          <w:rFonts w:ascii="Century Gothic" w:hAnsi="Century Gothic" w:cs="Arial"/>
          <w:bCs/>
          <w:position w:val="6"/>
          <w:sz w:val="28"/>
          <w:szCs w:val="27"/>
          <w:lang w:eastAsia="es-MX"/>
        </w:rPr>
      </w:pPr>
    </w:p>
    <w:p w:rsidR="003A6D06" w:rsidRPr="003A6D06" w:rsidRDefault="003A6D06" w:rsidP="00DE33DA">
      <w:pPr>
        <w:pStyle w:val="Sinespaciado"/>
        <w:spacing w:line="360" w:lineRule="auto"/>
        <w:jc w:val="both"/>
        <w:rPr>
          <w:rFonts w:ascii="Century Gothic" w:hAnsi="Century Gothic" w:cs="Arial"/>
          <w:bCs/>
          <w:position w:val="6"/>
          <w:sz w:val="28"/>
          <w:szCs w:val="27"/>
          <w:lang w:eastAsia="es-MX"/>
        </w:rPr>
      </w:pPr>
      <w:r>
        <w:rPr>
          <w:rFonts w:ascii="Century Gothic" w:hAnsi="Century Gothic" w:cs="Arial"/>
          <w:b/>
          <w:bCs/>
          <w:position w:val="6"/>
          <w:sz w:val="28"/>
          <w:szCs w:val="27"/>
          <w:lang w:eastAsia="es-MX"/>
        </w:rPr>
        <w:lastRenderedPageBreak/>
        <w:t xml:space="preserve">2. </w:t>
      </w:r>
      <w:r w:rsidR="00B972AA">
        <w:rPr>
          <w:rFonts w:ascii="Century Gothic" w:hAnsi="Century Gothic" w:cs="Arial"/>
          <w:b/>
          <w:bCs/>
          <w:position w:val="6"/>
          <w:sz w:val="28"/>
          <w:szCs w:val="27"/>
          <w:lang w:eastAsia="es-MX"/>
        </w:rPr>
        <w:t>Designación</w:t>
      </w:r>
      <w:r>
        <w:rPr>
          <w:rFonts w:ascii="Century Gothic" w:hAnsi="Century Gothic" w:cs="Arial"/>
          <w:b/>
          <w:bCs/>
          <w:position w:val="6"/>
          <w:sz w:val="28"/>
          <w:szCs w:val="27"/>
          <w:lang w:eastAsia="es-MX"/>
        </w:rPr>
        <w:t xml:space="preserve"> de asesor jurídico. </w:t>
      </w:r>
      <w:r>
        <w:rPr>
          <w:rFonts w:ascii="Century Gothic" w:hAnsi="Century Gothic" w:cs="Arial"/>
          <w:bCs/>
          <w:position w:val="6"/>
          <w:sz w:val="28"/>
          <w:szCs w:val="27"/>
          <w:lang w:eastAsia="es-MX"/>
        </w:rPr>
        <w:t xml:space="preserve">El </w:t>
      </w:r>
      <w:r w:rsidR="00E56126">
        <w:rPr>
          <w:rFonts w:ascii="Century Gothic" w:hAnsi="Century Gothic" w:cs="Arial"/>
          <w:bCs/>
          <w:position w:val="6"/>
          <w:sz w:val="28"/>
          <w:szCs w:val="27"/>
          <w:lang w:eastAsia="es-MX"/>
        </w:rPr>
        <w:t xml:space="preserve">veintidós de noviembre, la Magistrada Instructora dictó acuerdo en el que se tuvieron por recibidos diversos escritos presentados por el promovente, y se solicitó al Instituto Federal de Defensoría Pública que designara asesor jurídico al promovente. </w:t>
      </w:r>
    </w:p>
    <w:p w:rsidR="003A6D06" w:rsidRDefault="003A6D06" w:rsidP="00DE33DA">
      <w:pPr>
        <w:pStyle w:val="Sinespaciado"/>
        <w:spacing w:line="360" w:lineRule="auto"/>
        <w:jc w:val="both"/>
        <w:rPr>
          <w:rFonts w:ascii="Century Gothic" w:hAnsi="Century Gothic" w:cs="Arial"/>
          <w:bCs/>
          <w:position w:val="6"/>
          <w:sz w:val="28"/>
          <w:szCs w:val="27"/>
          <w:lang w:eastAsia="es-MX"/>
        </w:rPr>
      </w:pPr>
    </w:p>
    <w:p w:rsidR="00B972AA" w:rsidRDefault="00B972AA" w:rsidP="00DE33DA">
      <w:pPr>
        <w:pStyle w:val="Sinespaciado"/>
        <w:spacing w:line="360" w:lineRule="auto"/>
        <w:jc w:val="both"/>
        <w:rPr>
          <w:rFonts w:ascii="Century Gothic" w:hAnsi="Century Gothic" w:cs="Arial"/>
          <w:bCs/>
          <w:position w:val="6"/>
          <w:sz w:val="28"/>
          <w:szCs w:val="27"/>
          <w:lang w:eastAsia="es-MX"/>
        </w:rPr>
      </w:pPr>
      <w:r>
        <w:rPr>
          <w:rFonts w:ascii="Century Gothic" w:hAnsi="Century Gothic" w:cs="Arial"/>
          <w:bCs/>
          <w:position w:val="6"/>
          <w:sz w:val="28"/>
          <w:szCs w:val="27"/>
          <w:lang w:eastAsia="es-MX"/>
        </w:rPr>
        <w:t xml:space="preserve">El veinticuatro posterior, el Director de Prestación del Servicio de Asesoría Jurídica en la Ciudad de México informó que se le había asignado asesor jurídico al promovente. </w:t>
      </w:r>
    </w:p>
    <w:p w:rsidR="00B972AA" w:rsidRDefault="00B972AA" w:rsidP="00DE33DA">
      <w:pPr>
        <w:pStyle w:val="Sinespaciado"/>
        <w:spacing w:line="360" w:lineRule="auto"/>
        <w:jc w:val="both"/>
        <w:rPr>
          <w:rFonts w:ascii="Century Gothic" w:hAnsi="Century Gothic" w:cs="Arial"/>
          <w:bCs/>
          <w:position w:val="6"/>
          <w:sz w:val="28"/>
          <w:szCs w:val="27"/>
          <w:lang w:eastAsia="es-MX"/>
        </w:rPr>
      </w:pPr>
    </w:p>
    <w:p w:rsidR="003A6D06" w:rsidRPr="003A6D06" w:rsidRDefault="007C0D2C" w:rsidP="00DE33DA">
      <w:pPr>
        <w:pStyle w:val="Sinespaciado"/>
        <w:spacing w:line="360" w:lineRule="auto"/>
        <w:jc w:val="both"/>
        <w:rPr>
          <w:rFonts w:ascii="Century Gothic" w:hAnsi="Century Gothic" w:cs="Arial"/>
          <w:bCs/>
          <w:position w:val="6"/>
          <w:sz w:val="28"/>
          <w:szCs w:val="27"/>
          <w:lang w:eastAsia="es-MX"/>
        </w:rPr>
      </w:pPr>
      <w:r>
        <w:rPr>
          <w:rFonts w:ascii="Century Gothic" w:hAnsi="Century Gothic" w:cs="Arial"/>
          <w:b/>
          <w:bCs/>
          <w:position w:val="6"/>
          <w:sz w:val="28"/>
          <w:szCs w:val="27"/>
          <w:lang w:eastAsia="es-MX"/>
        </w:rPr>
        <w:t>3. E</w:t>
      </w:r>
      <w:r w:rsidR="00B972AA">
        <w:rPr>
          <w:rFonts w:ascii="Century Gothic" w:hAnsi="Century Gothic" w:cs="Arial"/>
          <w:b/>
          <w:bCs/>
          <w:position w:val="6"/>
          <w:sz w:val="28"/>
          <w:szCs w:val="27"/>
          <w:lang w:eastAsia="es-MX"/>
        </w:rPr>
        <w:t xml:space="preserve">scrito de ampliación de demanda. </w:t>
      </w:r>
      <w:r w:rsidR="00B972AA">
        <w:rPr>
          <w:rFonts w:ascii="Century Gothic" w:hAnsi="Century Gothic" w:cs="Arial"/>
          <w:bCs/>
          <w:position w:val="6"/>
          <w:sz w:val="28"/>
          <w:szCs w:val="27"/>
          <w:lang w:eastAsia="es-MX"/>
        </w:rPr>
        <w:t xml:space="preserve">El treinta de noviembre siguiente, el actor presentó nuevo escrito en el que realizó diversas </w:t>
      </w:r>
      <w:r w:rsidR="00D93F8C">
        <w:rPr>
          <w:rFonts w:ascii="Century Gothic" w:hAnsi="Century Gothic" w:cs="Arial"/>
          <w:bCs/>
          <w:position w:val="6"/>
          <w:sz w:val="28"/>
          <w:szCs w:val="27"/>
          <w:lang w:eastAsia="es-MX"/>
        </w:rPr>
        <w:t xml:space="preserve">manifestaciones respecto de la toma de protesta de Andrés Manuel López Obrador como precandidato de MORENA. </w:t>
      </w:r>
      <w:r w:rsidR="003A6D06">
        <w:rPr>
          <w:rFonts w:ascii="Century Gothic" w:hAnsi="Century Gothic" w:cs="Arial"/>
          <w:bCs/>
          <w:position w:val="6"/>
          <w:sz w:val="28"/>
          <w:szCs w:val="27"/>
          <w:lang w:eastAsia="es-MX"/>
        </w:rPr>
        <w:t xml:space="preserve"> </w:t>
      </w:r>
    </w:p>
    <w:p w:rsidR="003A6D06" w:rsidRPr="00AD23C0" w:rsidRDefault="003A6D06" w:rsidP="00DE33DA">
      <w:pPr>
        <w:pStyle w:val="Sinespaciado"/>
        <w:spacing w:line="360" w:lineRule="auto"/>
        <w:jc w:val="both"/>
        <w:rPr>
          <w:rFonts w:ascii="Century Gothic" w:hAnsi="Century Gothic" w:cs="Arial"/>
          <w:bCs/>
          <w:position w:val="6"/>
          <w:sz w:val="28"/>
          <w:szCs w:val="27"/>
          <w:lang w:eastAsia="es-MX"/>
        </w:rPr>
      </w:pPr>
    </w:p>
    <w:p w:rsidR="00D44438" w:rsidRDefault="007F77F6" w:rsidP="00DE33DA">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
          <w:bCs/>
          <w:position w:val="6"/>
          <w:sz w:val="27"/>
          <w:szCs w:val="27"/>
          <w:lang w:eastAsia="es-MX"/>
        </w:rPr>
        <w:t xml:space="preserve">4. </w:t>
      </w:r>
      <w:r w:rsidR="007C0D2C">
        <w:rPr>
          <w:rFonts w:ascii="Century Gothic" w:hAnsi="Century Gothic" w:cs="Arial"/>
          <w:b/>
          <w:bCs/>
          <w:position w:val="6"/>
          <w:sz w:val="27"/>
          <w:szCs w:val="27"/>
          <w:lang w:eastAsia="es-MX"/>
        </w:rPr>
        <w:t xml:space="preserve">Segundo escrito de ampliación de demanda. </w:t>
      </w:r>
      <w:r w:rsidR="007C0D2C">
        <w:rPr>
          <w:rFonts w:ascii="Century Gothic" w:hAnsi="Century Gothic" w:cs="Arial"/>
          <w:bCs/>
          <w:position w:val="6"/>
          <w:sz w:val="27"/>
          <w:szCs w:val="27"/>
          <w:lang w:eastAsia="es-MX"/>
        </w:rPr>
        <w:t xml:space="preserve">El once de diciembre, el actor presentó escrito en el que realizó diversas manifestaciones respecto de la toma de protesta de Andrés Manuel López Obrador como candidato presidencial de MORENA. </w:t>
      </w:r>
    </w:p>
    <w:p w:rsidR="007C0D2C" w:rsidRDefault="007C0D2C" w:rsidP="00DE33DA">
      <w:pPr>
        <w:pStyle w:val="Sinespaciado"/>
        <w:spacing w:line="360" w:lineRule="auto"/>
        <w:jc w:val="both"/>
        <w:rPr>
          <w:rFonts w:ascii="Century Gothic" w:hAnsi="Century Gothic" w:cs="Arial"/>
          <w:bCs/>
          <w:position w:val="6"/>
          <w:sz w:val="27"/>
          <w:szCs w:val="27"/>
          <w:lang w:eastAsia="es-MX"/>
        </w:rPr>
      </w:pPr>
    </w:p>
    <w:p w:rsidR="007C0D2C" w:rsidRDefault="007C0D2C" w:rsidP="00DE33DA">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Cs/>
          <w:position w:val="6"/>
          <w:sz w:val="27"/>
          <w:szCs w:val="27"/>
          <w:lang w:eastAsia="es-MX"/>
        </w:rPr>
        <w:t xml:space="preserve">Además, adjuntó copia del oficio CDMX/10AJ/111/2017, por medio del cual, el asesor jurídico designado por el Instituto Federal de Defensoría Pública remitió al actor a la Dirección Ejecutiva de Capacitación Electoral y Educación Cívica del </w:t>
      </w:r>
      <w:r>
        <w:rPr>
          <w:rFonts w:ascii="Century Gothic" w:hAnsi="Century Gothic" w:cs="Arial"/>
          <w:bCs/>
          <w:position w:val="6"/>
          <w:sz w:val="27"/>
          <w:szCs w:val="27"/>
          <w:lang w:eastAsia="es-MX"/>
        </w:rPr>
        <w:lastRenderedPageBreak/>
        <w:t xml:space="preserve">Instituto Nacional Electoral, para que se </w:t>
      </w:r>
      <w:r w:rsidR="00125248">
        <w:rPr>
          <w:rFonts w:ascii="Century Gothic" w:hAnsi="Century Gothic" w:cs="Arial"/>
          <w:bCs/>
          <w:position w:val="6"/>
          <w:sz w:val="27"/>
          <w:szCs w:val="27"/>
          <w:lang w:eastAsia="es-MX"/>
        </w:rPr>
        <w:t>les</w:t>
      </w:r>
      <w:r>
        <w:rPr>
          <w:rFonts w:ascii="Century Gothic" w:hAnsi="Century Gothic" w:cs="Arial"/>
          <w:bCs/>
          <w:position w:val="6"/>
          <w:sz w:val="27"/>
          <w:szCs w:val="27"/>
          <w:lang w:eastAsia="es-MX"/>
        </w:rPr>
        <w:t xml:space="preserve"> diera seguimiento jurídico a los escritos presentados ante esta Sala Superior. </w:t>
      </w:r>
    </w:p>
    <w:p w:rsidR="00C41BE7" w:rsidRDefault="00C41BE7" w:rsidP="00DE33DA">
      <w:pPr>
        <w:pStyle w:val="Sinespaciado"/>
        <w:spacing w:line="360" w:lineRule="auto"/>
        <w:jc w:val="both"/>
        <w:rPr>
          <w:rFonts w:ascii="Century Gothic" w:hAnsi="Century Gothic" w:cs="Arial"/>
          <w:bCs/>
          <w:position w:val="6"/>
          <w:sz w:val="27"/>
          <w:szCs w:val="27"/>
          <w:lang w:eastAsia="es-MX"/>
        </w:rPr>
      </w:pPr>
    </w:p>
    <w:p w:rsidR="00C41BE7" w:rsidRPr="00C41BE7" w:rsidRDefault="00C41BE7" w:rsidP="00DE33DA">
      <w:pPr>
        <w:pStyle w:val="Sinespaciado"/>
        <w:spacing w:line="360" w:lineRule="auto"/>
        <w:jc w:val="both"/>
        <w:rPr>
          <w:rFonts w:ascii="Century Gothic" w:hAnsi="Century Gothic" w:cs="Arial"/>
          <w:bCs/>
          <w:position w:val="6"/>
          <w:sz w:val="27"/>
          <w:szCs w:val="27"/>
          <w:lang w:eastAsia="es-MX"/>
        </w:rPr>
      </w:pPr>
      <w:r>
        <w:rPr>
          <w:rFonts w:ascii="Century Gothic" w:hAnsi="Century Gothic" w:cs="Arial"/>
          <w:b/>
          <w:bCs/>
          <w:position w:val="6"/>
          <w:sz w:val="27"/>
          <w:szCs w:val="27"/>
          <w:lang w:eastAsia="es-MX"/>
        </w:rPr>
        <w:t xml:space="preserve">5. Escrito de presentación de pruebas. </w:t>
      </w:r>
      <w:r>
        <w:rPr>
          <w:rFonts w:ascii="Century Gothic" w:hAnsi="Century Gothic" w:cs="Arial"/>
          <w:bCs/>
          <w:position w:val="6"/>
          <w:sz w:val="27"/>
          <w:szCs w:val="27"/>
          <w:lang w:eastAsia="es-MX"/>
        </w:rPr>
        <w:t xml:space="preserve">El quince de diciembre, el actor presentó escrito mediante el cual allegó pruebas documentales de la toma de protesta de Andrés Manuel López Obrador como precandidato a la presidencia postulado por el partido político MORENA.   </w:t>
      </w:r>
    </w:p>
    <w:p w:rsidR="00C352AD" w:rsidRDefault="00C352AD" w:rsidP="00DE33DA">
      <w:pPr>
        <w:pStyle w:val="Sinespaciado"/>
        <w:spacing w:line="360" w:lineRule="auto"/>
        <w:jc w:val="both"/>
        <w:rPr>
          <w:rFonts w:ascii="Century Gothic" w:hAnsi="Century Gothic" w:cs="Arial"/>
          <w:bCs/>
          <w:position w:val="6"/>
          <w:sz w:val="27"/>
          <w:szCs w:val="27"/>
          <w:lang w:eastAsia="es-MX"/>
        </w:rPr>
      </w:pPr>
    </w:p>
    <w:p w:rsidR="0023307B" w:rsidRPr="00CD38A0" w:rsidRDefault="00496167" w:rsidP="009D3250">
      <w:pPr>
        <w:pStyle w:val="Sinespaciado"/>
        <w:spacing w:line="360" w:lineRule="auto"/>
        <w:jc w:val="both"/>
        <w:rPr>
          <w:rFonts w:ascii="Century Gothic" w:hAnsi="Century Gothic" w:cs="Arial"/>
          <w:position w:val="6"/>
          <w:sz w:val="27"/>
          <w:szCs w:val="27"/>
          <w:lang w:eastAsia="es-MX"/>
        </w:rPr>
      </w:pPr>
      <w:r w:rsidRPr="00CD38A0">
        <w:rPr>
          <w:rFonts w:ascii="Century Gothic" w:hAnsi="Century Gothic"/>
          <w:b/>
          <w:sz w:val="27"/>
          <w:szCs w:val="27"/>
        </w:rPr>
        <w:t>RAZONES Y FUNDAMENTOS DE LA DECISIÓN</w:t>
      </w:r>
    </w:p>
    <w:p w:rsidR="00496167" w:rsidRPr="00AD23C0" w:rsidRDefault="00496167" w:rsidP="009D3250">
      <w:pPr>
        <w:spacing w:line="360" w:lineRule="auto"/>
        <w:jc w:val="both"/>
        <w:rPr>
          <w:rFonts w:ascii="Century Gothic" w:hAnsi="Century Gothic"/>
          <w:b/>
          <w:sz w:val="28"/>
          <w:szCs w:val="27"/>
        </w:rPr>
      </w:pPr>
    </w:p>
    <w:p w:rsidR="00F3160B" w:rsidRPr="00F3160B" w:rsidRDefault="00475B9B" w:rsidP="00F3160B">
      <w:pPr>
        <w:widowControl w:val="0"/>
        <w:spacing w:line="360" w:lineRule="auto"/>
        <w:jc w:val="both"/>
        <w:rPr>
          <w:rFonts w:ascii="Century Gothic" w:hAnsi="Century Gothic" w:cs="Arial"/>
          <w:sz w:val="27"/>
          <w:szCs w:val="27"/>
        </w:rPr>
      </w:pPr>
      <w:r w:rsidRPr="00CD38A0">
        <w:rPr>
          <w:rFonts w:ascii="Century Gothic" w:hAnsi="Century Gothic"/>
          <w:b/>
          <w:sz w:val="27"/>
          <w:szCs w:val="27"/>
        </w:rPr>
        <w:t xml:space="preserve">PRIMERO. </w:t>
      </w:r>
      <w:r w:rsidR="007C0D2C">
        <w:rPr>
          <w:rFonts w:ascii="Century Gothic" w:hAnsi="Century Gothic"/>
          <w:b/>
          <w:sz w:val="27"/>
          <w:szCs w:val="27"/>
        </w:rPr>
        <w:t>Actuación colegiada</w:t>
      </w:r>
      <w:r w:rsidR="00B40D4D" w:rsidRPr="00CD38A0">
        <w:rPr>
          <w:rFonts w:ascii="Century Gothic" w:hAnsi="Century Gothic"/>
          <w:b/>
          <w:sz w:val="27"/>
          <w:szCs w:val="27"/>
        </w:rPr>
        <w:t xml:space="preserve">. </w:t>
      </w:r>
      <w:r w:rsidR="00F3160B" w:rsidRPr="00F3160B">
        <w:rPr>
          <w:rFonts w:ascii="Century Gothic" w:hAnsi="Century Gothic" w:cs="Arial"/>
          <w:sz w:val="27"/>
          <w:szCs w:val="27"/>
        </w:rPr>
        <w:t xml:space="preserve">La materia sobre la que versa la resolución que se emite compete a la Sala Superior del Tribunal Electoral del Poder Judicial de la Federación, actuando en forma colegiada en atención a lo sostenido en la Jurisprudencia </w:t>
      </w:r>
      <w:r w:rsidR="00F3160B" w:rsidRPr="00F3160B">
        <w:rPr>
          <w:rFonts w:ascii="Century Gothic" w:hAnsi="Century Gothic" w:cs="Arial"/>
          <w:b/>
          <w:sz w:val="27"/>
          <w:szCs w:val="27"/>
        </w:rPr>
        <w:t>11/99</w:t>
      </w:r>
      <w:r w:rsidR="00F3160B" w:rsidRPr="00F3160B">
        <w:rPr>
          <w:rFonts w:ascii="Century Gothic" w:hAnsi="Century Gothic" w:cs="Arial"/>
          <w:sz w:val="27"/>
          <w:szCs w:val="27"/>
        </w:rPr>
        <w:t xml:space="preserve"> de rubro: “MEDIOS DE IMPUGNACIÓN. LAS RESOLUCIONES O ACTUACIONES QUE IMPLIQUEN UNA MODIFICACIÓN EN LA SUSTANCIACIÓN DEL PROCEDIMIENTO ORDINARIO, SON COMPETENCIA DE LA SALA SUPERIOR Y NO DEL MAGISTRADO INSTRUCTOR”.</w:t>
      </w:r>
      <w:r w:rsidR="00F3160B" w:rsidRPr="00F3160B">
        <w:rPr>
          <w:rStyle w:val="Refdenotaalpie"/>
          <w:rFonts w:ascii="Century Gothic" w:hAnsi="Century Gothic" w:cs="Arial"/>
          <w:sz w:val="27"/>
          <w:szCs w:val="27"/>
        </w:rPr>
        <w:footnoteReference w:id="1"/>
      </w:r>
    </w:p>
    <w:p w:rsidR="00F3160B" w:rsidRPr="00F3160B" w:rsidRDefault="00F3160B" w:rsidP="00F3160B">
      <w:pPr>
        <w:spacing w:line="360" w:lineRule="auto"/>
        <w:jc w:val="both"/>
        <w:rPr>
          <w:rFonts w:ascii="Century Gothic" w:hAnsi="Century Gothic" w:cs="Arial"/>
          <w:sz w:val="27"/>
          <w:szCs w:val="27"/>
        </w:rPr>
      </w:pPr>
    </w:p>
    <w:p w:rsidR="00F3160B" w:rsidRPr="00F3160B" w:rsidRDefault="00F3160B" w:rsidP="00F3160B">
      <w:pPr>
        <w:spacing w:line="360" w:lineRule="auto"/>
        <w:jc w:val="both"/>
        <w:rPr>
          <w:rFonts w:ascii="Century Gothic" w:hAnsi="Century Gothic" w:cs="Arial"/>
          <w:sz w:val="27"/>
          <w:szCs w:val="27"/>
        </w:rPr>
      </w:pPr>
      <w:r w:rsidRPr="00F3160B">
        <w:rPr>
          <w:rFonts w:ascii="Century Gothic" w:hAnsi="Century Gothic" w:cs="Arial"/>
          <w:sz w:val="27"/>
          <w:szCs w:val="27"/>
        </w:rPr>
        <w:t xml:space="preserve">Ello es así, porque la cuestión a dilucidar en este acuerdo, consiste en determinar si en la especie procede dar trámite alguno por parte de esta Sala Superior </w:t>
      </w:r>
      <w:r>
        <w:rPr>
          <w:rFonts w:ascii="Century Gothic" w:hAnsi="Century Gothic" w:cs="Arial"/>
          <w:sz w:val="27"/>
          <w:szCs w:val="27"/>
        </w:rPr>
        <w:t>al escrito presentado</w:t>
      </w:r>
      <w:r w:rsidRPr="00F3160B">
        <w:rPr>
          <w:rFonts w:ascii="Century Gothic" w:hAnsi="Century Gothic" w:cs="Arial"/>
          <w:sz w:val="27"/>
          <w:szCs w:val="27"/>
        </w:rPr>
        <w:t xml:space="preserve"> por el </w:t>
      </w:r>
      <w:r>
        <w:rPr>
          <w:rFonts w:ascii="Century Gothic" w:hAnsi="Century Gothic" w:cs="Arial"/>
          <w:sz w:val="27"/>
          <w:szCs w:val="27"/>
        </w:rPr>
        <w:t>actor, en el cual</w:t>
      </w:r>
      <w:r w:rsidRPr="00F3160B">
        <w:rPr>
          <w:rFonts w:ascii="Century Gothic" w:hAnsi="Century Gothic" w:cs="Arial"/>
          <w:sz w:val="27"/>
          <w:szCs w:val="27"/>
        </w:rPr>
        <w:t xml:space="preserve"> solicita la intervención de este órgano jurisdiccional especializado, con relación a una supuesta omisión en la Ley al n</w:t>
      </w:r>
      <w:r w:rsidRPr="00F3160B">
        <w:rPr>
          <w:rFonts w:ascii="Century Gothic" w:hAnsi="Century Gothic" w:cs="Arial"/>
          <w:bCs/>
          <w:sz w:val="27"/>
          <w:szCs w:val="27"/>
          <w:lang w:val="es-MX"/>
        </w:rPr>
        <w:t xml:space="preserve">o contener prohibición alguna con </w:t>
      </w:r>
      <w:r w:rsidRPr="00F3160B">
        <w:rPr>
          <w:rFonts w:ascii="Century Gothic" w:hAnsi="Century Gothic" w:cs="Arial"/>
          <w:bCs/>
          <w:sz w:val="27"/>
          <w:szCs w:val="27"/>
          <w:lang w:val="es-MX"/>
        </w:rPr>
        <w:lastRenderedPageBreak/>
        <w:t>relación a la utilización de los símbolos patrios en los emblemas de los partidos políticos.</w:t>
      </w:r>
    </w:p>
    <w:p w:rsidR="00F3160B" w:rsidRPr="00F3160B" w:rsidRDefault="00F3160B" w:rsidP="00F3160B">
      <w:pPr>
        <w:spacing w:line="360" w:lineRule="auto"/>
        <w:jc w:val="both"/>
        <w:rPr>
          <w:rFonts w:ascii="Century Gothic" w:hAnsi="Century Gothic" w:cs="Arial"/>
          <w:sz w:val="27"/>
          <w:szCs w:val="27"/>
        </w:rPr>
      </w:pPr>
    </w:p>
    <w:p w:rsidR="00F3160B" w:rsidRPr="00F3160B" w:rsidRDefault="00F3160B" w:rsidP="00F3160B">
      <w:pPr>
        <w:spacing w:line="360" w:lineRule="auto"/>
        <w:jc w:val="both"/>
        <w:rPr>
          <w:rFonts w:ascii="Century Gothic" w:hAnsi="Century Gothic" w:cs="Arial"/>
          <w:sz w:val="27"/>
          <w:szCs w:val="27"/>
        </w:rPr>
      </w:pPr>
      <w:r>
        <w:rPr>
          <w:rFonts w:ascii="Century Gothic" w:hAnsi="Century Gothic" w:cs="Arial"/>
          <w:sz w:val="27"/>
          <w:szCs w:val="27"/>
        </w:rPr>
        <w:t>En ese sentido, toda vez que lo procedente es</w:t>
      </w:r>
      <w:r w:rsidRPr="00F3160B">
        <w:rPr>
          <w:rFonts w:ascii="Century Gothic" w:hAnsi="Century Gothic" w:cs="Arial"/>
          <w:sz w:val="27"/>
          <w:szCs w:val="27"/>
        </w:rPr>
        <w:t xml:space="preserve"> determinar la vía de resolución adecuada </w:t>
      </w:r>
      <w:r>
        <w:rPr>
          <w:rFonts w:ascii="Century Gothic" w:hAnsi="Century Gothic" w:cs="Arial"/>
          <w:sz w:val="27"/>
          <w:szCs w:val="27"/>
        </w:rPr>
        <w:t>para el caso concreto</w:t>
      </w:r>
      <w:r w:rsidRPr="00F3160B">
        <w:rPr>
          <w:rFonts w:ascii="Century Gothic" w:hAnsi="Century Gothic" w:cs="Arial"/>
          <w:sz w:val="27"/>
          <w:szCs w:val="27"/>
        </w:rPr>
        <w:t xml:space="preserve">, </w:t>
      </w:r>
      <w:r>
        <w:rPr>
          <w:rFonts w:ascii="Century Gothic" w:hAnsi="Century Gothic" w:cs="Arial"/>
          <w:sz w:val="27"/>
          <w:szCs w:val="27"/>
        </w:rPr>
        <w:t xml:space="preserve">es que se debe estar a la regla general citada por la jurisprudencia referida. </w:t>
      </w:r>
    </w:p>
    <w:p w:rsidR="009A7BEC" w:rsidRPr="00AD23C0" w:rsidRDefault="009A7BEC" w:rsidP="00F3160B">
      <w:pPr>
        <w:pStyle w:val="Sinespaciado"/>
        <w:spacing w:line="360" w:lineRule="auto"/>
        <w:ind w:right="51"/>
        <w:jc w:val="both"/>
        <w:rPr>
          <w:rFonts w:ascii="Century Gothic" w:hAnsi="Century Gothic"/>
          <w:sz w:val="28"/>
          <w:szCs w:val="27"/>
        </w:rPr>
      </w:pPr>
    </w:p>
    <w:p w:rsidR="00A937C0" w:rsidRDefault="009A7BEC" w:rsidP="009A7CE3">
      <w:pPr>
        <w:pStyle w:val="Sinespaciado"/>
        <w:spacing w:line="360" w:lineRule="auto"/>
        <w:ind w:right="51"/>
        <w:jc w:val="both"/>
        <w:rPr>
          <w:rFonts w:ascii="Century Gothic" w:hAnsi="Century Gothic"/>
          <w:sz w:val="27"/>
          <w:szCs w:val="27"/>
        </w:rPr>
      </w:pPr>
      <w:r w:rsidRPr="00CD38A0">
        <w:rPr>
          <w:rFonts w:ascii="Century Gothic" w:hAnsi="Century Gothic"/>
          <w:b/>
          <w:sz w:val="27"/>
          <w:szCs w:val="27"/>
        </w:rPr>
        <w:t xml:space="preserve">SEGUNDO. </w:t>
      </w:r>
      <w:r w:rsidR="00126D2A">
        <w:rPr>
          <w:rFonts w:ascii="Century Gothic" w:hAnsi="Century Gothic"/>
          <w:b/>
          <w:sz w:val="27"/>
          <w:szCs w:val="27"/>
        </w:rPr>
        <w:t xml:space="preserve">Cuestión previa. </w:t>
      </w:r>
      <w:r w:rsidR="00A937C0">
        <w:rPr>
          <w:rFonts w:ascii="Century Gothic" w:hAnsi="Century Gothic"/>
          <w:sz w:val="27"/>
          <w:szCs w:val="27"/>
        </w:rPr>
        <w:t>En el caso que nos ocupa, el actor alega tener una discapacidad mental, resultante de una lesión cerebral, la cual le provoca un estado de sensibilidad especial y ansiedad frente al uso</w:t>
      </w:r>
      <w:r w:rsidR="00850071">
        <w:rPr>
          <w:rFonts w:ascii="Century Gothic" w:hAnsi="Century Gothic"/>
          <w:sz w:val="27"/>
          <w:szCs w:val="27"/>
        </w:rPr>
        <w:t xml:space="preserve"> en los emblemas de los partidos políticos,</w:t>
      </w:r>
      <w:r w:rsidR="00A937C0">
        <w:rPr>
          <w:rFonts w:ascii="Century Gothic" w:hAnsi="Century Gothic"/>
          <w:sz w:val="27"/>
          <w:szCs w:val="27"/>
        </w:rPr>
        <w:t xml:space="preserve"> de lo que identifica como “signos”,</w:t>
      </w:r>
      <w:r w:rsidR="00192BB1">
        <w:rPr>
          <w:rStyle w:val="Refdenotaalpie"/>
          <w:rFonts w:ascii="Century Gothic" w:hAnsi="Century Gothic"/>
          <w:sz w:val="27"/>
          <w:szCs w:val="27"/>
        </w:rPr>
        <w:footnoteReference w:id="2"/>
      </w:r>
      <w:r w:rsidR="00A937C0">
        <w:rPr>
          <w:rFonts w:ascii="Century Gothic" w:hAnsi="Century Gothic"/>
          <w:sz w:val="27"/>
          <w:szCs w:val="27"/>
        </w:rPr>
        <w:t xml:space="preserve"> inte</w:t>
      </w:r>
      <w:r w:rsidR="00850071">
        <w:rPr>
          <w:rFonts w:ascii="Century Gothic" w:hAnsi="Century Gothic"/>
          <w:sz w:val="27"/>
          <w:szCs w:val="27"/>
        </w:rPr>
        <w:t>grantes de los símbolos patrios.</w:t>
      </w:r>
      <w:r w:rsidR="00A937C0">
        <w:rPr>
          <w:rFonts w:ascii="Century Gothic" w:hAnsi="Century Gothic"/>
          <w:sz w:val="27"/>
          <w:szCs w:val="27"/>
        </w:rPr>
        <w:t xml:space="preserve"> </w:t>
      </w:r>
    </w:p>
    <w:p w:rsidR="00850071" w:rsidRDefault="00850071" w:rsidP="009A7CE3">
      <w:pPr>
        <w:pStyle w:val="Sinespaciado"/>
        <w:spacing w:line="360" w:lineRule="auto"/>
        <w:ind w:right="51"/>
        <w:jc w:val="both"/>
        <w:rPr>
          <w:rFonts w:ascii="Century Gothic" w:hAnsi="Century Gothic"/>
          <w:sz w:val="27"/>
          <w:szCs w:val="27"/>
        </w:rPr>
      </w:pPr>
    </w:p>
    <w:p w:rsidR="00FD507F" w:rsidRPr="00126D2A" w:rsidRDefault="00FD507F" w:rsidP="009A7CE3">
      <w:pPr>
        <w:pStyle w:val="Sinespaciado"/>
        <w:spacing w:line="360" w:lineRule="auto"/>
        <w:ind w:right="51"/>
        <w:jc w:val="both"/>
        <w:rPr>
          <w:rFonts w:ascii="Century Gothic" w:hAnsi="Century Gothic"/>
          <w:b/>
          <w:sz w:val="27"/>
          <w:szCs w:val="27"/>
        </w:rPr>
      </w:pPr>
      <w:r>
        <w:rPr>
          <w:rFonts w:ascii="Century Gothic" w:hAnsi="Century Gothic"/>
          <w:sz w:val="27"/>
          <w:szCs w:val="27"/>
        </w:rPr>
        <w:t xml:space="preserve">En el mismo sentido, alega que el que el partido MORENA registre a su candidato presidencial el día de la Virgen de Guadalupe provoca una asociación religiosa que contraviene lo señalado por el artículo 27, inciso a) del Código Federal de Instituciones y Procedimientos Electorales [que en realidad se trata del 39, inciso a) de la Ley General de Partidos Políticos]. </w:t>
      </w:r>
    </w:p>
    <w:p w:rsidR="00A937C0" w:rsidRDefault="00A937C0" w:rsidP="009A7CE3">
      <w:pPr>
        <w:pStyle w:val="Sinespaciado"/>
        <w:spacing w:line="360" w:lineRule="auto"/>
        <w:ind w:right="51"/>
        <w:jc w:val="both"/>
        <w:rPr>
          <w:rFonts w:ascii="Century Gothic" w:hAnsi="Century Gothic"/>
          <w:sz w:val="27"/>
          <w:szCs w:val="27"/>
        </w:rPr>
      </w:pPr>
    </w:p>
    <w:p w:rsidR="00126D2A" w:rsidRDefault="00A937C0"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Para comprobar su dicho, anexa a los autos del presente juicio, diagnóstico del Instituto Nacional de Psiquia</w:t>
      </w:r>
      <w:r w:rsidR="00D93F8C">
        <w:rPr>
          <w:rFonts w:ascii="Century Gothic" w:hAnsi="Century Gothic"/>
          <w:sz w:val="27"/>
          <w:szCs w:val="27"/>
        </w:rPr>
        <w:t xml:space="preserve">tría “Ramón de la Fuente Muñiz”, en el cual se indica que el actor </w:t>
      </w:r>
      <w:r w:rsidR="00D93F8C">
        <w:rPr>
          <w:rFonts w:ascii="Century Gothic" w:hAnsi="Century Gothic"/>
          <w:sz w:val="27"/>
          <w:szCs w:val="27"/>
        </w:rPr>
        <w:lastRenderedPageBreak/>
        <w:t xml:space="preserve">padece trastornos de ansiedad, estado de ánimo, de la personalidad, relacionados con opiáceos, y mental y del comportamiento. </w:t>
      </w:r>
    </w:p>
    <w:p w:rsidR="00126D2A" w:rsidRDefault="00126D2A" w:rsidP="009A7CE3">
      <w:pPr>
        <w:pStyle w:val="Sinespaciado"/>
        <w:spacing w:line="360" w:lineRule="auto"/>
        <w:ind w:right="51"/>
        <w:jc w:val="both"/>
        <w:rPr>
          <w:rFonts w:ascii="Century Gothic" w:hAnsi="Century Gothic"/>
          <w:sz w:val="27"/>
          <w:szCs w:val="27"/>
        </w:rPr>
      </w:pPr>
    </w:p>
    <w:p w:rsidR="00A937C0" w:rsidRDefault="00D93F8C"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Esto</w:t>
      </w:r>
      <w:r w:rsidR="00383DC5">
        <w:rPr>
          <w:rFonts w:ascii="Century Gothic" w:hAnsi="Century Gothic"/>
          <w:sz w:val="27"/>
          <w:szCs w:val="27"/>
        </w:rPr>
        <w:t>, señala el certificado,</w:t>
      </w:r>
      <w:r>
        <w:rPr>
          <w:rFonts w:ascii="Century Gothic" w:hAnsi="Century Gothic"/>
          <w:sz w:val="27"/>
          <w:szCs w:val="27"/>
        </w:rPr>
        <w:t xml:space="preserve"> le genera una discapacidad neurosensorial y mental que le da una funcionalidad media. </w:t>
      </w:r>
    </w:p>
    <w:p w:rsidR="00126D2A" w:rsidRDefault="00126D2A" w:rsidP="009A7CE3">
      <w:pPr>
        <w:pStyle w:val="Sinespaciado"/>
        <w:spacing w:line="360" w:lineRule="auto"/>
        <w:ind w:right="51"/>
        <w:jc w:val="both"/>
        <w:rPr>
          <w:rFonts w:ascii="Century Gothic" w:hAnsi="Century Gothic"/>
          <w:sz w:val="27"/>
          <w:szCs w:val="27"/>
        </w:rPr>
      </w:pPr>
    </w:p>
    <w:p w:rsidR="00126D2A" w:rsidRDefault="00126D2A"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El artículo 2, fracciones III, IV, V y VI del Reglamento de la Ley General para la Inclusión de las Personas con Discapacidad contempla distintos tipos de discapacidad, entre los cuales, para los efectos del presente asunto, destacan dos:</w:t>
      </w:r>
    </w:p>
    <w:p w:rsidR="00126D2A" w:rsidRDefault="00126D2A" w:rsidP="009A7CE3">
      <w:pPr>
        <w:pStyle w:val="Sinespaciado"/>
        <w:spacing w:line="360" w:lineRule="auto"/>
        <w:ind w:right="51"/>
        <w:jc w:val="both"/>
        <w:rPr>
          <w:rFonts w:ascii="Century Gothic" w:hAnsi="Century Gothic"/>
          <w:sz w:val="27"/>
          <w:szCs w:val="27"/>
        </w:rPr>
      </w:pPr>
    </w:p>
    <w:p w:rsidR="00126D2A" w:rsidRDefault="00126D2A" w:rsidP="00CE155C">
      <w:pPr>
        <w:pStyle w:val="Sinespaciado"/>
        <w:numPr>
          <w:ilvl w:val="0"/>
          <w:numId w:val="3"/>
        </w:numPr>
        <w:spacing w:line="360" w:lineRule="auto"/>
        <w:ind w:right="51"/>
        <w:jc w:val="both"/>
        <w:rPr>
          <w:rFonts w:ascii="Century Gothic" w:hAnsi="Century Gothic"/>
          <w:sz w:val="27"/>
          <w:szCs w:val="27"/>
        </w:rPr>
      </w:pPr>
      <w:r>
        <w:rPr>
          <w:rFonts w:ascii="Century Gothic" w:hAnsi="Century Gothic"/>
          <w:sz w:val="27"/>
          <w:szCs w:val="27"/>
        </w:rPr>
        <w:t xml:space="preserve">Discapacidad Mental (psicosocial): A la alteración o deficiencia en el sistema neuronal de una persona, que aunado a una sucesión de hechos que no puede manejar, detona un cambio en su comportamiento que dificulta su pleno desarrollo y convivencia social [diversidad funcional], y que al interactuar con las barreras que le impone el entorno social, pueda impedir su inclusión plena y efectiva en la sociedad, en igualdad de condiciones con los demás; y </w:t>
      </w:r>
    </w:p>
    <w:p w:rsidR="00126D2A" w:rsidRDefault="00126D2A" w:rsidP="00126D2A">
      <w:pPr>
        <w:pStyle w:val="Sinespaciado"/>
        <w:spacing w:line="360" w:lineRule="auto"/>
        <w:ind w:left="720" w:right="51"/>
        <w:jc w:val="both"/>
        <w:rPr>
          <w:rFonts w:ascii="Century Gothic" w:hAnsi="Century Gothic"/>
          <w:sz w:val="27"/>
          <w:szCs w:val="27"/>
        </w:rPr>
      </w:pPr>
    </w:p>
    <w:p w:rsidR="00126D2A" w:rsidRDefault="00126D2A" w:rsidP="00CE155C">
      <w:pPr>
        <w:pStyle w:val="Sinespaciado"/>
        <w:numPr>
          <w:ilvl w:val="0"/>
          <w:numId w:val="3"/>
        </w:numPr>
        <w:spacing w:line="360" w:lineRule="auto"/>
        <w:ind w:right="51"/>
        <w:jc w:val="both"/>
        <w:rPr>
          <w:rFonts w:ascii="Century Gothic" w:hAnsi="Century Gothic"/>
          <w:sz w:val="27"/>
          <w:szCs w:val="27"/>
        </w:rPr>
      </w:pPr>
      <w:r>
        <w:rPr>
          <w:rFonts w:ascii="Century Gothic" w:hAnsi="Century Gothic"/>
          <w:sz w:val="27"/>
          <w:szCs w:val="27"/>
        </w:rPr>
        <w:t xml:space="preserve">Discapacidad Intelectual: Se caracteriza por limitaciones significativas tanto en la estructura del pensamiento razonado, como en la conducta adaptativa de la persona [diversidad funcional], y que al interactuar con las barreras que le impone el entorno social, pueda impedir su inclusión plena y efectiva en </w:t>
      </w:r>
      <w:r>
        <w:rPr>
          <w:rFonts w:ascii="Century Gothic" w:hAnsi="Century Gothic"/>
          <w:sz w:val="27"/>
          <w:szCs w:val="27"/>
        </w:rPr>
        <w:lastRenderedPageBreak/>
        <w:t>la sociedad, en igualdad de condiciones con los demás.</w:t>
      </w:r>
    </w:p>
    <w:p w:rsidR="00126D2A" w:rsidRDefault="00126D2A" w:rsidP="00126D2A">
      <w:pPr>
        <w:pStyle w:val="Sinespaciado"/>
        <w:spacing w:line="360" w:lineRule="auto"/>
        <w:ind w:right="51"/>
        <w:jc w:val="both"/>
        <w:rPr>
          <w:rFonts w:ascii="Century Gothic" w:hAnsi="Century Gothic"/>
          <w:sz w:val="27"/>
          <w:szCs w:val="27"/>
        </w:rPr>
      </w:pPr>
    </w:p>
    <w:p w:rsidR="00126D2A" w:rsidRDefault="00126D2A" w:rsidP="00126D2A">
      <w:pPr>
        <w:pStyle w:val="Sinespaciado"/>
        <w:spacing w:line="360" w:lineRule="auto"/>
        <w:ind w:right="51"/>
        <w:jc w:val="both"/>
        <w:rPr>
          <w:rFonts w:ascii="Century Gothic" w:hAnsi="Century Gothic"/>
          <w:sz w:val="27"/>
          <w:szCs w:val="27"/>
        </w:rPr>
      </w:pPr>
      <w:r>
        <w:rPr>
          <w:rFonts w:ascii="Century Gothic" w:hAnsi="Century Gothic"/>
          <w:sz w:val="27"/>
          <w:szCs w:val="27"/>
        </w:rPr>
        <w:t xml:space="preserve">Esto resulta relevante, porque el actor alega tener una discapacidad mental, es decir, una alteración en su sistema neuronal, más no una de corte intelectual que implicaría una limitación en la estructura de su pensamiento razonado. De ahí que cuente con plena capacidad jurídica para activar los medios de impugnación que estime necesarios para la protección de sus derechos. </w:t>
      </w:r>
    </w:p>
    <w:p w:rsidR="004D7E28" w:rsidRDefault="004D7E28" w:rsidP="00126D2A">
      <w:pPr>
        <w:pStyle w:val="Sinespaciado"/>
        <w:spacing w:line="360" w:lineRule="auto"/>
        <w:ind w:right="51"/>
        <w:jc w:val="both"/>
        <w:rPr>
          <w:rFonts w:ascii="Century Gothic" w:hAnsi="Century Gothic"/>
          <w:sz w:val="27"/>
          <w:szCs w:val="27"/>
        </w:rPr>
      </w:pPr>
    </w:p>
    <w:p w:rsidR="004D7E28" w:rsidRDefault="004D7E28" w:rsidP="00126D2A">
      <w:pPr>
        <w:pStyle w:val="Sinespaciado"/>
        <w:spacing w:line="360" w:lineRule="auto"/>
        <w:ind w:right="51"/>
        <w:jc w:val="both"/>
        <w:rPr>
          <w:rFonts w:ascii="Century Gothic" w:hAnsi="Century Gothic"/>
          <w:sz w:val="27"/>
          <w:szCs w:val="27"/>
        </w:rPr>
      </w:pPr>
      <w:r>
        <w:rPr>
          <w:rFonts w:ascii="Century Gothic" w:hAnsi="Century Gothic"/>
          <w:sz w:val="27"/>
          <w:szCs w:val="27"/>
        </w:rPr>
        <w:t>Lo anterior guarda congruencia con lo establecido por la Suprema Corte de Justicia de la Nación en el sentido de que la capacidad jurídica plena debe ser la regla general, mientras que cualquier limitación a la misma, debe ser interpretada de forma restringida, encontrando un debido sustento probatorio. Asimismo, debe tomarse en cuenta que, en su caso, la decisión de restringir la capacidad de una persona en virtud de una diversidad funcional, debe considerarse como una excepción, a la cual se arribará solamente cuando sea patente que deban implementarse ajustes razonables a efecto de proteger a la persona en cuestión.</w:t>
      </w:r>
      <w:r>
        <w:rPr>
          <w:rStyle w:val="Refdenotaalpie"/>
          <w:rFonts w:ascii="Century Gothic" w:hAnsi="Century Gothic"/>
          <w:sz w:val="27"/>
          <w:szCs w:val="27"/>
        </w:rPr>
        <w:footnoteReference w:id="3"/>
      </w:r>
      <w:r>
        <w:rPr>
          <w:rFonts w:ascii="Century Gothic" w:hAnsi="Century Gothic"/>
          <w:sz w:val="27"/>
          <w:szCs w:val="27"/>
        </w:rPr>
        <w:t xml:space="preserve"> </w:t>
      </w:r>
    </w:p>
    <w:p w:rsidR="00A937C0" w:rsidRDefault="00A937C0" w:rsidP="009A7CE3">
      <w:pPr>
        <w:pStyle w:val="Sinespaciado"/>
        <w:spacing w:line="360" w:lineRule="auto"/>
        <w:ind w:right="51"/>
        <w:jc w:val="both"/>
        <w:rPr>
          <w:rFonts w:ascii="Century Gothic" w:hAnsi="Century Gothic"/>
          <w:sz w:val="27"/>
          <w:szCs w:val="27"/>
        </w:rPr>
      </w:pPr>
    </w:p>
    <w:p w:rsidR="00A937C0" w:rsidRDefault="004D7E28"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lastRenderedPageBreak/>
        <w:t>En consecuencia,</w:t>
      </w:r>
      <w:r w:rsidR="00A63644">
        <w:rPr>
          <w:rFonts w:ascii="Century Gothic" w:hAnsi="Century Gothic"/>
          <w:sz w:val="27"/>
          <w:szCs w:val="27"/>
        </w:rPr>
        <w:t xml:space="preserve"> </w:t>
      </w:r>
      <w:r w:rsidR="00400467">
        <w:rPr>
          <w:rFonts w:ascii="Century Gothic" w:hAnsi="Century Gothic"/>
          <w:sz w:val="27"/>
          <w:szCs w:val="27"/>
        </w:rPr>
        <w:t>este</w:t>
      </w:r>
      <w:r w:rsidR="00A937C0">
        <w:rPr>
          <w:rFonts w:ascii="Century Gothic" w:hAnsi="Century Gothic"/>
          <w:sz w:val="27"/>
          <w:szCs w:val="27"/>
        </w:rPr>
        <w:t xml:space="preserve"> Tribunal Electoral </w:t>
      </w:r>
      <w:r w:rsidR="00400467">
        <w:rPr>
          <w:rFonts w:ascii="Century Gothic" w:hAnsi="Century Gothic"/>
          <w:sz w:val="27"/>
          <w:szCs w:val="27"/>
        </w:rPr>
        <w:t xml:space="preserve">se encuentra obligado </w:t>
      </w:r>
      <w:r w:rsidR="00A937C0">
        <w:rPr>
          <w:rFonts w:ascii="Century Gothic" w:hAnsi="Century Gothic"/>
          <w:sz w:val="27"/>
          <w:szCs w:val="27"/>
        </w:rPr>
        <w:t>a realizar el estudio de las cuestiones que plantea</w:t>
      </w:r>
      <w:r>
        <w:rPr>
          <w:rFonts w:ascii="Century Gothic" w:hAnsi="Century Gothic"/>
          <w:sz w:val="27"/>
          <w:szCs w:val="27"/>
        </w:rPr>
        <w:t xml:space="preserve"> el actor</w:t>
      </w:r>
      <w:r w:rsidR="00A937C0">
        <w:rPr>
          <w:rFonts w:ascii="Century Gothic" w:hAnsi="Century Gothic"/>
          <w:sz w:val="27"/>
          <w:szCs w:val="27"/>
        </w:rPr>
        <w:t xml:space="preserve">, con un estándar de protección diferente, con amplia suplencia </w:t>
      </w:r>
      <w:r w:rsidR="00521A28">
        <w:rPr>
          <w:rFonts w:ascii="Century Gothic" w:hAnsi="Century Gothic"/>
          <w:sz w:val="27"/>
          <w:szCs w:val="27"/>
        </w:rPr>
        <w:t>de la queja, según se explica a continuación.</w:t>
      </w:r>
    </w:p>
    <w:p w:rsidR="00521A28" w:rsidRDefault="00521A28" w:rsidP="009A7CE3">
      <w:pPr>
        <w:pStyle w:val="Sinespaciado"/>
        <w:spacing w:line="360" w:lineRule="auto"/>
        <w:ind w:right="51"/>
        <w:jc w:val="both"/>
        <w:rPr>
          <w:rFonts w:ascii="Century Gothic" w:hAnsi="Century Gothic"/>
          <w:sz w:val="27"/>
          <w:szCs w:val="27"/>
        </w:rPr>
      </w:pPr>
    </w:p>
    <w:p w:rsidR="00126D2A" w:rsidRDefault="00400467" w:rsidP="009A7CE3">
      <w:pPr>
        <w:pStyle w:val="Sinespaciado"/>
        <w:spacing w:line="360" w:lineRule="auto"/>
        <w:ind w:right="51"/>
        <w:jc w:val="both"/>
        <w:rPr>
          <w:rFonts w:ascii="Century Gothic" w:hAnsi="Century Gothic"/>
          <w:sz w:val="27"/>
          <w:szCs w:val="27"/>
        </w:rPr>
      </w:pPr>
      <w:r>
        <w:rPr>
          <w:rFonts w:ascii="Century Gothic" w:hAnsi="Century Gothic"/>
          <w:b/>
          <w:sz w:val="27"/>
          <w:szCs w:val="27"/>
        </w:rPr>
        <w:t xml:space="preserve">TERCERO. </w:t>
      </w:r>
      <w:r w:rsidR="00126D2A">
        <w:rPr>
          <w:rFonts w:ascii="Century Gothic" w:hAnsi="Century Gothic"/>
          <w:b/>
          <w:sz w:val="27"/>
          <w:szCs w:val="27"/>
        </w:rPr>
        <w:t>Estándar de protección</w:t>
      </w:r>
      <w:r w:rsidR="00850071">
        <w:rPr>
          <w:rFonts w:ascii="Century Gothic" w:hAnsi="Century Gothic"/>
          <w:b/>
          <w:sz w:val="27"/>
          <w:szCs w:val="27"/>
        </w:rPr>
        <w:t xml:space="preserve"> para personas con discapacidad</w:t>
      </w:r>
    </w:p>
    <w:p w:rsidR="00126D2A" w:rsidRDefault="00126D2A" w:rsidP="009A7CE3">
      <w:pPr>
        <w:pStyle w:val="Sinespaciado"/>
        <w:spacing w:line="360" w:lineRule="auto"/>
        <w:ind w:right="51"/>
        <w:jc w:val="both"/>
        <w:rPr>
          <w:rFonts w:ascii="Century Gothic" w:hAnsi="Century Gothic"/>
          <w:sz w:val="27"/>
          <w:szCs w:val="27"/>
        </w:rPr>
      </w:pPr>
    </w:p>
    <w:p w:rsidR="00521A28" w:rsidRDefault="00521A28"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El artículo 4 de la Convención</w:t>
      </w:r>
      <w:r w:rsidR="00256D46">
        <w:rPr>
          <w:rFonts w:ascii="Century Gothic" w:hAnsi="Century Gothic"/>
          <w:sz w:val="27"/>
          <w:szCs w:val="27"/>
        </w:rPr>
        <w:t xml:space="preserve"> de la Organización de las Naciones Unidas</w:t>
      </w:r>
      <w:r>
        <w:rPr>
          <w:rFonts w:ascii="Century Gothic" w:hAnsi="Century Gothic"/>
          <w:sz w:val="27"/>
          <w:szCs w:val="27"/>
        </w:rPr>
        <w:t xml:space="preserve"> sobre los Derechos de las Personas con Discapacidad establece la obligación de los Estados Partes de asegurar y promover el pleno ejercicio de todos los derechos humanos y las libertades fundamentales de las personas con discapacidad. Para ello, deberán adoptar todas las medidas que sean pertinentes para hacer efectivos los derechos reconocidos en la Convención. </w:t>
      </w:r>
    </w:p>
    <w:p w:rsidR="00521A28" w:rsidRDefault="00521A28" w:rsidP="009A7CE3">
      <w:pPr>
        <w:pStyle w:val="Sinespaciado"/>
        <w:spacing w:line="360" w:lineRule="auto"/>
        <w:ind w:right="51"/>
        <w:jc w:val="both"/>
        <w:rPr>
          <w:rFonts w:ascii="Century Gothic" w:hAnsi="Century Gothic"/>
          <w:sz w:val="27"/>
          <w:szCs w:val="27"/>
        </w:rPr>
      </w:pPr>
    </w:p>
    <w:p w:rsidR="00521A28" w:rsidRDefault="00521A28"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 xml:space="preserve">Por su parte, el artículo 5 de la Convención en cita </w:t>
      </w:r>
      <w:r w:rsidR="006C34C6">
        <w:rPr>
          <w:rFonts w:ascii="Century Gothic" w:hAnsi="Century Gothic"/>
          <w:sz w:val="27"/>
          <w:szCs w:val="27"/>
        </w:rPr>
        <w:t xml:space="preserve">indica que no se considerarán discriminatorias, las medidas específicas que sean necesarias para acelerar o lograr la igualdad de hecho de las personas con discapacidad. </w:t>
      </w:r>
    </w:p>
    <w:p w:rsidR="007408D3" w:rsidRDefault="007408D3" w:rsidP="009A7CE3">
      <w:pPr>
        <w:pStyle w:val="Sinespaciado"/>
        <w:spacing w:line="360" w:lineRule="auto"/>
        <w:ind w:right="51"/>
        <w:jc w:val="both"/>
        <w:rPr>
          <w:rFonts w:ascii="Century Gothic" w:hAnsi="Century Gothic"/>
          <w:sz w:val="27"/>
          <w:szCs w:val="27"/>
        </w:rPr>
      </w:pPr>
    </w:p>
    <w:p w:rsidR="007408D3" w:rsidRDefault="00A46E02"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Asimismo</w:t>
      </w:r>
      <w:r w:rsidR="007408D3">
        <w:rPr>
          <w:rFonts w:ascii="Century Gothic" w:hAnsi="Century Gothic"/>
          <w:sz w:val="27"/>
          <w:szCs w:val="27"/>
        </w:rPr>
        <w:t xml:space="preserve">, el artículo 13 señala que los Estados Partes asegurarán que las personas con discapacidad tengan acceso a la justicia en igualdad de condiciones con las demás, incluso mediante ajustes de procedimiento, para facilitar el desempeño de las funciones efectivas de esas </w:t>
      </w:r>
      <w:r w:rsidR="007408D3">
        <w:rPr>
          <w:rFonts w:ascii="Century Gothic" w:hAnsi="Century Gothic"/>
          <w:sz w:val="27"/>
          <w:szCs w:val="27"/>
        </w:rPr>
        <w:lastRenderedPageBreak/>
        <w:t xml:space="preserve">personas como participantes directos e indirectos en todos los procedimientos judiciales. </w:t>
      </w:r>
    </w:p>
    <w:p w:rsidR="00A46E02" w:rsidRDefault="00A46E02" w:rsidP="009A7CE3">
      <w:pPr>
        <w:pStyle w:val="Sinespaciado"/>
        <w:spacing w:line="360" w:lineRule="auto"/>
        <w:ind w:right="51"/>
        <w:jc w:val="both"/>
        <w:rPr>
          <w:rFonts w:ascii="Century Gothic" w:hAnsi="Century Gothic"/>
          <w:sz w:val="27"/>
          <w:szCs w:val="27"/>
        </w:rPr>
      </w:pPr>
    </w:p>
    <w:p w:rsidR="00A46E02" w:rsidRDefault="00A46E02"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 xml:space="preserve">Finalmente, el artículo 29 conmina a los Estados Partes a garantizar a las personas con discapacidad, los derechos políticos y la posibilidad de gozar de ellos en igualdad de condiciones con las demás. Esto implica asegurarse de que las personas con discapacidad puedan participar plena y efectivamente en la vida política y pública en igualdad de condiciones con las demás. </w:t>
      </w:r>
    </w:p>
    <w:p w:rsidR="00463C19" w:rsidRDefault="00463C19" w:rsidP="009A7CE3">
      <w:pPr>
        <w:pStyle w:val="Sinespaciado"/>
        <w:spacing w:line="360" w:lineRule="auto"/>
        <w:ind w:right="51"/>
        <w:jc w:val="both"/>
        <w:rPr>
          <w:rFonts w:ascii="Century Gothic" w:hAnsi="Century Gothic"/>
          <w:sz w:val="27"/>
          <w:szCs w:val="27"/>
        </w:rPr>
      </w:pPr>
    </w:p>
    <w:p w:rsidR="00463C19" w:rsidRDefault="00463C19"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A su vez, el artículo 3 de la Convención Interamericana para la Eliminación de todas las formas de Discriminación contra las Personas con Discapacidad reitera el compromiso de los Estados Parte de adoptar las medidas necesarias para eliminar la discriminación contra las personas con discapacidad, y propiciar su plena integración en la sociedad.</w:t>
      </w:r>
    </w:p>
    <w:p w:rsidR="00463C19" w:rsidRDefault="00463C19" w:rsidP="009A7CE3">
      <w:pPr>
        <w:pStyle w:val="Sinespaciado"/>
        <w:spacing w:line="360" w:lineRule="auto"/>
        <w:ind w:right="51"/>
        <w:jc w:val="both"/>
        <w:rPr>
          <w:rFonts w:ascii="Century Gothic" w:hAnsi="Century Gothic"/>
          <w:sz w:val="27"/>
          <w:szCs w:val="27"/>
        </w:rPr>
      </w:pPr>
    </w:p>
    <w:p w:rsidR="00463C19" w:rsidRDefault="00463C19"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En esta misma materia, la Corte Interamericana de Derechos Humanos, en el caso Furlan y familiares contra Argentina</w:t>
      </w:r>
      <w:r>
        <w:rPr>
          <w:rStyle w:val="Refdenotaalpie"/>
          <w:rFonts w:ascii="Century Gothic" w:hAnsi="Century Gothic"/>
          <w:sz w:val="27"/>
          <w:szCs w:val="27"/>
        </w:rPr>
        <w:footnoteReference w:id="4"/>
      </w:r>
      <w:r>
        <w:rPr>
          <w:rFonts w:ascii="Century Gothic" w:hAnsi="Century Gothic"/>
          <w:sz w:val="27"/>
          <w:szCs w:val="27"/>
        </w:rPr>
        <w:t xml:space="preserve"> señaló que en casos de personas en situación de vulnerabilidad, como lo es una persona con disc</w:t>
      </w:r>
      <w:r w:rsidR="00606CCD">
        <w:rPr>
          <w:rFonts w:ascii="Century Gothic" w:hAnsi="Century Gothic"/>
          <w:sz w:val="27"/>
          <w:szCs w:val="27"/>
        </w:rPr>
        <w:t>a</w:t>
      </w:r>
      <w:r w:rsidR="000947C0">
        <w:rPr>
          <w:rFonts w:ascii="Century Gothic" w:hAnsi="Century Gothic"/>
          <w:sz w:val="27"/>
          <w:szCs w:val="27"/>
        </w:rPr>
        <w:t>pacidad, es importa</w:t>
      </w:r>
      <w:r>
        <w:rPr>
          <w:rFonts w:ascii="Century Gothic" w:hAnsi="Century Gothic"/>
          <w:sz w:val="27"/>
          <w:szCs w:val="27"/>
        </w:rPr>
        <w:t>nte tomar las medidas pertinentes</w:t>
      </w:r>
      <w:r w:rsidR="00606CCD">
        <w:rPr>
          <w:rFonts w:ascii="Century Gothic" w:hAnsi="Century Gothic"/>
          <w:sz w:val="27"/>
          <w:szCs w:val="27"/>
        </w:rPr>
        <w:t xml:space="preserve"> para la efectiva administración de justicia.</w:t>
      </w:r>
    </w:p>
    <w:p w:rsidR="00FD1D9B" w:rsidRDefault="00FD1D9B" w:rsidP="009A7CE3">
      <w:pPr>
        <w:pStyle w:val="Sinespaciado"/>
        <w:spacing w:line="360" w:lineRule="auto"/>
        <w:ind w:right="51"/>
        <w:jc w:val="both"/>
        <w:rPr>
          <w:rFonts w:ascii="Century Gothic" w:hAnsi="Century Gothic"/>
          <w:sz w:val="27"/>
          <w:szCs w:val="27"/>
        </w:rPr>
      </w:pPr>
    </w:p>
    <w:p w:rsidR="00FD1D9B" w:rsidRDefault="00FD1D9B"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lastRenderedPageBreak/>
        <w:t>Por su parte, el Tribunal Europeo de Derechos Humanos en el asunto Alajos Kiss contra Hungría</w:t>
      </w:r>
      <w:r>
        <w:rPr>
          <w:rStyle w:val="Refdenotaalpie"/>
          <w:rFonts w:ascii="Century Gothic" w:hAnsi="Century Gothic"/>
          <w:sz w:val="27"/>
          <w:szCs w:val="27"/>
        </w:rPr>
        <w:footnoteReference w:id="5"/>
      </w:r>
      <w:r>
        <w:rPr>
          <w:rFonts w:ascii="Century Gothic" w:hAnsi="Century Gothic"/>
          <w:sz w:val="27"/>
          <w:szCs w:val="27"/>
        </w:rPr>
        <w:t xml:space="preserve"> entendió contraria al artículo 3 del Protocolo de la Convención Europea de Derechos Humanos, la privación automática del derecho de voto a todas las personas con algún tipo de desorden mental o intelectual, por considerarla desproporcionada, y exigió a las autoridades húngaras</w:t>
      </w:r>
      <w:r w:rsidR="00DC3AED">
        <w:rPr>
          <w:rFonts w:ascii="Century Gothic" w:hAnsi="Century Gothic"/>
          <w:sz w:val="27"/>
          <w:szCs w:val="27"/>
        </w:rPr>
        <w:t xml:space="preserve"> que esta medida fuera excepcional, y no automática y general, una vez realizada una evaluación individualizada de las capacidades de la persona con discapacidad, es decir, de su aptitud para el ejercicio del voto. </w:t>
      </w:r>
    </w:p>
    <w:p w:rsidR="00DC3AED" w:rsidRDefault="00DC3AED" w:rsidP="009A7CE3">
      <w:pPr>
        <w:pStyle w:val="Sinespaciado"/>
        <w:spacing w:line="360" w:lineRule="auto"/>
        <w:ind w:right="51"/>
        <w:jc w:val="both"/>
        <w:rPr>
          <w:rFonts w:ascii="Century Gothic" w:hAnsi="Century Gothic"/>
          <w:sz w:val="27"/>
          <w:szCs w:val="27"/>
        </w:rPr>
      </w:pPr>
    </w:p>
    <w:p w:rsidR="00DC3AED" w:rsidRDefault="00DC3AED"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 xml:space="preserve">Al respecto, indicó que si una restricción a derechos fundamentales se aplica a un particular grupo vulnerable en la sociedad, que ha sufrido discriminación en el pasado, como las personas con discapacidad, entonces el margen de apreciación de los Estados se reduce sustancialmente y deben existir razones de mucho peso para poder establecer restricciones a estos derechos. </w:t>
      </w:r>
    </w:p>
    <w:p w:rsidR="00606CCD" w:rsidRDefault="00606CCD" w:rsidP="009A7CE3">
      <w:pPr>
        <w:pStyle w:val="Sinespaciado"/>
        <w:spacing w:line="360" w:lineRule="auto"/>
        <w:ind w:right="51"/>
        <w:jc w:val="both"/>
        <w:rPr>
          <w:rFonts w:ascii="Century Gothic" w:hAnsi="Century Gothic"/>
          <w:sz w:val="27"/>
          <w:szCs w:val="27"/>
        </w:rPr>
      </w:pPr>
    </w:p>
    <w:p w:rsidR="00412FF5" w:rsidRDefault="00BC11EB"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A partir de las anteriores disposiciones, y atendiendo a lo dispuesto por el artículo 5 del Reglamento Interno del Tribunal Electoral del Poder Judicial de la Federación, esta Sala Superior</w:t>
      </w:r>
      <w:r w:rsidR="00383DC5">
        <w:rPr>
          <w:rFonts w:ascii="Century Gothic" w:hAnsi="Century Gothic"/>
          <w:sz w:val="27"/>
          <w:szCs w:val="27"/>
        </w:rPr>
        <w:t xml:space="preserve"> </w:t>
      </w:r>
      <w:r w:rsidR="008118D3">
        <w:rPr>
          <w:rFonts w:ascii="Century Gothic" w:hAnsi="Century Gothic"/>
          <w:sz w:val="27"/>
          <w:szCs w:val="27"/>
        </w:rPr>
        <w:t xml:space="preserve">reconoce su obligación de </w:t>
      </w:r>
      <w:r w:rsidR="000947C0">
        <w:rPr>
          <w:rFonts w:ascii="Century Gothic" w:hAnsi="Century Gothic"/>
          <w:sz w:val="27"/>
          <w:szCs w:val="27"/>
        </w:rPr>
        <w:t>fijar</w:t>
      </w:r>
      <w:r w:rsidR="008118D3">
        <w:rPr>
          <w:rFonts w:ascii="Century Gothic" w:hAnsi="Century Gothic"/>
          <w:sz w:val="27"/>
          <w:szCs w:val="27"/>
        </w:rPr>
        <w:t xml:space="preserve"> un</w:t>
      </w:r>
      <w:r w:rsidR="003A3192">
        <w:rPr>
          <w:rFonts w:ascii="Century Gothic" w:hAnsi="Century Gothic"/>
          <w:sz w:val="27"/>
          <w:szCs w:val="27"/>
        </w:rPr>
        <w:t xml:space="preserve"> estándar especial para el </w:t>
      </w:r>
      <w:r w:rsidR="00412FF5">
        <w:rPr>
          <w:rFonts w:ascii="Century Gothic" w:hAnsi="Century Gothic"/>
          <w:sz w:val="27"/>
          <w:szCs w:val="27"/>
        </w:rPr>
        <w:t>estudio del caso que nos ocupa.</w:t>
      </w:r>
    </w:p>
    <w:p w:rsidR="000947C0" w:rsidRDefault="000947C0" w:rsidP="009A7CE3">
      <w:pPr>
        <w:pStyle w:val="Sinespaciado"/>
        <w:spacing w:line="360" w:lineRule="auto"/>
        <w:ind w:right="51"/>
        <w:jc w:val="both"/>
        <w:rPr>
          <w:rFonts w:ascii="Century Gothic" w:hAnsi="Century Gothic"/>
          <w:sz w:val="27"/>
          <w:szCs w:val="27"/>
        </w:rPr>
      </w:pPr>
    </w:p>
    <w:p w:rsidR="000947C0" w:rsidRDefault="000947C0"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 xml:space="preserve">En efecto, el numeral en cita dispone que: “el Tribunal Electoral tiene el deber de establecer protecciones jurídicas </w:t>
      </w:r>
      <w:r>
        <w:rPr>
          <w:rFonts w:ascii="Century Gothic" w:hAnsi="Century Gothic"/>
          <w:sz w:val="27"/>
          <w:szCs w:val="27"/>
        </w:rPr>
        <w:lastRenderedPageBreak/>
        <w:t xml:space="preserve">especiales en favor de los grupos en situación de vulnerabilidad, considerando sus particulares condiciones de desigualdad o desventaja, facilitándoles el acceso efectivo a la tutela judicial electoral”. </w:t>
      </w:r>
    </w:p>
    <w:p w:rsidR="00412FF5" w:rsidRDefault="00412FF5" w:rsidP="009A7CE3">
      <w:pPr>
        <w:pStyle w:val="Sinespaciado"/>
        <w:spacing w:line="360" w:lineRule="auto"/>
        <w:ind w:right="51"/>
        <w:jc w:val="both"/>
        <w:rPr>
          <w:rFonts w:ascii="Century Gothic" w:hAnsi="Century Gothic"/>
          <w:sz w:val="27"/>
          <w:szCs w:val="27"/>
        </w:rPr>
      </w:pPr>
    </w:p>
    <w:p w:rsidR="00412FF5" w:rsidRDefault="008118D3"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Esto supone</w:t>
      </w:r>
      <w:r w:rsidR="00850071">
        <w:rPr>
          <w:rFonts w:ascii="Century Gothic" w:hAnsi="Century Gothic"/>
          <w:sz w:val="27"/>
          <w:szCs w:val="27"/>
        </w:rPr>
        <w:t xml:space="preserve"> reconocer </w:t>
      </w:r>
      <w:r w:rsidR="00412FF5">
        <w:rPr>
          <w:rFonts w:ascii="Century Gothic" w:hAnsi="Century Gothic"/>
          <w:sz w:val="27"/>
          <w:szCs w:val="27"/>
        </w:rPr>
        <w:t xml:space="preserve">que el hecho de que el actor sea una persona con discapacidad, </w:t>
      </w:r>
      <w:r>
        <w:rPr>
          <w:rFonts w:ascii="Century Gothic" w:hAnsi="Century Gothic"/>
          <w:sz w:val="27"/>
          <w:szCs w:val="27"/>
        </w:rPr>
        <w:t>no deriva en</w:t>
      </w:r>
      <w:r w:rsidR="00B44BE1">
        <w:rPr>
          <w:rFonts w:ascii="Century Gothic" w:hAnsi="Century Gothic"/>
          <w:sz w:val="27"/>
          <w:szCs w:val="27"/>
        </w:rPr>
        <w:t xml:space="preserve"> </w:t>
      </w:r>
      <w:r w:rsidR="00412FF5">
        <w:rPr>
          <w:rFonts w:ascii="Century Gothic" w:hAnsi="Century Gothic"/>
          <w:sz w:val="27"/>
          <w:szCs w:val="27"/>
        </w:rPr>
        <w:t xml:space="preserve">algún impedimento para ejercer su derecho de acceso efectivo a la justicia. </w:t>
      </w:r>
    </w:p>
    <w:p w:rsidR="00412FF5" w:rsidRDefault="00412FF5" w:rsidP="009A7CE3">
      <w:pPr>
        <w:pStyle w:val="Sinespaciado"/>
        <w:spacing w:line="360" w:lineRule="auto"/>
        <w:ind w:right="51"/>
        <w:jc w:val="both"/>
        <w:rPr>
          <w:rFonts w:ascii="Century Gothic" w:hAnsi="Century Gothic"/>
          <w:sz w:val="27"/>
          <w:szCs w:val="27"/>
        </w:rPr>
      </w:pPr>
    </w:p>
    <w:p w:rsidR="00A664A5" w:rsidRDefault="00412FF5"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Ciertamente, en el Protocolo de actuación para quienes imparten justicia en casos que involucren derechos de personas con discapacidad se señala que</w:t>
      </w:r>
      <w:r w:rsidR="00B44BE1">
        <w:rPr>
          <w:rFonts w:ascii="Century Gothic" w:hAnsi="Century Gothic"/>
          <w:sz w:val="27"/>
          <w:szCs w:val="27"/>
        </w:rPr>
        <w:t>,</w:t>
      </w:r>
      <w:r>
        <w:rPr>
          <w:rFonts w:ascii="Century Gothic" w:hAnsi="Century Gothic"/>
          <w:sz w:val="27"/>
          <w:szCs w:val="27"/>
        </w:rPr>
        <w:t xml:space="preserve"> para abordar un asunto de este tipo, debe hacerse desde un modelo de derechos humanos. </w:t>
      </w:r>
    </w:p>
    <w:p w:rsidR="00A664A5" w:rsidRDefault="00A664A5" w:rsidP="009A7CE3">
      <w:pPr>
        <w:pStyle w:val="Sinespaciado"/>
        <w:spacing w:line="360" w:lineRule="auto"/>
        <w:ind w:right="51"/>
        <w:jc w:val="both"/>
        <w:rPr>
          <w:rFonts w:ascii="Century Gothic" w:hAnsi="Century Gothic"/>
          <w:sz w:val="27"/>
          <w:szCs w:val="27"/>
        </w:rPr>
      </w:pPr>
    </w:p>
    <w:p w:rsidR="00412FF5" w:rsidRDefault="00412FF5"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Esto significa reconocer a las personas con discapacidad com</w:t>
      </w:r>
      <w:r w:rsidR="00850071">
        <w:rPr>
          <w:rFonts w:ascii="Century Gothic" w:hAnsi="Century Gothic"/>
          <w:sz w:val="27"/>
          <w:szCs w:val="27"/>
        </w:rPr>
        <w:t>o titulares de derechos humanos</w:t>
      </w:r>
      <w:r>
        <w:rPr>
          <w:rFonts w:ascii="Century Gothic" w:hAnsi="Century Gothic"/>
          <w:sz w:val="27"/>
          <w:szCs w:val="27"/>
        </w:rPr>
        <w:t xml:space="preserve"> y</w:t>
      </w:r>
      <w:r w:rsidR="00850071">
        <w:rPr>
          <w:rFonts w:ascii="Century Gothic" w:hAnsi="Century Gothic"/>
          <w:sz w:val="27"/>
          <w:szCs w:val="27"/>
        </w:rPr>
        <w:t>,</w:t>
      </w:r>
      <w:r>
        <w:rPr>
          <w:rFonts w:ascii="Century Gothic" w:hAnsi="Century Gothic"/>
          <w:sz w:val="27"/>
          <w:szCs w:val="27"/>
        </w:rPr>
        <w:t xml:space="preserve"> en este orden de ideas, promover que efectivamente los ejerzan en igualdad de condiciones que el resto de la población y sin discriminación alguna, reiterando su dignidad, así como el respeto por la diferencia que </w:t>
      </w:r>
      <w:r w:rsidR="00FE3E5D">
        <w:rPr>
          <w:rFonts w:ascii="Century Gothic" w:hAnsi="Century Gothic"/>
          <w:sz w:val="27"/>
          <w:szCs w:val="27"/>
        </w:rPr>
        <w:t xml:space="preserve">implica la discapacidad, lo cual conlleva la ausencia de conductas orientadas a la reproducción de estereotipos y a la exclusión y desventaja social. </w:t>
      </w:r>
    </w:p>
    <w:p w:rsidR="00412FF5" w:rsidRDefault="00412FF5" w:rsidP="009A7CE3">
      <w:pPr>
        <w:pStyle w:val="Sinespaciado"/>
        <w:spacing w:line="360" w:lineRule="auto"/>
        <w:ind w:right="51"/>
        <w:jc w:val="both"/>
        <w:rPr>
          <w:rFonts w:ascii="Century Gothic" w:hAnsi="Century Gothic"/>
          <w:sz w:val="27"/>
          <w:szCs w:val="27"/>
        </w:rPr>
      </w:pPr>
    </w:p>
    <w:p w:rsidR="00BC11EB" w:rsidRDefault="00B44BE1"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Para dichos efectos, es necesario aplicar, entre otros, los siguientes principios:</w:t>
      </w:r>
    </w:p>
    <w:p w:rsidR="00B44BE1" w:rsidRDefault="00B44BE1" w:rsidP="00CE155C">
      <w:pPr>
        <w:pStyle w:val="Sinespaciado"/>
        <w:numPr>
          <w:ilvl w:val="0"/>
          <w:numId w:val="2"/>
        </w:numPr>
        <w:spacing w:line="360" w:lineRule="auto"/>
        <w:ind w:right="51"/>
        <w:jc w:val="both"/>
        <w:rPr>
          <w:rFonts w:ascii="Century Gothic" w:hAnsi="Century Gothic"/>
          <w:sz w:val="27"/>
          <w:szCs w:val="27"/>
        </w:rPr>
      </w:pPr>
      <w:r>
        <w:rPr>
          <w:rFonts w:ascii="Century Gothic" w:hAnsi="Century Gothic"/>
          <w:sz w:val="27"/>
          <w:szCs w:val="27"/>
        </w:rPr>
        <w:t>El de mayor protecció</w:t>
      </w:r>
      <w:r w:rsidR="001115A7">
        <w:rPr>
          <w:rFonts w:ascii="Century Gothic" w:hAnsi="Century Gothic"/>
          <w:sz w:val="27"/>
          <w:szCs w:val="27"/>
        </w:rPr>
        <w:t xml:space="preserve">n a la persona con discapacidad, que implica que todas las normas de </w:t>
      </w:r>
      <w:r w:rsidR="001115A7">
        <w:rPr>
          <w:rFonts w:ascii="Century Gothic" w:hAnsi="Century Gothic"/>
          <w:sz w:val="27"/>
          <w:szCs w:val="27"/>
        </w:rPr>
        <w:lastRenderedPageBreak/>
        <w:t>derechos humanos, sin importar el tipo de ordenamiento en el que se hallen inmersas, deben ser interpretadas conforme a dos fuentes primigenias, siendo éstas la Constitución Política de los Estados Unidos Mexicanos y los tratados internacionales en la materia;</w:t>
      </w:r>
    </w:p>
    <w:p w:rsidR="00B44BE1" w:rsidRDefault="00B44BE1" w:rsidP="00CE155C">
      <w:pPr>
        <w:pStyle w:val="Sinespaciado"/>
        <w:numPr>
          <w:ilvl w:val="0"/>
          <w:numId w:val="2"/>
        </w:numPr>
        <w:spacing w:line="360" w:lineRule="auto"/>
        <w:ind w:right="51"/>
        <w:jc w:val="both"/>
        <w:rPr>
          <w:rFonts w:ascii="Century Gothic" w:hAnsi="Century Gothic"/>
          <w:sz w:val="27"/>
          <w:szCs w:val="27"/>
        </w:rPr>
      </w:pPr>
      <w:r>
        <w:rPr>
          <w:rFonts w:ascii="Century Gothic" w:hAnsi="Century Gothic"/>
          <w:sz w:val="27"/>
          <w:szCs w:val="27"/>
        </w:rPr>
        <w:t xml:space="preserve">El </w:t>
      </w:r>
      <w:r w:rsidR="001115A7">
        <w:rPr>
          <w:rFonts w:ascii="Century Gothic" w:hAnsi="Century Gothic"/>
          <w:sz w:val="27"/>
          <w:szCs w:val="27"/>
        </w:rPr>
        <w:t>de igualdad y no discriminaci</w:t>
      </w:r>
      <w:r w:rsidR="00A14C76">
        <w:rPr>
          <w:rFonts w:ascii="Century Gothic" w:hAnsi="Century Gothic"/>
          <w:sz w:val="27"/>
          <w:szCs w:val="27"/>
        </w:rPr>
        <w:t>ón, que significa que la situación de discapacidad de las personas no debe ser motivo para generar un trato diverso que imposibilite su inclusión en el contexto en el que se desarrollan;</w:t>
      </w:r>
    </w:p>
    <w:p w:rsidR="00B44BE1" w:rsidRDefault="00A14C76" w:rsidP="00CE155C">
      <w:pPr>
        <w:pStyle w:val="Sinespaciado"/>
        <w:numPr>
          <w:ilvl w:val="0"/>
          <w:numId w:val="2"/>
        </w:numPr>
        <w:spacing w:line="360" w:lineRule="auto"/>
        <w:ind w:right="51"/>
        <w:jc w:val="both"/>
        <w:rPr>
          <w:rFonts w:ascii="Century Gothic" w:hAnsi="Century Gothic"/>
          <w:sz w:val="27"/>
          <w:szCs w:val="27"/>
        </w:rPr>
      </w:pPr>
      <w:r>
        <w:rPr>
          <w:rFonts w:ascii="Century Gothic" w:hAnsi="Century Gothic"/>
          <w:sz w:val="27"/>
          <w:szCs w:val="27"/>
        </w:rPr>
        <w:t xml:space="preserve">El de accesibilidad, entendido en dos vertientes: (i) como un camino para garantizar una efectiva igualdad de oportunidades en el ejercicio de los derechos; y (ii) como un requisito de diseño de cualquier entorno (físico, de las comunicaciones o de la información), o en el de los bienes y servicios. </w:t>
      </w:r>
    </w:p>
    <w:p w:rsidR="00B44BE1" w:rsidRDefault="00B44BE1" w:rsidP="00CE155C">
      <w:pPr>
        <w:pStyle w:val="Sinespaciado"/>
        <w:numPr>
          <w:ilvl w:val="0"/>
          <w:numId w:val="2"/>
        </w:numPr>
        <w:spacing w:line="360" w:lineRule="auto"/>
        <w:ind w:right="51"/>
        <w:jc w:val="both"/>
        <w:rPr>
          <w:rFonts w:ascii="Century Gothic" w:hAnsi="Century Gothic"/>
          <w:sz w:val="27"/>
          <w:szCs w:val="27"/>
        </w:rPr>
      </w:pPr>
      <w:r>
        <w:rPr>
          <w:rFonts w:ascii="Century Gothic" w:hAnsi="Century Gothic"/>
          <w:sz w:val="27"/>
          <w:szCs w:val="27"/>
        </w:rPr>
        <w:t>El de respeto por la diferencia, y aceptación de la discapacidad como parte de la diversidad y condición humanas</w:t>
      </w:r>
      <w:r w:rsidR="00A14C76">
        <w:rPr>
          <w:rFonts w:ascii="Century Gothic" w:hAnsi="Century Gothic"/>
          <w:sz w:val="27"/>
          <w:szCs w:val="27"/>
        </w:rPr>
        <w:t xml:space="preserve">, </w:t>
      </w:r>
      <w:r w:rsidR="003A24A9">
        <w:rPr>
          <w:rFonts w:ascii="Century Gothic" w:hAnsi="Century Gothic"/>
          <w:sz w:val="27"/>
          <w:szCs w:val="27"/>
        </w:rPr>
        <w:t>lo que significa partir del derecho al igual reconocimiento como persona ante la ley, y centrar la atención en la voluntad, preferencias y libertad en la toma de decisiones de las personas con discapacidad</w:t>
      </w:r>
      <w:r>
        <w:rPr>
          <w:rFonts w:ascii="Century Gothic" w:hAnsi="Century Gothic"/>
          <w:sz w:val="27"/>
          <w:szCs w:val="27"/>
        </w:rPr>
        <w:t>; y</w:t>
      </w:r>
    </w:p>
    <w:p w:rsidR="00B44BE1" w:rsidRDefault="00B44BE1" w:rsidP="00CE155C">
      <w:pPr>
        <w:pStyle w:val="Sinespaciado"/>
        <w:numPr>
          <w:ilvl w:val="0"/>
          <w:numId w:val="2"/>
        </w:numPr>
        <w:spacing w:line="360" w:lineRule="auto"/>
        <w:ind w:right="51"/>
        <w:jc w:val="both"/>
        <w:rPr>
          <w:rFonts w:ascii="Century Gothic" w:hAnsi="Century Gothic"/>
          <w:sz w:val="27"/>
          <w:szCs w:val="27"/>
        </w:rPr>
      </w:pPr>
      <w:r>
        <w:rPr>
          <w:rFonts w:ascii="Century Gothic" w:hAnsi="Century Gothic"/>
          <w:sz w:val="27"/>
          <w:szCs w:val="27"/>
        </w:rPr>
        <w:t>El de participación e inclusión plenas y efectivas en la comunidad</w:t>
      </w:r>
      <w:r w:rsidR="004958AC">
        <w:rPr>
          <w:rFonts w:ascii="Century Gothic" w:hAnsi="Century Gothic"/>
          <w:sz w:val="27"/>
          <w:szCs w:val="27"/>
        </w:rPr>
        <w:t xml:space="preserve">, siendo esto consustancial al ejercicio de los derechos de los que son titulares, en el marco del nuevo modelo social y de derechos humanos de la capacidad. </w:t>
      </w:r>
    </w:p>
    <w:p w:rsidR="00BC11EB" w:rsidRDefault="00BC11EB" w:rsidP="009A7CE3">
      <w:pPr>
        <w:pStyle w:val="Sinespaciado"/>
        <w:spacing w:line="360" w:lineRule="auto"/>
        <w:ind w:right="51"/>
        <w:jc w:val="both"/>
        <w:rPr>
          <w:rFonts w:ascii="Century Gothic" w:hAnsi="Century Gothic"/>
          <w:sz w:val="27"/>
          <w:szCs w:val="27"/>
        </w:rPr>
      </w:pPr>
    </w:p>
    <w:p w:rsidR="00B44BE1" w:rsidRDefault="008118D3"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lastRenderedPageBreak/>
        <w:t xml:space="preserve">Así, </w:t>
      </w:r>
      <w:r w:rsidR="009F777A">
        <w:rPr>
          <w:rFonts w:ascii="Century Gothic" w:hAnsi="Century Gothic"/>
          <w:sz w:val="27"/>
          <w:szCs w:val="27"/>
        </w:rPr>
        <w:t xml:space="preserve">aplicando estos principios, resulta </w:t>
      </w:r>
      <w:r w:rsidR="004958AC">
        <w:rPr>
          <w:rFonts w:ascii="Century Gothic" w:hAnsi="Century Gothic"/>
          <w:sz w:val="27"/>
          <w:szCs w:val="27"/>
        </w:rPr>
        <w:t>importante reiterar que la discapacidad mental del actor,</w:t>
      </w:r>
      <w:r>
        <w:rPr>
          <w:rFonts w:ascii="Century Gothic" w:hAnsi="Century Gothic"/>
          <w:sz w:val="27"/>
          <w:szCs w:val="27"/>
        </w:rPr>
        <w:t xml:space="preserve"> </w:t>
      </w:r>
      <w:r w:rsidR="002B78D0">
        <w:rPr>
          <w:rFonts w:ascii="Century Gothic" w:hAnsi="Century Gothic"/>
          <w:sz w:val="27"/>
          <w:szCs w:val="27"/>
        </w:rPr>
        <w:t>no le resta capacidad jurídica para accionar los medios de impugnación que estime necesarios para la protección de sus derechos</w:t>
      </w:r>
      <w:r w:rsidR="00706A37">
        <w:rPr>
          <w:rFonts w:ascii="Century Gothic" w:hAnsi="Century Gothic"/>
          <w:sz w:val="27"/>
          <w:szCs w:val="27"/>
        </w:rPr>
        <w:t xml:space="preserve">. </w:t>
      </w:r>
    </w:p>
    <w:p w:rsidR="009F777A" w:rsidRDefault="009F777A" w:rsidP="009A7CE3">
      <w:pPr>
        <w:pStyle w:val="Sinespaciado"/>
        <w:spacing w:line="360" w:lineRule="auto"/>
        <w:ind w:right="51"/>
        <w:jc w:val="both"/>
        <w:rPr>
          <w:rFonts w:ascii="Century Gothic" w:hAnsi="Century Gothic"/>
          <w:sz w:val="27"/>
          <w:szCs w:val="27"/>
        </w:rPr>
      </w:pPr>
    </w:p>
    <w:p w:rsidR="004C2639" w:rsidRDefault="004C2639"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Sin embargo</w:t>
      </w:r>
      <w:r w:rsidR="004958AC">
        <w:rPr>
          <w:rFonts w:ascii="Century Gothic" w:hAnsi="Century Gothic"/>
          <w:sz w:val="27"/>
          <w:szCs w:val="27"/>
        </w:rPr>
        <w:t xml:space="preserve">, esta Sala Superior está obligada a adoptar medidas </w:t>
      </w:r>
      <w:r w:rsidR="00FD1D9B">
        <w:rPr>
          <w:rFonts w:ascii="Century Gothic" w:hAnsi="Century Gothic"/>
          <w:sz w:val="27"/>
          <w:szCs w:val="27"/>
        </w:rPr>
        <w:t>especiales que fac</w:t>
      </w:r>
      <w:r>
        <w:rPr>
          <w:rFonts w:ascii="Century Gothic" w:hAnsi="Century Gothic"/>
          <w:sz w:val="27"/>
          <w:szCs w:val="27"/>
        </w:rPr>
        <w:t xml:space="preserve">iliten su acceso a la justicia electoral, siempre respetando la diversidad funcional y siendo incluyentes y empáticos para no generar una discapacidad derivada del contexto en el que se desenvuelve la persona. </w:t>
      </w:r>
    </w:p>
    <w:p w:rsidR="004C2639" w:rsidRDefault="004C2639" w:rsidP="009A7CE3">
      <w:pPr>
        <w:pStyle w:val="Sinespaciado"/>
        <w:spacing w:line="360" w:lineRule="auto"/>
        <w:ind w:right="51"/>
        <w:jc w:val="both"/>
        <w:rPr>
          <w:rFonts w:ascii="Century Gothic" w:hAnsi="Century Gothic"/>
          <w:sz w:val="27"/>
          <w:szCs w:val="27"/>
        </w:rPr>
      </w:pPr>
    </w:p>
    <w:p w:rsidR="004C2639" w:rsidRDefault="004C2639" w:rsidP="009A7CE3">
      <w:pPr>
        <w:pStyle w:val="Sinespaciado"/>
        <w:spacing w:line="360" w:lineRule="auto"/>
        <w:ind w:right="51"/>
        <w:jc w:val="both"/>
        <w:rPr>
          <w:rFonts w:ascii="Century Gothic" w:hAnsi="Century Gothic"/>
          <w:sz w:val="27"/>
          <w:szCs w:val="27"/>
        </w:rPr>
      </w:pPr>
      <w:r>
        <w:rPr>
          <w:rFonts w:ascii="Century Gothic" w:hAnsi="Century Gothic"/>
          <w:sz w:val="27"/>
          <w:szCs w:val="27"/>
        </w:rPr>
        <w:t>Esto impl</w:t>
      </w:r>
      <w:r w:rsidR="00E645BA">
        <w:rPr>
          <w:rFonts w:ascii="Century Gothic" w:hAnsi="Century Gothic"/>
          <w:sz w:val="27"/>
          <w:szCs w:val="27"/>
        </w:rPr>
        <w:t>ica</w:t>
      </w:r>
      <w:r>
        <w:rPr>
          <w:rFonts w:ascii="Century Gothic" w:hAnsi="Century Gothic"/>
          <w:sz w:val="27"/>
          <w:szCs w:val="27"/>
        </w:rPr>
        <w:t xml:space="preserve"> tomar acciones como las siguientes:</w:t>
      </w:r>
    </w:p>
    <w:p w:rsidR="00E645BA" w:rsidRDefault="00E645BA" w:rsidP="009A7CE3">
      <w:pPr>
        <w:pStyle w:val="Sinespaciado"/>
        <w:spacing w:line="360" w:lineRule="auto"/>
        <w:ind w:right="51"/>
        <w:jc w:val="both"/>
        <w:rPr>
          <w:rFonts w:ascii="Century Gothic" w:hAnsi="Century Gothic"/>
          <w:sz w:val="27"/>
          <w:szCs w:val="27"/>
        </w:rPr>
      </w:pPr>
    </w:p>
    <w:p w:rsidR="00E645BA" w:rsidRDefault="00E645BA" w:rsidP="00CE155C">
      <w:pPr>
        <w:pStyle w:val="Sinespaciado"/>
        <w:numPr>
          <w:ilvl w:val="0"/>
          <w:numId w:val="7"/>
        </w:numPr>
        <w:spacing w:line="360" w:lineRule="auto"/>
        <w:ind w:right="51"/>
        <w:jc w:val="both"/>
        <w:rPr>
          <w:rFonts w:ascii="Century Gothic" w:hAnsi="Century Gothic"/>
          <w:sz w:val="27"/>
          <w:szCs w:val="27"/>
        </w:rPr>
      </w:pPr>
      <w:r>
        <w:rPr>
          <w:rFonts w:ascii="Century Gothic" w:hAnsi="Century Gothic"/>
          <w:sz w:val="27"/>
          <w:szCs w:val="27"/>
        </w:rPr>
        <w:t>Antes de dictar una resolución:</w:t>
      </w:r>
    </w:p>
    <w:p w:rsidR="00E645BA" w:rsidRDefault="00E645BA" w:rsidP="00E645BA">
      <w:pPr>
        <w:pStyle w:val="Sinespaciado"/>
        <w:spacing w:line="360" w:lineRule="auto"/>
        <w:ind w:left="720" w:right="51"/>
        <w:jc w:val="both"/>
        <w:rPr>
          <w:rFonts w:ascii="Century Gothic" w:hAnsi="Century Gothic"/>
          <w:sz w:val="27"/>
          <w:szCs w:val="27"/>
        </w:rPr>
      </w:pPr>
    </w:p>
    <w:p w:rsidR="00E645BA" w:rsidRDefault="004C2639" w:rsidP="00CE155C">
      <w:pPr>
        <w:pStyle w:val="Sinespaciado"/>
        <w:numPr>
          <w:ilvl w:val="0"/>
          <w:numId w:val="6"/>
        </w:numPr>
        <w:spacing w:line="360" w:lineRule="auto"/>
        <w:ind w:right="51"/>
        <w:jc w:val="both"/>
        <w:rPr>
          <w:rFonts w:ascii="Century Gothic" w:hAnsi="Century Gothic"/>
          <w:sz w:val="27"/>
          <w:szCs w:val="27"/>
        </w:rPr>
      </w:pPr>
      <w:r>
        <w:rPr>
          <w:rFonts w:ascii="Century Gothic" w:hAnsi="Century Gothic"/>
          <w:sz w:val="27"/>
          <w:szCs w:val="27"/>
        </w:rPr>
        <w:t xml:space="preserve">Asignar </w:t>
      </w:r>
      <w:r w:rsidR="00E645BA">
        <w:rPr>
          <w:rFonts w:ascii="Century Gothic" w:hAnsi="Century Gothic"/>
          <w:sz w:val="27"/>
          <w:szCs w:val="27"/>
        </w:rPr>
        <w:t xml:space="preserve">al actor </w:t>
      </w:r>
      <w:r>
        <w:rPr>
          <w:rFonts w:ascii="Century Gothic" w:hAnsi="Century Gothic"/>
          <w:sz w:val="27"/>
          <w:szCs w:val="27"/>
        </w:rPr>
        <w:t xml:space="preserve">un </w:t>
      </w:r>
      <w:r w:rsidR="00E645BA">
        <w:rPr>
          <w:rFonts w:ascii="Century Gothic" w:hAnsi="Century Gothic"/>
          <w:sz w:val="27"/>
          <w:szCs w:val="27"/>
        </w:rPr>
        <w:t>asesor jurídico</w:t>
      </w:r>
      <w:r>
        <w:rPr>
          <w:rFonts w:ascii="Century Gothic" w:hAnsi="Century Gothic"/>
          <w:sz w:val="27"/>
          <w:szCs w:val="27"/>
        </w:rPr>
        <w:t xml:space="preserve"> que </w:t>
      </w:r>
      <w:r w:rsidR="00E645BA">
        <w:rPr>
          <w:rFonts w:ascii="Century Gothic" w:hAnsi="Century Gothic"/>
          <w:sz w:val="27"/>
          <w:szCs w:val="27"/>
        </w:rPr>
        <w:t xml:space="preserve">oriente sus pretensiones, </w:t>
      </w:r>
      <w:r>
        <w:rPr>
          <w:rFonts w:ascii="Century Gothic" w:hAnsi="Century Gothic"/>
          <w:sz w:val="27"/>
          <w:szCs w:val="27"/>
        </w:rPr>
        <w:t xml:space="preserve">y lo ayude a llevar a mejor término el medio de impugnación </w:t>
      </w:r>
      <w:r w:rsidR="00E645BA">
        <w:rPr>
          <w:rFonts w:ascii="Century Gothic" w:hAnsi="Century Gothic"/>
          <w:sz w:val="27"/>
          <w:szCs w:val="27"/>
        </w:rPr>
        <w:t>interpuesto;</w:t>
      </w:r>
    </w:p>
    <w:p w:rsidR="00E645BA" w:rsidRDefault="00E645BA" w:rsidP="00CE155C">
      <w:pPr>
        <w:pStyle w:val="Sinespaciado"/>
        <w:numPr>
          <w:ilvl w:val="0"/>
          <w:numId w:val="6"/>
        </w:numPr>
        <w:spacing w:line="360" w:lineRule="auto"/>
        <w:ind w:right="51"/>
        <w:jc w:val="both"/>
        <w:rPr>
          <w:rFonts w:ascii="Century Gothic" w:hAnsi="Century Gothic"/>
          <w:sz w:val="27"/>
          <w:szCs w:val="27"/>
        </w:rPr>
      </w:pPr>
      <w:r>
        <w:rPr>
          <w:rFonts w:ascii="Century Gothic" w:hAnsi="Century Gothic"/>
          <w:sz w:val="27"/>
          <w:szCs w:val="27"/>
        </w:rPr>
        <w:t>Implementación de la accesibilidad en los juzgados, defensorías y fiscalías, removiendo los obstáculos para que las personas con discapacidad conozcan sus derechos y garantías, y el modo de tramitación de los procesos judiciales;</w:t>
      </w:r>
    </w:p>
    <w:p w:rsidR="00E645BA" w:rsidRDefault="00E645BA" w:rsidP="00CE155C">
      <w:pPr>
        <w:pStyle w:val="Sinespaciado"/>
        <w:numPr>
          <w:ilvl w:val="0"/>
          <w:numId w:val="6"/>
        </w:numPr>
        <w:spacing w:line="360" w:lineRule="auto"/>
        <w:ind w:right="51"/>
        <w:jc w:val="both"/>
        <w:rPr>
          <w:rFonts w:ascii="Century Gothic" w:hAnsi="Century Gothic"/>
          <w:sz w:val="27"/>
          <w:szCs w:val="27"/>
        </w:rPr>
      </w:pPr>
      <w:r>
        <w:rPr>
          <w:rFonts w:ascii="Century Gothic" w:hAnsi="Century Gothic"/>
          <w:sz w:val="27"/>
          <w:szCs w:val="27"/>
        </w:rPr>
        <w:t>Audiencia entre el juzgador y las personas con discapacidad, en caso de que así lo requieran;</w:t>
      </w:r>
    </w:p>
    <w:p w:rsidR="00850071" w:rsidRDefault="00850071" w:rsidP="00CE155C">
      <w:pPr>
        <w:pStyle w:val="Sinespaciado"/>
        <w:numPr>
          <w:ilvl w:val="0"/>
          <w:numId w:val="6"/>
        </w:numPr>
        <w:spacing w:line="360" w:lineRule="auto"/>
        <w:ind w:right="51"/>
        <w:jc w:val="both"/>
        <w:rPr>
          <w:rFonts w:ascii="Century Gothic" w:hAnsi="Century Gothic"/>
          <w:sz w:val="27"/>
          <w:szCs w:val="27"/>
        </w:rPr>
      </w:pPr>
      <w:r>
        <w:rPr>
          <w:rFonts w:ascii="Century Gothic" w:hAnsi="Century Gothic"/>
          <w:sz w:val="27"/>
          <w:szCs w:val="27"/>
        </w:rPr>
        <w:t>Acompañamiento de personas de su confianza durante todo el desarrollo del proceso;</w:t>
      </w:r>
    </w:p>
    <w:p w:rsidR="00E645BA" w:rsidRDefault="00E645BA" w:rsidP="00E645BA">
      <w:pPr>
        <w:pStyle w:val="Sinespaciado"/>
        <w:spacing w:line="360" w:lineRule="auto"/>
        <w:ind w:right="51"/>
        <w:jc w:val="both"/>
        <w:rPr>
          <w:rFonts w:ascii="Century Gothic" w:hAnsi="Century Gothic"/>
          <w:sz w:val="27"/>
          <w:szCs w:val="27"/>
        </w:rPr>
      </w:pPr>
    </w:p>
    <w:p w:rsidR="00E645BA" w:rsidRDefault="00E645BA" w:rsidP="00CE155C">
      <w:pPr>
        <w:pStyle w:val="Sinespaciado"/>
        <w:numPr>
          <w:ilvl w:val="0"/>
          <w:numId w:val="7"/>
        </w:numPr>
        <w:spacing w:line="360" w:lineRule="auto"/>
        <w:ind w:right="51"/>
        <w:jc w:val="both"/>
        <w:rPr>
          <w:rFonts w:ascii="Century Gothic" w:hAnsi="Century Gothic"/>
          <w:sz w:val="27"/>
          <w:szCs w:val="27"/>
        </w:rPr>
      </w:pPr>
      <w:r>
        <w:rPr>
          <w:rFonts w:ascii="Century Gothic" w:hAnsi="Century Gothic"/>
          <w:sz w:val="27"/>
          <w:szCs w:val="27"/>
        </w:rPr>
        <w:lastRenderedPageBreak/>
        <w:t>Al momento de dictar una resolución:</w:t>
      </w:r>
    </w:p>
    <w:p w:rsidR="00E645BA" w:rsidRDefault="00E645BA"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Aplicar prioritariamente las normas internacionales de protección de los derechos humanos de las personas con discapacidad;</w:t>
      </w:r>
    </w:p>
    <w:p w:rsidR="00E645BA" w:rsidRDefault="00E645BA"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Abstenerse de hacer valoraciones basadas en consideraciones de tipo cultural o ideológico, que configuren prejuicios y produzcan efectos o resultados discriminatorios respecto de las personas con discapacidad;</w:t>
      </w:r>
    </w:p>
    <w:p w:rsidR="00E645BA" w:rsidRDefault="00E645BA"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Garantizar la justicia pronta y efectiva, considerando prioritarios los casos sobre derechos de las personas con discapacidad;</w:t>
      </w:r>
    </w:p>
    <w:p w:rsidR="00E645BA" w:rsidRDefault="00E645BA"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Redactar las resoluciones con un lenguaje inclusivo y respetuoso de derechos humanos</w:t>
      </w:r>
      <w:r w:rsidR="00CE155C">
        <w:rPr>
          <w:rFonts w:ascii="Century Gothic" w:hAnsi="Century Gothic"/>
          <w:sz w:val="27"/>
          <w:szCs w:val="27"/>
        </w:rPr>
        <w:t>;</w:t>
      </w:r>
    </w:p>
    <w:p w:rsidR="00F3160B" w:rsidRDefault="00F3160B"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Resguardar la identidad del actor, a fin de que se evite que sea sujeto de discriminación;</w:t>
      </w:r>
    </w:p>
    <w:p w:rsidR="00CE155C" w:rsidRDefault="00CE155C"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Procurarse de suficiente información que permita juzgar el caso con pleno entendimiento de la situación que se presenta;</w:t>
      </w:r>
    </w:p>
    <w:p w:rsidR="00CE155C" w:rsidRDefault="00CE155C"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Evitar aplicar automáticamente medidas genéricas de protección tutelar, y más bien, estudiar cuáles son las que se requieren en el caso concreto;</w:t>
      </w:r>
    </w:p>
    <w:p w:rsidR="00CE155C" w:rsidRDefault="00CE155C"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Realizar los ajustes razonables en el procedimiento, a efecto de que</w:t>
      </w:r>
      <w:r w:rsidR="00F3160B">
        <w:rPr>
          <w:rFonts w:ascii="Century Gothic" w:hAnsi="Century Gothic"/>
          <w:sz w:val="27"/>
          <w:szCs w:val="27"/>
        </w:rPr>
        <w:t xml:space="preserve"> este no constituya una carga; </w:t>
      </w:r>
    </w:p>
    <w:p w:rsidR="00F3160B" w:rsidRDefault="00CE155C"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 xml:space="preserve">No exigir formalidades procesales que vulneren el acceso a la justicia de las personas con discapacidad. </w:t>
      </w:r>
      <w:r>
        <w:rPr>
          <w:rFonts w:ascii="Century Gothic" w:hAnsi="Century Gothic"/>
          <w:sz w:val="27"/>
          <w:szCs w:val="27"/>
        </w:rPr>
        <w:lastRenderedPageBreak/>
        <w:t xml:space="preserve">En el mismo sentido, aplicar en sentido </w:t>
      </w:r>
      <w:r w:rsidR="00F3160B">
        <w:rPr>
          <w:rFonts w:ascii="Century Gothic" w:hAnsi="Century Gothic"/>
          <w:sz w:val="27"/>
          <w:szCs w:val="27"/>
        </w:rPr>
        <w:t>amplio la suplencia de la queja,</w:t>
      </w:r>
      <w:r>
        <w:rPr>
          <w:rStyle w:val="Refdenotaalpie"/>
          <w:rFonts w:ascii="Century Gothic" w:hAnsi="Century Gothic"/>
          <w:sz w:val="27"/>
          <w:szCs w:val="27"/>
        </w:rPr>
        <w:footnoteReference w:id="6"/>
      </w:r>
      <w:r w:rsidR="00F3160B">
        <w:rPr>
          <w:rFonts w:ascii="Century Gothic" w:hAnsi="Century Gothic"/>
          <w:sz w:val="27"/>
          <w:szCs w:val="27"/>
        </w:rPr>
        <w:t xml:space="preserve"> y</w:t>
      </w:r>
    </w:p>
    <w:p w:rsidR="00CE155C" w:rsidRPr="00CE155C" w:rsidRDefault="00F3160B" w:rsidP="00CE155C">
      <w:pPr>
        <w:pStyle w:val="Sinespaciado"/>
        <w:numPr>
          <w:ilvl w:val="0"/>
          <w:numId w:val="8"/>
        </w:numPr>
        <w:spacing w:line="360" w:lineRule="auto"/>
        <w:ind w:right="51"/>
        <w:jc w:val="both"/>
        <w:rPr>
          <w:rFonts w:ascii="Century Gothic" w:hAnsi="Century Gothic"/>
          <w:sz w:val="27"/>
          <w:szCs w:val="27"/>
        </w:rPr>
      </w:pPr>
      <w:r>
        <w:rPr>
          <w:rFonts w:ascii="Century Gothic" w:hAnsi="Century Gothic"/>
          <w:sz w:val="27"/>
          <w:szCs w:val="27"/>
        </w:rPr>
        <w:t xml:space="preserve">Redactar resoluciones </w:t>
      </w:r>
      <w:r w:rsidR="00F25E99">
        <w:rPr>
          <w:rFonts w:ascii="Century Gothic" w:hAnsi="Century Gothic"/>
          <w:sz w:val="27"/>
          <w:szCs w:val="27"/>
        </w:rPr>
        <w:t xml:space="preserve">con formato </w:t>
      </w:r>
      <w:r>
        <w:rPr>
          <w:rFonts w:ascii="Century Gothic" w:hAnsi="Century Gothic"/>
          <w:sz w:val="27"/>
          <w:szCs w:val="27"/>
        </w:rPr>
        <w:t>de lectura fácil que sean entendibles para cualquier persona, con independencia del grado de discapacidad que tengan.</w:t>
      </w:r>
      <w:r w:rsidR="00F25E99">
        <w:rPr>
          <w:rStyle w:val="Refdenotaalpie"/>
          <w:rFonts w:ascii="Century Gothic" w:hAnsi="Century Gothic"/>
          <w:sz w:val="27"/>
          <w:szCs w:val="27"/>
        </w:rPr>
        <w:footnoteReference w:id="7"/>
      </w:r>
      <w:r w:rsidR="00CE155C">
        <w:rPr>
          <w:rFonts w:ascii="Century Gothic" w:hAnsi="Century Gothic"/>
          <w:sz w:val="27"/>
          <w:szCs w:val="27"/>
        </w:rPr>
        <w:t xml:space="preserve"> </w:t>
      </w:r>
    </w:p>
    <w:p w:rsidR="00CE155C" w:rsidRDefault="00CE155C" w:rsidP="001905EB">
      <w:pPr>
        <w:spacing w:line="360" w:lineRule="auto"/>
        <w:jc w:val="both"/>
        <w:rPr>
          <w:rFonts w:ascii="Century Gothic" w:hAnsi="Century Gothic" w:cs="Arial"/>
          <w:b/>
          <w:sz w:val="28"/>
          <w:szCs w:val="27"/>
        </w:rPr>
      </w:pPr>
    </w:p>
    <w:p w:rsidR="008E3EB4" w:rsidRDefault="008E3EB4" w:rsidP="001905EB">
      <w:pPr>
        <w:spacing w:line="360" w:lineRule="auto"/>
        <w:jc w:val="both"/>
        <w:rPr>
          <w:rFonts w:ascii="Century Gothic" w:hAnsi="Century Gothic" w:cs="Arial"/>
          <w:sz w:val="28"/>
          <w:szCs w:val="27"/>
        </w:rPr>
      </w:pPr>
      <w:r>
        <w:rPr>
          <w:rFonts w:ascii="Century Gothic" w:hAnsi="Century Gothic" w:cs="Arial"/>
          <w:sz w:val="28"/>
          <w:szCs w:val="27"/>
        </w:rPr>
        <w:t xml:space="preserve">Por lo tanto, de una interpretación de los artículos 4, 5, 13 y 29 de la Convención de la Organización de las Naciones Unidas sobre los Derechos de las Personas con Discapacidad, así como 3 de la Convención Interamericana para la Eliminación de todas las formas de Discriminación contra las Personas con Discapacidad, se advierte la obligación de los Tribunales de aplicar un estándar de protección especial para las personas que </w:t>
      </w:r>
      <w:r w:rsidR="00143250">
        <w:rPr>
          <w:rFonts w:ascii="Century Gothic" w:hAnsi="Century Gothic" w:cs="Arial"/>
          <w:sz w:val="28"/>
          <w:szCs w:val="27"/>
        </w:rPr>
        <w:t xml:space="preserve">se sometan a su jurisdicción y aleguen tener algún tipo de discapacidad. Este estándar de protección incluye entre otras actividades: a) la asignación de un asesor jurídico; b) la celebración de audiencias entre el juzgador y las personas con discapacidad, cuando así lo requieran; c) realizar ajustes razonables en el procedimiento, sin exigir requisitos procesales que puedan generar cargas; y d) </w:t>
      </w:r>
      <w:r w:rsidR="00143250">
        <w:rPr>
          <w:rFonts w:ascii="Century Gothic" w:hAnsi="Century Gothic" w:cs="Arial"/>
          <w:sz w:val="28"/>
          <w:szCs w:val="27"/>
        </w:rPr>
        <w:lastRenderedPageBreak/>
        <w:t xml:space="preserve">redactar sentencias en formato de “lectura fácil” para que cualquier persona pueda entender lo que se resuelva. </w:t>
      </w:r>
    </w:p>
    <w:p w:rsidR="008E3EB4" w:rsidRDefault="008E3EB4" w:rsidP="001905EB">
      <w:pPr>
        <w:spacing w:line="360" w:lineRule="auto"/>
        <w:jc w:val="both"/>
        <w:rPr>
          <w:rFonts w:ascii="Century Gothic" w:hAnsi="Century Gothic" w:cs="Arial"/>
          <w:sz w:val="28"/>
          <w:szCs w:val="27"/>
        </w:rPr>
      </w:pPr>
    </w:p>
    <w:p w:rsidR="00CE155C" w:rsidRPr="00CE155C" w:rsidRDefault="00CE155C" w:rsidP="001905EB">
      <w:pPr>
        <w:spacing w:line="360" w:lineRule="auto"/>
        <w:jc w:val="both"/>
        <w:rPr>
          <w:rFonts w:ascii="Century Gothic" w:hAnsi="Century Gothic" w:cs="Arial"/>
          <w:sz w:val="28"/>
          <w:szCs w:val="27"/>
        </w:rPr>
      </w:pPr>
      <w:r>
        <w:rPr>
          <w:rFonts w:ascii="Century Gothic" w:hAnsi="Century Gothic" w:cs="Arial"/>
          <w:sz w:val="28"/>
          <w:szCs w:val="27"/>
        </w:rPr>
        <w:t>Así, con base en este estándar, este máximo tribunal procederá al estudio del caso planteado.</w:t>
      </w:r>
    </w:p>
    <w:p w:rsidR="00CE155C" w:rsidRPr="00AD23C0" w:rsidRDefault="00CE155C" w:rsidP="001905EB">
      <w:pPr>
        <w:spacing w:line="360" w:lineRule="auto"/>
        <w:jc w:val="both"/>
        <w:rPr>
          <w:rFonts w:ascii="Century Gothic" w:hAnsi="Century Gothic" w:cs="Arial"/>
          <w:b/>
          <w:sz w:val="28"/>
          <w:szCs w:val="27"/>
        </w:rPr>
      </w:pPr>
    </w:p>
    <w:p w:rsidR="008856C2" w:rsidRDefault="00DB5AA1" w:rsidP="008856C2">
      <w:pPr>
        <w:spacing w:line="360" w:lineRule="auto"/>
        <w:jc w:val="both"/>
        <w:rPr>
          <w:rFonts w:ascii="Century Gothic" w:hAnsi="Century Gothic" w:cs="Arial"/>
          <w:sz w:val="27"/>
          <w:szCs w:val="27"/>
        </w:rPr>
      </w:pPr>
      <w:r>
        <w:rPr>
          <w:rFonts w:ascii="Century Gothic" w:hAnsi="Century Gothic" w:cs="Arial"/>
          <w:b/>
          <w:sz w:val="27"/>
          <w:szCs w:val="27"/>
        </w:rPr>
        <w:t>CUARTO</w:t>
      </w:r>
      <w:r w:rsidR="00333D7B" w:rsidRPr="00CD38A0">
        <w:rPr>
          <w:rFonts w:ascii="Century Gothic" w:hAnsi="Century Gothic" w:cs="Arial"/>
          <w:b/>
          <w:sz w:val="27"/>
          <w:szCs w:val="27"/>
        </w:rPr>
        <w:t xml:space="preserve">. </w:t>
      </w:r>
      <w:r w:rsidR="00F3160B">
        <w:rPr>
          <w:rFonts w:ascii="Century Gothic" w:hAnsi="Century Gothic" w:cs="Arial"/>
          <w:b/>
          <w:sz w:val="27"/>
          <w:szCs w:val="27"/>
        </w:rPr>
        <w:t>Análisis de la pretensión del promovente</w:t>
      </w:r>
      <w:r w:rsidR="00212CC5" w:rsidRPr="00CD38A0">
        <w:rPr>
          <w:rFonts w:ascii="Century Gothic" w:hAnsi="Century Gothic" w:cs="Arial"/>
          <w:b/>
          <w:sz w:val="27"/>
          <w:szCs w:val="27"/>
        </w:rPr>
        <w:t xml:space="preserve">. </w:t>
      </w:r>
      <w:r w:rsidR="008856C2">
        <w:rPr>
          <w:rFonts w:ascii="Century Gothic" w:hAnsi="Century Gothic" w:cs="Arial"/>
          <w:sz w:val="27"/>
          <w:szCs w:val="27"/>
        </w:rPr>
        <w:t xml:space="preserve">En los diversos escritos que presentó el actor, señala que le causa perjuicio la omisión en el artículo 27, inciso a) del Código Federal de Instituciones y Procedimientos Electorales de regular la prohibición de que los partidos políticos hagan alusiones a los símbolos patrios en sus emblemas. </w:t>
      </w:r>
    </w:p>
    <w:p w:rsidR="008856C2" w:rsidRDefault="008856C2" w:rsidP="008856C2">
      <w:pPr>
        <w:spacing w:line="360" w:lineRule="auto"/>
        <w:jc w:val="both"/>
        <w:rPr>
          <w:rFonts w:ascii="Century Gothic" w:hAnsi="Century Gothic" w:cs="Arial"/>
          <w:sz w:val="27"/>
          <w:szCs w:val="27"/>
        </w:rPr>
      </w:pPr>
    </w:p>
    <w:p w:rsidR="008856C2" w:rsidRDefault="008856C2" w:rsidP="008856C2">
      <w:pPr>
        <w:spacing w:line="360" w:lineRule="auto"/>
        <w:jc w:val="both"/>
        <w:rPr>
          <w:rFonts w:ascii="Century Gothic" w:hAnsi="Century Gothic" w:cs="Arial"/>
          <w:sz w:val="27"/>
          <w:szCs w:val="27"/>
        </w:rPr>
      </w:pPr>
      <w:r>
        <w:rPr>
          <w:rFonts w:ascii="Century Gothic" w:hAnsi="Century Gothic" w:cs="Arial"/>
          <w:sz w:val="27"/>
          <w:szCs w:val="27"/>
        </w:rPr>
        <w:t xml:space="preserve">Afirma que, así como se indica que la denominación debe estar exenta de alusiones religiosas o raciales, también debe prohibir las alusiones a los símbolos patrios porque son una poderosa motivación que puede cambiar las decisiones en materia electoral. </w:t>
      </w:r>
    </w:p>
    <w:p w:rsidR="008856C2" w:rsidRDefault="008856C2" w:rsidP="008856C2">
      <w:pPr>
        <w:spacing w:line="360" w:lineRule="auto"/>
        <w:jc w:val="both"/>
        <w:rPr>
          <w:rFonts w:ascii="Century Gothic" w:hAnsi="Century Gothic" w:cs="Arial"/>
          <w:sz w:val="27"/>
          <w:szCs w:val="27"/>
        </w:rPr>
      </w:pPr>
    </w:p>
    <w:p w:rsidR="008856C2" w:rsidRDefault="008856C2" w:rsidP="008856C2">
      <w:pPr>
        <w:spacing w:line="360" w:lineRule="auto"/>
        <w:jc w:val="both"/>
        <w:rPr>
          <w:rFonts w:ascii="Century Gothic" w:hAnsi="Century Gothic" w:cs="Arial"/>
          <w:sz w:val="27"/>
          <w:szCs w:val="27"/>
        </w:rPr>
      </w:pPr>
      <w:r>
        <w:rPr>
          <w:rFonts w:ascii="Century Gothic" w:hAnsi="Century Gothic" w:cs="Arial"/>
          <w:sz w:val="27"/>
          <w:szCs w:val="27"/>
        </w:rPr>
        <w:t xml:space="preserve">Puntualiza que, en su situación particular de persona con discapacidad mental, el que en los emblemas se hagan alusiones a “signos patrios” le provoca reacciones de depresión y angustia. Explica que, al no comulgar con las propuestas de partidos como el Revolucionario Institucional y MORENA, los cuales utilizan los colores y el águila de la bandera nacional en sus logotipos, le genera angustia que, al momento de votar, no escoja los emblemas que contienen los signos integrantes de la bandera. </w:t>
      </w:r>
    </w:p>
    <w:p w:rsidR="008856C2" w:rsidRDefault="008856C2" w:rsidP="008856C2">
      <w:pPr>
        <w:spacing w:line="360" w:lineRule="auto"/>
        <w:jc w:val="both"/>
        <w:rPr>
          <w:rFonts w:ascii="Century Gothic" w:hAnsi="Century Gothic" w:cs="Arial"/>
          <w:sz w:val="27"/>
          <w:szCs w:val="27"/>
        </w:rPr>
      </w:pPr>
    </w:p>
    <w:p w:rsidR="008856C2" w:rsidRDefault="008856C2" w:rsidP="008856C2">
      <w:pPr>
        <w:spacing w:line="360" w:lineRule="auto"/>
        <w:jc w:val="both"/>
        <w:rPr>
          <w:rFonts w:ascii="Century Gothic" w:hAnsi="Century Gothic" w:cs="Arial"/>
          <w:sz w:val="27"/>
          <w:szCs w:val="27"/>
        </w:rPr>
      </w:pPr>
      <w:r>
        <w:rPr>
          <w:rFonts w:ascii="Century Gothic" w:hAnsi="Century Gothic" w:cs="Arial"/>
          <w:sz w:val="27"/>
          <w:szCs w:val="27"/>
        </w:rPr>
        <w:lastRenderedPageBreak/>
        <w:t xml:space="preserve">Por estas razones, solicita, a la par de que se ordene regular estos aspectos, que se otorgue la suspensión provisional, a efecto de que los partidos políticos en cuestión dejen de utilizar los elementos de los símbolos patrios en sus logotipos, y en concreto, que no se impriman las boletas electorales de las próximas elecciones con dichos logotipos.  </w:t>
      </w:r>
    </w:p>
    <w:p w:rsidR="008856C2" w:rsidRDefault="008856C2" w:rsidP="008856C2">
      <w:pPr>
        <w:spacing w:line="360" w:lineRule="auto"/>
        <w:jc w:val="both"/>
        <w:rPr>
          <w:rFonts w:ascii="Century Gothic" w:hAnsi="Century Gothic" w:cs="Arial"/>
          <w:sz w:val="27"/>
          <w:szCs w:val="27"/>
        </w:rPr>
      </w:pPr>
    </w:p>
    <w:p w:rsidR="008856C2" w:rsidRDefault="008856C2" w:rsidP="008856C2">
      <w:pPr>
        <w:spacing w:line="360" w:lineRule="auto"/>
        <w:jc w:val="both"/>
        <w:rPr>
          <w:rFonts w:ascii="Century Gothic" w:hAnsi="Century Gothic" w:cs="Arial"/>
          <w:sz w:val="27"/>
          <w:szCs w:val="27"/>
        </w:rPr>
      </w:pPr>
      <w:r>
        <w:rPr>
          <w:rFonts w:ascii="Century Gothic" w:hAnsi="Century Gothic" w:cs="Arial"/>
          <w:sz w:val="27"/>
          <w:szCs w:val="27"/>
        </w:rPr>
        <w:t>Adicionalmente, en escrito presentado el treinta de noviembre de este año, el actor señala que también le causa afectación que el partido MORENA pretenda utilizar la influencia de la Virgen de Guadalupe, depositando la intención de la candidatura presidencial el día doce de diciembre, en el cual se celebra a la misma. Indica que esto es contrario al artículo 27, inciso a) del Código Federal de Procedimientos Electorales, pues hace una alusión de carácter religioso.</w:t>
      </w:r>
    </w:p>
    <w:p w:rsidR="008856C2" w:rsidRDefault="008856C2" w:rsidP="008856C2">
      <w:pPr>
        <w:spacing w:line="360" w:lineRule="auto"/>
        <w:jc w:val="both"/>
        <w:rPr>
          <w:rFonts w:ascii="Century Gothic" w:hAnsi="Century Gothic" w:cs="Arial"/>
          <w:sz w:val="27"/>
          <w:szCs w:val="27"/>
        </w:rPr>
      </w:pPr>
    </w:p>
    <w:p w:rsidR="008856C2" w:rsidRDefault="008856C2" w:rsidP="008856C2">
      <w:pPr>
        <w:spacing w:line="360" w:lineRule="auto"/>
        <w:jc w:val="both"/>
        <w:rPr>
          <w:rFonts w:ascii="Century Gothic" w:hAnsi="Century Gothic" w:cs="Arial"/>
          <w:sz w:val="27"/>
          <w:szCs w:val="27"/>
        </w:rPr>
      </w:pPr>
      <w:r>
        <w:rPr>
          <w:rFonts w:ascii="Century Gothic" w:hAnsi="Century Gothic" w:cs="Arial"/>
          <w:sz w:val="27"/>
          <w:szCs w:val="27"/>
        </w:rPr>
        <w:t xml:space="preserve">Del análisis de dichas pretensiones, esta Sala Superior estima que lo procedente sería reencauzar el escrito presentado a </w:t>
      </w:r>
      <w:r>
        <w:rPr>
          <w:rFonts w:ascii="Century Gothic" w:hAnsi="Century Gothic" w:cs="Arial"/>
          <w:b/>
          <w:sz w:val="27"/>
          <w:szCs w:val="27"/>
        </w:rPr>
        <w:t>juicio electoral</w:t>
      </w:r>
      <w:r>
        <w:rPr>
          <w:rFonts w:ascii="Century Gothic" w:hAnsi="Century Gothic" w:cs="Arial"/>
          <w:sz w:val="27"/>
          <w:szCs w:val="27"/>
        </w:rPr>
        <w:t xml:space="preserve">, </w:t>
      </w:r>
      <w:r w:rsidR="003733C7">
        <w:rPr>
          <w:rFonts w:ascii="Century Gothic" w:hAnsi="Century Gothic" w:cs="Arial"/>
          <w:sz w:val="27"/>
          <w:szCs w:val="27"/>
        </w:rPr>
        <w:t xml:space="preserve">toda vez que el </w:t>
      </w:r>
      <w:r w:rsidR="00DE1BC2">
        <w:rPr>
          <w:rFonts w:ascii="Century Gothic" w:hAnsi="Century Gothic" w:cs="Arial"/>
          <w:sz w:val="27"/>
          <w:szCs w:val="27"/>
        </w:rPr>
        <w:t xml:space="preserve">promovente </w:t>
      </w:r>
      <w:r w:rsidR="003733C7">
        <w:rPr>
          <w:rFonts w:ascii="Century Gothic" w:hAnsi="Century Gothic" w:cs="Arial"/>
          <w:sz w:val="27"/>
          <w:szCs w:val="27"/>
        </w:rPr>
        <w:t>impugna actos que no admiten ser controvertidos a través de otro juicio o recurso previsto en la legislaci</w:t>
      </w:r>
      <w:r w:rsidR="00BE5CF9">
        <w:rPr>
          <w:rFonts w:ascii="Century Gothic" w:hAnsi="Century Gothic" w:cs="Arial"/>
          <w:sz w:val="27"/>
          <w:szCs w:val="27"/>
        </w:rPr>
        <w:t>ón electoral.</w:t>
      </w:r>
      <w:r w:rsidR="003733C7">
        <w:rPr>
          <w:rStyle w:val="Refdenotaalpie"/>
          <w:rFonts w:ascii="Century Gothic" w:hAnsi="Century Gothic" w:cs="Arial"/>
          <w:sz w:val="27"/>
          <w:szCs w:val="27"/>
        </w:rPr>
        <w:footnoteReference w:id="8"/>
      </w:r>
      <w:r w:rsidR="00BE5CF9">
        <w:rPr>
          <w:rFonts w:ascii="Century Gothic" w:hAnsi="Century Gothic" w:cs="Arial"/>
          <w:sz w:val="27"/>
          <w:szCs w:val="27"/>
        </w:rPr>
        <w:t xml:space="preserve"> </w:t>
      </w:r>
    </w:p>
    <w:p w:rsidR="00BE5CF9" w:rsidRDefault="00BE5CF9" w:rsidP="008856C2">
      <w:pPr>
        <w:spacing w:line="360" w:lineRule="auto"/>
        <w:jc w:val="both"/>
        <w:rPr>
          <w:rFonts w:ascii="Century Gothic" w:hAnsi="Century Gothic" w:cs="Arial"/>
          <w:sz w:val="27"/>
          <w:szCs w:val="27"/>
        </w:rPr>
      </w:pPr>
    </w:p>
    <w:p w:rsidR="00BE5CF9" w:rsidRDefault="00BE5CF9" w:rsidP="008856C2">
      <w:pPr>
        <w:spacing w:line="360" w:lineRule="auto"/>
        <w:jc w:val="both"/>
        <w:rPr>
          <w:rFonts w:ascii="Century Gothic" w:hAnsi="Century Gothic" w:cs="Arial"/>
          <w:sz w:val="27"/>
          <w:szCs w:val="27"/>
        </w:rPr>
      </w:pPr>
      <w:r>
        <w:rPr>
          <w:rFonts w:ascii="Century Gothic" w:hAnsi="Century Gothic" w:cs="Arial"/>
          <w:sz w:val="27"/>
          <w:szCs w:val="27"/>
        </w:rPr>
        <w:t>No obstante, a ningún efecto práctico conduciría lo anterior, toda vez que el actor carece de interés jurídico, o incluso legítimo, para</w:t>
      </w:r>
      <w:r w:rsidR="00DE1BC2">
        <w:rPr>
          <w:rFonts w:ascii="Century Gothic" w:hAnsi="Century Gothic" w:cs="Arial"/>
          <w:sz w:val="27"/>
          <w:szCs w:val="27"/>
        </w:rPr>
        <w:t xml:space="preserve"> impugnar los actos de los cuáles se queja, por </w:t>
      </w:r>
      <w:r w:rsidR="00DE1BC2">
        <w:rPr>
          <w:rFonts w:ascii="Century Gothic" w:hAnsi="Century Gothic" w:cs="Arial"/>
          <w:sz w:val="27"/>
          <w:szCs w:val="27"/>
        </w:rPr>
        <w:lastRenderedPageBreak/>
        <w:t xml:space="preserve">lo que no se surtirían los requisitos de procedencia necesarios para entrar al estudio de fondo del asunto planteado.  </w:t>
      </w:r>
    </w:p>
    <w:p w:rsidR="00BE5CF9" w:rsidRDefault="00BE5CF9" w:rsidP="008856C2">
      <w:pPr>
        <w:spacing w:line="360" w:lineRule="auto"/>
        <w:jc w:val="both"/>
        <w:rPr>
          <w:rFonts w:ascii="Century Gothic" w:hAnsi="Century Gothic" w:cs="Arial"/>
          <w:sz w:val="27"/>
          <w:szCs w:val="27"/>
        </w:rPr>
      </w:pPr>
    </w:p>
    <w:p w:rsidR="00BE5CF9" w:rsidRDefault="00DE1BC2" w:rsidP="008856C2">
      <w:pPr>
        <w:spacing w:line="360" w:lineRule="auto"/>
        <w:jc w:val="both"/>
        <w:rPr>
          <w:rFonts w:ascii="Century Gothic" w:hAnsi="Century Gothic" w:cs="Arial"/>
          <w:sz w:val="27"/>
          <w:szCs w:val="27"/>
        </w:rPr>
      </w:pPr>
      <w:r>
        <w:rPr>
          <w:rFonts w:ascii="Century Gothic" w:hAnsi="Century Gothic" w:cs="Arial"/>
          <w:sz w:val="27"/>
          <w:szCs w:val="27"/>
        </w:rPr>
        <w:t>Al respecto, esta Sala Superior ha establecido que el interés jurídico se surte, si en la demanda se hace valer la infracción de algún derecho sustancial del actor, y a la vez, éste hace ver que la intervención del órgano jurisdiccional es necesaria y útil para lograr la reparación de esa violación, mediante la formulación de algún planteamiento tendente a obtener el dictado de una sentencia, que tenga el efecto de revocar o modificar el acto o la resolución reclamados que producirá la consiguiente restitución al demandante en el goce del pretendido derecho político electoral violado.</w:t>
      </w:r>
      <w:r>
        <w:rPr>
          <w:rStyle w:val="Refdenotaalpie"/>
          <w:rFonts w:ascii="Century Gothic" w:hAnsi="Century Gothic" w:cs="Arial"/>
          <w:sz w:val="27"/>
          <w:szCs w:val="27"/>
        </w:rPr>
        <w:footnoteReference w:id="9"/>
      </w:r>
      <w:r>
        <w:rPr>
          <w:rFonts w:ascii="Century Gothic" w:hAnsi="Century Gothic" w:cs="Arial"/>
          <w:sz w:val="27"/>
          <w:szCs w:val="27"/>
        </w:rPr>
        <w:t xml:space="preserve"> </w:t>
      </w:r>
    </w:p>
    <w:p w:rsidR="00DE1BC2" w:rsidRDefault="00DE1BC2" w:rsidP="008856C2">
      <w:pPr>
        <w:spacing w:line="360" w:lineRule="auto"/>
        <w:jc w:val="both"/>
        <w:rPr>
          <w:rFonts w:ascii="Century Gothic" w:hAnsi="Century Gothic" w:cs="Arial"/>
          <w:sz w:val="27"/>
          <w:szCs w:val="27"/>
        </w:rPr>
      </w:pPr>
    </w:p>
    <w:p w:rsidR="00DE1BC2" w:rsidRDefault="00DE1BC2" w:rsidP="008856C2">
      <w:pPr>
        <w:spacing w:line="360" w:lineRule="auto"/>
        <w:jc w:val="both"/>
        <w:rPr>
          <w:rFonts w:ascii="Century Gothic" w:hAnsi="Century Gothic" w:cs="Arial"/>
          <w:sz w:val="27"/>
          <w:szCs w:val="27"/>
        </w:rPr>
      </w:pPr>
      <w:r>
        <w:rPr>
          <w:rFonts w:ascii="Century Gothic" w:hAnsi="Century Gothic" w:cs="Arial"/>
          <w:sz w:val="27"/>
          <w:szCs w:val="27"/>
        </w:rPr>
        <w:t xml:space="preserve">Así, para que el interés jurídico exista, el acto o resolución impugnado, debe repercutir de manera clara y suficiente en el ámbito de derechos de quien acude al proceso, pues sólo de esa manera, de llegar a demostrar en juicio que la afectación del derecho de que aduce ser titular es ilegal, se le podrá restituir en el goce de la prerrogativa vulnerada o bien se hará </w:t>
      </w:r>
      <w:r w:rsidR="00B115A7">
        <w:rPr>
          <w:rFonts w:ascii="Century Gothic" w:hAnsi="Century Gothic" w:cs="Arial"/>
          <w:sz w:val="27"/>
          <w:szCs w:val="27"/>
        </w:rPr>
        <w:t xml:space="preserve">factible su ejercicio. </w:t>
      </w:r>
    </w:p>
    <w:p w:rsidR="00B115A7" w:rsidRDefault="00B115A7" w:rsidP="008856C2">
      <w:pPr>
        <w:spacing w:line="360" w:lineRule="auto"/>
        <w:jc w:val="both"/>
        <w:rPr>
          <w:rFonts w:ascii="Century Gothic" w:hAnsi="Century Gothic" w:cs="Arial"/>
          <w:sz w:val="27"/>
          <w:szCs w:val="27"/>
        </w:rPr>
      </w:pPr>
    </w:p>
    <w:p w:rsidR="00B115A7" w:rsidRPr="008856C2" w:rsidRDefault="00B115A7" w:rsidP="008856C2">
      <w:pPr>
        <w:spacing w:line="360" w:lineRule="auto"/>
        <w:jc w:val="both"/>
        <w:rPr>
          <w:rFonts w:ascii="Century Gothic" w:hAnsi="Century Gothic" w:cs="Arial"/>
          <w:sz w:val="27"/>
          <w:szCs w:val="27"/>
        </w:rPr>
      </w:pPr>
      <w:r>
        <w:rPr>
          <w:rFonts w:ascii="Century Gothic" w:hAnsi="Century Gothic" w:cs="Arial"/>
          <w:sz w:val="27"/>
          <w:szCs w:val="27"/>
        </w:rPr>
        <w:t xml:space="preserve">Ahora bien, el interés legítimo se define como aquél personal, individual o colectivo, cualificado, actual, real y jurídicamente relevante, que puede traducirse en un beneficio jurídico en favor del quejoso </w:t>
      </w:r>
      <w:r w:rsidR="00A44EE9">
        <w:rPr>
          <w:rFonts w:ascii="Century Gothic" w:hAnsi="Century Gothic" w:cs="Arial"/>
          <w:sz w:val="27"/>
          <w:szCs w:val="27"/>
        </w:rPr>
        <w:t xml:space="preserve">derivado de una </w:t>
      </w:r>
      <w:r w:rsidR="00A44EE9">
        <w:rPr>
          <w:rFonts w:ascii="Century Gothic" w:hAnsi="Century Gothic" w:cs="Arial"/>
          <w:sz w:val="27"/>
          <w:szCs w:val="27"/>
        </w:rPr>
        <w:lastRenderedPageBreak/>
        <w:t>afectación a su esfera jurídica en sentido amplio, que puede ser de índole económica, profesional, de salud pública o de cualquier otra.</w:t>
      </w:r>
      <w:r w:rsidR="00A44EE9">
        <w:rPr>
          <w:rStyle w:val="Refdenotaalpie"/>
          <w:rFonts w:ascii="Century Gothic" w:hAnsi="Century Gothic" w:cs="Arial"/>
          <w:sz w:val="27"/>
          <w:szCs w:val="27"/>
        </w:rPr>
        <w:footnoteReference w:id="10"/>
      </w:r>
      <w:r w:rsidR="00A44EE9">
        <w:rPr>
          <w:rFonts w:ascii="Century Gothic" w:hAnsi="Century Gothic" w:cs="Arial"/>
          <w:sz w:val="27"/>
          <w:szCs w:val="27"/>
        </w:rPr>
        <w:t xml:space="preserve"> </w:t>
      </w:r>
    </w:p>
    <w:p w:rsidR="001905EB" w:rsidRDefault="001905EB" w:rsidP="00F3160B">
      <w:pPr>
        <w:spacing w:line="360" w:lineRule="auto"/>
        <w:jc w:val="both"/>
        <w:rPr>
          <w:rFonts w:ascii="Century Gothic" w:hAnsi="Century Gothic" w:cs="Arial"/>
          <w:sz w:val="27"/>
          <w:szCs w:val="27"/>
        </w:rPr>
      </w:pPr>
    </w:p>
    <w:p w:rsidR="001A0D7C" w:rsidRPr="008856C2" w:rsidRDefault="00A44EE9" w:rsidP="00F3160B">
      <w:pPr>
        <w:spacing w:line="360" w:lineRule="auto"/>
        <w:jc w:val="both"/>
        <w:rPr>
          <w:rFonts w:ascii="Century Gothic" w:hAnsi="Century Gothic" w:cs="Arial"/>
          <w:sz w:val="27"/>
          <w:szCs w:val="27"/>
        </w:rPr>
      </w:pPr>
      <w:r>
        <w:rPr>
          <w:rFonts w:ascii="Century Gothic" w:hAnsi="Century Gothic" w:cs="Arial"/>
          <w:sz w:val="27"/>
          <w:szCs w:val="27"/>
        </w:rPr>
        <w:t xml:space="preserve">En el </w:t>
      </w:r>
      <w:r w:rsidR="00F74253">
        <w:rPr>
          <w:rFonts w:ascii="Century Gothic" w:hAnsi="Century Gothic" w:cs="Arial"/>
          <w:sz w:val="27"/>
          <w:szCs w:val="27"/>
        </w:rPr>
        <w:t xml:space="preserve">caso, se advierte que </w:t>
      </w:r>
      <w:r w:rsidR="00143250">
        <w:rPr>
          <w:rFonts w:ascii="Century Gothic" w:hAnsi="Century Gothic" w:cs="Arial"/>
          <w:sz w:val="27"/>
          <w:szCs w:val="27"/>
        </w:rPr>
        <w:t>no hay un acto concreto de aplicación que pudiera afectar</w:t>
      </w:r>
      <w:r w:rsidR="001A0D7C">
        <w:rPr>
          <w:rFonts w:ascii="Century Gothic" w:hAnsi="Century Gothic" w:cs="Arial"/>
          <w:sz w:val="27"/>
          <w:szCs w:val="27"/>
        </w:rPr>
        <w:t xml:space="preserve"> </w:t>
      </w:r>
      <w:r w:rsidR="00B77360">
        <w:rPr>
          <w:rFonts w:ascii="Century Gothic" w:hAnsi="Century Gothic" w:cs="Arial"/>
          <w:sz w:val="27"/>
          <w:szCs w:val="27"/>
        </w:rPr>
        <w:t xml:space="preserve">de forma directa </w:t>
      </w:r>
      <w:r w:rsidR="00143250">
        <w:rPr>
          <w:rFonts w:ascii="Century Gothic" w:hAnsi="Century Gothic" w:cs="Arial"/>
          <w:sz w:val="27"/>
          <w:szCs w:val="27"/>
        </w:rPr>
        <w:t>los derechos</w:t>
      </w:r>
      <w:r w:rsidR="001A0D7C">
        <w:rPr>
          <w:rFonts w:ascii="Century Gothic" w:hAnsi="Century Gothic" w:cs="Arial"/>
          <w:sz w:val="27"/>
          <w:szCs w:val="27"/>
        </w:rPr>
        <w:t xml:space="preserve"> políticos-electorales</w:t>
      </w:r>
      <w:r w:rsidR="00143250">
        <w:rPr>
          <w:rFonts w:ascii="Century Gothic" w:hAnsi="Century Gothic" w:cs="Arial"/>
          <w:sz w:val="27"/>
          <w:szCs w:val="27"/>
        </w:rPr>
        <w:t xml:space="preserve"> del actor</w:t>
      </w:r>
      <w:r w:rsidR="001A0D7C">
        <w:rPr>
          <w:rFonts w:ascii="Century Gothic" w:hAnsi="Century Gothic" w:cs="Arial"/>
          <w:sz w:val="27"/>
          <w:szCs w:val="27"/>
        </w:rPr>
        <w:t>, pues en ningún momento se le está impidiendo ejercer su derecho al voto de forma libre y secreta, tal y como lo alega.</w:t>
      </w:r>
    </w:p>
    <w:p w:rsidR="00E42547" w:rsidRDefault="00E42547" w:rsidP="009D3250">
      <w:pPr>
        <w:spacing w:line="360" w:lineRule="auto"/>
        <w:jc w:val="both"/>
        <w:rPr>
          <w:rFonts w:ascii="Century Gothic" w:hAnsi="Century Gothic" w:cs="Arial"/>
          <w:bCs/>
          <w:iCs/>
          <w:sz w:val="27"/>
          <w:szCs w:val="27"/>
        </w:rPr>
      </w:pPr>
    </w:p>
    <w:p w:rsidR="00E42547" w:rsidRDefault="00062E1B"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t>En el mismo sentido, no</w:t>
      </w:r>
      <w:r w:rsidR="00E42547">
        <w:rPr>
          <w:rFonts w:ascii="Century Gothic" w:hAnsi="Century Gothic" w:cs="Arial"/>
          <w:bCs/>
          <w:iCs/>
          <w:sz w:val="27"/>
          <w:szCs w:val="27"/>
        </w:rPr>
        <w:t xml:space="preserve"> existen elementos para concluir que </w:t>
      </w:r>
      <w:r>
        <w:rPr>
          <w:rFonts w:ascii="Century Gothic" w:hAnsi="Century Gothic" w:cs="Arial"/>
          <w:bCs/>
          <w:iCs/>
          <w:sz w:val="27"/>
          <w:szCs w:val="27"/>
        </w:rPr>
        <w:t>las conductas denunciadas</w:t>
      </w:r>
      <w:r w:rsidR="00E42547">
        <w:rPr>
          <w:rFonts w:ascii="Century Gothic" w:hAnsi="Century Gothic" w:cs="Arial"/>
          <w:bCs/>
          <w:iCs/>
          <w:sz w:val="27"/>
          <w:szCs w:val="27"/>
        </w:rPr>
        <w:t xml:space="preserve"> genere</w:t>
      </w:r>
      <w:r>
        <w:rPr>
          <w:rFonts w:ascii="Century Gothic" w:hAnsi="Century Gothic" w:cs="Arial"/>
          <w:bCs/>
          <w:iCs/>
          <w:sz w:val="27"/>
          <w:szCs w:val="27"/>
        </w:rPr>
        <w:t>n</w:t>
      </w:r>
      <w:r w:rsidR="00E42547">
        <w:rPr>
          <w:rFonts w:ascii="Century Gothic" w:hAnsi="Century Gothic" w:cs="Arial"/>
          <w:bCs/>
          <w:iCs/>
          <w:sz w:val="27"/>
          <w:szCs w:val="27"/>
        </w:rPr>
        <w:t xml:space="preserve"> algún tipo de discriminación al grupo en situación de vulnerabilidad del que forma parte el actor</w:t>
      </w:r>
      <w:r>
        <w:rPr>
          <w:rFonts w:ascii="Century Gothic" w:hAnsi="Century Gothic" w:cs="Arial"/>
          <w:bCs/>
          <w:iCs/>
          <w:sz w:val="27"/>
          <w:szCs w:val="27"/>
        </w:rPr>
        <w:t xml:space="preserve">, por lo que tampoco se actualizan los elementos necesarios para que se le reconozca interés legítimo para la defensa de sus </w:t>
      </w:r>
      <w:r w:rsidR="003235E3">
        <w:rPr>
          <w:rFonts w:ascii="Century Gothic" w:hAnsi="Century Gothic" w:cs="Arial"/>
          <w:bCs/>
          <w:iCs/>
          <w:sz w:val="27"/>
          <w:szCs w:val="27"/>
        </w:rPr>
        <w:t>derechos.</w:t>
      </w:r>
      <w:r w:rsidR="00E42547">
        <w:rPr>
          <w:rFonts w:ascii="Century Gothic" w:hAnsi="Century Gothic" w:cs="Arial"/>
          <w:bCs/>
          <w:iCs/>
          <w:sz w:val="27"/>
          <w:szCs w:val="27"/>
        </w:rPr>
        <w:t xml:space="preserve"> </w:t>
      </w:r>
    </w:p>
    <w:p w:rsidR="001A0D7C" w:rsidRDefault="001A0D7C" w:rsidP="009D3250">
      <w:pPr>
        <w:spacing w:line="360" w:lineRule="auto"/>
        <w:jc w:val="both"/>
        <w:rPr>
          <w:rFonts w:ascii="Century Gothic" w:hAnsi="Century Gothic" w:cs="Arial"/>
          <w:bCs/>
          <w:iCs/>
          <w:sz w:val="27"/>
          <w:szCs w:val="27"/>
        </w:rPr>
      </w:pPr>
    </w:p>
    <w:p w:rsidR="001A0D7C" w:rsidRDefault="001A0D7C"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t xml:space="preserve">Al respecto, este Tribunal Electoral </w:t>
      </w:r>
      <w:r w:rsidR="00062E1B">
        <w:rPr>
          <w:rFonts w:ascii="Century Gothic" w:hAnsi="Century Gothic" w:cs="Arial"/>
          <w:bCs/>
          <w:iCs/>
          <w:sz w:val="27"/>
          <w:szCs w:val="27"/>
        </w:rPr>
        <w:t>estima</w:t>
      </w:r>
      <w:r>
        <w:rPr>
          <w:rFonts w:ascii="Century Gothic" w:hAnsi="Century Gothic" w:cs="Arial"/>
          <w:bCs/>
          <w:iCs/>
          <w:sz w:val="27"/>
          <w:szCs w:val="27"/>
        </w:rPr>
        <w:t xml:space="preserve"> que </w:t>
      </w:r>
      <w:r w:rsidR="00143250">
        <w:rPr>
          <w:rFonts w:ascii="Century Gothic" w:hAnsi="Century Gothic" w:cs="Arial"/>
          <w:bCs/>
          <w:iCs/>
          <w:sz w:val="27"/>
          <w:szCs w:val="27"/>
        </w:rPr>
        <w:t>las violaciones que alega el actor, no se materializan en un acto de aplicación que pueda vulnerar de</w:t>
      </w:r>
      <w:r>
        <w:rPr>
          <w:rFonts w:ascii="Century Gothic" w:hAnsi="Century Gothic" w:cs="Arial"/>
          <w:bCs/>
          <w:iCs/>
          <w:sz w:val="27"/>
          <w:szCs w:val="27"/>
        </w:rPr>
        <w:t xml:space="preserve"> forma directa, en su perjuicio</w:t>
      </w:r>
      <w:r w:rsidR="004B24EC">
        <w:rPr>
          <w:rFonts w:ascii="Century Gothic" w:hAnsi="Century Gothic" w:cs="Arial"/>
          <w:bCs/>
          <w:iCs/>
          <w:sz w:val="27"/>
          <w:szCs w:val="27"/>
        </w:rPr>
        <w:t>,</w:t>
      </w:r>
      <w:r>
        <w:rPr>
          <w:rFonts w:ascii="Century Gothic" w:hAnsi="Century Gothic" w:cs="Arial"/>
          <w:bCs/>
          <w:iCs/>
          <w:sz w:val="27"/>
          <w:szCs w:val="27"/>
        </w:rPr>
        <w:t xml:space="preserve"> algún derecho político electoral y, por tanto, a ningún fin eficaz llevaría el estudio de la controversia planteada, pues no </w:t>
      </w:r>
      <w:r w:rsidR="004B24EC">
        <w:rPr>
          <w:rFonts w:ascii="Century Gothic" w:hAnsi="Century Gothic" w:cs="Arial"/>
          <w:bCs/>
          <w:iCs/>
          <w:sz w:val="27"/>
          <w:szCs w:val="27"/>
        </w:rPr>
        <w:t>existe violación que reparar ni derecho que restituir al actor.</w:t>
      </w:r>
    </w:p>
    <w:p w:rsidR="00062E1B" w:rsidRDefault="00062E1B" w:rsidP="009D3250">
      <w:pPr>
        <w:spacing w:line="360" w:lineRule="auto"/>
        <w:jc w:val="both"/>
        <w:rPr>
          <w:rFonts w:ascii="Century Gothic" w:hAnsi="Century Gothic" w:cs="Arial"/>
          <w:bCs/>
          <w:iCs/>
          <w:sz w:val="27"/>
          <w:szCs w:val="27"/>
        </w:rPr>
      </w:pPr>
    </w:p>
    <w:p w:rsidR="004B24EC" w:rsidRDefault="004B24EC"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lastRenderedPageBreak/>
        <w:t>Lo anterior, porque esta Sala Superior ha establecido en criterio de que, por regla general, sólo los partidos políticos están facultados para deducir acciones tuitivas de intereses difusos, tratándose de actos relacionados con la regularidad de los procesos electorales.</w:t>
      </w:r>
      <w:r>
        <w:rPr>
          <w:rStyle w:val="Refdenotaalpie"/>
          <w:rFonts w:ascii="Century Gothic" w:hAnsi="Century Gothic" w:cs="Arial"/>
          <w:bCs/>
          <w:iCs/>
          <w:sz w:val="27"/>
          <w:szCs w:val="27"/>
        </w:rPr>
        <w:footnoteReference w:id="11"/>
      </w:r>
      <w:r>
        <w:rPr>
          <w:rFonts w:ascii="Century Gothic" w:hAnsi="Century Gothic" w:cs="Arial"/>
          <w:bCs/>
          <w:iCs/>
          <w:sz w:val="27"/>
          <w:szCs w:val="27"/>
        </w:rPr>
        <w:t xml:space="preserve"> En este orden de ideas, los ciudadanos no cuentan con acción jurisdiccional para la defensa de ese interés, ni en forma individual, ni en conjunto con otros ciudadanos, sino que sólo pueden impugnar actos que violen directamente sus derechos político-electorales.</w:t>
      </w:r>
    </w:p>
    <w:p w:rsidR="00062E1B" w:rsidRDefault="00062E1B" w:rsidP="009D3250">
      <w:pPr>
        <w:spacing w:line="360" w:lineRule="auto"/>
        <w:jc w:val="both"/>
        <w:rPr>
          <w:rFonts w:ascii="Century Gothic" w:hAnsi="Century Gothic" w:cs="Arial"/>
          <w:bCs/>
          <w:iCs/>
          <w:sz w:val="27"/>
          <w:szCs w:val="27"/>
        </w:rPr>
      </w:pPr>
    </w:p>
    <w:p w:rsidR="00062E1B" w:rsidRDefault="00062E1B"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t xml:space="preserve">Ciertamente, este máximo órgano jurisdiccional en juicios ciudadanos como el SUP-JDC-1089/2017 o el SUP-JDC-1117/2017, ha precisado que los medios de impugnación en materia electoral promovidos por ciudadanos, no pueden analizar actos y resoluciones en que la posible afectación de derechos no se pueda individualizar al propio actor o a un grupo o sector discriminado al cual pertenezca, o en el que la lesión incida sobre la persona solo por su pertenencia indisoluble a un conjunto de ciudadanos, integrantes de una colectividad o partido. </w:t>
      </w:r>
    </w:p>
    <w:p w:rsidR="00B77360" w:rsidRDefault="00B77360" w:rsidP="009D3250">
      <w:pPr>
        <w:spacing w:line="360" w:lineRule="auto"/>
        <w:jc w:val="both"/>
        <w:rPr>
          <w:rFonts w:ascii="Century Gothic" w:hAnsi="Century Gothic" w:cs="Arial"/>
          <w:bCs/>
          <w:iCs/>
          <w:sz w:val="27"/>
          <w:szCs w:val="27"/>
        </w:rPr>
      </w:pPr>
    </w:p>
    <w:p w:rsidR="00174BC5" w:rsidRDefault="00B77360"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t xml:space="preserve">En el presente asunto, la posible afectación por el uso de elementos de los símbolos patrios en los emblemas de los partidos políticos, y la toma de protesta del precandidato de MORENA el día de la Virgen de Guadalupe, no causan un menoscabo individual, inmediato y directo de forma </w:t>
      </w:r>
      <w:r>
        <w:rPr>
          <w:rFonts w:ascii="Century Gothic" w:hAnsi="Century Gothic" w:cs="Arial"/>
          <w:bCs/>
          <w:iCs/>
          <w:sz w:val="27"/>
          <w:szCs w:val="27"/>
        </w:rPr>
        <w:lastRenderedPageBreak/>
        <w:t>exclusiva al actor, ya que, en todo caso, podrían incidir en la esfera de derechos de cualquier ciudadana o ciudadano que se encuentre en condiciones de ejercer los derechos político-electorales de votar y ser votados en el país, pues el uso de los elementos de los símbolos patrios en los emblemas y la toma de protesta el día de la Virgen de Guadalupe, trascenderían a todos esos supuestos, y no solamente a la esfera de derechos del promovente.</w:t>
      </w:r>
    </w:p>
    <w:p w:rsidR="00174BC5" w:rsidRDefault="00174BC5" w:rsidP="009D3250">
      <w:pPr>
        <w:spacing w:line="360" w:lineRule="auto"/>
        <w:jc w:val="both"/>
        <w:rPr>
          <w:rFonts w:ascii="Century Gothic" w:hAnsi="Century Gothic" w:cs="Arial"/>
          <w:bCs/>
          <w:iCs/>
          <w:sz w:val="27"/>
          <w:szCs w:val="27"/>
        </w:rPr>
      </w:pPr>
    </w:p>
    <w:p w:rsidR="00850071" w:rsidRDefault="00C352AD" w:rsidP="009D3250">
      <w:pPr>
        <w:spacing w:line="360" w:lineRule="auto"/>
        <w:jc w:val="both"/>
        <w:rPr>
          <w:rFonts w:ascii="Century Gothic" w:hAnsi="Century Gothic" w:cs="Arial"/>
          <w:bCs/>
          <w:iCs/>
          <w:sz w:val="27"/>
          <w:szCs w:val="27"/>
        </w:rPr>
      </w:pPr>
      <w:r>
        <w:rPr>
          <w:rFonts w:ascii="Century Gothic" w:hAnsi="Century Gothic" w:cs="Arial"/>
          <w:bCs/>
          <w:iCs/>
          <w:sz w:val="27"/>
          <w:szCs w:val="27"/>
        </w:rPr>
        <w:t>Por lo anterior, esta Sala Superior</w:t>
      </w:r>
      <w:r w:rsidR="00850071">
        <w:rPr>
          <w:rFonts w:ascii="Century Gothic" w:hAnsi="Century Gothic" w:cs="Arial"/>
          <w:bCs/>
          <w:iCs/>
          <w:sz w:val="27"/>
          <w:szCs w:val="27"/>
        </w:rPr>
        <w:t>,</w:t>
      </w:r>
      <w:r>
        <w:rPr>
          <w:rFonts w:ascii="Century Gothic" w:hAnsi="Century Gothic" w:cs="Arial"/>
          <w:bCs/>
          <w:iCs/>
          <w:sz w:val="27"/>
          <w:szCs w:val="27"/>
        </w:rPr>
        <w:t xml:space="preserve"> </w:t>
      </w:r>
    </w:p>
    <w:p w:rsidR="00850071" w:rsidRDefault="00850071" w:rsidP="009D3250">
      <w:pPr>
        <w:spacing w:line="360" w:lineRule="auto"/>
        <w:jc w:val="both"/>
        <w:rPr>
          <w:rFonts w:ascii="Century Gothic" w:hAnsi="Century Gothic" w:cs="Arial"/>
          <w:bCs/>
          <w:iCs/>
          <w:sz w:val="27"/>
          <w:szCs w:val="27"/>
        </w:rPr>
      </w:pPr>
    </w:p>
    <w:p w:rsidR="00850071" w:rsidRDefault="00C352AD" w:rsidP="00850071">
      <w:pPr>
        <w:spacing w:line="360" w:lineRule="auto"/>
        <w:jc w:val="center"/>
        <w:rPr>
          <w:rFonts w:ascii="Century Gothic" w:hAnsi="Century Gothic" w:cs="Arial"/>
          <w:bCs/>
          <w:iCs/>
          <w:sz w:val="27"/>
          <w:szCs w:val="27"/>
        </w:rPr>
      </w:pPr>
      <w:r>
        <w:rPr>
          <w:rFonts w:ascii="Century Gothic" w:hAnsi="Century Gothic" w:cs="Arial"/>
          <w:b/>
          <w:bCs/>
          <w:iCs/>
          <w:sz w:val="27"/>
          <w:szCs w:val="27"/>
        </w:rPr>
        <w:t>RESUELVE</w:t>
      </w:r>
    </w:p>
    <w:p w:rsidR="00850071" w:rsidRDefault="00850071" w:rsidP="009D3250">
      <w:pPr>
        <w:spacing w:line="360" w:lineRule="auto"/>
        <w:jc w:val="both"/>
        <w:rPr>
          <w:rFonts w:ascii="Century Gothic" w:hAnsi="Century Gothic" w:cs="Arial"/>
          <w:bCs/>
          <w:iCs/>
          <w:sz w:val="27"/>
          <w:szCs w:val="27"/>
        </w:rPr>
      </w:pPr>
    </w:p>
    <w:p w:rsidR="00136F49" w:rsidRDefault="00747943" w:rsidP="009D3250">
      <w:pPr>
        <w:spacing w:line="360" w:lineRule="auto"/>
        <w:jc w:val="both"/>
        <w:rPr>
          <w:rFonts w:ascii="Century Gothic" w:hAnsi="Century Gothic" w:cs="Arial"/>
          <w:bCs/>
          <w:iCs/>
          <w:sz w:val="27"/>
          <w:szCs w:val="27"/>
        </w:rPr>
      </w:pPr>
      <w:r>
        <w:rPr>
          <w:rFonts w:ascii="Century Gothic" w:hAnsi="Century Gothic" w:cs="Arial"/>
          <w:b/>
          <w:bCs/>
          <w:iCs/>
          <w:sz w:val="27"/>
          <w:szCs w:val="27"/>
        </w:rPr>
        <w:t>PRIMERO</w:t>
      </w:r>
      <w:r w:rsidR="00B77360">
        <w:rPr>
          <w:rFonts w:ascii="Century Gothic" w:hAnsi="Century Gothic" w:cs="Arial"/>
          <w:b/>
          <w:bCs/>
          <w:iCs/>
          <w:sz w:val="27"/>
          <w:szCs w:val="27"/>
        </w:rPr>
        <w:t xml:space="preserve">. </w:t>
      </w:r>
      <w:r w:rsidR="00143250" w:rsidRPr="00143250">
        <w:rPr>
          <w:rFonts w:ascii="Century Gothic" w:hAnsi="Century Gothic" w:cs="Arial"/>
          <w:bCs/>
          <w:iCs/>
          <w:sz w:val="27"/>
          <w:szCs w:val="27"/>
        </w:rPr>
        <w:t>Se</w:t>
      </w:r>
      <w:r w:rsidR="00143250">
        <w:rPr>
          <w:rFonts w:ascii="Century Gothic" w:hAnsi="Century Gothic" w:cs="Arial"/>
          <w:b/>
          <w:bCs/>
          <w:iCs/>
          <w:sz w:val="27"/>
          <w:szCs w:val="27"/>
        </w:rPr>
        <w:t xml:space="preserve"> desecha de plano </w:t>
      </w:r>
      <w:r w:rsidR="00143250">
        <w:rPr>
          <w:rFonts w:ascii="Century Gothic" w:hAnsi="Century Gothic" w:cs="Arial"/>
          <w:bCs/>
          <w:iCs/>
          <w:sz w:val="27"/>
          <w:szCs w:val="27"/>
        </w:rPr>
        <w:t xml:space="preserve">la demanda presentada por el actor. </w:t>
      </w:r>
    </w:p>
    <w:p w:rsidR="00747943" w:rsidRDefault="00747943" w:rsidP="009D3250">
      <w:pPr>
        <w:spacing w:line="360" w:lineRule="auto"/>
        <w:jc w:val="both"/>
        <w:rPr>
          <w:rFonts w:ascii="Century Gothic" w:hAnsi="Century Gothic" w:cs="Arial"/>
          <w:bCs/>
          <w:iCs/>
          <w:sz w:val="27"/>
          <w:szCs w:val="27"/>
        </w:rPr>
      </w:pPr>
    </w:p>
    <w:p w:rsidR="00747943" w:rsidRPr="00174BC5" w:rsidRDefault="00747943" w:rsidP="009D3250">
      <w:pPr>
        <w:spacing w:line="360" w:lineRule="auto"/>
        <w:jc w:val="both"/>
        <w:rPr>
          <w:rFonts w:ascii="Century Gothic" w:hAnsi="Century Gothic" w:cs="Arial"/>
          <w:bCs/>
          <w:iCs/>
          <w:sz w:val="27"/>
          <w:szCs w:val="27"/>
        </w:rPr>
      </w:pPr>
      <w:r w:rsidRPr="00174BC5">
        <w:rPr>
          <w:rFonts w:ascii="Century Gothic" w:hAnsi="Century Gothic" w:cs="Arial"/>
          <w:b/>
          <w:bCs/>
          <w:iCs/>
          <w:sz w:val="27"/>
          <w:szCs w:val="27"/>
        </w:rPr>
        <w:t xml:space="preserve">SEGUNDO. </w:t>
      </w:r>
      <w:r w:rsidRPr="00174BC5">
        <w:rPr>
          <w:rFonts w:ascii="Century Gothic" w:hAnsi="Century Gothic" w:cs="Arial"/>
          <w:bCs/>
          <w:iCs/>
          <w:sz w:val="27"/>
          <w:szCs w:val="27"/>
        </w:rPr>
        <w:t xml:space="preserve">Se </w:t>
      </w:r>
      <w:r w:rsidRPr="00174BC5">
        <w:rPr>
          <w:rFonts w:ascii="Century Gothic" w:hAnsi="Century Gothic" w:cs="Arial"/>
          <w:b/>
          <w:bCs/>
          <w:iCs/>
          <w:sz w:val="27"/>
          <w:szCs w:val="27"/>
        </w:rPr>
        <w:t xml:space="preserve">ordena </w:t>
      </w:r>
      <w:r w:rsidRPr="00174BC5">
        <w:rPr>
          <w:rFonts w:ascii="Century Gothic" w:hAnsi="Century Gothic" w:cs="Arial"/>
          <w:bCs/>
          <w:iCs/>
          <w:sz w:val="27"/>
          <w:szCs w:val="27"/>
        </w:rPr>
        <w:t>resguardar los datos personales del actor en la versión pública de la presente resolución y en todas las notificaciones que se practiquen.</w:t>
      </w:r>
    </w:p>
    <w:p w:rsidR="002349C9" w:rsidRDefault="002349C9" w:rsidP="009D3250">
      <w:pPr>
        <w:spacing w:line="360" w:lineRule="auto"/>
        <w:jc w:val="both"/>
        <w:rPr>
          <w:rFonts w:ascii="Century Gothic" w:hAnsi="Century Gothic" w:cs="Arial"/>
          <w:b/>
          <w:bCs/>
          <w:iCs/>
          <w:sz w:val="27"/>
          <w:szCs w:val="27"/>
        </w:rPr>
      </w:pPr>
    </w:p>
    <w:p w:rsidR="00FA3FD9" w:rsidRPr="00AD23C0" w:rsidRDefault="00FA3FD9" w:rsidP="009D3250">
      <w:pPr>
        <w:spacing w:line="360" w:lineRule="auto"/>
        <w:jc w:val="both"/>
        <w:rPr>
          <w:rFonts w:ascii="Century Gothic" w:hAnsi="Century Gothic" w:cs="Arial"/>
          <w:bCs/>
          <w:iCs/>
          <w:sz w:val="27"/>
          <w:szCs w:val="27"/>
        </w:rPr>
      </w:pPr>
      <w:r w:rsidRPr="00AD23C0">
        <w:rPr>
          <w:rFonts w:ascii="Century Gothic" w:hAnsi="Century Gothic" w:cs="Arial"/>
          <w:b/>
          <w:bCs/>
          <w:iCs/>
          <w:sz w:val="27"/>
          <w:szCs w:val="27"/>
        </w:rPr>
        <w:t xml:space="preserve">NOTIFÍQUESE, </w:t>
      </w:r>
      <w:r w:rsidRPr="00AD23C0">
        <w:rPr>
          <w:rFonts w:ascii="Century Gothic" w:hAnsi="Century Gothic" w:cs="Arial"/>
          <w:bCs/>
          <w:iCs/>
          <w:sz w:val="27"/>
          <w:szCs w:val="27"/>
        </w:rPr>
        <w:t xml:space="preserve">como corresponda en términos de ley. </w:t>
      </w:r>
    </w:p>
    <w:p w:rsidR="009444D0" w:rsidRPr="009572E8" w:rsidRDefault="009444D0" w:rsidP="009D3250">
      <w:pPr>
        <w:spacing w:line="360" w:lineRule="auto"/>
        <w:jc w:val="both"/>
        <w:rPr>
          <w:rFonts w:ascii="Century Gothic" w:hAnsi="Century Gothic"/>
          <w:sz w:val="30"/>
          <w:szCs w:val="30"/>
        </w:rPr>
      </w:pPr>
    </w:p>
    <w:p w:rsidR="00502441" w:rsidRPr="00AD23C0" w:rsidRDefault="00502441" w:rsidP="00502441">
      <w:pPr>
        <w:spacing w:line="360" w:lineRule="auto"/>
        <w:jc w:val="both"/>
        <w:rPr>
          <w:rFonts w:ascii="Century Gothic" w:hAnsi="Century Gothic" w:cs="Arial"/>
          <w:bCs/>
          <w:iCs/>
          <w:sz w:val="27"/>
          <w:szCs w:val="27"/>
        </w:rPr>
      </w:pPr>
      <w:r w:rsidRPr="00AD23C0">
        <w:rPr>
          <w:rFonts w:ascii="Century Gothic" w:hAnsi="Century Gothic" w:cs="Arial"/>
          <w:bCs/>
          <w:iCs/>
          <w:sz w:val="27"/>
          <w:szCs w:val="27"/>
        </w:rPr>
        <w:t xml:space="preserve">En su oportunidad, devuélvase los documentos atinentes y </w:t>
      </w:r>
      <w:r w:rsidRPr="00AD23C0">
        <w:rPr>
          <w:rFonts w:ascii="Century Gothic" w:hAnsi="Century Gothic" w:cs="Arial"/>
          <w:sz w:val="27"/>
          <w:szCs w:val="27"/>
          <w:lang w:val="es-ES_tradnl"/>
        </w:rPr>
        <w:t>archívese</w:t>
      </w:r>
      <w:r w:rsidRPr="00AD23C0">
        <w:rPr>
          <w:rFonts w:ascii="Century Gothic" w:hAnsi="Century Gothic" w:cs="Arial"/>
          <w:bCs/>
          <w:iCs/>
          <w:sz w:val="27"/>
          <w:szCs w:val="27"/>
        </w:rPr>
        <w:t xml:space="preserve"> el expediente como asunto total y definitivamente concluido.</w:t>
      </w:r>
    </w:p>
    <w:p w:rsidR="00502441" w:rsidRPr="009572E8" w:rsidRDefault="00502441" w:rsidP="009D3250">
      <w:pPr>
        <w:spacing w:line="360" w:lineRule="auto"/>
        <w:jc w:val="both"/>
        <w:rPr>
          <w:rFonts w:ascii="Century Gothic" w:hAnsi="Century Gothic"/>
          <w:sz w:val="30"/>
          <w:szCs w:val="30"/>
        </w:rPr>
      </w:pPr>
    </w:p>
    <w:p w:rsidR="001B25F9" w:rsidRPr="00747943" w:rsidRDefault="00FA3FD9" w:rsidP="00747943">
      <w:pPr>
        <w:tabs>
          <w:tab w:val="left" w:pos="1739"/>
        </w:tabs>
        <w:spacing w:line="360" w:lineRule="auto"/>
        <w:jc w:val="both"/>
        <w:rPr>
          <w:rFonts w:ascii="Century Gothic" w:eastAsia="Arial Unicode MS" w:hAnsi="Century Gothic" w:cs="Arial"/>
          <w:bCs/>
          <w:sz w:val="27"/>
          <w:szCs w:val="27"/>
        </w:rPr>
      </w:pPr>
      <w:r w:rsidRPr="00AD23C0">
        <w:rPr>
          <w:rFonts w:ascii="Century Gothic" w:hAnsi="Century Gothic"/>
          <w:sz w:val="27"/>
          <w:szCs w:val="27"/>
        </w:rPr>
        <w:t xml:space="preserve">Así, </w:t>
      </w:r>
      <w:r w:rsidR="009444D0" w:rsidRPr="00AD23C0">
        <w:rPr>
          <w:rFonts w:ascii="Century Gothic" w:hAnsi="Century Gothic"/>
          <w:sz w:val="27"/>
          <w:szCs w:val="27"/>
        </w:rPr>
        <w:t xml:space="preserve">por </w:t>
      </w:r>
      <w:r w:rsidR="00174BC5">
        <w:rPr>
          <w:rFonts w:ascii="Century Gothic" w:hAnsi="Century Gothic"/>
          <w:b/>
          <w:sz w:val="27"/>
          <w:szCs w:val="27"/>
        </w:rPr>
        <w:t>unanimidad</w:t>
      </w:r>
      <w:r w:rsidR="00CE155C">
        <w:rPr>
          <w:rFonts w:ascii="Century Gothic" w:hAnsi="Century Gothic"/>
          <w:b/>
          <w:sz w:val="27"/>
          <w:szCs w:val="27"/>
        </w:rPr>
        <w:t xml:space="preserve"> </w:t>
      </w:r>
      <w:r w:rsidR="009444D0" w:rsidRPr="00AD23C0">
        <w:rPr>
          <w:rFonts w:ascii="Century Gothic" w:hAnsi="Century Gothic"/>
          <w:sz w:val="27"/>
          <w:szCs w:val="27"/>
        </w:rPr>
        <w:t>de votos,</w:t>
      </w:r>
      <w:r w:rsidRPr="00AD23C0">
        <w:rPr>
          <w:rFonts w:ascii="Century Gothic" w:hAnsi="Century Gothic"/>
          <w:sz w:val="27"/>
          <w:szCs w:val="27"/>
        </w:rPr>
        <w:t xml:space="preserve"> lo </w:t>
      </w:r>
      <w:r w:rsidR="00502441" w:rsidRPr="00AD23C0">
        <w:rPr>
          <w:rFonts w:ascii="Century Gothic" w:hAnsi="Century Gothic"/>
          <w:sz w:val="27"/>
          <w:szCs w:val="27"/>
        </w:rPr>
        <w:t>resolvieron</w:t>
      </w:r>
      <w:r w:rsidR="00174BC5">
        <w:rPr>
          <w:rFonts w:ascii="Century Gothic" w:hAnsi="Century Gothic"/>
          <w:sz w:val="27"/>
          <w:szCs w:val="27"/>
        </w:rPr>
        <w:t xml:space="preserve"> la Magistrada</w:t>
      </w:r>
      <w:r w:rsidRPr="00AD23C0">
        <w:rPr>
          <w:rFonts w:ascii="Century Gothic" w:hAnsi="Century Gothic"/>
          <w:sz w:val="27"/>
          <w:szCs w:val="27"/>
        </w:rPr>
        <w:t xml:space="preserve"> y los Magistrados </w:t>
      </w:r>
      <w:r w:rsidR="005849AE" w:rsidRPr="00AD23C0">
        <w:rPr>
          <w:rFonts w:ascii="Century Gothic" w:eastAsia="Arial Unicode MS" w:hAnsi="Century Gothic" w:cs="Arial"/>
          <w:bCs/>
          <w:sz w:val="27"/>
          <w:szCs w:val="27"/>
        </w:rPr>
        <w:t>que integran la Sala Superior del Tribunal Electoral del P</w:t>
      </w:r>
      <w:r w:rsidR="00F70FF5" w:rsidRPr="00AD23C0">
        <w:rPr>
          <w:rFonts w:ascii="Century Gothic" w:eastAsia="Arial Unicode MS" w:hAnsi="Century Gothic" w:cs="Arial"/>
          <w:bCs/>
          <w:sz w:val="27"/>
          <w:szCs w:val="27"/>
        </w:rPr>
        <w:t>oder Judicial de la Federación</w:t>
      </w:r>
      <w:r w:rsidR="005849AE" w:rsidRPr="00AD23C0">
        <w:rPr>
          <w:rFonts w:ascii="Century Gothic" w:eastAsia="Arial Unicode MS" w:hAnsi="Century Gothic" w:cs="Arial"/>
          <w:bCs/>
          <w:sz w:val="27"/>
          <w:szCs w:val="27"/>
        </w:rPr>
        <w:t>,</w:t>
      </w:r>
      <w:r w:rsidR="003E436D" w:rsidRPr="00AD23C0">
        <w:rPr>
          <w:rFonts w:ascii="Century Gothic" w:eastAsia="Arial Unicode MS" w:hAnsi="Century Gothic" w:cs="Arial"/>
          <w:bCs/>
          <w:sz w:val="27"/>
          <w:szCs w:val="27"/>
        </w:rPr>
        <w:t xml:space="preserve"> </w:t>
      </w:r>
      <w:r w:rsidR="00174BC5">
        <w:rPr>
          <w:rFonts w:ascii="Century Gothic" w:eastAsia="Arial Unicode MS" w:hAnsi="Century Gothic" w:cs="Arial"/>
          <w:bCs/>
          <w:sz w:val="27"/>
          <w:szCs w:val="27"/>
        </w:rPr>
        <w:t xml:space="preserve">en ausencia de </w:t>
      </w:r>
      <w:r w:rsidR="00174BC5">
        <w:rPr>
          <w:rFonts w:ascii="Century Gothic" w:eastAsia="Arial Unicode MS" w:hAnsi="Century Gothic" w:cs="Arial"/>
          <w:bCs/>
          <w:sz w:val="27"/>
          <w:szCs w:val="27"/>
        </w:rPr>
        <w:lastRenderedPageBreak/>
        <w:t xml:space="preserve">la Magistrada Mónica Aralí Soto Fregoso, </w:t>
      </w:r>
      <w:r w:rsidR="00174BC5" w:rsidRPr="00AD23C0">
        <w:rPr>
          <w:rFonts w:ascii="Century Gothic" w:eastAsia="Arial Unicode MS" w:hAnsi="Century Gothic" w:cs="Arial"/>
          <w:bCs/>
          <w:sz w:val="27"/>
          <w:szCs w:val="27"/>
        </w:rPr>
        <w:t xml:space="preserve">haciendo suyo el proyecto la Magistrada Presidenta Janine M. Otálora Malassis </w:t>
      </w:r>
      <w:r w:rsidR="003E436D" w:rsidRPr="00AD23C0">
        <w:rPr>
          <w:rFonts w:ascii="Century Gothic" w:eastAsia="Arial Unicode MS" w:hAnsi="Century Gothic" w:cs="Arial"/>
          <w:bCs/>
          <w:sz w:val="27"/>
          <w:szCs w:val="27"/>
        </w:rPr>
        <w:t>y</w:t>
      </w:r>
      <w:r w:rsidR="00174BC5">
        <w:rPr>
          <w:rFonts w:ascii="Century Gothic" w:eastAsia="Arial Unicode MS" w:hAnsi="Century Gothic" w:cs="Arial"/>
          <w:bCs/>
          <w:sz w:val="27"/>
          <w:szCs w:val="27"/>
        </w:rPr>
        <w:t>,</w:t>
      </w:r>
      <w:r w:rsidR="003C755F" w:rsidRPr="00AD23C0">
        <w:rPr>
          <w:rFonts w:ascii="Century Gothic" w:eastAsia="Arial Unicode MS" w:hAnsi="Century Gothic" w:cs="Arial"/>
          <w:bCs/>
          <w:sz w:val="27"/>
          <w:szCs w:val="27"/>
        </w:rPr>
        <w:t xml:space="preserve"> </w:t>
      </w:r>
      <w:r w:rsidR="005849AE" w:rsidRPr="00AD23C0">
        <w:rPr>
          <w:rFonts w:ascii="Century Gothic" w:eastAsia="Arial Unicode MS" w:hAnsi="Century Gothic" w:cs="Arial"/>
          <w:bCs/>
          <w:sz w:val="27"/>
          <w:szCs w:val="27"/>
        </w:rPr>
        <w:t xml:space="preserve">ante </w:t>
      </w:r>
      <w:r w:rsidR="00F70FF5" w:rsidRPr="00AD23C0">
        <w:rPr>
          <w:rFonts w:ascii="Century Gothic" w:eastAsia="Arial Unicode MS" w:hAnsi="Century Gothic" w:cs="Arial"/>
          <w:bCs/>
          <w:sz w:val="27"/>
          <w:szCs w:val="27"/>
        </w:rPr>
        <w:t>la</w:t>
      </w:r>
      <w:r w:rsidR="005849AE" w:rsidRPr="00AD23C0">
        <w:rPr>
          <w:rFonts w:ascii="Century Gothic" w:eastAsia="Arial Unicode MS" w:hAnsi="Century Gothic" w:cs="Arial"/>
          <w:bCs/>
          <w:sz w:val="27"/>
          <w:szCs w:val="27"/>
        </w:rPr>
        <w:t xml:space="preserve"> S</w:t>
      </w:r>
      <w:r w:rsidR="00F70FF5" w:rsidRPr="00AD23C0">
        <w:rPr>
          <w:rFonts w:ascii="Century Gothic" w:eastAsia="Arial Unicode MS" w:hAnsi="Century Gothic" w:cs="Arial"/>
          <w:bCs/>
          <w:sz w:val="27"/>
          <w:szCs w:val="27"/>
        </w:rPr>
        <w:t>ecretaria</w:t>
      </w:r>
      <w:r w:rsidR="005849AE" w:rsidRPr="00AD23C0">
        <w:rPr>
          <w:rFonts w:ascii="Century Gothic" w:eastAsia="Arial Unicode MS" w:hAnsi="Century Gothic" w:cs="Arial"/>
          <w:bCs/>
          <w:sz w:val="27"/>
          <w:szCs w:val="27"/>
        </w:rPr>
        <w:t xml:space="preserve"> General de Acuerdos, que autoriza y da fe. </w:t>
      </w:r>
      <w:r w:rsidR="005849AE" w:rsidRPr="00AD23C0">
        <w:rPr>
          <w:rFonts w:ascii="Century Gothic" w:hAnsi="Century Gothic"/>
          <w:b/>
          <w:sz w:val="27"/>
          <w:szCs w:val="27"/>
        </w:rPr>
        <w:t>CONSTE.</w:t>
      </w:r>
    </w:p>
    <w:tbl>
      <w:tblPr>
        <w:tblW w:w="9356" w:type="dxa"/>
        <w:jc w:val="center"/>
        <w:tblCellSpacing w:w="0" w:type="dxa"/>
        <w:tblCellMar>
          <w:top w:w="60" w:type="dxa"/>
          <w:left w:w="60" w:type="dxa"/>
          <w:bottom w:w="60" w:type="dxa"/>
          <w:right w:w="60" w:type="dxa"/>
        </w:tblCellMar>
        <w:tblLook w:val="0000" w:firstRow="0" w:lastRow="0" w:firstColumn="0" w:lastColumn="0" w:noHBand="0" w:noVBand="0"/>
      </w:tblPr>
      <w:tblGrid>
        <w:gridCol w:w="4678"/>
        <w:gridCol w:w="4678"/>
      </w:tblGrid>
      <w:tr w:rsidR="005849AE" w:rsidRPr="003C755F" w:rsidTr="00CE155C">
        <w:trPr>
          <w:tblCellSpacing w:w="0" w:type="dxa"/>
          <w:jc w:val="center"/>
        </w:trPr>
        <w:tc>
          <w:tcPr>
            <w:tcW w:w="9356" w:type="dxa"/>
            <w:gridSpan w:val="2"/>
          </w:tcPr>
          <w:p w:rsidR="00174BC5" w:rsidRDefault="00174BC5" w:rsidP="00AF50AC">
            <w:pPr>
              <w:pStyle w:val="NormalWeb"/>
              <w:widowControl w:val="0"/>
              <w:spacing w:before="0" w:beforeAutospacing="0" w:after="0" w:afterAutospacing="0"/>
              <w:rPr>
                <w:rFonts w:ascii="Century Gothic" w:hAnsi="Century Gothic" w:cs="Arial"/>
                <w:b/>
                <w:bCs/>
                <w:sz w:val="27"/>
                <w:szCs w:val="27"/>
                <w:lang w:val="pt-BR"/>
              </w:rPr>
            </w:pPr>
          </w:p>
          <w:p w:rsidR="00174BC5" w:rsidRDefault="00174BC5" w:rsidP="005C16D5">
            <w:pPr>
              <w:pStyle w:val="NormalWeb"/>
              <w:widowControl w:val="0"/>
              <w:spacing w:before="0" w:beforeAutospacing="0" w:after="0" w:afterAutospacing="0"/>
              <w:jc w:val="center"/>
              <w:rPr>
                <w:rFonts w:ascii="Century Gothic" w:hAnsi="Century Gothic" w:cs="Arial"/>
                <w:b/>
                <w:bCs/>
                <w:sz w:val="27"/>
                <w:szCs w:val="27"/>
                <w:lang w:val="pt-BR"/>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lang w:val="pt-BR"/>
              </w:rPr>
            </w:pPr>
            <w:r w:rsidRPr="003C755F">
              <w:rPr>
                <w:rFonts w:ascii="Century Gothic" w:hAnsi="Century Gothic" w:cs="Arial"/>
                <w:b/>
                <w:bCs/>
                <w:sz w:val="27"/>
                <w:szCs w:val="27"/>
                <w:lang w:val="pt-BR"/>
              </w:rPr>
              <w:t>MAGISTRADA PRESIDENTA</w:t>
            </w: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lang w:val="pt-BR"/>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lang w:val="pt-BR"/>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lang w:val="pt-BR"/>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sz w:val="27"/>
                <w:szCs w:val="27"/>
              </w:rPr>
              <w:t>JANINE M. OTÁLORA MALASSIS</w:t>
            </w:r>
          </w:p>
        </w:tc>
      </w:tr>
      <w:tr w:rsidR="003E436D" w:rsidRPr="003C755F" w:rsidTr="00CE155C">
        <w:trPr>
          <w:tblCellSpacing w:w="0" w:type="dxa"/>
          <w:jc w:val="center"/>
        </w:trPr>
        <w:tc>
          <w:tcPr>
            <w:tcW w:w="4678" w:type="dxa"/>
          </w:tcPr>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207299" w:rsidRDefault="00207299" w:rsidP="003E436D">
            <w:pPr>
              <w:pStyle w:val="NormalWeb"/>
              <w:widowControl w:val="0"/>
              <w:spacing w:before="0" w:beforeAutospacing="0" w:after="0" w:afterAutospacing="0"/>
              <w:jc w:val="center"/>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r>
              <w:rPr>
                <w:rFonts w:ascii="Century Gothic" w:hAnsi="Century Gothic" w:cs="Arial"/>
                <w:b/>
                <w:bCs/>
                <w:sz w:val="27"/>
                <w:szCs w:val="27"/>
              </w:rPr>
              <w:t>MAGISTRADO</w:t>
            </w: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Pr="003C755F" w:rsidRDefault="003E436D" w:rsidP="003E436D">
            <w:pPr>
              <w:pStyle w:val="NormalWeb"/>
              <w:widowControl w:val="0"/>
              <w:spacing w:before="0" w:beforeAutospacing="0" w:after="0" w:afterAutospacing="0"/>
              <w:jc w:val="center"/>
              <w:rPr>
                <w:rFonts w:ascii="Century Gothic" w:hAnsi="Century Gothic" w:cs="Arial"/>
                <w:b/>
                <w:bCs/>
                <w:sz w:val="27"/>
                <w:szCs w:val="27"/>
              </w:rPr>
            </w:pPr>
            <w:r>
              <w:rPr>
                <w:rFonts w:ascii="Century Gothic" w:hAnsi="Century Gothic" w:cs="Arial"/>
                <w:b/>
                <w:bCs/>
                <w:sz w:val="27"/>
                <w:szCs w:val="27"/>
              </w:rPr>
              <w:t>FELIPE DE LA MATA PIZAÑA</w:t>
            </w:r>
          </w:p>
        </w:tc>
        <w:tc>
          <w:tcPr>
            <w:tcW w:w="4678" w:type="dxa"/>
          </w:tcPr>
          <w:p w:rsidR="003E436D" w:rsidRDefault="003E436D" w:rsidP="00F70FF5">
            <w:pPr>
              <w:pStyle w:val="NormalWeb"/>
              <w:widowControl w:val="0"/>
              <w:spacing w:before="0" w:beforeAutospacing="0" w:after="0" w:afterAutospacing="0"/>
              <w:rPr>
                <w:rFonts w:ascii="Century Gothic" w:hAnsi="Century Gothic" w:cs="Arial"/>
                <w:b/>
                <w:bCs/>
                <w:sz w:val="27"/>
                <w:szCs w:val="27"/>
              </w:rPr>
            </w:pPr>
          </w:p>
          <w:p w:rsidR="00207299" w:rsidRDefault="00207299" w:rsidP="00F70FF5">
            <w:pPr>
              <w:pStyle w:val="NormalWeb"/>
              <w:widowControl w:val="0"/>
              <w:spacing w:before="0" w:beforeAutospacing="0" w:after="0" w:afterAutospacing="0"/>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r>
              <w:rPr>
                <w:rFonts w:ascii="Century Gothic" w:hAnsi="Century Gothic" w:cs="Arial"/>
                <w:b/>
                <w:bCs/>
                <w:sz w:val="27"/>
                <w:szCs w:val="27"/>
              </w:rPr>
              <w:t>MAGISTRADO</w:t>
            </w: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Default="003E436D" w:rsidP="003E436D">
            <w:pPr>
              <w:pStyle w:val="NormalWeb"/>
              <w:widowControl w:val="0"/>
              <w:spacing w:before="0" w:beforeAutospacing="0" w:after="0" w:afterAutospacing="0"/>
              <w:jc w:val="center"/>
              <w:rPr>
                <w:rFonts w:ascii="Century Gothic" w:hAnsi="Century Gothic" w:cs="Arial"/>
                <w:b/>
                <w:bCs/>
                <w:sz w:val="27"/>
                <w:szCs w:val="27"/>
              </w:rPr>
            </w:pPr>
          </w:p>
          <w:p w:rsidR="003E436D" w:rsidRPr="003C755F" w:rsidRDefault="003E436D" w:rsidP="003E436D">
            <w:pPr>
              <w:pStyle w:val="NormalWeb"/>
              <w:widowControl w:val="0"/>
              <w:spacing w:before="0" w:beforeAutospacing="0" w:after="0" w:afterAutospacing="0"/>
              <w:jc w:val="center"/>
              <w:rPr>
                <w:rFonts w:ascii="Century Gothic" w:hAnsi="Century Gothic" w:cs="Arial"/>
                <w:b/>
                <w:bCs/>
                <w:sz w:val="27"/>
                <w:szCs w:val="27"/>
              </w:rPr>
            </w:pPr>
            <w:r>
              <w:rPr>
                <w:rFonts w:ascii="Century Gothic" w:hAnsi="Century Gothic" w:cs="Arial"/>
                <w:b/>
                <w:bCs/>
                <w:sz w:val="27"/>
                <w:szCs w:val="27"/>
              </w:rPr>
              <w:t>FELIPE ALFREDO FUENTES BARRERA</w:t>
            </w:r>
          </w:p>
        </w:tc>
      </w:tr>
      <w:tr w:rsidR="00F70FF5" w:rsidRPr="003C755F" w:rsidTr="00CE155C">
        <w:trPr>
          <w:tblCellSpacing w:w="0" w:type="dxa"/>
          <w:jc w:val="center"/>
        </w:trPr>
        <w:tc>
          <w:tcPr>
            <w:tcW w:w="4678" w:type="dxa"/>
          </w:tcPr>
          <w:p w:rsidR="00F70FF5" w:rsidRPr="003C755F" w:rsidRDefault="00F70FF5" w:rsidP="00F70FF5">
            <w:pPr>
              <w:pStyle w:val="NormalWeb"/>
              <w:widowControl w:val="0"/>
              <w:spacing w:before="0" w:beforeAutospacing="0" w:after="0" w:afterAutospacing="0"/>
              <w:rPr>
                <w:rFonts w:ascii="Century Gothic" w:hAnsi="Century Gothic" w:cs="Arial"/>
                <w:b/>
                <w:bCs/>
                <w:sz w:val="27"/>
                <w:szCs w:val="27"/>
              </w:rPr>
            </w:pPr>
          </w:p>
          <w:p w:rsidR="0052593D" w:rsidRPr="003C755F" w:rsidRDefault="0052593D" w:rsidP="00F70FF5">
            <w:pPr>
              <w:pStyle w:val="NormalWeb"/>
              <w:widowControl w:val="0"/>
              <w:spacing w:before="0" w:beforeAutospacing="0" w:after="0" w:afterAutospacing="0"/>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MAGISTRADO</w:t>
            </w: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6116A7"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INDALFER INFANTE GONZA</w:t>
            </w:r>
            <w:r w:rsidR="00F70FF5" w:rsidRPr="003C755F">
              <w:rPr>
                <w:rFonts w:ascii="Century Gothic" w:hAnsi="Century Gothic" w:cs="Arial"/>
                <w:b/>
                <w:bCs/>
                <w:sz w:val="27"/>
                <w:szCs w:val="27"/>
              </w:rPr>
              <w:t>LES</w:t>
            </w:r>
          </w:p>
        </w:tc>
        <w:tc>
          <w:tcPr>
            <w:tcW w:w="4678" w:type="dxa"/>
          </w:tcPr>
          <w:p w:rsidR="00F70FF5" w:rsidRPr="003C755F" w:rsidRDefault="00F70FF5" w:rsidP="00F70FF5">
            <w:pPr>
              <w:pStyle w:val="NormalWeb"/>
              <w:widowControl w:val="0"/>
              <w:spacing w:before="0" w:beforeAutospacing="0" w:after="0" w:afterAutospacing="0"/>
              <w:rPr>
                <w:rFonts w:ascii="Century Gothic" w:hAnsi="Century Gothic" w:cs="Arial"/>
                <w:b/>
                <w:bCs/>
                <w:sz w:val="27"/>
                <w:szCs w:val="27"/>
              </w:rPr>
            </w:pPr>
          </w:p>
          <w:p w:rsidR="0052593D" w:rsidRPr="003C755F" w:rsidRDefault="0052593D" w:rsidP="00F70FF5">
            <w:pPr>
              <w:pStyle w:val="NormalWeb"/>
              <w:widowControl w:val="0"/>
              <w:spacing w:before="0" w:beforeAutospacing="0" w:after="0" w:afterAutospacing="0"/>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MAGISTRADO</w:t>
            </w: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p>
          <w:p w:rsidR="00F70FF5"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REYES RODRÍGUEZ MONDRAGÓN</w:t>
            </w:r>
          </w:p>
        </w:tc>
      </w:tr>
      <w:tr w:rsidR="00174BC5" w:rsidRPr="003C755F" w:rsidTr="00A673BB">
        <w:trPr>
          <w:tblCellSpacing w:w="0" w:type="dxa"/>
          <w:jc w:val="center"/>
        </w:trPr>
        <w:tc>
          <w:tcPr>
            <w:tcW w:w="9356" w:type="dxa"/>
            <w:gridSpan w:val="2"/>
          </w:tcPr>
          <w:p w:rsidR="00174BC5" w:rsidRPr="003C755F" w:rsidRDefault="00174BC5" w:rsidP="00174BC5">
            <w:pPr>
              <w:pStyle w:val="NormalWeb"/>
              <w:widowControl w:val="0"/>
              <w:spacing w:before="0" w:beforeAutospacing="0" w:after="0" w:afterAutospacing="0"/>
              <w:rPr>
                <w:rFonts w:ascii="Century Gothic" w:hAnsi="Century Gothic" w:cs="Arial"/>
                <w:b/>
                <w:bCs/>
                <w:sz w:val="27"/>
                <w:szCs w:val="27"/>
              </w:rPr>
            </w:pPr>
          </w:p>
          <w:p w:rsidR="00174BC5" w:rsidRPr="003C755F" w:rsidRDefault="00174BC5" w:rsidP="005C16D5">
            <w:pPr>
              <w:pStyle w:val="NormalWeb"/>
              <w:widowControl w:val="0"/>
              <w:spacing w:before="0" w:beforeAutospacing="0" w:after="0" w:afterAutospacing="0"/>
              <w:jc w:val="center"/>
              <w:rPr>
                <w:rFonts w:ascii="Century Gothic" w:hAnsi="Century Gothic" w:cs="Arial"/>
                <w:b/>
                <w:bCs/>
                <w:sz w:val="27"/>
                <w:szCs w:val="27"/>
              </w:rPr>
            </w:pPr>
          </w:p>
          <w:p w:rsidR="00174BC5" w:rsidRDefault="00174BC5" w:rsidP="005C16D5">
            <w:pPr>
              <w:pStyle w:val="NormalWeb"/>
              <w:widowControl w:val="0"/>
              <w:spacing w:before="0" w:beforeAutospacing="0" w:after="0" w:afterAutospacing="0"/>
              <w:jc w:val="center"/>
              <w:rPr>
                <w:rFonts w:ascii="Century Gothic" w:hAnsi="Century Gothic" w:cs="Arial"/>
                <w:b/>
                <w:bCs/>
                <w:sz w:val="27"/>
                <w:szCs w:val="27"/>
              </w:rPr>
            </w:pPr>
            <w:r>
              <w:rPr>
                <w:rFonts w:ascii="Century Gothic" w:hAnsi="Century Gothic" w:cs="Arial"/>
                <w:b/>
                <w:bCs/>
                <w:sz w:val="27"/>
                <w:szCs w:val="27"/>
              </w:rPr>
              <w:t>MAGISTRADO</w:t>
            </w:r>
          </w:p>
          <w:p w:rsidR="00174BC5" w:rsidRDefault="00174BC5" w:rsidP="005C16D5">
            <w:pPr>
              <w:pStyle w:val="NormalWeb"/>
              <w:widowControl w:val="0"/>
              <w:spacing w:before="0" w:beforeAutospacing="0" w:after="0" w:afterAutospacing="0"/>
              <w:jc w:val="center"/>
              <w:rPr>
                <w:rFonts w:ascii="Century Gothic" w:hAnsi="Century Gothic" w:cs="Arial"/>
                <w:b/>
                <w:bCs/>
                <w:sz w:val="27"/>
                <w:szCs w:val="27"/>
              </w:rPr>
            </w:pPr>
          </w:p>
          <w:p w:rsidR="00174BC5" w:rsidRDefault="00174BC5" w:rsidP="005C16D5">
            <w:pPr>
              <w:pStyle w:val="NormalWeb"/>
              <w:widowControl w:val="0"/>
              <w:spacing w:before="0" w:beforeAutospacing="0" w:after="0" w:afterAutospacing="0"/>
              <w:jc w:val="center"/>
              <w:rPr>
                <w:rFonts w:ascii="Century Gothic" w:hAnsi="Century Gothic" w:cs="Arial"/>
                <w:b/>
                <w:bCs/>
                <w:sz w:val="27"/>
                <w:szCs w:val="27"/>
              </w:rPr>
            </w:pPr>
          </w:p>
          <w:p w:rsidR="00174BC5" w:rsidRDefault="00174BC5" w:rsidP="005C16D5">
            <w:pPr>
              <w:pStyle w:val="NormalWeb"/>
              <w:widowControl w:val="0"/>
              <w:spacing w:before="0" w:beforeAutospacing="0" w:after="0" w:afterAutospacing="0"/>
              <w:jc w:val="center"/>
              <w:rPr>
                <w:rFonts w:ascii="Century Gothic" w:hAnsi="Century Gothic" w:cs="Arial"/>
                <w:b/>
                <w:bCs/>
                <w:sz w:val="27"/>
                <w:szCs w:val="27"/>
              </w:rPr>
            </w:pPr>
          </w:p>
          <w:p w:rsidR="00174BC5" w:rsidRPr="003C755F" w:rsidRDefault="00174BC5"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JOSÉ LUIS VARGAS VALDEZ</w:t>
            </w:r>
          </w:p>
        </w:tc>
      </w:tr>
      <w:tr w:rsidR="005849AE" w:rsidRPr="003C755F" w:rsidTr="00CE155C">
        <w:trPr>
          <w:tblCellSpacing w:w="0" w:type="dxa"/>
          <w:jc w:val="center"/>
        </w:trPr>
        <w:tc>
          <w:tcPr>
            <w:tcW w:w="9356" w:type="dxa"/>
            <w:gridSpan w:val="2"/>
          </w:tcPr>
          <w:p w:rsidR="00D64B62" w:rsidRPr="003C755F" w:rsidRDefault="00D64B62" w:rsidP="00F70FF5">
            <w:pPr>
              <w:pStyle w:val="NormalWeb"/>
              <w:widowControl w:val="0"/>
              <w:spacing w:before="0" w:beforeAutospacing="0" w:after="0" w:afterAutospacing="0"/>
              <w:rPr>
                <w:rFonts w:ascii="Century Gothic" w:hAnsi="Century Gothic" w:cs="Arial"/>
                <w:b/>
                <w:bCs/>
                <w:sz w:val="27"/>
                <w:szCs w:val="27"/>
              </w:rPr>
            </w:pPr>
          </w:p>
          <w:p w:rsidR="0052593D" w:rsidRPr="003C755F" w:rsidRDefault="0052593D" w:rsidP="00F70FF5">
            <w:pPr>
              <w:pStyle w:val="NormalWeb"/>
              <w:widowControl w:val="0"/>
              <w:spacing w:before="0" w:beforeAutospacing="0" w:after="0" w:afterAutospacing="0"/>
              <w:rPr>
                <w:rFonts w:ascii="Century Gothic" w:hAnsi="Century Gothic" w:cs="Arial"/>
                <w:b/>
                <w:bCs/>
                <w:sz w:val="27"/>
                <w:szCs w:val="27"/>
              </w:rPr>
            </w:pPr>
          </w:p>
          <w:p w:rsidR="005849AE" w:rsidRPr="003C755F" w:rsidRDefault="00F70FF5" w:rsidP="005C16D5">
            <w:pPr>
              <w:pStyle w:val="NormalWeb"/>
              <w:widowControl w:val="0"/>
              <w:spacing w:before="0" w:beforeAutospacing="0" w:after="0" w:afterAutospacing="0"/>
              <w:jc w:val="center"/>
              <w:rPr>
                <w:rFonts w:ascii="Century Gothic" w:hAnsi="Century Gothic" w:cs="Arial"/>
                <w:b/>
                <w:bCs/>
                <w:sz w:val="27"/>
                <w:szCs w:val="27"/>
              </w:rPr>
            </w:pPr>
            <w:r w:rsidRPr="003C755F">
              <w:rPr>
                <w:rFonts w:ascii="Century Gothic" w:hAnsi="Century Gothic" w:cs="Arial"/>
                <w:b/>
                <w:bCs/>
                <w:sz w:val="27"/>
                <w:szCs w:val="27"/>
              </w:rPr>
              <w:t>SECRETARIA</w:t>
            </w:r>
            <w:r w:rsidR="005849AE" w:rsidRPr="003C755F">
              <w:rPr>
                <w:rFonts w:ascii="Century Gothic" w:hAnsi="Century Gothic" w:cs="Arial"/>
                <w:b/>
                <w:bCs/>
                <w:sz w:val="27"/>
                <w:szCs w:val="27"/>
              </w:rPr>
              <w:t xml:space="preserve"> GENERAL DE ACUERDOS </w:t>
            </w:r>
          </w:p>
          <w:p w:rsidR="005849AE" w:rsidRPr="003C755F" w:rsidRDefault="005849AE" w:rsidP="005C16D5">
            <w:pPr>
              <w:pStyle w:val="NormalWeb"/>
              <w:widowControl w:val="0"/>
              <w:tabs>
                <w:tab w:val="left" w:pos="4497"/>
              </w:tabs>
              <w:spacing w:before="0" w:beforeAutospacing="0" w:after="0" w:afterAutospacing="0"/>
              <w:jc w:val="center"/>
              <w:rPr>
                <w:rFonts w:ascii="Century Gothic" w:hAnsi="Century Gothic" w:cs="Arial"/>
                <w:b/>
                <w:bCs/>
                <w:sz w:val="27"/>
                <w:szCs w:val="27"/>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rPr>
            </w:pPr>
          </w:p>
          <w:p w:rsidR="005849AE" w:rsidRPr="003C755F" w:rsidRDefault="005849AE" w:rsidP="005C16D5">
            <w:pPr>
              <w:pStyle w:val="NormalWeb"/>
              <w:widowControl w:val="0"/>
              <w:spacing w:before="0" w:beforeAutospacing="0" w:after="0" w:afterAutospacing="0"/>
              <w:jc w:val="center"/>
              <w:rPr>
                <w:rFonts w:ascii="Century Gothic" w:hAnsi="Century Gothic" w:cs="Arial"/>
                <w:b/>
                <w:bCs/>
                <w:sz w:val="27"/>
                <w:szCs w:val="27"/>
              </w:rPr>
            </w:pPr>
          </w:p>
          <w:p w:rsidR="005849AE" w:rsidRPr="003C755F" w:rsidRDefault="00F70FF5" w:rsidP="005C16D5">
            <w:pPr>
              <w:jc w:val="center"/>
              <w:rPr>
                <w:rFonts w:ascii="Century Gothic" w:hAnsi="Century Gothic" w:cs="Arial"/>
                <w:b/>
                <w:bCs/>
                <w:sz w:val="27"/>
                <w:szCs w:val="27"/>
              </w:rPr>
            </w:pPr>
            <w:r w:rsidRPr="003C755F">
              <w:rPr>
                <w:rFonts w:ascii="Century Gothic" w:hAnsi="Century Gothic" w:cs="Arial"/>
                <w:b/>
                <w:sz w:val="27"/>
                <w:szCs w:val="27"/>
              </w:rPr>
              <w:t>MARÍA CECILIA SÁNCHEZ BARREIRO</w:t>
            </w:r>
          </w:p>
        </w:tc>
      </w:tr>
    </w:tbl>
    <w:p w:rsidR="00143250" w:rsidRDefault="00143250" w:rsidP="00A56676">
      <w:pPr>
        <w:autoSpaceDE w:val="0"/>
        <w:autoSpaceDN w:val="0"/>
        <w:adjustRightInd w:val="0"/>
        <w:spacing w:line="360" w:lineRule="auto"/>
        <w:jc w:val="center"/>
        <w:rPr>
          <w:rFonts w:ascii="Century Gothic" w:eastAsia="Arial Unicode MS" w:hAnsi="Century Gothic" w:cs="Arial"/>
          <w:b/>
          <w:sz w:val="27"/>
          <w:szCs w:val="27"/>
        </w:rPr>
      </w:pPr>
    </w:p>
    <w:p w:rsidR="00143250" w:rsidRDefault="00143250">
      <w:pPr>
        <w:rPr>
          <w:rFonts w:ascii="Century Gothic" w:eastAsia="Arial Unicode MS" w:hAnsi="Century Gothic" w:cs="Arial"/>
          <w:b/>
          <w:sz w:val="27"/>
          <w:szCs w:val="27"/>
        </w:rPr>
      </w:pPr>
    </w:p>
    <w:p w:rsidR="00A56676" w:rsidRDefault="00A56676" w:rsidP="00A56676">
      <w:pPr>
        <w:autoSpaceDE w:val="0"/>
        <w:autoSpaceDN w:val="0"/>
        <w:adjustRightInd w:val="0"/>
        <w:spacing w:line="360" w:lineRule="auto"/>
        <w:jc w:val="center"/>
        <w:rPr>
          <w:rFonts w:ascii="Century Gothic" w:eastAsia="Arial Unicode MS" w:hAnsi="Century Gothic" w:cs="Arial"/>
          <w:b/>
          <w:sz w:val="27"/>
          <w:szCs w:val="27"/>
        </w:rPr>
      </w:pPr>
      <w:r>
        <w:rPr>
          <w:rFonts w:ascii="Century Gothic" w:eastAsia="Arial Unicode MS" w:hAnsi="Century Gothic" w:cs="Arial"/>
          <w:b/>
          <w:sz w:val="27"/>
          <w:szCs w:val="27"/>
        </w:rPr>
        <w:t>SENTENCIA EN FORMATO DE LECTURA FÁCIL</w:t>
      </w:r>
    </w:p>
    <w:p w:rsidR="00A56676" w:rsidRDefault="00A56676" w:rsidP="00A56676">
      <w:pPr>
        <w:autoSpaceDE w:val="0"/>
        <w:autoSpaceDN w:val="0"/>
        <w:adjustRightInd w:val="0"/>
        <w:spacing w:line="360" w:lineRule="auto"/>
        <w:jc w:val="center"/>
        <w:rPr>
          <w:rFonts w:ascii="Century Gothic" w:eastAsia="Arial Unicode MS" w:hAnsi="Century Gothic" w:cs="Arial"/>
          <w:b/>
          <w:sz w:val="27"/>
          <w:szCs w:val="27"/>
        </w:rPr>
      </w:pPr>
    </w:p>
    <w:p w:rsidR="00A56676" w:rsidRDefault="00A56676" w:rsidP="00A56676">
      <w:pPr>
        <w:autoSpaceDE w:val="0"/>
        <w:autoSpaceDN w:val="0"/>
        <w:adjustRightInd w:val="0"/>
        <w:spacing w:line="360" w:lineRule="auto"/>
        <w:jc w:val="both"/>
        <w:rPr>
          <w:rFonts w:ascii="Century Gothic" w:eastAsia="Arial Unicode MS" w:hAnsi="Century Gothic" w:cs="Arial"/>
          <w:sz w:val="27"/>
          <w:szCs w:val="27"/>
        </w:rPr>
      </w:pPr>
      <w:r>
        <w:rPr>
          <w:rFonts w:ascii="Century Gothic" w:eastAsia="Arial Unicode MS" w:hAnsi="Century Gothic" w:cs="Arial"/>
          <w:sz w:val="27"/>
          <w:szCs w:val="27"/>
        </w:rPr>
        <w:t>En atención al estándar de protección para personas con discapacidad desarrollado en la presente sentencia, y con fundamento en la tesis 1a.CCCXXXIX/2013 (10ª.) de rubro: “SENTENCIA CON FORMATO DE LECTURA FÁCIL. EL JUEZ QUE CONOZCA DE UN ASUNTO SOBRE UNA PERSONA CON DISCAPACIDAD INTELECTUAL, DEBERÁ DICTAR UNA RESOLUCIÓN COMPLEMENTARIA BAJO DICHO FORMATO”,</w:t>
      </w:r>
      <w:r>
        <w:rPr>
          <w:rStyle w:val="Refdenotaalpie"/>
          <w:rFonts w:ascii="Century Gothic" w:eastAsia="Arial Unicode MS" w:hAnsi="Century Gothic" w:cs="Arial"/>
          <w:sz w:val="27"/>
          <w:szCs w:val="27"/>
        </w:rPr>
        <w:footnoteReference w:id="12"/>
      </w:r>
      <w:r>
        <w:rPr>
          <w:rFonts w:ascii="Century Gothic" w:eastAsia="Arial Unicode MS" w:hAnsi="Century Gothic" w:cs="Arial"/>
          <w:sz w:val="27"/>
          <w:szCs w:val="27"/>
        </w:rPr>
        <w:t xml:space="preserve"> se procede a exponer la misma bajo el denominado formato de lectura fácil, misma que deberá ser leída por el asesor jurídico designado por el Instituto Federal de la Defensoría Pública para tales efectos. </w:t>
      </w:r>
    </w:p>
    <w:p w:rsidR="00A56676" w:rsidRDefault="00A56676">
      <w:pPr>
        <w:rPr>
          <w:rFonts w:ascii="Century Gothic" w:eastAsia="Arial Unicode MS" w:hAnsi="Century Gothic" w:cs="Arial"/>
          <w:sz w:val="27"/>
          <w:szCs w:val="27"/>
        </w:rPr>
      </w:pPr>
      <w:r>
        <w:rPr>
          <w:rFonts w:ascii="Century Gothic" w:eastAsia="Arial Unicode MS" w:hAnsi="Century Gothic" w:cs="Arial"/>
          <w:sz w:val="27"/>
          <w:szCs w:val="27"/>
        </w:rPr>
        <w:br w:type="page"/>
      </w:r>
    </w:p>
    <w:p w:rsidR="00A56676" w:rsidRDefault="00A56676" w:rsidP="00A56676">
      <w:pPr>
        <w:autoSpaceDE w:val="0"/>
        <w:autoSpaceDN w:val="0"/>
        <w:adjustRightInd w:val="0"/>
        <w:spacing w:line="360" w:lineRule="auto"/>
        <w:jc w:val="both"/>
        <w:rPr>
          <w:rFonts w:ascii="Century Gothic" w:eastAsia="Arial Unicode MS" w:hAnsi="Century Gothic" w:cs="Arial"/>
          <w:sz w:val="27"/>
          <w:szCs w:val="27"/>
        </w:rPr>
      </w:pPr>
    </w:p>
    <w:p w:rsidR="00615E57" w:rsidRPr="009276C8" w:rsidRDefault="00A56676" w:rsidP="00615E57">
      <w:pPr>
        <w:pStyle w:val="Prrafodelista"/>
        <w:numPr>
          <w:ilvl w:val="0"/>
          <w:numId w:val="9"/>
        </w:numPr>
        <w:autoSpaceDE w:val="0"/>
        <w:autoSpaceDN w:val="0"/>
        <w:adjustRightInd w:val="0"/>
        <w:spacing w:line="360" w:lineRule="auto"/>
        <w:rPr>
          <w:rFonts w:ascii="Century Gothic" w:eastAsia="Arial Unicode MS" w:hAnsi="Century Gothic" w:cs="Arial"/>
          <w:b/>
          <w:sz w:val="28"/>
          <w:szCs w:val="28"/>
        </w:rPr>
      </w:pPr>
      <w:r w:rsidRPr="009276C8">
        <w:rPr>
          <w:rFonts w:ascii="Century Gothic" w:eastAsia="Arial Unicode MS" w:hAnsi="Century Gothic" w:cs="Arial"/>
          <w:sz w:val="28"/>
          <w:szCs w:val="28"/>
        </w:rPr>
        <w:t xml:space="preserve">Al analizar tu caso, </w:t>
      </w:r>
      <w:r w:rsidR="00AF50AC">
        <w:rPr>
          <w:rFonts w:ascii="Arial" w:hAnsi="Arial" w:cs="Arial"/>
          <w:noProof/>
          <w:sz w:val="26"/>
          <w:szCs w:val="26"/>
          <w:lang w:val="es-MX" w:eastAsia="es-MX"/>
        </w:rPr>
        <w:drawing>
          <wp:inline distT="0" distB="0" distL="0" distR="0" wp14:anchorId="5B0705DD" wp14:editId="3778C321">
            <wp:extent cx="1981200" cy="4381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438150"/>
                    </a:xfrm>
                    <a:prstGeom prst="rect">
                      <a:avLst/>
                    </a:prstGeom>
                    <a:noFill/>
                  </pic:spPr>
                </pic:pic>
              </a:graphicData>
            </a:graphic>
          </wp:inline>
        </w:drawing>
      </w:r>
      <w:r w:rsidR="00615E57" w:rsidRPr="009276C8">
        <w:rPr>
          <w:rFonts w:ascii="Century Gothic" w:eastAsia="Arial Unicode MS" w:hAnsi="Century Gothic" w:cs="Arial"/>
          <w:sz w:val="28"/>
          <w:szCs w:val="28"/>
        </w:rPr>
        <w:t xml:space="preserve">, </w:t>
      </w:r>
      <w:r w:rsidRPr="009276C8">
        <w:rPr>
          <w:rFonts w:ascii="Century Gothic" w:eastAsia="Arial Unicode MS" w:hAnsi="Century Gothic" w:cs="Arial"/>
          <w:sz w:val="28"/>
          <w:szCs w:val="28"/>
        </w:rPr>
        <w:t xml:space="preserve">el Tribunal Electoral decidió que </w:t>
      </w:r>
      <w:r w:rsidR="00615E57" w:rsidRPr="009276C8">
        <w:rPr>
          <w:rFonts w:ascii="Century Gothic" w:eastAsia="Arial Unicode MS" w:hAnsi="Century Gothic" w:cs="Arial"/>
          <w:sz w:val="28"/>
          <w:szCs w:val="28"/>
        </w:rPr>
        <w:t>los actos de los cuales te quejas, no te causan un daño exclusivo y directo, y que no te impiden votar.</w:t>
      </w:r>
    </w:p>
    <w:p w:rsidR="00615E57" w:rsidRPr="009276C8" w:rsidRDefault="00615E57" w:rsidP="00615E57">
      <w:pPr>
        <w:pStyle w:val="Prrafodelista"/>
        <w:autoSpaceDE w:val="0"/>
        <w:autoSpaceDN w:val="0"/>
        <w:adjustRightInd w:val="0"/>
        <w:spacing w:line="360" w:lineRule="auto"/>
        <w:rPr>
          <w:rFonts w:ascii="Century Gothic" w:eastAsia="Arial Unicode MS" w:hAnsi="Century Gothic" w:cs="Arial"/>
          <w:b/>
          <w:sz w:val="28"/>
          <w:szCs w:val="28"/>
        </w:rPr>
      </w:pPr>
    </w:p>
    <w:p w:rsidR="00615E57" w:rsidRPr="009276C8" w:rsidRDefault="009276C8" w:rsidP="00615E57">
      <w:pPr>
        <w:pStyle w:val="Prrafodelista"/>
        <w:numPr>
          <w:ilvl w:val="0"/>
          <w:numId w:val="9"/>
        </w:numPr>
        <w:autoSpaceDE w:val="0"/>
        <w:autoSpaceDN w:val="0"/>
        <w:adjustRightInd w:val="0"/>
        <w:spacing w:line="360" w:lineRule="auto"/>
        <w:rPr>
          <w:rFonts w:ascii="Century Gothic" w:eastAsia="Arial Unicode MS" w:hAnsi="Century Gothic" w:cs="Arial"/>
          <w:b/>
          <w:sz w:val="28"/>
          <w:szCs w:val="28"/>
        </w:rPr>
      </w:pPr>
      <w:r w:rsidRPr="009276C8">
        <w:rPr>
          <w:rFonts w:ascii="Century Gothic" w:eastAsia="Arial Unicode MS" w:hAnsi="Century Gothic" w:cs="Arial"/>
          <w:sz w:val="28"/>
          <w:szCs w:val="28"/>
        </w:rPr>
        <w:t>Como los actos de los que te quejas no te causan un daño exclusivo y directo, este</w:t>
      </w:r>
      <w:r>
        <w:rPr>
          <w:rFonts w:ascii="Century Gothic" w:eastAsia="Arial Unicode MS" w:hAnsi="Century Gothic" w:cs="Arial"/>
          <w:sz w:val="28"/>
          <w:szCs w:val="28"/>
        </w:rPr>
        <w:t xml:space="preserve"> Tribunal no puede estudiar si tienes razón en tu queja. </w:t>
      </w:r>
    </w:p>
    <w:p w:rsidR="009276C8" w:rsidRPr="009276C8" w:rsidRDefault="009276C8" w:rsidP="009276C8">
      <w:pPr>
        <w:pStyle w:val="Prrafodelista"/>
        <w:rPr>
          <w:rFonts w:ascii="Century Gothic" w:eastAsia="Arial Unicode MS" w:hAnsi="Century Gothic" w:cs="Arial"/>
          <w:b/>
          <w:sz w:val="28"/>
          <w:szCs w:val="28"/>
        </w:rPr>
      </w:pPr>
    </w:p>
    <w:p w:rsidR="009276C8" w:rsidRPr="009276C8" w:rsidRDefault="008C6C16" w:rsidP="00615E57">
      <w:pPr>
        <w:pStyle w:val="Prrafodelista"/>
        <w:numPr>
          <w:ilvl w:val="0"/>
          <w:numId w:val="9"/>
        </w:numPr>
        <w:autoSpaceDE w:val="0"/>
        <w:autoSpaceDN w:val="0"/>
        <w:adjustRightInd w:val="0"/>
        <w:spacing w:line="360" w:lineRule="auto"/>
        <w:rPr>
          <w:rFonts w:ascii="Century Gothic" w:eastAsia="Arial Unicode MS" w:hAnsi="Century Gothic" w:cs="Arial"/>
          <w:b/>
          <w:sz w:val="28"/>
          <w:szCs w:val="28"/>
        </w:rPr>
      </w:pPr>
      <w:r>
        <w:rPr>
          <w:rFonts w:ascii="Century Gothic" w:eastAsia="Arial Unicode MS" w:hAnsi="Century Gothic" w:cs="Arial"/>
          <w:sz w:val="28"/>
          <w:szCs w:val="28"/>
        </w:rPr>
        <w:t xml:space="preserve">Las quejas de actos que afectan a muchas personas, en materia electoral sólo pueden formularse a través de partidos políticos. </w:t>
      </w:r>
    </w:p>
    <w:p w:rsidR="008C6C16" w:rsidRPr="00174BC5" w:rsidRDefault="008C6C16" w:rsidP="00174BC5">
      <w:pPr>
        <w:rPr>
          <w:rFonts w:ascii="Century Gothic" w:eastAsia="Arial Unicode MS" w:hAnsi="Century Gothic" w:cs="Arial"/>
          <w:b/>
          <w:sz w:val="28"/>
          <w:szCs w:val="28"/>
        </w:rPr>
      </w:pPr>
    </w:p>
    <w:p w:rsidR="008C6C16" w:rsidRPr="00AF50AC" w:rsidRDefault="008C6C16" w:rsidP="00615E57">
      <w:pPr>
        <w:pStyle w:val="Prrafodelista"/>
        <w:numPr>
          <w:ilvl w:val="0"/>
          <w:numId w:val="9"/>
        </w:numPr>
        <w:autoSpaceDE w:val="0"/>
        <w:autoSpaceDN w:val="0"/>
        <w:adjustRightInd w:val="0"/>
        <w:spacing w:line="360" w:lineRule="auto"/>
        <w:rPr>
          <w:rFonts w:ascii="Century Gothic" w:eastAsia="Arial Unicode MS" w:hAnsi="Century Gothic" w:cs="Arial"/>
          <w:b/>
          <w:sz w:val="28"/>
          <w:szCs w:val="28"/>
        </w:rPr>
      </w:pPr>
      <w:r>
        <w:rPr>
          <w:rFonts w:ascii="Century Gothic" w:eastAsia="Arial Unicode MS" w:hAnsi="Century Gothic" w:cs="Arial"/>
          <w:sz w:val="28"/>
          <w:szCs w:val="28"/>
        </w:rPr>
        <w:t>El asesor jurídico que te asignó el Instituto de la Defensoría Pública deberá explicarte esta sentencia, de tal forma que la entiendas plenamente.</w:t>
      </w:r>
    </w:p>
    <w:p w:rsidR="00AF50AC" w:rsidRDefault="00AF50AC" w:rsidP="00AF50AC">
      <w:pPr>
        <w:pStyle w:val="Prrafodelista"/>
        <w:rPr>
          <w:rFonts w:ascii="Century Gothic" w:eastAsia="Arial Unicode MS" w:hAnsi="Century Gothic" w:cs="Arial"/>
          <w:b/>
          <w:sz w:val="28"/>
          <w:szCs w:val="28"/>
        </w:rPr>
      </w:pPr>
    </w:p>
    <w:tbl>
      <w:tblPr>
        <w:tblStyle w:val="Tablaconcuadrcula"/>
        <w:tblW w:w="0" w:type="auto"/>
        <w:jc w:val="center"/>
        <w:tblLook w:val="04A0" w:firstRow="1" w:lastRow="0" w:firstColumn="1" w:lastColumn="0" w:noHBand="0" w:noVBand="1"/>
      </w:tblPr>
      <w:tblGrid>
        <w:gridCol w:w="4424"/>
      </w:tblGrid>
      <w:tr w:rsidR="003952D6" w:rsidTr="003952D6">
        <w:trPr>
          <w:trHeight w:val="4916"/>
          <w:jc w:val="center"/>
        </w:trPr>
        <w:tc>
          <w:tcPr>
            <w:tcW w:w="4424" w:type="dxa"/>
          </w:tcPr>
          <w:p w:rsidR="003952D6" w:rsidRDefault="003952D6" w:rsidP="003952D6">
            <w:pPr>
              <w:jc w:val="both"/>
              <w:rPr>
                <w:sz w:val="16"/>
                <w:szCs w:val="16"/>
              </w:rPr>
            </w:pPr>
            <w:r w:rsidRPr="00FE79FC">
              <w:rPr>
                <w:b/>
                <w:sz w:val="16"/>
                <w:szCs w:val="16"/>
              </w:rPr>
              <w:t>Referencia</w:t>
            </w:r>
            <w:r>
              <w:rPr>
                <w:sz w:val="16"/>
                <w:szCs w:val="16"/>
              </w:rPr>
              <w:t>: páginas</w:t>
            </w:r>
            <w:r w:rsidRPr="00FE79FC">
              <w:rPr>
                <w:sz w:val="16"/>
                <w:szCs w:val="16"/>
              </w:rPr>
              <w:t xml:space="preserve"> </w:t>
            </w:r>
            <w:r>
              <w:rPr>
                <w:sz w:val="16"/>
                <w:szCs w:val="16"/>
              </w:rPr>
              <w:t>1 y 24.</w:t>
            </w:r>
          </w:p>
          <w:p w:rsidR="003952D6" w:rsidRDefault="003952D6" w:rsidP="003952D6">
            <w:pPr>
              <w:jc w:val="both"/>
              <w:rPr>
                <w:sz w:val="16"/>
                <w:szCs w:val="16"/>
              </w:rPr>
            </w:pPr>
          </w:p>
          <w:p w:rsidR="003952D6" w:rsidRDefault="003952D6" w:rsidP="003952D6">
            <w:pPr>
              <w:jc w:val="both"/>
              <w:rPr>
                <w:sz w:val="16"/>
                <w:szCs w:val="16"/>
              </w:rPr>
            </w:pPr>
            <w:r w:rsidRPr="00FE79FC">
              <w:rPr>
                <w:b/>
                <w:sz w:val="16"/>
                <w:szCs w:val="16"/>
              </w:rPr>
              <w:t>Fecha de clasificación</w:t>
            </w:r>
            <w:r>
              <w:rPr>
                <w:sz w:val="16"/>
                <w:szCs w:val="16"/>
              </w:rPr>
              <w:t>: 20 de diciembre de</w:t>
            </w:r>
            <w:r w:rsidRPr="00FE79FC">
              <w:rPr>
                <w:sz w:val="16"/>
                <w:szCs w:val="16"/>
              </w:rPr>
              <w:t xml:space="preserve"> 201</w:t>
            </w:r>
            <w:r>
              <w:rPr>
                <w:sz w:val="16"/>
                <w:szCs w:val="16"/>
              </w:rPr>
              <w:t>7.</w:t>
            </w:r>
          </w:p>
          <w:p w:rsidR="003952D6" w:rsidRPr="00FE79FC" w:rsidRDefault="003952D6" w:rsidP="003952D6">
            <w:pPr>
              <w:jc w:val="both"/>
              <w:rPr>
                <w:sz w:val="16"/>
                <w:szCs w:val="16"/>
              </w:rPr>
            </w:pPr>
          </w:p>
          <w:p w:rsidR="003952D6" w:rsidRDefault="003952D6" w:rsidP="003952D6">
            <w:pPr>
              <w:jc w:val="both"/>
              <w:rPr>
                <w:sz w:val="16"/>
                <w:szCs w:val="16"/>
              </w:rPr>
            </w:pPr>
            <w:r w:rsidRPr="00FE79FC">
              <w:rPr>
                <w:b/>
                <w:sz w:val="16"/>
                <w:szCs w:val="16"/>
              </w:rPr>
              <w:t>Unidad</w:t>
            </w:r>
            <w:r w:rsidRPr="00FE79FC">
              <w:rPr>
                <w:sz w:val="16"/>
                <w:szCs w:val="16"/>
              </w:rPr>
              <w:t xml:space="preserve">: </w:t>
            </w:r>
            <w:r>
              <w:rPr>
                <w:sz w:val="16"/>
                <w:szCs w:val="16"/>
              </w:rPr>
              <w:t>Ponencia de la Magistrada Mónica Aralí Soto Fregoso.</w:t>
            </w:r>
          </w:p>
          <w:p w:rsidR="003952D6" w:rsidRPr="00FE79FC" w:rsidRDefault="003952D6" w:rsidP="003952D6">
            <w:pPr>
              <w:jc w:val="both"/>
              <w:rPr>
                <w:sz w:val="16"/>
                <w:szCs w:val="16"/>
              </w:rPr>
            </w:pPr>
          </w:p>
          <w:p w:rsidR="003952D6" w:rsidRPr="00C15094" w:rsidRDefault="003952D6" w:rsidP="003952D6">
            <w:pPr>
              <w:jc w:val="both"/>
              <w:rPr>
                <w:sz w:val="16"/>
                <w:szCs w:val="16"/>
              </w:rPr>
            </w:pPr>
            <w:r w:rsidRPr="00020A18">
              <w:rPr>
                <w:b/>
                <w:sz w:val="16"/>
                <w:szCs w:val="16"/>
              </w:rPr>
              <w:t xml:space="preserve">Clasificación de información: </w:t>
            </w:r>
            <w:r w:rsidRPr="00C15094">
              <w:rPr>
                <w:sz w:val="16"/>
                <w:szCs w:val="16"/>
              </w:rPr>
              <w:t>Confidencial por contener datos personales</w:t>
            </w:r>
            <w:r>
              <w:rPr>
                <w:sz w:val="16"/>
                <w:szCs w:val="16"/>
              </w:rPr>
              <w:t xml:space="preserve"> que hacen a una persona física identificada o identificable</w:t>
            </w:r>
            <w:r w:rsidRPr="00C15094">
              <w:rPr>
                <w:sz w:val="16"/>
                <w:szCs w:val="16"/>
              </w:rPr>
              <w:t>.</w:t>
            </w:r>
          </w:p>
          <w:p w:rsidR="003952D6" w:rsidRPr="00020A18" w:rsidRDefault="003952D6" w:rsidP="003952D6">
            <w:pPr>
              <w:jc w:val="both"/>
              <w:rPr>
                <w:b/>
                <w:sz w:val="16"/>
                <w:szCs w:val="16"/>
              </w:rPr>
            </w:pPr>
          </w:p>
          <w:p w:rsidR="003952D6" w:rsidRDefault="003952D6" w:rsidP="003952D6">
            <w:pPr>
              <w:jc w:val="both"/>
              <w:rPr>
                <w:b/>
                <w:sz w:val="16"/>
                <w:szCs w:val="16"/>
              </w:rPr>
            </w:pPr>
            <w:r w:rsidRPr="00020A18">
              <w:rPr>
                <w:b/>
                <w:sz w:val="16"/>
                <w:szCs w:val="16"/>
              </w:rPr>
              <w:t xml:space="preserve">Periodo de clasificación: </w:t>
            </w:r>
            <w:r w:rsidRPr="00C15094">
              <w:rPr>
                <w:sz w:val="16"/>
                <w:szCs w:val="16"/>
              </w:rPr>
              <w:t>Sin temporalidad por ser confidencial.</w:t>
            </w:r>
          </w:p>
          <w:p w:rsidR="003952D6" w:rsidRPr="00C15094" w:rsidRDefault="003952D6" w:rsidP="003952D6">
            <w:pPr>
              <w:jc w:val="both"/>
              <w:rPr>
                <w:b/>
                <w:sz w:val="16"/>
                <w:szCs w:val="16"/>
              </w:rPr>
            </w:pPr>
          </w:p>
          <w:p w:rsidR="003952D6" w:rsidRDefault="003952D6" w:rsidP="003952D6">
            <w:pPr>
              <w:jc w:val="both"/>
              <w:rPr>
                <w:sz w:val="16"/>
                <w:szCs w:val="16"/>
              </w:rPr>
            </w:pPr>
            <w:r w:rsidRPr="00FE79FC">
              <w:rPr>
                <w:b/>
                <w:sz w:val="16"/>
                <w:szCs w:val="16"/>
              </w:rPr>
              <w:t>Fundamento Legal</w:t>
            </w:r>
            <w:r w:rsidRPr="00FE79FC">
              <w:rPr>
                <w:sz w:val="16"/>
                <w:szCs w:val="16"/>
              </w:rPr>
              <w:t xml:space="preserve">: Artículos </w:t>
            </w:r>
            <w:r>
              <w:rPr>
                <w:sz w:val="16"/>
                <w:szCs w:val="16"/>
              </w:rPr>
              <w:t>6 y 16 de la Constitución Política de los Estados Unidos Mexicanos; 23, 68, frac</w:t>
            </w:r>
            <w:r w:rsidRPr="00FE79FC">
              <w:rPr>
                <w:sz w:val="16"/>
                <w:szCs w:val="16"/>
              </w:rPr>
              <w:t>ción VI</w:t>
            </w:r>
            <w:r>
              <w:rPr>
                <w:sz w:val="16"/>
                <w:szCs w:val="16"/>
              </w:rPr>
              <w:t xml:space="preserve"> </w:t>
            </w:r>
            <w:r w:rsidRPr="00FE79FC">
              <w:rPr>
                <w:sz w:val="16"/>
                <w:szCs w:val="16"/>
              </w:rPr>
              <w:t xml:space="preserve">y </w:t>
            </w:r>
            <w:r>
              <w:rPr>
                <w:sz w:val="16"/>
                <w:szCs w:val="16"/>
              </w:rPr>
              <w:t>116,</w:t>
            </w:r>
            <w:r w:rsidRPr="00FE79FC">
              <w:rPr>
                <w:sz w:val="16"/>
                <w:szCs w:val="16"/>
              </w:rPr>
              <w:t xml:space="preserve"> de la </w:t>
            </w:r>
            <w:r w:rsidRPr="00E41E76">
              <w:rPr>
                <w:sz w:val="16"/>
                <w:szCs w:val="16"/>
              </w:rPr>
              <w:t>Ley General de Transparencia y Acceso a la Información Pública</w:t>
            </w:r>
            <w:r>
              <w:rPr>
                <w:sz w:val="16"/>
                <w:szCs w:val="16"/>
              </w:rPr>
              <w:t>; así como el 3, fracción IX, 31 y 43, de la Ley General de Protección de Datos Personales en Posesión de Sujetos Obligados.</w:t>
            </w:r>
          </w:p>
          <w:p w:rsidR="003952D6" w:rsidRPr="00FE79FC" w:rsidRDefault="003952D6" w:rsidP="003952D6">
            <w:pPr>
              <w:jc w:val="both"/>
              <w:rPr>
                <w:sz w:val="16"/>
                <w:szCs w:val="16"/>
              </w:rPr>
            </w:pPr>
          </w:p>
          <w:p w:rsidR="003952D6" w:rsidRDefault="003952D6" w:rsidP="003952D6">
            <w:pPr>
              <w:jc w:val="both"/>
              <w:rPr>
                <w:sz w:val="16"/>
                <w:szCs w:val="16"/>
              </w:rPr>
            </w:pPr>
            <w:r w:rsidRPr="00FE79FC">
              <w:rPr>
                <w:b/>
                <w:sz w:val="16"/>
                <w:szCs w:val="16"/>
              </w:rPr>
              <w:t>Motivación</w:t>
            </w:r>
            <w:r w:rsidRPr="00FE79FC">
              <w:rPr>
                <w:sz w:val="16"/>
                <w:szCs w:val="16"/>
              </w:rPr>
              <w:t xml:space="preserve">: En </w:t>
            </w:r>
            <w:r>
              <w:rPr>
                <w:sz w:val="16"/>
                <w:szCs w:val="16"/>
              </w:rPr>
              <w:t>virtud de que el promovente es una persona con discapacidad y en atención al estándar de protección fijado en la presente ejecutoria.</w:t>
            </w:r>
          </w:p>
          <w:p w:rsidR="003952D6" w:rsidRPr="00FE79FC" w:rsidRDefault="003952D6" w:rsidP="003952D6">
            <w:pPr>
              <w:jc w:val="both"/>
              <w:rPr>
                <w:sz w:val="16"/>
                <w:szCs w:val="16"/>
              </w:rPr>
            </w:pPr>
          </w:p>
          <w:p w:rsidR="003952D6" w:rsidRPr="00FE79FC" w:rsidRDefault="003952D6" w:rsidP="003952D6">
            <w:pPr>
              <w:jc w:val="both"/>
              <w:rPr>
                <w:sz w:val="16"/>
                <w:szCs w:val="16"/>
              </w:rPr>
            </w:pPr>
            <w:r w:rsidRPr="00FE79FC">
              <w:rPr>
                <w:b/>
                <w:sz w:val="16"/>
                <w:szCs w:val="16"/>
              </w:rPr>
              <w:t>Nombre y cargo de la o el titular de la unidad responsable de la clasificación</w:t>
            </w:r>
            <w:r w:rsidRPr="00FE79FC">
              <w:rPr>
                <w:sz w:val="16"/>
                <w:szCs w:val="16"/>
              </w:rPr>
              <w:t xml:space="preserve">: </w:t>
            </w:r>
            <w:r>
              <w:rPr>
                <w:sz w:val="16"/>
                <w:szCs w:val="16"/>
              </w:rPr>
              <w:t>María Fernanda Sánchez Rubio, Secretaria de Estudio y Cuenta de la Ponencia de la Magistrada Mónica Aralí Soto Fregoso.</w:t>
            </w:r>
          </w:p>
          <w:p w:rsidR="003952D6" w:rsidRDefault="003952D6" w:rsidP="00AF50AC">
            <w:pPr>
              <w:pStyle w:val="Prrafodelista"/>
              <w:ind w:left="0"/>
              <w:rPr>
                <w:rFonts w:ascii="Century Gothic" w:eastAsia="Arial Unicode MS" w:hAnsi="Century Gothic" w:cs="Arial"/>
                <w:b/>
                <w:sz w:val="28"/>
                <w:szCs w:val="28"/>
              </w:rPr>
            </w:pPr>
          </w:p>
        </w:tc>
      </w:tr>
    </w:tbl>
    <w:p w:rsidR="00AF50AC" w:rsidRPr="00AF50AC" w:rsidRDefault="00AF50AC" w:rsidP="00AF50AC">
      <w:pPr>
        <w:autoSpaceDE w:val="0"/>
        <w:autoSpaceDN w:val="0"/>
        <w:adjustRightInd w:val="0"/>
        <w:spacing w:line="360" w:lineRule="auto"/>
        <w:rPr>
          <w:rFonts w:ascii="Century Gothic" w:eastAsia="Arial Unicode MS" w:hAnsi="Century Gothic" w:cs="Arial"/>
          <w:b/>
          <w:sz w:val="28"/>
          <w:szCs w:val="28"/>
        </w:rPr>
      </w:pPr>
      <w:bookmarkStart w:id="0" w:name="_GoBack"/>
      <w:bookmarkEnd w:id="0"/>
    </w:p>
    <w:sectPr w:rsidR="00AF50AC" w:rsidRPr="00AF50AC" w:rsidSect="00207299">
      <w:headerReference w:type="default" r:id="rId9"/>
      <w:footerReference w:type="even" r:id="rId10"/>
      <w:footerReference w:type="default" r:id="rId11"/>
      <w:pgSz w:w="12242" w:h="19295" w:code="147"/>
      <w:pgMar w:top="3119" w:right="1418" w:bottom="1701" w:left="2835" w:header="2268" w:footer="113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F28" w:rsidRDefault="00786F28" w:rsidP="00EA2255">
      <w:r>
        <w:separator/>
      </w:r>
    </w:p>
  </w:endnote>
  <w:endnote w:type="continuationSeparator" w:id="0">
    <w:p w:rsidR="00786F28" w:rsidRDefault="00786F28" w:rsidP="00EA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C9" w:rsidRDefault="002349C9" w:rsidP="005533E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349C9" w:rsidRDefault="002349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098549"/>
      <w:docPartObj>
        <w:docPartGallery w:val="Page Numbers (Bottom of Page)"/>
        <w:docPartUnique/>
      </w:docPartObj>
    </w:sdtPr>
    <w:sdtEndPr>
      <w:rPr>
        <w:rFonts w:ascii="Century Gothic" w:hAnsi="Century Gothic"/>
        <w:sz w:val="27"/>
        <w:szCs w:val="27"/>
      </w:rPr>
    </w:sdtEndPr>
    <w:sdtContent>
      <w:p w:rsidR="002349C9" w:rsidRPr="000947C0" w:rsidRDefault="002349C9">
        <w:pPr>
          <w:pStyle w:val="Piedepgina"/>
          <w:jc w:val="right"/>
          <w:rPr>
            <w:rFonts w:ascii="Century Gothic" w:hAnsi="Century Gothic"/>
            <w:sz w:val="27"/>
            <w:szCs w:val="27"/>
          </w:rPr>
        </w:pPr>
        <w:r w:rsidRPr="000947C0">
          <w:rPr>
            <w:rFonts w:ascii="Century Gothic" w:hAnsi="Century Gothic"/>
            <w:sz w:val="27"/>
            <w:szCs w:val="27"/>
          </w:rPr>
          <w:fldChar w:fldCharType="begin"/>
        </w:r>
        <w:r w:rsidRPr="000947C0">
          <w:rPr>
            <w:rFonts w:ascii="Century Gothic" w:hAnsi="Century Gothic"/>
            <w:sz w:val="27"/>
            <w:szCs w:val="27"/>
          </w:rPr>
          <w:instrText>PAGE   \* MERGEFORMAT</w:instrText>
        </w:r>
        <w:r w:rsidRPr="000947C0">
          <w:rPr>
            <w:rFonts w:ascii="Century Gothic" w:hAnsi="Century Gothic"/>
            <w:sz w:val="27"/>
            <w:szCs w:val="27"/>
          </w:rPr>
          <w:fldChar w:fldCharType="separate"/>
        </w:r>
        <w:r w:rsidR="005228F0">
          <w:rPr>
            <w:rFonts w:ascii="Century Gothic" w:hAnsi="Century Gothic"/>
            <w:noProof/>
            <w:sz w:val="27"/>
            <w:szCs w:val="27"/>
          </w:rPr>
          <w:t>25</w:t>
        </w:r>
        <w:r w:rsidRPr="000947C0">
          <w:rPr>
            <w:rFonts w:ascii="Century Gothic" w:hAnsi="Century Gothic"/>
            <w:sz w:val="27"/>
            <w:szCs w:val="27"/>
          </w:rPr>
          <w:fldChar w:fldCharType="end"/>
        </w:r>
      </w:p>
    </w:sdtContent>
  </w:sdt>
  <w:p w:rsidR="002349C9" w:rsidRDefault="002349C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F28" w:rsidRDefault="00786F28" w:rsidP="00EA2255">
      <w:r>
        <w:separator/>
      </w:r>
    </w:p>
  </w:footnote>
  <w:footnote w:type="continuationSeparator" w:id="0">
    <w:p w:rsidR="00786F28" w:rsidRDefault="00786F28" w:rsidP="00EA2255">
      <w:r>
        <w:continuationSeparator/>
      </w:r>
    </w:p>
  </w:footnote>
  <w:footnote w:id="1">
    <w:p w:rsidR="00F3160B" w:rsidRPr="00F3160B" w:rsidRDefault="00F3160B" w:rsidP="00F3160B">
      <w:pPr>
        <w:pStyle w:val="Textonotapie"/>
        <w:jc w:val="both"/>
        <w:rPr>
          <w:rFonts w:ascii="Century Gothic" w:hAnsi="Century Gothic" w:cs="Arial"/>
          <w:lang w:val="es-MX"/>
        </w:rPr>
      </w:pPr>
      <w:r w:rsidRPr="00F3160B">
        <w:rPr>
          <w:rStyle w:val="Refdenotaalpie"/>
          <w:rFonts w:ascii="Century Gothic" w:hAnsi="Century Gothic" w:cs="Arial"/>
        </w:rPr>
        <w:footnoteRef/>
      </w:r>
      <w:r w:rsidRPr="00F3160B">
        <w:rPr>
          <w:rFonts w:ascii="Century Gothic" w:hAnsi="Century Gothic" w:cs="Arial"/>
        </w:rPr>
        <w:t xml:space="preserve"> Consultable en la página de internet del Tribunal Electoral del Poder Judicial</w:t>
      </w:r>
      <w:r>
        <w:rPr>
          <w:rFonts w:ascii="Century Gothic" w:hAnsi="Century Gothic" w:cs="Arial"/>
        </w:rPr>
        <w:t xml:space="preserve"> de la Federación www.te.gob.mx</w:t>
      </w:r>
      <w:r w:rsidRPr="00F3160B">
        <w:rPr>
          <w:rFonts w:ascii="Century Gothic" w:hAnsi="Century Gothic" w:cs="Arial"/>
        </w:rPr>
        <w:t>.</w:t>
      </w:r>
    </w:p>
  </w:footnote>
  <w:footnote w:id="2">
    <w:p w:rsidR="002349C9" w:rsidRPr="004D7E28" w:rsidRDefault="002349C9" w:rsidP="004D7E28">
      <w:pPr>
        <w:pStyle w:val="Textonotapie"/>
        <w:jc w:val="both"/>
        <w:rPr>
          <w:rFonts w:ascii="Century Gothic" w:hAnsi="Century Gothic"/>
          <w:lang w:val="es-MX"/>
        </w:rPr>
      </w:pPr>
      <w:r w:rsidRPr="004D7E28">
        <w:rPr>
          <w:rStyle w:val="Refdenotaalpie"/>
          <w:rFonts w:ascii="Century Gothic" w:hAnsi="Century Gothic"/>
        </w:rPr>
        <w:footnoteRef/>
      </w:r>
      <w:r w:rsidRPr="004D7E28">
        <w:rPr>
          <w:rFonts w:ascii="Century Gothic" w:hAnsi="Century Gothic"/>
        </w:rPr>
        <w:t xml:space="preserve"> En su escrito de demanda, el actor explica que para él “los signos son elementos compositivos de los símbolos, y no son el símbolo en sí, pero son parte de ellos”. A partir de lo anterior, este tribunal ubica que a lo que se refiere con el uso de esta expresión es a los elementos que componen los símbolos propios, por lo que se utilizará este término para referirse a ellos. </w:t>
      </w:r>
    </w:p>
  </w:footnote>
  <w:footnote w:id="3">
    <w:p w:rsidR="002349C9" w:rsidRPr="004D7E28" w:rsidRDefault="002349C9" w:rsidP="004D7E28">
      <w:pPr>
        <w:pStyle w:val="Textonotapie"/>
        <w:jc w:val="both"/>
        <w:rPr>
          <w:rFonts w:ascii="Century Gothic" w:hAnsi="Century Gothic"/>
          <w:lang w:val="es-MX"/>
        </w:rPr>
      </w:pPr>
      <w:r w:rsidRPr="004D7E28">
        <w:rPr>
          <w:rStyle w:val="Refdenotaalpie"/>
          <w:rFonts w:ascii="Century Gothic" w:hAnsi="Century Gothic"/>
        </w:rPr>
        <w:footnoteRef/>
      </w:r>
      <w:r w:rsidRPr="004D7E28">
        <w:rPr>
          <w:rFonts w:ascii="Century Gothic" w:hAnsi="Century Gothic"/>
        </w:rPr>
        <w:t xml:space="preserve"> </w:t>
      </w:r>
      <w:r w:rsidRPr="004D7E28">
        <w:rPr>
          <w:rFonts w:ascii="Century Gothic" w:hAnsi="Century Gothic"/>
          <w:lang w:val="es-MX"/>
        </w:rPr>
        <w:t xml:space="preserve">Véase tesis 1a.CCCXLV/2013 (10a.) de rubro: “ESTADO DE INTERDICCIÓN. LA SENTENCIA QUE LO ESTABLEZCA DEBERÁ ADAPTARSE A LOS CAMBIOS DE LA DISCAPACIDAD DE LA PERSONA SUJETA AL MISMO (INTERPRETACIÓN DEL ARTÍCULO 606 DEL CÓDIGO CIVIL PARA EL DISTRITO FEDERAL), consultable en: </w:t>
      </w:r>
      <w:r w:rsidRPr="004D7E28">
        <w:rPr>
          <w:rFonts w:ascii="Century Gothic" w:hAnsi="Century Gothic"/>
          <w:i/>
          <w:lang w:val="es-MX"/>
        </w:rPr>
        <w:t xml:space="preserve">Gaceta del Semanario Judicial de la Federación, </w:t>
      </w:r>
      <w:r w:rsidRPr="004D7E28">
        <w:rPr>
          <w:rFonts w:ascii="Century Gothic" w:hAnsi="Century Gothic"/>
          <w:lang w:val="es-MX"/>
        </w:rPr>
        <w:t xml:space="preserve">Primera Sala, 10a. época, libro 1, diciembre de 2013, p. 522. </w:t>
      </w:r>
    </w:p>
  </w:footnote>
  <w:footnote w:id="4">
    <w:p w:rsidR="002349C9" w:rsidRPr="00463C19" w:rsidRDefault="002349C9" w:rsidP="00463C19">
      <w:pPr>
        <w:pStyle w:val="Textonotapie"/>
        <w:jc w:val="both"/>
        <w:rPr>
          <w:rFonts w:ascii="Century Gothic" w:hAnsi="Century Gothic"/>
        </w:rPr>
      </w:pPr>
      <w:r w:rsidRPr="00463C19">
        <w:rPr>
          <w:rStyle w:val="Refdenotaalpie"/>
          <w:rFonts w:ascii="Century Gothic" w:hAnsi="Century Gothic"/>
        </w:rPr>
        <w:footnoteRef/>
      </w:r>
      <w:r w:rsidRPr="00463C19">
        <w:rPr>
          <w:rFonts w:ascii="Century Gothic" w:hAnsi="Century Gothic"/>
        </w:rPr>
        <w:t xml:space="preserve"> Véase Corte IDH. </w:t>
      </w:r>
      <w:r w:rsidRPr="00463C19">
        <w:rPr>
          <w:rFonts w:ascii="Century Gothic" w:hAnsi="Century Gothic"/>
          <w:i/>
        </w:rPr>
        <w:t>Caso Furlan y familiares vs. Argentina. Excepciones Preliminares, Fondo, Reparaciones y Costas</w:t>
      </w:r>
      <w:r w:rsidRPr="00463C19">
        <w:rPr>
          <w:rFonts w:ascii="Century Gothic" w:hAnsi="Century Gothic"/>
        </w:rPr>
        <w:t xml:space="preserve">. Sentencia de 31 de agosto de 2012. Serie C No. 246. </w:t>
      </w:r>
    </w:p>
  </w:footnote>
  <w:footnote w:id="5">
    <w:p w:rsidR="00FD1D9B" w:rsidRPr="00FD1D9B" w:rsidRDefault="00FD1D9B" w:rsidP="00FD1D9B">
      <w:pPr>
        <w:pStyle w:val="Textonotapie"/>
        <w:jc w:val="both"/>
        <w:rPr>
          <w:rFonts w:ascii="Century Gothic" w:hAnsi="Century Gothic"/>
        </w:rPr>
      </w:pPr>
      <w:r w:rsidRPr="00FD1D9B">
        <w:rPr>
          <w:rStyle w:val="Refdenotaalpie"/>
          <w:rFonts w:ascii="Century Gothic" w:hAnsi="Century Gothic"/>
        </w:rPr>
        <w:footnoteRef/>
      </w:r>
      <w:r w:rsidRPr="00FD1D9B">
        <w:rPr>
          <w:rFonts w:ascii="Century Gothic" w:hAnsi="Century Gothic"/>
        </w:rPr>
        <w:t xml:space="preserve"> Véase sentencia TEDH de 20 de mayo de 2010, asunto Alajos Kiss contra Hungría. </w:t>
      </w:r>
    </w:p>
  </w:footnote>
  <w:footnote w:id="6">
    <w:p w:rsidR="00CE155C" w:rsidRPr="00CE155C" w:rsidRDefault="00CE155C" w:rsidP="00CE155C">
      <w:pPr>
        <w:pStyle w:val="Textonotapie"/>
        <w:jc w:val="both"/>
        <w:rPr>
          <w:rFonts w:ascii="Century Gothic" w:hAnsi="Century Gothic"/>
        </w:rPr>
      </w:pPr>
      <w:r w:rsidRPr="00CE155C">
        <w:rPr>
          <w:rStyle w:val="Refdenotaalpie"/>
          <w:rFonts w:ascii="Century Gothic" w:hAnsi="Century Gothic"/>
        </w:rPr>
        <w:footnoteRef/>
      </w:r>
      <w:r w:rsidRPr="00CE155C">
        <w:rPr>
          <w:rFonts w:ascii="Century Gothic" w:hAnsi="Century Gothic"/>
        </w:rPr>
        <w:t xml:space="preserve"> Buenas prácticas en el acceso a la justicia de las personas con discapacidad en doctrina comparada: España y Costa Rica, obtenidos del “Protocolo para el Acceso a la Justicia de las Personas con Discapacidad en la República Argentina”. Disponible en: http://eurosocial-ii.eu/es/showbiblioteca/707</w:t>
      </w:r>
    </w:p>
  </w:footnote>
  <w:footnote w:id="7">
    <w:p w:rsidR="00F25E99" w:rsidRPr="00F25E99" w:rsidRDefault="00F25E99" w:rsidP="00F25E99">
      <w:pPr>
        <w:pStyle w:val="Textonotapie"/>
        <w:jc w:val="both"/>
        <w:rPr>
          <w:rFonts w:ascii="Century Gothic" w:hAnsi="Century Gothic"/>
        </w:rPr>
      </w:pPr>
      <w:r w:rsidRPr="00F25E99">
        <w:rPr>
          <w:rStyle w:val="Refdenotaalpie"/>
          <w:rFonts w:ascii="Century Gothic" w:hAnsi="Century Gothic"/>
        </w:rPr>
        <w:footnoteRef/>
      </w:r>
      <w:r w:rsidRPr="00F25E99">
        <w:rPr>
          <w:rFonts w:ascii="Century Gothic" w:hAnsi="Century Gothic"/>
        </w:rPr>
        <w:t xml:space="preserve"> Tesis 1ª.CCCXXXIX/2013 (10ª.) de rubro: “SENTENCIA CON FORMATO DE LECTURA FÁCIL. EL JUEZ QUE CONOZCA DE UN ASUNTO SOBRE UNA PERSONA CON DISCAPACIDAD INTELECTUAL, DEBERÁ DICTAR UNA RESOLUCIÓN COMPLEMENTARIA BAJO DICHO FORMATO”, consultable en </w:t>
      </w:r>
      <w:r w:rsidRPr="00F25E99">
        <w:rPr>
          <w:rFonts w:ascii="Century Gothic" w:hAnsi="Century Gothic"/>
          <w:i/>
        </w:rPr>
        <w:t>Gaceta del Semanario Judicial de la Federación</w:t>
      </w:r>
      <w:r w:rsidRPr="00F25E99">
        <w:rPr>
          <w:rFonts w:ascii="Century Gothic" w:hAnsi="Century Gothic"/>
        </w:rPr>
        <w:t xml:space="preserve">, Primera Sala, 10ª época, libro 1, diciembre de 2013, tomo I, p. 536. </w:t>
      </w:r>
    </w:p>
  </w:footnote>
  <w:footnote w:id="8">
    <w:p w:rsidR="003733C7" w:rsidRPr="003733C7" w:rsidRDefault="003733C7" w:rsidP="003733C7">
      <w:pPr>
        <w:pStyle w:val="Textonotapie"/>
        <w:jc w:val="both"/>
        <w:rPr>
          <w:rFonts w:ascii="Century Gothic" w:hAnsi="Century Gothic"/>
        </w:rPr>
      </w:pPr>
      <w:r w:rsidRPr="003733C7">
        <w:rPr>
          <w:rStyle w:val="Refdenotaalpie"/>
          <w:rFonts w:ascii="Century Gothic" w:hAnsi="Century Gothic"/>
        </w:rPr>
        <w:footnoteRef/>
      </w:r>
      <w:r w:rsidRPr="003733C7">
        <w:rPr>
          <w:rFonts w:ascii="Century Gothic" w:hAnsi="Century Gothic"/>
        </w:rPr>
        <w:t xml:space="preserve"> Lo anterior, de conformidad con los Lineamientos Generales para la Identificación e Integración de Expedientes del Tribunal Electoral del Poder Judicial de la Federación, aprobados por el entonces Magistrado Presidente de la Sala Superior de este Tribunal, el doce de noviembre de dos mil catorce. </w:t>
      </w:r>
    </w:p>
  </w:footnote>
  <w:footnote w:id="9">
    <w:p w:rsidR="00DE1BC2" w:rsidRPr="00DE1BC2" w:rsidRDefault="00DE1BC2" w:rsidP="00DE1BC2">
      <w:pPr>
        <w:pStyle w:val="Textonotapie"/>
        <w:jc w:val="both"/>
        <w:rPr>
          <w:rFonts w:ascii="Century Gothic" w:hAnsi="Century Gothic"/>
        </w:rPr>
      </w:pPr>
      <w:r w:rsidRPr="00DE1BC2">
        <w:rPr>
          <w:rStyle w:val="Refdenotaalpie"/>
          <w:rFonts w:ascii="Century Gothic" w:hAnsi="Century Gothic"/>
        </w:rPr>
        <w:footnoteRef/>
      </w:r>
      <w:r w:rsidRPr="00DE1BC2">
        <w:rPr>
          <w:rFonts w:ascii="Century Gothic" w:hAnsi="Century Gothic"/>
        </w:rPr>
        <w:t xml:space="preserve"> Véase jurisprudencia 7/2002 de rubro: “INTERÉS JURÍDICO DIRECTO PARA PROMOVER MEDIOS DE IMPUGNACIÓN. REQUISITOS PARA SU SURTIMIENTO”, consultable en </w:t>
      </w:r>
      <w:r w:rsidRPr="00DE1BC2">
        <w:rPr>
          <w:rFonts w:ascii="Century Gothic" w:hAnsi="Century Gothic"/>
          <w:i/>
        </w:rPr>
        <w:t>Justicia Electoral</w:t>
      </w:r>
      <w:r w:rsidRPr="00DE1BC2">
        <w:rPr>
          <w:rFonts w:ascii="Century Gothic" w:hAnsi="Century Gothic"/>
        </w:rPr>
        <w:t xml:space="preserve">, Revista del Tribunal Electoral del Poder Judicial de la Federación, suplemento 6, año 2003, p. 39. </w:t>
      </w:r>
    </w:p>
  </w:footnote>
  <w:footnote w:id="10">
    <w:p w:rsidR="00A44EE9" w:rsidRPr="00A44EE9" w:rsidRDefault="00A44EE9" w:rsidP="00A44EE9">
      <w:pPr>
        <w:pStyle w:val="Textonotapie"/>
        <w:jc w:val="both"/>
        <w:rPr>
          <w:rFonts w:ascii="Century Gothic" w:hAnsi="Century Gothic"/>
        </w:rPr>
      </w:pPr>
      <w:r w:rsidRPr="00A44EE9">
        <w:rPr>
          <w:rStyle w:val="Refdenotaalpie"/>
          <w:rFonts w:ascii="Century Gothic" w:hAnsi="Century Gothic"/>
        </w:rPr>
        <w:footnoteRef/>
      </w:r>
      <w:r w:rsidRPr="00A44EE9">
        <w:rPr>
          <w:rFonts w:ascii="Century Gothic" w:hAnsi="Century Gothic"/>
        </w:rPr>
        <w:t xml:space="preserve"> </w:t>
      </w:r>
      <w:r>
        <w:rPr>
          <w:rFonts w:ascii="Century Gothic" w:hAnsi="Century Gothic"/>
        </w:rPr>
        <w:t>Véase: J</w:t>
      </w:r>
      <w:r w:rsidRPr="00A44EE9">
        <w:rPr>
          <w:rFonts w:ascii="Century Gothic" w:hAnsi="Century Gothic"/>
        </w:rPr>
        <w:t xml:space="preserve">urisprudencia 1a./J. 38/2016 (10a.) de rubro: “INTERÉS LEGÍTIMO EN EL AMPARO. SU DIFERENCIA CON EL INTERÉS SIMPLE”, </w:t>
      </w:r>
      <w:r w:rsidRPr="00A44EE9">
        <w:rPr>
          <w:rFonts w:ascii="Century Gothic" w:hAnsi="Century Gothic"/>
          <w:i/>
        </w:rPr>
        <w:t>Gaceta del Semanario Judicial de la Federación</w:t>
      </w:r>
      <w:r w:rsidRPr="00A44EE9">
        <w:rPr>
          <w:rFonts w:ascii="Century Gothic" w:hAnsi="Century Gothic"/>
        </w:rPr>
        <w:t xml:space="preserve">, Primera Sala, 10a época, libro 33, agosto de 2016, tomo II, p. 690.  </w:t>
      </w:r>
    </w:p>
    <w:p w:rsidR="00A44EE9" w:rsidRPr="00A44EE9" w:rsidRDefault="00A44EE9">
      <w:pPr>
        <w:pStyle w:val="Textonotapie"/>
      </w:pPr>
    </w:p>
  </w:footnote>
  <w:footnote w:id="11">
    <w:p w:rsidR="004B24EC" w:rsidRPr="004B24EC" w:rsidRDefault="004B24EC" w:rsidP="004B24EC">
      <w:pPr>
        <w:pStyle w:val="Textonotapie"/>
        <w:jc w:val="both"/>
        <w:rPr>
          <w:rFonts w:ascii="Century Gothic" w:hAnsi="Century Gothic"/>
          <w:lang w:val="es-MX"/>
        </w:rPr>
      </w:pPr>
      <w:r w:rsidRPr="004B24EC">
        <w:rPr>
          <w:rStyle w:val="Refdenotaalpie"/>
          <w:rFonts w:ascii="Century Gothic" w:hAnsi="Century Gothic"/>
        </w:rPr>
        <w:footnoteRef/>
      </w:r>
      <w:r w:rsidRPr="004B24EC">
        <w:rPr>
          <w:rFonts w:ascii="Century Gothic" w:hAnsi="Century Gothic"/>
        </w:rPr>
        <w:t xml:space="preserve"> </w:t>
      </w:r>
      <w:r w:rsidRPr="004B24EC">
        <w:rPr>
          <w:rFonts w:ascii="Century Gothic" w:hAnsi="Century Gothic"/>
          <w:lang w:val="es-MX"/>
        </w:rPr>
        <w:t xml:space="preserve">Jurisprudencia 10/2005 de rubro: “ACCIONES TUITIVAS DE INTERESES DIFUSOS. ELEMENTOS NECESARIOS PARA QUE LOS PARTIDOS POLÍTICOS LAS PUEDAN DEDUCIR”, consultable en: </w:t>
      </w:r>
      <w:r w:rsidRPr="004B24EC">
        <w:rPr>
          <w:rFonts w:ascii="Century Gothic" w:hAnsi="Century Gothic"/>
          <w:i/>
          <w:lang w:val="es-MX"/>
        </w:rPr>
        <w:t>Jurisprudencia y Tesis Relevantes 1997-2005</w:t>
      </w:r>
      <w:r w:rsidRPr="004B24EC">
        <w:rPr>
          <w:rFonts w:ascii="Century Gothic" w:hAnsi="Century Gothic"/>
          <w:lang w:val="es-MX"/>
        </w:rPr>
        <w:t xml:space="preserve">. Compilación Oficial, Tribunal Electoral del Poder Judicial de la Federación, pp. 6-8. </w:t>
      </w:r>
    </w:p>
  </w:footnote>
  <w:footnote w:id="12">
    <w:p w:rsidR="00A56676" w:rsidRPr="0037181F" w:rsidRDefault="00A56676" w:rsidP="00A56676">
      <w:pPr>
        <w:pStyle w:val="Textonotapie"/>
        <w:jc w:val="both"/>
        <w:rPr>
          <w:rFonts w:ascii="Century Gothic" w:hAnsi="Century Gothic"/>
          <w:lang w:val="es-MX"/>
        </w:rPr>
      </w:pPr>
      <w:r w:rsidRPr="0037181F">
        <w:rPr>
          <w:rStyle w:val="Refdenotaalpie"/>
          <w:rFonts w:ascii="Century Gothic" w:hAnsi="Century Gothic"/>
        </w:rPr>
        <w:footnoteRef/>
      </w:r>
      <w:r w:rsidRPr="0037181F">
        <w:rPr>
          <w:rFonts w:ascii="Century Gothic" w:hAnsi="Century Gothic"/>
        </w:rPr>
        <w:t xml:space="preserve"> </w:t>
      </w:r>
      <w:r w:rsidRPr="0037181F">
        <w:rPr>
          <w:rFonts w:ascii="Century Gothic" w:hAnsi="Century Gothic"/>
          <w:lang w:val="es-MX"/>
        </w:rPr>
        <w:t xml:space="preserve">Consultable en: </w:t>
      </w:r>
      <w:r w:rsidRPr="0037181F">
        <w:rPr>
          <w:rFonts w:ascii="Century Gothic" w:hAnsi="Century Gothic"/>
          <w:i/>
          <w:lang w:val="es-MX"/>
        </w:rPr>
        <w:t>Gaceta del Semanario Judicial de la Federación</w:t>
      </w:r>
      <w:r w:rsidRPr="0037181F">
        <w:rPr>
          <w:rFonts w:ascii="Century Gothic" w:hAnsi="Century Gothic"/>
          <w:lang w:val="es-MX"/>
        </w:rPr>
        <w:t xml:space="preserve">, Primera Sala, 10a época, libro 1, diciembre de 2013, tomo I, p. 536.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49C9" w:rsidRPr="00EA2255" w:rsidRDefault="007C0D2C" w:rsidP="00D5047E">
    <w:pPr>
      <w:ind w:left="2835"/>
      <w:jc w:val="right"/>
    </w:pPr>
    <w:r>
      <w:rPr>
        <w:rFonts w:ascii="Univers" w:hAnsi="Univers" w:cs="Arial"/>
        <w:b/>
        <w:bCs/>
        <w:color w:val="808080"/>
        <w:lang w:val="pt-BR"/>
      </w:rPr>
      <w:t>SUP-AG-92/</w:t>
    </w:r>
    <w:r w:rsidR="002349C9">
      <w:rPr>
        <w:rFonts w:ascii="Univers" w:hAnsi="Univers" w:cs="Arial"/>
        <w:b/>
        <w:bCs/>
        <w:color w:val="808080"/>
        <w:lang w:val="pt-BR"/>
      </w:rPr>
      <w:t>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142A"/>
    <w:multiLevelType w:val="hybridMultilevel"/>
    <w:tmpl w:val="DEEC8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CD05B4"/>
    <w:multiLevelType w:val="hybridMultilevel"/>
    <w:tmpl w:val="AE28E1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9750E2"/>
    <w:multiLevelType w:val="hybridMultilevel"/>
    <w:tmpl w:val="DEEC8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D11511D"/>
    <w:multiLevelType w:val="hybridMultilevel"/>
    <w:tmpl w:val="0F06DB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AC34618"/>
    <w:multiLevelType w:val="hybridMultilevel"/>
    <w:tmpl w:val="51626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9924E02"/>
    <w:multiLevelType w:val="hybridMultilevel"/>
    <w:tmpl w:val="CA9696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07D40D4"/>
    <w:multiLevelType w:val="hybridMultilevel"/>
    <w:tmpl w:val="CC3EEB98"/>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nsid w:val="544344B9"/>
    <w:multiLevelType w:val="hybridMultilevel"/>
    <w:tmpl w:val="61BC0526"/>
    <w:lvl w:ilvl="0" w:tplc="73C4AB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59F8445A"/>
    <w:multiLevelType w:val="hybridMultilevel"/>
    <w:tmpl w:val="D2E070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4"/>
  </w:num>
  <w:num w:numId="5">
    <w:abstractNumId w:val="7"/>
  </w:num>
  <w:num w:numId="6">
    <w:abstractNumId w:val="0"/>
  </w:num>
  <w:num w:numId="7">
    <w:abstractNumId w:val="6"/>
  </w:num>
  <w:num w:numId="8">
    <w:abstractNumId w:val="2"/>
  </w:num>
  <w:num w:numId="9">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97B"/>
    <w:rsid w:val="000046FE"/>
    <w:rsid w:val="000071D2"/>
    <w:rsid w:val="000107B6"/>
    <w:rsid w:val="00010F28"/>
    <w:rsid w:val="00021783"/>
    <w:rsid w:val="0002446D"/>
    <w:rsid w:val="00024B22"/>
    <w:rsid w:val="000260EA"/>
    <w:rsid w:val="000263E9"/>
    <w:rsid w:val="000269E6"/>
    <w:rsid w:val="00030744"/>
    <w:rsid w:val="000316BF"/>
    <w:rsid w:val="00032662"/>
    <w:rsid w:val="00032E8A"/>
    <w:rsid w:val="00033218"/>
    <w:rsid w:val="00034D72"/>
    <w:rsid w:val="00035F48"/>
    <w:rsid w:val="00037369"/>
    <w:rsid w:val="0004372A"/>
    <w:rsid w:val="00045A9E"/>
    <w:rsid w:val="00047BD3"/>
    <w:rsid w:val="00052A05"/>
    <w:rsid w:val="000538BE"/>
    <w:rsid w:val="00053AB6"/>
    <w:rsid w:val="00054B3E"/>
    <w:rsid w:val="00055906"/>
    <w:rsid w:val="000560C8"/>
    <w:rsid w:val="0005694B"/>
    <w:rsid w:val="00060C4D"/>
    <w:rsid w:val="00062E1B"/>
    <w:rsid w:val="00064395"/>
    <w:rsid w:val="000672C4"/>
    <w:rsid w:val="00067844"/>
    <w:rsid w:val="000728A9"/>
    <w:rsid w:val="00073697"/>
    <w:rsid w:val="000748A3"/>
    <w:rsid w:val="000751D9"/>
    <w:rsid w:val="00080F55"/>
    <w:rsid w:val="00081F6E"/>
    <w:rsid w:val="0008229B"/>
    <w:rsid w:val="000826B7"/>
    <w:rsid w:val="000843D3"/>
    <w:rsid w:val="000847FD"/>
    <w:rsid w:val="000848E4"/>
    <w:rsid w:val="00090417"/>
    <w:rsid w:val="00091228"/>
    <w:rsid w:val="0009265A"/>
    <w:rsid w:val="000935F9"/>
    <w:rsid w:val="000947C0"/>
    <w:rsid w:val="000961CD"/>
    <w:rsid w:val="00096716"/>
    <w:rsid w:val="000978D1"/>
    <w:rsid w:val="00097A08"/>
    <w:rsid w:val="000A1CDF"/>
    <w:rsid w:val="000A2BA1"/>
    <w:rsid w:val="000A5330"/>
    <w:rsid w:val="000A6816"/>
    <w:rsid w:val="000A7059"/>
    <w:rsid w:val="000A7E46"/>
    <w:rsid w:val="000B0B02"/>
    <w:rsid w:val="000B22C0"/>
    <w:rsid w:val="000B3FB7"/>
    <w:rsid w:val="000B41E0"/>
    <w:rsid w:val="000B57AA"/>
    <w:rsid w:val="000B5D66"/>
    <w:rsid w:val="000B6943"/>
    <w:rsid w:val="000B6DC7"/>
    <w:rsid w:val="000C09F3"/>
    <w:rsid w:val="000C163A"/>
    <w:rsid w:val="000C28EA"/>
    <w:rsid w:val="000D1827"/>
    <w:rsid w:val="000D1867"/>
    <w:rsid w:val="000D66EC"/>
    <w:rsid w:val="000D69D8"/>
    <w:rsid w:val="000E048D"/>
    <w:rsid w:val="000E13A7"/>
    <w:rsid w:val="000E6228"/>
    <w:rsid w:val="000E7B6A"/>
    <w:rsid w:val="000F135A"/>
    <w:rsid w:val="000F2693"/>
    <w:rsid w:val="000F2755"/>
    <w:rsid w:val="000F616D"/>
    <w:rsid w:val="000F6AC3"/>
    <w:rsid w:val="000F6F70"/>
    <w:rsid w:val="001006F5"/>
    <w:rsid w:val="00100B6D"/>
    <w:rsid w:val="001018E2"/>
    <w:rsid w:val="00101BDC"/>
    <w:rsid w:val="00103690"/>
    <w:rsid w:val="00104BB3"/>
    <w:rsid w:val="00105E72"/>
    <w:rsid w:val="00107D2B"/>
    <w:rsid w:val="001110EF"/>
    <w:rsid w:val="001115A7"/>
    <w:rsid w:val="001118B7"/>
    <w:rsid w:val="001134AE"/>
    <w:rsid w:val="00113FEB"/>
    <w:rsid w:val="00114FB2"/>
    <w:rsid w:val="00116D2E"/>
    <w:rsid w:val="001218B4"/>
    <w:rsid w:val="00124B58"/>
    <w:rsid w:val="00125017"/>
    <w:rsid w:val="00125248"/>
    <w:rsid w:val="00126C17"/>
    <w:rsid w:val="00126D2A"/>
    <w:rsid w:val="00130A26"/>
    <w:rsid w:val="00132EBB"/>
    <w:rsid w:val="0013425B"/>
    <w:rsid w:val="00136202"/>
    <w:rsid w:val="00136F49"/>
    <w:rsid w:val="001373B2"/>
    <w:rsid w:val="00142AB2"/>
    <w:rsid w:val="00142DF1"/>
    <w:rsid w:val="00142F9A"/>
    <w:rsid w:val="00143250"/>
    <w:rsid w:val="00143456"/>
    <w:rsid w:val="001438AC"/>
    <w:rsid w:val="00144671"/>
    <w:rsid w:val="00144CD7"/>
    <w:rsid w:val="00146CB7"/>
    <w:rsid w:val="00146FFA"/>
    <w:rsid w:val="001474EF"/>
    <w:rsid w:val="001544E3"/>
    <w:rsid w:val="00155D5E"/>
    <w:rsid w:val="001562B1"/>
    <w:rsid w:val="00162521"/>
    <w:rsid w:val="00164B0D"/>
    <w:rsid w:val="0016504C"/>
    <w:rsid w:val="001656A0"/>
    <w:rsid w:val="00166064"/>
    <w:rsid w:val="00166562"/>
    <w:rsid w:val="00167110"/>
    <w:rsid w:val="001678E0"/>
    <w:rsid w:val="0017007F"/>
    <w:rsid w:val="00171DA2"/>
    <w:rsid w:val="00172584"/>
    <w:rsid w:val="0017261E"/>
    <w:rsid w:val="00173650"/>
    <w:rsid w:val="00174BC5"/>
    <w:rsid w:val="00176776"/>
    <w:rsid w:val="0017758C"/>
    <w:rsid w:val="0018213C"/>
    <w:rsid w:val="0018727A"/>
    <w:rsid w:val="0018772A"/>
    <w:rsid w:val="001878DF"/>
    <w:rsid w:val="00187F5B"/>
    <w:rsid w:val="001905EB"/>
    <w:rsid w:val="00191E86"/>
    <w:rsid w:val="00192BB1"/>
    <w:rsid w:val="0019490D"/>
    <w:rsid w:val="00195065"/>
    <w:rsid w:val="00195B5F"/>
    <w:rsid w:val="001A000C"/>
    <w:rsid w:val="001A0243"/>
    <w:rsid w:val="001A0D7C"/>
    <w:rsid w:val="001A40FF"/>
    <w:rsid w:val="001A44D1"/>
    <w:rsid w:val="001A5206"/>
    <w:rsid w:val="001A5208"/>
    <w:rsid w:val="001A5C8D"/>
    <w:rsid w:val="001A5E0C"/>
    <w:rsid w:val="001A71FB"/>
    <w:rsid w:val="001A7D2B"/>
    <w:rsid w:val="001B0164"/>
    <w:rsid w:val="001B1BDB"/>
    <w:rsid w:val="001B25F9"/>
    <w:rsid w:val="001B2617"/>
    <w:rsid w:val="001B2A85"/>
    <w:rsid w:val="001B3BFF"/>
    <w:rsid w:val="001B422C"/>
    <w:rsid w:val="001B5C99"/>
    <w:rsid w:val="001B6126"/>
    <w:rsid w:val="001C11DE"/>
    <w:rsid w:val="001C14F6"/>
    <w:rsid w:val="001C2054"/>
    <w:rsid w:val="001C2808"/>
    <w:rsid w:val="001C3A3F"/>
    <w:rsid w:val="001C7199"/>
    <w:rsid w:val="001D0F33"/>
    <w:rsid w:val="001D2103"/>
    <w:rsid w:val="001D4DF6"/>
    <w:rsid w:val="001D6107"/>
    <w:rsid w:val="001E116C"/>
    <w:rsid w:val="001E11CC"/>
    <w:rsid w:val="001E3A7B"/>
    <w:rsid w:val="001F18E7"/>
    <w:rsid w:val="001F207C"/>
    <w:rsid w:val="001F5F10"/>
    <w:rsid w:val="00200DD1"/>
    <w:rsid w:val="00201280"/>
    <w:rsid w:val="00203B3C"/>
    <w:rsid w:val="00207299"/>
    <w:rsid w:val="00210C19"/>
    <w:rsid w:val="00211DD9"/>
    <w:rsid w:val="00212CC5"/>
    <w:rsid w:val="002134A5"/>
    <w:rsid w:val="00215BF4"/>
    <w:rsid w:val="00217D25"/>
    <w:rsid w:val="00220E26"/>
    <w:rsid w:val="00225B65"/>
    <w:rsid w:val="00227D69"/>
    <w:rsid w:val="00227D85"/>
    <w:rsid w:val="00230686"/>
    <w:rsid w:val="00230F66"/>
    <w:rsid w:val="00232BDF"/>
    <w:rsid w:val="0023307B"/>
    <w:rsid w:val="00233C54"/>
    <w:rsid w:val="002349C9"/>
    <w:rsid w:val="002355B2"/>
    <w:rsid w:val="00237B48"/>
    <w:rsid w:val="002405CE"/>
    <w:rsid w:val="00240E57"/>
    <w:rsid w:val="0024201D"/>
    <w:rsid w:val="002430F4"/>
    <w:rsid w:val="00244117"/>
    <w:rsid w:val="00244530"/>
    <w:rsid w:val="00244D4F"/>
    <w:rsid w:val="00245B1F"/>
    <w:rsid w:val="00247038"/>
    <w:rsid w:val="00250A1E"/>
    <w:rsid w:val="00254825"/>
    <w:rsid w:val="00254AED"/>
    <w:rsid w:val="00255E34"/>
    <w:rsid w:val="00256CA3"/>
    <w:rsid w:val="00256D46"/>
    <w:rsid w:val="002615D8"/>
    <w:rsid w:val="00262581"/>
    <w:rsid w:val="00262744"/>
    <w:rsid w:val="00262E93"/>
    <w:rsid w:val="00262FEE"/>
    <w:rsid w:val="0026440F"/>
    <w:rsid w:val="002673E3"/>
    <w:rsid w:val="00267C54"/>
    <w:rsid w:val="00271F56"/>
    <w:rsid w:val="00272443"/>
    <w:rsid w:val="002736DB"/>
    <w:rsid w:val="00274529"/>
    <w:rsid w:val="00274C37"/>
    <w:rsid w:val="00275283"/>
    <w:rsid w:val="00282C6F"/>
    <w:rsid w:val="0028317B"/>
    <w:rsid w:val="002831C7"/>
    <w:rsid w:val="0028354D"/>
    <w:rsid w:val="0028382A"/>
    <w:rsid w:val="002843C0"/>
    <w:rsid w:val="0028485F"/>
    <w:rsid w:val="00290023"/>
    <w:rsid w:val="0029495E"/>
    <w:rsid w:val="002961F8"/>
    <w:rsid w:val="0029681B"/>
    <w:rsid w:val="00297857"/>
    <w:rsid w:val="002A1680"/>
    <w:rsid w:val="002A2036"/>
    <w:rsid w:val="002A3250"/>
    <w:rsid w:val="002A3519"/>
    <w:rsid w:val="002A43DF"/>
    <w:rsid w:val="002A4A0D"/>
    <w:rsid w:val="002A627D"/>
    <w:rsid w:val="002B074F"/>
    <w:rsid w:val="002B0F90"/>
    <w:rsid w:val="002B27D3"/>
    <w:rsid w:val="002B35ED"/>
    <w:rsid w:val="002B3E81"/>
    <w:rsid w:val="002B3EB0"/>
    <w:rsid w:val="002B4ACD"/>
    <w:rsid w:val="002B6692"/>
    <w:rsid w:val="002B78D0"/>
    <w:rsid w:val="002C0561"/>
    <w:rsid w:val="002C4727"/>
    <w:rsid w:val="002D0087"/>
    <w:rsid w:val="002D15D4"/>
    <w:rsid w:val="002D39EB"/>
    <w:rsid w:val="002D3C65"/>
    <w:rsid w:val="002D4CB8"/>
    <w:rsid w:val="002D727A"/>
    <w:rsid w:val="002D7659"/>
    <w:rsid w:val="002E49F6"/>
    <w:rsid w:val="002E5DC9"/>
    <w:rsid w:val="002E6269"/>
    <w:rsid w:val="002E744D"/>
    <w:rsid w:val="002E7DBF"/>
    <w:rsid w:val="002F23FE"/>
    <w:rsid w:val="002F3B83"/>
    <w:rsid w:val="002F3EA4"/>
    <w:rsid w:val="002F6EC4"/>
    <w:rsid w:val="002F7302"/>
    <w:rsid w:val="002F73C0"/>
    <w:rsid w:val="002F77DA"/>
    <w:rsid w:val="002F7CE2"/>
    <w:rsid w:val="00300AEB"/>
    <w:rsid w:val="00300FA5"/>
    <w:rsid w:val="00301B78"/>
    <w:rsid w:val="00306581"/>
    <w:rsid w:val="003105C0"/>
    <w:rsid w:val="00310BA9"/>
    <w:rsid w:val="00311468"/>
    <w:rsid w:val="00311993"/>
    <w:rsid w:val="00314812"/>
    <w:rsid w:val="00314D74"/>
    <w:rsid w:val="00321876"/>
    <w:rsid w:val="003235E3"/>
    <w:rsid w:val="00324D2D"/>
    <w:rsid w:val="00326C11"/>
    <w:rsid w:val="00327D97"/>
    <w:rsid w:val="003302D6"/>
    <w:rsid w:val="0033117C"/>
    <w:rsid w:val="00331A0F"/>
    <w:rsid w:val="003335CE"/>
    <w:rsid w:val="00333D7B"/>
    <w:rsid w:val="00341DBA"/>
    <w:rsid w:val="003428DE"/>
    <w:rsid w:val="003430A1"/>
    <w:rsid w:val="00346211"/>
    <w:rsid w:val="003463CF"/>
    <w:rsid w:val="003468A3"/>
    <w:rsid w:val="003514FB"/>
    <w:rsid w:val="00351E10"/>
    <w:rsid w:val="00354CE6"/>
    <w:rsid w:val="00355157"/>
    <w:rsid w:val="003573CF"/>
    <w:rsid w:val="00357EF4"/>
    <w:rsid w:val="00361017"/>
    <w:rsid w:val="00361B12"/>
    <w:rsid w:val="00361C60"/>
    <w:rsid w:val="00362FF9"/>
    <w:rsid w:val="003633F1"/>
    <w:rsid w:val="00365049"/>
    <w:rsid w:val="00366113"/>
    <w:rsid w:val="00366854"/>
    <w:rsid w:val="0036758A"/>
    <w:rsid w:val="00367A85"/>
    <w:rsid w:val="00370341"/>
    <w:rsid w:val="00371726"/>
    <w:rsid w:val="003733C7"/>
    <w:rsid w:val="00373EA9"/>
    <w:rsid w:val="003774B4"/>
    <w:rsid w:val="003819A1"/>
    <w:rsid w:val="00383DC5"/>
    <w:rsid w:val="00386A9D"/>
    <w:rsid w:val="00387449"/>
    <w:rsid w:val="00387FD6"/>
    <w:rsid w:val="00390A88"/>
    <w:rsid w:val="0039178B"/>
    <w:rsid w:val="00392348"/>
    <w:rsid w:val="00392B27"/>
    <w:rsid w:val="00393A07"/>
    <w:rsid w:val="00394916"/>
    <w:rsid w:val="00394C5D"/>
    <w:rsid w:val="003952D6"/>
    <w:rsid w:val="003A0CFB"/>
    <w:rsid w:val="003A14F9"/>
    <w:rsid w:val="003A203C"/>
    <w:rsid w:val="003A24A9"/>
    <w:rsid w:val="003A3192"/>
    <w:rsid w:val="003A4B3E"/>
    <w:rsid w:val="003A6D06"/>
    <w:rsid w:val="003B0856"/>
    <w:rsid w:val="003B3E08"/>
    <w:rsid w:val="003B4282"/>
    <w:rsid w:val="003B4EC6"/>
    <w:rsid w:val="003C0590"/>
    <w:rsid w:val="003C0FB2"/>
    <w:rsid w:val="003C385C"/>
    <w:rsid w:val="003C755F"/>
    <w:rsid w:val="003D168C"/>
    <w:rsid w:val="003D189F"/>
    <w:rsid w:val="003D3DB9"/>
    <w:rsid w:val="003D4119"/>
    <w:rsid w:val="003D46A6"/>
    <w:rsid w:val="003D4C7F"/>
    <w:rsid w:val="003D4EA2"/>
    <w:rsid w:val="003D6B49"/>
    <w:rsid w:val="003E0390"/>
    <w:rsid w:val="003E13C2"/>
    <w:rsid w:val="003E15C9"/>
    <w:rsid w:val="003E436D"/>
    <w:rsid w:val="003E5FF4"/>
    <w:rsid w:val="003E7E77"/>
    <w:rsid w:val="003F3161"/>
    <w:rsid w:val="003F3A53"/>
    <w:rsid w:val="003F3BC1"/>
    <w:rsid w:val="003F6436"/>
    <w:rsid w:val="00400467"/>
    <w:rsid w:val="00401B9E"/>
    <w:rsid w:val="00402C99"/>
    <w:rsid w:val="00403A46"/>
    <w:rsid w:val="004043D5"/>
    <w:rsid w:val="004056E7"/>
    <w:rsid w:val="00405F1B"/>
    <w:rsid w:val="00407B3A"/>
    <w:rsid w:val="00412FF5"/>
    <w:rsid w:val="00413CF4"/>
    <w:rsid w:val="00414DB6"/>
    <w:rsid w:val="004151E0"/>
    <w:rsid w:val="004206CE"/>
    <w:rsid w:val="00422E6B"/>
    <w:rsid w:val="00423973"/>
    <w:rsid w:val="004243E0"/>
    <w:rsid w:val="0042732A"/>
    <w:rsid w:val="00427D3C"/>
    <w:rsid w:val="00431FE8"/>
    <w:rsid w:val="004328BD"/>
    <w:rsid w:val="00433978"/>
    <w:rsid w:val="00433DD4"/>
    <w:rsid w:val="00436A79"/>
    <w:rsid w:val="004372BE"/>
    <w:rsid w:val="00443060"/>
    <w:rsid w:val="00443F8A"/>
    <w:rsid w:val="00446822"/>
    <w:rsid w:val="00447C80"/>
    <w:rsid w:val="00453E12"/>
    <w:rsid w:val="004579B5"/>
    <w:rsid w:val="004579E9"/>
    <w:rsid w:val="004606CB"/>
    <w:rsid w:val="00460E82"/>
    <w:rsid w:val="004612E2"/>
    <w:rsid w:val="00463C19"/>
    <w:rsid w:val="004675DD"/>
    <w:rsid w:val="004678B8"/>
    <w:rsid w:val="00467CE6"/>
    <w:rsid w:val="004707FF"/>
    <w:rsid w:val="004714E3"/>
    <w:rsid w:val="00473055"/>
    <w:rsid w:val="00475B9B"/>
    <w:rsid w:val="00476E22"/>
    <w:rsid w:val="00477787"/>
    <w:rsid w:val="004802C7"/>
    <w:rsid w:val="00482BDC"/>
    <w:rsid w:val="004858C2"/>
    <w:rsid w:val="00485D62"/>
    <w:rsid w:val="00490F84"/>
    <w:rsid w:val="004930B3"/>
    <w:rsid w:val="004958AC"/>
    <w:rsid w:val="00495C7C"/>
    <w:rsid w:val="00496167"/>
    <w:rsid w:val="00496BEA"/>
    <w:rsid w:val="00496EBA"/>
    <w:rsid w:val="00497882"/>
    <w:rsid w:val="004A015A"/>
    <w:rsid w:val="004A3426"/>
    <w:rsid w:val="004B08F9"/>
    <w:rsid w:val="004B24EC"/>
    <w:rsid w:val="004B429A"/>
    <w:rsid w:val="004B560F"/>
    <w:rsid w:val="004B65D2"/>
    <w:rsid w:val="004C2639"/>
    <w:rsid w:val="004C74CC"/>
    <w:rsid w:val="004D0B90"/>
    <w:rsid w:val="004D2D9C"/>
    <w:rsid w:val="004D494C"/>
    <w:rsid w:val="004D663C"/>
    <w:rsid w:val="004D6912"/>
    <w:rsid w:val="004D7E28"/>
    <w:rsid w:val="004E2650"/>
    <w:rsid w:val="004E32D3"/>
    <w:rsid w:val="004E4FC7"/>
    <w:rsid w:val="004E53E1"/>
    <w:rsid w:val="004E7376"/>
    <w:rsid w:val="004E7EE5"/>
    <w:rsid w:val="004F03E8"/>
    <w:rsid w:val="004F1510"/>
    <w:rsid w:val="004F2EBB"/>
    <w:rsid w:val="004F4F0A"/>
    <w:rsid w:val="005005EF"/>
    <w:rsid w:val="0050079C"/>
    <w:rsid w:val="00501E99"/>
    <w:rsid w:val="00502441"/>
    <w:rsid w:val="005033F8"/>
    <w:rsid w:val="005123D5"/>
    <w:rsid w:val="00512890"/>
    <w:rsid w:val="005129D5"/>
    <w:rsid w:val="0051450A"/>
    <w:rsid w:val="0051461A"/>
    <w:rsid w:val="00514766"/>
    <w:rsid w:val="00514B22"/>
    <w:rsid w:val="0051599E"/>
    <w:rsid w:val="005170AE"/>
    <w:rsid w:val="00517E2C"/>
    <w:rsid w:val="00521A28"/>
    <w:rsid w:val="005228F0"/>
    <w:rsid w:val="00525496"/>
    <w:rsid w:val="0052593D"/>
    <w:rsid w:val="005260BB"/>
    <w:rsid w:val="00526C1C"/>
    <w:rsid w:val="00530D79"/>
    <w:rsid w:val="00537762"/>
    <w:rsid w:val="00537960"/>
    <w:rsid w:val="00542B18"/>
    <w:rsid w:val="00546447"/>
    <w:rsid w:val="00546CEB"/>
    <w:rsid w:val="00551207"/>
    <w:rsid w:val="00551798"/>
    <w:rsid w:val="005521A2"/>
    <w:rsid w:val="005533E1"/>
    <w:rsid w:val="0055447E"/>
    <w:rsid w:val="005548B7"/>
    <w:rsid w:val="00555113"/>
    <w:rsid w:val="00555CEF"/>
    <w:rsid w:val="00557CBB"/>
    <w:rsid w:val="00562797"/>
    <w:rsid w:val="00566284"/>
    <w:rsid w:val="005673AC"/>
    <w:rsid w:val="00571A8C"/>
    <w:rsid w:val="00571ABB"/>
    <w:rsid w:val="00576D4B"/>
    <w:rsid w:val="005811E4"/>
    <w:rsid w:val="00581D28"/>
    <w:rsid w:val="005849AE"/>
    <w:rsid w:val="005903AC"/>
    <w:rsid w:val="00591607"/>
    <w:rsid w:val="005924AC"/>
    <w:rsid w:val="00592D8D"/>
    <w:rsid w:val="005933A9"/>
    <w:rsid w:val="0059489B"/>
    <w:rsid w:val="00594CD4"/>
    <w:rsid w:val="00595234"/>
    <w:rsid w:val="00595633"/>
    <w:rsid w:val="00596808"/>
    <w:rsid w:val="00597C1D"/>
    <w:rsid w:val="005A05C1"/>
    <w:rsid w:val="005A1CF9"/>
    <w:rsid w:val="005A3CE8"/>
    <w:rsid w:val="005A6EA5"/>
    <w:rsid w:val="005A7026"/>
    <w:rsid w:val="005A7708"/>
    <w:rsid w:val="005A7D95"/>
    <w:rsid w:val="005B0AAD"/>
    <w:rsid w:val="005B3158"/>
    <w:rsid w:val="005B573E"/>
    <w:rsid w:val="005B7E83"/>
    <w:rsid w:val="005C03EA"/>
    <w:rsid w:val="005C0C20"/>
    <w:rsid w:val="005C12CB"/>
    <w:rsid w:val="005C16D5"/>
    <w:rsid w:val="005C305C"/>
    <w:rsid w:val="005C3255"/>
    <w:rsid w:val="005C5484"/>
    <w:rsid w:val="005D166C"/>
    <w:rsid w:val="005D4058"/>
    <w:rsid w:val="005D550D"/>
    <w:rsid w:val="005D669A"/>
    <w:rsid w:val="005D78C5"/>
    <w:rsid w:val="005E1B89"/>
    <w:rsid w:val="005E24CE"/>
    <w:rsid w:val="005E2AB8"/>
    <w:rsid w:val="005E38D6"/>
    <w:rsid w:val="005E7A69"/>
    <w:rsid w:val="005F12EA"/>
    <w:rsid w:val="005F16B0"/>
    <w:rsid w:val="005F216B"/>
    <w:rsid w:val="005F231E"/>
    <w:rsid w:val="005F2D4B"/>
    <w:rsid w:val="00602C43"/>
    <w:rsid w:val="0060329F"/>
    <w:rsid w:val="00605994"/>
    <w:rsid w:val="00605F00"/>
    <w:rsid w:val="00606CCD"/>
    <w:rsid w:val="00607D2B"/>
    <w:rsid w:val="00607F2A"/>
    <w:rsid w:val="00610422"/>
    <w:rsid w:val="006116A7"/>
    <w:rsid w:val="00611B9F"/>
    <w:rsid w:val="00612471"/>
    <w:rsid w:val="0061383E"/>
    <w:rsid w:val="00613CBC"/>
    <w:rsid w:val="00614620"/>
    <w:rsid w:val="00614D56"/>
    <w:rsid w:val="00615E57"/>
    <w:rsid w:val="00616241"/>
    <w:rsid w:val="00616AC3"/>
    <w:rsid w:val="00624E51"/>
    <w:rsid w:val="006265B7"/>
    <w:rsid w:val="0062671E"/>
    <w:rsid w:val="00627779"/>
    <w:rsid w:val="006279C0"/>
    <w:rsid w:val="00630211"/>
    <w:rsid w:val="006309CA"/>
    <w:rsid w:val="00630C7B"/>
    <w:rsid w:val="0063139C"/>
    <w:rsid w:val="00633002"/>
    <w:rsid w:val="0063759B"/>
    <w:rsid w:val="00637D2E"/>
    <w:rsid w:val="0064530D"/>
    <w:rsid w:val="006473B3"/>
    <w:rsid w:val="006508A3"/>
    <w:rsid w:val="006512EB"/>
    <w:rsid w:val="00653163"/>
    <w:rsid w:val="00654A66"/>
    <w:rsid w:val="00657B9D"/>
    <w:rsid w:val="00660CCC"/>
    <w:rsid w:val="00661F39"/>
    <w:rsid w:val="00664320"/>
    <w:rsid w:val="00667E95"/>
    <w:rsid w:val="00672F80"/>
    <w:rsid w:val="006734F1"/>
    <w:rsid w:val="0067386B"/>
    <w:rsid w:val="00673956"/>
    <w:rsid w:val="00674911"/>
    <w:rsid w:val="00676F11"/>
    <w:rsid w:val="00677C1B"/>
    <w:rsid w:val="006834C8"/>
    <w:rsid w:val="00685A43"/>
    <w:rsid w:val="00691297"/>
    <w:rsid w:val="00692B2F"/>
    <w:rsid w:val="006932E6"/>
    <w:rsid w:val="00693C47"/>
    <w:rsid w:val="00693C65"/>
    <w:rsid w:val="00695E57"/>
    <w:rsid w:val="006975B7"/>
    <w:rsid w:val="00697958"/>
    <w:rsid w:val="006A0B85"/>
    <w:rsid w:val="006A3125"/>
    <w:rsid w:val="006A777F"/>
    <w:rsid w:val="006A779A"/>
    <w:rsid w:val="006A7D27"/>
    <w:rsid w:val="006B2FB3"/>
    <w:rsid w:val="006B3300"/>
    <w:rsid w:val="006B3694"/>
    <w:rsid w:val="006B3EE6"/>
    <w:rsid w:val="006B4807"/>
    <w:rsid w:val="006B4DE7"/>
    <w:rsid w:val="006B4F5B"/>
    <w:rsid w:val="006B7248"/>
    <w:rsid w:val="006C05B2"/>
    <w:rsid w:val="006C34C6"/>
    <w:rsid w:val="006C3A3E"/>
    <w:rsid w:val="006C5B2F"/>
    <w:rsid w:val="006C7436"/>
    <w:rsid w:val="006C7AAA"/>
    <w:rsid w:val="006D002C"/>
    <w:rsid w:val="006D1505"/>
    <w:rsid w:val="006D3373"/>
    <w:rsid w:val="006E1215"/>
    <w:rsid w:val="006E2474"/>
    <w:rsid w:val="006E26C3"/>
    <w:rsid w:val="006E6733"/>
    <w:rsid w:val="006F05C6"/>
    <w:rsid w:val="006F42E4"/>
    <w:rsid w:val="006F4E3D"/>
    <w:rsid w:val="007008CE"/>
    <w:rsid w:val="00700FE5"/>
    <w:rsid w:val="007012F8"/>
    <w:rsid w:val="007014B6"/>
    <w:rsid w:val="0070416B"/>
    <w:rsid w:val="0070420E"/>
    <w:rsid w:val="00704986"/>
    <w:rsid w:val="00704F10"/>
    <w:rsid w:val="00705207"/>
    <w:rsid w:val="00706A37"/>
    <w:rsid w:val="007146AA"/>
    <w:rsid w:val="0071632E"/>
    <w:rsid w:val="0071748A"/>
    <w:rsid w:val="0071787B"/>
    <w:rsid w:val="0072202B"/>
    <w:rsid w:val="007262D0"/>
    <w:rsid w:val="0072737D"/>
    <w:rsid w:val="00727D31"/>
    <w:rsid w:val="00727F98"/>
    <w:rsid w:val="00730CE3"/>
    <w:rsid w:val="0073165A"/>
    <w:rsid w:val="00732399"/>
    <w:rsid w:val="00733AA6"/>
    <w:rsid w:val="0073471B"/>
    <w:rsid w:val="00735CEA"/>
    <w:rsid w:val="00736A97"/>
    <w:rsid w:val="007408D3"/>
    <w:rsid w:val="00742139"/>
    <w:rsid w:val="00747943"/>
    <w:rsid w:val="007509CB"/>
    <w:rsid w:val="00753BD5"/>
    <w:rsid w:val="00757A93"/>
    <w:rsid w:val="00760D08"/>
    <w:rsid w:val="0076514B"/>
    <w:rsid w:val="007657FC"/>
    <w:rsid w:val="007704AD"/>
    <w:rsid w:val="00771A8C"/>
    <w:rsid w:val="0077428D"/>
    <w:rsid w:val="007742A3"/>
    <w:rsid w:val="0077509C"/>
    <w:rsid w:val="0077601F"/>
    <w:rsid w:val="00777329"/>
    <w:rsid w:val="00780A31"/>
    <w:rsid w:val="007848CF"/>
    <w:rsid w:val="00784CBC"/>
    <w:rsid w:val="00786875"/>
    <w:rsid w:val="00786F28"/>
    <w:rsid w:val="007924BB"/>
    <w:rsid w:val="00792CB0"/>
    <w:rsid w:val="00794698"/>
    <w:rsid w:val="007946CB"/>
    <w:rsid w:val="0079488E"/>
    <w:rsid w:val="00795818"/>
    <w:rsid w:val="00796150"/>
    <w:rsid w:val="007974F4"/>
    <w:rsid w:val="007A05E2"/>
    <w:rsid w:val="007A2556"/>
    <w:rsid w:val="007A464E"/>
    <w:rsid w:val="007A571B"/>
    <w:rsid w:val="007B13DF"/>
    <w:rsid w:val="007B41D0"/>
    <w:rsid w:val="007B5243"/>
    <w:rsid w:val="007B6912"/>
    <w:rsid w:val="007B7001"/>
    <w:rsid w:val="007B7769"/>
    <w:rsid w:val="007C06B7"/>
    <w:rsid w:val="007C0D2C"/>
    <w:rsid w:val="007C21F9"/>
    <w:rsid w:val="007C358F"/>
    <w:rsid w:val="007C3E3D"/>
    <w:rsid w:val="007C4577"/>
    <w:rsid w:val="007C6417"/>
    <w:rsid w:val="007D02A0"/>
    <w:rsid w:val="007D0357"/>
    <w:rsid w:val="007D0E7F"/>
    <w:rsid w:val="007D13F4"/>
    <w:rsid w:val="007D16AA"/>
    <w:rsid w:val="007D2207"/>
    <w:rsid w:val="007D26E0"/>
    <w:rsid w:val="007D3FE4"/>
    <w:rsid w:val="007D6948"/>
    <w:rsid w:val="007E08B0"/>
    <w:rsid w:val="007E30F4"/>
    <w:rsid w:val="007E35AD"/>
    <w:rsid w:val="007E44A6"/>
    <w:rsid w:val="007E5AC9"/>
    <w:rsid w:val="007E6155"/>
    <w:rsid w:val="007E6376"/>
    <w:rsid w:val="007E7508"/>
    <w:rsid w:val="007F117F"/>
    <w:rsid w:val="007F24E8"/>
    <w:rsid w:val="007F3F72"/>
    <w:rsid w:val="007F77F6"/>
    <w:rsid w:val="00802A5E"/>
    <w:rsid w:val="00806594"/>
    <w:rsid w:val="00810DB5"/>
    <w:rsid w:val="008118D3"/>
    <w:rsid w:val="00812F03"/>
    <w:rsid w:val="0081668B"/>
    <w:rsid w:val="00823745"/>
    <w:rsid w:val="00824713"/>
    <w:rsid w:val="008300BA"/>
    <w:rsid w:val="00830709"/>
    <w:rsid w:val="008315EB"/>
    <w:rsid w:val="008331EB"/>
    <w:rsid w:val="0083486A"/>
    <w:rsid w:val="0083758A"/>
    <w:rsid w:val="0084179C"/>
    <w:rsid w:val="00841D64"/>
    <w:rsid w:val="00842748"/>
    <w:rsid w:val="0084322F"/>
    <w:rsid w:val="00843F69"/>
    <w:rsid w:val="00845BDB"/>
    <w:rsid w:val="00850071"/>
    <w:rsid w:val="0085166E"/>
    <w:rsid w:val="00851794"/>
    <w:rsid w:val="0085294B"/>
    <w:rsid w:val="00853258"/>
    <w:rsid w:val="008532E4"/>
    <w:rsid w:val="00854E71"/>
    <w:rsid w:val="0085560E"/>
    <w:rsid w:val="00856715"/>
    <w:rsid w:val="00861CBB"/>
    <w:rsid w:val="008633F9"/>
    <w:rsid w:val="0086360C"/>
    <w:rsid w:val="008667DF"/>
    <w:rsid w:val="00866E59"/>
    <w:rsid w:val="00870061"/>
    <w:rsid w:val="008711FA"/>
    <w:rsid w:val="008729F3"/>
    <w:rsid w:val="00872E01"/>
    <w:rsid w:val="00873B0A"/>
    <w:rsid w:val="00873D69"/>
    <w:rsid w:val="00873FC2"/>
    <w:rsid w:val="00874AD4"/>
    <w:rsid w:val="00875F14"/>
    <w:rsid w:val="00877198"/>
    <w:rsid w:val="008774AC"/>
    <w:rsid w:val="008775A3"/>
    <w:rsid w:val="00880505"/>
    <w:rsid w:val="008808C8"/>
    <w:rsid w:val="00882CA8"/>
    <w:rsid w:val="00882D3F"/>
    <w:rsid w:val="008836A2"/>
    <w:rsid w:val="008841B1"/>
    <w:rsid w:val="00885281"/>
    <w:rsid w:val="008856C2"/>
    <w:rsid w:val="00886403"/>
    <w:rsid w:val="00893539"/>
    <w:rsid w:val="00893EE4"/>
    <w:rsid w:val="00897516"/>
    <w:rsid w:val="008A02CE"/>
    <w:rsid w:val="008A075C"/>
    <w:rsid w:val="008A1082"/>
    <w:rsid w:val="008A2B65"/>
    <w:rsid w:val="008A36C8"/>
    <w:rsid w:val="008B1009"/>
    <w:rsid w:val="008B1ECD"/>
    <w:rsid w:val="008B56B5"/>
    <w:rsid w:val="008B651A"/>
    <w:rsid w:val="008B65E5"/>
    <w:rsid w:val="008B67A8"/>
    <w:rsid w:val="008B6CE2"/>
    <w:rsid w:val="008C139F"/>
    <w:rsid w:val="008C2EFE"/>
    <w:rsid w:val="008C3057"/>
    <w:rsid w:val="008C3125"/>
    <w:rsid w:val="008C3990"/>
    <w:rsid w:val="008C5286"/>
    <w:rsid w:val="008C6C16"/>
    <w:rsid w:val="008D02D1"/>
    <w:rsid w:val="008D279B"/>
    <w:rsid w:val="008D3DF2"/>
    <w:rsid w:val="008D74D6"/>
    <w:rsid w:val="008E0086"/>
    <w:rsid w:val="008E0396"/>
    <w:rsid w:val="008E3EB4"/>
    <w:rsid w:val="008E4070"/>
    <w:rsid w:val="008E4AB9"/>
    <w:rsid w:val="008E7013"/>
    <w:rsid w:val="008F7F20"/>
    <w:rsid w:val="009001BE"/>
    <w:rsid w:val="00900E20"/>
    <w:rsid w:val="00901A0F"/>
    <w:rsid w:val="00903752"/>
    <w:rsid w:val="00906996"/>
    <w:rsid w:val="0092166A"/>
    <w:rsid w:val="00921E52"/>
    <w:rsid w:val="00924644"/>
    <w:rsid w:val="009256F1"/>
    <w:rsid w:val="00925FE7"/>
    <w:rsid w:val="0092731F"/>
    <w:rsid w:val="009276C8"/>
    <w:rsid w:val="00930B10"/>
    <w:rsid w:val="009323EA"/>
    <w:rsid w:val="00932752"/>
    <w:rsid w:val="00934170"/>
    <w:rsid w:val="00935795"/>
    <w:rsid w:val="00937217"/>
    <w:rsid w:val="00937482"/>
    <w:rsid w:val="009375E6"/>
    <w:rsid w:val="00937E75"/>
    <w:rsid w:val="00940060"/>
    <w:rsid w:val="009402A2"/>
    <w:rsid w:val="00940840"/>
    <w:rsid w:val="00943EF0"/>
    <w:rsid w:val="009444D0"/>
    <w:rsid w:val="00947E02"/>
    <w:rsid w:val="00950F58"/>
    <w:rsid w:val="00951C54"/>
    <w:rsid w:val="009521BD"/>
    <w:rsid w:val="0095260E"/>
    <w:rsid w:val="00952C6C"/>
    <w:rsid w:val="00953578"/>
    <w:rsid w:val="009572E8"/>
    <w:rsid w:val="009611ED"/>
    <w:rsid w:val="009618B1"/>
    <w:rsid w:val="0096375A"/>
    <w:rsid w:val="00963EDB"/>
    <w:rsid w:val="009649EF"/>
    <w:rsid w:val="00965B21"/>
    <w:rsid w:val="00965D9D"/>
    <w:rsid w:val="009665B5"/>
    <w:rsid w:val="00966A7D"/>
    <w:rsid w:val="0097122A"/>
    <w:rsid w:val="009713DA"/>
    <w:rsid w:val="00971D09"/>
    <w:rsid w:val="00971D86"/>
    <w:rsid w:val="00973948"/>
    <w:rsid w:val="00975E4C"/>
    <w:rsid w:val="00976D28"/>
    <w:rsid w:val="00976E60"/>
    <w:rsid w:val="009813F1"/>
    <w:rsid w:val="0098305B"/>
    <w:rsid w:val="00990D58"/>
    <w:rsid w:val="0099602A"/>
    <w:rsid w:val="00997FE0"/>
    <w:rsid w:val="009A045D"/>
    <w:rsid w:val="009A43B9"/>
    <w:rsid w:val="009A4710"/>
    <w:rsid w:val="009A479A"/>
    <w:rsid w:val="009A4FBC"/>
    <w:rsid w:val="009A5CD7"/>
    <w:rsid w:val="009A7BEC"/>
    <w:rsid w:val="009A7CE3"/>
    <w:rsid w:val="009B0F1E"/>
    <w:rsid w:val="009B1855"/>
    <w:rsid w:val="009B350A"/>
    <w:rsid w:val="009B3553"/>
    <w:rsid w:val="009B781B"/>
    <w:rsid w:val="009C49C2"/>
    <w:rsid w:val="009C4DF9"/>
    <w:rsid w:val="009C61C4"/>
    <w:rsid w:val="009C62B7"/>
    <w:rsid w:val="009C694A"/>
    <w:rsid w:val="009D2631"/>
    <w:rsid w:val="009D3250"/>
    <w:rsid w:val="009D3471"/>
    <w:rsid w:val="009D5351"/>
    <w:rsid w:val="009D575D"/>
    <w:rsid w:val="009D6213"/>
    <w:rsid w:val="009E36B2"/>
    <w:rsid w:val="009E4E14"/>
    <w:rsid w:val="009E5EA2"/>
    <w:rsid w:val="009F2685"/>
    <w:rsid w:val="009F2696"/>
    <w:rsid w:val="009F3F04"/>
    <w:rsid w:val="009F5186"/>
    <w:rsid w:val="009F66E1"/>
    <w:rsid w:val="009F6ECA"/>
    <w:rsid w:val="009F6F45"/>
    <w:rsid w:val="009F777A"/>
    <w:rsid w:val="00A01623"/>
    <w:rsid w:val="00A02F7A"/>
    <w:rsid w:val="00A03829"/>
    <w:rsid w:val="00A10546"/>
    <w:rsid w:val="00A11D84"/>
    <w:rsid w:val="00A122CF"/>
    <w:rsid w:val="00A13276"/>
    <w:rsid w:val="00A13326"/>
    <w:rsid w:val="00A147E8"/>
    <w:rsid w:val="00A1490F"/>
    <w:rsid w:val="00A14C76"/>
    <w:rsid w:val="00A20687"/>
    <w:rsid w:val="00A22BA5"/>
    <w:rsid w:val="00A23B97"/>
    <w:rsid w:val="00A24F2C"/>
    <w:rsid w:val="00A273E0"/>
    <w:rsid w:val="00A3090E"/>
    <w:rsid w:val="00A337A6"/>
    <w:rsid w:val="00A3737E"/>
    <w:rsid w:val="00A42C5B"/>
    <w:rsid w:val="00A44695"/>
    <w:rsid w:val="00A44EE9"/>
    <w:rsid w:val="00A451F1"/>
    <w:rsid w:val="00A469D0"/>
    <w:rsid w:val="00A46E02"/>
    <w:rsid w:val="00A50DDE"/>
    <w:rsid w:val="00A516A6"/>
    <w:rsid w:val="00A5170E"/>
    <w:rsid w:val="00A532D6"/>
    <w:rsid w:val="00A54984"/>
    <w:rsid w:val="00A54E03"/>
    <w:rsid w:val="00A56676"/>
    <w:rsid w:val="00A6087C"/>
    <w:rsid w:val="00A60DC6"/>
    <w:rsid w:val="00A615BE"/>
    <w:rsid w:val="00A625C9"/>
    <w:rsid w:val="00A63644"/>
    <w:rsid w:val="00A638D6"/>
    <w:rsid w:val="00A6457E"/>
    <w:rsid w:val="00A65F1D"/>
    <w:rsid w:val="00A664A5"/>
    <w:rsid w:val="00A66E34"/>
    <w:rsid w:val="00A67529"/>
    <w:rsid w:val="00A711F4"/>
    <w:rsid w:val="00A724FC"/>
    <w:rsid w:val="00A73E86"/>
    <w:rsid w:val="00A82A9E"/>
    <w:rsid w:val="00A82E92"/>
    <w:rsid w:val="00A8321E"/>
    <w:rsid w:val="00A83EA2"/>
    <w:rsid w:val="00A85695"/>
    <w:rsid w:val="00A8669A"/>
    <w:rsid w:val="00A86784"/>
    <w:rsid w:val="00A915A7"/>
    <w:rsid w:val="00A915D3"/>
    <w:rsid w:val="00A92A3F"/>
    <w:rsid w:val="00A937C0"/>
    <w:rsid w:val="00A94082"/>
    <w:rsid w:val="00A97A20"/>
    <w:rsid w:val="00AA293F"/>
    <w:rsid w:val="00AA3498"/>
    <w:rsid w:val="00AA3A3A"/>
    <w:rsid w:val="00AA3EC5"/>
    <w:rsid w:val="00AB0281"/>
    <w:rsid w:val="00AB0BD6"/>
    <w:rsid w:val="00AB3779"/>
    <w:rsid w:val="00AB6CE1"/>
    <w:rsid w:val="00AC394E"/>
    <w:rsid w:val="00AC5457"/>
    <w:rsid w:val="00AC6E44"/>
    <w:rsid w:val="00AD23C0"/>
    <w:rsid w:val="00AD382A"/>
    <w:rsid w:val="00AD4107"/>
    <w:rsid w:val="00AD461A"/>
    <w:rsid w:val="00AD5E35"/>
    <w:rsid w:val="00AD7734"/>
    <w:rsid w:val="00AE19A1"/>
    <w:rsid w:val="00AE7E2E"/>
    <w:rsid w:val="00AF07EE"/>
    <w:rsid w:val="00AF091B"/>
    <w:rsid w:val="00AF0AA2"/>
    <w:rsid w:val="00AF0BAC"/>
    <w:rsid w:val="00AF50AC"/>
    <w:rsid w:val="00AF64B9"/>
    <w:rsid w:val="00AF73B5"/>
    <w:rsid w:val="00AF7BF2"/>
    <w:rsid w:val="00B002A1"/>
    <w:rsid w:val="00B01DD1"/>
    <w:rsid w:val="00B04F43"/>
    <w:rsid w:val="00B055D4"/>
    <w:rsid w:val="00B0611B"/>
    <w:rsid w:val="00B068B8"/>
    <w:rsid w:val="00B06CAF"/>
    <w:rsid w:val="00B0719F"/>
    <w:rsid w:val="00B106ED"/>
    <w:rsid w:val="00B1092C"/>
    <w:rsid w:val="00B11099"/>
    <w:rsid w:val="00B115A7"/>
    <w:rsid w:val="00B11B1A"/>
    <w:rsid w:val="00B1221E"/>
    <w:rsid w:val="00B129D8"/>
    <w:rsid w:val="00B138FB"/>
    <w:rsid w:val="00B1532B"/>
    <w:rsid w:val="00B158C8"/>
    <w:rsid w:val="00B163AE"/>
    <w:rsid w:val="00B16532"/>
    <w:rsid w:val="00B17C2D"/>
    <w:rsid w:val="00B20E7E"/>
    <w:rsid w:val="00B223E2"/>
    <w:rsid w:val="00B231D9"/>
    <w:rsid w:val="00B23A02"/>
    <w:rsid w:val="00B24468"/>
    <w:rsid w:val="00B36179"/>
    <w:rsid w:val="00B37C8A"/>
    <w:rsid w:val="00B40D4D"/>
    <w:rsid w:val="00B41BE0"/>
    <w:rsid w:val="00B43515"/>
    <w:rsid w:val="00B43FEB"/>
    <w:rsid w:val="00B4476E"/>
    <w:rsid w:val="00B44B47"/>
    <w:rsid w:val="00B44BE1"/>
    <w:rsid w:val="00B4617C"/>
    <w:rsid w:val="00B47809"/>
    <w:rsid w:val="00B4791A"/>
    <w:rsid w:val="00B47EE2"/>
    <w:rsid w:val="00B47F8F"/>
    <w:rsid w:val="00B5235E"/>
    <w:rsid w:val="00B52B68"/>
    <w:rsid w:val="00B53684"/>
    <w:rsid w:val="00B54A52"/>
    <w:rsid w:val="00B554CB"/>
    <w:rsid w:val="00B55957"/>
    <w:rsid w:val="00B56670"/>
    <w:rsid w:val="00B60BA4"/>
    <w:rsid w:val="00B6438A"/>
    <w:rsid w:val="00B67F8F"/>
    <w:rsid w:val="00B7069C"/>
    <w:rsid w:val="00B740FA"/>
    <w:rsid w:val="00B76BEE"/>
    <w:rsid w:val="00B77360"/>
    <w:rsid w:val="00B77B81"/>
    <w:rsid w:val="00B840EA"/>
    <w:rsid w:val="00B8633F"/>
    <w:rsid w:val="00B9186A"/>
    <w:rsid w:val="00B9215B"/>
    <w:rsid w:val="00B9442A"/>
    <w:rsid w:val="00B94DD1"/>
    <w:rsid w:val="00B965D1"/>
    <w:rsid w:val="00B972AA"/>
    <w:rsid w:val="00B9763A"/>
    <w:rsid w:val="00BA0653"/>
    <w:rsid w:val="00BA2D11"/>
    <w:rsid w:val="00BA43A4"/>
    <w:rsid w:val="00BB0241"/>
    <w:rsid w:val="00BB1588"/>
    <w:rsid w:val="00BB2602"/>
    <w:rsid w:val="00BB3272"/>
    <w:rsid w:val="00BB62E0"/>
    <w:rsid w:val="00BB672B"/>
    <w:rsid w:val="00BB6747"/>
    <w:rsid w:val="00BC0831"/>
    <w:rsid w:val="00BC10B3"/>
    <w:rsid w:val="00BC11EB"/>
    <w:rsid w:val="00BC2581"/>
    <w:rsid w:val="00BC26B8"/>
    <w:rsid w:val="00BC299B"/>
    <w:rsid w:val="00BC3B18"/>
    <w:rsid w:val="00BC49F5"/>
    <w:rsid w:val="00BC67C1"/>
    <w:rsid w:val="00BD218C"/>
    <w:rsid w:val="00BD2681"/>
    <w:rsid w:val="00BD6010"/>
    <w:rsid w:val="00BD653F"/>
    <w:rsid w:val="00BD6FDE"/>
    <w:rsid w:val="00BD7556"/>
    <w:rsid w:val="00BD7665"/>
    <w:rsid w:val="00BD7AA5"/>
    <w:rsid w:val="00BE19FE"/>
    <w:rsid w:val="00BE2BA4"/>
    <w:rsid w:val="00BE5CF9"/>
    <w:rsid w:val="00BF322E"/>
    <w:rsid w:val="00BF61E6"/>
    <w:rsid w:val="00C00547"/>
    <w:rsid w:val="00C01274"/>
    <w:rsid w:val="00C01E02"/>
    <w:rsid w:val="00C0393A"/>
    <w:rsid w:val="00C042A5"/>
    <w:rsid w:val="00C04957"/>
    <w:rsid w:val="00C04B9C"/>
    <w:rsid w:val="00C1056D"/>
    <w:rsid w:val="00C1097E"/>
    <w:rsid w:val="00C16E68"/>
    <w:rsid w:val="00C178AC"/>
    <w:rsid w:val="00C202A0"/>
    <w:rsid w:val="00C2042E"/>
    <w:rsid w:val="00C21518"/>
    <w:rsid w:val="00C22048"/>
    <w:rsid w:val="00C22226"/>
    <w:rsid w:val="00C261D8"/>
    <w:rsid w:val="00C26551"/>
    <w:rsid w:val="00C26964"/>
    <w:rsid w:val="00C352AD"/>
    <w:rsid w:val="00C35714"/>
    <w:rsid w:val="00C40D5F"/>
    <w:rsid w:val="00C4147E"/>
    <w:rsid w:val="00C41BE7"/>
    <w:rsid w:val="00C4333D"/>
    <w:rsid w:val="00C45170"/>
    <w:rsid w:val="00C50000"/>
    <w:rsid w:val="00C52C2B"/>
    <w:rsid w:val="00C606C7"/>
    <w:rsid w:val="00C63A0A"/>
    <w:rsid w:val="00C64661"/>
    <w:rsid w:val="00C64EA4"/>
    <w:rsid w:val="00C653C7"/>
    <w:rsid w:val="00C7293F"/>
    <w:rsid w:val="00C73855"/>
    <w:rsid w:val="00C7463E"/>
    <w:rsid w:val="00C749F3"/>
    <w:rsid w:val="00C756E4"/>
    <w:rsid w:val="00C8179F"/>
    <w:rsid w:val="00C81EFE"/>
    <w:rsid w:val="00C8320A"/>
    <w:rsid w:val="00C835ED"/>
    <w:rsid w:val="00C842D4"/>
    <w:rsid w:val="00C93301"/>
    <w:rsid w:val="00C93611"/>
    <w:rsid w:val="00C94A86"/>
    <w:rsid w:val="00C96AAE"/>
    <w:rsid w:val="00C96DC4"/>
    <w:rsid w:val="00CA2EB7"/>
    <w:rsid w:val="00CA30C5"/>
    <w:rsid w:val="00CA4BBC"/>
    <w:rsid w:val="00CA5379"/>
    <w:rsid w:val="00CB43AF"/>
    <w:rsid w:val="00CB4817"/>
    <w:rsid w:val="00CB5DFD"/>
    <w:rsid w:val="00CB605E"/>
    <w:rsid w:val="00CB6DD4"/>
    <w:rsid w:val="00CB754B"/>
    <w:rsid w:val="00CC09D7"/>
    <w:rsid w:val="00CC262B"/>
    <w:rsid w:val="00CC3BCE"/>
    <w:rsid w:val="00CC5902"/>
    <w:rsid w:val="00CC6185"/>
    <w:rsid w:val="00CD25CB"/>
    <w:rsid w:val="00CD2CE3"/>
    <w:rsid w:val="00CD38A0"/>
    <w:rsid w:val="00CD69B1"/>
    <w:rsid w:val="00CD6DDC"/>
    <w:rsid w:val="00CD7CAF"/>
    <w:rsid w:val="00CE155C"/>
    <w:rsid w:val="00CE4FA0"/>
    <w:rsid w:val="00CE5F5A"/>
    <w:rsid w:val="00CF0881"/>
    <w:rsid w:val="00CF0B98"/>
    <w:rsid w:val="00CF0D02"/>
    <w:rsid w:val="00CF339C"/>
    <w:rsid w:val="00CF4A52"/>
    <w:rsid w:val="00CF6FE3"/>
    <w:rsid w:val="00D0072F"/>
    <w:rsid w:val="00D01418"/>
    <w:rsid w:val="00D02DD9"/>
    <w:rsid w:val="00D034B3"/>
    <w:rsid w:val="00D03D5D"/>
    <w:rsid w:val="00D04263"/>
    <w:rsid w:val="00D04D27"/>
    <w:rsid w:val="00D07406"/>
    <w:rsid w:val="00D11DD4"/>
    <w:rsid w:val="00D11E79"/>
    <w:rsid w:val="00D124A6"/>
    <w:rsid w:val="00D12E48"/>
    <w:rsid w:val="00D14AF3"/>
    <w:rsid w:val="00D15A6F"/>
    <w:rsid w:val="00D15D30"/>
    <w:rsid w:val="00D16231"/>
    <w:rsid w:val="00D17BD7"/>
    <w:rsid w:val="00D204C3"/>
    <w:rsid w:val="00D243CD"/>
    <w:rsid w:val="00D25428"/>
    <w:rsid w:val="00D274E8"/>
    <w:rsid w:val="00D30E12"/>
    <w:rsid w:val="00D3142F"/>
    <w:rsid w:val="00D31ED1"/>
    <w:rsid w:val="00D34910"/>
    <w:rsid w:val="00D3729F"/>
    <w:rsid w:val="00D37AED"/>
    <w:rsid w:val="00D412D3"/>
    <w:rsid w:val="00D42F80"/>
    <w:rsid w:val="00D43362"/>
    <w:rsid w:val="00D439DA"/>
    <w:rsid w:val="00D44438"/>
    <w:rsid w:val="00D45894"/>
    <w:rsid w:val="00D4664E"/>
    <w:rsid w:val="00D470FD"/>
    <w:rsid w:val="00D5047E"/>
    <w:rsid w:val="00D50F89"/>
    <w:rsid w:val="00D51B5A"/>
    <w:rsid w:val="00D51E2B"/>
    <w:rsid w:val="00D53C7D"/>
    <w:rsid w:val="00D55497"/>
    <w:rsid w:val="00D56A62"/>
    <w:rsid w:val="00D571B1"/>
    <w:rsid w:val="00D57C17"/>
    <w:rsid w:val="00D6061B"/>
    <w:rsid w:val="00D633BD"/>
    <w:rsid w:val="00D638DE"/>
    <w:rsid w:val="00D64B62"/>
    <w:rsid w:val="00D66191"/>
    <w:rsid w:val="00D66513"/>
    <w:rsid w:val="00D67C2B"/>
    <w:rsid w:val="00D7197B"/>
    <w:rsid w:val="00D71ACD"/>
    <w:rsid w:val="00D71BCD"/>
    <w:rsid w:val="00D731FA"/>
    <w:rsid w:val="00D73921"/>
    <w:rsid w:val="00D76797"/>
    <w:rsid w:val="00D7691C"/>
    <w:rsid w:val="00D774CF"/>
    <w:rsid w:val="00D80357"/>
    <w:rsid w:val="00D80C54"/>
    <w:rsid w:val="00D80F81"/>
    <w:rsid w:val="00D81505"/>
    <w:rsid w:val="00D86552"/>
    <w:rsid w:val="00D878D9"/>
    <w:rsid w:val="00D90EEC"/>
    <w:rsid w:val="00D93F8C"/>
    <w:rsid w:val="00D93FAB"/>
    <w:rsid w:val="00D96382"/>
    <w:rsid w:val="00D9792F"/>
    <w:rsid w:val="00DA5313"/>
    <w:rsid w:val="00DA6499"/>
    <w:rsid w:val="00DA684E"/>
    <w:rsid w:val="00DB04E1"/>
    <w:rsid w:val="00DB0975"/>
    <w:rsid w:val="00DB2160"/>
    <w:rsid w:val="00DB23B2"/>
    <w:rsid w:val="00DB4A97"/>
    <w:rsid w:val="00DB5AA1"/>
    <w:rsid w:val="00DB7419"/>
    <w:rsid w:val="00DC0307"/>
    <w:rsid w:val="00DC06A3"/>
    <w:rsid w:val="00DC237E"/>
    <w:rsid w:val="00DC3788"/>
    <w:rsid w:val="00DC3AED"/>
    <w:rsid w:val="00DC4DC1"/>
    <w:rsid w:val="00DC67BE"/>
    <w:rsid w:val="00DC7BDD"/>
    <w:rsid w:val="00DD0FF2"/>
    <w:rsid w:val="00DD180C"/>
    <w:rsid w:val="00DD2E12"/>
    <w:rsid w:val="00DD35D3"/>
    <w:rsid w:val="00DD6572"/>
    <w:rsid w:val="00DE1292"/>
    <w:rsid w:val="00DE1BC2"/>
    <w:rsid w:val="00DE33DA"/>
    <w:rsid w:val="00DE5BF1"/>
    <w:rsid w:val="00DF237E"/>
    <w:rsid w:val="00DF3BBE"/>
    <w:rsid w:val="00DF5643"/>
    <w:rsid w:val="00E00497"/>
    <w:rsid w:val="00E02389"/>
    <w:rsid w:val="00E02B01"/>
    <w:rsid w:val="00E04BA3"/>
    <w:rsid w:val="00E069E5"/>
    <w:rsid w:val="00E0785F"/>
    <w:rsid w:val="00E11A85"/>
    <w:rsid w:val="00E12060"/>
    <w:rsid w:val="00E14366"/>
    <w:rsid w:val="00E15668"/>
    <w:rsid w:val="00E237BB"/>
    <w:rsid w:val="00E262E6"/>
    <w:rsid w:val="00E2638D"/>
    <w:rsid w:val="00E2678A"/>
    <w:rsid w:val="00E27DCB"/>
    <w:rsid w:val="00E308BD"/>
    <w:rsid w:val="00E30ABC"/>
    <w:rsid w:val="00E3111E"/>
    <w:rsid w:val="00E31155"/>
    <w:rsid w:val="00E313FA"/>
    <w:rsid w:val="00E32773"/>
    <w:rsid w:val="00E32D9E"/>
    <w:rsid w:val="00E4105C"/>
    <w:rsid w:val="00E418EE"/>
    <w:rsid w:val="00E42547"/>
    <w:rsid w:val="00E43B94"/>
    <w:rsid w:val="00E44DA3"/>
    <w:rsid w:val="00E468F2"/>
    <w:rsid w:val="00E53841"/>
    <w:rsid w:val="00E551BE"/>
    <w:rsid w:val="00E55AAD"/>
    <w:rsid w:val="00E56126"/>
    <w:rsid w:val="00E570A5"/>
    <w:rsid w:val="00E57C81"/>
    <w:rsid w:val="00E645BA"/>
    <w:rsid w:val="00E65C13"/>
    <w:rsid w:val="00E65CEE"/>
    <w:rsid w:val="00E65DE8"/>
    <w:rsid w:val="00E66851"/>
    <w:rsid w:val="00E67946"/>
    <w:rsid w:val="00E67CB2"/>
    <w:rsid w:val="00E71720"/>
    <w:rsid w:val="00E73BD3"/>
    <w:rsid w:val="00E751AD"/>
    <w:rsid w:val="00E753E8"/>
    <w:rsid w:val="00E77FC9"/>
    <w:rsid w:val="00E806BA"/>
    <w:rsid w:val="00E812A6"/>
    <w:rsid w:val="00E8214C"/>
    <w:rsid w:val="00E84428"/>
    <w:rsid w:val="00E844D4"/>
    <w:rsid w:val="00E84BBB"/>
    <w:rsid w:val="00E85D5D"/>
    <w:rsid w:val="00E85E24"/>
    <w:rsid w:val="00E86119"/>
    <w:rsid w:val="00E86961"/>
    <w:rsid w:val="00E91496"/>
    <w:rsid w:val="00E9331B"/>
    <w:rsid w:val="00E934DA"/>
    <w:rsid w:val="00E958E8"/>
    <w:rsid w:val="00E958F1"/>
    <w:rsid w:val="00E968CA"/>
    <w:rsid w:val="00EA1B6D"/>
    <w:rsid w:val="00EA2255"/>
    <w:rsid w:val="00EA3284"/>
    <w:rsid w:val="00EA3394"/>
    <w:rsid w:val="00EA35E9"/>
    <w:rsid w:val="00EA3A2B"/>
    <w:rsid w:val="00EA7863"/>
    <w:rsid w:val="00EA7DC9"/>
    <w:rsid w:val="00EB6297"/>
    <w:rsid w:val="00EC0211"/>
    <w:rsid w:val="00EC2638"/>
    <w:rsid w:val="00EC2BCB"/>
    <w:rsid w:val="00EC7C61"/>
    <w:rsid w:val="00ED01E2"/>
    <w:rsid w:val="00ED2EF1"/>
    <w:rsid w:val="00ED5356"/>
    <w:rsid w:val="00ED6E1E"/>
    <w:rsid w:val="00EE0D2C"/>
    <w:rsid w:val="00EE2050"/>
    <w:rsid w:val="00EE3B64"/>
    <w:rsid w:val="00EE3D7D"/>
    <w:rsid w:val="00EE4523"/>
    <w:rsid w:val="00EE7650"/>
    <w:rsid w:val="00EF0547"/>
    <w:rsid w:val="00EF39D5"/>
    <w:rsid w:val="00EF3A2B"/>
    <w:rsid w:val="00EF4592"/>
    <w:rsid w:val="00EF4C69"/>
    <w:rsid w:val="00F00930"/>
    <w:rsid w:val="00F00B78"/>
    <w:rsid w:val="00F00C7B"/>
    <w:rsid w:val="00F01F0B"/>
    <w:rsid w:val="00F04A6E"/>
    <w:rsid w:val="00F05D94"/>
    <w:rsid w:val="00F07646"/>
    <w:rsid w:val="00F157C1"/>
    <w:rsid w:val="00F2004D"/>
    <w:rsid w:val="00F20545"/>
    <w:rsid w:val="00F228B6"/>
    <w:rsid w:val="00F2379E"/>
    <w:rsid w:val="00F23A6E"/>
    <w:rsid w:val="00F25E99"/>
    <w:rsid w:val="00F26043"/>
    <w:rsid w:val="00F26892"/>
    <w:rsid w:val="00F26ABE"/>
    <w:rsid w:val="00F30818"/>
    <w:rsid w:val="00F30E36"/>
    <w:rsid w:val="00F310DF"/>
    <w:rsid w:val="00F3160B"/>
    <w:rsid w:val="00F34F62"/>
    <w:rsid w:val="00F3511B"/>
    <w:rsid w:val="00F373D8"/>
    <w:rsid w:val="00F379FB"/>
    <w:rsid w:val="00F44A68"/>
    <w:rsid w:val="00F45ADD"/>
    <w:rsid w:val="00F46C28"/>
    <w:rsid w:val="00F5125A"/>
    <w:rsid w:val="00F51FB3"/>
    <w:rsid w:val="00F52961"/>
    <w:rsid w:val="00F56553"/>
    <w:rsid w:val="00F608F5"/>
    <w:rsid w:val="00F62BF6"/>
    <w:rsid w:val="00F63C6F"/>
    <w:rsid w:val="00F63FCA"/>
    <w:rsid w:val="00F64CD3"/>
    <w:rsid w:val="00F65C5D"/>
    <w:rsid w:val="00F70FF5"/>
    <w:rsid w:val="00F721C3"/>
    <w:rsid w:val="00F72F29"/>
    <w:rsid w:val="00F74253"/>
    <w:rsid w:val="00F759D8"/>
    <w:rsid w:val="00F7784B"/>
    <w:rsid w:val="00F80DC0"/>
    <w:rsid w:val="00F81F62"/>
    <w:rsid w:val="00F82500"/>
    <w:rsid w:val="00F82570"/>
    <w:rsid w:val="00F833B8"/>
    <w:rsid w:val="00F84C3D"/>
    <w:rsid w:val="00F91E70"/>
    <w:rsid w:val="00F93EA3"/>
    <w:rsid w:val="00F9410F"/>
    <w:rsid w:val="00F94C4F"/>
    <w:rsid w:val="00F950A4"/>
    <w:rsid w:val="00F959C8"/>
    <w:rsid w:val="00F968EB"/>
    <w:rsid w:val="00F96967"/>
    <w:rsid w:val="00F96D57"/>
    <w:rsid w:val="00FA0102"/>
    <w:rsid w:val="00FA04E7"/>
    <w:rsid w:val="00FA1651"/>
    <w:rsid w:val="00FA3BD7"/>
    <w:rsid w:val="00FA3FD9"/>
    <w:rsid w:val="00FA4D27"/>
    <w:rsid w:val="00FA6FE0"/>
    <w:rsid w:val="00FB010D"/>
    <w:rsid w:val="00FB1EA5"/>
    <w:rsid w:val="00FB212A"/>
    <w:rsid w:val="00FB2A32"/>
    <w:rsid w:val="00FB34C3"/>
    <w:rsid w:val="00FB68CC"/>
    <w:rsid w:val="00FC081D"/>
    <w:rsid w:val="00FC2E8B"/>
    <w:rsid w:val="00FC4734"/>
    <w:rsid w:val="00FD1D9B"/>
    <w:rsid w:val="00FD4846"/>
    <w:rsid w:val="00FD507F"/>
    <w:rsid w:val="00FE0C22"/>
    <w:rsid w:val="00FE1A32"/>
    <w:rsid w:val="00FE1CDA"/>
    <w:rsid w:val="00FE1F22"/>
    <w:rsid w:val="00FE339C"/>
    <w:rsid w:val="00FE3E5D"/>
    <w:rsid w:val="00FE3F66"/>
    <w:rsid w:val="00FE419B"/>
    <w:rsid w:val="00FE4D7F"/>
    <w:rsid w:val="00FE5CBE"/>
    <w:rsid w:val="00FE71CA"/>
    <w:rsid w:val="00FF2A25"/>
    <w:rsid w:val="00FF58D1"/>
    <w:rsid w:val="00FF726A"/>
    <w:rsid w:val="00FF73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D0D3119-C996-497F-9F83-DAA4930F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FD6"/>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D7197B"/>
    <w:pPr>
      <w:tabs>
        <w:tab w:val="center" w:pos="4252"/>
        <w:tab w:val="right" w:pos="8504"/>
      </w:tabs>
    </w:pPr>
  </w:style>
  <w:style w:type="character" w:customStyle="1" w:styleId="PiedepginaCar">
    <w:name w:val="Pie de página Car"/>
    <w:link w:val="Piedepgina"/>
    <w:uiPriority w:val="99"/>
    <w:rsid w:val="00D7197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7197B"/>
  </w:style>
  <w:style w:type="paragraph" w:styleId="Encabezado">
    <w:name w:val="header"/>
    <w:basedOn w:val="Normal"/>
    <w:link w:val="EncabezadoCar"/>
    <w:rsid w:val="00D7197B"/>
    <w:pPr>
      <w:tabs>
        <w:tab w:val="center" w:pos="4252"/>
        <w:tab w:val="right" w:pos="8504"/>
      </w:tabs>
    </w:pPr>
  </w:style>
  <w:style w:type="character" w:customStyle="1" w:styleId="EncabezadoCar">
    <w:name w:val="Encabezado Car"/>
    <w:link w:val="Encabezado"/>
    <w:rsid w:val="00D7197B"/>
    <w:rPr>
      <w:rFonts w:ascii="Times New Roman" w:eastAsia="Times New Roman" w:hAnsi="Times New Roman" w:cs="Times New Roman"/>
      <w:sz w:val="24"/>
      <w:szCs w:val="24"/>
      <w:lang w:val="es-ES" w:eastAsia="es-ES"/>
    </w:rPr>
  </w:style>
  <w:style w:type="character" w:styleId="Hipervnculo">
    <w:name w:val="Hyperlink"/>
    <w:uiPriority w:val="99"/>
    <w:unhideWhenUsed/>
    <w:rsid w:val="00AC5457"/>
    <w:rPr>
      <w:color w:val="0000FF"/>
      <w:u w:val="single"/>
    </w:rPr>
  </w:style>
  <w:style w:type="paragraph" w:styleId="NormalWeb">
    <w:name w:val="Normal (Web)"/>
    <w:aliases w:val="Normal (Web) Car Car Car Car Car,Normal (Web) Car1,Normal (Web) Car Car,Normal (Web) Car1 Car Car,Normal (Web) Car Car Car Car,Normal (Web) Car Car Car Car Car Car,Normal (Web) Car Car Car Car Car Car Car Car Car Car,Car Car Car Car,Car Car"/>
    <w:basedOn w:val="Normal"/>
    <w:link w:val="NormalWebCar"/>
    <w:uiPriority w:val="99"/>
    <w:unhideWhenUsed/>
    <w:qFormat/>
    <w:rsid w:val="0018772A"/>
    <w:pPr>
      <w:spacing w:before="100" w:beforeAutospacing="1" w:after="100" w:afterAutospacing="1"/>
    </w:pPr>
    <w:rPr>
      <w:lang w:val="es-MX" w:eastAsia="es-MX"/>
    </w:rPr>
  </w:style>
  <w:style w:type="character" w:customStyle="1" w:styleId="NormalWebCar">
    <w:name w:val="Normal (Web) Car"/>
    <w:aliases w:val="Normal (Web) Car Car Car Car Car Car1,Normal (Web) Car1 Car,Normal (Web) Car Car Car,Normal (Web) Car1 Car Car Car,Normal (Web) Car Car Car Car Car1,Normal (Web) Car Car Car Car Car Car Car,Car Car Car Car Car,Car Car Car"/>
    <w:link w:val="NormalWeb"/>
    <w:uiPriority w:val="99"/>
    <w:locked/>
    <w:rsid w:val="0023307B"/>
    <w:rPr>
      <w:rFonts w:ascii="Times New Roman" w:eastAsia="Times New Roman" w:hAnsi="Times New Roman"/>
      <w:sz w:val="24"/>
      <w:szCs w:val="24"/>
    </w:rPr>
  </w:style>
  <w:style w:type="paragraph" w:styleId="Prrafodelista">
    <w:name w:val="List Paragraph"/>
    <w:aliases w:val="CNBV Parrafo1,Parrafo 1,Lista multicolor - Énfasis 11,Lista vistosa - Énfasis 11,Cuadrícula media 1 - Énfasis 21,Cita texto"/>
    <w:basedOn w:val="Normal"/>
    <w:link w:val="PrrafodelistaCar"/>
    <w:uiPriority w:val="34"/>
    <w:qFormat/>
    <w:rsid w:val="0023307B"/>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unhideWhenUsed/>
    <w:qFormat/>
    <w:rsid w:val="002330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link w:val="Textonotapie"/>
    <w:uiPriority w:val="99"/>
    <w:rsid w:val="0023307B"/>
    <w:rPr>
      <w:rFonts w:ascii="Times New Roman" w:eastAsia="Times New Roman" w:hAnsi="Times New Roman"/>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tref,Ref"/>
    <w:uiPriority w:val="99"/>
    <w:unhideWhenUsed/>
    <w:qFormat/>
    <w:rsid w:val="0023307B"/>
    <w:rPr>
      <w:vertAlign w:val="superscript"/>
    </w:rPr>
  </w:style>
  <w:style w:type="paragraph" w:customStyle="1" w:styleId="Prrafodelista1">
    <w:name w:val="Párrafo de lista1"/>
    <w:basedOn w:val="Normal"/>
    <w:rsid w:val="009444D0"/>
    <w:pPr>
      <w:ind w:left="720"/>
    </w:pPr>
    <w:rPr>
      <w:rFonts w:eastAsia="Calibri"/>
    </w:rPr>
  </w:style>
  <w:style w:type="character" w:customStyle="1" w:styleId="apple-converted-space">
    <w:name w:val="apple-converted-space"/>
    <w:rsid w:val="00FC4734"/>
  </w:style>
  <w:style w:type="paragraph" w:styleId="Sinespaciado">
    <w:name w:val="No Spacing"/>
    <w:uiPriority w:val="1"/>
    <w:qFormat/>
    <w:rsid w:val="005D4058"/>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555CEF"/>
    <w:rPr>
      <w:rFonts w:ascii="Tahoma" w:hAnsi="Tahoma" w:cs="Tahoma"/>
      <w:sz w:val="16"/>
      <w:szCs w:val="16"/>
    </w:rPr>
  </w:style>
  <w:style w:type="character" w:customStyle="1" w:styleId="TextodegloboCar">
    <w:name w:val="Texto de globo Car"/>
    <w:link w:val="Textodeglobo"/>
    <w:uiPriority w:val="99"/>
    <w:semiHidden/>
    <w:rsid w:val="00555CEF"/>
    <w:rPr>
      <w:rFonts w:ascii="Tahoma" w:eastAsia="Times New Roman" w:hAnsi="Tahoma" w:cs="Tahoma"/>
      <w:sz w:val="16"/>
      <w:szCs w:val="16"/>
      <w:lang w:val="es-ES" w:eastAsia="es-ES"/>
    </w:rPr>
  </w:style>
  <w:style w:type="character" w:customStyle="1" w:styleId="PrrafodelistaCar">
    <w:name w:val="Párrafo de lista Car"/>
    <w:aliases w:val="CNBV Parrafo1 Car,Parrafo 1 Car,Lista multicolor - Énfasis 11 Car,Lista vistosa - Énfasis 11 Car,Cuadrícula media 1 - Énfasis 21 Car,Cita texto Car"/>
    <w:link w:val="Prrafodelista"/>
    <w:uiPriority w:val="34"/>
    <w:locked/>
    <w:rsid w:val="004206CE"/>
    <w:rPr>
      <w:rFonts w:ascii="Times New Roman" w:eastAsia="Times New Roman" w:hAnsi="Times New Roman"/>
      <w:sz w:val="24"/>
      <w:szCs w:val="24"/>
      <w:lang w:val="es-ES" w:eastAsia="es-ES"/>
    </w:rPr>
  </w:style>
  <w:style w:type="character" w:styleId="Refdecomentario">
    <w:name w:val="annotation reference"/>
    <w:basedOn w:val="Fuentedeprrafopredeter"/>
    <w:uiPriority w:val="99"/>
    <w:semiHidden/>
    <w:unhideWhenUsed/>
    <w:rsid w:val="00DF3BBE"/>
    <w:rPr>
      <w:sz w:val="16"/>
      <w:szCs w:val="16"/>
    </w:rPr>
  </w:style>
  <w:style w:type="paragraph" w:styleId="Textocomentario">
    <w:name w:val="annotation text"/>
    <w:basedOn w:val="Normal"/>
    <w:link w:val="TextocomentarioCar"/>
    <w:uiPriority w:val="99"/>
    <w:semiHidden/>
    <w:unhideWhenUsed/>
    <w:rsid w:val="00DF3BBE"/>
    <w:rPr>
      <w:sz w:val="20"/>
      <w:szCs w:val="20"/>
    </w:rPr>
  </w:style>
  <w:style w:type="character" w:customStyle="1" w:styleId="TextocomentarioCar">
    <w:name w:val="Texto comentario Car"/>
    <w:basedOn w:val="Fuentedeprrafopredeter"/>
    <w:link w:val="Textocomentario"/>
    <w:uiPriority w:val="99"/>
    <w:semiHidden/>
    <w:rsid w:val="00DF3BBE"/>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DF3BBE"/>
    <w:rPr>
      <w:b/>
      <w:bCs/>
    </w:rPr>
  </w:style>
  <w:style w:type="character" w:customStyle="1" w:styleId="AsuntodelcomentarioCar">
    <w:name w:val="Asunto del comentario Car"/>
    <w:basedOn w:val="TextocomentarioCar"/>
    <w:link w:val="Asuntodelcomentario"/>
    <w:uiPriority w:val="99"/>
    <w:semiHidden/>
    <w:rsid w:val="00DF3BBE"/>
    <w:rPr>
      <w:rFonts w:ascii="Times New Roman" w:eastAsia="Times New Roman" w:hAnsi="Times New Roman"/>
      <w:b/>
      <w:bCs/>
      <w:lang w:val="es-ES" w:eastAsia="es-ES"/>
    </w:rPr>
  </w:style>
  <w:style w:type="paragraph" w:styleId="Textonotaalfinal">
    <w:name w:val="endnote text"/>
    <w:basedOn w:val="Normal"/>
    <w:link w:val="TextonotaalfinalCar"/>
    <w:uiPriority w:val="99"/>
    <w:semiHidden/>
    <w:unhideWhenUsed/>
    <w:rsid w:val="00D80F81"/>
    <w:rPr>
      <w:sz w:val="20"/>
      <w:szCs w:val="20"/>
    </w:rPr>
  </w:style>
  <w:style w:type="character" w:customStyle="1" w:styleId="TextonotaalfinalCar">
    <w:name w:val="Texto nota al final Car"/>
    <w:basedOn w:val="Fuentedeprrafopredeter"/>
    <w:link w:val="Textonotaalfinal"/>
    <w:uiPriority w:val="99"/>
    <w:semiHidden/>
    <w:rsid w:val="00D80F81"/>
    <w:rPr>
      <w:rFonts w:ascii="Times New Roman" w:eastAsia="Times New Roman" w:hAnsi="Times New Roman"/>
      <w:lang w:val="es-ES" w:eastAsia="es-ES"/>
    </w:rPr>
  </w:style>
  <w:style w:type="character" w:styleId="Refdenotaalfinal">
    <w:name w:val="endnote reference"/>
    <w:basedOn w:val="Fuentedeprrafopredeter"/>
    <w:uiPriority w:val="99"/>
    <w:semiHidden/>
    <w:unhideWhenUsed/>
    <w:rsid w:val="00D80F81"/>
    <w:rPr>
      <w:vertAlign w:val="superscript"/>
    </w:rPr>
  </w:style>
  <w:style w:type="table" w:styleId="Tablaconcuadrcula">
    <w:name w:val="Table Grid"/>
    <w:basedOn w:val="Tablanormal"/>
    <w:uiPriority w:val="59"/>
    <w:rsid w:val="009F66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307872">
      <w:bodyDiv w:val="1"/>
      <w:marLeft w:val="0"/>
      <w:marRight w:val="0"/>
      <w:marTop w:val="0"/>
      <w:marBottom w:val="0"/>
      <w:divBdr>
        <w:top w:val="none" w:sz="0" w:space="0" w:color="auto"/>
        <w:left w:val="none" w:sz="0" w:space="0" w:color="auto"/>
        <w:bottom w:val="none" w:sz="0" w:space="0" w:color="auto"/>
        <w:right w:val="none" w:sz="0" w:space="0" w:color="auto"/>
      </w:divBdr>
    </w:div>
    <w:div w:id="267810885">
      <w:bodyDiv w:val="1"/>
      <w:marLeft w:val="0"/>
      <w:marRight w:val="0"/>
      <w:marTop w:val="0"/>
      <w:marBottom w:val="0"/>
      <w:divBdr>
        <w:top w:val="none" w:sz="0" w:space="0" w:color="auto"/>
        <w:left w:val="none" w:sz="0" w:space="0" w:color="auto"/>
        <w:bottom w:val="none" w:sz="0" w:space="0" w:color="auto"/>
        <w:right w:val="none" w:sz="0" w:space="0" w:color="auto"/>
      </w:divBdr>
      <w:divsChild>
        <w:div w:id="179393352">
          <w:marLeft w:val="0"/>
          <w:marRight w:val="0"/>
          <w:marTop w:val="0"/>
          <w:marBottom w:val="0"/>
          <w:divBdr>
            <w:top w:val="none" w:sz="0" w:space="0" w:color="auto"/>
            <w:left w:val="none" w:sz="0" w:space="0" w:color="auto"/>
            <w:bottom w:val="none" w:sz="0" w:space="0" w:color="auto"/>
            <w:right w:val="none" w:sz="0" w:space="0" w:color="auto"/>
          </w:divBdr>
          <w:divsChild>
            <w:div w:id="1715349112">
              <w:marLeft w:val="0"/>
              <w:marRight w:val="0"/>
              <w:marTop w:val="0"/>
              <w:marBottom w:val="0"/>
              <w:divBdr>
                <w:top w:val="none" w:sz="0" w:space="0" w:color="auto"/>
                <w:left w:val="none" w:sz="0" w:space="0" w:color="auto"/>
                <w:bottom w:val="none" w:sz="0" w:space="0" w:color="auto"/>
                <w:right w:val="none" w:sz="0" w:space="0" w:color="auto"/>
              </w:divBdr>
              <w:divsChild>
                <w:div w:id="1703944724">
                  <w:marLeft w:val="0"/>
                  <w:marRight w:val="0"/>
                  <w:marTop w:val="0"/>
                  <w:marBottom w:val="0"/>
                  <w:divBdr>
                    <w:top w:val="none" w:sz="0" w:space="0" w:color="auto"/>
                    <w:left w:val="none" w:sz="0" w:space="0" w:color="auto"/>
                    <w:bottom w:val="none" w:sz="0" w:space="0" w:color="auto"/>
                    <w:right w:val="none" w:sz="0" w:space="0" w:color="auto"/>
                  </w:divBdr>
                  <w:divsChild>
                    <w:div w:id="2069331846">
                      <w:marLeft w:val="0"/>
                      <w:marRight w:val="0"/>
                      <w:marTop w:val="0"/>
                      <w:marBottom w:val="0"/>
                      <w:divBdr>
                        <w:top w:val="none" w:sz="0" w:space="0" w:color="auto"/>
                        <w:left w:val="none" w:sz="0" w:space="0" w:color="auto"/>
                        <w:bottom w:val="none" w:sz="0" w:space="0" w:color="auto"/>
                        <w:right w:val="none" w:sz="0" w:space="0" w:color="auto"/>
                      </w:divBdr>
                      <w:divsChild>
                        <w:div w:id="1554005907">
                          <w:marLeft w:val="0"/>
                          <w:marRight w:val="0"/>
                          <w:marTop w:val="0"/>
                          <w:marBottom w:val="0"/>
                          <w:divBdr>
                            <w:top w:val="single" w:sz="6" w:space="18" w:color="000000"/>
                            <w:left w:val="single" w:sz="6" w:space="17" w:color="000000"/>
                            <w:bottom w:val="single" w:sz="6" w:space="14" w:color="000000"/>
                            <w:right w:val="single" w:sz="6" w:space="17" w:color="000000"/>
                          </w:divBdr>
                          <w:divsChild>
                            <w:div w:id="1569538966">
                              <w:marLeft w:val="0"/>
                              <w:marRight w:val="0"/>
                              <w:marTop w:val="0"/>
                              <w:marBottom w:val="0"/>
                              <w:divBdr>
                                <w:top w:val="none" w:sz="0" w:space="0" w:color="auto"/>
                                <w:left w:val="none" w:sz="0" w:space="0" w:color="auto"/>
                                <w:bottom w:val="none" w:sz="0" w:space="0" w:color="auto"/>
                                <w:right w:val="none" w:sz="0" w:space="0" w:color="auto"/>
                              </w:divBdr>
                              <w:divsChild>
                                <w:div w:id="579873337">
                                  <w:marLeft w:val="0"/>
                                  <w:marRight w:val="0"/>
                                  <w:marTop w:val="0"/>
                                  <w:marBottom w:val="0"/>
                                  <w:divBdr>
                                    <w:top w:val="none" w:sz="0" w:space="0" w:color="000000"/>
                                    <w:left w:val="none" w:sz="0" w:space="0" w:color="000000"/>
                                    <w:bottom w:val="none" w:sz="0" w:space="0" w:color="000000"/>
                                    <w:right w:val="none" w:sz="0" w:space="0" w:color="000000"/>
                                  </w:divBdr>
                                  <w:divsChild>
                                    <w:div w:id="238175084">
                                      <w:marLeft w:val="0"/>
                                      <w:marRight w:val="0"/>
                                      <w:marTop w:val="0"/>
                                      <w:marBottom w:val="0"/>
                                      <w:divBdr>
                                        <w:top w:val="none" w:sz="0" w:space="0" w:color="auto"/>
                                        <w:left w:val="none" w:sz="0" w:space="0" w:color="auto"/>
                                        <w:bottom w:val="none" w:sz="0" w:space="0" w:color="auto"/>
                                        <w:right w:val="none" w:sz="0" w:space="0" w:color="auto"/>
                                      </w:divBdr>
                                      <w:divsChild>
                                        <w:div w:id="1074354436">
                                          <w:marLeft w:val="0"/>
                                          <w:marRight w:val="0"/>
                                          <w:marTop w:val="0"/>
                                          <w:marBottom w:val="0"/>
                                          <w:divBdr>
                                            <w:top w:val="none" w:sz="0" w:space="0" w:color="auto"/>
                                            <w:left w:val="none" w:sz="0" w:space="0" w:color="auto"/>
                                            <w:bottom w:val="none" w:sz="0" w:space="0" w:color="auto"/>
                                            <w:right w:val="none" w:sz="0" w:space="0" w:color="auto"/>
                                          </w:divBdr>
                                        </w:div>
                                        <w:div w:id="20244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662229">
      <w:bodyDiv w:val="1"/>
      <w:marLeft w:val="0"/>
      <w:marRight w:val="0"/>
      <w:marTop w:val="0"/>
      <w:marBottom w:val="0"/>
      <w:divBdr>
        <w:top w:val="none" w:sz="0" w:space="0" w:color="auto"/>
        <w:left w:val="none" w:sz="0" w:space="0" w:color="auto"/>
        <w:bottom w:val="none" w:sz="0" w:space="0" w:color="auto"/>
        <w:right w:val="none" w:sz="0" w:space="0" w:color="auto"/>
      </w:divBdr>
      <w:divsChild>
        <w:div w:id="465901223">
          <w:marLeft w:val="0"/>
          <w:marRight w:val="0"/>
          <w:marTop w:val="0"/>
          <w:marBottom w:val="0"/>
          <w:divBdr>
            <w:top w:val="none" w:sz="0" w:space="0" w:color="auto"/>
            <w:left w:val="none" w:sz="0" w:space="0" w:color="auto"/>
            <w:bottom w:val="none" w:sz="0" w:space="0" w:color="auto"/>
            <w:right w:val="none" w:sz="0" w:space="0" w:color="auto"/>
          </w:divBdr>
          <w:divsChild>
            <w:div w:id="1481196319">
              <w:marLeft w:val="0"/>
              <w:marRight w:val="0"/>
              <w:marTop w:val="0"/>
              <w:marBottom w:val="0"/>
              <w:divBdr>
                <w:top w:val="none" w:sz="0" w:space="0" w:color="auto"/>
                <w:left w:val="none" w:sz="0" w:space="0" w:color="auto"/>
                <w:bottom w:val="none" w:sz="0" w:space="0" w:color="auto"/>
                <w:right w:val="none" w:sz="0" w:space="0" w:color="auto"/>
              </w:divBdr>
              <w:divsChild>
                <w:div w:id="1232346880">
                  <w:marLeft w:val="0"/>
                  <w:marRight w:val="0"/>
                  <w:marTop w:val="0"/>
                  <w:marBottom w:val="0"/>
                  <w:divBdr>
                    <w:top w:val="none" w:sz="0" w:space="0" w:color="auto"/>
                    <w:left w:val="none" w:sz="0" w:space="0" w:color="auto"/>
                    <w:bottom w:val="none" w:sz="0" w:space="0" w:color="auto"/>
                    <w:right w:val="none" w:sz="0" w:space="0" w:color="auto"/>
                  </w:divBdr>
                  <w:divsChild>
                    <w:div w:id="736440866">
                      <w:marLeft w:val="0"/>
                      <w:marRight w:val="0"/>
                      <w:marTop w:val="0"/>
                      <w:marBottom w:val="0"/>
                      <w:divBdr>
                        <w:top w:val="none" w:sz="0" w:space="0" w:color="auto"/>
                        <w:left w:val="none" w:sz="0" w:space="0" w:color="auto"/>
                        <w:bottom w:val="none" w:sz="0" w:space="0" w:color="auto"/>
                        <w:right w:val="none" w:sz="0" w:space="0" w:color="auto"/>
                      </w:divBdr>
                      <w:divsChild>
                        <w:div w:id="1666667620">
                          <w:marLeft w:val="0"/>
                          <w:marRight w:val="0"/>
                          <w:marTop w:val="0"/>
                          <w:marBottom w:val="0"/>
                          <w:divBdr>
                            <w:top w:val="single" w:sz="6" w:space="18" w:color="000000"/>
                            <w:left w:val="single" w:sz="6" w:space="17" w:color="000000"/>
                            <w:bottom w:val="single" w:sz="6" w:space="14" w:color="000000"/>
                            <w:right w:val="single" w:sz="6" w:space="17" w:color="000000"/>
                          </w:divBdr>
                          <w:divsChild>
                            <w:div w:id="315039996">
                              <w:marLeft w:val="0"/>
                              <w:marRight w:val="0"/>
                              <w:marTop w:val="0"/>
                              <w:marBottom w:val="0"/>
                              <w:divBdr>
                                <w:top w:val="none" w:sz="0" w:space="0" w:color="auto"/>
                                <w:left w:val="none" w:sz="0" w:space="0" w:color="auto"/>
                                <w:bottom w:val="none" w:sz="0" w:space="0" w:color="auto"/>
                                <w:right w:val="none" w:sz="0" w:space="0" w:color="auto"/>
                              </w:divBdr>
                              <w:divsChild>
                                <w:div w:id="1081876086">
                                  <w:marLeft w:val="0"/>
                                  <w:marRight w:val="0"/>
                                  <w:marTop w:val="0"/>
                                  <w:marBottom w:val="0"/>
                                  <w:divBdr>
                                    <w:top w:val="none" w:sz="0" w:space="0" w:color="000000"/>
                                    <w:left w:val="none" w:sz="0" w:space="0" w:color="000000"/>
                                    <w:bottom w:val="none" w:sz="0" w:space="0" w:color="000000"/>
                                    <w:right w:val="none" w:sz="0" w:space="0" w:color="000000"/>
                                  </w:divBdr>
                                  <w:divsChild>
                                    <w:div w:id="963778196">
                                      <w:marLeft w:val="0"/>
                                      <w:marRight w:val="0"/>
                                      <w:marTop w:val="0"/>
                                      <w:marBottom w:val="0"/>
                                      <w:divBdr>
                                        <w:top w:val="none" w:sz="0" w:space="0" w:color="auto"/>
                                        <w:left w:val="none" w:sz="0" w:space="0" w:color="auto"/>
                                        <w:bottom w:val="none" w:sz="0" w:space="0" w:color="auto"/>
                                        <w:right w:val="none" w:sz="0" w:space="0" w:color="auto"/>
                                      </w:divBdr>
                                      <w:divsChild>
                                        <w:div w:id="352540463">
                                          <w:marLeft w:val="0"/>
                                          <w:marRight w:val="0"/>
                                          <w:marTop w:val="0"/>
                                          <w:marBottom w:val="0"/>
                                          <w:divBdr>
                                            <w:top w:val="none" w:sz="0" w:space="0" w:color="auto"/>
                                            <w:left w:val="none" w:sz="0" w:space="0" w:color="auto"/>
                                            <w:bottom w:val="none" w:sz="0" w:space="0" w:color="auto"/>
                                            <w:right w:val="none" w:sz="0" w:space="0" w:color="auto"/>
                                          </w:divBdr>
                                        </w:div>
                                        <w:div w:id="398403922">
                                          <w:marLeft w:val="0"/>
                                          <w:marRight w:val="0"/>
                                          <w:marTop w:val="0"/>
                                          <w:marBottom w:val="0"/>
                                          <w:divBdr>
                                            <w:top w:val="none" w:sz="0" w:space="0" w:color="auto"/>
                                            <w:left w:val="none" w:sz="0" w:space="0" w:color="auto"/>
                                            <w:bottom w:val="none" w:sz="0" w:space="0" w:color="auto"/>
                                            <w:right w:val="none" w:sz="0" w:space="0" w:color="auto"/>
                                          </w:divBdr>
                                        </w:div>
                                        <w:div w:id="1070688144">
                                          <w:marLeft w:val="0"/>
                                          <w:marRight w:val="0"/>
                                          <w:marTop w:val="0"/>
                                          <w:marBottom w:val="0"/>
                                          <w:divBdr>
                                            <w:top w:val="none" w:sz="0" w:space="0" w:color="auto"/>
                                            <w:left w:val="none" w:sz="0" w:space="0" w:color="auto"/>
                                            <w:bottom w:val="none" w:sz="0" w:space="0" w:color="auto"/>
                                            <w:right w:val="none" w:sz="0" w:space="0" w:color="auto"/>
                                          </w:divBdr>
                                        </w:div>
                                        <w:div w:id="13881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6693521">
      <w:bodyDiv w:val="1"/>
      <w:marLeft w:val="0"/>
      <w:marRight w:val="0"/>
      <w:marTop w:val="0"/>
      <w:marBottom w:val="0"/>
      <w:divBdr>
        <w:top w:val="none" w:sz="0" w:space="0" w:color="auto"/>
        <w:left w:val="none" w:sz="0" w:space="0" w:color="auto"/>
        <w:bottom w:val="none" w:sz="0" w:space="0" w:color="auto"/>
        <w:right w:val="none" w:sz="0" w:space="0" w:color="auto"/>
      </w:divBdr>
    </w:div>
    <w:div w:id="630867776">
      <w:bodyDiv w:val="1"/>
      <w:marLeft w:val="0"/>
      <w:marRight w:val="0"/>
      <w:marTop w:val="0"/>
      <w:marBottom w:val="0"/>
      <w:divBdr>
        <w:top w:val="none" w:sz="0" w:space="0" w:color="auto"/>
        <w:left w:val="none" w:sz="0" w:space="0" w:color="auto"/>
        <w:bottom w:val="none" w:sz="0" w:space="0" w:color="auto"/>
        <w:right w:val="none" w:sz="0" w:space="0" w:color="auto"/>
      </w:divBdr>
    </w:div>
    <w:div w:id="842472911">
      <w:bodyDiv w:val="1"/>
      <w:marLeft w:val="0"/>
      <w:marRight w:val="0"/>
      <w:marTop w:val="0"/>
      <w:marBottom w:val="0"/>
      <w:divBdr>
        <w:top w:val="none" w:sz="0" w:space="0" w:color="auto"/>
        <w:left w:val="none" w:sz="0" w:space="0" w:color="auto"/>
        <w:bottom w:val="none" w:sz="0" w:space="0" w:color="auto"/>
        <w:right w:val="none" w:sz="0" w:space="0" w:color="auto"/>
      </w:divBdr>
      <w:divsChild>
        <w:div w:id="1284309844">
          <w:marLeft w:val="0"/>
          <w:marRight w:val="0"/>
          <w:marTop w:val="0"/>
          <w:marBottom w:val="0"/>
          <w:divBdr>
            <w:top w:val="none" w:sz="0" w:space="0" w:color="auto"/>
            <w:left w:val="none" w:sz="0" w:space="0" w:color="auto"/>
            <w:bottom w:val="none" w:sz="0" w:space="0" w:color="auto"/>
            <w:right w:val="none" w:sz="0" w:space="0" w:color="auto"/>
          </w:divBdr>
          <w:divsChild>
            <w:div w:id="1475370543">
              <w:marLeft w:val="0"/>
              <w:marRight w:val="0"/>
              <w:marTop w:val="150"/>
              <w:marBottom w:val="150"/>
              <w:divBdr>
                <w:top w:val="none" w:sz="0" w:space="0" w:color="auto"/>
                <w:left w:val="none" w:sz="0" w:space="0" w:color="auto"/>
                <w:bottom w:val="none" w:sz="0" w:space="0" w:color="auto"/>
                <w:right w:val="none" w:sz="0" w:space="0" w:color="auto"/>
              </w:divBdr>
              <w:divsChild>
                <w:div w:id="214199789">
                  <w:marLeft w:val="0"/>
                  <w:marRight w:val="0"/>
                  <w:marTop w:val="0"/>
                  <w:marBottom w:val="0"/>
                  <w:divBdr>
                    <w:top w:val="none" w:sz="0" w:space="0" w:color="auto"/>
                    <w:left w:val="none" w:sz="0" w:space="0" w:color="auto"/>
                    <w:bottom w:val="none" w:sz="0" w:space="0" w:color="auto"/>
                    <w:right w:val="none" w:sz="0" w:space="0" w:color="auto"/>
                  </w:divBdr>
                  <w:divsChild>
                    <w:div w:id="1106657965">
                      <w:marLeft w:val="0"/>
                      <w:marRight w:val="0"/>
                      <w:marTop w:val="0"/>
                      <w:marBottom w:val="0"/>
                      <w:divBdr>
                        <w:top w:val="none" w:sz="0" w:space="0" w:color="auto"/>
                        <w:left w:val="none" w:sz="0" w:space="0" w:color="auto"/>
                        <w:bottom w:val="none" w:sz="0" w:space="0" w:color="auto"/>
                        <w:right w:val="none" w:sz="0" w:space="0" w:color="auto"/>
                      </w:divBdr>
                    </w:div>
                    <w:div w:id="1600259786">
                      <w:marLeft w:val="0"/>
                      <w:marRight w:val="0"/>
                      <w:marTop w:val="0"/>
                      <w:marBottom w:val="0"/>
                      <w:divBdr>
                        <w:top w:val="none" w:sz="0" w:space="0" w:color="auto"/>
                        <w:left w:val="none" w:sz="0" w:space="0" w:color="auto"/>
                        <w:bottom w:val="none" w:sz="0" w:space="0" w:color="auto"/>
                        <w:right w:val="none" w:sz="0" w:space="0" w:color="auto"/>
                      </w:divBdr>
                    </w:div>
                    <w:div w:id="1627544487">
                      <w:marLeft w:val="0"/>
                      <w:marRight w:val="0"/>
                      <w:marTop w:val="0"/>
                      <w:marBottom w:val="0"/>
                      <w:divBdr>
                        <w:top w:val="none" w:sz="0" w:space="0" w:color="auto"/>
                        <w:left w:val="none" w:sz="0" w:space="0" w:color="auto"/>
                        <w:bottom w:val="none" w:sz="0" w:space="0" w:color="auto"/>
                        <w:right w:val="none" w:sz="0" w:space="0" w:color="auto"/>
                      </w:divBdr>
                    </w:div>
                    <w:div w:id="1791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479046">
      <w:bodyDiv w:val="1"/>
      <w:marLeft w:val="0"/>
      <w:marRight w:val="0"/>
      <w:marTop w:val="0"/>
      <w:marBottom w:val="0"/>
      <w:divBdr>
        <w:top w:val="none" w:sz="0" w:space="0" w:color="auto"/>
        <w:left w:val="none" w:sz="0" w:space="0" w:color="auto"/>
        <w:bottom w:val="none" w:sz="0" w:space="0" w:color="auto"/>
        <w:right w:val="none" w:sz="0" w:space="0" w:color="auto"/>
      </w:divBdr>
      <w:divsChild>
        <w:div w:id="1944066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4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7819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26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249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936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30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594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556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2135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651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753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0335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81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829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59923228">
      <w:bodyDiv w:val="1"/>
      <w:marLeft w:val="0"/>
      <w:marRight w:val="0"/>
      <w:marTop w:val="0"/>
      <w:marBottom w:val="0"/>
      <w:divBdr>
        <w:top w:val="none" w:sz="0" w:space="0" w:color="auto"/>
        <w:left w:val="none" w:sz="0" w:space="0" w:color="auto"/>
        <w:bottom w:val="none" w:sz="0" w:space="0" w:color="auto"/>
        <w:right w:val="none" w:sz="0" w:space="0" w:color="auto"/>
      </w:divBdr>
      <w:divsChild>
        <w:div w:id="1782607774">
          <w:marLeft w:val="0"/>
          <w:marRight w:val="0"/>
          <w:marTop w:val="0"/>
          <w:marBottom w:val="0"/>
          <w:divBdr>
            <w:top w:val="none" w:sz="0" w:space="0" w:color="auto"/>
            <w:left w:val="none" w:sz="0" w:space="0" w:color="auto"/>
            <w:bottom w:val="none" w:sz="0" w:space="0" w:color="auto"/>
            <w:right w:val="none" w:sz="0" w:space="0" w:color="auto"/>
          </w:divBdr>
          <w:divsChild>
            <w:div w:id="2023043692">
              <w:marLeft w:val="0"/>
              <w:marRight w:val="0"/>
              <w:marTop w:val="150"/>
              <w:marBottom w:val="150"/>
              <w:divBdr>
                <w:top w:val="none" w:sz="0" w:space="0" w:color="auto"/>
                <w:left w:val="none" w:sz="0" w:space="0" w:color="auto"/>
                <w:bottom w:val="none" w:sz="0" w:space="0" w:color="auto"/>
                <w:right w:val="none" w:sz="0" w:space="0" w:color="auto"/>
              </w:divBdr>
              <w:divsChild>
                <w:div w:id="1627849631">
                  <w:marLeft w:val="0"/>
                  <w:marRight w:val="0"/>
                  <w:marTop w:val="0"/>
                  <w:marBottom w:val="0"/>
                  <w:divBdr>
                    <w:top w:val="none" w:sz="0" w:space="0" w:color="auto"/>
                    <w:left w:val="none" w:sz="0" w:space="0" w:color="auto"/>
                    <w:bottom w:val="none" w:sz="0" w:space="0" w:color="auto"/>
                    <w:right w:val="none" w:sz="0" w:space="0" w:color="auto"/>
                  </w:divBdr>
                  <w:divsChild>
                    <w:div w:id="21071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25459">
      <w:bodyDiv w:val="1"/>
      <w:marLeft w:val="0"/>
      <w:marRight w:val="0"/>
      <w:marTop w:val="0"/>
      <w:marBottom w:val="0"/>
      <w:divBdr>
        <w:top w:val="none" w:sz="0" w:space="0" w:color="auto"/>
        <w:left w:val="none" w:sz="0" w:space="0" w:color="auto"/>
        <w:bottom w:val="none" w:sz="0" w:space="0" w:color="auto"/>
        <w:right w:val="none" w:sz="0" w:space="0" w:color="auto"/>
      </w:divBdr>
    </w:div>
    <w:div w:id="1021854529">
      <w:bodyDiv w:val="1"/>
      <w:marLeft w:val="0"/>
      <w:marRight w:val="0"/>
      <w:marTop w:val="0"/>
      <w:marBottom w:val="0"/>
      <w:divBdr>
        <w:top w:val="none" w:sz="0" w:space="0" w:color="auto"/>
        <w:left w:val="none" w:sz="0" w:space="0" w:color="auto"/>
        <w:bottom w:val="none" w:sz="0" w:space="0" w:color="auto"/>
        <w:right w:val="none" w:sz="0" w:space="0" w:color="auto"/>
      </w:divBdr>
    </w:div>
    <w:div w:id="1304312743">
      <w:bodyDiv w:val="1"/>
      <w:marLeft w:val="0"/>
      <w:marRight w:val="0"/>
      <w:marTop w:val="0"/>
      <w:marBottom w:val="0"/>
      <w:divBdr>
        <w:top w:val="none" w:sz="0" w:space="0" w:color="auto"/>
        <w:left w:val="none" w:sz="0" w:space="0" w:color="auto"/>
        <w:bottom w:val="none" w:sz="0" w:space="0" w:color="auto"/>
        <w:right w:val="none" w:sz="0" w:space="0" w:color="auto"/>
      </w:divBdr>
    </w:div>
    <w:div w:id="1314140095">
      <w:bodyDiv w:val="1"/>
      <w:marLeft w:val="0"/>
      <w:marRight w:val="0"/>
      <w:marTop w:val="0"/>
      <w:marBottom w:val="0"/>
      <w:divBdr>
        <w:top w:val="none" w:sz="0" w:space="0" w:color="auto"/>
        <w:left w:val="none" w:sz="0" w:space="0" w:color="auto"/>
        <w:bottom w:val="none" w:sz="0" w:space="0" w:color="auto"/>
        <w:right w:val="none" w:sz="0" w:space="0" w:color="auto"/>
      </w:divBdr>
      <w:divsChild>
        <w:div w:id="33697440">
          <w:marLeft w:val="0"/>
          <w:marRight w:val="0"/>
          <w:marTop w:val="0"/>
          <w:marBottom w:val="0"/>
          <w:divBdr>
            <w:top w:val="none" w:sz="0" w:space="0" w:color="auto"/>
            <w:left w:val="none" w:sz="0" w:space="0" w:color="auto"/>
            <w:bottom w:val="none" w:sz="0" w:space="0" w:color="auto"/>
            <w:right w:val="none" w:sz="0" w:space="0" w:color="auto"/>
          </w:divBdr>
          <w:divsChild>
            <w:div w:id="576596943">
              <w:marLeft w:val="0"/>
              <w:marRight w:val="0"/>
              <w:marTop w:val="0"/>
              <w:marBottom w:val="0"/>
              <w:divBdr>
                <w:top w:val="none" w:sz="0" w:space="0" w:color="auto"/>
                <w:left w:val="none" w:sz="0" w:space="0" w:color="auto"/>
                <w:bottom w:val="none" w:sz="0" w:space="0" w:color="auto"/>
                <w:right w:val="none" w:sz="0" w:space="0" w:color="auto"/>
              </w:divBdr>
              <w:divsChild>
                <w:div w:id="2136438286">
                  <w:marLeft w:val="0"/>
                  <w:marRight w:val="0"/>
                  <w:marTop w:val="0"/>
                  <w:marBottom w:val="0"/>
                  <w:divBdr>
                    <w:top w:val="none" w:sz="0" w:space="0" w:color="auto"/>
                    <w:left w:val="none" w:sz="0" w:space="0" w:color="auto"/>
                    <w:bottom w:val="none" w:sz="0" w:space="0" w:color="auto"/>
                    <w:right w:val="none" w:sz="0" w:space="0" w:color="auto"/>
                  </w:divBdr>
                  <w:divsChild>
                    <w:div w:id="1006633704">
                      <w:marLeft w:val="0"/>
                      <w:marRight w:val="0"/>
                      <w:marTop w:val="0"/>
                      <w:marBottom w:val="0"/>
                      <w:divBdr>
                        <w:top w:val="none" w:sz="0" w:space="0" w:color="auto"/>
                        <w:left w:val="none" w:sz="0" w:space="0" w:color="auto"/>
                        <w:bottom w:val="none" w:sz="0" w:space="0" w:color="auto"/>
                        <w:right w:val="none" w:sz="0" w:space="0" w:color="auto"/>
                      </w:divBdr>
                      <w:divsChild>
                        <w:div w:id="667094999">
                          <w:marLeft w:val="0"/>
                          <w:marRight w:val="0"/>
                          <w:marTop w:val="0"/>
                          <w:marBottom w:val="0"/>
                          <w:divBdr>
                            <w:top w:val="single" w:sz="6" w:space="18" w:color="000000"/>
                            <w:left w:val="single" w:sz="6" w:space="17" w:color="000000"/>
                            <w:bottom w:val="single" w:sz="6" w:space="14" w:color="000000"/>
                            <w:right w:val="single" w:sz="6" w:space="17" w:color="000000"/>
                          </w:divBdr>
                          <w:divsChild>
                            <w:div w:id="423692803">
                              <w:marLeft w:val="0"/>
                              <w:marRight w:val="0"/>
                              <w:marTop w:val="0"/>
                              <w:marBottom w:val="0"/>
                              <w:divBdr>
                                <w:top w:val="none" w:sz="0" w:space="0" w:color="auto"/>
                                <w:left w:val="none" w:sz="0" w:space="0" w:color="auto"/>
                                <w:bottom w:val="none" w:sz="0" w:space="0" w:color="auto"/>
                                <w:right w:val="none" w:sz="0" w:space="0" w:color="auto"/>
                              </w:divBdr>
                              <w:divsChild>
                                <w:div w:id="432939408">
                                  <w:marLeft w:val="0"/>
                                  <w:marRight w:val="0"/>
                                  <w:marTop w:val="0"/>
                                  <w:marBottom w:val="0"/>
                                  <w:divBdr>
                                    <w:top w:val="none" w:sz="0" w:space="0" w:color="000000"/>
                                    <w:left w:val="none" w:sz="0" w:space="0" w:color="000000"/>
                                    <w:bottom w:val="none" w:sz="0" w:space="0" w:color="000000"/>
                                    <w:right w:val="none" w:sz="0" w:space="0" w:color="000000"/>
                                  </w:divBdr>
                                  <w:divsChild>
                                    <w:div w:id="142553252">
                                      <w:marLeft w:val="0"/>
                                      <w:marRight w:val="0"/>
                                      <w:marTop w:val="0"/>
                                      <w:marBottom w:val="0"/>
                                      <w:divBdr>
                                        <w:top w:val="none" w:sz="0" w:space="0" w:color="auto"/>
                                        <w:left w:val="none" w:sz="0" w:space="0" w:color="auto"/>
                                        <w:bottom w:val="none" w:sz="0" w:space="0" w:color="auto"/>
                                        <w:right w:val="none" w:sz="0" w:space="0" w:color="auto"/>
                                      </w:divBdr>
                                      <w:divsChild>
                                        <w:div w:id="801775167">
                                          <w:marLeft w:val="0"/>
                                          <w:marRight w:val="0"/>
                                          <w:marTop w:val="0"/>
                                          <w:marBottom w:val="0"/>
                                          <w:divBdr>
                                            <w:top w:val="none" w:sz="0" w:space="0" w:color="auto"/>
                                            <w:left w:val="none" w:sz="0" w:space="0" w:color="auto"/>
                                            <w:bottom w:val="none" w:sz="0" w:space="0" w:color="auto"/>
                                            <w:right w:val="none" w:sz="0" w:space="0" w:color="auto"/>
                                          </w:divBdr>
                                        </w:div>
                                        <w:div w:id="950430998">
                                          <w:marLeft w:val="0"/>
                                          <w:marRight w:val="0"/>
                                          <w:marTop w:val="0"/>
                                          <w:marBottom w:val="0"/>
                                          <w:divBdr>
                                            <w:top w:val="none" w:sz="0" w:space="0" w:color="auto"/>
                                            <w:left w:val="none" w:sz="0" w:space="0" w:color="auto"/>
                                            <w:bottom w:val="none" w:sz="0" w:space="0" w:color="auto"/>
                                            <w:right w:val="none" w:sz="0" w:space="0" w:color="auto"/>
                                          </w:divBdr>
                                        </w:div>
                                        <w:div w:id="1516964644">
                                          <w:marLeft w:val="0"/>
                                          <w:marRight w:val="0"/>
                                          <w:marTop w:val="0"/>
                                          <w:marBottom w:val="0"/>
                                          <w:divBdr>
                                            <w:top w:val="none" w:sz="0" w:space="0" w:color="auto"/>
                                            <w:left w:val="none" w:sz="0" w:space="0" w:color="auto"/>
                                            <w:bottom w:val="none" w:sz="0" w:space="0" w:color="auto"/>
                                            <w:right w:val="none" w:sz="0" w:space="0" w:color="auto"/>
                                          </w:divBdr>
                                        </w:div>
                                        <w:div w:id="16091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6368767">
      <w:bodyDiv w:val="1"/>
      <w:marLeft w:val="0"/>
      <w:marRight w:val="0"/>
      <w:marTop w:val="0"/>
      <w:marBottom w:val="0"/>
      <w:divBdr>
        <w:top w:val="none" w:sz="0" w:space="0" w:color="auto"/>
        <w:left w:val="none" w:sz="0" w:space="0" w:color="auto"/>
        <w:bottom w:val="none" w:sz="0" w:space="0" w:color="auto"/>
        <w:right w:val="none" w:sz="0" w:space="0" w:color="auto"/>
      </w:divBdr>
    </w:div>
    <w:div w:id="1475029074">
      <w:bodyDiv w:val="1"/>
      <w:marLeft w:val="0"/>
      <w:marRight w:val="0"/>
      <w:marTop w:val="0"/>
      <w:marBottom w:val="0"/>
      <w:divBdr>
        <w:top w:val="none" w:sz="0" w:space="0" w:color="auto"/>
        <w:left w:val="none" w:sz="0" w:space="0" w:color="auto"/>
        <w:bottom w:val="none" w:sz="0" w:space="0" w:color="auto"/>
        <w:right w:val="none" w:sz="0" w:space="0" w:color="auto"/>
      </w:divBdr>
    </w:div>
    <w:div w:id="1492990379">
      <w:bodyDiv w:val="1"/>
      <w:marLeft w:val="0"/>
      <w:marRight w:val="0"/>
      <w:marTop w:val="0"/>
      <w:marBottom w:val="0"/>
      <w:divBdr>
        <w:top w:val="none" w:sz="0" w:space="0" w:color="auto"/>
        <w:left w:val="none" w:sz="0" w:space="0" w:color="auto"/>
        <w:bottom w:val="none" w:sz="0" w:space="0" w:color="auto"/>
        <w:right w:val="none" w:sz="0" w:space="0" w:color="auto"/>
      </w:divBdr>
    </w:div>
    <w:div w:id="1816675541">
      <w:bodyDiv w:val="1"/>
      <w:marLeft w:val="0"/>
      <w:marRight w:val="0"/>
      <w:marTop w:val="0"/>
      <w:marBottom w:val="0"/>
      <w:divBdr>
        <w:top w:val="none" w:sz="0" w:space="0" w:color="auto"/>
        <w:left w:val="none" w:sz="0" w:space="0" w:color="auto"/>
        <w:bottom w:val="none" w:sz="0" w:space="0" w:color="auto"/>
        <w:right w:val="none" w:sz="0" w:space="0" w:color="auto"/>
      </w:divBdr>
    </w:div>
    <w:div w:id="1860581671">
      <w:bodyDiv w:val="1"/>
      <w:marLeft w:val="0"/>
      <w:marRight w:val="0"/>
      <w:marTop w:val="0"/>
      <w:marBottom w:val="0"/>
      <w:divBdr>
        <w:top w:val="none" w:sz="0" w:space="0" w:color="auto"/>
        <w:left w:val="none" w:sz="0" w:space="0" w:color="auto"/>
        <w:bottom w:val="none" w:sz="0" w:space="0" w:color="auto"/>
        <w:right w:val="none" w:sz="0" w:space="0" w:color="auto"/>
      </w:divBdr>
    </w:div>
    <w:div w:id="2048867827">
      <w:bodyDiv w:val="1"/>
      <w:marLeft w:val="0"/>
      <w:marRight w:val="0"/>
      <w:marTop w:val="0"/>
      <w:marBottom w:val="0"/>
      <w:divBdr>
        <w:top w:val="none" w:sz="0" w:space="0" w:color="auto"/>
        <w:left w:val="none" w:sz="0" w:space="0" w:color="auto"/>
        <w:bottom w:val="none" w:sz="0" w:space="0" w:color="auto"/>
        <w:right w:val="none" w:sz="0" w:space="0" w:color="auto"/>
      </w:divBdr>
    </w:div>
    <w:div w:id="209925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E2E0-CD48-4E56-89FA-5B9853C78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25</Pages>
  <Words>4260</Words>
  <Characters>23430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27635</CharactersWithSpaces>
  <SharedDoc>false</SharedDoc>
  <HLinks>
    <vt:vector size="6" baseType="variant">
      <vt:variant>
        <vt:i4>1769576</vt:i4>
      </vt:variant>
      <vt:variant>
        <vt:i4>0</vt:i4>
      </vt:variant>
      <vt:variant>
        <vt:i4>0</vt:i4>
      </vt:variant>
      <vt:variant>
        <vt:i4>5</vt:i4>
      </vt:variant>
      <vt:variant>
        <vt:lpwstr>http://10.10.15.15/siscon/gateway.dll/nJurisprudenciayTesis/nVigentesTercerayCuartaEpoca/compilaci%C3%B3n.htm?f=templates$fn=document-frame.htm$3.0$q=$uq=$x=$up=1</vt:lpwstr>
      </vt:variant>
      <vt:variant>
        <vt:lpwstr>06/2007_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JLRAHUA</dc:creator>
  <cp:keywords/>
  <cp:lastModifiedBy>Jazmín Alejandra Moreno Alcántara</cp:lastModifiedBy>
  <cp:revision>5</cp:revision>
  <cp:lastPrinted>2017-12-20T16:09:00Z</cp:lastPrinted>
  <dcterms:created xsi:type="dcterms:W3CDTF">2017-12-22T21:17:00Z</dcterms:created>
  <dcterms:modified xsi:type="dcterms:W3CDTF">2018-08-17T17:13:00Z</dcterms:modified>
</cp:coreProperties>
</file>