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9C" w:rsidRPr="00120CE0" w:rsidRDefault="00541C2A" w:rsidP="00C10EBB">
      <w:pPr>
        <w:ind w:left="3402"/>
        <w:jc w:val="both"/>
        <w:rPr>
          <w:rFonts w:ascii="Arial" w:hAnsi="Arial" w:cs="Arial"/>
          <w:b/>
          <w:bCs/>
          <w:spacing w:val="2"/>
          <w:sz w:val="28"/>
          <w:szCs w:val="28"/>
          <w:lang w:val="es-MX"/>
        </w:rPr>
      </w:pPr>
      <w:bookmarkStart w:id="0" w:name="_Hlk510975240"/>
      <w:r w:rsidRPr="00120CE0">
        <w:rPr>
          <w:rFonts w:ascii="Arial" w:hAnsi="Arial" w:cs="Arial"/>
          <w:b/>
          <w:bCs/>
          <w:spacing w:val="2"/>
          <w:sz w:val="28"/>
          <w:szCs w:val="28"/>
          <w:lang w:val="es-MX"/>
        </w:rPr>
        <w:t>JUICIO PARA LA PROTECCIÓN DE LOS DERECHOS POLÍTICO-ELECTORALES DEL CIUDADANO</w:t>
      </w:r>
    </w:p>
    <w:p w:rsidR="0074289C" w:rsidRPr="00120CE0" w:rsidRDefault="00541C2A" w:rsidP="00C10EBB">
      <w:pPr>
        <w:ind w:left="3402"/>
        <w:jc w:val="both"/>
        <w:rPr>
          <w:rFonts w:ascii="Arial" w:hAnsi="Arial" w:cs="Arial"/>
          <w:b/>
          <w:bCs/>
          <w:spacing w:val="2"/>
          <w:sz w:val="28"/>
          <w:szCs w:val="28"/>
          <w:lang w:val="es-MX"/>
        </w:rPr>
      </w:pPr>
      <w:r w:rsidRPr="00120CE0">
        <w:rPr>
          <w:rFonts w:ascii="Arial" w:hAnsi="Arial" w:cs="Arial"/>
          <w:b/>
          <w:bCs/>
          <w:spacing w:val="2"/>
          <w:sz w:val="28"/>
          <w:szCs w:val="28"/>
          <w:lang w:val="es-MX"/>
        </w:rPr>
        <w:t xml:space="preserve">EXPEDIENTE: </w:t>
      </w:r>
      <w:r w:rsidRPr="00120CE0">
        <w:rPr>
          <w:rFonts w:ascii="Arial" w:hAnsi="Arial" w:cs="Arial"/>
          <w:bCs/>
          <w:spacing w:val="2"/>
          <w:sz w:val="28"/>
          <w:szCs w:val="28"/>
          <w:lang w:val="es-MX"/>
        </w:rPr>
        <w:t>SUP-JDC-</w:t>
      </w:r>
      <w:r w:rsidR="00DA78AB" w:rsidRPr="00120CE0">
        <w:rPr>
          <w:rFonts w:ascii="Arial" w:hAnsi="Arial" w:cs="Arial"/>
          <w:bCs/>
          <w:spacing w:val="2"/>
          <w:sz w:val="28"/>
          <w:szCs w:val="28"/>
          <w:lang w:val="es-MX"/>
        </w:rPr>
        <w:t>222</w:t>
      </w:r>
      <w:r w:rsidRPr="00120CE0">
        <w:rPr>
          <w:rFonts w:ascii="Arial" w:hAnsi="Arial" w:cs="Arial"/>
          <w:bCs/>
          <w:spacing w:val="2"/>
          <w:sz w:val="28"/>
          <w:szCs w:val="28"/>
          <w:lang w:val="es-MX"/>
        </w:rPr>
        <w:t>/2018</w:t>
      </w:r>
      <w:r w:rsidR="00DA78AB" w:rsidRPr="00120CE0">
        <w:rPr>
          <w:rFonts w:ascii="Arial" w:hAnsi="Arial" w:cs="Arial"/>
          <w:bCs/>
          <w:spacing w:val="2"/>
          <w:sz w:val="28"/>
          <w:szCs w:val="28"/>
          <w:lang w:val="es-MX"/>
        </w:rPr>
        <w:t xml:space="preserve"> Y ACUMULADOS</w:t>
      </w:r>
    </w:p>
    <w:p w:rsidR="00D859FD" w:rsidRPr="00120CE0" w:rsidRDefault="000E518A" w:rsidP="00C10EBB">
      <w:pPr>
        <w:widowControl w:val="0"/>
        <w:shd w:val="clear" w:color="auto" w:fill="FFFFFF"/>
        <w:ind w:left="3402"/>
        <w:jc w:val="both"/>
        <w:rPr>
          <w:rFonts w:ascii="Arial" w:eastAsia="Calibri" w:hAnsi="Arial" w:cs="Arial"/>
          <w:bCs/>
          <w:sz w:val="28"/>
          <w:szCs w:val="28"/>
          <w:lang w:val="es-MX" w:eastAsia="es-MX"/>
        </w:rPr>
      </w:pPr>
      <w:r w:rsidRPr="00120CE0">
        <w:rPr>
          <w:rFonts w:ascii="Arial" w:hAnsi="Arial" w:cs="Arial"/>
          <w:b/>
          <w:bCs/>
          <w:spacing w:val="2"/>
          <w:sz w:val="28"/>
          <w:szCs w:val="28"/>
          <w:lang w:val="es-MX"/>
        </w:rPr>
        <w:t>ACTORES</w:t>
      </w:r>
      <w:r w:rsidR="00541C2A" w:rsidRPr="00120CE0">
        <w:rPr>
          <w:rFonts w:ascii="Arial" w:hAnsi="Arial" w:cs="Arial"/>
          <w:b/>
          <w:bCs/>
          <w:spacing w:val="2"/>
          <w:sz w:val="28"/>
          <w:szCs w:val="28"/>
          <w:lang w:val="es-MX"/>
        </w:rPr>
        <w:t>:</w:t>
      </w:r>
      <w:r w:rsidR="00DA78AB" w:rsidRPr="00120CE0">
        <w:rPr>
          <w:rFonts w:ascii="Arial" w:eastAsia="Calibri" w:hAnsi="Arial" w:cs="Arial"/>
          <w:bCs/>
          <w:sz w:val="28"/>
          <w:szCs w:val="28"/>
          <w:lang w:val="es-MX" w:eastAsia="es-MX"/>
        </w:rPr>
        <w:t xml:space="preserve"> </w:t>
      </w:r>
      <w:bookmarkStart w:id="1" w:name="_Hlk510959757"/>
      <w:r w:rsidRPr="00120CE0">
        <w:rPr>
          <w:rFonts w:ascii="Arial" w:eastAsia="Calibri" w:hAnsi="Arial" w:cs="Arial"/>
          <w:bCs/>
          <w:sz w:val="28"/>
          <w:szCs w:val="28"/>
          <w:lang w:val="es-MX" w:eastAsia="es-MX"/>
        </w:rPr>
        <w:t>MARGARITA ESTER ZAVALA GÓMEZ DEL CAMPO</w:t>
      </w:r>
      <w:bookmarkEnd w:id="1"/>
      <w:r w:rsidR="00DC5E8E">
        <w:rPr>
          <w:rFonts w:ascii="Arial" w:eastAsia="Calibri" w:hAnsi="Arial" w:cs="Arial"/>
          <w:bCs/>
          <w:sz w:val="28"/>
          <w:szCs w:val="28"/>
          <w:lang w:val="es-MX" w:eastAsia="es-MX"/>
        </w:rPr>
        <w:t xml:space="preserve"> Y OTROS</w:t>
      </w:r>
    </w:p>
    <w:p w:rsidR="00D859FD" w:rsidRPr="00120CE0" w:rsidRDefault="00DB29C9" w:rsidP="00C10EBB">
      <w:pPr>
        <w:ind w:left="3402"/>
        <w:jc w:val="both"/>
        <w:rPr>
          <w:rFonts w:ascii="Arial" w:hAnsi="Arial" w:cs="Arial"/>
          <w:bCs/>
          <w:sz w:val="28"/>
          <w:szCs w:val="28"/>
          <w:lang w:val="es-MX"/>
        </w:rPr>
      </w:pPr>
      <w:r w:rsidRPr="00120CE0">
        <w:rPr>
          <w:rFonts w:ascii="Arial" w:hAnsi="Arial" w:cs="Arial"/>
          <w:b/>
          <w:bCs/>
          <w:spacing w:val="2"/>
          <w:sz w:val="28"/>
          <w:szCs w:val="28"/>
          <w:lang w:val="es-MX"/>
        </w:rPr>
        <w:t xml:space="preserve">RESPONSABLE: </w:t>
      </w:r>
      <w:r w:rsidRPr="00120CE0">
        <w:rPr>
          <w:rFonts w:ascii="Arial" w:hAnsi="Arial" w:cs="Arial"/>
          <w:bCs/>
          <w:spacing w:val="2"/>
          <w:sz w:val="28"/>
          <w:szCs w:val="28"/>
          <w:lang w:val="es-MX"/>
        </w:rPr>
        <w:t>CONSEJO GENERAL DEL INSTITUTO NACIONAL ELECTORAL</w:t>
      </w:r>
    </w:p>
    <w:p w:rsidR="0074289C" w:rsidRPr="00120CE0" w:rsidRDefault="00541C2A" w:rsidP="00C10EBB">
      <w:pPr>
        <w:ind w:left="3402"/>
        <w:jc w:val="both"/>
        <w:rPr>
          <w:rFonts w:ascii="Arial" w:hAnsi="Arial" w:cs="Arial"/>
          <w:bCs/>
          <w:spacing w:val="2"/>
          <w:sz w:val="28"/>
          <w:szCs w:val="28"/>
          <w:lang w:val="es-MX"/>
        </w:rPr>
      </w:pPr>
      <w:r w:rsidRPr="00120CE0">
        <w:rPr>
          <w:rFonts w:ascii="Arial" w:hAnsi="Arial" w:cs="Arial"/>
          <w:b/>
          <w:bCs/>
          <w:spacing w:val="2"/>
          <w:sz w:val="28"/>
          <w:szCs w:val="28"/>
          <w:lang w:val="es-MX"/>
        </w:rPr>
        <w:t xml:space="preserve">MAGISTRADO PONENTE: </w:t>
      </w:r>
      <w:r w:rsidRPr="00120CE0">
        <w:rPr>
          <w:rFonts w:ascii="Arial" w:hAnsi="Arial" w:cs="Arial"/>
          <w:bCs/>
          <w:spacing w:val="2"/>
          <w:sz w:val="28"/>
          <w:szCs w:val="28"/>
          <w:lang w:val="es-MX"/>
        </w:rPr>
        <w:t>FELIPE ALFREDO FUENTES BARRERA</w:t>
      </w:r>
    </w:p>
    <w:p w:rsidR="00730D0E" w:rsidRDefault="00541C2A" w:rsidP="00C10EBB">
      <w:pPr>
        <w:spacing w:after="0"/>
        <w:ind w:left="3402"/>
        <w:jc w:val="both"/>
        <w:rPr>
          <w:rFonts w:ascii="Arial" w:hAnsi="Arial" w:cs="Arial"/>
          <w:bCs/>
          <w:spacing w:val="2"/>
          <w:sz w:val="28"/>
          <w:szCs w:val="28"/>
        </w:rPr>
      </w:pPr>
      <w:r w:rsidRPr="00120CE0">
        <w:rPr>
          <w:rFonts w:ascii="Arial" w:hAnsi="Arial" w:cs="Arial"/>
          <w:b/>
          <w:bCs/>
          <w:spacing w:val="2"/>
          <w:sz w:val="28"/>
          <w:szCs w:val="28"/>
        </w:rPr>
        <w:t>SECRETARIO</w:t>
      </w:r>
      <w:r w:rsidR="00FD2ABC" w:rsidRPr="00120CE0">
        <w:rPr>
          <w:rFonts w:ascii="Arial" w:hAnsi="Arial" w:cs="Arial"/>
          <w:b/>
          <w:bCs/>
          <w:spacing w:val="2"/>
          <w:sz w:val="28"/>
          <w:szCs w:val="28"/>
        </w:rPr>
        <w:t>S</w:t>
      </w:r>
      <w:r w:rsidRPr="00120CE0">
        <w:rPr>
          <w:rFonts w:ascii="Arial" w:hAnsi="Arial" w:cs="Arial"/>
          <w:b/>
          <w:bCs/>
          <w:spacing w:val="2"/>
          <w:sz w:val="28"/>
          <w:szCs w:val="28"/>
        </w:rPr>
        <w:t xml:space="preserve">: </w:t>
      </w:r>
      <w:r w:rsidRPr="00120CE0">
        <w:rPr>
          <w:rFonts w:ascii="Arial" w:hAnsi="Arial" w:cs="Arial"/>
          <w:bCs/>
          <w:spacing w:val="2"/>
          <w:sz w:val="28"/>
          <w:szCs w:val="28"/>
        </w:rPr>
        <w:t>JESÚS RENÉ QUIÑONES CEBALLOS</w:t>
      </w:r>
      <w:r w:rsidR="00D859FD" w:rsidRPr="00120CE0">
        <w:rPr>
          <w:rFonts w:ascii="Arial" w:hAnsi="Arial" w:cs="Arial"/>
          <w:bCs/>
          <w:spacing w:val="2"/>
          <w:sz w:val="28"/>
          <w:szCs w:val="28"/>
        </w:rPr>
        <w:t xml:space="preserve">, MARTÍN ALEJANDRO AMAYA </w:t>
      </w:r>
      <w:r w:rsidR="008E06E6" w:rsidRPr="00120CE0">
        <w:rPr>
          <w:rFonts w:ascii="Arial" w:hAnsi="Arial" w:cs="Arial"/>
          <w:bCs/>
          <w:spacing w:val="2"/>
          <w:sz w:val="28"/>
          <w:szCs w:val="28"/>
        </w:rPr>
        <w:t>ALCÁNTARA</w:t>
      </w:r>
      <w:r w:rsidR="00D859FD" w:rsidRPr="00120CE0">
        <w:rPr>
          <w:rFonts w:ascii="Arial" w:hAnsi="Arial" w:cs="Arial"/>
          <w:bCs/>
          <w:spacing w:val="2"/>
          <w:sz w:val="28"/>
          <w:szCs w:val="28"/>
        </w:rPr>
        <w:t xml:space="preserve"> y OMAR BONILLA MARÍN</w:t>
      </w:r>
    </w:p>
    <w:p w:rsidR="00CA7B9B" w:rsidRDefault="00CA7B9B" w:rsidP="00C10EBB">
      <w:pPr>
        <w:spacing w:after="0"/>
        <w:ind w:left="3402"/>
        <w:jc w:val="both"/>
        <w:rPr>
          <w:rFonts w:ascii="Arial" w:hAnsi="Arial" w:cs="Arial"/>
          <w:bCs/>
          <w:spacing w:val="2"/>
          <w:sz w:val="28"/>
          <w:szCs w:val="28"/>
        </w:rPr>
      </w:pPr>
    </w:p>
    <w:p w:rsidR="00CA7B9B" w:rsidRPr="00CA7B9B" w:rsidRDefault="00CA7B9B" w:rsidP="00C10EBB">
      <w:pPr>
        <w:spacing w:after="0"/>
        <w:ind w:left="3402"/>
        <w:jc w:val="both"/>
        <w:rPr>
          <w:rFonts w:ascii="Arial" w:hAnsi="Arial" w:cs="Arial"/>
          <w:bCs/>
          <w:spacing w:val="2"/>
          <w:sz w:val="28"/>
          <w:szCs w:val="28"/>
        </w:rPr>
      </w:pPr>
      <w:r w:rsidRPr="00CA7B9B">
        <w:rPr>
          <w:rFonts w:ascii="Arial" w:hAnsi="Arial" w:cs="Arial"/>
          <w:b/>
          <w:bCs/>
          <w:spacing w:val="2"/>
          <w:sz w:val="28"/>
          <w:szCs w:val="28"/>
        </w:rPr>
        <w:t xml:space="preserve">COLABORARON: </w:t>
      </w:r>
      <w:r>
        <w:rPr>
          <w:rFonts w:ascii="Arial" w:hAnsi="Arial" w:cs="Arial"/>
          <w:bCs/>
          <w:spacing w:val="2"/>
          <w:sz w:val="28"/>
          <w:szCs w:val="28"/>
        </w:rPr>
        <w:t>ELIZABETH CORONEL MENDOZA, REBECA DE OLARTE JIMÉNEZ Y REBECA DEBERNARDI MUSTIELES</w:t>
      </w:r>
    </w:p>
    <w:p w:rsidR="00231D29" w:rsidRPr="00B57FF9" w:rsidRDefault="00231D29" w:rsidP="00B57FF9">
      <w:pPr>
        <w:spacing w:after="0" w:line="240" w:lineRule="auto"/>
        <w:jc w:val="both"/>
        <w:rPr>
          <w:rFonts w:ascii="Arial" w:hAnsi="Arial" w:cs="Arial"/>
          <w:bCs/>
          <w:spacing w:val="2"/>
          <w:sz w:val="24"/>
          <w:szCs w:val="28"/>
        </w:rPr>
      </w:pPr>
    </w:p>
    <w:p w:rsidR="007B3303" w:rsidRPr="006838F7" w:rsidRDefault="007B3303" w:rsidP="006D26E8">
      <w:pPr>
        <w:pStyle w:val="Prrafosentencia0"/>
      </w:pPr>
      <w:r w:rsidRPr="006838F7">
        <w:t xml:space="preserve">Ciudad de México. Sentencia de la Sala Superior del Tribunal Electoral del Poder Judicial de la Federación, correspondiente a la sesión de </w:t>
      </w:r>
      <w:r w:rsidR="007C7A19">
        <w:t>veinticinco</w:t>
      </w:r>
      <w:r w:rsidRPr="006838F7">
        <w:t xml:space="preserve"> de </w:t>
      </w:r>
      <w:r w:rsidR="00020996" w:rsidRPr="006838F7">
        <w:t>abril</w:t>
      </w:r>
      <w:r w:rsidRPr="006838F7">
        <w:t xml:space="preserve"> de dos mil dieciocho.</w:t>
      </w:r>
    </w:p>
    <w:p w:rsidR="00FD5C62" w:rsidRPr="006838F7" w:rsidRDefault="00402C79" w:rsidP="006D26E8">
      <w:pPr>
        <w:pStyle w:val="Prrafosentencia0"/>
        <w:rPr>
          <w:u w:color="000000"/>
        </w:rPr>
      </w:pPr>
      <w:r w:rsidRPr="006838F7">
        <w:rPr>
          <w:b/>
          <w:u w:color="000000"/>
        </w:rPr>
        <w:t>VISTOS,</w:t>
      </w:r>
      <w:r w:rsidRPr="00120CE0">
        <w:rPr>
          <w:u w:color="000000"/>
        </w:rPr>
        <w:t xml:space="preserve"> </w:t>
      </w:r>
      <w:r w:rsidRPr="006838F7">
        <w:rPr>
          <w:u w:color="000000"/>
        </w:rPr>
        <w:t>para resolver los autos del juicio al rubro indicado.</w:t>
      </w:r>
    </w:p>
    <w:p w:rsidR="00402C79" w:rsidRPr="00120CE0" w:rsidRDefault="00402C79" w:rsidP="00B57FF9">
      <w:pPr>
        <w:autoSpaceDE w:val="0"/>
        <w:autoSpaceDN w:val="0"/>
        <w:adjustRightInd w:val="0"/>
        <w:spacing w:before="120" w:after="120" w:line="240" w:lineRule="auto"/>
        <w:jc w:val="center"/>
        <w:rPr>
          <w:rFonts w:ascii="Arial" w:hAnsi="Arial" w:cs="Arial"/>
          <w:b/>
          <w:sz w:val="28"/>
          <w:szCs w:val="28"/>
          <w:u w:color="000000"/>
        </w:rPr>
      </w:pPr>
      <w:r w:rsidRPr="00120CE0">
        <w:rPr>
          <w:rFonts w:ascii="Arial" w:hAnsi="Arial" w:cs="Arial"/>
          <w:b/>
          <w:sz w:val="28"/>
          <w:szCs w:val="28"/>
          <w:u w:color="000000"/>
        </w:rPr>
        <w:t>R E S U L T A N D O</w:t>
      </w:r>
      <w:r w:rsidR="00205E60" w:rsidRPr="00120CE0">
        <w:rPr>
          <w:rFonts w:ascii="Arial" w:hAnsi="Arial" w:cs="Arial"/>
          <w:b/>
          <w:sz w:val="28"/>
          <w:szCs w:val="28"/>
          <w:u w:color="000000"/>
        </w:rPr>
        <w:t>:</w:t>
      </w:r>
    </w:p>
    <w:p w:rsidR="00DC5E8E" w:rsidRDefault="00402C79" w:rsidP="00B57FF9">
      <w:pPr>
        <w:pStyle w:val="Prrafosentencia0"/>
        <w:spacing w:after="120"/>
      </w:pPr>
      <w:r w:rsidRPr="00DD39DA">
        <w:rPr>
          <w:b/>
        </w:rPr>
        <w:lastRenderedPageBreak/>
        <w:t xml:space="preserve">1. Presentación de </w:t>
      </w:r>
      <w:r w:rsidR="00DB29C9" w:rsidRPr="00DD39DA">
        <w:rPr>
          <w:b/>
        </w:rPr>
        <w:t xml:space="preserve">las </w:t>
      </w:r>
      <w:r w:rsidRPr="00DD39DA">
        <w:rPr>
          <w:b/>
        </w:rPr>
        <w:t>demanda</w:t>
      </w:r>
      <w:r w:rsidR="00DB29C9" w:rsidRPr="00DD39DA">
        <w:rPr>
          <w:b/>
        </w:rPr>
        <w:t>s</w:t>
      </w:r>
      <w:r w:rsidRPr="00DD39DA">
        <w:rPr>
          <w:b/>
        </w:rPr>
        <w:t>.</w:t>
      </w:r>
      <w:r w:rsidRPr="00120CE0">
        <w:t xml:space="preserve"> </w:t>
      </w:r>
      <w:r w:rsidR="00DC5E8E">
        <w:t>En marzo y abril del presente año, los siguientes ciudadanos:</w:t>
      </w:r>
    </w:p>
    <w:tbl>
      <w:tblPr>
        <w:tblStyle w:val="Tablaconcuadrcula"/>
        <w:tblW w:w="0" w:type="auto"/>
        <w:jc w:val="center"/>
        <w:tblLook w:val="04A0" w:firstRow="1" w:lastRow="0" w:firstColumn="1" w:lastColumn="0" w:noHBand="0" w:noVBand="1"/>
      </w:tblPr>
      <w:tblGrid>
        <w:gridCol w:w="335"/>
        <w:gridCol w:w="2784"/>
        <w:gridCol w:w="3123"/>
        <w:gridCol w:w="1737"/>
      </w:tblGrid>
      <w:tr w:rsidR="00F44B6E" w:rsidRPr="00B57FF9" w:rsidTr="00F44B6E">
        <w:trPr>
          <w:jc w:val="center"/>
        </w:trPr>
        <w:tc>
          <w:tcPr>
            <w:tcW w:w="0" w:type="auto"/>
            <w:shd w:val="clear" w:color="auto" w:fill="BFBFBF" w:themeFill="background1" w:themeFillShade="BF"/>
            <w:vAlign w:val="center"/>
          </w:tcPr>
          <w:p w:rsidR="00DC5E8E" w:rsidRPr="00B57FF9" w:rsidRDefault="00F44B6E" w:rsidP="00F44B6E">
            <w:pPr>
              <w:pStyle w:val="Prrafosentencia0"/>
              <w:spacing w:before="0" w:after="0" w:line="240" w:lineRule="auto"/>
              <w:ind w:firstLine="0"/>
              <w:jc w:val="center"/>
              <w:rPr>
                <w:rFonts w:ascii="Arial Narrow" w:hAnsi="Arial Narrow"/>
                <w:b/>
                <w:sz w:val="20"/>
                <w:szCs w:val="20"/>
              </w:rPr>
            </w:pPr>
            <w:r w:rsidRPr="00B57FF9">
              <w:rPr>
                <w:rFonts w:ascii="Arial Narrow" w:hAnsi="Arial Narrow"/>
                <w:b/>
                <w:sz w:val="20"/>
                <w:szCs w:val="20"/>
              </w:rPr>
              <w:t>N</w:t>
            </w:r>
          </w:p>
        </w:tc>
        <w:tc>
          <w:tcPr>
            <w:tcW w:w="2788" w:type="dxa"/>
            <w:shd w:val="clear" w:color="auto" w:fill="BFBFBF" w:themeFill="background1" w:themeFillShade="BF"/>
            <w:vAlign w:val="center"/>
          </w:tcPr>
          <w:p w:rsidR="00DC5E8E" w:rsidRPr="00B57FF9" w:rsidRDefault="00DC5E8E" w:rsidP="00F44B6E">
            <w:pPr>
              <w:pStyle w:val="Prrafosentencia0"/>
              <w:spacing w:before="0" w:after="0" w:line="240" w:lineRule="auto"/>
              <w:ind w:firstLine="0"/>
              <w:jc w:val="center"/>
              <w:rPr>
                <w:rFonts w:ascii="Arial Narrow" w:hAnsi="Arial Narrow"/>
                <w:b/>
                <w:sz w:val="20"/>
                <w:szCs w:val="20"/>
              </w:rPr>
            </w:pPr>
            <w:r w:rsidRPr="00B57FF9">
              <w:rPr>
                <w:rFonts w:ascii="Arial Narrow" w:hAnsi="Arial Narrow"/>
                <w:b/>
                <w:sz w:val="20"/>
                <w:szCs w:val="20"/>
              </w:rPr>
              <w:t>Actor (a)</w:t>
            </w:r>
          </w:p>
        </w:tc>
        <w:tc>
          <w:tcPr>
            <w:tcW w:w="3127" w:type="dxa"/>
            <w:shd w:val="clear" w:color="auto" w:fill="BFBFBF" w:themeFill="background1" w:themeFillShade="BF"/>
            <w:vAlign w:val="center"/>
          </w:tcPr>
          <w:p w:rsidR="00DC5E8E" w:rsidRPr="00B57FF9" w:rsidRDefault="00F44B6E" w:rsidP="00F44B6E">
            <w:pPr>
              <w:pStyle w:val="Prrafosentencia0"/>
              <w:spacing w:before="0" w:after="0" w:line="240" w:lineRule="auto"/>
              <w:ind w:firstLine="0"/>
              <w:jc w:val="center"/>
              <w:rPr>
                <w:rFonts w:ascii="Arial Narrow" w:hAnsi="Arial Narrow"/>
                <w:b/>
                <w:sz w:val="20"/>
                <w:szCs w:val="20"/>
              </w:rPr>
            </w:pPr>
            <w:r w:rsidRPr="00B57FF9">
              <w:rPr>
                <w:rFonts w:ascii="Arial Narrow" w:hAnsi="Arial Narrow"/>
                <w:b/>
                <w:sz w:val="20"/>
                <w:szCs w:val="20"/>
              </w:rPr>
              <w:t>Candidato(a) a:</w:t>
            </w:r>
          </w:p>
        </w:tc>
        <w:tc>
          <w:tcPr>
            <w:tcW w:w="1738" w:type="dxa"/>
            <w:shd w:val="clear" w:color="auto" w:fill="BFBFBF" w:themeFill="background1" w:themeFillShade="BF"/>
            <w:vAlign w:val="center"/>
          </w:tcPr>
          <w:p w:rsidR="00DC5E8E" w:rsidRPr="00B57FF9" w:rsidRDefault="000D4463" w:rsidP="00F44B6E">
            <w:pPr>
              <w:pStyle w:val="Prrafosentencia0"/>
              <w:spacing w:before="0" w:after="0" w:line="240" w:lineRule="auto"/>
              <w:ind w:firstLine="0"/>
              <w:jc w:val="center"/>
              <w:rPr>
                <w:rFonts w:ascii="Arial Narrow" w:hAnsi="Arial Narrow"/>
                <w:b/>
                <w:sz w:val="20"/>
                <w:szCs w:val="20"/>
              </w:rPr>
            </w:pPr>
            <w:r w:rsidRPr="00B57FF9">
              <w:rPr>
                <w:rFonts w:ascii="Arial Narrow" w:hAnsi="Arial Narrow"/>
                <w:b/>
                <w:sz w:val="20"/>
                <w:szCs w:val="20"/>
              </w:rPr>
              <w:t>P</w:t>
            </w:r>
            <w:r w:rsidR="00DC5E8E" w:rsidRPr="00B57FF9">
              <w:rPr>
                <w:rFonts w:ascii="Arial Narrow" w:hAnsi="Arial Narrow"/>
                <w:b/>
                <w:sz w:val="20"/>
                <w:szCs w:val="20"/>
              </w:rPr>
              <w:t>resentación de la demanda</w:t>
            </w:r>
            <w:r w:rsidR="00F44B6E" w:rsidRPr="00B57FF9">
              <w:rPr>
                <w:rStyle w:val="Refdenotaalpie"/>
                <w:rFonts w:ascii="Arial Narrow" w:hAnsi="Arial Narrow"/>
                <w:b/>
                <w:sz w:val="20"/>
                <w:szCs w:val="20"/>
              </w:rPr>
              <w:footnoteReference w:id="1"/>
            </w:r>
          </w:p>
        </w:tc>
      </w:tr>
      <w:tr w:rsidR="00F44B6E" w:rsidRPr="00B57FF9" w:rsidTr="00F44B6E">
        <w:trPr>
          <w:jc w:val="center"/>
        </w:trPr>
        <w:tc>
          <w:tcPr>
            <w:tcW w:w="0" w:type="auto"/>
          </w:tcPr>
          <w:p w:rsidR="00DC5E8E" w:rsidRPr="00B57FF9" w:rsidRDefault="00DC5E8E" w:rsidP="00F44B6E">
            <w:pPr>
              <w:pStyle w:val="Prrafosentencia0"/>
              <w:spacing w:before="0" w:after="0" w:line="240" w:lineRule="auto"/>
              <w:ind w:firstLine="0"/>
              <w:rPr>
                <w:rFonts w:ascii="Arial Narrow" w:hAnsi="Arial Narrow"/>
                <w:b/>
                <w:sz w:val="20"/>
                <w:szCs w:val="20"/>
              </w:rPr>
            </w:pPr>
            <w:r w:rsidRPr="00B57FF9">
              <w:rPr>
                <w:rFonts w:ascii="Arial Narrow" w:hAnsi="Arial Narrow"/>
                <w:b/>
                <w:sz w:val="20"/>
                <w:szCs w:val="20"/>
              </w:rPr>
              <w:t>1</w:t>
            </w:r>
          </w:p>
        </w:tc>
        <w:tc>
          <w:tcPr>
            <w:tcW w:w="2788" w:type="dxa"/>
            <w:vAlign w:val="center"/>
          </w:tcPr>
          <w:p w:rsidR="00DC5E8E" w:rsidRPr="00B57FF9" w:rsidRDefault="00F44B6E" w:rsidP="00F44B6E">
            <w:pPr>
              <w:pStyle w:val="Prrafosentencia0"/>
              <w:spacing w:before="0" w:after="0" w:line="240" w:lineRule="auto"/>
              <w:ind w:firstLine="0"/>
              <w:rPr>
                <w:rFonts w:ascii="Arial Narrow" w:hAnsi="Arial Narrow"/>
                <w:sz w:val="20"/>
                <w:szCs w:val="20"/>
              </w:rPr>
            </w:pPr>
            <w:r w:rsidRPr="00B57FF9">
              <w:rPr>
                <w:rFonts w:ascii="Arial Narrow" w:hAnsi="Arial Narrow"/>
                <w:sz w:val="20"/>
                <w:szCs w:val="20"/>
              </w:rPr>
              <w:t>Manuel Jesús Clouthier Carrillo</w:t>
            </w:r>
          </w:p>
        </w:tc>
        <w:tc>
          <w:tcPr>
            <w:tcW w:w="3127" w:type="dxa"/>
            <w:vAlign w:val="center"/>
          </w:tcPr>
          <w:p w:rsidR="00DC5E8E" w:rsidRPr="00B57FF9" w:rsidRDefault="00F44B6E" w:rsidP="00F44B6E">
            <w:pPr>
              <w:pStyle w:val="Prrafosentencia0"/>
              <w:spacing w:before="0" w:after="0" w:line="240" w:lineRule="auto"/>
              <w:ind w:firstLine="0"/>
              <w:rPr>
                <w:rFonts w:ascii="Arial Narrow" w:hAnsi="Arial Narrow"/>
                <w:sz w:val="20"/>
                <w:szCs w:val="20"/>
              </w:rPr>
            </w:pPr>
            <w:r w:rsidRPr="00B57FF9">
              <w:rPr>
                <w:rFonts w:ascii="Arial Narrow" w:hAnsi="Arial Narrow"/>
                <w:sz w:val="20"/>
                <w:szCs w:val="20"/>
              </w:rPr>
              <w:t>Senador de mayoría relativa en Sinaloa</w:t>
            </w:r>
          </w:p>
        </w:tc>
        <w:tc>
          <w:tcPr>
            <w:tcW w:w="1738" w:type="dxa"/>
            <w:vAlign w:val="center"/>
          </w:tcPr>
          <w:p w:rsidR="00DC5E8E" w:rsidRPr="00B57FF9" w:rsidRDefault="00F44B6E" w:rsidP="00F44B6E">
            <w:pPr>
              <w:pStyle w:val="Prrafosentencia0"/>
              <w:spacing w:before="0" w:after="0" w:line="240" w:lineRule="auto"/>
              <w:ind w:firstLine="0"/>
              <w:jc w:val="center"/>
              <w:rPr>
                <w:rFonts w:ascii="Arial Narrow" w:hAnsi="Arial Narrow"/>
                <w:sz w:val="20"/>
                <w:szCs w:val="20"/>
              </w:rPr>
            </w:pPr>
            <w:r w:rsidRPr="00B57FF9">
              <w:rPr>
                <w:rFonts w:ascii="Arial Narrow" w:hAnsi="Arial Narrow"/>
                <w:sz w:val="20"/>
                <w:szCs w:val="20"/>
              </w:rPr>
              <w:t>31 de marzo</w:t>
            </w:r>
            <w:r w:rsidR="00591EB4" w:rsidRPr="00B57FF9">
              <w:rPr>
                <w:rStyle w:val="Refdenotaalpie"/>
                <w:rFonts w:ascii="Arial Narrow" w:hAnsi="Arial Narrow"/>
                <w:sz w:val="20"/>
                <w:szCs w:val="20"/>
              </w:rPr>
              <w:footnoteReference w:id="2"/>
            </w:r>
          </w:p>
        </w:tc>
      </w:tr>
      <w:tr w:rsidR="00F44B6E" w:rsidRPr="00B57FF9" w:rsidTr="00F44B6E">
        <w:trPr>
          <w:jc w:val="center"/>
        </w:trPr>
        <w:tc>
          <w:tcPr>
            <w:tcW w:w="0" w:type="auto"/>
          </w:tcPr>
          <w:p w:rsidR="00DC5E8E" w:rsidRPr="00B57FF9" w:rsidRDefault="00DC5E8E" w:rsidP="00F44B6E">
            <w:pPr>
              <w:pStyle w:val="Prrafosentencia0"/>
              <w:spacing w:before="0" w:after="0" w:line="240" w:lineRule="auto"/>
              <w:ind w:firstLine="0"/>
              <w:rPr>
                <w:rFonts w:ascii="Arial Narrow" w:hAnsi="Arial Narrow"/>
                <w:b/>
                <w:sz w:val="20"/>
                <w:szCs w:val="20"/>
              </w:rPr>
            </w:pPr>
            <w:r w:rsidRPr="00B57FF9">
              <w:rPr>
                <w:rFonts w:ascii="Arial Narrow" w:hAnsi="Arial Narrow"/>
                <w:b/>
                <w:sz w:val="20"/>
                <w:szCs w:val="20"/>
              </w:rPr>
              <w:t>2</w:t>
            </w:r>
          </w:p>
        </w:tc>
        <w:tc>
          <w:tcPr>
            <w:tcW w:w="2788" w:type="dxa"/>
            <w:vAlign w:val="center"/>
          </w:tcPr>
          <w:p w:rsidR="00DC5E8E" w:rsidRPr="00B57FF9" w:rsidRDefault="00F44B6E" w:rsidP="00F44B6E">
            <w:pPr>
              <w:pStyle w:val="Prrafosentencia0"/>
              <w:spacing w:before="0" w:after="0" w:line="240" w:lineRule="auto"/>
              <w:ind w:firstLine="0"/>
              <w:rPr>
                <w:rFonts w:ascii="Arial Narrow" w:hAnsi="Arial Narrow"/>
                <w:sz w:val="20"/>
                <w:szCs w:val="20"/>
              </w:rPr>
            </w:pPr>
            <w:r w:rsidRPr="00B57FF9">
              <w:rPr>
                <w:rFonts w:ascii="Arial Narrow" w:hAnsi="Arial Narrow"/>
                <w:sz w:val="20"/>
                <w:szCs w:val="20"/>
              </w:rPr>
              <w:t>Margarita Ester Zavala Gómez Del Campo</w:t>
            </w:r>
            <w:r w:rsidRPr="00B57FF9">
              <w:rPr>
                <w:rStyle w:val="Refdenotaalpie"/>
                <w:rFonts w:ascii="Arial Narrow" w:hAnsi="Arial Narrow"/>
                <w:sz w:val="20"/>
                <w:szCs w:val="20"/>
              </w:rPr>
              <w:footnoteReference w:id="3"/>
            </w:r>
          </w:p>
        </w:tc>
        <w:tc>
          <w:tcPr>
            <w:tcW w:w="3127" w:type="dxa"/>
            <w:vAlign w:val="center"/>
          </w:tcPr>
          <w:p w:rsidR="00DC5E8E" w:rsidRPr="00B57FF9" w:rsidRDefault="00F44B6E" w:rsidP="00F44B6E">
            <w:pPr>
              <w:pStyle w:val="Prrafosentencia0"/>
              <w:spacing w:before="0" w:after="0" w:line="240" w:lineRule="auto"/>
              <w:ind w:firstLine="0"/>
              <w:rPr>
                <w:rFonts w:ascii="Arial Narrow" w:hAnsi="Arial Narrow"/>
                <w:sz w:val="20"/>
                <w:szCs w:val="20"/>
              </w:rPr>
            </w:pPr>
            <w:r w:rsidRPr="00B57FF9">
              <w:rPr>
                <w:rFonts w:ascii="Arial Narrow" w:hAnsi="Arial Narrow"/>
                <w:sz w:val="20"/>
                <w:szCs w:val="20"/>
              </w:rPr>
              <w:t>Presidenta de la República</w:t>
            </w:r>
          </w:p>
        </w:tc>
        <w:tc>
          <w:tcPr>
            <w:tcW w:w="1738" w:type="dxa"/>
            <w:vAlign w:val="center"/>
          </w:tcPr>
          <w:p w:rsidR="00DC5E8E" w:rsidRPr="00B57FF9" w:rsidRDefault="00F44B6E" w:rsidP="00F44B6E">
            <w:pPr>
              <w:pStyle w:val="Prrafosentencia0"/>
              <w:spacing w:before="0" w:after="0" w:line="240" w:lineRule="auto"/>
              <w:ind w:firstLine="0"/>
              <w:jc w:val="center"/>
              <w:rPr>
                <w:rFonts w:ascii="Arial Narrow" w:hAnsi="Arial Narrow"/>
                <w:sz w:val="20"/>
                <w:szCs w:val="20"/>
              </w:rPr>
            </w:pPr>
            <w:r w:rsidRPr="00B57FF9">
              <w:rPr>
                <w:rFonts w:ascii="Arial Narrow" w:hAnsi="Arial Narrow"/>
                <w:sz w:val="20"/>
                <w:szCs w:val="20"/>
              </w:rPr>
              <w:t>2 de abril</w:t>
            </w:r>
          </w:p>
        </w:tc>
      </w:tr>
      <w:tr w:rsidR="00F44B6E" w:rsidRPr="00B57FF9" w:rsidTr="00F44B6E">
        <w:trPr>
          <w:jc w:val="center"/>
        </w:trPr>
        <w:tc>
          <w:tcPr>
            <w:tcW w:w="0" w:type="auto"/>
          </w:tcPr>
          <w:p w:rsidR="00DC5E8E" w:rsidRPr="00B57FF9" w:rsidRDefault="00DC5E8E" w:rsidP="00F44B6E">
            <w:pPr>
              <w:pStyle w:val="Prrafosentencia0"/>
              <w:spacing w:before="0" w:after="0" w:line="240" w:lineRule="auto"/>
              <w:ind w:firstLine="0"/>
              <w:rPr>
                <w:rFonts w:ascii="Arial Narrow" w:hAnsi="Arial Narrow"/>
                <w:b/>
                <w:sz w:val="20"/>
                <w:szCs w:val="20"/>
              </w:rPr>
            </w:pPr>
            <w:r w:rsidRPr="00B57FF9">
              <w:rPr>
                <w:rFonts w:ascii="Arial Narrow" w:hAnsi="Arial Narrow"/>
                <w:b/>
                <w:sz w:val="20"/>
                <w:szCs w:val="20"/>
              </w:rPr>
              <w:t>3</w:t>
            </w:r>
          </w:p>
        </w:tc>
        <w:tc>
          <w:tcPr>
            <w:tcW w:w="2788" w:type="dxa"/>
            <w:vAlign w:val="center"/>
          </w:tcPr>
          <w:p w:rsidR="00DC5E8E" w:rsidRPr="00B57FF9" w:rsidRDefault="00F44B6E" w:rsidP="00F44B6E">
            <w:pPr>
              <w:pStyle w:val="Prrafosentencia0"/>
              <w:spacing w:before="0" w:after="0" w:line="240" w:lineRule="auto"/>
              <w:ind w:firstLine="0"/>
              <w:rPr>
                <w:rFonts w:ascii="Arial Narrow" w:hAnsi="Arial Narrow"/>
                <w:sz w:val="20"/>
                <w:szCs w:val="20"/>
              </w:rPr>
            </w:pPr>
            <w:r w:rsidRPr="00B57FF9">
              <w:rPr>
                <w:rFonts w:ascii="Arial Narrow" w:hAnsi="Arial Narrow"/>
                <w:sz w:val="20"/>
                <w:szCs w:val="20"/>
              </w:rPr>
              <w:t>Pablo Abner Salazar Mendiguchia</w:t>
            </w:r>
          </w:p>
        </w:tc>
        <w:tc>
          <w:tcPr>
            <w:tcW w:w="3127" w:type="dxa"/>
            <w:vAlign w:val="center"/>
          </w:tcPr>
          <w:p w:rsidR="00DC5E8E" w:rsidRPr="00B57FF9" w:rsidRDefault="00F44B6E" w:rsidP="00F44B6E">
            <w:pPr>
              <w:pStyle w:val="Prrafosentencia0"/>
              <w:spacing w:before="0" w:after="0" w:line="240" w:lineRule="auto"/>
              <w:ind w:firstLine="0"/>
              <w:rPr>
                <w:rFonts w:ascii="Arial Narrow" w:hAnsi="Arial Narrow"/>
                <w:sz w:val="20"/>
                <w:szCs w:val="20"/>
              </w:rPr>
            </w:pPr>
            <w:r w:rsidRPr="00B57FF9">
              <w:rPr>
                <w:rFonts w:ascii="Arial Narrow" w:hAnsi="Arial Narrow"/>
                <w:sz w:val="20"/>
                <w:szCs w:val="20"/>
              </w:rPr>
              <w:t>Senador de mayoría relativa en Chiapas</w:t>
            </w:r>
          </w:p>
        </w:tc>
        <w:tc>
          <w:tcPr>
            <w:tcW w:w="1738" w:type="dxa"/>
            <w:vAlign w:val="center"/>
          </w:tcPr>
          <w:p w:rsidR="00DC5E8E" w:rsidRPr="00B57FF9" w:rsidRDefault="00F44B6E" w:rsidP="00F44B6E">
            <w:pPr>
              <w:pStyle w:val="Prrafosentencia0"/>
              <w:spacing w:before="0" w:after="0" w:line="240" w:lineRule="auto"/>
              <w:ind w:firstLine="0"/>
              <w:jc w:val="center"/>
              <w:rPr>
                <w:rFonts w:ascii="Arial Narrow" w:hAnsi="Arial Narrow"/>
                <w:sz w:val="20"/>
                <w:szCs w:val="20"/>
              </w:rPr>
            </w:pPr>
            <w:r w:rsidRPr="00B57FF9">
              <w:rPr>
                <w:rFonts w:ascii="Arial Narrow" w:hAnsi="Arial Narrow"/>
                <w:sz w:val="20"/>
                <w:szCs w:val="20"/>
              </w:rPr>
              <w:t>3 de abril</w:t>
            </w:r>
          </w:p>
        </w:tc>
      </w:tr>
      <w:tr w:rsidR="00F44B6E" w:rsidRPr="00B57FF9" w:rsidTr="00F44B6E">
        <w:trPr>
          <w:jc w:val="center"/>
        </w:trPr>
        <w:tc>
          <w:tcPr>
            <w:tcW w:w="0" w:type="auto"/>
          </w:tcPr>
          <w:p w:rsidR="00DC5E8E" w:rsidRPr="00B57FF9" w:rsidRDefault="00DC5E8E" w:rsidP="00F44B6E">
            <w:pPr>
              <w:pStyle w:val="Prrafosentencia0"/>
              <w:spacing w:before="0" w:after="0" w:line="240" w:lineRule="auto"/>
              <w:ind w:firstLine="0"/>
              <w:rPr>
                <w:rFonts w:ascii="Arial Narrow" w:hAnsi="Arial Narrow"/>
                <w:b/>
                <w:sz w:val="20"/>
                <w:szCs w:val="20"/>
              </w:rPr>
            </w:pPr>
            <w:r w:rsidRPr="00B57FF9">
              <w:rPr>
                <w:rFonts w:ascii="Arial Narrow" w:hAnsi="Arial Narrow"/>
                <w:b/>
                <w:sz w:val="20"/>
                <w:szCs w:val="20"/>
              </w:rPr>
              <w:t>4</w:t>
            </w:r>
          </w:p>
        </w:tc>
        <w:tc>
          <w:tcPr>
            <w:tcW w:w="2788" w:type="dxa"/>
            <w:vAlign w:val="center"/>
          </w:tcPr>
          <w:p w:rsidR="00DC5E8E" w:rsidRPr="00B57FF9" w:rsidRDefault="00F44B6E" w:rsidP="00F44B6E">
            <w:pPr>
              <w:pStyle w:val="Prrafosentencia0"/>
              <w:spacing w:before="0" w:after="0" w:line="240" w:lineRule="auto"/>
              <w:ind w:firstLine="0"/>
              <w:rPr>
                <w:rFonts w:ascii="Arial Narrow" w:hAnsi="Arial Narrow"/>
                <w:sz w:val="20"/>
                <w:szCs w:val="20"/>
              </w:rPr>
            </w:pPr>
            <w:r w:rsidRPr="00B57FF9">
              <w:rPr>
                <w:rFonts w:ascii="Arial Narrow" w:hAnsi="Arial Narrow"/>
                <w:sz w:val="20"/>
                <w:szCs w:val="20"/>
              </w:rPr>
              <w:t>Luisa María de Guadalupe Calderón Hinojosa</w:t>
            </w:r>
          </w:p>
        </w:tc>
        <w:tc>
          <w:tcPr>
            <w:tcW w:w="3127" w:type="dxa"/>
            <w:vAlign w:val="center"/>
          </w:tcPr>
          <w:p w:rsidR="00DC5E8E" w:rsidRPr="00B57FF9" w:rsidRDefault="00F44B6E" w:rsidP="00F44B6E">
            <w:pPr>
              <w:pStyle w:val="Prrafosentencia0"/>
              <w:spacing w:before="0" w:after="0" w:line="240" w:lineRule="auto"/>
              <w:ind w:firstLine="0"/>
              <w:rPr>
                <w:rFonts w:ascii="Arial Narrow" w:hAnsi="Arial Narrow"/>
                <w:sz w:val="20"/>
                <w:szCs w:val="20"/>
              </w:rPr>
            </w:pPr>
            <w:r w:rsidRPr="00B57FF9">
              <w:rPr>
                <w:rFonts w:ascii="Arial Narrow" w:hAnsi="Arial Narrow"/>
                <w:sz w:val="20"/>
                <w:szCs w:val="20"/>
              </w:rPr>
              <w:t xml:space="preserve">Diputada de </w:t>
            </w:r>
            <w:r w:rsidR="000D4463" w:rsidRPr="00B57FF9">
              <w:rPr>
                <w:rFonts w:ascii="Arial Narrow" w:hAnsi="Arial Narrow"/>
                <w:sz w:val="20"/>
                <w:szCs w:val="20"/>
              </w:rPr>
              <w:t>m</w:t>
            </w:r>
            <w:r w:rsidRPr="00B57FF9">
              <w:rPr>
                <w:rFonts w:ascii="Arial Narrow" w:hAnsi="Arial Narrow"/>
                <w:sz w:val="20"/>
                <w:szCs w:val="20"/>
              </w:rPr>
              <w:t>ayoría relativa en el distrito electoral federal 10, con sede en Michoacán</w:t>
            </w:r>
          </w:p>
        </w:tc>
        <w:tc>
          <w:tcPr>
            <w:tcW w:w="1738" w:type="dxa"/>
            <w:vAlign w:val="center"/>
          </w:tcPr>
          <w:p w:rsidR="00DC5E8E" w:rsidRPr="00B57FF9" w:rsidRDefault="00F44B6E" w:rsidP="00F44B6E">
            <w:pPr>
              <w:pStyle w:val="Prrafosentencia0"/>
              <w:spacing w:before="0" w:after="0" w:line="240" w:lineRule="auto"/>
              <w:ind w:firstLine="0"/>
              <w:jc w:val="center"/>
              <w:rPr>
                <w:rFonts w:ascii="Arial Narrow" w:hAnsi="Arial Narrow"/>
                <w:sz w:val="20"/>
                <w:szCs w:val="20"/>
              </w:rPr>
            </w:pPr>
            <w:r w:rsidRPr="00B57FF9">
              <w:rPr>
                <w:rFonts w:ascii="Arial Narrow" w:hAnsi="Arial Narrow"/>
                <w:sz w:val="20"/>
                <w:szCs w:val="20"/>
              </w:rPr>
              <w:t>6 de abril</w:t>
            </w:r>
          </w:p>
        </w:tc>
      </w:tr>
    </w:tbl>
    <w:p w:rsidR="0010460E" w:rsidRDefault="00F44B6E" w:rsidP="006D26E8">
      <w:pPr>
        <w:pStyle w:val="Prrafosentencia0"/>
      </w:pPr>
      <w:r>
        <w:t>P</w:t>
      </w:r>
      <w:r w:rsidR="00B22368" w:rsidRPr="006838F7">
        <w:t>romovi</w:t>
      </w:r>
      <w:r w:rsidR="0010460E">
        <w:t>eron</w:t>
      </w:r>
      <w:r w:rsidR="00402C79" w:rsidRPr="006838F7">
        <w:t xml:space="preserve"> juicio para la protección de los derechos político-electorales del ciudadano, </w:t>
      </w:r>
      <w:r w:rsidR="00FD5C62">
        <w:t>contra</w:t>
      </w:r>
      <w:r w:rsidR="00D714FE" w:rsidRPr="006838F7">
        <w:t xml:space="preserve"> </w:t>
      </w:r>
      <w:r w:rsidR="00DB29C9" w:rsidRPr="006838F7">
        <w:t xml:space="preserve">el acuerdo </w:t>
      </w:r>
      <w:r w:rsidR="00DB29C9" w:rsidRPr="00D0258A">
        <w:rPr>
          <w:b/>
        </w:rPr>
        <w:t>INE/CG281/2018</w:t>
      </w:r>
      <w:r w:rsidR="00FD5C62">
        <w:t xml:space="preserve">, el cual </w:t>
      </w:r>
      <w:r w:rsidR="00DB29C9" w:rsidRPr="006838F7">
        <w:t xml:space="preserve">determina </w:t>
      </w:r>
      <w:r w:rsidR="00FD5C62">
        <w:t>el</w:t>
      </w:r>
      <w:r w:rsidR="00DB29C9" w:rsidRPr="006838F7">
        <w:t xml:space="preserve"> </w:t>
      </w:r>
      <w:r w:rsidR="00CA7B9B" w:rsidRPr="006838F7">
        <w:t>límite</w:t>
      </w:r>
      <w:r w:rsidR="00DB29C9" w:rsidRPr="006838F7">
        <w:t xml:space="preserve"> de financiamiento privado que podrán recibir </w:t>
      </w:r>
      <w:r w:rsidR="00D0258A">
        <w:t xml:space="preserve">en </w:t>
      </w:r>
      <w:r w:rsidR="00D0258A" w:rsidRPr="006838F7">
        <w:t xml:space="preserve">el periodo de campaña </w:t>
      </w:r>
      <w:r w:rsidR="00DB29C9" w:rsidRPr="006838F7">
        <w:t xml:space="preserve">los candidatos independientes </w:t>
      </w:r>
      <w:r w:rsidR="00FD5C62">
        <w:t>a</w:t>
      </w:r>
      <w:r w:rsidR="00DB29C9" w:rsidRPr="006838F7">
        <w:t xml:space="preserve"> un cargo federal </w:t>
      </w:r>
      <w:r w:rsidR="00D0258A">
        <w:t>en el</w:t>
      </w:r>
      <w:r w:rsidR="00DB29C9" w:rsidRPr="006838F7">
        <w:t xml:space="preserve"> proceso electoral ordinario 2017-2018</w:t>
      </w:r>
      <w:r w:rsidR="00C03183" w:rsidRPr="006838F7">
        <w:t>.</w:t>
      </w:r>
    </w:p>
    <w:p w:rsidR="00402C79" w:rsidRPr="00120CE0" w:rsidRDefault="00402C79" w:rsidP="006D26E8">
      <w:pPr>
        <w:pStyle w:val="Prrafosentencia0"/>
      </w:pPr>
      <w:r w:rsidRPr="00DD39DA">
        <w:rPr>
          <w:b/>
        </w:rPr>
        <w:t>2. Turno.</w:t>
      </w:r>
      <w:r w:rsidRPr="00120CE0">
        <w:t xml:space="preserve"> </w:t>
      </w:r>
      <w:r w:rsidR="009A7E77" w:rsidRPr="006838F7">
        <w:t>Recibido</w:t>
      </w:r>
      <w:r w:rsidR="00D42962">
        <w:t xml:space="preserve">s </w:t>
      </w:r>
      <w:r w:rsidR="009A7E77" w:rsidRPr="006838F7">
        <w:t>l</w:t>
      </w:r>
      <w:r w:rsidR="00D42962">
        <w:t>os</w:t>
      </w:r>
      <w:r w:rsidR="009A7E77" w:rsidRPr="006838F7">
        <w:t xml:space="preserve"> asunto</w:t>
      </w:r>
      <w:r w:rsidR="00D42962">
        <w:t>s</w:t>
      </w:r>
      <w:r w:rsidR="009A7E77" w:rsidRPr="006838F7">
        <w:t xml:space="preserve"> en esta Sala Superior, la Magistrada Presidenta de este Tribunal acordó integrar </w:t>
      </w:r>
      <w:r w:rsidR="0010460E">
        <w:t>los</w:t>
      </w:r>
      <w:r w:rsidR="00D42962">
        <w:t xml:space="preserve"> </w:t>
      </w:r>
      <w:r w:rsidR="009A7E77" w:rsidRPr="006838F7">
        <w:t>expediente</w:t>
      </w:r>
      <w:r w:rsidR="0010460E">
        <w:t>s</w:t>
      </w:r>
      <w:r w:rsidR="009A7E77" w:rsidRPr="006838F7">
        <w:t xml:space="preserve"> </w:t>
      </w:r>
      <w:r w:rsidR="009A7E77" w:rsidRPr="00D0258A">
        <w:rPr>
          <w:b/>
        </w:rPr>
        <w:t>SUP-JDC-222/2018</w:t>
      </w:r>
      <w:r w:rsidR="0010460E">
        <w:t xml:space="preserve">, </w:t>
      </w:r>
      <w:r w:rsidR="0010460E" w:rsidRPr="00D0258A">
        <w:rPr>
          <w:b/>
        </w:rPr>
        <w:t>SUP-JDC-227/2018</w:t>
      </w:r>
      <w:r w:rsidR="000D4463">
        <w:t>,</w:t>
      </w:r>
      <w:r w:rsidR="0010460E">
        <w:t xml:space="preserve"> </w:t>
      </w:r>
      <w:r w:rsidR="0010460E" w:rsidRPr="00D0258A">
        <w:rPr>
          <w:b/>
        </w:rPr>
        <w:t>SUP-JDC-228/2018</w:t>
      </w:r>
      <w:r w:rsidR="0010460E" w:rsidRPr="006838F7">
        <w:t xml:space="preserve"> </w:t>
      </w:r>
      <w:r w:rsidR="000D4463">
        <w:t xml:space="preserve">y </w:t>
      </w:r>
      <w:r w:rsidR="000D4463">
        <w:rPr>
          <w:b/>
        </w:rPr>
        <w:t xml:space="preserve">SUP-JDC-240/2018 </w:t>
      </w:r>
      <w:r w:rsidR="009A7E77" w:rsidRPr="006838F7">
        <w:t>y turnarlo</w:t>
      </w:r>
      <w:r w:rsidR="0010460E">
        <w:t>s</w:t>
      </w:r>
      <w:r w:rsidR="009A7E77" w:rsidRPr="006838F7">
        <w:t xml:space="preserve"> </w:t>
      </w:r>
      <w:r w:rsidRPr="006838F7">
        <w:t>a la Ponencia del Magistrado Felipe Alfredo Fuentes Barrera, para los efectos previstos en el artículo 19 de la Ley General del Sistema de Medios de Impugnación en Materia Electoral</w:t>
      </w:r>
      <w:r w:rsidR="009B391D">
        <w:rPr>
          <w:rStyle w:val="Refdenotaalpie"/>
        </w:rPr>
        <w:footnoteReference w:id="4"/>
      </w:r>
      <w:r w:rsidRPr="006838F7">
        <w:t>.</w:t>
      </w:r>
    </w:p>
    <w:p w:rsidR="0016544B" w:rsidRPr="00120CE0" w:rsidRDefault="0016544B" w:rsidP="006D26E8">
      <w:pPr>
        <w:pStyle w:val="Prrafosentencia0"/>
      </w:pPr>
      <w:r w:rsidRPr="00DD39DA">
        <w:rPr>
          <w:b/>
        </w:rPr>
        <w:t>3. Recepción</w:t>
      </w:r>
      <w:r w:rsidRPr="00120CE0">
        <w:t xml:space="preserve">. </w:t>
      </w:r>
      <w:r w:rsidRPr="006838F7">
        <w:t xml:space="preserve">En su oportunidad, el Magistrado Instructor acordó recibir </w:t>
      </w:r>
      <w:r w:rsidR="0010460E">
        <w:t>los</w:t>
      </w:r>
      <w:r w:rsidRPr="006838F7">
        <w:t xml:space="preserve"> expediente</w:t>
      </w:r>
      <w:r w:rsidR="0010460E">
        <w:t>s</w:t>
      </w:r>
      <w:r w:rsidRPr="006838F7">
        <w:t xml:space="preserve"> en la Ponencia a su cargo.</w:t>
      </w:r>
      <w:r w:rsidRPr="00120CE0">
        <w:t xml:space="preserve"> </w:t>
      </w:r>
    </w:p>
    <w:p w:rsidR="0016544B" w:rsidRPr="00120CE0" w:rsidRDefault="0016544B" w:rsidP="006D26E8">
      <w:pPr>
        <w:pStyle w:val="Prrafosentencia0"/>
      </w:pPr>
      <w:r w:rsidRPr="00DD39DA">
        <w:rPr>
          <w:b/>
        </w:rPr>
        <w:t>4. Asunción de competencia</w:t>
      </w:r>
      <w:r w:rsidRPr="00120CE0">
        <w:t xml:space="preserve">. </w:t>
      </w:r>
      <w:r w:rsidR="0033766A">
        <w:t>Los días diez y once</w:t>
      </w:r>
      <w:r w:rsidRPr="006838F7">
        <w:t xml:space="preserve"> de abril del año que transcurre</w:t>
      </w:r>
      <w:r w:rsidR="0033766A">
        <w:t>, respectivamente</w:t>
      </w:r>
      <w:r w:rsidRPr="006838F7">
        <w:t>, mediante acuerdo</w:t>
      </w:r>
      <w:r w:rsidR="0010460E">
        <w:t>s</w:t>
      </w:r>
      <w:r w:rsidRPr="006838F7">
        <w:t xml:space="preserve"> de Sala, se determinó asumir competencia para conocer y resolver los juicios</w:t>
      </w:r>
      <w:r w:rsidR="00DD39DA">
        <w:t xml:space="preserve"> ciudadanos </w:t>
      </w:r>
      <w:r w:rsidR="00DD39DA" w:rsidRPr="00D0258A">
        <w:rPr>
          <w:b/>
        </w:rPr>
        <w:t>SUP-JDC-227/2018</w:t>
      </w:r>
      <w:r w:rsidR="000D4463">
        <w:t>,</w:t>
      </w:r>
      <w:r w:rsidR="00DD39DA">
        <w:t xml:space="preserve"> </w:t>
      </w:r>
      <w:r w:rsidR="00DD39DA" w:rsidRPr="00D0258A">
        <w:rPr>
          <w:b/>
        </w:rPr>
        <w:t>SUP-JDC-228/2018</w:t>
      </w:r>
      <w:r w:rsidR="000D4463">
        <w:t xml:space="preserve"> y </w:t>
      </w:r>
      <w:r w:rsidR="000D4463">
        <w:rPr>
          <w:b/>
        </w:rPr>
        <w:t>SUP-JDC-240/2018</w:t>
      </w:r>
      <w:r w:rsidR="00DD39DA">
        <w:t>.</w:t>
      </w:r>
    </w:p>
    <w:p w:rsidR="0016544B" w:rsidRPr="00120CE0" w:rsidRDefault="0016544B" w:rsidP="006D26E8">
      <w:pPr>
        <w:pStyle w:val="Prrafosentencia0"/>
      </w:pPr>
      <w:r w:rsidRPr="00DD39DA">
        <w:rPr>
          <w:b/>
        </w:rPr>
        <w:t>5. Admisión y cierre.</w:t>
      </w:r>
      <w:r w:rsidRPr="00120CE0">
        <w:t xml:space="preserve"> </w:t>
      </w:r>
      <w:r w:rsidR="000D4463">
        <w:t>En su opo</w:t>
      </w:r>
      <w:r w:rsidR="008E266D">
        <w:t>r</w:t>
      </w:r>
      <w:r w:rsidR="000D4463">
        <w:t>tunidad</w:t>
      </w:r>
      <w:r w:rsidRPr="006838F7">
        <w:t>, el Magistrado Instructor acordó admitir a trámite los juicios respectivos y declaró cerrada la instrucción, procediendo a su resolución.</w:t>
      </w:r>
    </w:p>
    <w:p w:rsidR="00402C79" w:rsidRPr="00120CE0" w:rsidRDefault="00402C79" w:rsidP="00F57341">
      <w:pPr>
        <w:pStyle w:val="Ttulo1"/>
        <w:numPr>
          <w:ilvl w:val="0"/>
          <w:numId w:val="0"/>
        </w:numPr>
        <w:tabs>
          <w:tab w:val="clear" w:pos="1215"/>
        </w:tabs>
        <w:jc w:val="center"/>
        <w:rPr>
          <w:b/>
          <w:color w:val="000000"/>
          <w:spacing w:val="2"/>
        </w:rPr>
      </w:pPr>
      <w:r w:rsidRPr="00120CE0">
        <w:rPr>
          <w:b/>
        </w:rPr>
        <w:t>C O N S I D E R A N D O</w:t>
      </w:r>
      <w:r w:rsidR="0037170B" w:rsidRPr="00120CE0">
        <w:rPr>
          <w:b/>
        </w:rPr>
        <w:t>:</w:t>
      </w:r>
    </w:p>
    <w:p w:rsidR="00402C79" w:rsidRDefault="00402C79" w:rsidP="006D26E8">
      <w:pPr>
        <w:pStyle w:val="Prrafosentencia0"/>
      </w:pPr>
      <w:bookmarkStart w:id="2" w:name="_Toc507517357"/>
      <w:bookmarkStart w:id="3" w:name="_Toc507517358"/>
      <w:r w:rsidRPr="00DD39DA">
        <w:rPr>
          <w:b/>
        </w:rPr>
        <w:t>1. Competencia.</w:t>
      </w:r>
      <w:bookmarkEnd w:id="2"/>
      <w:r w:rsidRPr="00120CE0">
        <w:t xml:space="preserve"> </w:t>
      </w:r>
      <w:r w:rsidRPr="006838F7">
        <w:rPr>
          <w:rFonts w:eastAsia="Calibri"/>
        </w:rPr>
        <w:t xml:space="preserve">Esta Sala Superior es competente para conocer del medio de impugnación, de conformidad con lo previsto en los </w:t>
      </w:r>
      <w:r w:rsidRPr="006838F7">
        <w:t xml:space="preserve">artículos 17, 41, párrafo segundo, base VI, 94, párrafo primero; y 99, párrafos primero, cuarto, fracción V, de la Constitución Política de los Estados Unidos Mexicanos; 1, fracción II; 184, 185, 186, fracción III, inciso c), y 189, fracción I, inciso e), de la Ley Orgánica del Poder Judicial de la Federación; 1, 2, 3, </w:t>
      </w:r>
      <w:r w:rsidR="00884935" w:rsidRPr="006838F7">
        <w:t xml:space="preserve">numeral </w:t>
      </w:r>
      <w:r w:rsidRPr="006838F7">
        <w:t xml:space="preserve">2, inciso c); 4, </w:t>
      </w:r>
      <w:r w:rsidR="00884935" w:rsidRPr="006838F7">
        <w:t xml:space="preserve">numeral </w:t>
      </w:r>
      <w:r w:rsidRPr="006838F7">
        <w:t xml:space="preserve">1; 6, </w:t>
      </w:r>
      <w:r w:rsidR="00884935" w:rsidRPr="006838F7">
        <w:t>numeral</w:t>
      </w:r>
      <w:r w:rsidRPr="006838F7">
        <w:t xml:space="preserve"> 3; 79, </w:t>
      </w:r>
      <w:r w:rsidR="00884935" w:rsidRPr="006838F7">
        <w:t xml:space="preserve">numeral </w:t>
      </w:r>
      <w:r w:rsidRPr="006838F7">
        <w:t>2</w:t>
      </w:r>
      <w:r w:rsidR="009A7E77" w:rsidRPr="006838F7">
        <w:t xml:space="preserve"> </w:t>
      </w:r>
      <w:r w:rsidRPr="006838F7">
        <w:t>de la Ley General.</w:t>
      </w:r>
    </w:p>
    <w:p w:rsidR="0010460E" w:rsidRPr="00F62760" w:rsidRDefault="0010460E" w:rsidP="00F62760">
      <w:pPr>
        <w:pStyle w:val="Prrafosentencia0"/>
      </w:pPr>
      <w:r w:rsidRPr="00F62760">
        <w:t xml:space="preserve">Respecto al SUP-JDC-222/2018, </w:t>
      </w:r>
      <w:r w:rsidR="000D4463">
        <w:t xml:space="preserve">porque </w:t>
      </w:r>
      <w:r w:rsidR="0089600E" w:rsidRPr="00F62760">
        <w:t>quien promueve es una candidata independiente al</w:t>
      </w:r>
      <w:r w:rsidRPr="00F62760">
        <w:t xml:space="preserve"> cargo de </w:t>
      </w:r>
      <w:r w:rsidR="00262A36" w:rsidRPr="00F62760">
        <w:t>P</w:t>
      </w:r>
      <w:r w:rsidRPr="00F62760">
        <w:t>residen</w:t>
      </w:r>
      <w:r w:rsidR="00262A36" w:rsidRPr="00F62760">
        <w:t>ta</w:t>
      </w:r>
      <w:r w:rsidRPr="00F62760">
        <w:t xml:space="preserve"> de la </w:t>
      </w:r>
      <w:r w:rsidR="0089600E" w:rsidRPr="00F62760">
        <w:t>República</w:t>
      </w:r>
      <w:r w:rsidRPr="00F62760">
        <w:t>.</w:t>
      </w:r>
    </w:p>
    <w:p w:rsidR="005F17D0" w:rsidRPr="00F62760" w:rsidRDefault="0089600E" w:rsidP="00F62760">
      <w:pPr>
        <w:pStyle w:val="Prrafosentencia0"/>
      </w:pPr>
      <w:r w:rsidRPr="00F62760">
        <w:t>En relación a los juicios ciudadanos SUP-JDC-227/2018</w:t>
      </w:r>
      <w:r w:rsidR="000D4463">
        <w:t>,</w:t>
      </w:r>
      <w:r w:rsidRPr="00F62760">
        <w:t xml:space="preserve"> SUP-JDC-228/2018</w:t>
      </w:r>
      <w:r w:rsidR="000D4463">
        <w:t xml:space="preserve"> y SUP-JDC-240/2018</w:t>
      </w:r>
      <w:r w:rsidRPr="00F62760">
        <w:t xml:space="preserve"> </w:t>
      </w:r>
      <w:r w:rsidR="007724D6">
        <w:t xml:space="preserve">porque </w:t>
      </w:r>
      <w:r w:rsidR="0016544B" w:rsidRPr="00F62760">
        <w:t>esta Sala Superior, mediante acuerdo</w:t>
      </w:r>
      <w:r w:rsidRPr="00F62760">
        <w:t>s</w:t>
      </w:r>
      <w:r w:rsidR="0016544B" w:rsidRPr="00F62760">
        <w:t xml:space="preserve"> </w:t>
      </w:r>
      <w:r w:rsidR="0016544B" w:rsidRPr="0092546A">
        <w:t xml:space="preserve">de </w:t>
      </w:r>
      <w:r w:rsidR="002F33FA" w:rsidRPr="0092546A">
        <w:t>diez</w:t>
      </w:r>
      <w:r w:rsidR="0016544B" w:rsidRPr="00F62760">
        <w:t xml:space="preserve"> </w:t>
      </w:r>
      <w:r w:rsidR="0092546A">
        <w:t>y once</w:t>
      </w:r>
      <w:r w:rsidR="0092546A">
        <w:rPr>
          <w:rStyle w:val="Refdenotaalpie"/>
        </w:rPr>
        <w:footnoteReference w:id="5"/>
      </w:r>
      <w:r w:rsidR="0092546A">
        <w:t xml:space="preserve"> de abril </w:t>
      </w:r>
      <w:r w:rsidR="0016544B" w:rsidRPr="00F62760">
        <w:t>del año en curso</w:t>
      </w:r>
      <w:r w:rsidR="0092546A">
        <w:t>, respectivamente</w:t>
      </w:r>
      <w:r w:rsidR="0016544B" w:rsidRPr="00F62760">
        <w:t>, determinó asumir competencia para conocer</w:t>
      </w:r>
      <w:r w:rsidR="000D4463">
        <w:t>los</w:t>
      </w:r>
      <w:r w:rsidRPr="00F62760">
        <w:t xml:space="preserve"> y resolverlos, </w:t>
      </w:r>
      <w:r w:rsidR="0016544B" w:rsidRPr="00F62760">
        <w:t>en esencia,</w:t>
      </w:r>
      <w:r w:rsidR="006A3761">
        <w:t xml:space="preserve"> </w:t>
      </w:r>
      <w:r w:rsidR="007724D6">
        <w:t>al estimar que</w:t>
      </w:r>
      <w:r w:rsidR="0016544B" w:rsidRPr="00F62760">
        <w:t xml:space="preserve"> </w:t>
      </w:r>
      <w:r w:rsidR="005F17D0" w:rsidRPr="00F62760">
        <w:t>la materia de impugnación en todos los juicios es el mismo, al controvertirse el Acuerdo INE/CG281/2018, relacionado con la constitucionalidad del artículo 399 de la Ley General de Instituciones y Procedimientos Electorales</w:t>
      </w:r>
      <w:r w:rsidR="0033766A">
        <w:rPr>
          <w:rStyle w:val="Refdenotaalpie"/>
        </w:rPr>
        <w:footnoteReference w:id="6"/>
      </w:r>
      <w:r w:rsidR="005F17D0" w:rsidRPr="00F62760">
        <w:t>, por lo que la litis planteada debe ser conocida y resuelta por esta Sala Superior, a fin de no dividir la continencia de la causa, pues de lo contrario, se podrían dictar sentencias contradictorias.</w:t>
      </w:r>
    </w:p>
    <w:p w:rsidR="00D42962" w:rsidRDefault="00F8332C" w:rsidP="00D0258A">
      <w:pPr>
        <w:pStyle w:val="Prrafosentencia0"/>
      </w:pPr>
      <w:r w:rsidRPr="00DD39DA">
        <w:rPr>
          <w:b/>
        </w:rPr>
        <w:t>2. Acumulación.</w:t>
      </w:r>
      <w:r w:rsidR="006A3761">
        <w:t xml:space="preserve"> </w:t>
      </w:r>
      <w:r w:rsidR="00D0258A">
        <w:t>Procede la</w:t>
      </w:r>
      <w:r w:rsidR="00D0258A" w:rsidRPr="00D0258A">
        <w:t xml:space="preserve"> acumulación de los expedientes, </w:t>
      </w:r>
      <w:r w:rsidR="00D0258A" w:rsidRPr="00D0258A">
        <w:rPr>
          <w:b/>
        </w:rPr>
        <w:t>SUP-JDC-227/2018</w:t>
      </w:r>
      <w:r w:rsidR="000D4463">
        <w:t>,</w:t>
      </w:r>
      <w:r w:rsidR="00D0258A" w:rsidRPr="00D0258A">
        <w:t xml:space="preserve"> </w:t>
      </w:r>
      <w:r w:rsidR="00D0258A" w:rsidRPr="00D0258A">
        <w:rPr>
          <w:b/>
        </w:rPr>
        <w:t>SUP-JDC-228/2018</w:t>
      </w:r>
      <w:r w:rsidR="000D4463">
        <w:rPr>
          <w:b/>
        </w:rPr>
        <w:t xml:space="preserve"> </w:t>
      </w:r>
      <w:r w:rsidR="000D4463">
        <w:t xml:space="preserve">y </w:t>
      </w:r>
      <w:r w:rsidR="000D4463">
        <w:rPr>
          <w:b/>
        </w:rPr>
        <w:t>SUP-JDC-240/2018</w:t>
      </w:r>
      <w:r w:rsidR="00D0258A" w:rsidRPr="00D0258A">
        <w:t xml:space="preserve"> al diverso </w:t>
      </w:r>
      <w:r w:rsidR="00D0258A" w:rsidRPr="00D0258A">
        <w:rPr>
          <w:b/>
        </w:rPr>
        <w:t>SUP-JDC-222/2018</w:t>
      </w:r>
      <w:r w:rsidR="00D0258A">
        <w:t xml:space="preserve">, </w:t>
      </w:r>
      <w:r w:rsidR="000D4463">
        <w:t>ya que</w:t>
      </w:r>
      <w:r w:rsidR="00D0258A">
        <w:t xml:space="preserve"> en los tres </w:t>
      </w:r>
      <w:r w:rsidR="000D4463">
        <w:t xml:space="preserve">se </w:t>
      </w:r>
      <w:r w:rsidRPr="006838F7">
        <w:t xml:space="preserve">controvierte el acuerdo </w:t>
      </w:r>
      <w:r w:rsidR="0089600E" w:rsidRPr="002F33FA">
        <w:t>INE/CG281/2018</w:t>
      </w:r>
      <w:r w:rsidR="0089600E" w:rsidRPr="006838F7">
        <w:t xml:space="preserve"> </w:t>
      </w:r>
      <w:r w:rsidRPr="006838F7">
        <w:t>del Consejo General del Instituto Nacional Electoral</w:t>
      </w:r>
      <w:r w:rsidR="00411FCC">
        <w:rPr>
          <w:rStyle w:val="Refdenotaalpie"/>
        </w:rPr>
        <w:footnoteReference w:id="7"/>
      </w:r>
      <w:r w:rsidRPr="006838F7">
        <w:t>, por el que se determinan los límites de financiamiento privado que podrán recibir los candidatos independientes que se postulan para un cargo federal de elección popular durante el periodo de campaña para los procesos electorales ordinarios concurrentes de 2017-2018.</w:t>
      </w:r>
    </w:p>
    <w:p w:rsidR="00F57341" w:rsidRPr="006838F7" w:rsidRDefault="00F8332C" w:rsidP="006D26E8">
      <w:pPr>
        <w:pStyle w:val="Prrafosentencia0"/>
      </w:pPr>
      <w:r w:rsidRPr="006838F7">
        <w:t xml:space="preserve">En ese sentido, al existir identidad en el acto impugnado y </w:t>
      </w:r>
      <w:r w:rsidR="0089600E">
        <w:t xml:space="preserve">la </w:t>
      </w:r>
      <w:r w:rsidRPr="006838F7">
        <w:t>autoridad señalada como responsable, con fundamento en los artículos 199, fracción XI, de la Ley Orgánica del Poder Judicial de la Federación, 31 de la Ley General y 79 del Reglamento Interno del Tribunal Electoral del Poder Judicial de la Federación, se decreta la acumulación de los expedientes, SUP-JDC-227/2018</w:t>
      </w:r>
      <w:r w:rsidR="000D4463">
        <w:t>,</w:t>
      </w:r>
      <w:r w:rsidRPr="006838F7">
        <w:t xml:space="preserve"> SUP-JDC-228/2018</w:t>
      </w:r>
      <w:r w:rsidR="000D4463">
        <w:t xml:space="preserve"> y SUP-JDC-240/2018</w:t>
      </w:r>
      <w:r w:rsidRPr="006838F7">
        <w:t xml:space="preserve"> al diverso SUP-JDC-222/2018</w:t>
      </w:r>
      <w:r w:rsidR="00262A36">
        <w:t>,</w:t>
      </w:r>
      <w:r w:rsidRPr="006838F7">
        <w:t xml:space="preserve"> por ser </w:t>
      </w:r>
      <w:r w:rsidR="00262A36">
        <w:t>e</w:t>
      </w:r>
      <w:r w:rsidRPr="006838F7">
        <w:t xml:space="preserve">ste el primero que se recibió en la Oficialía de Partes de esta Sala Superior, según se advierte de los </w:t>
      </w:r>
      <w:r w:rsidR="00262A36">
        <w:t xml:space="preserve">acuerdos </w:t>
      </w:r>
      <w:r w:rsidRPr="006838F7">
        <w:t>de turno</w:t>
      </w:r>
      <w:r w:rsidR="00262A36">
        <w:t xml:space="preserve"> respectivos</w:t>
      </w:r>
      <w:r w:rsidRPr="006838F7">
        <w:t>.</w:t>
      </w:r>
    </w:p>
    <w:p w:rsidR="00D42962" w:rsidRDefault="00242B4E" w:rsidP="006D26E8">
      <w:pPr>
        <w:pStyle w:val="Prrafosentencia0"/>
      </w:pPr>
      <w:r w:rsidRPr="006838F7">
        <w:t>En consecuencia, se deberá glosar copia certificada de los puntos resolutivos de la presente sentencia, a los autos de los expedientes acumulados.</w:t>
      </w:r>
    </w:p>
    <w:p w:rsidR="00DA78AB" w:rsidRPr="00120CE0" w:rsidRDefault="00F8332C" w:rsidP="006D26E8">
      <w:pPr>
        <w:pStyle w:val="Prrafosentencia0"/>
      </w:pPr>
      <w:r w:rsidRPr="00DD39DA">
        <w:rPr>
          <w:b/>
        </w:rPr>
        <w:t>3</w:t>
      </w:r>
      <w:r w:rsidR="00402C79" w:rsidRPr="00DD39DA">
        <w:rPr>
          <w:b/>
        </w:rPr>
        <w:t xml:space="preserve">. </w:t>
      </w:r>
      <w:r w:rsidR="00DA78AB" w:rsidRPr="00DD39DA">
        <w:rPr>
          <w:b/>
        </w:rPr>
        <w:t>Requisitos de procedencia.</w:t>
      </w:r>
      <w:r w:rsidR="00DA78AB" w:rsidRPr="00120CE0">
        <w:t xml:space="preserve"> </w:t>
      </w:r>
      <w:r w:rsidR="00DA78AB" w:rsidRPr="006838F7">
        <w:t>Los juicios</w:t>
      </w:r>
      <w:r w:rsidR="00C97DCC" w:rsidRPr="006838F7">
        <w:t xml:space="preserve"> </w:t>
      </w:r>
      <w:r w:rsidR="00242B4E" w:rsidRPr="006838F7">
        <w:t>ciudadanos reúnen</w:t>
      </w:r>
      <w:r w:rsidR="00DA78AB" w:rsidRPr="006838F7">
        <w:t xml:space="preserve"> los requisitos previstos en los artículos 7, 8, párrafo 1; 9, párrafo 1; 79 y 80 párrafo 1, inciso f) de la Ley General</w:t>
      </w:r>
      <w:r w:rsidR="00C97DCC" w:rsidRPr="006838F7">
        <w:t>, como a continuación se refiere:</w:t>
      </w:r>
    </w:p>
    <w:p w:rsidR="00DA78AB" w:rsidRPr="00120CE0" w:rsidRDefault="00242B4E" w:rsidP="006D26E8">
      <w:pPr>
        <w:pStyle w:val="Prrafosentencia0"/>
      </w:pPr>
      <w:r w:rsidRPr="00DD39DA">
        <w:rPr>
          <w:b/>
        </w:rPr>
        <w:t>3</w:t>
      </w:r>
      <w:r w:rsidR="00C97DCC" w:rsidRPr="00DD39DA">
        <w:rPr>
          <w:b/>
        </w:rPr>
        <w:t xml:space="preserve">.1. </w:t>
      </w:r>
      <w:r w:rsidR="00DA78AB" w:rsidRPr="00DD39DA">
        <w:rPr>
          <w:b/>
        </w:rPr>
        <w:t>Forma.</w:t>
      </w:r>
      <w:r w:rsidR="00DA78AB" w:rsidRPr="00120CE0">
        <w:t xml:space="preserve"> </w:t>
      </w:r>
      <w:r w:rsidR="00DA78AB" w:rsidRPr="006838F7">
        <w:t>La</w:t>
      </w:r>
      <w:r w:rsidR="00F57341" w:rsidRPr="006838F7">
        <w:t>s</w:t>
      </w:r>
      <w:r w:rsidR="00DA78AB" w:rsidRPr="006838F7">
        <w:t xml:space="preserve"> demanda</w:t>
      </w:r>
      <w:r w:rsidR="00F57341" w:rsidRPr="006838F7">
        <w:t>s</w:t>
      </w:r>
      <w:r w:rsidR="00DA78AB" w:rsidRPr="006838F7">
        <w:t xml:space="preserve"> se present</w:t>
      </w:r>
      <w:r w:rsidR="00F57341" w:rsidRPr="006838F7">
        <w:t>aron</w:t>
      </w:r>
      <w:r w:rsidR="00DA78AB" w:rsidRPr="006838F7">
        <w:t xml:space="preserve"> por escrito, ante </w:t>
      </w:r>
      <w:r w:rsidR="0089600E">
        <w:t>la autoridad señalada como responsable</w:t>
      </w:r>
      <w:r w:rsidR="00846F36">
        <w:rPr>
          <w:rStyle w:val="Refdenotaalpie"/>
        </w:rPr>
        <w:footnoteReference w:id="8"/>
      </w:r>
      <w:r w:rsidR="00DA78AB" w:rsidRPr="006838F7">
        <w:t xml:space="preserve">, </w:t>
      </w:r>
      <w:r w:rsidR="00F57341" w:rsidRPr="006838F7">
        <w:t>haciendo</w:t>
      </w:r>
      <w:r w:rsidR="00DA78AB" w:rsidRPr="006838F7">
        <w:t xml:space="preserve"> constar el nombre y firma autógrafa</w:t>
      </w:r>
      <w:r w:rsidR="0089600E">
        <w:t xml:space="preserve"> </w:t>
      </w:r>
      <w:r w:rsidR="00D42962">
        <w:t>de los promoventes</w:t>
      </w:r>
      <w:r w:rsidR="0089600E">
        <w:t xml:space="preserve"> o de su representante legal,</w:t>
      </w:r>
      <w:r w:rsidR="00F57341" w:rsidRPr="006838F7">
        <w:t xml:space="preserve"> </w:t>
      </w:r>
      <w:r w:rsidR="00DA78AB" w:rsidRPr="006838F7">
        <w:t xml:space="preserve">así como su domicilio para oír y recibir notificaciones; se identifica </w:t>
      </w:r>
      <w:r w:rsidRPr="006838F7">
        <w:t>el acto</w:t>
      </w:r>
      <w:r w:rsidR="00DA78AB" w:rsidRPr="006838F7">
        <w:t xml:space="preserve"> impugnad</w:t>
      </w:r>
      <w:r w:rsidRPr="006838F7">
        <w:t>o</w:t>
      </w:r>
      <w:r w:rsidR="00DA78AB" w:rsidRPr="006838F7">
        <w:t xml:space="preserve"> y a la autoridad responsable; se mencionan los hechos en que basa</w:t>
      </w:r>
      <w:r w:rsidR="00F57341" w:rsidRPr="006838F7">
        <w:t>n</w:t>
      </w:r>
      <w:r w:rsidR="00DA78AB" w:rsidRPr="006838F7">
        <w:t xml:space="preserve"> su impugnación, los agravios que le</w:t>
      </w:r>
      <w:r w:rsidR="00F57341" w:rsidRPr="006838F7">
        <w:t>s</w:t>
      </w:r>
      <w:r w:rsidR="00DA78AB" w:rsidRPr="006838F7">
        <w:t xml:space="preserve"> causa</w:t>
      </w:r>
      <w:r w:rsidR="00F57341" w:rsidRPr="006838F7">
        <w:t>n</w:t>
      </w:r>
      <w:r w:rsidR="00DA78AB" w:rsidRPr="006838F7">
        <w:t xml:space="preserve"> y los preceptos que estima</w:t>
      </w:r>
      <w:r w:rsidR="00F57341" w:rsidRPr="006838F7">
        <w:t>n</w:t>
      </w:r>
      <w:r w:rsidR="00DA78AB" w:rsidRPr="006838F7">
        <w:t xml:space="preserve"> vulnerados.</w:t>
      </w:r>
    </w:p>
    <w:p w:rsidR="00326684" w:rsidRDefault="005F17D0" w:rsidP="006D26E8">
      <w:pPr>
        <w:pStyle w:val="Prrafosentencia0"/>
        <w:rPr>
          <w:lang w:eastAsia="es-MX"/>
        </w:rPr>
      </w:pPr>
      <w:r w:rsidRPr="00F57341">
        <w:rPr>
          <w:b/>
        </w:rPr>
        <w:t>3</w:t>
      </w:r>
      <w:r w:rsidR="00C97DCC" w:rsidRPr="00F57341">
        <w:rPr>
          <w:b/>
        </w:rPr>
        <w:t xml:space="preserve">.2. </w:t>
      </w:r>
      <w:r w:rsidR="00DA78AB" w:rsidRPr="00F57341">
        <w:rPr>
          <w:b/>
        </w:rPr>
        <w:t>Oportunidad.</w:t>
      </w:r>
      <w:r w:rsidR="00DA78AB" w:rsidRPr="00120CE0">
        <w:t xml:space="preserve"> </w:t>
      </w:r>
      <w:r w:rsidR="00DA78AB" w:rsidRPr="00DD39DA">
        <w:t>La</w:t>
      </w:r>
      <w:r w:rsidR="00326684" w:rsidRPr="00DD39DA">
        <w:t>s</w:t>
      </w:r>
      <w:r w:rsidR="00DA78AB" w:rsidRPr="00DD39DA">
        <w:t xml:space="preserve"> </w:t>
      </w:r>
      <w:r w:rsidR="0054443B">
        <w:t xml:space="preserve">demandas relativas a los juicios SUP-JDC-222/2018, SUP-JDC-227/2018 y SUP-JDC-228/2018 </w:t>
      </w:r>
      <w:r w:rsidR="00DA78AB" w:rsidRPr="00DD39DA">
        <w:t>fue</w:t>
      </w:r>
      <w:r w:rsidR="00326684" w:rsidRPr="00DD39DA">
        <w:t>ron</w:t>
      </w:r>
      <w:r w:rsidR="00DA78AB" w:rsidRPr="00DD39DA">
        <w:t xml:space="preserve"> presentada</w:t>
      </w:r>
      <w:r w:rsidR="00326684" w:rsidRPr="00DD39DA">
        <w:t>s</w:t>
      </w:r>
      <w:r w:rsidR="00DA78AB" w:rsidRPr="00DD39DA">
        <w:t xml:space="preserve"> oportunamente</w:t>
      </w:r>
      <w:r w:rsidR="00326684" w:rsidRPr="00DD39DA">
        <w:t>,</w:t>
      </w:r>
      <w:r w:rsidR="00DA78AB" w:rsidRPr="00DD39DA">
        <w:t xml:space="preserve"> </w:t>
      </w:r>
      <w:r w:rsidR="0054443B">
        <w:t>pues</w:t>
      </w:r>
      <w:r w:rsidR="00326684">
        <w:rPr>
          <w:b/>
        </w:rPr>
        <w:t xml:space="preserve"> </w:t>
      </w:r>
      <w:r w:rsidR="00326684" w:rsidRPr="00326684">
        <w:rPr>
          <w:lang w:eastAsia="es-MX"/>
        </w:rPr>
        <w:t xml:space="preserve">se considera como fecha de conocimiento del </w:t>
      </w:r>
      <w:r w:rsidR="00326684" w:rsidRPr="0089600E">
        <w:rPr>
          <w:lang w:eastAsia="es-MX"/>
        </w:rPr>
        <w:t>a</w:t>
      </w:r>
      <w:r w:rsidR="00326684" w:rsidRPr="00326684">
        <w:rPr>
          <w:lang w:eastAsia="es-MX"/>
        </w:rPr>
        <w:t>cuerdo impugnado</w:t>
      </w:r>
      <w:r w:rsidR="0054443B">
        <w:rPr>
          <w:lang w:eastAsia="es-MX"/>
        </w:rPr>
        <w:t>,</w:t>
      </w:r>
      <w:r w:rsidR="00326684" w:rsidRPr="00326684">
        <w:rPr>
          <w:lang w:eastAsia="es-MX"/>
        </w:rPr>
        <w:t xml:space="preserve"> la de la presentación de los escritos de demanda</w:t>
      </w:r>
      <w:r w:rsidR="00326684" w:rsidRPr="00326684">
        <w:rPr>
          <w:vertAlign w:val="superscript"/>
          <w:lang w:eastAsia="es-MX"/>
        </w:rPr>
        <w:footnoteReference w:id="9"/>
      </w:r>
      <w:r w:rsidR="00326684" w:rsidRPr="00326684">
        <w:rPr>
          <w:lang w:eastAsia="es-MX"/>
        </w:rPr>
        <w:t xml:space="preserve">, </w:t>
      </w:r>
      <w:r w:rsidR="00A36050">
        <w:rPr>
          <w:lang w:eastAsia="es-MX"/>
        </w:rPr>
        <w:t xml:space="preserve">lo anterior, </w:t>
      </w:r>
      <w:r w:rsidR="00326684" w:rsidRPr="00326684">
        <w:rPr>
          <w:lang w:eastAsia="es-MX"/>
        </w:rPr>
        <w:t>debido a</w:t>
      </w:r>
      <w:r w:rsidR="0054443B">
        <w:rPr>
          <w:lang w:eastAsia="es-MX"/>
        </w:rPr>
        <w:t xml:space="preserve"> que los promoventes no señalan la fecha en la que tuvieron conocimiento del acto impugnado, y ya</w:t>
      </w:r>
      <w:r w:rsidR="0054443B" w:rsidRPr="00326684">
        <w:rPr>
          <w:lang w:eastAsia="es-MX"/>
        </w:rPr>
        <w:t xml:space="preserve"> </w:t>
      </w:r>
      <w:r w:rsidR="00326684" w:rsidRPr="00326684">
        <w:rPr>
          <w:lang w:eastAsia="es-MX"/>
        </w:rPr>
        <w:t xml:space="preserve">que </w:t>
      </w:r>
      <w:r w:rsidR="0054443B">
        <w:rPr>
          <w:lang w:eastAsia="es-MX"/>
        </w:rPr>
        <w:t>a la fecha de presentación de las mismas, el citado acuerdo</w:t>
      </w:r>
      <w:r w:rsidR="0054443B" w:rsidRPr="00326684">
        <w:rPr>
          <w:lang w:eastAsia="es-MX"/>
        </w:rPr>
        <w:t xml:space="preserve"> </w:t>
      </w:r>
      <w:r w:rsidR="00326684" w:rsidRPr="00326684">
        <w:rPr>
          <w:lang w:eastAsia="es-MX"/>
        </w:rPr>
        <w:t>no ha</w:t>
      </w:r>
      <w:r w:rsidR="0054443B">
        <w:rPr>
          <w:lang w:eastAsia="es-MX"/>
        </w:rPr>
        <w:t>bía</w:t>
      </w:r>
      <w:r w:rsidR="00326684" w:rsidRPr="00326684">
        <w:rPr>
          <w:lang w:eastAsia="es-MX"/>
        </w:rPr>
        <w:t xml:space="preserve"> sido publicado </w:t>
      </w:r>
      <w:r w:rsidR="0054443B">
        <w:rPr>
          <w:lang w:eastAsia="es-MX"/>
        </w:rPr>
        <w:t>en el</w:t>
      </w:r>
      <w:r w:rsidR="00326684" w:rsidRPr="00326684">
        <w:rPr>
          <w:lang w:eastAsia="es-MX"/>
        </w:rPr>
        <w:t xml:space="preserve"> Diario Oficial de la Federación. En consecuencia, se tiene por cumplido este requisito en relación con dichos medios de impugnación.</w:t>
      </w:r>
    </w:p>
    <w:p w:rsidR="0054443B" w:rsidRDefault="0054443B" w:rsidP="006D26E8">
      <w:pPr>
        <w:pStyle w:val="Prrafosentencia0"/>
      </w:pPr>
      <w:r>
        <w:t>En cuanto al SUP-JDC-240/2018, se considera que fue promovido de manera oportuna, ya que la actora señala que tuvo conocimiento del acuerdo impugnado el dos de abril del año en curso, y su demanda la presentó el seis de abril siguiente, es decir, dentro del plazo de cuatro días previsto para tal efecto.</w:t>
      </w:r>
    </w:p>
    <w:p w:rsidR="00D42962" w:rsidRDefault="00C97DCC" w:rsidP="00F57341">
      <w:pPr>
        <w:spacing w:line="360" w:lineRule="auto"/>
        <w:jc w:val="both"/>
        <w:rPr>
          <w:rFonts w:ascii="Arial" w:hAnsi="Arial" w:cs="Arial"/>
          <w:sz w:val="28"/>
          <w:szCs w:val="28"/>
        </w:rPr>
      </w:pPr>
      <w:r w:rsidRPr="00120CE0">
        <w:rPr>
          <w:rFonts w:ascii="Arial" w:hAnsi="Arial" w:cs="Arial"/>
          <w:b/>
          <w:sz w:val="28"/>
          <w:szCs w:val="28"/>
        </w:rPr>
        <w:tab/>
      </w:r>
      <w:r w:rsidRPr="00120CE0">
        <w:rPr>
          <w:rFonts w:ascii="Arial" w:hAnsi="Arial" w:cs="Arial"/>
          <w:b/>
          <w:sz w:val="28"/>
          <w:szCs w:val="28"/>
        </w:rPr>
        <w:tab/>
      </w:r>
      <w:r w:rsidR="005F17D0" w:rsidRPr="00120CE0">
        <w:rPr>
          <w:rFonts w:ascii="Arial" w:hAnsi="Arial" w:cs="Arial"/>
          <w:b/>
          <w:sz w:val="28"/>
          <w:szCs w:val="28"/>
        </w:rPr>
        <w:t>3</w:t>
      </w:r>
      <w:r w:rsidRPr="00120CE0">
        <w:rPr>
          <w:rFonts w:ascii="Arial" w:hAnsi="Arial" w:cs="Arial"/>
          <w:b/>
          <w:sz w:val="28"/>
          <w:szCs w:val="28"/>
        </w:rPr>
        <w:t xml:space="preserve">.3. </w:t>
      </w:r>
      <w:r w:rsidR="00DA78AB" w:rsidRPr="00120CE0">
        <w:rPr>
          <w:rFonts w:ascii="Arial" w:hAnsi="Arial" w:cs="Arial"/>
          <w:b/>
          <w:sz w:val="28"/>
          <w:szCs w:val="28"/>
        </w:rPr>
        <w:t>Legitimación</w:t>
      </w:r>
      <w:r w:rsidR="0089600E">
        <w:rPr>
          <w:rFonts w:ascii="Arial" w:hAnsi="Arial" w:cs="Arial"/>
          <w:b/>
          <w:sz w:val="28"/>
          <w:szCs w:val="28"/>
        </w:rPr>
        <w:t>.</w:t>
      </w:r>
      <w:r w:rsidR="00DA78AB" w:rsidRPr="00120CE0">
        <w:rPr>
          <w:rFonts w:ascii="Arial" w:hAnsi="Arial" w:cs="Arial"/>
          <w:sz w:val="28"/>
          <w:szCs w:val="28"/>
        </w:rPr>
        <w:t xml:space="preserve"> </w:t>
      </w:r>
      <w:r w:rsidR="00D42962">
        <w:rPr>
          <w:rFonts w:ascii="Arial" w:hAnsi="Arial" w:cs="Arial"/>
          <w:sz w:val="28"/>
          <w:szCs w:val="28"/>
        </w:rPr>
        <w:t xml:space="preserve">Los juicios ciudadanos fueron </w:t>
      </w:r>
      <w:r w:rsidR="00DA78AB" w:rsidRPr="00120CE0">
        <w:rPr>
          <w:rFonts w:ascii="Arial" w:hAnsi="Arial" w:cs="Arial"/>
          <w:sz w:val="28"/>
          <w:szCs w:val="28"/>
        </w:rPr>
        <w:t>promovido</w:t>
      </w:r>
      <w:r w:rsidR="00D42962">
        <w:rPr>
          <w:rFonts w:ascii="Arial" w:hAnsi="Arial" w:cs="Arial"/>
          <w:sz w:val="28"/>
          <w:szCs w:val="28"/>
        </w:rPr>
        <w:t>s</w:t>
      </w:r>
      <w:r w:rsidR="00DA78AB" w:rsidRPr="00120CE0">
        <w:rPr>
          <w:rFonts w:ascii="Arial" w:hAnsi="Arial" w:cs="Arial"/>
          <w:sz w:val="28"/>
          <w:szCs w:val="28"/>
        </w:rPr>
        <w:t xml:space="preserve"> por parte legítima en términos del artículo 13, párrafo 1, inciso d), de la Ley General, en tanto que l</w:t>
      </w:r>
      <w:r w:rsidR="00326590">
        <w:rPr>
          <w:rFonts w:ascii="Arial" w:hAnsi="Arial" w:cs="Arial"/>
          <w:sz w:val="28"/>
          <w:szCs w:val="28"/>
        </w:rPr>
        <w:t>os</w:t>
      </w:r>
      <w:r w:rsidR="00DA78AB" w:rsidRPr="00120CE0">
        <w:rPr>
          <w:rFonts w:ascii="Arial" w:hAnsi="Arial" w:cs="Arial"/>
          <w:sz w:val="28"/>
          <w:szCs w:val="28"/>
        </w:rPr>
        <w:t xml:space="preserve"> actor</w:t>
      </w:r>
      <w:r w:rsidR="00326590">
        <w:rPr>
          <w:rFonts w:ascii="Arial" w:hAnsi="Arial" w:cs="Arial"/>
          <w:sz w:val="28"/>
          <w:szCs w:val="28"/>
        </w:rPr>
        <w:t xml:space="preserve">es son </w:t>
      </w:r>
      <w:r w:rsidR="00DA78AB" w:rsidRPr="00120CE0">
        <w:rPr>
          <w:rFonts w:ascii="Arial" w:hAnsi="Arial" w:cs="Arial"/>
          <w:sz w:val="28"/>
          <w:szCs w:val="28"/>
        </w:rPr>
        <w:t>candidat</w:t>
      </w:r>
      <w:r w:rsidR="00326590">
        <w:rPr>
          <w:rFonts w:ascii="Arial" w:hAnsi="Arial" w:cs="Arial"/>
          <w:sz w:val="28"/>
          <w:szCs w:val="28"/>
        </w:rPr>
        <w:t>os</w:t>
      </w:r>
      <w:r w:rsidR="00DA78AB" w:rsidRPr="00120CE0">
        <w:rPr>
          <w:rFonts w:ascii="Arial" w:hAnsi="Arial" w:cs="Arial"/>
          <w:sz w:val="28"/>
          <w:szCs w:val="28"/>
        </w:rPr>
        <w:t xml:space="preserve"> independiente</w:t>
      </w:r>
      <w:r w:rsidR="00326590">
        <w:rPr>
          <w:rFonts w:ascii="Arial" w:hAnsi="Arial" w:cs="Arial"/>
          <w:sz w:val="28"/>
          <w:szCs w:val="28"/>
        </w:rPr>
        <w:t>s</w:t>
      </w:r>
      <w:r w:rsidR="00DA78AB" w:rsidRPr="00120CE0">
        <w:rPr>
          <w:rFonts w:ascii="Arial" w:hAnsi="Arial" w:cs="Arial"/>
          <w:sz w:val="28"/>
          <w:szCs w:val="28"/>
        </w:rPr>
        <w:t xml:space="preserve"> a la </w:t>
      </w:r>
      <w:r w:rsidR="00DA78AB" w:rsidRPr="00DD39DA">
        <w:rPr>
          <w:rFonts w:ascii="Arial" w:hAnsi="Arial" w:cs="Arial"/>
          <w:sz w:val="28"/>
          <w:szCs w:val="28"/>
        </w:rPr>
        <w:t>Presidencia de la República,</w:t>
      </w:r>
      <w:r w:rsidR="00326590" w:rsidRPr="00DD39DA">
        <w:rPr>
          <w:rFonts w:ascii="Arial" w:hAnsi="Arial" w:cs="Arial"/>
          <w:sz w:val="28"/>
          <w:szCs w:val="28"/>
        </w:rPr>
        <w:t xml:space="preserve"> a </w:t>
      </w:r>
      <w:r w:rsidR="00F710D2">
        <w:rPr>
          <w:rFonts w:ascii="Arial" w:hAnsi="Arial" w:cs="Arial"/>
          <w:sz w:val="28"/>
          <w:szCs w:val="28"/>
        </w:rPr>
        <w:t>S</w:t>
      </w:r>
      <w:r w:rsidR="00326590" w:rsidRPr="00DD39DA">
        <w:rPr>
          <w:rFonts w:ascii="Arial" w:hAnsi="Arial" w:cs="Arial"/>
          <w:sz w:val="28"/>
          <w:szCs w:val="28"/>
        </w:rPr>
        <w:t>enaduría</w:t>
      </w:r>
      <w:r w:rsidR="00D42962">
        <w:rPr>
          <w:rFonts w:ascii="Arial" w:hAnsi="Arial" w:cs="Arial"/>
          <w:sz w:val="28"/>
          <w:szCs w:val="28"/>
        </w:rPr>
        <w:t>s</w:t>
      </w:r>
      <w:r w:rsidR="00D42962">
        <w:rPr>
          <w:rStyle w:val="Refdenotaalpie"/>
          <w:rFonts w:ascii="Arial" w:hAnsi="Arial" w:cs="Arial"/>
          <w:sz w:val="28"/>
          <w:szCs w:val="28"/>
        </w:rPr>
        <w:footnoteReference w:id="10"/>
      </w:r>
      <w:r w:rsidR="00F710D2">
        <w:rPr>
          <w:rFonts w:ascii="Arial" w:hAnsi="Arial" w:cs="Arial"/>
          <w:sz w:val="28"/>
          <w:szCs w:val="28"/>
        </w:rPr>
        <w:t xml:space="preserve"> y a Diputaciones federales.</w:t>
      </w:r>
    </w:p>
    <w:p w:rsidR="00D42962" w:rsidRPr="00D42962" w:rsidRDefault="00D42962" w:rsidP="00D42962">
      <w:pPr>
        <w:spacing w:line="360" w:lineRule="auto"/>
        <w:ind w:firstLine="1418"/>
        <w:jc w:val="both"/>
        <w:rPr>
          <w:rFonts w:ascii="Arial" w:hAnsi="Arial" w:cs="Arial"/>
          <w:sz w:val="28"/>
          <w:szCs w:val="28"/>
        </w:rPr>
      </w:pPr>
      <w:r>
        <w:rPr>
          <w:rFonts w:ascii="Arial" w:hAnsi="Arial" w:cs="Arial"/>
          <w:b/>
          <w:sz w:val="28"/>
          <w:szCs w:val="28"/>
        </w:rPr>
        <w:t xml:space="preserve">3.4. Personería. </w:t>
      </w:r>
      <w:r>
        <w:rPr>
          <w:rFonts w:ascii="Arial" w:hAnsi="Arial" w:cs="Arial"/>
          <w:sz w:val="28"/>
          <w:szCs w:val="28"/>
        </w:rPr>
        <w:t xml:space="preserve">Se cumple con este requisito ya que la autoridad responsable reconoce a Fernanda Caso Prado, la calidad de representante legal de </w:t>
      </w:r>
      <w:r w:rsidRPr="00D42962">
        <w:rPr>
          <w:rFonts w:ascii="Arial" w:hAnsi="Arial" w:cs="Arial"/>
          <w:sz w:val="28"/>
          <w:szCs w:val="28"/>
        </w:rPr>
        <w:t>Margarita Ester Zavala Gómez Del Campo</w:t>
      </w:r>
      <w:r>
        <w:rPr>
          <w:rFonts w:ascii="Arial" w:hAnsi="Arial" w:cs="Arial"/>
          <w:sz w:val="28"/>
          <w:szCs w:val="28"/>
        </w:rPr>
        <w:t>, ante el Consejo General.</w:t>
      </w:r>
    </w:p>
    <w:p w:rsidR="00F57341" w:rsidRPr="00120CE0" w:rsidRDefault="00C97DCC" w:rsidP="00F57341">
      <w:pPr>
        <w:spacing w:line="360" w:lineRule="auto"/>
        <w:jc w:val="both"/>
        <w:rPr>
          <w:rFonts w:ascii="Arial" w:hAnsi="Arial" w:cs="Arial"/>
          <w:sz w:val="28"/>
          <w:szCs w:val="28"/>
        </w:rPr>
      </w:pPr>
      <w:r w:rsidRPr="00120CE0">
        <w:rPr>
          <w:rFonts w:ascii="Arial" w:hAnsi="Arial" w:cs="Arial"/>
          <w:b/>
          <w:sz w:val="28"/>
          <w:szCs w:val="28"/>
        </w:rPr>
        <w:tab/>
      </w:r>
      <w:r w:rsidRPr="00120CE0">
        <w:rPr>
          <w:rFonts w:ascii="Arial" w:hAnsi="Arial" w:cs="Arial"/>
          <w:b/>
          <w:sz w:val="28"/>
          <w:szCs w:val="28"/>
        </w:rPr>
        <w:tab/>
      </w:r>
      <w:r w:rsidR="005F17D0" w:rsidRPr="00120CE0">
        <w:rPr>
          <w:rFonts w:ascii="Arial" w:hAnsi="Arial" w:cs="Arial"/>
          <w:b/>
          <w:sz w:val="28"/>
          <w:szCs w:val="28"/>
        </w:rPr>
        <w:t>3</w:t>
      </w:r>
      <w:r w:rsidRPr="00120CE0">
        <w:rPr>
          <w:rFonts w:ascii="Arial" w:hAnsi="Arial" w:cs="Arial"/>
          <w:b/>
          <w:sz w:val="28"/>
          <w:szCs w:val="28"/>
        </w:rPr>
        <w:t>.</w:t>
      </w:r>
      <w:r w:rsidR="00D42962">
        <w:rPr>
          <w:rFonts w:ascii="Arial" w:hAnsi="Arial" w:cs="Arial"/>
          <w:b/>
          <w:sz w:val="28"/>
          <w:szCs w:val="28"/>
        </w:rPr>
        <w:t>5</w:t>
      </w:r>
      <w:r w:rsidRPr="00120CE0">
        <w:rPr>
          <w:rFonts w:ascii="Arial" w:hAnsi="Arial" w:cs="Arial"/>
          <w:b/>
          <w:sz w:val="28"/>
          <w:szCs w:val="28"/>
        </w:rPr>
        <w:t xml:space="preserve">. </w:t>
      </w:r>
      <w:r w:rsidR="00DA78AB" w:rsidRPr="00120CE0">
        <w:rPr>
          <w:rFonts w:ascii="Arial" w:hAnsi="Arial" w:cs="Arial"/>
          <w:b/>
          <w:sz w:val="28"/>
          <w:szCs w:val="28"/>
        </w:rPr>
        <w:t>Interés jurídico.</w:t>
      </w:r>
      <w:r w:rsidR="00DA78AB" w:rsidRPr="00120CE0">
        <w:rPr>
          <w:rFonts w:ascii="Arial" w:hAnsi="Arial" w:cs="Arial"/>
          <w:sz w:val="28"/>
          <w:szCs w:val="28"/>
        </w:rPr>
        <w:t xml:space="preserve"> </w:t>
      </w:r>
      <w:r w:rsidRPr="00120CE0">
        <w:rPr>
          <w:rFonts w:ascii="Arial" w:hAnsi="Arial" w:cs="Arial"/>
          <w:sz w:val="28"/>
          <w:szCs w:val="28"/>
        </w:rPr>
        <w:t>Los</w:t>
      </w:r>
      <w:r w:rsidR="00DA78AB" w:rsidRPr="00120CE0">
        <w:rPr>
          <w:rFonts w:ascii="Arial" w:hAnsi="Arial" w:cs="Arial"/>
          <w:sz w:val="28"/>
          <w:szCs w:val="28"/>
        </w:rPr>
        <w:t xml:space="preserve"> promovente</w:t>
      </w:r>
      <w:r w:rsidRPr="00120CE0">
        <w:rPr>
          <w:rFonts w:ascii="Arial" w:hAnsi="Arial" w:cs="Arial"/>
          <w:sz w:val="28"/>
          <w:szCs w:val="28"/>
        </w:rPr>
        <w:t>s</w:t>
      </w:r>
      <w:r w:rsidR="00DA78AB" w:rsidRPr="00120CE0">
        <w:rPr>
          <w:rFonts w:ascii="Arial" w:hAnsi="Arial" w:cs="Arial"/>
          <w:sz w:val="28"/>
          <w:szCs w:val="28"/>
        </w:rPr>
        <w:t xml:space="preserve"> cuenta</w:t>
      </w:r>
      <w:r w:rsidRPr="00120CE0">
        <w:rPr>
          <w:rFonts w:ascii="Arial" w:hAnsi="Arial" w:cs="Arial"/>
          <w:sz w:val="28"/>
          <w:szCs w:val="28"/>
        </w:rPr>
        <w:t>n</w:t>
      </w:r>
      <w:r w:rsidR="00DA78AB" w:rsidRPr="00120CE0">
        <w:rPr>
          <w:rFonts w:ascii="Arial" w:hAnsi="Arial" w:cs="Arial"/>
          <w:sz w:val="28"/>
          <w:szCs w:val="28"/>
        </w:rPr>
        <w:t xml:space="preserve"> con interés jurídico para </w:t>
      </w:r>
      <w:r w:rsidR="00DA78AB" w:rsidRPr="006838F7">
        <w:rPr>
          <w:rFonts w:ascii="Arial" w:hAnsi="Arial" w:cs="Arial"/>
          <w:sz w:val="28"/>
          <w:szCs w:val="28"/>
        </w:rPr>
        <w:t>promover</w:t>
      </w:r>
      <w:r w:rsidR="006838F7" w:rsidRPr="006838F7">
        <w:rPr>
          <w:rFonts w:ascii="Arial" w:hAnsi="Arial" w:cs="Arial"/>
          <w:sz w:val="28"/>
          <w:szCs w:val="28"/>
        </w:rPr>
        <w:t xml:space="preserve"> </w:t>
      </w:r>
      <w:r w:rsidR="006838F7">
        <w:rPr>
          <w:rFonts w:ascii="Arial" w:hAnsi="Arial" w:cs="Arial"/>
          <w:sz w:val="28"/>
          <w:szCs w:val="28"/>
        </w:rPr>
        <w:t>los juicios ciudadanos</w:t>
      </w:r>
      <w:r w:rsidR="00DA78AB" w:rsidRPr="00120CE0">
        <w:rPr>
          <w:rFonts w:ascii="Arial" w:hAnsi="Arial" w:cs="Arial"/>
          <w:sz w:val="28"/>
          <w:szCs w:val="28"/>
        </w:rPr>
        <w:t xml:space="preserve">, dado que </w:t>
      </w:r>
      <w:r w:rsidR="006D26E8">
        <w:rPr>
          <w:rFonts w:ascii="Arial" w:hAnsi="Arial" w:cs="Arial"/>
          <w:sz w:val="28"/>
          <w:szCs w:val="28"/>
        </w:rPr>
        <w:t>consideran que el acuerdo impugnado vulnera su derecho a ser votados en condiciones de equidad.</w:t>
      </w:r>
    </w:p>
    <w:p w:rsidR="00F57341" w:rsidRPr="00120CE0" w:rsidRDefault="00C97DCC" w:rsidP="00120CE0">
      <w:pPr>
        <w:spacing w:line="360" w:lineRule="auto"/>
        <w:jc w:val="both"/>
        <w:rPr>
          <w:rFonts w:ascii="Arial" w:hAnsi="Arial" w:cs="Arial"/>
          <w:sz w:val="28"/>
          <w:szCs w:val="28"/>
        </w:rPr>
      </w:pPr>
      <w:r w:rsidRPr="00120CE0">
        <w:rPr>
          <w:rFonts w:ascii="Arial" w:hAnsi="Arial" w:cs="Arial"/>
          <w:b/>
          <w:sz w:val="28"/>
          <w:szCs w:val="28"/>
        </w:rPr>
        <w:tab/>
      </w:r>
      <w:r w:rsidRPr="00120CE0">
        <w:rPr>
          <w:rFonts w:ascii="Arial" w:hAnsi="Arial" w:cs="Arial"/>
          <w:b/>
          <w:sz w:val="28"/>
          <w:szCs w:val="28"/>
        </w:rPr>
        <w:tab/>
      </w:r>
      <w:r w:rsidR="005F17D0" w:rsidRPr="00120CE0">
        <w:rPr>
          <w:rFonts w:ascii="Arial" w:hAnsi="Arial" w:cs="Arial"/>
          <w:b/>
          <w:sz w:val="28"/>
          <w:szCs w:val="28"/>
        </w:rPr>
        <w:t>3</w:t>
      </w:r>
      <w:r w:rsidRPr="00120CE0">
        <w:rPr>
          <w:rFonts w:ascii="Arial" w:hAnsi="Arial" w:cs="Arial"/>
          <w:b/>
          <w:sz w:val="28"/>
          <w:szCs w:val="28"/>
        </w:rPr>
        <w:t>.</w:t>
      </w:r>
      <w:r w:rsidR="00D42962">
        <w:rPr>
          <w:rFonts w:ascii="Arial" w:hAnsi="Arial" w:cs="Arial"/>
          <w:b/>
          <w:sz w:val="28"/>
          <w:szCs w:val="28"/>
        </w:rPr>
        <w:t>6</w:t>
      </w:r>
      <w:r w:rsidRPr="00120CE0">
        <w:rPr>
          <w:rFonts w:ascii="Arial" w:hAnsi="Arial" w:cs="Arial"/>
          <w:b/>
          <w:sz w:val="28"/>
          <w:szCs w:val="28"/>
        </w:rPr>
        <w:t xml:space="preserve">. </w:t>
      </w:r>
      <w:r w:rsidR="00DA78AB" w:rsidRPr="00120CE0">
        <w:rPr>
          <w:rFonts w:ascii="Arial" w:hAnsi="Arial" w:cs="Arial"/>
          <w:b/>
          <w:sz w:val="28"/>
          <w:szCs w:val="28"/>
        </w:rPr>
        <w:t>Definitividad.</w:t>
      </w:r>
      <w:r w:rsidR="00DA78AB" w:rsidRPr="00120CE0">
        <w:rPr>
          <w:rFonts w:ascii="Arial" w:hAnsi="Arial" w:cs="Arial"/>
          <w:sz w:val="28"/>
          <w:szCs w:val="28"/>
        </w:rPr>
        <w:t xml:space="preserve"> Está colmada en el caso porque, de la normativa aplicable no se advierte que exista algún medio de impugnación que deba agotarse antes de acudir a la presente instancia, a través del cual se pueda modificar o revocar la resolución impugnada</w:t>
      </w:r>
      <w:r w:rsidR="00DD39DA">
        <w:rPr>
          <w:rFonts w:ascii="Arial" w:hAnsi="Arial" w:cs="Arial"/>
          <w:sz w:val="28"/>
          <w:szCs w:val="28"/>
        </w:rPr>
        <w:t>.</w:t>
      </w:r>
    </w:p>
    <w:p w:rsidR="00F57341" w:rsidRDefault="005F17D0" w:rsidP="006D26E8">
      <w:pPr>
        <w:pStyle w:val="Prrafosentencia0"/>
      </w:pPr>
      <w:r w:rsidRPr="00120CE0">
        <w:rPr>
          <w:b/>
        </w:rPr>
        <w:t>4</w:t>
      </w:r>
      <w:r w:rsidR="00C97DCC" w:rsidRPr="00120CE0">
        <w:rPr>
          <w:b/>
        </w:rPr>
        <w:t xml:space="preserve">. </w:t>
      </w:r>
      <w:r w:rsidR="00402C79" w:rsidRPr="00120CE0">
        <w:rPr>
          <w:b/>
        </w:rPr>
        <w:t>Hechos relevantes.</w:t>
      </w:r>
      <w:r w:rsidR="00402C79" w:rsidRPr="00120CE0">
        <w:t xml:space="preserve"> Los hechos que dieron origen a la sentencia impugnada consisten medularmente en los siguientes</w:t>
      </w:r>
      <w:r w:rsidR="00F57341">
        <w:t>:</w:t>
      </w:r>
      <w:bookmarkEnd w:id="3"/>
    </w:p>
    <w:p w:rsidR="009A7E77" w:rsidRPr="00120CE0" w:rsidRDefault="005F17D0" w:rsidP="006D26E8">
      <w:pPr>
        <w:pStyle w:val="Prrafosentencia0"/>
      </w:pPr>
      <w:r w:rsidRPr="00DD39DA">
        <w:rPr>
          <w:b/>
        </w:rPr>
        <w:t>4</w:t>
      </w:r>
      <w:r w:rsidR="009A7E77" w:rsidRPr="00DD39DA">
        <w:rPr>
          <w:b/>
        </w:rPr>
        <w:t>.1. Inicio del Proceso Electoral</w:t>
      </w:r>
      <w:r w:rsidR="009A7E77" w:rsidRPr="00120CE0">
        <w:t xml:space="preserve">. </w:t>
      </w:r>
      <w:r w:rsidR="009A7E77" w:rsidRPr="006838F7">
        <w:t xml:space="preserve">El ocho de septiembre de dos mil diecisiete, dio inicio el Proceso Electoral Federal 2017-2018, para elegir Presidente de la República, </w:t>
      </w:r>
      <w:r w:rsidR="00262A36">
        <w:t>d</w:t>
      </w:r>
      <w:r w:rsidR="009A7E77" w:rsidRPr="006838F7">
        <w:t xml:space="preserve">iputados y </w:t>
      </w:r>
      <w:r w:rsidR="00262A36">
        <w:t>s</w:t>
      </w:r>
      <w:r w:rsidR="009A7E77" w:rsidRPr="006838F7">
        <w:t>enadores al Congreso de la Unión.</w:t>
      </w:r>
      <w:r w:rsidR="009A7E77" w:rsidRPr="00120CE0">
        <w:t xml:space="preserve"> </w:t>
      </w:r>
    </w:p>
    <w:p w:rsidR="009A7E77" w:rsidRPr="00120CE0" w:rsidRDefault="005F17D0" w:rsidP="00120CE0">
      <w:pPr>
        <w:autoSpaceDE w:val="0"/>
        <w:autoSpaceDN w:val="0"/>
        <w:adjustRightInd w:val="0"/>
        <w:spacing w:before="360" w:after="360" w:line="360" w:lineRule="auto"/>
        <w:ind w:firstLine="1418"/>
        <w:jc w:val="both"/>
        <w:rPr>
          <w:rFonts w:ascii="Arial" w:hAnsi="Arial" w:cs="Arial"/>
          <w:sz w:val="28"/>
          <w:szCs w:val="28"/>
        </w:rPr>
      </w:pPr>
      <w:r w:rsidRPr="00120CE0">
        <w:rPr>
          <w:rFonts w:ascii="Arial" w:hAnsi="Arial" w:cs="Arial"/>
          <w:b/>
          <w:sz w:val="28"/>
          <w:szCs w:val="28"/>
        </w:rPr>
        <w:t>4</w:t>
      </w:r>
      <w:r w:rsidR="009A7E77" w:rsidRPr="00120CE0">
        <w:rPr>
          <w:rFonts w:ascii="Arial" w:hAnsi="Arial" w:cs="Arial"/>
          <w:b/>
          <w:sz w:val="28"/>
          <w:szCs w:val="28"/>
        </w:rPr>
        <w:t xml:space="preserve">.2. Convocatoria a Candidatos Independientes. </w:t>
      </w:r>
      <w:r w:rsidR="009A7E77" w:rsidRPr="00120CE0">
        <w:rPr>
          <w:rFonts w:ascii="Arial" w:hAnsi="Arial" w:cs="Arial"/>
          <w:sz w:val="28"/>
          <w:szCs w:val="28"/>
        </w:rPr>
        <w:t>En la misma fecha, mediante Acuerdo INE/CG426/2017, el Consejo General aprobó la Convocatoria para el registro de candidaturas independientes a la Presidencia de la República, Senadurías y Diputaciones Federales por el principio de mayoría relativa, para el Proceso Electoral Federal 2017-2018.</w:t>
      </w:r>
    </w:p>
    <w:p w:rsidR="009A7E77" w:rsidRPr="00120CE0" w:rsidRDefault="009A7E77" w:rsidP="00120CE0">
      <w:pPr>
        <w:autoSpaceDE w:val="0"/>
        <w:autoSpaceDN w:val="0"/>
        <w:adjustRightInd w:val="0"/>
        <w:spacing w:before="360" w:after="360" w:line="360" w:lineRule="auto"/>
        <w:ind w:firstLine="1418"/>
        <w:jc w:val="both"/>
        <w:rPr>
          <w:rFonts w:ascii="Arial" w:hAnsi="Arial" w:cs="Arial"/>
          <w:sz w:val="28"/>
          <w:szCs w:val="28"/>
        </w:rPr>
      </w:pPr>
      <w:r w:rsidRPr="00120CE0">
        <w:rPr>
          <w:rFonts w:ascii="Arial" w:hAnsi="Arial" w:cs="Arial"/>
          <w:b/>
          <w:sz w:val="28"/>
          <w:szCs w:val="28"/>
        </w:rPr>
        <w:t xml:space="preserve"> </w:t>
      </w:r>
      <w:r w:rsidR="005F17D0" w:rsidRPr="00120CE0">
        <w:rPr>
          <w:rFonts w:ascii="Arial" w:hAnsi="Arial" w:cs="Arial"/>
          <w:b/>
          <w:sz w:val="28"/>
          <w:szCs w:val="28"/>
        </w:rPr>
        <w:t>4</w:t>
      </w:r>
      <w:r w:rsidRPr="00120CE0">
        <w:rPr>
          <w:rFonts w:ascii="Arial" w:hAnsi="Arial" w:cs="Arial"/>
          <w:b/>
          <w:sz w:val="28"/>
          <w:szCs w:val="28"/>
        </w:rPr>
        <w:t>.3 Tope de gastos de precampaña y campaña</w:t>
      </w:r>
      <w:r w:rsidRPr="00120CE0">
        <w:rPr>
          <w:rFonts w:ascii="Arial" w:hAnsi="Arial" w:cs="Arial"/>
          <w:sz w:val="28"/>
          <w:szCs w:val="28"/>
        </w:rPr>
        <w:t xml:space="preserve">. El treinta de octubre de dos mil diecisiete, el Consejo General aprobó, mediante acuerdo INE/CG505/2017, los topes máximos de gastos de precampaña y campaña, para las Elecciones de Presidente de los Estados Unidos Mexicanos, así como de </w:t>
      </w:r>
      <w:r w:rsidR="00262A36">
        <w:rPr>
          <w:rFonts w:ascii="Arial" w:hAnsi="Arial" w:cs="Arial"/>
          <w:sz w:val="28"/>
          <w:szCs w:val="28"/>
        </w:rPr>
        <w:t>d</w:t>
      </w:r>
      <w:r w:rsidRPr="00120CE0">
        <w:rPr>
          <w:rFonts w:ascii="Arial" w:hAnsi="Arial" w:cs="Arial"/>
          <w:sz w:val="28"/>
          <w:szCs w:val="28"/>
        </w:rPr>
        <w:t xml:space="preserve">iputaciones y </w:t>
      </w:r>
      <w:r w:rsidR="00262A36">
        <w:rPr>
          <w:rFonts w:ascii="Arial" w:hAnsi="Arial" w:cs="Arial"/>
          <w:sz w:val="28"/>
          <w:szCs w:val="28"/>
        </w:rPr>
        <w:t>s</w:t>
      </w:r>
      <w:r w:rsidRPr="00120CE0">
        <w:rPr>
          <w:rFonts w:ascii="Arial" w:hAnsi="Arial" w:cs="Arial"/>
          <w:sz w:val="28"/>
          <w:szCs w:val="28"/>
        </w:rPr>
        <w:t xml:space="preserve">enadurías por el principio de mayoría relativa para el Proceso Electoral Federal 2017-2018. </w:t>
      </w:r>
    </w:p>
    <w:p w:rsidR="004D10AA" w:rsidRDefault="004D10AA" w:rsidP="00120CE0">
      <w:pPr>
        <w:spacing w:before="360" w:after="360" w:line="360" w:lineRule="auto"/>
        <w:ind w:firstLine="1418"/>
        <w:jc w:val="both"/>
        <w:rPr>
          <w:rFonts w:ascii="Arial" w:hAnsi="Arial" w:cs="Arial"/>
          <w:sz w:val="28"/>
          <w:szCs w:val="28"/>
        </w:rPr>
      </w:pPr>
      <w:r w:rsidRPr="00120CE0">
        <w:rPr>
          <w:rFonts w:ascii="Arial" w:hAnsi="Arial" w:cs="Arial"/>
          <w:b/>
          <w:sz w:val="28"/>
          <w:szCs w:val="28"/>
        </w:rPr>
        <w:t>4</w:t>
      </w:r>
      <w:r>
        <w:rPr>
          <w:rFonts w:ascii="Arial" w:hAnsi="Arial" w:cs="Arial"/>
          <w:b/>
          <w:sz w:val="28"/>
          <w:szCs w:val="28"/>
        </w:rPr>
        <w:t>.4. Acuerdo de financiamiento público</w:t>
      </w:r>
      <w:r w:rsidRPr="00120CE0">
        <w:rPr>
          <w:rFonts w:ascii="Arial" w:hAnsi="Arial" w:cs="Arial"/>
          <w:sz w:val="28"/>
          <w:szCs w:val="28"/>
        </w:rPr>
        <w:t xml:space="preserve">. El veintiocho de marzo del presente año, el Consejo General aprobó el Acuerdo </w:t>
      </w:r>
      <w:r>
        <w:rPr>
          <w:rFonts w:ascii="Arial" w:hAnsi="Arial" w:cs="Arial"/>
          <w:sz w:val="28"/>
          <w:szCs w:val="28"/>
        </w:rPr>
        <w:t>INE/CG283/2018, mediante el cual se distribuyó a las candidaturas independientes el financiamiento público, así como la prerrogativa relativa a la franquicia postal, para la etapa de campaña electoral.</w:t>
      </w:r>
    </w:p>
    <w:p w:rsidR="009A7E77" w:rsidRDefault="005F17D0" w:rsidP="00120CE0">
      <w:pPr>
        <w:spacing w:before="360" w:after="360" w:line="360" w:lineRule="auto"/>
        <w:ind w:firstLine="1418"/>
        <w:jc w:val="both"/>
        <w:rPr>
          <w:rFonts w:ascii="Arial" w:hAnsi="Arial" w:cs="Arial"/>
          <w:sz w:val="28"/>
          <w:szCs w:val="28"/>
        </w:rPr>
      </w:pPr>
      <w:r w:rsidRPr="00120CE0">
        <w:rPr>
          <w:rFonts w:ascii="Arial" w:hAnsi="Arial" w:cs="Arial"/>
          <w:b/>
          <w:sz w:val="28"/>
          <w:szCs w:val="28"/>
        </w:rPr>
        <w:t>4</w:t>
      </w:r>
      <w:r w:rsidR="009A7E77" w:rsidRPr="00120CE0">
        <w:rPr>
          <w:rFonts w:ascii="Arial" w:hAnsi="Arial" w:cs="Arial"/>
          <w:b/>
          <w:sz w:val="28"/>
          <w:szCs w:val="28"/>
        </w:rPr>
        <w:t>.</w:t>
      </w:r>
      <w:r w:rsidR="004D10AA">
        <w:rPr>
          <w:rFonts w:ascii="Arial" w:hAnsi="Arial" w:cs="Arial"/>
          <w:b/>
          <w:sz w:val="28"/>
          <w:szCs w:val="28"/>
        </w:rPr>
        <w:t>5</w:t>
      </w:r>
      <w:r w:rsidR="009A7E77" w:rsidRPr="00120CE0">
        <w:rPr>
          <w:rFonts w:ascii="Arial" w:hAnsi="Arial" w:cs="Arial"/>
          <w:b/>
          <w:sz w:val="28"/>
          <w:szCs w:val="28"/>
        </w:rPr>
        <w:t>. Acuerdo impugnado</w:t>
      </w:r>
      <w:r w:rsidR="009A7E77" w:rsidRPr="00120CE0">
        <w:rPr>
          <w:rFonts w:ascii="Arial" w:hAnsi="Arial" w:cs="Arial"/>
          <w:sz w:val="28"/>
          <w:szCs w:val="28"/>
        </w:rPr>
        <w:t xml:space="preserve">. El veintiocho de marzo del presente año, el Consejo General aprobó el Acuerdo INE/CG281/2018, por el que se determinan los límites de financiamiento privado que podrán recibir los candidatos independientes que se postulan para un cargo federal de elección popular, durante el periodo de campaña para los procesos electorales ordinarios concurrentes de 2017–2018. </w:t>
      </w:r>
    </w:p>
    <w:p w:rsidR="00DE613F" w:rsidRPr="006D26E8" w:rsidRDefault="005F17D0" w:rsidP="006D26E8">
      <w:pPr>
        <w:pStyle w:val="Prrafosentencia0"/>
        <w:rPr>
          <w:b/>
          <w:lang w:eastAsia="es-MX"/>
        </w:rPr>
      </w:pPr>
      <w:r w:rsidRPr="006D26E8">
        <w:rPr>
          <w:b/>
        </w:rPr>
        <w:t>5</w:t>
      </w:r>
      <w:r w:rsidR="00EE3C0F" w:rsidRPr="006D26E8">
        <w:rPr>
          <w:b/>
        </w:rPr>
        <w:t xml:space="preserve">. </w:t>
      </w:r>
      <w:r w:rsidR="00953942" w:rsidRPr="006D26E8">
        <w:rPr>
          <w:b/>
        </w:rPr>
        <w:t>Estudio de fondo</w:t>
      </w:r>
    </w:p>
    <w:p w:rsidR="009D686D" w:rsidRPr="009D686D" w:rsidRDefault="00DD39DA" w:rsidP="009D686D">
      <w:pPr>
        <w:spacing w:before="360" w:after="360" w:line="360" w:lineRule="auto"/>
        <w:ind w:firstLine="1418"/>
        <w:jc w:val="both"/>
        <w:rPr>
          <w:rFonts w:ascii="Arial" w:hAnsi="Arial" w:cs="Arial"/>
          <w:sz w:val="28"/>
          <w:szCs w:val="28"/>
          <w:u w:val="single"/>
        </w:rPr>
      </w:pPr>
      <w:r w:rsidRPr="009D686D">
        <w:rPr>
          <w:rFonts w:ascii="Arial" w:hAnsi="Arial" w:cs="Arial"/>
          <w:b/>
          <w:sz w:val="28"/>
          <w:szCs w:val="28"/>
        </w:rPr>
        <w:t>5</w:t>
      </w:r>
      <w:r w:rsidR="00E76CD6" w:rsidRPr="009D686D">
        <w:rPr>
          <w:rFonts w:ascii="Arial" w:hAnsi="Arial" w:cs="Arial"/>
          <w:b/>
          <w:sz w:val="28"/>
          <w:szCs w:val="28"/>
        </w:rPr>
        <w:t>.1</w:t>
      </w:r>
      <w:r w:rsidR="002B49B8" w:rsidRPr="009D686D">
        <w:rPr>
          <w:rFonts w:ascii="Arial" w:hAnsi="Arial" w:cs="Arial"/>
          <w:b/>
          <w:sz w:val="28"/>
          <w:szCs w:val="28"/>
        </w:rPr>
        <w:t xml:space="preserve">. </w:t>
      </w:r>
      <w:r w:rsidR="009D686D" w:rsidRPr="009D686D">
        <w:rPr>
          <w:rFonts w:ascii="Arial" w:hAnsi="Arial" w:cs="Arial"/>
          <w:b/>
          <w:sz w:val="28"/>
          <w:szCs w:val="28"/>
        </w:rPr>
        <w:t xml:space="preserve">Pretensión y causa de pedir. </w:t>
      </w:r>
      <w:r w:rsidR="009D686D" w:rsidRPr="009D686D">
        <w:rPr>
          <w:rFonts w:ascii="Arial" w:hAnsi="Arial" w:cs="Arial"/>
          <w:sz w:val="28"/>
          <w:szCs w:val="28"/>
        </w:rPr>
        <w:t xml:space="preserve">La </w:t>
      </w:r>
      <w:r w:rsidR="009D686D" w:rsidRPr="009D686D">
        <w:rPr>
          <w:rFonts w:ascii="Arial" w:hAnsi="Arial" w:cs="Arial"/>
          <w:b/>
          <w:sz w:val="28"/>
          <w:szCs w:val="28"/>
        </w:rPr>
        <w:t>pretensión</w:t>
      </w:r>
      <w:r w:rsidR="009D686D" w:rsidRPr="009D686D">
        <w:rPr>
          <w:rFonts w:ascii="Arial" w:hAnsi="Arial" w:cs="Arial"/>
          <w:sz w:val="28"/>
          <w:szCs w:val="28"/>
        </w:rPr>
        <w:t xml:space="preserve"> de los recurrentes se plantea en dos vertientes:</w:t>
      </w:r>
    </w:p>
    <w:p w:rsidR="009D686D" w:rsidRDefault="009D686D" w:rsidP="009D686D">
      <w:pPr>
        <w:spacing w:before="360" w:after="360" w:line="360" w:lineRule="auto"/>
        <w:ind w:firstLine="1418"/>
        <w:jc w:val="both"/>
        <w:rPr>
          <w:rFonts w:ascii="Arial" w:hAnsi="Arial" w:cs="Arial"/>
          <w:sz w:val="28"/>
          <w:szCs w:val="28"/>
        </w:rPr>
      </w:pPr>
      <w:r>
        <w:rPr>
          <w:rFonts w:ascii="Arial" w:hAnsi="Arial" w:cs="Arial"/>
          <w:sz w:val="28"/>
          <w:szCs w:val="28"/>
        </w:rPr>
        <w:t xml:space="preserve">Por una parte, que se revoque el Acuerdo impugnado, ya que el </w:t>
      </w:r>
      <w:r w:rsidR="00AA230E">
        <w:rPr>
          <w:rFonts w:ascii="Arial" w:hAnsi="Arial" w:cs="Arial"/>
          <w:sz w:val="28"/>
          <w:szCs w:val="28"/>
        </w:rPr>
        <w:t>Consejo General</w:t>
      </w:r>
      <w:r>
        <w:rPr>
          <w:rFonts w:ascii="Arial" w:hAnsi="Arial" w:cs="Arial"/>
          <w:sz w:val="28"/>
          <w:szCs w:val="28"/>
        </w:rPr>
        <w:t xml:space="preserve"> dejó de realizar una interpretación constitucional del artículo 399 de la LEGIPE, vulnerando con ello la equidad en la contienda; por otra, que se inaplique dicho artículo, al resultar contrario al bloque constitucional y convencional de derechos humanos.</w:t>
      </w:r>
    </w:p>
    <w:p w:rsidR="009D686D" w:rsidRPr="000922D1" w:rsidRDefault="009D686D" w:rsidP="009D686D">
      <w:pPr>
        <w:spacing w:before="360" w:after="360" w:line="360" w:lineRule="auto"/>
        <w:ind w:firstLine="1418"/>
        <w:jc w:val="both"/>
        <w:rPr>
          <w:rFonts w:ascii="Arial" w:hAnsi="Arial" w:cs="Arial"/>
          <w:sz w:val="28"/>
          <w:szCs w:val="28"/>
        </w:rPr>
      </w:pPr>
      <w:r>
        <w:rPr>
          <w:rFonts w:ascii="Arial" w:hAnsi="Arial" w:cs="Arial"/>
          <w:sz w:val="28"/>
          <w:szCs w:val="28"/>
        </w:rPr>
        <w:t xml:space="preserve">Su </w:t>
      </w:r>
      <w:r w:rsidRPr="00D95ECA">
        <w:rPr>
          <w:rFonts w:ascii="Arial" w:hAnsi="Arial" w:cs="Arial"/>
          <w:b/>
          <w:sz w:val="28"/>
          <w:szCs w:val="28"/>
        </w:rPr>
        <w:t>causa de pedir</w:t>
      </w:r>
      <w:r>
        <w:rPr>
          <w:rFonts w:ascii="Arial" w:hAnsi="Arial" w:cs="Arial"/>
          <w:sz w:val="28"/>
          <w:szCs w:val="28"/>
        </w:rPr>
        <w:t xml:space="preserve"> la sostienen en los siguientes razonamientos:</w:t>
      </w:r>
    </w:p>
    <w:p w:rsidR="009D686D" w:rsidRDefault="009D686D" w:rsidP="006F0439">
      <w:pPr>
        <w:pStyle w:val="Prrafodelista"/>
        <w:numPr>
          <w:ilvl w:val="0"/>
          <w:numId w:val="10"/>
        </w:numPr>
        <w:spacing w:before="360" w:after="360" w:line="360" w:lineRule="auto"/>
        <w:ind w:left="709"/>
        <w:jc w:val="both"/>
        <w:rPr>
          <w:rFonts w:ascii="Arial" w:hAnsi="Arial" w:cs="Arial"/>
          <w:sz w:val="28"/>
          <w:szCs w:val="28"/>
        </w:rPr>
      </w:pPr>
      <w:r w:rsidRPr="00462CA7">
        <w:rPr>
          <w:rFonts w:ascii="Arial" w:hAnsi="Arial" w:cs="Arial"/>
          <w:sz w:val="28"/>
          <w:szCs w:val="28"/>
        </w:rPr>
        <w:t xml:space="preserve">El </w:t>
      </w:r>
      <w:r w:rsidR="001C261F">
        <w:rPr>
          <w:rFonts w:ascii="Arial" w:hAnsi="Arial" w:cs="Arial"/>
          <w:sz w:val="28"/>
          <w:szCs w:val="28"/>
        </w:rPr>
        <w:t>A</w:t>
      </w:r>
      <w:r w:rsidRPr="00462CA7">
        <w:rPr>
          <w:rFonts w:ascii="Arial" w:hAnsi="Arial" w:cs="Arial"/>
          <w:sz w:val="28"/>
          <w:szCs w:val="28"/>
        </w:rPr>
        <w:t xml:space="preserve">cuerdo </w:t>
      </w:r>
      <w:r>
        <w:rPr>
          <w:rFonts w:ascii="Arial" w:hAnsi="Arial" w:cs="Arial"/>
          <w:sz w:val="28"/>
          <w:szCs w:val="28"/>
        </w:rPr>
        <w:t>por</w:t>
      </w:r>
      <w:r w:rsidRPr="00462CA7">
        <w:rPr>
          <w:rFonts w:ascii="Arial" w:hAnsi="Arial" w:cs="Arial"/>
          <w:sz w:val="28"/>
          <w:szCs w:val="28"/>
        </w:rPr>
        <w:t xml:space="preserve"> el cual se determinan los límites de financiamiento privado de los candidatos independientes, establece una clara desventaja de los candidatos independientes frente a los candidatos postulados por los partidos políticos, al limitar que el financiamiento privado que se aporte a un candidato independiente no pueda rebasar el 10% del tope de gasto para la elección de que se trate</w:t>
      </w:r>
      <w:r>
        <w:rPr>
          <w:rFonts w:ascii="Arial" w:hAnsi="Arial" w:cs="Arial"/>
          <w:sz w:val="28"/>
          <w:szCs w:val="28"/>
        </w:rPr>
        <w:t>, lo cual incide de manera directa en el principio de equidad en la contienda.</w:t>
      </w:r>
    </w:p>
    <w:p w:rsidR="009D686D" w:rsidRPr="00462CA7" w:rsidRDefault="009D686D" w:rsidP="009D686D">
      <w:pPr>
        <w:pStyle w:val="Prrafodelista"/>
        <w:spacing w:before="360" w:after="360" w:line="360" w:lineRule="auto"/>
        <w:ind w:left="709"/>
        <w:jc w:val="both"/>
        <w:rPr>
          <w:rFonts w:ascii="Arial" w:hAnsi="Arial" w:cs="Arial"/>
          <w:sz w:val="28"/>
          <w:szCs w:val="28"/>
        </w:rPr>
      </w:pPr>
    </w:p>
    <w:p w:rsidR="009D686D" w:rsidRPr="003E7164" w:rsidRDefault="009D686D" w:rsidP="006F0439">
      <w:pPr>
        <w:pStyle w:val="Prrafodelista"/>
        <w:numPr>
          <w:ilvl w:val="0"/>
          <w:numId w:val="10"/>
        </w:numPr>
        <w:spacing w:before="360" w:after="360" w:line="360" w:lineRule="auto"/>
        <w:ind w:left="709"/>
        <w:jc w:val="both"/>
        <w:rPr>
          <w:rFonts w:ascii="Arial" w:hAnsi="Arial" w:cs="Arial"/>
          <w:sz w:val="28"/>
          <w:szCs w:val="28"/>
        </w:rPr>
      </w:pPr>
      <w:r w:rsidRPr="00462CA7">
        <w:rPr>
          <w:rFonts w:ascii="Arial" w:hAnsi="Arial" w:cs="Arial"/>
          <w:sz w:val="28"/>
          <w:szCs w:val="28"/>
        </w:rPr>
        <w:t>La autoridad responsable pierde de vista que</w:t>
      </w:r>
      <w:r>
        <w:rPr>
          <w:rFonts w:ascii="Arial" w:hAnsi="Arial" w:cs="Arial"/>
          <w:sz w:val="28"/>
          <w:szCs w:val="28"/>
        </w:rPr>
        <w:t>,</w:t>
      </w:r>
      <w:r w:rsidRPr="00462CA7">
        <w:rPr>
          <w:rFonts w:ascii="Arial" w:hAnsi="Arial" w:cs="Arial"/>
          <w:sz w:val="28"/>
          <w:szCs w:val="28"/>
        </w:rPr>
        <w:t xml:space="preserve"> de conformidad con lo establecido en el artículo 41 constitucional</w:t>
      </w:r>
      <w:r>
        <w:rPr>
          <w:rFonts w:ascii="Arial" w:hAnsi="Arial" w:cs="Arial"/>
          <w:sz w:val="28"/>
          <w:szCs w:val="28"/>
        </w:rPr>
        <w:t>,</w:t>
      </w:r>
      <w:r w:rsidRPr="00462CA7">
        <w:rPr>
          <w:rFonts w:ascii="Arial" w:hAnsi="Arial" w:cs="Arial"/>
          <w:sz w:val="28"/>
          <w:szCs w:val="28"/>
        </w:rPr>
        <w:t xml:space="preserve"> y</w:t>
      </w:r>
      <w:r>
        <w:rPr>
          <w:rFonts w:ascii="Arial" w:hAnsi="Arial" w:cs="Arial"/>
          <w:sz w:val="28"/>
          <w:szCs w:val="28"/>
        </w:rPr>
        <w:t xml:space="preserve"> </w:t>
      </w:r>
      <w:r w:rsidRPr="00462CA7">
        <w:rPr>
          <w:rFonts w:ascii="Arial" w:hAnsi="Arial" w:cs="Arial"/>
          <w:sz w:val="28"/>
          <w:szCs w:val="28"/>
        </w:rPr>
        <w:t>con diversos precedentes de la Suprema Corte de Justicia de la Nación, los partidos políticos y lo</w:t>
      </w:r>
      <w:r>
        <w:rPr>
          <w:rFonts w:ascii="Arial" w:hAnsi="Arial" w:cs="Arial"/>
          <w:sz w:val="28"/>
          <w:szCs w:val="28"/>
        </w:rPr>
        <w:t>s candidatos independientes son</w:t>
      </w:r>
      <w:r w:rsidRPr="00462CA7">
        <w:rPr>
          <w:rFonts w:ascii="Arial" w:hAnsi="Arial" w:cs="Arial"/>
          <w:sz w:val="28"/>
          <w:szCs w:val="28"/>
        </w:rPr>
        <w:t xml:space="preserve"> entes distintos que no pueden ser tratados de la misma forma</w:t>
      </w:r>
      <w:r>
        <w:rPr>
          <w:rFonts w:ascii="Arial" w:hAnsi="Arial" w:cs="Arial"/>
          <w:sz w:val="28"/>
          <w:szCs w:val="28"/>
        </w:rPr>
        <w:t xml:space="preserve">. Incluso, </w:t>
      </w:r>
      <w:r w:rsidRPr="003E7164">
        <w:rPr>
          <w:rFonts w:ascii="Arial" w:hAnsi="Arial" w:cs="Arial"/>
          <w:sz w:val="28"/>
          <w:szCs w:val="28"/>
        </w:rPr>
        <w:t xml:space="preserve">omitió tomar en consideración los precedentes que dieron a las tesis: </w:t>
      </w:r>
      <w:r w:rsidRPr="003E7164">
        <w:rPr>
          <w:rFonts w:ascii="Arial" w:hAnsi="Arial" w:cs="Arial"/>
          <w:b/>
          <w:sz w:val="26"/>
          <w:szCs w:val="26"/>
        </w:rPr>
        <w:t>“CANDIDATOS INDEPENDIENTES. NO LES ES APLICABLE EL PRINCIPIO CONSTITUCIONAL DE PREVALENCIA DEL FINANCIAMIENTO PÚBLICO SOBRE EL PRIVADO QUE CORRESPONDE A LOS PARTIDOS POLÍTICOS”</w:t>
      </w:r>
      <w:r w:rsidRPr="003E7164">
        <w:rPr>
          <w:rFonts w:ascii="Arial" w:hAnsi="Arial" w:cs="Arial"/>
          <w:sz w:val="26"/>
          <w:szCs w:val="26"/>
        </w:rPr>
        <w:t xml:space="preserve"> y</w:t>
      </w:r>
      <w:r w:rsidRPr="003E7164">
        <w:rPr>
          <w:rFonts w:ascii="Arial" w:hAnsi="Arial" w:cs="Arial"/>
          <w:b/>
          <w:sz w:val="26"/>
          <w:szCs w:val="26"/>
        </w:rPr>
        <w:t xml:space="preserve"> “CANDIDATURAS INDEPENDIENTES. IGUALDAD RESPECTO AL FINANCIAMIENTO PÚBLICO DE LOS CANDIDATOS POSTULADOS, EN RELACIÓN CON PARTIDO POLITICO DE NUEVA CREACIÓN”.</w:t>
      </w:r>
    </w:p>
    <w:p w:rsidR="009D686D" w:rsidRDefault="009D686D" w:rsidP="009D686D">
      <w:pPr>
        <w:pStyle w:val="Prrafodelista"/>
        <w:spacing w:before="360" w:after="360" w:line="360" w:lineRule="auto"/>
        <w:ind w:left="709"/>
        <w:jc w:val="both"/>
        <w:rPr>
          <w:rFonts w:ascii="Arial" w:hAnsi="Arial" w:cs="Arial"/>
          <w:sz w:val="28"/>
          <w:szCs w:val="28"/>
        </w:rPr>
      </w:pPr>
    </w:p>
    <w:p w:rsidR="009D686D" w:rsidRPr="00272148" w:rsidRDefault="009D686D" w:rsidP="006F0439">
      <w:pPr>
        <w:pStyle w:val="Prrafodelista"/>
        <w:numPr>
          <w:ilvl w:val="0"/>
          <w:numId w:val="10"/>
        </w:numPr>
        <w:spacing w:before="360" w:after="360" w:line="360" w:lineRule="auto"/>
        <w:ind w:left="709"/>
        <w:jc w:val="both"/>
        <w:rPr>
          <w:rFonts w:ascii="Arial" w:hAnsi="Arial" w:cs="Arial"/>
          <w:sz w:val="28"/>
          <w:szCs w:val="28"/>
        </w:rPr>
      </w:pPr>
      <w:r w:rsidRPr="00272148">
        <w:rPr>
          <w:rFonts w:ascii="Arial" w:hAnsi="Arial" w:cs="Arial"/>
          <w:sz w:val="28"/>
          <w:szCs w:val="28"/>
        </w:rPr>
        <w:t xml:space="preserve">El artículo </w:t>
      </w:r>
      <w:bookmarkStart w:id="4" w:name="_Hlk510957792"/>
      <w:r w:rsidRPr="00272148">
        <w:rPr>
          <w:rFonts w:ascii="Arial" w:hAnsi="Arial" w:cs="Arial"/>
          <w:sz w:val="28"/>
          <w:szCs w:val="28"/>
        </w:rPr>
        <w:t xml:space="preserve">399 de la </w:t>
      </w:r>
      <w:r w:rsidR="0033766A">
        <w:rPr>
          <w:rFonts w:ascii="Arial" w:hAnsi="Arial" w:cs="Arial"/>
          <w:sz w:val="28"/>
          <w:szCs w:val="28"/>
        </w:rPr>
        <w:t>LEGIPE</w:t>
      </w:r>
      <w:r w:rsidRPr="00272148">
        <w:rPr>
          <w:rFonts w:ascii="Arial" w:hAnsi="Arial" w:cs="Arial"/>
          <w:sz w:val="28"/>
          <w:szCs w:val="28"/>
        </w:rPr>
        <w:t xml:space="preserve"> es inconstitucional </w:t>
      </w:r>
      <w:bookmarkEnd w:id="4"/>
      <w:r w:rsidRPr="00272148">
        <w:rPr>
          <w:rFonts w:ascii="Arial" w:hAnsi="Arial" w:cs="Arial"/>
          <w:sz w:val="28"/>
          <w:szCs w:val="28"/>
        </w:rPr>
        <w:t>e inconvencional, por lo que el Consejo General debió inaplicarlo, ya que se contrapone con lo establecido en los preceptos 407 y 408 de la citada ley, además de limitar el derecho de los actores a ser votados, pues limita la capacidad financiera de los candidatos independientes y los coloca en un plano de desigualdad frente a los partidos políticos, contraviniendo el principio pro persona establecido en el artículo 1 constitucional.</w:t>
      </w:r>
      <w:r>
        <w:rPr>
          <w:rFonts w:ascii="Arial" w:hAnsi="Arial" w:cs="Arial"/>
          <w:sz w:val="28"/>
          <w:szCs w:val="28"/>
        </w:rPr>
        <w:t xml:space="preserve"> </w:t>
      </w:r>
      <w:r w:rsidRPr="00272148">
        <w:rPr>
          <w:rFonts w:ascii="Arial" w:hAnsi="Arial" w:cs="Arial"/>
          <w:sz w:val="28"/>
          <w:szCs w:val="28"/>
        </w:rPr>
        <w:t xml:space="preserve">Por tanto, solicitan a esta Sala Superior la inaplicación de dicho precepto. </w:t>
      </w:r>
    </w:p>
    <w:p w:rsidR="00CF6155" w:rsidRPr="00863820" w:rsidRDefault="006D26E8" w:rsidP="00A224EE">
      <w:pPr>
        <w:pStyle w:val="Prrafosentencia0"/>
      </w:pPr>
      <w:r>
        <w:rPr>
          <w:b/>
        </w:rPr>
        <w:t>5</w:t>
      </w:r>
      <w:r w:rsidR="008A6ADD" w:rsidRPr="006D26E8">
        <w:rPr>
          <w:b/>
        </w:rPr>
        <w:t>.</w:t>
      </w:r>
      <w:r w:rsidR="001A6665" w:rsidRPr="006D26E8">
        <w:rPr>
          <w:b/>
        </w:rPr>
        <w:t>2</w:t>
      </w:r>
      <w:r w:rsidR="008A6ADD" w:rsidRPr="006D26E8">
        <w:rPr>
          <w:b/>
        </w:rPr>
        <w:t xml:space="preserve">. Controversia a resolver. </w:t>
      </w:r>
      <w:r w:rsidR="00863820">
        <w:t>La litis del presente asu</w:t>
      </w:r>
      <w:r w:rsidR="00CF6155">
        <w:t xml:space="preserve">nto se constriñe a determinar si </w:t>
      </w:r>
      <w:r w:rsidR="00A224EE">
        <w:t xml:space="preserve">resulta </w:t>
      </w:r>
      <w:r w:rsidR="003E2353">
        <w:t xml:space="preserve">inconstitucional </w:t>
      </w:r>
      <w:r w:rsidR="00A224EE">
        <w:t>la disposición legal contenida en el artículo 399 de la LEGIPE</w:t>
      </w:r>
      <w:r w:rsidR="00A224EE" w:rsidDel="00A224EE">
        <w:t xml:space="preserve"> </w:t>
      </w:r>
      <w:r w:rsidR="00C46805">
        <w:t>por</w:t>
      </w:r>
      <w:r w:rsidR="003E2353">
        <w:t xml:space="preserve"> afecta</w:t>
      </w:r>
      <w:r w:rsidR="00C46805">
        <w:t>ción a</w:t>
      </w:r>
      <w:r w:rsidR="003E2353">
        <w:t xml:space="preserve"> la equidad en la contienda entre candidaturas independientes y aquellas postuladas por la vía partidista</w:t>
      </w:r>
      <w:r w:rsidR="00A224EE">
        <w:t>,</w:t>
      </w:r>
      <w:r w:rsidR="00FD2527">
        <w:t xml:space="preserve"> en cuyo caso procedería su inaplicación</w:t>
      </w:r>
      <w:r w:rsidR="00CE2DA8">
        <w:t>.</w:t>
      </w:r>
    </w:p>
    <w:p w:rsidR="0030697C" w:rsidRDefault="0030697C" w:rsidP="0030697C">
      <w:pPr>
        <w:spacing w:before="360" w:after="360" w:line="360" w:lineRule="auto"/>
        <w:ind w:firstLine="1418"/>
        <w:jc w:val="both"/>
        <w:rPr>
          <w:rFonts w:ascii="Arial" w:hAnsi="Arial" w:cs="Arial"/>
          <w:sz w:val="28"/>
          <w:szCs w:val="28"/>
        </w:rPr>
      </w:pPr>
      <w:r>
        <w:rPr>
          <w:rFonts w:ascii="Arial" w:hAnsi="Arial" w:cs="Arial"/>
          <w:b/>
          <w:sz w:val="28"/>
          <w:szCs w:val="28"/>
        </w:rPr>
        <w:t xml:space="preserve">5.3. </w:t>
      </w:r>
      <w:r w:rsidRPr="00D95ECA">
        <w:rPr>
          <w:rFonts w:ascii="Arial" w:hAnsi="Arial" w:cs="Arial"/>
          <w:b/>
          <w:sz w:val="28"/>
          <w:szCs w:val="28"/>
        </w:rPr>
        <w:t xml:space="preserve">Tesis de la decisión. </w:t>
      </w:r>
      <w:r>
        <w:rPr>
          <w:rFonts w:ascii="Arial" w:hAnsi="Arial" w:cs="Arial"/>
          <w:sz w:val="28"/>
          <w:szCs w:val="28"/>
        </w:rPr>
        <w:t>E</w:t>
      </w:r>
      <w:r w:rsidRPr="00100290">
        <w:rPr>
          <w:rFonts w:ascii="Arial" w:hAnsi="Arial" w:cs="Arial"/>
          <w:sz w:val="28"/>
          <w:szCs w:val="28"/>
        </w:rPr>
        <w:t>sta Sala Superior considera que</w:t>
      </w:r>
      <w:r w:rsidR="00F7685D">
        <w:rPr>
          <w:rFonts w:ascii="Arial" w:hAnsi="Arial" w:cs="Arial"/>
          <w:sz w:val="28"/>
          <w:szCs w:val="28"/>
        </w:rPr>
        <w:t xml:space="preserve"> </w:t>
      </w:r>
      <w:r w:rsidR="00A224EE">
        <w:rPr>
          <w:rFonts w:ascii="Arial" w:hAnsi="Arial" w:cs="Arial"/>
          <w:sz w:val="28"/>
          <w:szCs w:val="28"/>
        </w:rPr>
        <w:t>resulta</w:t>
      </w:r>
      <w:r w:rsidR="00FD2527">
        <w:rPr>
          <w:rFonts w:ascii="Arial" w:hAnsi="Arial" w:cs="Arial"/>
          <w:sz w:val="28"/>
          <w:szCs w:val="28"/>
        </w:rPr>
        <w:t xml:space="preserve"> procede</w:t>
      </w:r>
      <w:r w:rsidR="00A224EE">
        <w:rPr>
          <w:rFonts w:ascii="Arial" w:hAnsi="Arial" w:cs="Arial"/>
          <w:sz w:val="28"/>
          <w:szCs w:val="28"/>
        </w:rPr>
        <w:t>nte la</w:t>
      </w:r>
      <w:r>
        <w:rPr>
          <w:rFonts w:ascii="Arial" w:hAnsi="Arial" w:cs="Arial"/>
          <w:sz w:val="28"/>
          <w:szCs w:val="28"/>
        </w:rPr>
        <w:t xml:space="preserve"> </w:t>
      </w:r>
      <w:r w:rsidR="00A224EE">
        <w:rPr>
          <w:rFonts w:ascii="Arial" w:hAnsi="Arial" w:cs="Arial"/>
          <w:sz w:val="28"/>
          <w:szCs w:val="28"/>
        </w:rPr>
        <w:t xml:space="preserve">inaplicación de </w:t>
      </w:r>
      <w:r>
        <w:rPr>
          <w:rFonts w:ascii="Arial" w:hAnsi="Arial" w:cs="Arial"/>
          <w:sz w:val="28"/>
          <w:szCs w:val="28"/>
        </w:rPr>
        <w:t xml:space="preserve">la porción normativa </w:t>
      </w:r>
      <w:r w:rsidRPr="00100290">
        <w:rPr>
          <w:rFonts w:ascii="Arial" w:hAnsi="Arial" w:cs="Arial"/>
          <w:sz w:val="28"/>
          <w:szCs w:val="28"/>
        </w:rPr>
        <w:t xml:space="preserve">del artículo 399 de </w:t>
      </w:r>
      <w:r>
        <w:rPr>
          <w:rFonts w:ascii="Arial" w:hAnsi="Arial" w:cs="Arial"/>
          <w:sz w:val="28"/>
          <w:szCs w:val="28"/>
        </w:rPr>
        <w:t xml:space="preserve">la </w:t>
      </w:r>
      <w:r w:rsidR="0033766A">
        <w:rPr>
          <w:rFonts w:ascii="Arial" w:hAnsi="Arial" w:cs="Arial"/>
          <w:sz w:val="28"/>
          <w:szCs w:val="28"/>
        </w:rPr>
        <w:t>LEGIPE</w:t>
      </w:r>
      <w:r>
        <w:rPr>
          <w:rFonts w:ascii="Arial" w:hAnsi="Arial" w:cs="Arial"/>
          <w:sz w:val="28"/>
          <w:szCs w:val="28"/>
        </w:rPr>
        <w:t xml:space="preserve"> que establece la regla </w:t>
      </w:r>
      <w:r w:rsidR="00112EA8">
        <w:rPr>
          <w:rFonts w:ascii="Arial" w:hAnsi="Arial" w:cs="Arial"/>
          <w:sz w:val="28"/>
          <w:szCs w:val="28"/>
        </w:rPr>
        <w:t>sobre</w:t>
      </w:r>
      <w:r>
        <w:rPr>
          <w:rFonts w:ascii="Arial" w:hAnsi="Arial" w:cs="Arial"/>
          <w:sz w:val="28"/>
          <w:szCs w:val="28"/>
        </w:rPr>
        <w:t xml:space="preserve"> el límite de financiamiento privado que pueden recibir los candidatos independientes, consistente en el </w:t>
      </w:r>
      <w:r w:rsidRPr="00377392">
        <w:rPr>
          <w:rFonts w:ascii="Arial" w:hAnsi="Arial" w:cs="Arial"/>
          <w:i/>
          <w:sz w:val="28"/>
          <w:szCs w:val="28"/>
        </w:rPr>
        <w:t>10% del tope de gasto para la elección de que se trate</w:t>
      </w:r>
      <w:r>
        <w:rPr>
          <w:rFonts w:ascii="Arial" w:hAnsi="Arial" w:cs="Arial"/>
          <w:sz w:val="28"/>
          <w:szCs w:val="28"/>
        </w:rPr>
        <w:t xml:space="preserve">. </w:t>
      </w:r>
    </w:p>
    <w:p w:rsidR="0030697C" w:rsidRPr="00100290" w:rsidRDefault="0030697C" w:rsidP="0030697C">
      <w:pPr>
        <w:spacing w:before="360" w:after="360" w:line="360" w:lineRule="auto"/>
        <w:ind w:firstLine="1418"/>
        <w:jc w:val="both"/>
        <w:rPr>
          <w:rFonts w:ascii="Arial" w:hAnsi="Arial" w:cs="Arial"/>
          <w:sz w:val="28"/>
          <w:szCs w:val="28"/>
        </w:rPr>
      </w:pPr>
      <w:r>
        <w:rPr>
          <w:rFonts w:ascii="Arial" w:hAnsi="Arial" w:cs="Arial"/>
          <w:sz w:val="28"/>
          <w:szCs w:val="28"/>
        </w:rPr>
        <w:t xml:space="preserve">Ello, puesto que dicho límite se considera </w:t>
      </w:r>
      <w:r w:rsidR="00FD2527">
        <w:rPr>
          <w:rFonts w:ascii="Arial" w:hAnsi="Arial" w:cs="Arial"/>
          <w:sz w:val="28"/>
          <w:szCs w:val="28"/>
        </w:rPr>
        <w:t xml:space="preserve">inconstitucional </w:t>
      </w:r>
      <w:r>
        <w:rPr>
          <w:rFonts w:ascii="Arial" w:hAnsi="Arial" w:cs="Arial"/>
          <w:sz w:val="28"/>
          <w:szCs w:val="28"/>
        </w:rPr>
        <w:t xml:space="preserve">a partir de un análisis de </w:t>
      </w:r>
      <w:r w:rsidR="00FD2527">
        <w:rPr>
          <w:rFonts w:ascii="Arial" w:hAnsi="Arial" w:cs="Arial"/>
          <w:sz w:val="28"/>
          <w:szCs w:val="28"/>
        </w:rPr>
        <w:t>proporcionalidad</w:t>
      </w:r>
      <w:r>
        <w:rPr>
          <w:rFonts w:ascii="Arial" w:hAnsi="Arial" w:cs="Arial"/>
          <w:sz w:val="28"/>
          <w:szCs w:val="28"/>
        </w:rPr>
        <w:t xml:space="preserve"> que evidencia la vulneración a la equidad en la contienda, frente a los candidatos de partidos políticos.</w:t>
      </w:r>
    </w:p>
    <w:p w:rsidR="00DA472E" w:rsidRPr="001C172C" w:rsidRDefault="00DA472E" w:rsidP="00DA472E">
      <w:pPr>
        <w:shd w:val="clear" w:color="auto" w:fill="FFFFFF"/>
        <w:spacing w:before="360" w:after="360" w:line="360" w:lineRule="auto"/>
        <w:ind w:firstLine="1418"/>
        <w:jc w:val="both"/>
        <w:rPr>
          <w:rFonts w:ascii="Arial" w:eastAsia="Times New Roman" w:hAnsi="Arial" w:cs="Arial"/>
          <w:sz w:val="28"/>
          <w:szCs w:val="28"/>
          <w:lang w:eastAsia="es-MX"/>
        </w:rPr>
      </w:pPr>
      <w:r>
        <w:rPr>
          <w:rFonts w:ascii="Arial" w:eastAsia="Times New Roman" w:hAnsi="Arial" w:cs="Arial"/>
          <w:b/>
          <w:sz w:val="28"/>
          <w:szCs w:val="28"/>
          <w:lang w:eastAsia="es-MX"/>
        </w:rPr>
        <w:t>5.</w:t>
      </w:r>
      <w:r w:rsidR="0023410E">
        <w:rPr>
          <w:rFonts w:ascii="Arial" w:eastAsia="Times New Roman" w:hAnsi="Arial" w:cs="Arial"/>
          <w:b/>
          <w:sz w:val="28"/>
          <w:szCs w:val="28"/>
          <w:lang w:eastAsia="es-MX"/>
        </w:rPr>
        <w:t>4</w:t>
      </w:r>
      <w:r>
        <w:rPr>
          <w:rFonts w:ascii="Arial" w:eastAsia="Times New Roman" w:hAnsi="Arial" w:cs="Arial"/>
          <w:b/>
          <w:sz w:val="28"/>
          <w:szCs w:val="28"/>
          <w:lang w:eastAsia="es-MX"/>
        </w:rPr>
        <w:t xml:space="preserve">. </w:t>
      </w:r>
      <w:r w:rsidRPr="001C172C">
        <w:rPr>
          <w:rFonts w:ascii="Arial" w:eastAsia="Times New Roman" w:hAnsi="Arial" w:cs="Arial"/>
          <w:b/>
          <w:sz w:val="28"/>
          <w:szCs w:val="28"/>
          <w:lang w:eastAsia="es-MX"/>
        </w:rPr>
        <w:t xml:space="preserve">Metodología. </w:t>
      </w:r>
      <w:r w:rsidR="00112EA8">
        <w:rPr>
          <w:rFonts w:ascii="Arial" w:eastAsia="Times New Roman" w:hAnsi="Arial" w:cs="Arial"/>
          <w:sz w:val="28"/>
          <w:szCs w:val="28"/>
          <w:lang w:eastAsia="es-MX"/>
        </w:rPr>
        <w:t>C</w:t>
      </w:r>
      <w:r w:rsidRPr="001C172C">
        <w:rPr>
          <w:rFonts w:ascii="Arial" w:eastAsia="Times New Roman" w:hAnsi="Arial" w:cs="Arial"/>
          <w:sz w:val="28"/>
          <w:szCs w:val="28"/>
          <w:lang w:eastAsia="es-MX"/>
        </w:rPr>
        <w:t xml:space="preserve">onforme a los agravios que fueron formulados, el presente asunto se estudiará </w:t>
      </w:r>
      <w:r>
        <w:rPr>
          <w:rFonts w:ascii="Arial" w:eastAsia="Times New Roman" w:hAnsi="Arial" w:cs="Arial"/>
          <w:sz w:val="28"/>
          <w:szCs w:val="28"/>
          <w:lang w:eastAsia="es-MX"/>
        </w:rPr>
        <w:t>atendiendo a la siguiente temática</w:t>
      </w:r>
      <w:r w:rsidRPr="001C172C">
        <w:rPr>
          <w:rFonts w:ascii="Arial" w:eastAsia="Times New Roman" w:hAnsi="Arial" w:cs="Arial"/>
          <w:sz w:val="28"/>
          <w:szCs w:val="28"/>
          <w:lang w:eastAsia="es-MX"/>
        </w:rPr>
        <w:t>:</w:t>
      </w:r>
    </w:p>
    <w:p w:rsidR="00D27770" w:rsidRPr="001C172C" w:rsidRDefault="00D27770" w:rsidP="00D27770">
      <w:pPr>
        <w:pStyle w:val="Prrafodelista"/>
        <w:numPr>
          <w:ilvl w:val="0"/>
          <w:numId w:val="24"/>
        </w:numPr>
        <w:shd w:val="clear" w:color="auto" w:fill="FFFFFF"/>
        <w:spacing w:before="360" w:after="360" w:line="360" w:lineRule="auto"/>
        <w:ind w:left="851"/>
        <w:jc w:val="both"/>
        <w:rPr>
          <w:rFonts w:ascii="Arial" w:eastAsia="Times New Roman" w:hAnsi="Arial" w:cs="Arial"/>
          <w:sz w:val="28"/>
          <w:szCs w:val="28"/>
          <w:lang w:eastAsia="es-MX"/>
        </w:rPr>
      </w:pPr>
      <w:r w:rsidRPr="001C172C">
        <w:rPr>
          <w:rFonts w:ascii="Arial" w:eastAsia="Times New Roman" w:hAnsi="Arial" w:cs="Arial"/>
          <w:sz w:val="28"/>
          <w:szCs w:val="28"/>
          <w:lang w:eastAsia="es-MX"/>
        </w:rPr>
        <w:t>Análisis previo.</w:t>
      </w:r>
    </w:p>
    <w:p w:rsidR="00D27770" w:rsidRPr="001C172C" w:rsidRDefault="00D27770" w:rsidP="00D27770">
      <w:pPr>
        <w:pStyle w:val="Prrafodelista"/>
        <w:numPr>
          <w:ilvl w:val="1"/>
          <w:numId w:val="21"/>
        </w:numPr>
        <w:shd w:val="clear" w:color="auto" w:fill="FFFFFF"/>
        <w:spacing w:before="360" w:after="360" w:line="360" w:lineRule="auto"/>
        <w:ind w:left="1276"/>
        <w:jc w:val="both"/>
        <w:rPr>
          <w:rFonts w:ascii="Arial" w:eastAsia="Times New Roman" w:hAnsi="Arial" w:cs="Arial"/>
          <w:sz w:val="28"/>
          <w:szCs w:val="28"/>
          <w:lang w:eastAsia="es-MX"/>
        </w:rPr>
      </w:pPr>
      <w:r w:rsidRPr="001C172C">
        <w:rPr>
          <w:rFonts w:ascii="Arial" w:eastAsia="Times New Roman" w:hAnsi="Arial" w:cs="Arial"/>
          <w:sz w:val="28"/>
          <w:szCs w:val="28"/>
          <w:lang w:eastAsia="es-MX"/>
        </w:rPr>
        <w:t>Candidaturas independientes</w:t>
      </w:r>
    </w:p>
    <w:p w:rsidR="00D27770" w:rsidRPr="001C172C" w:rsidRDefault="00D27770" w:rsidP="00D27770">
      <w:pPr>
        <w:pStyle w:val="Prrafodelista"/>
        <w:numPr>
          <w:ilvl w:val="1"/>
          <w:numId w:val="21"/>
        </w:numPr>
        <w:shd w:val="clear" w:color="auto" w:fill="FFFFFF"/>
        <w:spacing w:before="360" w:after="360" w:line="360" w:lineRule="auto"/>
        <w:ind w:left="1276"/>
        <w:jc w:val="both"/>
        <w:rPr>
          <w:rFonts w:ascii="Arial" w:eastAsia="Times New Roman" w:hAnsi="Arial" w:cs="Arial"/>
          <w:sz w:val="28"/>
          <w:szCs w:val="28"/>
          <w:lang w:eastAsia="es-MX"/>
        </w:rPr>
      </w:pPr>
      <w:r w:rsidRPr="001C172C">
        <w:rPr>
          <w:rFonts w:ascii="Arial" w:eastAsia="Times New Roman" w:hAnsi="Arial" w:cs="Arial"/>
          <w:sz w:val="28"/>
          <w:szCs w:val="28"/>
          <w:lang w:eastAsia="es-MX"/>
        </w:rPr>
        <w:t>Financiamiento de partidos políticos</w:t>
      </w:r>
    </w:p>
    <w:p w:rsidR="00D27770" w:rsidRDefault="00D27770" w:rsidP="00D27770">
      <w:pPr>
        <w:pStyle w:val="Prrafodelista"/>
        <w:numPr>
          <w:ilvl w:val="1"/>
          <w:numId w:val="21"/>
        </w:numPr>
        <w:shd w:val="clear" w:color="auto" w:fill="FFFFFF"/>
        <w:spacing w:before="360" w:after="360" w:line="360" w:lineRule="auto"/>
        <w:ind w:left="1276"/>
        <w:jc w:val="both"/>
        <w:rPr>
          <w:rFonts w:ascii="Arial" w:eastAsia="Times New Roman" w:hAnsi="Arial" w:cs="Arial"/>
          <w:sz w:val="28"/>
          <w:szCs w:val="28"/>
          <w:lang w:eastAsia="es-MX"/>
        </w:rPr>
      </w:pPr>
      <w:r w:rsidRPr="001C172C">
        <w:rPr>
          <w:rFonts w:ascii="Arial" w:eastAsia="Times New Roman" w:hAnsi="Arial" w:cs="Arial"/>
          <w:sz w:val="28"/>
          <w:szCs w:val="28"/>
          <w:lang w:eastAsia="es-MX"/>
        </w:rPr>
        <w:t>Financiamiento de candidaturas independientes</w:t>
      </w:r>
    </w:p>
    <w:p w:rsidR="00D27770" w:rsidRPr="001C172C" w:rsidRDefault="00D27770" w:rsidP="00D27770">
      <w:pPr>
        <w:pStyle w:val="Prrafodelista"/>
        <w:numPr>
          <w:ilvl w:val="0"/>
          <w:numId w:val="24"/>
        </w:numPr>
        <w:shd w:val="clear" w:color="auto" w:fill="FFFFFF"/>
        <w:spacing w:before="360" w:after="360" w:line="360" w:lineRule="auto"/>
        <w:ind w:left="851"/>
        <w:jc w:val="both"/>
        <w:rPr>
          <w:rFonts w:ascii="Arial" w:eastAsia="Times New Roman" w:hAnsi="Arial" w:cs="Arial"/>
          <w:sz w:val="28"/>
          <w:szCs w:val="28"/>
          <w:lang w:eastAsia="es-MX"/>
        </w:rPr>
      </w:pPr>
      <w:r w:rsidRPr="001C172C">
        <w:rPr>
          <w:rFonts w:ascii="Arial" w:eastAsia="Times New Roman" w:hAnsi="Arial" w:cs="Arial"/>
          <w:sz w:val="28"/>
          <w:szCs w:val="28"/>
          <w:lang w:eastAsia="es-MX"/>
        </w:rPr>
        <w:t>Caso concreto.</w:t>
      </w:r>
    </w:p>
    <w:p w:rsidR="00D27770" w:rsidRDefault="00D27770" w:rsidP="00D27770">
      <w:pPr>
        <w:pStyle w:val="Prrafodelista"/>
        <w:numPr>
          <w:ilvl w:val="1"/>
          <w:numId w:val="22"/>
        </w:numPr>
        <w:shd w:val="clear" w:color="auto" w:fill="FFFFFF"/>
        <w:spacing w:before="360" w:after="360" w:line="360" w:lineRule="auto"/>
        <w:ind w:left="1276"/>
        <w:jc w:val="both"/>
        <w:rPr>
          <w:rFonts w:ascii="Arial" w:eastAsia="Times New Roman" w:hAnsi="Arial" w:cs="Arial"/>
          <w:sz w:val="28"/>
          <w:szCs w:val="28"/>
          <w:lang w:eastAsia="es-MX"/>
        </w:rPr>
      </w:pPr>
      <w:r>
        <w:rPr>
          <w:rFonts w:ascii="Arial" w:eastAsia="Times New Roman" w:hAnsi="Arial" w:cs="Arial"/>
          <w:sz w:val="28"/>
          <w:szCs w:val="28"/>
          <w:lang w:eastAsia="es-MX"/>
        </w:rPr>
        <w:t>Acto impugnado</w:t>
      </w:r>
    </w:p>
    <w:p w:rsidR="00D27770" w:rsidRDefault="00D27770" w:rsidP="00D27770">
      <w:pPr>
        <w:pStyle w:val="Prrafodelista"/>
        <w:numPr>
          <w:ilvl w:val="1"/>
          <w:numId w:val="22"/>
        </w:numPr>
        <w:shd w:val="clear" w:color="auto" w:fill="FFFFFF"/>
        <w:spacing w:before="360" w:after="360" w:line="360" w:lineRule="auto"/>
        <w:ind w:left="1276"/>
        <w:jc w:val="both"/>
        <w:rPr>
          <w:rFonts w:ascii="Arial" w:eastAsia="Times New Roman" w:hAnsi="Arial" w:cs="Arial"/>
          <w:sz w:val="28"/>
          <w:szCs w:val="28"/>
          <w:lang w:eastAsia="es-MX"/>
        </w:rPr>
      </w:pPr>
      <w:r>
        <w:rPr>
          <w:rFonts w:ascii="Arial" w:eastAsia="Times New Roman" w:hAnsi="Arial" w:cs="Arial"/>
          <w:sz w:val="28"/>
          <w:szCs w:val="28"/>
          <w:lang w:eastAsia="es-MX"/>
        </w:rPr>
        <w:t>Análisis de constitucionalidad</w:t>
      </w:r>
      <w:r w:rsidRPr="001C172C">
        <w:rPr>
          <w:rFonts w:ascii="Arial" w:eastAsia="Times New Roman" w:hAnsi="Arial" w:cs="Arial"/>
          <w:sz w:val="28"/>
          <w:szCs w:val="28"/>
          <w:lang w:eastAsia="es-MX"/>
        </w:rPr>
        <w:t xml:space="preserve"> </w:t>
      </w:r>
    </w:p>
    <w:p w:rsidR="00D27770" w:rsidRPr="00EB2E93" w:rsidRDefault="00D27770" w:rsidP="00D27770">
      <w:pPr>
        <w:pStyle w:val="Prrafodelista"/>
        <w:numPr>
          <w:ilvl w:val="1"/>
          <w:numId w:val="20"/>
        </w:numPr>
        <w:shd w:val="clear" w:color="auto" w:fill="FFFFFF"/>
        <w:spacing w:before="360" w:after="360" w:line="360" w:lineRule="auto"/>
        <w:jc w:val="both"/>
        <w:rPr>
          <w:rFonts w:ascii="Arial" w:eastAsia="Times New Roman" w:hAnsi="Arial" w:cs="Arial"/>
          <w:sz w:val="28"/>
          <w:szCs w:val="28"/>
          <w:lang w:eastAsia="es-MX"/>
        </w:rPr>
      </w:pPr>
      <w:r w:rsidRPr="00EB2E93">
        <w:rPr>
          <w:rFonts w:ascii="Arial" w:eastAsia="Times New Roman" w:hAnsi="Arial" w:cs="Arial"/>
          <w:sz w:val="28"/>
          <w:szCs w:val="28"/>
          <w:lang w:eastAsia="es-MX"/>
        </w:rPr>
        <w:t>Identificación de la restricción en el caso</w:t>
      </w:r>
    </w:p>
    <w:p w:rsidR="00D27770" w:rsidRPr="00EB2E93" w:rsidRDefault="00D27770" w:rsidP="00D27770">
      <w:pPr>
        <w:pStyle w:val="Prrafodelista"/>
        <w:numPr>
          <w:ilvl w:val="1"/>
          <w:numId w:val="20"/>
        </w:numPr>
        <w:shd w:val="clear" w:color="auto" w:fill="FFFFFF"/>
        <w:spacing w:before="360" w:after="360" w:line="360" w:lineRule="auto"/>
        <w:jc w:val="both"/>
        <w:rPr>
          <w:rFonts w:ascii="Arial" w:eastAsia="Times New Roman" w:hAnsi="Arial" w:cs="Arial"/>
          <w:sz w:val="28"/>
          <w:szCs w:val="28"/>
          <w:lang w:eastAsia="es-MX"/>
        </w:rPr>
      </w:pPr>
      <w:r w:rsidRPr="00EB2E93">
        <w:rPr>
          <w:rFonts w:ascii="Arial" w:eastAsia="Times New Roman" w:hAnsi="Arial" w:cs="Arial"/>
          <w:sz w:val="28"/>
          <w:szCs w:val="28"/>
          <w:lang w:eastAsia="es-MX"/>
        </w:rPr>
        <w:t>Proporcionalidad de la medida</w:t>
      </w:r>
    </w:p>
    <w:p w:rsidR="008F46C1" w:rsidRDefault="00D27770" w:rsidP="008F46C1">
      <w:pPr>
        <w:pStyle w:val="Prrafodelista"/>
        <w:numPr>
          <w:ilvl w:val="1"/>
          <w:numId w:val="20"/>
        </w:numPr>
        <w:shd w:val="clear" w:color="auto" w:fill="FFFFFF"/>
        <w:spacing w:before="360" w:after="360" w:line="360" w:lineRule="auto"/>
        <w:jc w:val="both"/>
        <w:rPr>
          <w:rFonts w:ascii="Arial" w:eastAsia="Times New Roman" w:hAnsi="Arial" w:cs="Arial"/>
          <w:sz w:val="28"/>
          <w:szCs w:val="28"/>
          <w:lang w:eastAsia="es-MX"/>
        </w:rPr>
      </w:pPr>
      <w:r w:rsidRPr="00EB2E93">
        <w:rPr>
          <w:rFonts w:ascii="Arial" w:eastAsia="Times New Roman" w:hAnsi="Arial" w:cs="Arial"/>
          <w:sz w:val="28"/>
          <w:szCs w:val="28"/>
          <w:lang w:eastAsia="es-MX"/>
        </w:rPr>
        <w:t>Falta de proporcionalidad en sentido estricto</w:t>
      </w:r>
    </w:p>
    <w:p w:rsidR="00D27770" w:rsidRDefault="00D27770" w:rsidP="008F46C1">
      <w:pPr>
        <w:pStyle w:val="Prrafodelista"/>
        <w:numPr>
          <w:ilvl w:val="1"/>
          <w:numId w:val="20"/>
        </w:numPr>
        <w:shd w:val="clear" w:color="auto" w:fill="FFFFFF"/>
        <w:spacing w:before="360" w:after="360" w:line="360" w:lineRule="auto"/>
        <w:jc w:val="both"/>
        <w:rPr>
          <w:rFonts w:ascii="Arial" w:eastAsia="Times New Roman" w:hAnsi="Arial" w:cs="Arial"/>
          <w:sz w:val="28"/>
          <w:szCs w:val="28"/>
          <w:lang w:eastAsia="es-MX"/>
        </w:rPr>
      </w:pPr>
      <w:r w:rsidRPr="008F46C1">
        <w:rPr>
          <w:rFonts w:ascii="Arial" w:eastAsia="Times New Roman" w:hAnsi="Arial" w:cs="Arial"/>
          <w:sz w:val="28"/>
          <w:szCs w:val="28"/>
          <w:lang w:eastAsia="es-MX"/>
        </w:rPr>
        <w:t>Consecuencia directa de la desproporcionalidad de la medida</w:t>
      </w:r>
    </w:p>
    <w:p w:rsidR="00112EA8" w:rsidRPr="001C172C" w:rsidRDefault="00DA472E" w:rsidP="00112EA8">
      <w:pPr>
        <w:pStyle w:val="Prrafodelista"/>
        <w:numPr>
          <w:ilvl w:val="1"/>
          <w:numId w:val="22"/>
        </w:numPr>
        <w:shd w:val="clear" w:color="auto" w:fill="FFFFFF"/>
        <w:spacing w:before="360" w:after="360" w:line="360" w:lineRule="auto"/>
        <w:ind w:left="1276"/>
        <w:jc w:val="both"/>
        <w:rPr>
          <w:rFonts w:ascii="Arial" w:eastAsia="Times New Roman" w:hAnsi="Arial" w:cs="Arial"/>
          <w:sz w:val="28"/>
          <w:szCs w:val="28"/>
          <w:lang w:eastAsia="es-MX"/>
        </w:rPr>
      </w:pPr>
      <w:r w:rsidRPr="001C172C">
        <w:rPr>
          <w:rFonts w:ascii="Arial" w:eastAsia="Times New Roman" w:hAnsi="Arial" w:cs="Arial"/>
          <w:b/>
          <w:sz w:val="28"/>
          <w:szCs w:val="28"/>
          <w:lang w:eastAsia="es-MX"/>
        </w:rPr>
        <w:tab/>
      </w:r>
      <w:r w:rsidR="00112EA8" w:rsidRPr="001C172C">
        <w:rPr>
          <w:rFonts w:ascii="Arial" w:eastAsia="Times New Roman" w:hAnsi="Arial" w:cs="Arial"/>
          <w:sz w:val="28"/>
          <w:szCs w:val="28"/>
          <w:lang w:eastAsia="es-MX"/>
        </w:rPr>
        <w:t xml:space="preserve">Facultad del </w:t>
      </w:r>
      <w:r w:rsidR="00112EA8">
        <w:rPr>
          <w:rFonts w:ascii="Arial" w:hAnsi="Arial" w:cs="Arial"/>
          <w:sz w:val="28"/>
          <w:szCs w:val="28"/>
        </w:rPr>
        <w:t>Consejo General</w:t>
      </w:r>
      <w:r w:rsidR="00112EA8" w:rsidRPr="001C172C">
        <w:rPr>
          <w:rFonts w:ascii="Arial" w:eastAsia="Times New Roman" w:hAnsi="Arial" w:cs="Arial"/>
          <w:sz w:val="28"/>
          <w:szCs w:val="28"/>
          <w:lang w:eastAsia="es-MX"/>
        </w:rPr>
        <w:t xml:space="preserve"> para inaplicar una norma</w:t>
      </w:r>
    </w:p>
    <w:p w:rsidR="00D773E0" w:rsidRDefault="00112EA8" w:rsidP="00112EA8">
      <w:pPr>
        <w:pStyle w:val="PRRAFOSENTENCIA"/>
        <w:rPr>
          <w:lang w:eastAsia="es-MX"/>
        </w:rPr>
      </w:pPr>
      <w:r>
        <w:rPr>
          <w:lang w:eastAsia="es-MX"/>
        </w:rPr>
        <w:t xml:space="preserve">Lo anterior </w:t>
      </w:r>
      <w:r w:rsidR="00D773E0">
        <w:rPr>
          <w:lang w:eastAsia="es-MX"/>
        </w:rPr>
        <w:t>en</w:t>
      </w:r>
      <w:r>
        <w:rPr>
          <w:lang w:eastAsia="es-MX"/>
        </w:rPr>
        <w:t xml:space="preserve"> el entendido de que, en caso de que el primero de los agravios bajo análisis fuese fundado, resultará innecesari</w:t>
      </w:r>
      <w:r w:rsidR="00D773E0">
        <w:rPr>
          <w:lang w:eastAsia="es-MX"/>
        </w:rPr>
        <w:t>o</w:t>
      </w:r>
      <w:r>
        <w:rPr>
          <w:lang w:eastAsia="es-MX"/>
        </w:rPr>
        <w:t xml:space="preserve"> entrar al estudio del segundo, al haber alcanzado </w:t>
      </w:r>
      <w:r w:rsidR="00D773E0">
        <w:rPr>
          <w:lang w:eastAsia="es-MX"/>
        </w:rPr>
        <w:t>los recurrentes</w:t>
      </w:r>
      <w:r w:rsidR="00AD11CF">
        <w:rPr>
          <w:lang w:eastAsia="es-MX"/>
        </w:rPr>
        <w:t xml:space="preserve"> el mayor beneficio; c</w:t>
      </w:r>
      <w:r w:rsidR="00D773E0">
        <w:rPr>
          <w:lang w:eastAsia="es-MX"/>
        </w:rPr>
        <w:t xml:space="preserve">aso contrario, se entrará al estudio del </w:t>
      </w:r>
      <w:r w:rsidR="00AD11CF">
        <w:rPr>
          <w:lang w:eastAsia="es-MX"/>
        </w:rPr>
        <w:t xml:space="preserve">resto, lo que resulta acorde con la jurisurdencia </w:t>
      </w:r>
      <w:r w:rsidR="00AD11CF" w:rsidRPr="00AD11CF">
        <w:rPr>
          <w:lang w:val="es-ES_tradnl" w:eastAsia="es-MX"/>
        </w:rPr>
        <w:t>P./J. 3/2005</w:t>
      </w:r>
      <w:r w:rsidR="00AD11CF">
        <w:rPr>
          <w:lang w:val="es-ES_tradnl" w:eastAsia="es-MX"/>
        </w:rPr>
        <w:t xml:space="preserve"> de la Suprema Corte de Justicia de la Nación</w:t>
      </w:r>
      <w:r w:rsidR="00AD11CF">
        <w:rPr>
          <w:rStyle w:val="Refdenotaalpie"/>
          <w:lang w:val="es-ES_tradnl" w:eastAsia="es-MX"/>
        </w:rPr>
        <w:footnoteReference w:id="11"/>
      </w:r>
      <w:r w:rsidR="00AD11CF">
        <w:rPr>
          <w:lang w:val="es-ES_tradnl" w:eastAsia="es-MX"/>
        </w:rPr>
        <w:t>.</w:t>
      </w:r>
    </w:p>
    <w:p w:rsidR="00DA472E" w:rsidRPr="00CF407D" w:rsidRDefault="00DA472E" w:rsidP="007600A6">
      <w:pPr>
        <w:pStyle w:val="Prrafosentencia0"/>
        <w:rPr>
          <w:b/>
          <w:lang w:eastAsia="es-MX"/>
        </w:rPr>
      </w:pPr>
      <w:r w:rsidRPr="00CF407D">
        <w:rPr>
          <w:b/>
          <w:lang w:eastAsia="es-MX"/>
        </w:rPr>
        <w:t>5.</w:t>
      </w:r>
      <w:r w:rsidR="0023410E" w:rsidRPr="00CF407D">
        <w:rPr>
          <w:b/>
          <w:lang w:eastAsia="es-MX"/>
        </w:rPr>
        <w:t>5</w:t>
      </w:r>
      <w:r w:rsidRPr="00CF407D">
        <w:rPr>
          <w:b/>
          <w:lang w:eastAsia="es-MX"/>
        </w:rPr>
        <w:t>. Análisis previo</w:t>
      </w:r>
    </w:p>
    <w:p w:rsidR="00DA472E" w:rsidRDefault="00DA472E" w:rsidP="00DA472E">
      <w:pPr>
        <w:spacing w:before="360" w:after="360" w:line="360" w:lineRule="auto"/>
        <w:ind w:firstLine="1418"/>
        <w:jc w:val="both"/>
        <w:rPr>
          <w:rFonts w:ascii="Arial" w:hAnsi="Arial" w:cs="Arial"/>
          <w:sz w:val="28"/>
          <w:szCs w:val="28"/>
        </w:rPr>
      </w:pPr>
      <w:r>
        <w:rPr>
          <w:rFonts w:ascii="Arial" w:hAnsi="Arial" w:cs="Arial"/>
          <w:b/>
          <w:sz w:val="28"/>
          <w:szCs w:val="28"/>
        </w:rPr>
        <w:t>5.</w:t>
      </w:r>
      <w:r w:rsidR="0023410E">
        <w:rPr>
          <w:rFonts w:ascii="Arial" w:hAnsi="Arial" w:cs="Arial"/>
          <w:b/>
          <w:sz w:val="28"/>
          <w:szCs w:val="28"/>
        </w:rPr>
        <w:t>5</w:t>
      </w:r>
      <w:r>
        <w:rPr>
          <w:rFonts w:ascii="Arial" w:hAnsi="Arial" w:cs="Arial"/>
          <w:b/>
          <w:sz w:val="28"/>
          <w:szCs w:val="28"/>
        </w:rPr>
        <w:t>.1. Candidaturas independientes</w:t>
      </w:r>
      <w:r>
        <w:rPr>
          <w:rFonts w:ascii="Arial" w:hAnsi="Arial" w:cs="Arial"/>
          <w:sz w:val="28"/>
          <w:szCs w:val="28"/>
        </w:rPr>
        <w:t xml:space="preserve">. A raíz de la reforma constitucional de nueve </w:t>
      </w:r>
      <w:r w:rsidRPr="00B14AA0">
        <w:rPr>
          <w:rFonts w:ascii="Arial" w:hAnsi="Arial" w:cs="Arial"/>
          <w:sz w:val="28"/>
          <w:szCs w:val="28"/>
        </w:rPr>
        <w:t xml:space="preserve">de agosto de </w:t>
      </w:r>
      <w:r>
        <w:rPr>
          <w:rFonts w:ascii="Arial" w:hAnsi="Arial" w:cs="Arial"/>
          <w:sz w:val="28"/>
          <w:szCs w:val="28"/>
        </w:rPr>
        <w:t xml:space="preserve">dos mil doce, </w:t>
      </w:r>
      <w:r w:rsidRPr="00C964A6">
        <w:rPr>
          <w:rFonts w:ascii="Arial" w:hAnsi="Arial" w:cs="Arial"/>
          <w:sz w:val="28"/>
          <w:szCs w:val="28"/>
        </w:rPr>
        <w:t>se reconoció un</w:t>
      </w:r>
      <w:r>
        <w:rPr>
          <w:rFonts w:ascii="Arial" w:hAnsi="Arial" w:cs="Arial"/>
          <w:sz w:val="28"/>
          <w:szCs w:val="28"/>
        </w:rPr>
        <w:t xml:space="preserve"> </w:t>
      </w:r>
      <w:r w:rsidRPr="00C964A6">
        <w:rPr>
          <w:rFonts w:ascii="Arial" w:hAnsi="Arial" w:cs="Arial"/>
          <w:sz w:val="28"/>
          <w:szCs w:val="28"/>
        </w:rPr>
        <w:t>nuevo sistema respecto a la manera de acceder a cargos de elección</w:t>
      </w:r>
      <w:r>
        <w:rPr>
          <w:rFonts w:ascii="Arial" w:hAnsi="Arial" w:cs="Arial"/>
          <w:sz w:val="28"/>
          <w:szCs w:val="28"/>
        </w:rPr>
        <w:t xml:space="preserve"> </w:t>
      </w:r>
      <w:r w:rsidRPr="00C964A6">
        <w:rPr>
          <w:rFonts w:ascii="Arial" w:hAnsi="Arial" w:cs="Arial"/>
          <w:sz w:val="28"/>
          <w:szCs w:val="28"/>
        </w:rPr>
        <w:t xml:space="preserve">popular: el registro de candidatas y candidatos dejó de ser un </w:t>
      </w:r>
      <w:r>
        <w:rPr>
          <w:rFonts w:ascii="Arial" w:hAnsi="Arial" w:cs="Arial"/>
          <w:sz w:val="28"/>
          <w:szCs w:val="28"/>
        </w:rPr>
        <w:t xml:space="preserve">monopolio para </w:t>
      </w:r>
      <w:r w:rsidRPr="00C964A6">
        <w:rPr>
          <w:rFonts w:ascii="Arial" w:hAnsi="Arial" w:cs="Arial"/>
          <w:sz w:val="28"/>
          <w:szCs w:val="28"/>
        </w:rPr>
        <w:t xml:space="preserve">los partidos políticos, </w:t>
      </w:r>
      <w:r>
        <w:rPr>
          <w:rFonts w:ascii="Arial" w:hAnsi="Arial" w:cs="Arial"/>
          <w:sz w:val="28"/>
          <w:szCs w:val="28"/>
        </w:rPr>
        <w:t xml:space="preserve">instituyéndose </w:t>
      </w:r>
      <w:r w:rsidRPr="00C964A6">
        <w:rPr>
          <w:rFonts w:ascii="Arial" w:hAnsi="Arial" w:cs="Arial"/>
          <w:sz w:val="28"/>
          <w:szCs w:val="28"/>
        </w:rPr>
        <w:t>la figura</w:t>
      </w:r>
      <w:r>
        <w:rPr>
          <w:rFonts w:ascii="Arial" w:hAnsi="Arial" w:cs="Arial"/>
          <w:sz w:val="28"/>
          <w:szCs w:val="28"/>
        </w:rPr>
        <w:t xml:space="preserve"> </w:t>
      </w:r>
      <w:r w:rsidRPr="00C964A6">
        <w:rPr>
          <w:rFonts w:ascii="Arial" w:hAnsi="Arial" w:cs="Arial"/>
          <w:sz w:val="28"/>
          <w:szCs w:val="28"/>
        </w:rPr>
        <w:t xml:space="preserve">de las </w:t>
      </w:r>
      <w:r w:rsidRPr="002A6080">
        <w:rPr>
          <w:rFonts w:ascii="Arial" w:hAnsi="Arial" w:cs="Arial"/>
          <w:iCs/>
          <w:sz w:val="28"/>
          <w:szCs w:val="28"/>
        </w:rPr>
        <w:t>candidaturas independientes</w:t>
      </w:r>
      <w:r>
        <w:rPr>
          <w:rFonts w:ascii="Arial" w:hAnsi="Arial" w:cs="Arial"/>
          <w:sz w:val="28"/>
          <w:szCs w:val="28"/>
        </w:rPr>
        <w:t xml:space="preserve">, </w:t>
      </w:r>
      <w:r w:rsidRPr="00B14AA0">
        <w:rPr>
          <w:rFonts w:ascii="Arial" w:hAnsi="Arial" w:cs="Arial"/>
          <w:sz w:val="28"/>
          <w:szCs w:val="28"/>
        </w:rPr>
        <w:t>como</w:t>
      </w:r>
      <w:r>
        <w:rPr>
          <w:rFonts w:ascii="Arial" w:hAnsi="Arial" w:cs="Arial"/>
          <w:sz w:val="28"/>
          <w:szCs w:val="28"/>
        </w:rPr>
        <w:t xml:space="preserve"> </w:t>
      </w:r>
      <w:r w:rsidRPr="00B14AA0">
        <w:rPr>
          <w:rFonts w:ascii="Arial" w:hAnsi="Arial" w:cs="Arial"/>
          <w:sz w:val="28"/>
          <w:szCs w:val="28"/>
        </w:rPr>
        <w:t xml:space="preserve">una alternativa </w:t>
      </w:r>
      <w:r>
        <w:rPr>
          <w:rFonts w:ascii="Arial" w:hAnsi="Arial" w:cs="Arial"/>
          <w:sz w:val="28"/>
          <w:szCs w:val="28"/>
        </w:rPr>
        <w:t>para que la ciudadanía pudiera ser votada.</w:t>
      </w:r>
    </w:p>
    <w:p w:rsidR="00DA472E" w:rsidRDefault="00DA472E" w:rsidP="00DA472E">
      <w:pPr>
        <w:spacing w:before="360" w:after="360" w:line="360" w:lineRule="auto"/>
        <w:ind w:firstLine="1418"/>
        <w:jc w:val="both"/>
        <w:rPr>
          <w:rFonts w:ascii="Arial" w:hAnsi="Arial" w:cs="Arial"/>
          <w:sz w:val="28"/>
          <w:szCs w:val="28"/>
        </w:rPr>
      </w:pPr>
      <w:r>
        <w:rPr>
          <w:rFonts w:ascii="Arial" w:hAnsi="Arial" w:cs="Arial"/>
          <w:sz w:val="28"/>
          <w:szCs w:val="28"/>
        </w:rPr>
        <w:t xml:space="preserve">No obstante, dicha previsión constitucional no pudo ser aplicada de manera efectiva ante la falta de una instrumentación específica, lo que sucedió hasta la reforma de 2014 en donde, con la expedición de la </w:t>
      </w:r>
      <w:r w:rsidR="00E67DDC">
        <w:rPr>
          <w:rFonts w:ascii="Arial" w:hAnsi="Arial" w:cs="Arial"/>
          <w:sz w:val="28"/>
          <w:szCs w:val="28"/>
        </w:rPr>
        <w:t>LEGIPE</w:t>
      </w:r>
      <w:r>
        <w:rPr>
          <w:rFonts w:ascii="Arial" w:hAnsi="Arial" w:cs="Arial"/>
          <w:sz w:val="28"/>
          <w:szCs w:val="28"/>
        </w:rPr>
        <w:t>, se establecieron reglas específicas para el acceso a cargos por esta vía.</w:t>
      </w:r>
    </w:p>
    <w:p w:rsidR="00F7685D" w:rsidRDefault="00DA472E" w:rsidP="00F7685D">
      <w:pPr>
        <w:spacing w:before="360" w:after="360" w:line="360" w:lineRule="auto"/>
        <w:ind w:firstLine="1418"/>
        <w:jc w:val="both"/>
        <w:rPr>
          <w:rFonts w:ascii="Arial" w:hAnsi="Arial" w:cs="Arial"/>
          <w:sz w:val="28"/>
          <w:szCs w:val="28"/>
        </w:rPr>
      </w:pPr>
      <w:r>
        <w:rPr>
          <w:rFonts w:ascii="Arial" w:hAnsi="Arial" w:cs="Arial"/>
          <w:sz w:val="28"/>
          <w:szCs w:val="28"/>
        </w:rPr>
        <w:t xml:space="preserve">En ese sentido, en el Libro Séptimo de la citada ley, se detallan las disposiciones que tienen </w:t>
      </w:r>
      <w:r w:rsidRPr="00790D3F">
        <w:rPr>
          <w:rFonts w:ascii="Arial" w:hAnsi="Arial" w:cs="Arial"/>
          <w:sz w:val="28"/>
          <w:szCs w:val="28"/>
        </w:rPr>
        <w:t>por objeto regular las candidaturas independientes para Presidente de los Estados Unidos Mexicanos, diputados y senadores del Congreso</w:t>
      </w:r>
      <w:r>
        <w:rPr>
          <w:rFonts w:ascii="Arial" w:hAnsi="Arial" w:cs="Arial"/>
          <w:sz w:val="28"/>
          <w:szCs w:val="28"/>
        </w:rPr>
        <w:t xml:space="preserve"> de la Unión, entre las que se encuentran las reglas aplicables al proceso de selección de candidaturas independientes, </w:t>
      </w:r>
      <w:r>
        <w:rPr>
          <w:rFonts w:ascii="Arial" w:hAnsi="Arial" w:cs="Arial"/>
          <w:bCs/>
          <w:sz w:val="28"/>
          <w:szCs w:val="28"/>
        </w:rPr>
        <w:t>d</w:t>
      </w:r>
      <w:r w:rsidRPr="008D3EAE">
        <w:rPr>
          <w:rFonts w:ascii="Arial" w:hAnsi="Arial" w:cs="Arial"/>
          <w:bCs/>
          <w:sz w:val="28"/>
          <w:szCs w:val="28"/>
        </w:rPr>
        <w:t xml:space="preserve">erechos y </w:t>
      </w:r>
      <w:r>
        <w:rPr>
          <w:rFonts w:ascii="Arial" w:hAnsi="Arial" w:cs="Arial"/>
          <w:bCs/>
          <w:sz w:val="28"/>
          <w:szCs w:val="28"/>
        </w:rPr>
        <w:t>o</w:t>
      </w:r>
      <w:r w:rsidRPr="008D3EAE">
        <w:rPr>
          <w:rFonts w:ascii="Arial" w:hAnsi="Arial" w:cs="Arial"/>
          <w:bCs/>
          <w:sz w:val="28"/>
          <w:szCs w:val="28"/>
        </w:rPr>
        <w:t>bligaciones</w:t>
      </w:r>
      <w:r>
        <w:rPr>
          <w:rFonts w:ascii="Arial" w:hAnsi="Arial" w:cs="Arial"/>
          <w:bCs/>
          <w:sz w:val="28"/>
          <w:szCs w:val="28"/>
        </w:rPr>
        <w:t>, prerrogativas como</w:t>
      </w:r>
      <w:r w:rsidRPr="008D3EAE">
        <w:rPr>
          <w:rFonts w:ascii="Arial" w:hAnsi="Arial" w:cs="Arial"/>
          <w:bCs/>
          <w:sz w:val="28"/>
          <w:szCs w:val="28"/>
        </w:rPr>
        <w:t xml:space="preserve"> </w:t>
      </w:r>
      <w:r>
        <w:rPr>
          <w:rFonts w:ascii="Arial" w:hAnsi="Arial" w:cs="Arial"/>
          <w:bCs/>
          <w:sz w:val="28"/>
          <w:szCs w:val="28"/>
        </w:rPr>
        <w:t>el acceso a financiamiento y a tiempo en radio y televisión; y las disposiciones aplicables en materia de fiscalización.</w:t>
      </w:r>
    </w:p>
    <w:p w:rsidR="00DA472E" w:rsidRDefault="00DA472E" w:rsidP="00F7685D">
      <w:pPr>
        <w:spacing w:before="360" w:after="360" w:line="360" w:lineRule="auto"/>
        <w:ind w:firstLine="1418"/>
        <w:jc w:val="both"/>
        <w:rPr>
          <w:rFonts w:ascii="Arial" w:hAnsi="Arial" w:cs="Arial"/>
          <w:sz w:val="28"/>
          <w:szCs w:val="28"/>
        </w:rPr>
      </w:pPr>
      <w:r>
        <w:rPr>
          <w:rFonts w:ascii="Arial" w:hAnsi="Arial" w:cs="Arial"/>
          <w:sz w:val="28"/>
          <w:szCs w:val="28"/>
        </w:rPr>
        <w:t xml:space="preserve">En cuanto a las candidaturas independientes, esta Sala Superior ha señalado que es necesario </w:t>
      </w:r>
      <w:r w:rsidRPr="001C502E">
        <w:rPr>
          <w:rFonts w:ascii="Arial" w:hAnsi="Arial" w:cs="Arial"/>
          <w:sz w:val="28"/>
          <w:szCs w:val="28"/>
        </w:rPr>
        <w:t xml:space="preserve">garantizar que </w:t>
      </w:r>
      <w:r>
        <w:rPr>
          <w:rFonts w:ascii="Arial" w:hAnsi="Arial" w:cs="Arial"/>
          <w:sz w:val="28"/>
          <w:szCs w:val="28"/>
        </w:rPr>
        <w:t>é</w:t>
      </w:r>
      <w:r w:rsidRPr="001C502E">
        <w:rPr>
          <w:rFonts w:ascii="Arial" w:hAnsi="Arial" w:cs="Arial"/>
          <w:sz w:val="28"/>
          <w:szCs w:val="28"/>
        </w:rPr>
        <w:t>stas tengan </w:t>
      </w:r>
      <w:bookmarkStart w:id="5" w:name="LPHit1"/>
      <w:bookmarkEnd w:id="5"/>
      <w:r w:rsidRPr="001C502E">
        <w:rPr>
          <w:rFonts w:ascii="Arial" w:hAnsi="Arial" w:cs="Arial"/>
          <w:sz w:val="28"/>
          <w:szCs w:val="28"/>
        </w:rPr>
        <w:t>posibilidades</w:t>
      </w:r>
      <w:r w:rsidR="00F7685D">
        <w:rPr>
          <w:rFonts w:ascii="Arial" w:hAnsi="Arial" w:cs="Arial"/>
          <w:sz w:val="28"/>
          <w:szCs w:val="28"/>
        </w:rPr>
        <w:t xml:space="preserve"> </w:t>
      </w:r>
      <w:r w:rsidRPr="001C502E">
        <w:rPr>
          <w:rFonts w:ascii="Arial" w:hAnsi="Arial" w:cs="Arial"/>
          <w:sz w:val="28"/>
          <w:szCs w:val="28"/>
        </w:rPr>
        <w:t>reales de </w:t>
      </w:r>
      <w:bookmarkStart w:id="6" w:name="LPHit2"/>
      <w:bookmarkEnd w:id="6"/>
      <w:r w:rsidRPr="001C502E">
        <w:rPr>
          <w:rFonts w:ascii="Arial" w:hAnsi="Arial" w:cs="Arial"/>
          <w:sz w:val="28"/>
          <w:szCs w:val="28"/>
        </w:rPr>
        <w:t>éxito,</w:t>
      </w:r>
      <w:r w:rsidR="00F7685D">
        <w:rPr>
          <w:rFonts w:ascii="Arial" w:hAnsi="Arial" w:cs="Arial"/>
          <w:sz w:val="28"/>
          <w:szCs w:val="28"/>
        </w:rPr>
        <w:t xml:space="preserve"> </w:t>
      </w:r>
      <w:r w:rsidRPr="001C502E">
        <w:rPr>
          <w:rFonts w:ascii="Arial" w:hAnsi="Arial" w:cs="Arial"/>
          <w:sz w:val="28"/>
          <w:szCs w:val="28"/>
        </w:rPr>
        <w:t>de</w:t>
      </w:r>
      <w:r w:rsidR="00F7685D">
        <w:rPr>
          <w:rFonts w:ascii="Arial" w:hAnsi="Arial" w:cs="Arial"/>
          <w:sz w:val="28"/>
          <w:szCs w:val="28"/>
        </w:rPr>
        <w:t xml:space="preserve"> </w:t>
      </w:r>
      <w:r w:rsidRPr="001C502E">
        <w:rPr>
          <w:rFonts w:ascii="Arial" w:hAnsi="Arial" w:cs="Arial"/>
          <w:sz w:val="28"/>
          <w:szCs w:val="28"/>
        </w:rPr>
        <w:t>modo que su reconocimiento constitucional se traduzca en su tutela desde una óptica material y no estrictamente formal</w:t>
      </w:r>
      <w:r>
        <w:rPr>
          <w:rStyle w:val="Refdenotaalpie"/>
          <w:rFonts w:ascii="Arial" w:hAnsi="Arial" w:cs="Arial"/>
          <w:sz w:val="28"/>
          <w:szCs w:val="28"/>
        </w:rPr>
        <w:footnoteReference w:id="12"/>
      </w:r>
      <w:r w:rsidRPr="001C502E">
        <w:rPr>
          <w:rFonts w:ascii="Arial" w:hAnsi="Arial" w:cs="Arial"/>
          <w:sz w:val="28"/>
          <w:szCs w:val="28"/>
        </w:rPr>
        <w:t xml:space="preserve">. </w:t>
      </w:r>
    </w:p>
    <w:p w:rsidR="00DA472E" w:rsidRDefault="00DA472E" w:rsidP="00DA472E">
      <w:pPr>
        <w:spacing w:before="360" w:after="360" w:line="360" w:lineRule="auto"/>
        <w:ind w:firstLine="1418"/>
        <w:jc w:val="both"/>
        <w:rPr>
          <w:rFonts w:ascii="Arial" w:hAnsi="Arial" w:cs="Arial"/>
          <w:sz w:val="28"/>
          <w:szCs w:val="28"/>
        </w:rPr>
      </w:pPr>
      <w:r>
        <w:rPr>
          <w:rFonts w:ascii="Arial" w:hAnsi="Arial" w:cs="Arial"/>
          <w:sz w:val="28"/>
          <w:szCs w:val="28"/>
        </w:rPr>
        <w:t xml:space="preserve">Asimismo, al resolver el </w:t>
      </w:r>
      <w:r w:rsidRPr="00CD46EC">
        <w:rPr>
          <w:rFonts w:ascii="Arial" w:hAnsi="Arial" w:cs="Arial"/>
          <w:sz w:val="28"/>
          <w:szCs w:val="28"/>
        </w:rPr>
        <w:t>SUP-JRC-582/2015 y</w:t>
      </w:r>
      <w:r>
        <w:rPr>
          <w:rFonts w:ascii="Arial" w:hAnsi="Arial" w:cs="Arial"/>
          <w:sz w:val="28"/>
          <w:szCs w:val="28"/>
        </w:rPr>
        <w:t xml:space="preserve"> el</w:t>
      </w:r>
      <w:r w:rsidRPr="00CD46EC">
        <w:rPr>
          <w:rFonts w:ascii="Arial" w:hAnsi="Arial" w:cs="Arial"/>
          <w:sz w:val="28"/>
          <w:szCs w:val="28"/>
        </w:rPr>
        <w:t xml:space="preserve"> </w:t>
      </w:r>
      <w:r w:rsidRPr="00CD46EC">
        <w:rPr>
          <w:rFonts w:ascii="Arial" w:hAnsi="Arial" w:cs="Arial"/>
          <w:bCs/>
          <w:sz w:val="28"/>
          <w:szCs w:val="28"/>
        </w:rPr>
        <w:t>SUP-REC-193/2015</w:t>
      </w:r>
      <w:r>
        <w:rPr>
          <w:rFonts w:ascii="Arial" w:hAnsi="Arial" w:cs="Arial"/>
          <w:bCs/>
          <w:sz w:val="28"/>
          <w:szCs w:val="28"/>
        </w:rPr>
        <w:t xml:space="preserve">, </w:t>
      </w:r>
      <w:r>
        <w:rPr>
          <w:rFonts w:ascii="Arial" w:hAnsi="Arial" w:cs="Arial"/>
          <w:sz w:val="28"/>
          <w:szCs w:val="28"/>
        </w:rPr>
        <w:t>se estableció que, si bien</w:t>
      </w:r>
      <w:r w:rsidRPr="00947996">
        <w:rPr>
          <w:rFonts w:ascii="Arial" w:hAnsi="Arial" w:cs="Arial"/>
          <w:sz w:val="28"/>
          <w:szCs w:val="28"/>
        </w:rPr>
        <w:t xml:space="preserve"> la diferente situación de candidatas y candidatos independientes, respecto de la de los partidos políticos ha quedado perfectamente expuesta por la Suprema Corte</w:t>
      </w:r>
      <w:r>
        <w:rPr>
          <w:rFonts w:ascii="Arial" w:hAnsi="Arial" w:cs="Arial"/>
          <w:sz w:val="28"/>
          <w:szCs w:val="28"/>
        </w:rPr>
        <w:t xml:space="preserve">, lo cierto es que </w:t>
      </w:r>
      <w:r w:rsidRPr="00947996">
        <w:rPr>
          <w:rFonts w:ascii="Arial" w:hAnsi="Arial" w:cs="Arial"/>
          <w:sz w:val="28"/>
          <w:szCs w:val="28"/>
        </w:rPr>
        <w:t>entre las candidat</w:t>
      </w:r>
      <w:r>
        <w:rPr>
          <w:rFonts w:ascii="Arial" w:hAnsi="Arial" w:cs="Arial"/>
          <w:sz w:val="28"/>
          <w:szCs w:val="28"/>
        </w:rPr>
        <w:t>ura</w:t>
      </w:r>
      <w:r w:rsidRPr="00947996">
        <w:rPr>
          <w:rFonts w:ascii="Arial" w:hAnsi="Arial" w:cs="Arial"/>
          <w:sz w:val="28"/>
          <w:szCs w:val="28"/>
        </w:rPr>
        <w:t xml:space="preserve">s independientes y </w:t>
      </w:r>
      <w:r>
        <w:rPr>
          <w:rFonts w:ascii="Arial" w:hAnsi="Arial" w:cs="Arial"/>
          <w:sz w:val="28"/>
          <w:szCs w:val="28"/>
        </w:rPr>
        <w:t>las postuladas por</w:t>
      </w:r>
      <w:r w:rsidRPr="00947996">
        <w:rPr>
          <w:rFonts w:ascii="Arial" w:hAnsi="Arial" w:cs="Arial"/>
          <w:sz w:val="28"/>
          <w:szCs w:val="28"/>
        </w:rPr>
        <w:t xml:space="preserve"> un partido político no existen diferencias materiales, de modo que el régimen jurídico que les sea aplicable durante las campañas electorales en las cuales contiendan debe ser análogo o, cuando mucho, razonablemente distinto.</w:t>
      </w:r>
    </w:p>
    <w:p w:rsidR="00DA472E" w:rsidRDefault="00DA472E" w:rsidP="00DA472E">
      <w:pPr>
        <w:spacing w:before="360" w:after="360" w:line="360" w:lineRule="auto"/>
        <w:ind w:firstLine="1418"/>
        <w:jc w:val="both"/>
        <w:rPr>
          <w:rFonts w:ascii="Arial" w:hAnsi="Arial" w:cs="Arial"/>
          <w:sz w:val="28"/>
          <w:szCs w:val="28"/>
        </w:rPr>
      </w:pPr>
      <w:r>
        <w:rPr>
          <w:rFonts w:ascii="Arial" w:hAnsi="Arial" w:cs="Arial"/>
          <w:sz w:val="28"/>
          <w:szCs w:val="28"/>
        </w:rPr>
        <w:t>Lo anterior, ya que</w:t>
      </w:r>
      <w:r w:rsidRPr="00947996">
        <w:rPr>
          <w:rFonts w:ascii="Arial" w:hAnsi="Arial" w:cs="Arial"/>
          <w:sz w:val="28"/>
          <w:szCs w:val="28"/>
        </w:rPr>
        <w:t xml:space="preserve"> si las personas que aspiran a un cargo de elección popular carecen de posibilidades reales de competir</w:t>
      </w:r>
      <w:r>
        <w:rPr>
          <w:rFonts w:ascii="Arial" w:hAnsi="Arial" w:cs="Arial"/>
          <w:sz w:val="28"/>
          <w:szCs w:val="28"/>
        </w:rPr>
        <w:t>,</w:t>
      </w:r>
      <w:r w:rsidRPr="00947996">
        <w:rPr>
          <w:rFonts w:ascii="Arial" w:hAnsi="Arial" w:cs="Arial"/>
          <w:sz w:val="28"/>
          <w:szCs w:val="28"/>
        </w:rPr>
        <w:t xml:space="preserve"> y eventualmente ganar, se estarían produciendo tres violaciones de gran trascendencia para el orden constitucional: </w:t>
      </w:r>
      <w:r w:rsidRPr="00947996">
        <w:rPr>
          <w:rFonts w:ascii="Arial" w:hAnsi="Arial" w:cs="Arial"/>
          <w:b/>
          <w:bCs/>
          <w:i/>
          <w:iCs/>
          <w:sz w:val="28"/>
          <w:szCs w:val="28"/>
        </w:rPr>
        <w:t>(i)</w:t>
      </w:r>
      <w:r w:rsidRPr="00947996">
        <w:rPr>
          <w:rFonts w:ascii="Arial" w:hAnsi="Arial" w:cs="Arial"/>
          <w:sz w:val="28"/>
          <w:szCs w:val="28"/>
        </w:rPr>
        <w:t> por una parte se está vulnerando su derecho a ser votadas; </w:t>
      </w:r>
      <w:r w:rsidRPr="00947996">
        <w:rPr>
          <w:rFonts w:ascii="Arial" w:hAnsi="Arial" w:cs="Arial"/>
          <w:b/>
          <w:bCs/>
          <w:i/>
          <w:iCs/>
          <w:sz w:val="28"/>
          <w:szCs w:val="28"/>
        </w:rPr>
        <w:t>(ii)</w:t>
      </w:r>
      <w:r w:rsidRPr="00947996">
        <w:rPr>
          <w:rFonts w:ascii="Arial" w:hAnsi="Arial" w:cs="Arial"/>
          <w:sz w:val="28"/>
          <w:szCs w:val="28"/>
        </w:rPr>
        <w:t> por otra parte se está afectando el derecho de la ciudadanía a elegir una opción política distinta a la ofrecida por el esquema tradicional de los partidos políticos, trasgrediendo esa dimensión colectiva del derecho de acceder a cargos de elección popular; y </w:t>
      </w:r>
      <w:r w:rsidRPr="00947996">
        <w:rPr>
          <w:rFonts w:ascii="Arial" w:hAnsi="Arial" w:cs="Arial"/>
          <w:b/>
          <w:bCs/>
          <w:i/>
          <w:iCs/>
          <w:sz w:val="28"/>
          <w:szCs w:val="28"/>
        </w:rPr>
        <w:t>(iii)</w:t>
      </w:r>
      <w:r w:rsidRPr="00947996">
        <w:rPr>
          <w:rFonts w:ascii="Arial" w:hAnsi="Arial" w:cs="Arial"/>
          <w:sz w:val="28"/>
          <w:szCs w:val="28"/>
        </w:rPr>
        <w:t> finalmente, se estaría vaciando de contenido un derecho constitucional al limitarlo de tal forma que termina por hacerse nugatorio.</w:t>
      </w:r>
    </w:p>
    <w:p w:rsidR="00DA472E" w:rsidRDefault="00DA472E" w:rsidP="00DA472E">
      <w:pPr>
        <w:spacing w:before="360" w:after="360" w:line="360" w:lineRule="auto"/>
        <w:ind w:firstLine="1418"/>
        <w:jc w:val="both"/>
        <w:rPr>
          <w:rFonts w:ascii="Arial" w:hAnsi="Arial" w:cs="Arial"/>
          <w:sz w:val="28"/>
          <w:szCs w:val="28"/>
        </w:rPr>
      </w:pPr>
      <w:r>
        <w:rPr>
          <w:rFonts w:ascii="Arial" w:hAnsi="Arial" w:cs="Arial"/>
          <w:sz w:val="28"/>
          <w:szCs w:val="28"/>
        </w:rPr>
        <w:t xml:space="preserve">Por otro lado, es claro que, de conformidad con lo señalado en el artículo 41 </w:t>
      </w:r>
      <w:r w:rsidR="00E40A57">
        <w:rPr>
          <w:rFonts w:ascii="Arial" w:hAnsi="Arial" w:cs="Arial"/>
          <w:sz w:val="28"/>
          <w:szCs w:val="28"/>
        </w:rPr>
        <w:t>Constitucional</w:t>
      </w:r>
      <w:r>
        <w:rPr>
          <w:rFonts w:ascii="Arial" w:hAnsi="Arial" w:cs="Arial"/>
          <w:sz w:val="28"/>
          <w:szCs w:val="28"/>
        </w:rPr>
        <w:t xml:space="preserve">, </w:t>
      </w:r>
      <w:r w:rsidRPr="004666A7">
        <w:rPr>
          <w:rFonts w:ascii="Arial" w:hAnsi="Arial" w:cs="Arial"/>
          <w:sz w:val="28"/>
          <w:szCs w:val="28"/>
        </w:rPr>
        <w:t>los partidos políticos no son un fin en sí mismo, sino que su relevancia deriva del rol instrumental que tienen para la democracia, al permitir el acceso de la ciudadanía al ejercicio del poder público</w:t>
      </w:r>
      <w:r>
        <w:rPr>
          <w:rFonts w:ascii="Arial" w:hAnsi="Arial" w:cs="Arial"/>
          <w:sz w:val="28"/>
          <w:szCs w:val="28"/>
        </w:rPr>
        <w:t>, de modo que el diseño constitucional</w:t>
      </w:r>
      <w:r w:rsidRPr="004666A7">
        <w:rPr>
          <w:rFonts w:ascii="Arial" w:hAnsi="Arial" w:cs="Arial"/>
          <w:sz w:val="28"/>
          <w:szCs w:val="28"/>
        </w:rPr>
        <w:t xml:space="preserve"> coloca a las personas en el centro de las normas y las instituciones.</w:t>
      </w:r>
    </w:p>
    <w:p w:rsidR="00DA472E" w:rsidRPr="004666A7" w:rsidRDefault="001E4587" w:rsidP="00DA472E">
      <w:pPr>
        <w:spacing w:before="360" w:after="360" w:line="360" w:lineRule="auto"/>
        <w:ind w:firstLine="1418"/>
        <w:jc w:val="both"/>
        <w:rPr>
          <w:rFonts w:ascii="Arial" w:hAnsi="Arial" w:cs="Arial"/>
          <w:sz w:val="28"/>
          <w:szCs w:val="28"/>
        </w:rPr>
      </w:pPr>
      <w:r>
        <w:rPr>
          <w:rFonts w:ascii="Arial" w:hAnsi="Arial" w:cs="Arial"/>
          <w:sz w:val="28"/>
          <w:szCs w:val="28"/>
        </w:rPr>
        <w:t>S</w:t>
      </w:r>
      <w:r w:rsidR="00DA472E">
        <w:rPr>
          <w:rFonts w:ascii="Arial" w:hAnsi="Arial" w:cs="Arial"/>
          <w:sz w:val="28"/>
          <w:szCs w:val="28"/>
        </w:rPr>
        <w:t>erí</w:t>
      </w:r>
      <w:r w:rsidR="00DA472E" w:rsidRPr="004666A7">
        <w:rPr>
          <w:rFonts w:ascii="Arial" w:hAnsi="Arial" w:cs="Arial"/>
          <w:sz w:val="28"/>
          <w:szCs w:val="28"/>
        </w:rPr>
        <w:t>a un contrasentido limitar las posibilidades reales de competir y ganar una elección de las y los candidatos independientes, en aras de favorecer a los partidos políticos como consecuencia de su rol para permitir el acceso ciudadano al poder público</w:t>
      </w:r>
      <w:r w:rsidR="00DA472E">
        <w:rPr>
          <w:rFonts w:ascii="Arial" w:hAnsi="Arial" w:cs="Arial"/>
          <w:sz w:val="28"/>
          <w:szCs w:val="28"/>
        </w:rPr>
        <w:t>, ya que e</w:t>
      </w:r>
      <w:r w:rsidR="00DA472E" w:rsidRPr="004666A7">
        <w:rPr>
          <w:rFonts w:ascii="Arial" w:hAnsi="Arial" w:cs="Arial"/>
          <w:sz w:val="28"/>
          <w:szCs w:val="28"/>
        </w:rPr>
        <w:t>sto equivaldría a limitar un derecho ciudadano en aras de fortalecer el mismo derecho ciudadano ejercido por una vía distinta.</w:t>
      </w:r>
    </w:p>
    <w:p w:rsidR="00DA472E" w:rsidRPr="00FD2527" w:rsidRDefault="009D686D"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hAnsi="Arial" w:cs="Arial"/>
          <w:b/>
          <w:sz w:val="28"/>
          <w:szCs w:val="28"/>
        </w:rPr>
        <w:t>5.</w:t>
      </w:r>
      <w:r w:rsidR="0023410E" w:rsidRPr="00FD2527">
        <w:rPr>
          <w:rFonts w:ascii="Arial" w:hAnsi="Arial" w:cs="Arial"/>
          <w:b/>
          <w:sz w:val="28"/>
          <w:szCs w:val="28"/>
        </w:rPr>
        <w:t>5</w:t>
      </w:r>
      <w:r w:rsidRPr="00FD2527">
        <w:rPr>
          <w:rFonts w:ascii="Arial" w:hAnsi="Arial" w:cs="Arial"/>
          <w:b/>
          <w:sz w:val="28"/>
          <w:szCs w:val="28"/>
        </w:rPr>
        <w:t>.2</w:t>
      </w:r>
      <w:r w:rsidR="00DA472E" w:rsidRPr="00FD2527">
        <w:rPr>
          <w:rFonts w:ascii="Arial" w:eastAsia="Times New Roman" w:hAnsi="Arial" w:cs="Arial"/>
          <w:b/>
          <w:sz w:val="28"/>
          <w:szCs w:val="28"/>
          <w:lang w:eastAsia="es-MX"/>
        </w:rPr>
        <w:t xml:space="preserve">. Financiamiento de partidos políticos. </w:t>
      </w:r>
      <w:r w:rsidR="00DA472E" w:rsidRPr="00FD2527">
        <w:rPr>
          <w:rFonts w:ascii="Arial" w:eastAsia="Times New Roman" w:hAnsi="Arial" w:cs="Arial"/>
          <w:sz w:val="28"/>
          <w:szCs w:val="28"/>
          <w:lang w:eastAsia="es-MX"/>
        </w:rPr>
        <w:t>La legislación sobre financiamiento público a partidos políticos y candidatos, limitada inicialmente a cubrir los gastos de éstos en las campañas electorales, evolucionó hasta llegar al sostenimiento de la vida permanente de los aparatos, atendiendo a la idea de que éstos siempre están en campaña</w:t>
      </w:r>
      <w:r w:rsidR="00DA472E" w:rsidRPr="00FD2527">
        <w:rPr>
          <w:rFonts w:ascii="Arial" w:eastAsia="Times New Roman" w:hAnsi="Arial" w:cs="Arial"/>
          <w:sz w:val="28"/>
          <w:szCs w:val="28"/>
          <w:vertAlign w:val="superscript"/>
          <w:lang w:eastAsia="es-MX"/>
        </w:rPr>
        <w:footnoteReference w:id="13"/>
      </w:r>
      <w:r w:rsidR="00DA472E" w:rsidRPr="00FD2527">
        <w:rPr>
          <w:rFonts w:ascii="Arial" w:eastAsia="Times New Roman" w:hAnsi="Arial" w:cs="Arial"/>
          <w:sz w:val="28"/>
          <w:szCs w:val="28"/>
          <w:lang w:eastAsia="es-MX"/>
        </w:rPr>
        <w:t>.</w:t>
      </w:r>
    </w:p>
    <w:p w:rsidR="00DA472E" w:rsidRPr="00FD2527" w:rsidRDefault="00DA472E"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Algunos autores como Ramón Cortarelo sostienen que financiar a los partidos es contribuir a su eficaz funcionamiento y, por ende, al sostenimiento de la democracia</w:t>
      </w:r>
      <w:r w:rsidRPr="00FD2527">
        <w:rPr>
          <w:rFonts w:ascii="Arial" w:eastAsia="Times New Roman" w:hAnsi="Arial" w:cs="Arial"/>
          <w:sz w:val="28"/>
          <w:szCs w:val="28"/>
          <w:vertAlign w:val="superscript"/>
          <w:lang w:eastAsia="es-MX"/>
        </w:rPr>
        <w:footnoteReference w:id="14"/>
      </w:r>
      <w:r w:rsidRPr="00FD2527">
        <w:rPr>
          <w:rFonts w:ascii="Arial" w:eastAsia="Times New Roman" w:hAnsi="Arial" w:cs="Arial"/>
          <w:sz w:val="28"/>
          <w:szCs w:val="28"/>
          <w:lang w:eastAsia="es-MX"/>
        </w:rPr>
        <w:t>.</w:t>
      </w:r>
    </w:p>
    <w:p w:rsidR="00DA472E" w:rsidRPr="00FD2527" w:rsidRDefault="00DA472E"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Es partir de 1986, que aparece el financiamiento público en la Constitución. En ese año, el financiamiento tenía un objetivo eminentemente electoral y fue progresando en posteriores reformas a financiar diversos rubros de las actividades partidarias.</w:t>
      </w:r>
    </w:p>
    <w:p w:rsidR="00DA472E" w:rsidRPr="00FD2527" w:rsidRDefault="00DA472E"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El modelo mixto de financiamiento establecido en el país en 1996, apostó a entregar montos generosos de dinero público, de manera permanente, a los partidos políticos con una triple finalidad</w:t>
      </w:r>
      <w:r w:rsidRPr="00FD2527">
        <w:rPr>
          <w:rFonts w:ascii="Arial" w:eastAsia="Times New Roman" w:hAnsi="Arial" w:cs="Arial"/>
          <w:sz w:val="28"/>
          <w:szCs w:val="28"/>
          <w:vertAlign w:val="superscript"/>
          <w:lang w:eastAsia="es-MX"/>
        </w:rPr>
        <w:footnoteReference w:id="15"/>
      </w:r>
      <w:r w:rsidRPr="00FD2527">
        <w:rPr>
          <w:rFonts w:ascii="Arial" w:eastAsia="Times New Roman" w:hAnsi="Arial" w:cs="Arial"/>
          <w:sz w:val="28"/>
          <w:szCs w:val="28"/>
          <w:lang w:eastAsia="es-MX"/>
        </w:rPr>
        <w:t>:</w:t>
      </w:r>
    </w:p>
    <w:p w:rsidR="00DA472E" w:rsidRPr="00FD2527" w:rsidRDefault="00DA472E" w:rsidP="006F0439">
      <w:pPr>
        <w:numPr>
          <w:ilvl w:val="0"/>
          <w:numId w:val="4"/>
        </w:numPr>
        <w:shd w:val="clear" w:color="auto" w:fill="FFFFFF"/>
        <w:spacing w:before="360" w:after="360" w:line="360" w:lineRule="auto"/>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Propiciar condiciones de igualdad entre los partidos, como a la proporcionalidad de su peso electoral.</w:t>
      </w:r>
    </w:p>
    <w:p w:rsidR="00DA472E" w:rsidRPr="00FD2527" w:rsidRDefault="00DA472E" w:rsidP="006F0439">
      <w:pPr>
        <w:numPr>
          <w:ilvl w:val="0"/>
          <w:numId w:val="4"/>
        </w:numPr>
        <w:shd w:val="clear" w:color="auto" w:fill="FFFFFF"/>
        <w:spacing w:before="360" w:after="360" w:line="360" w:lineRule="auto"/>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Inyectar transparencia a los recursos con que contaban los partidos al resultar el financiamiento público (cuyo origen y montos se conocen con precisión) preponderantemente sobre el privado.</w:t>
      </w:r>
    </w:p>
    <w:p w:rsidR="00DA472E" w:rsidRPr="00FD2527" w:rsidRDefault="00DA472E" w:rsidP="006F0439">
      <w:pPr>
        <w:numPr>
          <w:ilvl w:val="0"/>
          <w:numId w:val="4"/>
        </w:numPr>
        <w:shd w:val="clear" w:color="auto" w:fill="FFFFFF"/>
        <w:spacing w:before="360" w:after="360" w:line="360" w:lineRule="auto"/>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Fortalecer la autonomía de los partidos políticos frente a los intereses privados, corporativos o incluso delincuenciales, que eventualmente pueden subyacer a las aportaciones privadas.</w:t>
      </w:r>
    </w:p>
    <w:p w:rsidR="00DA472E" w:rsidRPr="00FD2527" w:rsidRDefault="00DA472E"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La importancia del financiamiento de los partidos políticos se evidencia en la exposición de motivos de la reforma constitucional de ese año, en la que se sostuvo:</w:t>
      </w:r>
    </w:p>
    <w:p w:rsidR="00DA472E" w:rsidRPr="00FD2527" w:rsidRDefault="00DA472E" w:rsidP="003464FE">
      <w:pPr>
        <w:shd w:val="clear" w:color="auto" w:fill="FFFFFF"/>
        <w:spacing w:before="360" w:after="360"/>
        <w:ind w:left="426" w:right="474"/>
        <w:jc w:val="both"/>
        <w:rPr>
          <w:rFonts w:ascii="Arial" w:eastAsia="Times New Roman" w:hAnsi="Arial" w:cs="Arial"/>
          <w:i/>
          <w:sz w:val="26"/>
          <w:szCs w:val="26"/>
          <w:lang w:eastAsia="es-MX"/>
        </w:rPr>
      </w:pPr>
      <w:r w:rsidRPr="00FD2527">
        <w:rPr>
          <w:rFonts w:ascii="Arial" w:eastAsia="Times New Roman" w:hAnsi="Arial" w:cs="Arial"/>
          <w:i/>
          <w:sz w:val="26"/>
          <w:szCs w:val="26"/>
          <w:lang w:eastAsia="es-MX"/>
        </w:rPr>
        <w:t>“El primer objetivo es garantizar que los partidos políticos cuenten con recursos cuyo origen sea lícito, claro y conocido por ellos mismos y la ciudadanía. La iniciativa propone establecer las bases constitucionales del sistema para el control y la vigilancia del origen y uso de todos los recursos con que cuenten los partidos políticos…”.</w:t>
      </w:r>
    </w:p>
    <w:p w:rsidR="00DA472E" w:rsidRPr="00FD2527" w:rsidRDefault="00DA472E" w:rsidP="00DA472E">
      <w:pPr>
        <w:shd w:val="clear" w:color="auto" w:fill="FFFFFF"/>
        <w:spacing w:before="360" w:after="360" w:line="360" w:lineRule="auto"/>
        <w:ind w:firstLine="1418"/>
        <w:jc w:val="both"/>
        <w:rPr>
          <w:rFonts w:ascii="Arial" w:eastAsia="Times New Roman" w:hAnsi="Arial" w:cs="Arial"/>
          <w:b/>
          <w:sz w:val="28"/>
          <w:szCs w:val="28"/>
          <w:lang w:eastAsia="es-MX"/>
        </w:rPr>
      </w:pPr>
      <w:r w:rsidRPr="00FD2527">
        <w:rPr>
          <w:rFonts w:ascii="Arial" w:eastAsia="Times New Roman" w:hAnsi="Arial" w:cs="Arial"/>
          <w:sz w:val="28"/>
          <w:szCs w:val="28"/>
          <w:lang w:eastAsia="es-MX"/>
        </w:rPr>
        <w:t xml:space="preserve">El artículo 41, párrafo segundo, base II, de la Constitución Política de los Estados Unidos Mexicanos, dispone que la ley debe garantizar a los partidos políticos nacionales que cuenten de manera equitativa con elementos para llevar a cabo sus actividades, entre los cuales se encuentra el financiamiento público sostenimiento de sus actividades ordinarias permanentes, </w:t>
      </w:r>
      <w:r w:rsidRPr="00FD2527">
        <w:rPr>
          <w:rFonts w:ascii="Arial" w:eastAsia="Times New Roman" w:hAnsi="Arial" w:cs="Arial"/>
          <w:b/>
          <w:sz w:val="28"/>
          <w:szCs w:val="28"/>
          <w:lang w:eastAsia="es-MX"/>
        </w:rPr>
        <w:t xml:space="preserve">las tendientes a la obtención del voto durante los procesos electorales </w:t>
      </w:r>
      <w:r w:rsidRPr="00FD2527">
        <w:rPr>
          <w:rFonts w:ascii="Arial" w:eastAsia="Times New Roman" w:hAnsi="Arial" w:cs="Arial"/>
          <w:sz w:val="28"/>
          <w:szCs w:val="28"/>
          <w:lang w:eastAsia="es-MX"/>
        </w:rPr>
        <w:t>y las de carácter específico</w:t>
      </w:r>
      <w:r w:rsidRPr="00FD2527">
        <w:rPr>
          <w:rFonts w:ascii="Arial" w:eastAsia="Times New Roman" w:hAnsi="Arial" w:cs="Arial"/>
          <w:b/>
          <w:sz w:val="28"/>
          <w:szCs w:val="28"/>
          <w:lang w:eastAsia="es-MX"/>
        </w:rPr>
        <w:t>.</w:t>
      </w:r>
    </w:p>
    <w:p w:rsidR="00354D99" w:rsidRPr="00FD2527" w:rsidRDefault="00DA472E"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Asimismo, desde la Constitución y en el artículo 51 de la </w:t>
      </w:r>
      <w:bookmarkStart w:id="7" w:name="_Hlk511149124"/>
      <w:r w:rsidRPr="00FD2527">
        <w:rPr>
          <w:rFonts w:ascii="Arial" w:eastAsia="Times New Roman" w:hAnsi="Arial" w:cs="Arial"/>
          <w:sz w:val="28"/>
          <w:szCs w:val="28"/>
          <w:lang w:eastAsia="es-MX"/>
        </w:rPr>
        <w:t>Ley General de Partidos Políticos</w:t>
      </w:r>
      <w:r w:rsidR="00AA230E">
        <w:rPr>
          <w:rStyle w:val="Refdenotaalpie"/>
          <w:rFonts w:ascii="Arial" w:eastAsia="Times New Roman" w:hAnsi="Arial" w:cs="Arial"/>
          <w:sz w:val="28"/>
          <w:szCs w:val="28"/>
          <w:lang w:eastAsia="es-MX"/>
        </w:rPr>
        <w:footnoteReference w:id="16"/>
      </w:r>
      <w:r w:rsidRPr="00FD2527">
        <w:rPr>
          <w:rFonts w:ascii="Arial" w:eastAsia="Times New Roman" w:hAnsi="Arial" w:cs="Arial"/>
          <w:sz w:val="28"/>
          <w:szCs w:val="28"/>
          <w:lang w:eastAsia="es-MX"/>
        </w:rPr>
        <w:t xml:space="preserve"> </w:t>
      </w:r>
      <w:bookmarkEnd w:id="7"/>
      <w:r w:rsidRPr="00FD2527">
        <w:rPr>
          <w:rFonts w:ascii="Arial" w:eastAsia="Times New Roman" w:hAnsi="Arial" w:cs="Arial"/>
          <w:sz w:val="28"/>
          <w:szCs w:val="28"/>
          <w:lang w:eastAsia="es-MX"/>
        </w:rPr>
        <w:t xml:space="preserve">se dispone la forma en que se habrá de calcular el monto total que corresponde a los partidos políticos nacionales, así como la distribución que se debe hacer de </w:t>
      </w:r>
      <w:r w:rsidR="00354D99" w:rsidRPr="00FD2527">
        <w:rPr>
          <w:rFonts w:ascii="Arial" w:eastAsia="Times New Roman" w:hAnsi="Arial" w:cs="Arial"/>
          <w:sz w:val="28"/>
          <w:szCs w:val="28"/>
          <w:lang w:eastAsia="es-MX"/>
        </w:rPr>
        <w:t>los recursos a dichos partidos.</w:t>
      </w:r>
    </w:p>
    <w:p w:rsidR="00DA472E" w:rsidRPr="00FD2527" w:rsidRDefault="00DA472E"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El órgano competente para determinar estos montos de financiamiento, aplicando las fórmulas respectivas, es el </w:t>
      </w:r>
      <w:r w:rsidR="00AA230E">
        <w:rPr>
          <w:rFonts w:ascii="Arial" w:hAnsi="Arial" w:cs="Arial"/>
          <w:sz w:val="28"/>
          <w:szCs w:val="28"/>
        </w:rPr>
        <w:t>Consejo General</w:t>
      </w:r>
      <w:r w:rsidRPr="00FD2527">
        <w:rPr>
          <w:rFonts w:ascii="Arial" w:eastAsia="Times New Roman" w:hAnsi="Arial" w:cs="Arial"/>
          <w:sz w:val="28"/>
          <w:szCs w:val="28"/>
          <w:lang w:eastAsia="es-MX"/>
        </w:rPr>
        <w:t xml:space="preserve">, </w:t>
      </w:r>
      <w:r w:rsidR="00AA230E">
        <w:rPr>
          <w:rFonts w:ascii="Arial" w:eastAsia="Times New Roman" w:hAnsi="Arial" w:cs="Arial"/>
          <w:sz w:val="28"/>
          <w:szCs w:val="28"/>
          <w:lang w:eastAsia="es-MX"/>
        </w:rPr>
        <w:t>quien</w:t>
      </w:r>
      <w:r w:rsidRPr="00FD2527">
        <w:rPr>
          <w:rFonts w:ascii="Arial" w:eastAsia="Times New Roman" w:hAnsi="Arial" w:cs="Arial"/>
          <w:sz w:val="28"/>
          <w:szCs w:val="28"/>
          <w:lang w:eastAsia="es-MX"/>
        </w:rPr>
        <w:t xml:space="preserve"> debe realizar el ejercicio a partir del corte del padrón electoral al mes de julio del año anterior</w:t>
      </w:r>
      <w:r w:rsidRPr="00FD2527">
        <w:rPr>
          <w:rFonts w:ascii="Arial" w:eastAsia="Times New Roman" w:hAnsi="Arial" w:cs="Arial"/>
          <w:sz w:val="28"/>
          <w:szCs w:val="28"/>
          <w:vertAlign w:val="superscript"/>
          <w:lang w:eastAsia="es-MX"/>
        </w:rPr>
        <w:footnoteReference w:id="17"/>
      </w:r>
      <w:r w:rsidRPr="00FD2527">
        <w:rPr>
          <w:rFonts w:ascii="Arial" w:eastAsia="Times New Roman" w:hAnsi="Arial" w:cs="Arial"/>
          <w:sz w:val="28"/>
          <w:szCs w:val="28"/>
          <w:lang w:eastAsia="es-MX"/>
        </w:rPr>
        <w:t>.</w:t>
      </w:r>
    </w:p>
    <w:p w:rsidR="00914FCF" w:rsidRPr="00FD2527" w:rsidRDefault="00914FCF"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A la par del financiamiento público, se encuentra el de </w:t>
      </w:r>
      <w:r w:rsidRPr="00FD2527">
        <w:rPr>
          <w:rFonts w:ascii="Arial" w:eastAsia="Times New Roman" w:hAnsi="Arial" w:cs="Arial"/>
          <w:b/>
          <w:sz w:val="28"/>
          <w:szCs w:val="28"/>
          <w:lang w:eastAsia="es-MX"/>
        </w:rPr>
        <w:t>origen privado</w:t>
      </w:r>
      <w:r w:rsidRPr="00FD2527">
        <w:rPr>
          <w:rFonts w:ascii="Arial" w:eastAsia="Times New Roman" w:hAnsi="Arial" w:cs="Arial"/>
          <w:sz w:val="28"/>
          <w:szCs w:val="28"/>
          <w:lang w:eastAsia="es-MX"/>
        </w:rPr>
        <w:t>, consistente en los ingresos que pueden recibir los partidos políticos, proveniente de fuentes ajenas al Estado.</w:t>
      </w:r>
    </w:p>
    <w:p w:rsidR="00914FCF" w:rsidRPr="00FD2527" w:rsidRDefault="00914FCF"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Fue con la reforma constitucional y legal de 1993 cuando se estableció, además de las disposiciones que regulaban el financiamiento público directo a los partidos políticos, normas relativas al financiamiento privado</w:t>
      </w:r>
      <w:r w:rsidRPr="00FD2527">
        <w:rPr>
          <w:rStyle w:val="Refdenotaalpie"/>
          <w:rFonts w:ascii="Arial" w:eastAsia="Times New Roman" w:hAnsi="Arial" w:cs="Arial"/>
          <w:sz w:val="28"/>
          <w:szCs w:val="28"/>
          <w:lang w:eastAsia="es-MX"/>
        </w:rPr>
        <w:footnoteReference w:id="18"/>
      </w:r>
      <w:r w:rsidRPr="00FD2527">
        <w:rPr>
          <w:rFonts w:ascii="Arial" w:eastAsia="Times New Roman" w:hAnsi="Arial" w:cs="Arial"/>
          <w:sz w:val="28"/>
          <w:szCs w:val="28"/>
          <w:lang w:eastAsia="es-MX"/>
        </w:rPr>
        <w:t xml:space="preserve">. </w:t>
      </w:r>
    </w:p>
    <w:p w:rsidR="00914FCF" w:rsidRPr="00FD2527" w:rsidRDefault="00914FCF"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En el caso de los partidos políticos, este tipo de financiamiento se configura de la siguiente manera</w:t>
      </w:r>
      <w:r w:rsidRPr="00FD2527">
        <w:rPr>
          <w:rStyle w:val="Refdenotaalpie"/>
          <w:rFonts w:ascii="Arial" w:eastAsia="Times New Roman" w:hAnsi="Arial" w:cs="Arial"/>
          <w:sz w:val="28"/>
          <w:szCs w:val="28"/>
          <w:lang w:eastAsia="es-MX"/>
        </w:rPr>
        <w:footnoteReference w:id="19"/>
      </w:r>
      <w:r w:rsidRPr="00FD2527">
        <w:rPr>
          <w:rFonts w:ascii="Arial" w:eastAsia="Times New Roman" w:hAnsi="Arial" w:cs="Arial"/>
          <w:sz w:val="28"/>
          <w:szCs w:val="28"/>
          <w:lang w:eastAsia="es-MX"/>
        </w:rPr>
        <w:t>:</w:t>
      </w:r>
    </w:p>
    <w:p w:rsidR="00914FCF" w:rsidRPr="00FD2527" w:rsidRDefault="00914FCF" w:rsidP="006F0439">
      <w:pPr>
        <w:pStyle w:val="Prrafodelista"/>
        <w:numPr>
          <w:ilvl w:val="0"/>
          <w:numId w:val="6"/>
        </w:numPr>
        <w:shd w:val="clear" w:color="auto" w:fill="FFFFFF"/>
        <w:spacing w:before="120" w:after="120" w:line="360" w:lineRule="auto"/>
        <w:ind w:left="709"/>
        <w:jc w:val="both"/>
        <w:rPr>
          <w:rFonts w:ascii="Arial" w:eastAsia="Times New Roman" w:hAnsi="Arial" w:cs="Arial"/>
          <w:sz w:val="28"/>
          <w:szCs w:val="28"/>
          <w:lang w:eastAsia="es-MX"/>
        </w:rPr>
      </w:pPr>
      <w:r w:rsidRPr="00FD2527">
        <w:rPr>
          <w:rFonts w:ascii="Arial" w:eastAsia="Times New Roman" w:hAnsi="Arial" w:cs="Arial"/>
          <w:sz w:val="28"/>
          <w:szCs w:val="28"/>
          <w:u w:val="single"/>
          <w:lang w:eastAsia="es-MX"/>
        </w:rPr>
        <w:t>Financiamiento por la militancia</w:t>
      </w:r>
      <w:r w:rsidRPr="00FD2527">
        <w:rPr>
          <w:rFonts w:ascii="Arial" w:eastAsia="Times New Roman" w:hAnsi="Arial" w:cs="Arial"/>
          <w:sz w:val="28"/>
          <w:szCs w:val="28"/>
          <w:lang w:eastAsia="es-MX"/>
        </w:rPr>
        <w:t>:</w:t>
      </w:r>
      <w:r w:rsidRPr="00FD2527">
        <w:rPr>
          <w:rFonts w:ascii="Times New Roman" w:eastAsia="Times New Roman" w:hAnsi="Times New Roman" w:cs="Times New Roman"/>
          <w:sz w:val="20"/>
          <w:szCs w:val="24"/>
          <w:lang w:eastAsia="es-ES"/>
        </w:rPr>
        <w:t xml:space="preserve"> </w:t>
      </w:r>
      <w:r w:rsidRPr="00FD2527">
        <w:rPr>
          <w:rFonts w:ascii="Arial" w:eastAsia="Times New Roman" w:hAnsi="Arial" w:cs="Arial"/>
          <w:sz w:val="28"/>
          <w:szCs w:val="28"/>
          <w:lang w:eastAsia="es-MX"/>
        </w:rPr>
        <w:t>Las aportaciones o cuotas individuales y obligatorias, ordinarias y extraordinarias, en dinero o en especie, que reciban los partidos políticos de sus militantes.</w:t>
      </w:r>
    </w:p>
    <w:p w:rsidR="00914FCF" w:rsidRPr="00FD2527" w:rsidRDefault="00914FCF" w:rsidP="006F0439">
      <w:pPr>
        <w:pStyle w:val="Prrafodelista"/>
        <w:numPr>
          <w:ilvl w:val="0"/>
          <w:numId w:val="6"/>
        </w:numPr>
        <w:shd w:val="clear" w:color="auto" w:fill="FFFFFF"/>
        <w:spacing w:before="120" w:after="120" w:line="360" w:lineRule="auto"/>
        <w:ind w:left="709"/>
        <w:jc w:val="both"/>
        <w:rPr>
          <w:rFonts w:ascii="Arial" w:eastAsia="Times New Roman" w:hAnsi="Arial" w:cs="Arial"/>
          <w:sz w:val="28"/>
          <w:szCs w:val="28"/>
          <w:lang w:eastAsia="es-MX"/>
        </w:rPr>
      </w:pPr>
      <w:r w:rsidRPr="00FD2527">
        <w:rPr>
          <w:rFonts w:ascii="Arial" w:eastAsia="Times New Roman" w:hAnsi="Arial" w:cs="Arial"/>
          <w:sz w:val="28"/>
          <w:szCs w:val="28"/>
          <w:u w:val="single"/>
          <w:lang w:eastAsia="es-MX"/>
        </w:rPr>
        <w:t>Financiamiento de simpatizantes</w:t>
      </w:r>
      <w:r w:rsidRPr="00FD2527">
        <w:rPr>
          <w:rFonts w:ascii="Arial" w:eastAsia="Times New Roman" w:hAnsi="Arial" w:cs="Arial"/>
          <w:sz w:val="28"/>
          <w:szCs w:val="28"/>
          <w:lang w:eastAsia="es-MX"/>
        </w:rPr>
        <w:t>:</w:t>
      </w:r>
    </w:p>
    <w:p w:rsidR="00914FCF" w:rsidRPr="00FD2527" w:rsidRDefault="00914FCF" w:rsidP="006F0439">
      <w:pPr>
        <w:pStyle w:val="Prrafodelista"/>
        <w:numPr>
          <w:ilvl w:val="1"/>
          <w:numId w:val="6"/>
        </w:numPr>
        <w:shd w:val="clear" w:color="auto" w:fill="FFFFFF"/>
        <w:spacing w:before="120" w:after="120" w:line="360" w:lineRule="auto"/>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Las aportaciones voluntarias y personales, en dinero o en especie, que los precandidatos y candidatos aporten exclusivamente para sus precampañas y campañas; y</w:t>
      </w:r>
    </w:p>
    <w:p w:rsidR="00914FCF" w:rsidRPr="00FD2527" w:rsidRDefault="00914FCF" w:rsidP="006F0439">
      <w:pPr>
        <w:pStyle w:val="Prrafodelista"/>
        <w:numPr>
          <w:ilvl w:val="1"/>
          <w:numId w:val="6"/>
        </w:numPr>
        <w:shd w:val="clear" w:color="auto" w:fill="FFFFFF"/>
        <w:spacing w:before="120" w:after="120" w:line="360" w:lineRule="auto"/>
        <w:jc w:val="both"/>
        <w:rPr>
          <w:rFonts w:ascii="Arial" w:eastAsia="Times New Roman" w:hAnsi="Arial" w:cs="Arial"/>
          <w:sz w:val="28"/>
          <w:szCs w:val="28"/>
          <w:lang w:eastAsia="es-MX"/>
        </w:rPr>
      </w:pPr>
      <w:r w:rsidRPr="00FD2527">
        <w:rPr>
          <w:rFonts w:ascii="Arial" w:eastAsia="Times New Roman" w:hAnsi="Arial" w:cs="Arial"/>
          <w:sz w:val="28"/>
          <w:szCs w:val="28"/>
          <w:lang w:val="es-ES" w:eastAsia="es-MX"/>
        </w:rPr>
        <w:t>Las aportaciones voluntarias y personales que realicen los simpatizantes durante los procesos electorales federales y locales, y</w:t>
      </w:r>
      <w:r w:rsidRPr="00FD2527">
        <w:rPr>
          <w:rFonts w:ascii="Arial" w:eastAsia="Times New Roman" w:hAnsi="Arial" w:cs="Arial"/>
          <w:sz w:val="28"/>
          <w:szCs w:val="28"/>
          <w:lang w:eastAsia="es-MX"/>
        </w:rPr>
        <w:t xml:space="preserve"> </w:t>
      </w:r>
      <w:r w:rsidRPr="00FD2527">
        <w:rPr>
          <w:rFonts w:ascii="Arial" w:eastAsia="Times New Roman" w:hAnsi="Arial" w:cs="Arial"/>
          <w:sz w:val="28"/>
          <w:szCs w:val="28"/>
          <w:lang w:val="es-ES" w:eastAsia="es-MX"/>
        </w:rPr>
        <w:t>estará conformado por las aportaciones o donativos, en dinero o en especie, hechas a los partidos políticos en forma libre y voluntaria por las personas físicas mexicanas con residencia en el país.</w:t>
      </w:r>
    </w:p>
    <w:p w:rsidR="00914FCF" w:rsidRPr="00FD2527" w:rsidRDefault="00914FCF" w:rsidP="006F0439">
      <w:pPr>
        <w:pStyle w:val="Prrafodelista"/>
        <w:numPr>
          <w:ilvl w:val="1"/>
          <w:numId w:val="6"/>
        </w:numPr>
        <w:shd w:val="clear" w:color="auto" w:fill="FFFFFF"/>
        <w:spacing w:before="120" w:after="120" w:line="360" w:lineRule="auto"/>
        <w:jc w:val="both"/>
        <w:rPr>
          <w:rFonts w:ascii="Arial" w:eastAsia="Times New Roman" w:hAnsi="Arial" w:cs="Arial"/>
          <w:sz w:val="28"/>
          <w:szCs w:val="28"/>
          <w:lang w:eastAsia="es-MX"/>
        </w:rPr>
      </w:pPr>
      <w:r w:rsidRPr="00FD2527">
        <w:rPr>
          <w:rFonts w:ascii="Arial" w:eastAsia="Times New Roman" w:hAnsi="Arial" w:cs="Arial"/>
          <w:sz w:val="28"/>
          <w:szCs w:val="28"/>
          <w:lang w:val="es-ES" w:eastAsia="es-MX"/>
        </w:rPr>
        <w:t>Las aportaciones voluntarias y personales que realicen los simpatizantes fuera de proceso electoral</w:t>
      </w:r>
      <w:r w:rsidRPr="00FD2527">
        <w:rPr>
          <w:rStyle w:val="Refdenotaalpie"/>
          <w:rFonts w:ascii="Arial" w:eastAsia="Times New Roman" w:hAnsi="Arial" w:cs="Arial"/>
          <w:sz w:val="28"/>
          <w:szCs w:val="28"/>
          <w:lang w:val="es-ES" w:eastAsia="es-MX"/>
        </w:rPr>
        <w:footnoteReference w:id="20"/>
      </w:r>
      <w:r w:rsidRPr="00FD2527">
        <w:rPr>
          <w:rFonts w:ascii="Arial" w:eastAsia="Times New Roman" w:hAnsi="Arial" w:cs="Arial"/>
          <w:sz w:val="28"/>
          <w:szCs w:val="28"/>
          <w:lang w:val="es-ES" w:eastAsia="es-MX"/>
        </w:rPr>
        <w:t>.</w:t>
      </w:r>
    </w:p>
    <w:p w:rsidR="00914FCF" w:rsidRPr="00FD2527" w:rsidRDefault="00914FCF" w:rsidP="006F0439">
      <w:pPr>
        <w:pStyle w:val="Prrafodelista"/>
        <w:numPr>
          <w:ilvl w:val="0"/>
          <w:numId w:val="6"/>
        </w:numPr>
        <w:shd w:val="clear" w:color="auto" w:fill="FFFFFF"/>
        <w:spacing w:before="120" w:after="120" w:line="360" w:lineRule="auto"/>
        <w:ind w:left="709"/>
        <w:jc w:val="both"/>
        <w:rPr>
          <w:rFonts w:ascii="Arial" w:eastAsia="Times New Roman" w:hAnsi="Arial" w:cs="Arial"/>
          <w:sz w:val="28"/>
          <w:szCs w:val="28"/>
          <w:lang w:eastAsia="es-MX"/>
        </w:rPr>
      </w:pPr>
      <w:r w:rsidRPr="00FD2527">
        <w:rPr>
          <w:rFonts w:ascii="Arial" w:eastAsia="Times New Roman" w:hAnsi="Arial" w:cs="Arial"/>
          <w:sz w:val="28"/>
          <w:szCs w:val="28"/>
          <w:u w:val="single"/>
          <w:lang w:eastAsia="es-MX"/>
        </w:rPr>
        <w:t>Autofinanciamiento</w:t>
      </w:r>
      <w:r w:rsidRPr="00FD2527">
        <w:rPr>
          <w:rStyle w:val="Refdenotaalpie"/>
          <w:rFonts w:ascii="Arial" w:eastAsia="Times New Roman" w:hAnsi="Arial" w:cs="Arial"/>
          <w:sz w:val="28"/>
          <w:szCs w:val="28"/>
          <w:lang w:eastAsia="es-MX"/>
        </w:rPr>
        <w:footnoteReference w:id="21"/>
      </w:r>
      <w:r w:rsidRPr="00FD2527">
        <w:rPr>
          <w:rFonts w:ascii="Arial" w:eastAsia="Times New Roman" w:hAnsi="Arial" w:cs="Arial"/>
          <w:sz w:val="28"/>
          <w:szCs w:val="28"/>
          <w:lang w:eastAsia="es-MX"/>
        </w:rPr>
        <w:t>. Ingresos obtenidos de sus actividades promocionales, tales como conferencias, espectáculos, rifas y sorteos, eventos culturales, ventas editoriales, de bienes y propaganda utilitaria, así como cualquier otro similar que realicen para allegarse de fondos.</w:t>
      </w:r>
    </w:p>
    <w:p w:rsidR="00914FCF" w:rsidRPr="00FD2527" w:rsidRDefault="00914FCF" w:rsidP="006F0439">
      <w:pPr>
        <w:pStyle w:val="Prrafodelista"/>
        <w:numPr>
          <w:ilvl w:val="0"/>
          <w:numId w:val="6"/>
        </w:numPr>
        <w:shd w:val="clear" w:color="auto" w:fill="FFFFFF"/>
        <w:spacing w:before="120" w:after="120" w:line="360" w:lineRule="auto"/>
        <w:ind w:left="709"/>
        <w:jc w:val="both"/>
        <w:rPr>
          <w:rFonts w:ascii="Arial" w:eastAsia="Times New Roman" w:hAnsi="Arial" w:cs="Arial"/>
          <w:sz w:val="27"/>
          <w:szCs w:val="27"/>
          <w:lang w:eastAsia="es-MX"/>
        </w:rPr>
      </w:pPr>
      <w:r w:rsidRPr="00FD2527">
        <w:rPr>
          <w:rFonts w:ascii="Arial" w:eastAsia="Times New Roman" w:hAnsi="Arial" w:cs="Arial"/>
          <w:sz w:val="27"/>
          <w:szCs w:val="27"/>
          <w:u w:val="single"/>
          <w:lang w:eastAsia="es-MX"/>
        </w:rPr>
        <w:t>Financiamiento por rendimientos financieros, fondos y fideicomisos</w:t>
      </w:r>
      <w:r w:rsidRPr="00FD2527">
        <w:rPr>
          <w:rStyle w:val="Refdenotaalpie"/>
          <w:rFonts w:ascii="Arial" w:eastAsia="Times New Roman" w:hAnsi="Arial" w:cs="Arial"/>
          <w:sz w:val="27"/>
          <w:szCs w:val="27"/>
          <w:lang w:eastAsia="es-MX"/>
        </w:rPr>
        <w:footnoteReference w:id="22"/>
      </w:r>
      <w:r w:rsidRPr="00FD2527">
        <w:rPr>
          <w:rFonts w:ascii="Arial" w:eastAsia="Times New Roman" w:hAnsi="Arial" w:cs="Arial"/>
          <w:sz w:val="27"/>
          <w:szCs w:val="27"/>
          <w:lang w:eastAsia="es-MX"/>
        </w:rPr>
        <w:t>. Intereses obtenidos por las operaciones bancarias, financieras, fondos o fideicomisos.</w:t>
      </w:r>
    </w:p>
    <w:p w:rsidR="00354D99" w:rsidRPr="00FD2527" w:rsidRDefault="00354D99"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Estas vías de financiamiento tienen a su vez límites legales específicos, que se materializan a través del Acuerdo aprobado por el Consejo General, para cada ejercicio anual</w:t>
      </w:r>
      <w:r w:rsidR="004E5BDC" w:rsidRPr="00FD2527">
        <w:rPr>
          <w:rFonts w:ascii="Arial" w:eastAsia="Times New Roman" w:hAnsi="Arial" w:cs="Arial"/>
          <w:sz w:val="28"/>
          <w:szCs w:val="28"/>
          <w:lang w:eastAsia="es-MX"/>
        </w:rPr>
        <w:t xml:space="preserve">, los que se establecen conforme al artículo 56, numeral 2, de la </w:t>
      </w:r>
      <w:r w:rsidR="00AA230E" w:rsidRPr="00AA230E">
        <w:rPr>
          <w:rFonts w:ascii="Arial" w:eastAsia="Times New Roman" w:hAnsi="Arial" w:cs="Arial"/>
          <w:sz w:val="28"/>
          <w:szCs w:val="28"/>
          <w:lang w:eastAsia="es-MX"/>
        </w:rPr>
        <w:t>Ley de Partidos</w:t>
      </w:r>
      <w:r w:rsidRPr="00FD2527">
        <w:rPr>
          <w:rFonts w:ascii="Arial" w:eastAsia="Times New Roman" w:hAnsi="Arial" w:cs="Arial"/>
          <w:sz w:val="28"/>
          <w:szCs w:val="28"/>
          <w:lang w:eastAsia="es-MX"/>
        </w:rPr>
        <w:t>.</w:t>
      </w:r>
    </w:p>
    <w:p w:rsidR="0001714A" w:rsidRPr="00FD2527" w:rsidRDefault="001E4587" w:rsidP="00914FCF">
      <w:pPr>
        <w:shd w:val="clear" w:color="auto" w:fill="FFFFFF"/>
        <w:spacing w:before="360" w:after="360" w:line="360" w:lineRule="auto"/>
        <w:ind w:firstLine="1418"/>
        <w:jc w:val="both"/>
        <w:rPr>
          <w:rFonts w:ascii="Arial" w:eastAsia="Times New Roman" w:hAnsi="Arial" w:cs="Arial"/>
          <w:sz w:val="28"/>
          <w:szCs w:val="28"/>
          <w:lang w:eastAsia="es-MX"/>
        </w:rPr>
      </w:pPr>
      <w:r>
        <w:rPr>
          <w:rFonts w:ascii="Arial" w:eastAsia="Times New Roman" w:hAnsi="Arial" w:cs="Arial"/>
          <w:sz w:val="28"/>
          <w:szCs w:val="28"/>
          <w:lang w:eastAsia="es-MX"/>
        </w:rPr>
        <w:t>E</w:t>
      </w:r>
      <w:r w:rsidR="00E10FCF" w:rsidRPr="00FD2527">
        <w:rPr>
          <w:rFonts w:ascii="Arial" w:eastAsia="Times New Roman" w:hAnsi="Arial" w:cs="Arial"/>
          <w:sz w:val="28"/>
          <w:szCs w:val="28"/>
          <w:lang w:eastAsia="es-MX"/>
        </w:rPr>
        <w:t>xisten dos tipos de límites</w:t>
      </w:r>
      <w:r w:rsidR="0001714A" w:rsidRPr="00FD2527">
        <w:rPr>
          <w:rFonts w:ascii="Arial" w:eastAsia="Times New Roman" w:hAnsi="Arial" w:cs="Arial"/>
          <w:sz w:val="28"/>
          <w:szCs w:val="28"/>
          <w:lang w:eastAsia="es-MX"/>
        </w:rPr>
        <w:t xml:space="preserve">, respecto a la temporalidad en que se </w:t>
      </w:r>
      <w:r w:rsidR="00993CBD" w:rsidRPr="00FD2527">
        <w:rPr>
          <w:rFonts w:ascii="Arial" w:eastAsia="Times New Roman" w:hAnsi="Arial" w:cs="Arial"/>
          <w:sz w:val="28"/>
          <w:szCs w:val="28"/>
          <w:lang w:eastAsia="es-MX"/>
        </w:rPr>
        <w:t>pueden recibir las aportaciones</w:t>
      </w:r>
      <w:r w:rsidR="0001714A" w:rsidRPr="00FD2527">
        <w:rPr>
          <w:rFonts w:ascii="Arial" w:eastAsia="Times New Roman" w:hAnsi="Arial" w:cs="Arial"/>
          <w:sz w:val="28"/>
          <w:szCs w:val="28"/>
          <w:lang w:eastAsia="es-MX"/>
        </w:rPr>
        <w:t>:</w:t>
      </w:r>
    </w:p>
    <w:p w:rsidR="0001714A" w:rsidRPr="00FD2527" w:rsidRDefault="0001714A" w:rsidP="006F0439">
      <w:pPr>
        <w:pStyle w:val="Prrafodelista"/>
        <w:numPr>
          <w:ilvl w:val="0"/>
          <w:numId w:val="14"/>
        </w:numPr>
        <w:shd w:val="clear" w:color="auto" w:fill="FFFFFF"/>
        <w:spacing w:before="360" w:after="360" w:line="360" w:lineRule="auto"/>
        <w:ind w:left="567"/>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Anuales:</w:t>
      </w:r>
    </w:p>
    <w:p w:rsidR="0001714A" w:rsidRPr="00FD2527" w:rsidRDefault="0001714A" w:rsidP="006F0439">
      <w:pPr>
        <w:pStyle w:val="Prrafodelista"/>
        <w:numPr>
          <w:ilvl w:val="1"/>
          <w:numId w:val="14"/>
        </w:numPr>
        <w:shd w:val="clear" w:color="auto" w:fill="FFFFFF"/>
        <w:spacing w:before="360" w:after="360" w:line="360" w:lineRule="auto"/>
        <w:ind w:left="851"/>
        <w:jc w:val="both"/>
        <w:rPr>
          <w:rFonts w:ascii="Arial" w:eastAsia="Times New Roman" w:hAnsi="Arial" w:cs="Arial"/>
          <w:sz w:val="28"/>
          <w:szCs w:val="28"/>
          <w:lang w:eastAsia="es-MX"/>
        </w:rPr>
      </w:pPr>
      <w:r w:rsidRPr="00FD2527">
        <w:rPr>
          <w:rFonts w:ascii="Arial" w:eastAsia="Times New Roman" w:hAnsi="Arial" w:cs="Arial"/>
          <w:sz w:val="28"/>
          <w:szCs w:val="28"/>
          <w:u w:val="single"/>
          <w:lang w:eastAsia="es-MX"/>
        </w:rPr>
        <w:t>De militantes</w:t>
      </w:r>
      <w:r w:rsidRPr="00FD2527">
        <w:rPr>
          <w:rFonts w:ascii="Arial" w:eastAsia="Times New Roman" w:hAnsi="Arial" w:cs="Arial"/>
          <w:sz w:val="28"/>
          <w:szCs w:val="28"/>
          <w:lang w:eastAsia="es-MX"/>
        </w:rPr>
        <w:t>: equivalente al dos por ciento del financiamiento público otorgado a la totalidad de los partidos políticos para el sostenimiento de sus actividades ordinarias en el año de que se trate.</w:t>
      </w:r>
    </w:p>
    <w:p w:rsidR="0001714A" w:rsidRPr="00FD2527" w:rsidRDefault="0001714A" w:rsidP="006F0439">
      <w:pPr>
        <w:pStyle w:val="Prrafodelista"/>
        <w:numPr>
          <w:ilvl w:val="1"/>
          <w:numId w:val="14"/>
        </w:numPr>
        <w:shd w:val="clear" w:color="auto" w:fill="FFFFFF"/>
        <w:spacing w:before="360" w:after="360" w:line="360" w:lineRule="auto"/>
        <w:ind w:left="851"/>
        <w:jc w:val="both"/>
        <w:rPr>
          <w:rFonts w:ascii="Arial" w:eastAsia="Times New Roman" w:hAnsi="Arial" w:cs="Arial"/>
          <w:sz w:val="28"/>
          <w:szCs w:val="28"/>
          <w:lang w:eastAsia="es-MX"/>
        </w:rPr>
      </w:pPr>
      <w:r w:rsidRPr="00FD2527">
        <w:rPr>
          <w:rFonts w:ascii="Arial" w:eastAsia="Times New Roman" w:hAnsi="Arial" w:cs="Arial"/>
          <w:sz w:val="28"/>
          <w:szCs w:val="28"/>
          <w:u w:val="single"/>
          <w:lang w:eastAsia="es-MX"/>
        </w:rPr>
        <w:t>De simpatizantes</w:t>
      </w:r>
      <w:r w:rsidRPr="00FD2527">
        <w:rPr>
          <w:rFonts w:ascii="Arial" w:eastAsia="Times New Roman" w:hAnsi="Arial" w:cs="Arial"/>
          <w:sz w:val="28"/>
          <w:szCs w:val="28"/>
          <w:lang w:eastAsia="es-MX"/>
        </w:rPr>
        <w:t xml:space="preserve">: </w:t>
      </w:r>
      <w:r w:rsidRPr="00FD2527">
        <w:rPr>
          <w:rFonts w:ascii="Arial" w:eastAsia="Times New Roman" w:hAnsi="Arial" w:cs="Arial"/>
          <w:sz w:val="28"/>
          <w:szCs w:val="28"/>
          <w:lang w:val="es-MX" w:eastAsia="es-MX"/>
        </w:rPr>
        <w:t>diez por ciento del tope de gasto de campaña para la elección presidencial inmediata anterior.</w:t>
      </w:r>
    </w:p>
    <w:p w:rsidR="0001714A" w:rsidRPr="00FD2527" w:rsidRDefault="00993CBD" w:rsidP="006F0439">
      <w:pPr>
        <w:pStyle w:val="Prrafodelista"/>
        <w:numPr>
          <w:ilvl w:val="0"/>
          <w:numId w:val="14"/>
        </w:numPr>
        <w:shd w:val="clear" w:color="auto" w:fill="FFFFFF"/>
        <w:spacing w:before="360" w:after="360" w:line="360" w:lineRule="auto"/>
        <w:ind w:left="567"/>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Durante proceso electoral</w:t>
      </w:r>
      <w:r w:rsidR="0001714A" w:rsidRPr="00FD2527">
        <w:rPr>
          <w:rFonts w:ascii="Arial" w:eastAsia="Times New Roman" w:hAnsi="Arial" w:cs="Arial"/>
          <w:sz w:val="28"/>
          <w:szCs w:val="28"/>
          <w:lang w:eastAsia="es-MX"/>
        </w:rPr>
        <w:t xml:space="preserve">: </w:t>
      </w:r>
    </w:p>
    <w:p w:rsidR="00A55399" w:rsidRPr="00FD2527" w:rsidRDefault="00A55399" w:rsidP="006F0439">
      <w:pPr>
        <w:pStyle w:val="Prrafodelista"/>
        <w:numPr>
          <w:ilvl w:val="1"/>
          <w:numId w:val="14"/>
        </w:numPr>
        <w:shd w:val="clear" w:color="auto" w:fill="FFFFFF"/>
        <w:spacing w:before="360" w:after="360" w:line="360" w:lineRule="auto"/>
        <w:ind w:left="851"/>
        <w:jc w:val="both"/>
        <w:rPr>
          <w:rFonts w:ascii="Arial" w:eastAsia="Times New Roman" w:hAnsi="Arial" w:cs="Arial"/>
          <w:sz w:val="28"/>
          <w:szCs w:val="28"/>
          <w:lang w:eastAsia="es-MX"/>
        </w:rPr>
      </w:pPr>
      <w:r w:rsidRPr="00FD2527">
        <w:rPr>
          <w:rFonts w:ascii="Arial" w:eastAsia="Times New Roman" w:hAnsi="Arial" w:cs="Arial"/>
          <w:sz w:val="28"/>
          <w:szCs w:val="28"/>
          <w:u w:val="single"/>
          <w:lang w:eastAsia="es-MX"/>
        </w:rPr>
        <w:t>De precandidatos y candidatos</w:t>
      </w:r>
      <w:r w:rsidRPr="00FD2527">
        <w:rPr>
          <w:rFonts w:ascii="Arial" w:eastAsia="Times New Roman" w:hAnsi="Arial" w:cs="Arial"/>
          <w:sz w:val="28"/>
          <w:szCs w:val="28"/>
          <w:lang w:eastAsia="es-MX"/>
        </w:rPr>
        <w:t xml:space="preserve">: </w:t>
      </w:r>
      <w:r w:rsidRPr="00FD2527">
        <w:rPr>
          <w:rFonts w:ascii="Arial" w:eastAsia="Times New Roman" w:hAnsi="Arial" w:cs="Arial"/>
          <w:sz w:val="28"/>
          <w:szCs w:val="28"/>
          <w:lang w:val="es-MX" w:eastAsia="es-MX"/>
        </w:rPr>
        <w:t>diez por ciento del tope de gasto de campaña para la elección presidencial inmediata anterior.</w:t>
      </w:r>
    </w:p>
    <w:p w:rsidR="000333A9" w:rsidRPr="00FD2527" w:rsidRDefault="008B24C0"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Por su parte, a fin de </w:t>
      </w:r>
      <w:r w:rsidR="00CD179B" w:rsidRPr="00FD2527">
        <w:rPr>
          <w:rFonts w:ascii="Arial" w:eastAsia="Times New Roman" w:hAnsi="Arial" w:cs="Arial"/>
          <w:sz w:val="28"/>
          <w:szCs w:val="28"/>
          <w:lang w:eastAsia="es-MX"/>
        </w:rPr>
        <w:t>ejercer</w:t>
      </w:r>
      <w:r w:rsidRPr="00FD2527">
        <w:rPr>
          <w:rFonts w:ascii="Arial" w:eastAsia="Times New Roman" w:hAnsi="Arial" w:cs="Arial"/>
          <w:sz w:val="28"/>
          <w:szCs w:val="28"/>
          <w:lang w:eastAsia="es-MX"/>
        </w:rPr>
        <w:t xml:space="preserve"> control </w:t>
      </w:r>
      <w:r w:rsidR="00CD179B" w:rsidRPr="00FD2527">
        <w:rPr>
          <w:rFonts w:ascii="Arial" w:eastAsia="Times New Roman" w:hAnsi="Arial" w:cs="Arial"/>
          <w:sz w:val="28"/>
          <w:szCs w:val="28"/>
          <w:lang w:eastAsia="es-MX"/>
        </w:rPr>
        <w:t xml:space="preserve">y restringir </w:t>
      </w:r>
      <w:r w:rsidRPr="00FD2527">
        <w:rPr>
          <w:rFonts w:ascii="Arial" w:eastAsia="Times New Roman" w:hAnsi="Arial" w:cs="Arial"/>
          <w:sz w:val="28"/>
          <w:szCs w:val="28"/>
          <w:lang w:eastAsia="es-MX"/>
        </w:rPr>
        <w:t xml:space="preserve">la injerencia de los actores </w:t>
      </w:r>
      <w:r w:rsidR="00CD179B" w:rsidRPr="00FD2527">
        <w:rPr>
          <w:rFonts w:ascii="Arial" w:eastAsia="Times New Roman" w:hAnsi="Arial" w:cs="Arial"/>
          <w:sz w:val="28"/>
          <w:szCs w:val="28"/>
          <w:lang w:eastAsia="es-MX"/>
        </w:rPr>
        <w:t xml:space="preserve">privados en las decisiones o acciones de los partidos políticos o candidatos, dicha Ley determina un límite individual anualizado para las aportaciones de los simpatizantes, con lo que se garantiza que ninguna persona física pueda aportar a los actores políticos más del punto cinco por ciento del límite anual </w:t>
      </w:r>
      <w:r w:rsidR="00C75563" w:rsidRPr="00FD2527">
        <w:rPr>
          <w:rFonts w:ascii="Arial" w:eastAsia="Times New Roman" w:hAnsi="Arial" w:cs="Arial"/>
          <w:sz w:val="28"/>
          <w:szCs w:val="28"/>
          <w:lang w:eastAsia="es-MX"/>
        </w:rPr>
        <w:t>establecido para las</w:t>
      </w:r>
      <w:r w:rsidR="00CD179B" w:rsidRPr="00FD2527">
        <w:rPr>
          <w:rFonts w:ascii="Arial" w:eastAsia="Times New Roman" w:hAnsi="Arial" w:cs="Arial"/>
          <w:sz w:val="28"/>
          <w:szCs w:val="28"/>
          <w:lang w:eastAsia="es-MX"/>
        </w:rPr>
        <w:t xml:space="preserve"> aportaciones de simpatizantes</w:t>
      </w:r>
      <w:r w:rsidR="00C75563" w:rsidRPr="00FD2527">
        <w:rPr>
          <w:rFonts w:ascii="Arial" w:eastAsia="Times New Roman" w:hAnsi="Arial" w:cs="Arial"/>
          <w:sz w:val="28"/>
          <w:szCs w:val="28"/>
          <w:lang w:eastAsia="es-MX"/>
        </w:rPr>
        <w:t>.</w:t>
      </w:r>
    </w:p>
    <w:p w:rsidR="00691BA0" w:rsidRPr="00FD2527" w:rsidRDefault="00691BA0"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Por cuanto a las otras modalidades de financiamiento privado, la norma no establece límites espec</w:t>
      </w:r>
      <w:r w:rsidR="00BA1F73" w:rsidRPr="00FD2527">
        <w:rPr>
          <w:rFonts w:ascii="Arial" w:eastAsia="Times New Roman" w:hAnsi="Arial" w:cs="Arial"/>
          <w:sz w:val="28"/>
          <w:szCs w:val="28"/>
          <w:lang w:eastAsia="es-MX"/>
        </w:rPr>
        <w:t>íficos.</w:t>
      </w:r>
    </w:p>
    <w:p w:rsidR="00391405" w:rsidRPr="00FD2527" w:rsidRDefault="004D1E59" w:rsidP="00391405">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Finalmente, otra medida de control implementada desde la Constitución para los partidos políticos consiste en que los recur</w:t>
      </w:r>
      <w:r w:rsidR="00BF4231" w:rsidRPr="00FD2527">
        <w:rPr>
          <w:rFonts w:ascii="Arial" w:eastAsia="Times New Roman" w:hAnsi="Arial" w:cs="Arial"/>
          <w:sz w:val="28"/>
          <w:szCs w:val="28"/>
          <w:lang w:eastAsia="es-MX"/>
        </w:rPr>
        <w:t xml:space="preserve">sos públicos deben siempre ser mayores que los privados, lo que se conoce como </w:t>
      </w:r>
      <w:r w:rsidR="00914FCF" w:rsidRPr="00FD2527">
        <w:rPr>
          <w:rFonts w:ascii="Arial" w:eastAsia="Times New Roman" w:hAnsi="Arial" w:cs="Arial"/>
          <w:b/>
          <w:sz w:val="28"/>
          <w:szCs w:val="28"/>
          <w:lang w:eastAsia="es-MX"/>
        </w:rPr>
        <w:t>principio de prevalencia</w:t>
      </w:r>
      <w:r w:rsidR="00391405" w:rsidRPr="00FD2527">
        <w:rPr>
          <w:rFonts w:ascii="Arial" w:eastAsia="Times New Roman" w:hAnsi="Arial" w:cs="Arial"/>
          <w:sz w:val="28"/>
          <w:szCs w:val="28"/>
          <w:lang w:eastAsia="es-MX"/>
        </w:rPr>
        <w:t>, también conocido como de preeminencia.</w:t>
      </w:r>
    </w:p>
    <w:p w:rsidR="00391405" w:rsidRPr="00FD2527" w:rsidRDefault="00391405" w:rsidP="00391405">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La Suprema Corte de Justicia de la Nación ha sostenido que la razón fundamental de establecer la tal principio se sustenta en la preocupación social de que intereses ilegales o ilegítimos, a través del dinero, puedan influir en la vida de los partidos y en el curso de las campañas electorales</w:t>
      </w:r>
      <w:r w:rsidRPr="00FD2527">
        <w:rPr>
          <w:rStyle w:val="Refdenotaalpie"/>
          <w:rFonts w:ascii="Arial" w:eastAsia="Times New Roman" w:hAnsi="Arial" w:cs="Arial"/>
          <w:sz w:val="28"/>
          <w:szCs w:val="28"/>
          <w:lang w:eastAsia="es-MX"/>
        </w:rPr>
        <w:footnoteReference w:id="23"/>
      </w:r>
      <w:r w:rsidRPr="00FD2527">
        <w:rPr>
          <w:rFonts w:ascii="Arial" w:eastAsia="Times New Roman" w:hAnsi="Arial" w:cs="Arial"/>
          <w:sz w:val="28"/>
          <w:szCs w:val="28"/>
          <w:lang w:eastAsia="es-MX"/>
        </w:rPr>
        <w:t>.</w:t>
      </w:r>
    </w:p>
    <w:p w:rsidR="00914FCF" w:rsidRPr="00FD2527" w:rsidRDefault="007E42E8" w:rsidP="00391405">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Cabe mencionar que, al corresponder el financiamiento a una competencia mixta, los Organismos Públicos Locales Electorales son quienes fijan </w:t>
      </w:r>
      <w:r w:rsidR="00691BA0" w:rsidRPr="00FD2527">
        <w:rPr>
          <w:rFonts w:ascii="Arial" w:eastAsia="Times New Roman" w:hAnsi="Arial" w:cs="Arial"/>
          <w:sz w:val="28"/>
          <w:szCs w:val="28"/>
          <w:lang w:eastAsia="es-MX"/>
        </w:rPr>
        <w:t xml:space="preserve">los montos, tanto de financiamiento público, como los límites </w:t>
      </w:r>
      <w:r w:rsidR="00C06B1D" w:rsidRPr="00FD2527">
        <w:rPr>
          <w:rFonts w:ascii="Arial" w:eastAsia="Times New Roman" w:hAnsi="Arial" w:cs="Arial"/>
          <w:sz w:val="28"/>
          <w:szCs w:val="28"/>
          <w:lang w:eastAsia="es-MX"/>
        </w:rPr>
        <w:t>del privado, los cuales se encuentran incluidos en las prerrogativas de los partidos políticos</w:t>
      </w:r>
      <w:r w:rsidR="00DA044C" w:rsidRPr="00FD2527">
        <w:rPr>
          <w:rStyle w:val="Refdenotaalpie"/>
          <w:rFonts w:ascii="Arial" w:eastAsia="Times New Roman" w:hAnsi="Arial" w:cs="Arial"/>
          <w:sz w:val="28"/>
          <w:szCs w:val="28"/>
          <w:lang w:eastAsia="es-MX"/>
        </w:rPr>
        <w:footnoteReference w:id="24"/>
      </w:r>
      <w:r w:rsidR="00C06B1D" w:rsidRPr="00FD2527">
        <w:rPr>
          <w:rFonts w:ascii="Arial" w:eastAsia="Times New Roman" w:hAnsi="Arial" w:cs="Arial"/>
          <w:sz w:val="28"/>
          <w:szCs w:val="28"/>
          <w:lang w:eastAsia="es-MX"/>
        </w:rPr>
        <w:t>.</w:t>
      </w:r>
    </w:p>
    <w:p w:rsidR="00914FCF" w:rsidRPr="00FD2527" w:rsidRDefault="0023410E"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hAnsi="Arial" w:cs="Arial"/>
          <w:b/>
          <w:sz w:val="28"/>
          <w:szCs w:val="28"/>
        </w:rPr>
        <w:t>5.5</w:t>
      </w:r>
      <w:r w:rsidR="009D686D" w:rsidRPr="00FD2527">
        <w:rPr>
          <w:rFonts w:ascii="Arial" w:hAnsi="Arial" w:cs="Arial"/>
          <w:b/>
          <w:sz w:val="28"/>
          <w:szCs w:val="28"/>
        </w:rPr>
        <w:t xml:space="preserve">.3. </w:t>
      </w:r>
      <w:r w:rsidR="00DA472E" w:rsidRPr="00FD2527">
        <w:rPr>
          <w:rFonts w:ascii="Arial" w:eastAsia="Times New Roman" w:hAnsi="Arial" w:cs="Arial"/>
          <w:b/>
          <w:sz w:val="28"/>
          <w:szCs w:val="28"/>
          <w:lang w:eastAsia="es-MX"/>
        </w:rPr>
        <w:t xml:space="preserve">Financiamiento </w:t>
      </w:r>
      <w:r w:rsidR="00153F3E" w:rsidRPr="00FD2527">
        <w:rPr>
          <w:rFonts w:ascii="Arial" w:eastAsia="Times New Roman" w:hAnsi="Arial" w:cs="Arial"/>
          <w:b/>
          <w:sz w:val="28"/>
          <w:szCs w:val="28"/>
          <w:lang w:eastAsia="es-MX"/>
        </w:rPr>
        <w:t>de candidaturas independientes</w:t>
      </w:r>
      <w:r w:rsidR="00DA472E" w:rsidRPr="00FD2527">
        <w:rPr>
          <w:rFonts w:ascii="Arial" w:eastAsia="Times New Roman" w:hAnsi="Arial" w:cs="Arial"/>
          <w:b/>
          <w:sz w:val="28"/>
          <w:szCs w:val="28"/>
          <w:lang w:eastAsia="es-MX"/>
        </w:rPr>
        <w:t xml:space="preserve">. </w:t>
      </w:r>
      <w:r w:rsidR="00914FCF" w:rsidRPr="00FD2527">
        <w:rPr>
          <w:rFonts w:ascii="Arial" w:eastAsia="Times New Roman" w:hAnsi="Arial" w:cs="Arial"/>
          <w:sz w:val="28"/>
          <w:szCs w:val="28"/>
          <w:lang w:eastAsia="es-MX"/>
        </w:rPr>
        <w:t>Por su parte, a partir de la reforma electoral de 2014, con la inclusión de las candidaturas independientes, se contempló la determinación de financiamiento público para estas figuras el cual, atendiendo a su naturaleza, únicamente puede ser utilizado para los gastos de campaña</w:t>
      </w:r>
      <w:r w:rsidR="00914FCF" w:rsidRPr="00FD2527">
        <w:rPr>
          <w:rStyle w:val="Refdenotaalpie"/>
          <w:rFonts w:ascii="Arial" w:eastAsia="Times New Roman" w:hAnsi="Arial" w:cs="Arial"/>
          <w:sz w:val="28"/>
          <w:szCs w:val="28"/>
          <w:lang w:eastAsia="es-MX"/>
        </w:rPr>
        <w:footnoteReference w:id="25"/>
      </w:r>
      <w:r w:rsidR="00914FCF" w:rsidRPr="00FD2527">
        <w:rPr>
          <w:rFonts w:ascii="Arial" w:eastAsia="Times New Roman" w:hAnsi="Arial" w:cs="Arial"/>
          <w:sz w:val="28"/>
          <w:szCs w:val="28"/>
          <w:lang w:eastAsia="es-MX"/>
        </w:rPr>
        <w:t>.</w:t>
      </w:r>
    </w:p>
    <w:p w:rsidR="00AC19DE" w:rsidRPr="00FD2527" w:rsidRDefault="00AC19DE"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La incorporación de las candidaturas independientes tuvo algunas variantes, respecto del financiamiento que pueden recibir, en relación con los partidos políticos. Por ejemplo, mientras los partidos políticos pueden destinar recursos públicos para los procesos de selección interno</w:t>
      </w:r>
      <w:r w:rsidR="00A41AEF" w:rsidRPr="00FD2527">
        <w:rPr>
          <w:rFonts w:ascii="Arial" w:eastAsia="Times New Roman" w:hAnsi="Arial" w:cs="Arial"/>
          <w:sz w:val="28"/>
          <w:szCs w:val="28"/>
          <w:lang w:eastAsia="es-MX"/>
        </w:rPr>
        <w:t>s, los candidatos independientes no, para su etapa de obtención de apoyo ciudadano</w:t>
      </w:r>
      <w:r w:rsidR="00B03FAD" w:rsidRPr="00FD2527">
        <w:rPr>
          <w:rStyle w:val="Refdenotaalpie"/>
          <w:rFonts w:ascii="Arial" w:eastAsia="Times New Roman" w:hAnsi="Arial" w:cs="Arial"/>
          <w:sz w:val="28"/>
          <w:szCs w:val="28"/>
          <w:lang w:eastAsia="es-MX"/>
        </w:rPr>
        <w:footnoteReference w:id="26"/>
      </w:r>
      <w:r w:rsidR="00A41AEF" w:rsidRPr="00FD2527">
        <w:rPr>
          <w:rFonts w:ascii="Arial" w:eastAsia="Times New Roman" w:hAnsi="Arial" w:cs="Arial"/>
          <w:sz w:val="28"/>
          <w:szCs w:val="28"/>
          <w:lang w:eastAsia="es-MX"/>
        </w:rPr>
        <w:t>.</w:t>
      </w:r>
    </w:p>
    <w:p w:rsidR="00B03FAD" w:rsidRPr="00FD2527" w:rsidRDefault="00B03FAD"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No obstante, en atención al principio de equidad, sí se </w:t>
      </w:r>
      <w:r w:rsidR="00D82E73">
        <w:rPr>
          <w:rFonts w:ascii="Arial" w:eastAsia="Times New Roman" w:hAnsi="Arial" w:cs="Arial"/>
          <w:sz w:val="28"/>
          <w:szCs w:val="28"/>
          <w:lang w:eastAsia="es-MX"/>
        </w:rPr>
        <w:t>contempla</w:t>
      </w:r>
      <w:r w:rsidRPr="00FD2527">
        <w:rPr>
          <w:rFonts w:ascii="Arial" w:eastAsia="Times New Roman" w:hAnsi="Arial" w:cs="Arial"/>
          <w:sz w:val="28"/>
          <w:szCs w:val="28"/>
          <w:lang w:eastAsia="es-MX"/>
        </w:rPr>
        <w:t xml:space="preserve"> la prerrogativa de acceso al financiamiento público para la etapa de campaña.</w:t>
      </w:r>
    </w:p>
    <w:p w:rsidR="00914FCF" w:rsidRPr="00FD2527" w:rsidRDefault="00914FCF"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En ese sentido, para la distribución de dicho financiamiento, se determina desde </w:t>
      </w:r>
      <w:r w:rsidR="00B03FAD" w:rsidRPr="00FD2527">
        <w:rPr>
          <w:rFonts w:ascii="Arial" w:eastAsia="Times New Roman" w:hAnsi="Arial" w:cs="Arial"/>
          <w:sz w:val="28"/>
          <w:szCs w:val="28"/>
          <w:lang w:eastAsia="es-MX"/>
        </w:rPr>
        <w:t xml:space="preserve">el artículo 407 </w:t>
      </w:r>
      <w:r w:rsidRPr="00FD2527">
        <w:rPr>
          <w:rFonts w:ascii="Arial" w:eastAsia="Times New Roman" w:hAnsi="Arial" w:cs="Arial"/>
          <w:sz w:val="28"/>
          <w:szCs w:val="28"/>
          <w:lang w:eastAsia="es-MX"/>
        </w:rPr>
        <w:t>la LEGIPE que deben considerarse todas las candidaturas independientes en su conjunto, como un partido de nuevo registro, de lo que se distribuirá el monto total que corresponda, en tres partes iguales según el tipo de cargo a elegir</w:t>
      </w:r>
      <w:r w:rsidR="000730FF" w:rsidRPr="00FD2527">
        <w:rPr>
          <w:rStyle w:val="Refdenotaalpie"/>
          <w:rFonts w:ascii="Arial" w:eastAsia="Times New Roman" w:hAnsi="Arial" w:cs="Arial"/>
          <w:sz w:val="28"/>
          <w:szCs w:val="28"/>
          <w:lang w:eastAsia="es-MX"/>
        </w:rPr>
        <w:footnoteReference w:id="27"/>
      </w:r>
      <w:r w:rsidR="000730FF" w:rsidRPr="00FD2527">
        <w:rPr>
          <w:rFonts w:ascii="Arial" w:eastAsia="Times New Roman" w:hAnsi="Arial" w:cs="Arial"/>
          <w:sz w:val="28"/>
          <w:szCs w:val="28"/>
          <w:lang w:eastAsia="es-MX"/>
        </w:rPr>
        <w:t>:</w:t>
      </w:r>
    </w:p>
    <w:p w:rsidR="00914FCF" w:rsidRPr="00FD2527" w:rsidRDefault="00914FCF" w:rsidP="006F0439">
      <w:pPr>
        <w:numPr>
          <w:ilvl w:val="0"/>
          <w:numId w:val="5"/>
        </w:numPr>
        <w:shd w:val="clear" w:color="auto" w:fill="FFFFFF"/>
        <w:spacing w:before="120" w:after="120" w:line="360" w:lineRule="auto"/>
        <w:ind w:left="714" w:hanging="357"/>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33.3% entre las candidaturas postuladas al cargo de Presidente;</w:t>
      </w:r>
    </w:p>
    <w:p w:rsidR="00914FCF" w:rsidRPr="00FD2527" w:rsidRDefault="00914FCF" w:rsidP="006F0439">
      <w:pPr>
        <w:numPr>
          <w:ilvl w:val="0"/>
          <w:numId w:val="5"/>
        </w:numPr>
        <w:shd w:val="clear" w:color="auto" w:fill="FFFFFF"/>
        <w:spacing w:before="120" w:after="120" w:line="360" w:lineRule="auto"/>
        <w:ind w:left="714" w:hanging="357"/>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33.3% entre todas las fórmulas al cargo de Senador, y</w:t>
      </w:r>
    </w:p>
    <w:p w:rsidR="00914FCF" w:rsidRPr="00FD2527" w:rsidRDefault="00914FCF" w:rsidP="006F0439">
      <w:pPr>
        <w:numPr>
          <w:ilvl w:val="0"/>
          <w:numId w:val="5"/>
        </w:numPr>
        <w:shd w:val="clear" w:color="auto" w:fill="FFFFFF"/>
        <w:spacing w:before="120" w:after="120" w:line="360" w:lineRule="auto"/>
        <w:ind w:left="714" w:hanging="357"/>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33.3% entre todas las fórmulas al cargo de Diputado.</w:t>
      </w:r>
    </w:p>
    <w:p w:rsidR="00914FCF" w:rsidRPr="00FD2527" w:rsidRDefault="003B5925"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Se</w:t>
      </w:r>
      <w:r w:rsidR="00914FCF" w:rsidRPr="00FD2527">
        <w:rPr>
          <w:rFonts w:ascii="Arial" w:eastAsia="Times New Roman" w:hAnsi="Arial" w:cs="Arial"/>
          <w:sz w:val="28"/>
          <w:szCs w:val="28"/>
          <w:lang w:eastAsia="es-MX"/>
        </w:rPr>
        <w:t xml:space="preserve"> especifica que, en caso de que sólo exista una candidatura postulada a uno de los tres tipos de cargos, esta no podrá recibir más del 50% del monto total que correspondería a ese tipo de cargo.</w:t>
      </w:r>
    </w:p>
    <w:p w:rsidR="007C1CF7" w:rsidRPr="00FD2527" w:rsidRDefault="007C1CF7"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De lo anterior se puede advertir que, el monto que por concepto de financiamiento público corresponda a una candidatura, dependerá del número de candidaturas independientes registradas </w:t>
      </w:r>
      <w:r w:rsidR="0010087B" w:rsidRPr="00FD2527">
        <w:rPr>
          <w:rFonts w:ascii="Arial" w:eastAsia="Times New Roman" w:hAnsi="Arial" w:cs="Arial"/>
          <w:sz w:val="28"/>
          <w:szCs w:val="28"/>
          <w:lang w:eastAsia="es-MX"/>
        </w:rPr>
        <w:t>por cada tipo de cargo, es decir, a mayor número de candidaturas independientes, menor será el monto a distribuir entre los involucrados.</w:t>
      </w:r>
    </w:p>
    <w:p w:rsidR="00914FCF" w:rsidRPr="00FD2527" w:rsidRDefault="00914FCF" w:rsidP="00914FCF">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Además, al igual que los partidos políticos, los candidatos independientes tienen la obligación de devolver al </w:t>
      </w:r>
      <w:r w:rsidR="00E67DDC">
        <w:rPr>
          <w:rFonts w:ascii="Arial" w:eastAsia="Times New Roman" w:hAnsi="Arial" w:cs="Arial"/>
          <w:sz w:val="28"/>
          <w:szCs w:val="28"/>
          <w:lang w:eastAsia="es-MX"/>
        </w:rPr>
        <w:t>Instituto Nacional Electoral o al</w:t>
      </w:r>
      <w:r w:rsidRPr="00FD2527">
        <w:rPr>
          <w:rFonts w:ascii="Arial" w:eastAsia="Times New Roman" w:hAnsi="Arial" w:cs="Arial"/>
          <w:sz w:val="28"/>
          <w:szCs w:val="28"/>
          <w:lang w:eastAsia="es-MX"/>
        </w:rPr>
        <w:t xml:space="preserve"> </w:t>
      </w:r>
      <w:r w:rsidR="00E67DDC">
        <w:rPr>
          <w:rFonts w:ascii="Arial" w:eastAsia="Times New Roman" w:hAnsi="Arial" w:cs="Arial"/>
          <w:sz w:val="28"/>
          <w:szCs w:val="28"/>
          <w:lang w:eastAsia="es-MX"/>
        </w:rPr>
        <w:t>Organismo Público Local Electoral</w:t>
      </w:r>
      <w:r w:rsidRPr="00FD2527">
        <w:rPr>
          <w:rFonts w:ascii="Arial" w:eastAsia="Times New Roman" w:hAnsi="Arial" w:cs="Arial"/>
          <w:sz w:val="28"/>
          <w:szCs w:val="28"/>
          <w:lang w:eastAsia="es-MX"/>
        </w:rPr>
        <w:t xml:space="preserve"> que corresponda, el monto total del financiamiento público que no utilizó para su campaña, según lo dispone el artículo 222 Bis del Reglamento de Fiscalización.</w:t>
      </w:r>
    </w:p>
    <w:p w:rsidR="00E478E5" w:rsidRDefault="00931F26"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Por su parte, c</w:t>
      </w:r>
      <w:r w:rsidR="00DA472E" w:rsidRPr="00FD2527">
        <w:rPr>
          <w:rFonts w:ascii="Arial" w:eastAsia="Times New Roman" w:hAnsi="Arial" w:cs="Arial"/>
          <w:sz w:val="28"/>
          <w:szCs w:val="28"/>
          <w:lang w:eastAsia="es-MX"/>
        </w:rPr>
        <w:t xml:space="preserve">on respecto al </w:t>
      </w:r>
      <w:r w:rsidR="00DA472E" w:rsidRPr="00FD2527">
        <w:rPr>
          <w:rFonts w:ascii="Arial" w:eastAsia="Times New Roman" w:hAnsi="Arial" w:cs="Arial"/>
          <w:b/>
          <w:sz w:val="28"/>
          <w:szCs w:val="28"/>
          <w:lang w:eastAsia="es-MX"/>
        </w:rPr>
        <w:t>financiamiento privado</w:t>
      </w:r>
      <w:r w:rsidR="00DA472E" w:rsidRPr="00FD2527">
        <w:rPr>
          <w:rFonts w:ascii="Arial" w:eastAsia="Times New Roman" w:hAnsi="Arial" w:cs="Arial"/>
          <w:sz w:val="28"/>
          <w:szCs w:val="28"/>
          <w:lang w:eastAsia="es-MX"/>
        </w:rPr>
        <w:t xml:space="preserve">, pueden recibirlo siempre y cuando sea de origen lícito, </w:t>
      </w:r>
      <w:r w:rsidR="00127830" w:rsidRPr="00FD2527">
        <w:rPr>
          <w:rFonts w:ascii="Arial" w:eastAsia="Times New Roman" w:hAnsi="Arial" w:cs="Arial"/>
          <w:sz w:val="28"/>
          <w:szCs w:val="28"/>
          <w:lang w:eastAsia="es-MX"/>
        </w:rPr>
        <w:t xml:space="preserve">integrándose por </w:t>
      </w:r>
      <w:r w:rsidR="00DA472E" w:rsidRPr="00FD2527">
        <w:rPr>
          <w:rFonts w:ascii="Arial" w:eastAsia="Times New Roman" w:hAnsi="Arial" w:cs="Arial"/>
          <w:sz w:val="28"/>
          <w:szCs w:val="28"/>
          <w:lang w:eastAsia="es-MX"/>
        </w:rPr>
        <w:t xml:space="preserve">autofinanciamiento </w:t>
      </w:r>
      <w:r w:rsidR="00F134A1" w:rsidRPr="00FD2527">
        <w:rPr>
          <w:rFonts w:ascii="Arial" w:eastAsia="Times New Roman" w:hAnsi="Arial" w:cs="Arial"/>
          <w:sz w:val="28"/>
          <w:szCs w:val="28"/>
          <w:lang w:eastAsia="es-MX"/>
        </w:rPr>
        <w:t xml:space="preserve">del candidato o candidata independiente </w:t>
      </w:r>
      <w:r w:rsidR="00DA472E" w:rsidRPr="00FD2527">
        <w:rPr>
          <w:rFonts w:ascii="Arial" w:eastAsia="Times New Roman" w:hAnsi="Arial" w:cs="Arial"/>
          <w:sz w:val="28"/>
          <w:szCs w:val="28"/>
          <w:lang w:eastAsia="es-MX"/>
        </w:rPr>
        <w:t xml:space="preserve">y </w:t>
      </w:r>
      <w:r w:rsidR="00D82E73">
        <w:rPr>
          <w:rFonts w:ascii="Arial" w:eastAsia="Times New Roman" w:hAnsi="Arial" w:cs="Arial"/>
          <w:sz w:val="28"/>
          <w:szCs w:val="28"/>
          <w:lang w:eastAsia="es-MX"/>
        </w:rPr>
        <w:t>por</w:t>
      </w:r>
      <w:r w:rsidR="00127830" w:rsidRPr="00FD2527">
        <w:rPr>
          <w:rFonts w:ascii="Arial" w:eastAsia="Times New Roman" w:hAnsi="Arial" w:cs="Arial"/>
          <w:sz w:val="28"/>
          <w:szCs w:val="28"/>
          <w:lang w:eastAsia="es-MX"/>
        </w:rPr>
        <w:t xml:space="preserve"> </w:t>
      </w:r>
      <w:r w:rsidR="00DA472E" w:rsidRPr="00FD2527">
        <w:rPr>
          <w:rFonts w:ascii="Arial" w:eastAsia="Times New Roman" w:hAnsi="Arial" w:cs="Arial"/>
          <w:sz w:val="28"/>
          <w:szCs w:val="28"/>
          <w:lang w:eastAsia="es-MX"/>
        </w:rPr>
        <w:t xml:space="preserve">aportaciones de </w:t>
      </w:r>
      <w:r w:rsidR="00F134A1" w:rsidRPr="00FD2527">
        <w:rPr>
          <w:rFonts w:ascii="Arial" w:eastAsia="Times New Roman" w:hAnsi="Arial" w:cs="Arial"/>
          <w:sz w:val="28"/>
          <w:szCs w:val="28"/>
          <w:lang w:eastAsia="es-MX"/>
        </w:rPr>
        <w:t>su</w:t>
      </w:r>
      <w:r w:rsidR="00DA472E" w:rsidRPr="00FD2527">
        <w:rPr>
          <w:rFonts w:ascii="Arial" w:eastAsia="Times New Roman" w:hAnsi="Arial" w:cs="Arial"/>
          <w:sz w:val="28"/>
          <w:szCs w:val="28"/>
          <w:lang w:eastAsia="es-MX"/>
        </w:rPr>
        <w:t>s simpatizantes</w:t>
      </w:r>
      <w:r w:rsidR="007625A2" w:rsidRPr="00FD2527">
        <w:rPr>
          <w:rFonts w:ascii="Arial" w:eastAsia="Times New Roman" w:hAnsi="Arial" w:cs="Arial"/>
          <w:sz w:val="28"/>
          <w:szCs w:val="28"/>
          <w:lang w:eastAsia="es-MX"/>
        </w:rPr>
        <w:t>, conforme al</w:t>
      </w:r>
      <w:r w:rsidR="00DA472E" w:rsidRPr="00FD2527">
        <w:rPr>
          <w:rFonts w:ascii="Arial" w:eastAsia="Times New Roman" w:hAnsi="Arial" w:cs="Arial"/>
          <w:sz w:val="28"/>
          <w:szCs w:val="28"/>
          <w:lang w:eastAsia="es-MX"/>
        </w:rPr>
        <w:t xml:space="preserve"> artículo 399</w:t>
      </w:r>
      <w:r w:rsidR="007625A2" w:rsidRPr="00FD2527">
        <w:rPr>
          <w:rFonts w:ascii="Arial" w:eastAsia="Times New Roman" w:hAnsi="Arial" w:cs="Arial"/>
          <w:sz w:val="28"/>
          <w:szCs w:val="28"/>
          <w:lang w:eastAsia="es-MX"/>
        </w:rPr>
        <w:t xml:space="preserve"> de la </w:t>
      </w:r>
      <w:r w:rsidR="007625A2" w:rsidRPr="00D82E73">
        <w:rPr>
          <w:rFonts w:ascii="Arial" w:eastAsia="Times New Roman" w:hAnsi="Arial" w:cs="Arial"/>
          <w:sz w:val="28"/>
          <w:szCs w:val="28"/>
          <w:lang w:eastAsia="es-MX"/>
        </w:rPr>
        <w:t>LEGIPE</w:t>
      </w:r>
      <w:r w:rsidR="00E478E5" w:rsidRPr="00D82E73">
        <w:rPr>
          <w:rFonts w:ascii="Arial" w:eastAsia="Times New Roman" w:hAnsi="Arial" w:cs="Arial"/>
          <w:sz w:val="28"/>
          <w:szCs w:val="28"/>
          <w:lang w:eastAsia="es-MX"/>
        </w:rPr>
        <w:t>.</w:t>
      </w:r>
    </w:p>
    <w:p w:rsidR="003B050B" w:rsidRPr="00FD2527" w:rsidRDefault="003B050B" w:rsidP="00DA472E">
      <w:pPr>
        <w:shd w:val="clear" w:color="auto" w:fill="FFFFFF"/>
        <w:spacing w:before="360" w:after="360" w:line="360" w:lineRule="auto"/>
        <w:ind w:firstLine="1418"/>
        <w:jc w:val="both"/>
        <w:rPr>
          <w:rFonts w:ascii="Arial" w:eastAsia="Times New Roman" w:hAnsi="Arial" w:cs="Arial"/>
          <w:sz w:val="28"/>
          <w:szCs w:val="28"/>
          <w:lang w:eastAsia="es-MX"/>
        </w:rPr>
      </w:pPr>
      <w:r>
        <w:rPr>
          <w:rFonts w:ascii="Arial" w:eastAsia="Times New Roman" w:hAnsi="Arial" w:cs="Arial"/>
          <w:sz w:val="28"/>
          <w:szCs w:val="28"/>
          <w:lang w:eastAsia="es-MX"/>
        </w:rPr>
        <w:t xml:space="preserve">En tal artículo, se dispone que </w:t>
      </w:r>
      <w:r w:rsidR="00562448">
        <w:rPr>
          <w:rFonts w:ascii="Arial" w:eastAsia="Times New Roman" w:hAnsi="Arial" w:cs="Arial"/>
          <w:sz w:val="28"/>
          <w:szCs w:val="28"/>
          <w:lang w:eastAsia="es-MX"/>
        </w:rPr>
        <w:t>el límite tales aportaciones no podrán rebasar, en ningún caso, el diez por ciento del tope de gastos de campaña para la elección de que se trate.</w:t>
      </w:r>
    </w:p>
    <w:p w:rsidR="00821180" w:rsidRPr="00FD2527" w:rsidRDefault="00807AC3"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Al respecto existen ciertas normas de control </w:t>
      </w:r>
      <w:r w:rsidR="00FF3148" w:rsidRPr="00FD2527">
        <w:rPr>
          <w:rFonts w:ascii="Arial" w:eastAsia="Times New Roman" w:hAnsi="Arial" w:cs="Arial"/>
          <w:sz w:val="28"/>
          <w:szCs w:val="28"/>
          <w:lang w:eastAsia="es-MX"/>
        </w:rPr>
        <w:t>establecidas</w:t>
      </w:r>
      <w:r w:rsidR="007477A9" w:rsidRPr="00FD2527">
        <w:rPr>
          <w:rFonts w:ascii="Arial" w:eastAsia="Times New Roman" w:hAnsi="Arial" w:cs="Arial"/>
          <w:sz w:val="28"/>
          <w:szCs w:val="28"/>
          <w:lang w:eastAsia="es-MX"/>
        </w:rPr>
        <w:t xml:space="preserve"> para el financiamiento privado de estas candidaturas, entre las cuales se encuentran:</w:t>
      </w:r>
    </w:p>
    <w:p w:rsidR="007477A9" w:rsidRPr="00FD2527" w:rsidRDefault="007477A9" w:rsidP="000A5A1E">
      <w:pPr>
        <w:pStyle w:val="Prrafodelista"/>
        <w:numPr>
          <w:ilvl w:val="0"/>
          <w:numId w:val="15"/>
        </w:numPr>
        <w:shd w:val="clear" w:color="auto" w:fill="FFFFFF"/>
        <w:spacing w:before="360" w:after="360" w:line="360" w:lineRule="auto"/>
        <w:ind w:left="851"/>
        <w:jc w:val="both"/>
        <w:rPr>
          <w:rFonts w:ascii="Arial" w:eastAsia="Times New Roman" w:hAnsi="Arial" w:cs="Arial"/>
          <w:sz w:val="26"/>
          <w:szCs w:val="26"/>
          <w:lang w:eastAsia="es-MX"/>
        </w:rPr>
      </w:pPr>
      <w:r w:rsidRPr="00FD2527">
        <w:rPr>
          <w:rFonts w:ascii="Arial" w:eastAsia="Times New Roman" w:hAnsi="Arial" w:cs="Arial"/>
          <w:sz w:val="26"/>
          <w:szCs w:val="26"/>
          <w:lang w:eastAsia="es-MX"/>
        </w:rPr>
        <w:t>Prohibición de recibir aportaciones y donaciones en efectivo, así como de metales y piedras preciosas, por cualquier persona física o moral</w:t>
      </w:r>
      <w:r w:rsidR="00421543" w:rsidRPr="00FD2527">
        <w:rPr>
          <w:rStyle w:val="Refdenotaalpie"/>
          <w:rFonts w:ascii="Arial" w:eastAsia="Times New Roman" w:hAnsi="Arial" w:cs="Arial"/>
          <w:sz w:val="26"/>
          <w:szCs w:val="26"/>
          <w:lang w:eastAsia="es-MX"/>
        </w:rPr>
        <w:footnoteReference w:id="28"/>
      </w:r>
      <w:r w:rsidRPr="00FD2527">
        <w:rPr>
          <w:rFonts w:ascii="Arial" w:eastAsia="Times New Roman" w:hAnsi="Arial" w:cs="Arial"/>
          <w:sz w:val="26"/>
          <w:szCs w:val="26"/>
          <w:lang w:eastAsia="es-MX"/>
        </w:rPr>
        <w:t>.</w:t>
      </w:r>
    </w:p>
    <w:p w:rsidR="007477A9" w:rsidRPr="00FD2527" w:rsidRDefault="00C46AC2" w:rsidP="000A5A1E">
      <w:pPr>
        <w:pStyle w:val="Prrafodelista"/>
        <w:numPr>
          <w:ilvl w:val="0"/>
          <w:numId w:val="15"/>
        </w:numPr>
        <w:shd w:val="clear" w:color="auto" w:fill="FFFFFF"/>
        <w:spacing w:before="360" w:after="360" w:line="360" w:lineRule="auto"/>
        <w:ind w:left="851"/>
        <w:jc w:val="both"/>
        <w:rPr>
          <w:rFonts w:ascii="Arial" w:eastAsia="Times New Roman" w:hAnsi="Arial" w:cs="Arial"/>
          <w:sz w:val="26"/>
          <w:szCs w:val="26"/>
          <w:lang w:eastAsia="es-MX"/>
        </w:rPr>
      </w:pPr>
      <w:r w:rsidRPr="00FD2527">
        <w:rPr>
          <w:rFonts w:ascii="Arial" w:eastAsia="Times New Roman" w:hAnsi="Arial" w:cs="Arial"/>
          <w:sz w:val="26"/>
          <w:szCs w:val="26"/>
          <w:lang w:eastAsia="es-MX"/>
        </w:rPr>
        <w:t xml:space="preserve">Tampoco pueden aportar las personas impedidas para aportar a los partidos, contempladas en el artículo 401 de la </w:t>
      </w:r>
      <w:r w:rsidR="00AA230E" w:rsidRPr="00AA230E">
        <w:rPr>
          <w:rFonts w:ascii="Arial" w:eastAsia="Times New Roman" w:hAnsi="Arial" w:cs="Arial"/>
          <w:sz w:val="26"/>
          <w:szCs w:val="26"/>
          <w:lang w:eastAsia="es-MX"/>
        </w:rPr>
        <w:t>Ley de Partidos</w:t>
      </w:r>
      <w:r w:rsidR="00421543" w:rsidRPr="00FD2527">
        <w:rPr>
          <w:rFonts w:ascii="Arial" w:eastAsia="Times New Roman" w:hAnsi="Arial" w:cs="Arial"/>
          <w:sz w:val="26"/>
          <w:szCs w:val="26"/>
          <w:lang w:eastAsia="es-MX"/>
        </w:rPr>
        <w:t>, ni personas no identificadas.</w:t>
      </w:r>
    </w:p>
    <w:p w:rsidR="000A5A1E" w:rsidRPr="00FD2527" w:rsidRDefault="000A5A1E" w:rsidP="000A5A1E">
      <w:pPr>
        <w:pStyle w:val="Prrafodelista"/>
        <w:numPr>
          <w:ilvl w:val="0"/>
          <w:numId w:val="15"/>
        </w:numPr>
        <w:shd w:val="clear" w:color="auto" w:fill="FFFFFF"/>
        <w:spacing w:before="360" w:after="360" w:line="360" w:lineRule="auto"/>
        <w:ind w:left="851"/>
        <w:jc w:val="both"/>
        <w:rPr>
          <w:rFonts w:ascii="Arial" w:eastAsia="Times New Roman" w:hAnsi="Arial" w:cs="Arial"/>
          <w:sz w:val="26"/>
          <w:szCs w:val="26"/>
          <w:lang w:eastAsia="es-MX"/>
        </w:rPr>
      </w:pPr>
      <w:r w:rsidRPr="00FD2527">
        <w:rPr>
          <w:rFonts w:ascii="Arial" w:eastAsia="Times New Roman" w:hAnsi="Arial" w:cs="Arial"/>
          <w:sz w:val="26"/>
          <w:szCs w:val="26"/>
          <w:lang w:eastAsia="es-MX"/>
        </w:rPr>
        <w:t>No pueden solicitar créditos provenientes de la banca de desarrollo</w:t>
      </w:r>
      <w:r w:rsidR="00421543" w:rsidRPr="00FD2527">
        <w:rPr>
          <w:rStyle w:val="Refdenotaalpie"/>
          <w:rFonts w:ascii="Arial" w:eastAsia="Times New Roman" w:hAnsi="Arial" w:cs="Arial"/>
          <w:sz w:val="26"/>
          <w:szCs w:val="26"/>
          <w:lang w:eastAsia="es-MX"/>
        </w:rPr>
        <w:footnoteReference w:id="29"/>
      </w:r>
      <w:r w:rsidRPr="00FD2527">
        <w:rPr>
          <w:rFonts w:ascii="Arial" w:eastAsia="Times New Roman" w:hAnsi="Arial" w:cs="Arial"/>
          <w:sz w:val="26"/>
          <w:szCs w:val="26"/>
          <w:lang w:eastAsia="es-MX"/>
        </w:rPr>
        <w:t>.</w:t>
      </w:r>
    </w:p>
    <w:p w:rsidR="000A5A1E" w:rsidRPr="00FD2527" w:rsidRDefault="00CF5764" w:rsidP="000A5A1E">
      <w:pPr>
        <w:pStyle w:val="Prrafodelista"/>
        <w:numPr>
          <w:ilvl w:val="0"/>
          <w:numId w:val="15"/>
        </w:numPr>
        <w:shd w:val="clear" w:color="auto" w:fill="FFFFFF"/>
        <w:spacing w:before="360" w:after="360" w:line="360" w:lineRule="auto"/>
        <w:ind w:left="851"/>
        <w:jc w:val="both"/>
        <w:rPr>
          <w:rFonts w:ascii="Arial" w:eastAsia="Times New Roman" w:hAnsi="Arial" w:cs="Arial"/>
          <w:sz w:val="26"/>
          <w:szCs w:val="26"/>
          <w:lang w:eastAsia="es-MX"/>
        </w:rPr>
      </w:pPr>
      <w:r w:rsidRPr="00FD2527">
        <w:rPr>
          <w:rFonts w:ascii="Arial" w:eastAsia="Times New Roman" w:hAnsi="Arial" w:cs="Arial"/>
          <w:sz w:val="26"/>
          <w:szCs w:val="26"/>
          <w:lang w:eastAsia="es-MX"/>
        </w:rPr>
        <w:t xml:space="preserve">Toda aportación </w:t>
      </w:r>
      <w:r w:rsidR="002B1609" w:rsidRPr="00FD2527">
        <w:rPr>
          <w:rFonts w:ascii="Arial" w:eastAsia="Times New Roman" w:hAnsi="Arial" w:cs="Arial"/>
          <w:sz w:val="26"/>
          <w:szCs w:val="26"/>
          <w:lang w:eastAsia="es-MX"/>
        </w:rPr>
        <w:t xml:space="preserve">y gasto </w:t>
      </w:r>
      <w:r w:rsidRPr="00FD2527">
        <w:rPr>
          <w:rFonts w:ascii="Arial" w:eastAsia="Times New Roman" w:hAnsi="Arial" w:cs="Arial"/>
          <w:sz w:val="26"/>
          <w:szCs w:val="26"/>
          <w:lang w:eastAsia="es-MX"/>
        </w:rPr>
        <w:t>debe realizarse de manera bancarizada</w:t>
      </w:r>
      <w:r w:rsidR="002B1609" w:rsidRPr="00FD2527">
        <w:rPr>
          <w:rStyle w:val="Refdenotaalpie"/>
          <w:rFonts w:ascii="Arial" w:eastAsia="Times New Roman" w:hAnsi="Arial" w:cs="Arial"/>
          <w:sz w:val="26"/>
          <w:szCs w:val="26"/>
          <w:lang w:eastAsia="es-MX"/>
        </w:rPr>
        <w:footnoteReference w:id="30"/>
      </w:r>
      <w:r w:rsidRPr="00FD2527">
        <w:rPr>
          <w:rFonts w:ascii="Arial" w:eastAsia="Times New Roman" w:hAnsi="Arial" w:cs="Arial"/>
          <w:sz w:val="26"/>
          <w:szCs w:val="26"/>
          <w:lang w:eastAsia="es-MX"/>
        </w:rPr>
        <w:t>.</w:t>
      </w:r>
    </w:p>
    <w:p w:rsidR="00CF5764" w:rsidRPr="00FD2527" w:rsidRDefault="00CF5764" w:rsidP="000A5A1E">
      <w:pPr>
        <w:pStyle w:val="Prrafodelista"/>
        <w:numPr>
          <w:ilvl w:val="0"/>
          <w:numId w:val="15"/>
        </w:numPr>
        <w:shd w:val="clear" w:color="auto" w:fill="FFFFFF"/>
        <w:spacing w:before="360" w:after="360" w:line="360" w:lineRule="auto"/>
        <w:ind w:left="851"/>
        <w:jc w:val="both"/>
        <w:rPr>
          <w:rFonts w:ascii="Arial" w:eastAsia="Times New Roman" w:hAnsi="Arial" w:cs="Arial"/>
          <w:sz w:val="26"/>
          <w:szCs w:val="26"/>
          <w:lang w:eastAsia="es-MX"/>
        </w:rPr>
      </w:pPr>
      <w:r w:rsidRPr="00FD2527">
        <w:rPr>
          <w:rFonts w:ascii="Arial" w:eastAsia="Times New Roman" w:hAnsi="Arial" w:cs="Arial"/>
          <w:sz w:val="26"/>
          <w:szCs w:val="26"/>
          <w:lang w:eastAsia="es-MX"/>
        </w:rPr>
        <w:t>Toda aportación en especie debe destinarse exclusivamente para las actividades de campaña</w:t>
      </w:r>
      <w:r w:rsidR="002B1609" w:rsidRPr="00FD2527">
        <w:rPr>
          <w:rStyle w:val="Refdenotaalpie"/>
          <w:rFonts w:ascii="Arial" w:eastAsia="Times New Roman" w:hAnsi="Arial" w:cs="Arial"/>
          <w:sz w:val="26"/>
          <w:szCs w:val="26"/>
          <w:lang w:eastAsia="es-MX"/>
        </w:rPr>
        <w:footnoteReference w:id="31"/>
      </w:r>
      <w:r w:rsidRPr="00FD2527">
        <w:rPr>
          <w:rFonts w:ascii="Arial" w:eastAsia="Times New Roman" w:hAnsi="Arial" w:cs="Arial"/>
          <w:sz w:val="26"/>
          <w:szCs w:val="26"/>
          <w:lang w:eastAsia="es-MX"/>
        </w:rPr>
        <w:t>.</w:t>
      </w:r>
    </w:p>
    <w:p w:rsidR="00CF5764" w:rsidRPr="00FD2527" w:rsidRDefault="00CF5764" w:rsidP="000A5A1E">
      <w:pPr>
        <w:pStyle w:val="Prrafodelista"/>
        <w:numPr>
          <w:ilvl w:val="0"/>
          <w:numId w:val="15"/>
        </w:numPr>
        <w:shd w:val="clear" w:color="auto" w:fill="FFFFFF"/>
        <w:spacing w:before="360" w:after="360" w:line="360" w:lineRule="auto"/>
        <w:ind w:left="851"/>
        <w:jc w:val="both"/>
        <w:rPr>
          <w:rFonts w:ascii="Arial" w:eastAsia="Times New Roman" w:hAnsi="Arial" w:cs="Arial"/>
          <w:sz w:val="26"/>
          <w:szCs w:val="26"/>
          <w:lang w:eastAsia="es-MX"/>
        </w:rPr>
      </w:pPr>
      <w:r w:rsidRPr="00FD2527">
        <w:rPr>
          <w:rFonts w:ascii="Arial" w:eastAsia="Times New Roman" w:hAnsi="Arial" w:cs="Arial"/>
          <w:sz w:val="26"/>
          <w:szCs w:val="26"/>
          <w:lang w:eastAsia="es-MX"/>
        </w:rPr>
        <w:t>No se pueden recibir bienes inmuebles en propiedad, ni adquirirlos con financiamiento público o privado</w:t>
      </w:r>
      <w:r w:rsidR="002B1609" w:rsidRPr="00FD2527">
        <w:rPr>
          <w:rStyle w:val="Refdenotaalpie"/>
          <w:rFonts w:ascii="Arial" w:eastAsia="Times New Roman" w:hAnsi="Arial" w:cs="Arial"/>
          <w:sz w:val="26"/>
          <w:szCs w:val="26"/>
          <w:lang w:eastAsia="es-MX"/>
        </w:rPr>
        <w:footnoteReference w:id="32"/>
      </w:r>
      <w:r w:rsidRPr="00FD2527">
        <w:rPr>
          <w:rFonts w:ascii="Arial" w:eastAsia="Times New Roman" w:hAnsi="Arial" w:cs="Arial"/>
          <w:sz w:val="26"/>
          <w:szCs w:val="26"/>
          <w:lang w:eastAsia="es-MX"/>
        </w:rPr>
        <w:t>.</w:t>
      </w:r>
    </w:p>
    <w:p w:rsidR="006E462D" w:rsidRPr="00FD2527" w:rsidRDefault="006E462D"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Es</w:t>
      </w:r>
      <w:r w:rsidR="00E478E5" w:rsidRPr="00FD2527">
        <w:rPr>
          <w:rFonts w:ascii="Arial" w:eastAsia="Times New Roman" w:hAnsi="Arial" w:cs="Arial"/>
          <w:sz w:val="28"/>
          <w:szCs w:val="28"/>
          <w:lang w:eastAsia="es-MX"/>
        </w:rPr>
        <w:t xml:space="preserve"> importante apuntar que</w:t>
      </w:r>
      <w:r w:rsidR="001A6DC1" w:rsidRPr="00FD2527">
        <w:rPr>
          <w:rFonts w:ascii="Arial" w:eastAsia="Times New Roman" w:hAnsi="Arial" w:cs="Arial"/>
          <w:sz w:val="28"/>
          <w:szCs w:val="28"/>
          <w:lang w:eastAsia="es-MX"/>
        </w:rPr>
        <w:t>,</w:t>
      </w:r>
      <w:r w:rsidR="00E478E5" w:rsidRPr="00FD2527">
        <w:rPr>
          <w:rFonts w:ascii="Arial" w:eastAsia="Times New Roman" w:hAnsi="Arial" w:cs="Arial"/>
          <w:sz w:val="28"/>
          <w:szCs w:val="28"/>
          <w:lang w:eastAsia="es-MX"/>
        </w:rPr>
        <w:t xml:space="preserve"> </w:t>
      </w:r>
      <w:r w:rsidRPr="00FD2527">
        <w:rPr>
          <w:rFonts w:ascii="Arial" w:eastAsia="Times New Roman" w:hAnsi="Arial" w:cs="Arial"/>
          <w:sz w:val="28"/>
          <w:szCs w:val="28"/>
          <w:lang w:eastAsia="es-MX"/>
        </w:rPr>
        <w:t xml:space="preserve">la integración mixta del financiamiento de estas </w:t>
      </w:r>
      <w:r w:rsidR="00A7618A" w:rsidRPr="00FD2527">
        <w:rPr>
          <w:rFonts w:ascii="Arial" w:eastAsia="Times New Roman" w:hAnsi="Arial" w:cs="Arial"/>
          <w:sz w:val="28"/>
          <w:szCs w:val="28"/>
          <w:lang w:eastAsia="es-MX"/>
        </w:rPr>
        <w:t>candidaturas</w:t>
      </w:r>
      <w:r w:rsidR="00A7618A">
        <w:rPr>
          <w:rFonts w:ascii="Arial" w:eastAsia="Times New Roman" w:hAnsi="Arial" w:cs="Arial"/>
          <w:sz w:val="28"/>
          <w:szCs w:val="28"/>
          <w:lang w:eastAsia="es-MX"/>
        </w:rPr>
        <w:t>,</w:t>
      </w:r>
      <w:r w:rsidRPr="00FD2527">
        <w:rPr>
          <w:rFonts w:ascii="Arial" w:eastAsia="Times New Roman" w:hAnsi="Arial" w:cs="Arial"/>
          <w:sz w:val="28"/>
          <w:szCs w:val="28"/>
          <w:lang w:eastAsia="es-MX"/>
        </w:rPr>
        <w:t xml:space="preserve"> ha hecho necesario el pronunciamiento del órgano jurisdiccional en torno a si resulta aplicable en estos casos el principio de prevalencia del financiamiento público.</w:t>
      </w:r>
    </w:p>
    <w:p w:rsidR="00DA472E" w:rsidRPr="00FD2527" w:rsidRDefault="00C91CDB"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 xml:space="preserve">En las sentencias de esta Sala Superior SUP-REC-193/2015 y SUP-JRC-582/2015, las cuales dieron origen a la Tesis </w:t>
      </w:r>
      <w:r w:rsidR="00EA7FD3" w:rsidRPr="00FD2527">
        <w:rPr>
          <w:rFonts w:ascii="Arial" w:eastAsia="Times New Roman" w:hAnsi="Arial" w:cs="Arial"/>
          <w:sz w:val="28"/>
          <w:szCs w:val="28"/>
          <w:lang w:eastAsia="es-MX"/>
        </w:rPr>
        <w:t>XXI/2015</w:t>
      </w:r>
      <w:r w:rsidR="00EA7FD3" w:rsidRPr="00FD2527">
        <w:rPr>
          <w:rStyle w:val="Refdenotaalpie"/>
          <w:rFonts w:ascii="Arial" w:eastAsia="Times New Roman" w:hAnsi="Arial" w:cs="Arial"/>
          <w:sz w:val="28"/>
          <w:szCs w:val="28"/>
          <w:lang w:eastAsia="es-MX"/>
        </w:rPr>
        <w:footnoteReference w:id="33"/>
      </w:r>
      <w:r w:rsidRPr="00FD2527">
        <w:rPr>
          <w:rFonts w:ascii="Arial" w:eastAsia="Times New Roman" w:hAnsi="Arial" w:cs="Arial"/>
          <w:sz w:val="28"/>
          <w:szCs w:val="28"/>
          <w:lang w:eastAsia="es-MX"/>
        </w:rPr>
        <w:t xml:space="preserve">, se ha sostenido que </w:t>
      </w:r>
      <w:r w:rsidR="00E40A57" w:rsidRPr="00FD2527">
        <w:rPr>
          <w:rFonts w:ascii="Arial" w:eastAsia="Times New Roman" w:hAnsi="Arial" w:cs="Arial"/>
          <w:sz w:val="28"/>
          <w:szCs w:val="28"/>
          <w:lang w:eastAsia="es-MX"/>
        </w:rPr>
        <w:t>el</w:t>
      </w:r>
      <w:r w:rsidRPr="00FD2527">
        <w:rPr>
          <w:rFonts w:ascii="Arial" w:eastAsia="Times New Roman" w:hAnsi="Arial" w:cs="Arial"/>
          <w:sz w:val="28"/>
          <w:szCs w:val="28"/>
          <w:lang w:eastAsia="es-MX"/>
        </w:rPr>
        <w:t xml:space="preserve"> principio </w:t>
      </w:r>
      <w:r w:rsidR="00E40A57" w:rsidRPr="00FD2527">
        <w:rPr>
          <w:rFonts w:ascii="Arial" w:eastAsia="Times New Roman" w:hAnsi="Arial" w:cs="Arial"/>
          <w:sz w:val="28"/>
          <w:szCs w:val="28"/>
          <w:lang w:eastAsia="es-MX"/>
        </w:rPr>
        <w:t xml:space="preserve">de prevalencia de los recursos públicos sobre los privados </w:t>
      </w:r>
      <w:r w:rsidRPr="00FD2527">
        <w:rPr>
          <w:rFonts w:ascii="Arial" w:eastAsia="Times New Roman" w:hAnsi="Arial" w:cs="Arial"/>
          <w:sz w:val="28"/>
          <w:szCs w:val="28"/>
          <w:lang w:eastAsia="es-MX"/>
        </w:rPr>
        <w:t>no resulta aplicable a las candidaturas independientes, puesto que el legislador estableció el principio en cuestión</w:t>
      </w:r>
      <w:r w:rsidR="00D82E73">
        <w:rPr>
          <w:rFonts w:ascii="Arial" w:eastAsia="Times New Roman" w:hAnsi="Arial" w:cs="Arial"/>
          <w:sz w:val="28"/>
          <w:szCs w:val="28"/>
          <w:lang w:eastAsia="es-MX"/>
        </w:rPr>
        <w:t>,</w:t>
      </w:r>
      <w:r w:rsidRPr="00FD2527">
        <w:rPr>
          <w:rFonts w:ascii="Arial" w:eastAsia="Times New Roman" w:hAnsi="Arial" w:cs="Arial"/>
          <w:sz w:val="28"/>
          <w:szCs w:val="28"/>
          <w:lang w:eastAsia="es-MX"/>
        </w:rPr>
        <w:t xml:space="preserve"> exclusivamente para los partidos políticos</w:t>
      </w:r>
      <w:r w:rsidR="00DA472E" w:rsidRPr="00FD2527">
        <w:rPr>
          <w:rFonts w:ascii="Arial" w:eastAsia="Times New Roman" w:hAnsi="Arial" w:cs="Arial"/>
          <w:sz w:val="28"/>
          <w:szCs w:val="28"/>
          <w:lang w:eastAsia="es-MX"/>
        </w:rPr>
        <w:t>.</w:t>
      </w:r>
    </w:p>
    <w:p w:rsidR="00DA472E" w:rsidRPr="00FD2527" w:rsidRDefault="00625351" w:rsidP="00DA472E">
      <w:pPr>
        <w:shd w:val="clear" w:color="auto" w:fill="FFFFFF"/>
        <w:spacing w:before="360" w:after="360" w:line="360" w:lineRule="auto"/>
        <w:ind w:firstLine="1418"/>
        <w:jc w:val="both"/>
        <w:rPr>
          <w:rFonts w:ascii="Arial" w:eastAsia="Times New Roman" w:hAnsi="Arial" w:cs="Arial"/>
          <w:sz w:val="28"/>
          <w:szCs w:val="28"/>
          <w:lang w:eastAsia="es-MX"/>
        </w:rPr>
      </w:pPr>
      <w:r w:rsidRPr="00FD2527">
        <w:rPr>
          <w:rFonts w:ascii="Arial" w:eastAsia="Times New Roman" w:hAnsi="Arial" w:cs="Arial"/>
          <w:sz w:val="28"/>
          <w:szCs w:val="28"/>
          <w:lang w:eastAsia="es-MX"/>
        </w:rPr>
        <w:t>Finalmente, debe decirse que estas candidaturas</w:t>
      </w:r>
      <w:r w:rsidR="00DA472E" w:rsidRPr="00FD2527">
        <w:rPr>
          <w:rFonts w:ascii="Arial" w:eastAsia="Times New Roman" w:hAnsi="Arial" w:cs="Arial"/>
          <w:sz w:val="28"/>
          <w:szCs w:val="28"/>
          <w:lang w:eastAsia="es-MX"/>
        </w:rPr>
        <w:t xml:space="preserve"> deben presentar </w:t>
      </w:r>
      <w:r w:rsidRPr="00FD2527">
        <w:rPr>
          <w:rFonts w:ascii="Arial" w:eastAsia="Times New Roman" w:hAnsi="Arial" w:cs="Arial"/>
          <w:sz w:val="28"/>
          <w:szCs w:val="28"/>
          <w:lang w:eastAsia="es-MX"/>
        </w:rPr>
        <w:t xml:space="preserve">directamente </w:t>
      </w:r>
      <w:r w:rsidR="00DA472E" w:rsidRPr="00FD2527">
        <w:rPr>
          <w:rFonts w:ascii="Arial" w:eastAsia="Times New Roman" w:hAnsi="Arial" w:cs="Arial"/>
          <w:sz w:val="28"/>
          <w:szCs w:val="28"/>
          <w:lang w:eastAsia="es-MX"/>
        </w:rPr>
        <w:t xml:space="preserve">los informes de campaña sobre el origen y monto de ingresos ante </w:t>
      </w:r>
      <w:r w:rsidR="00AA230E">
        <w:rPr>
          <w:rFonts w:ascii="Arial" w:eastAsia="Times New Roman" w:hAnsi="Arial" w:cs="Arial"/>
          <w:sz w:val="28"/>
          <w:szCs w:val="28"/>
          <w:lang w:eastAsia="es-MX"/>
        </w:rPr>
        <w:t>la Unidad Técnica de Fiscalización d</w:t>
      </w:r>
      <w:r w:rsidR="00DA472E" w:rsidRPr="00FD2527">
        <w:rPr>
          <w:rFonts w:ascii="Arial" w:eastAsia="Times New Roman" w:hAnsi="Arial" w:cs="Arial"/>
          <w:sz w:val="28"/>
          <w:szCs w:val="28"/>
          <w:lang w:eastAsia="es-MX"/>
        </w:rPr>
        <w:t xml:space="preserve">el </w:t>
      </w:r>
      <w:r w:rsidR="00AA230E">
        <w:rPr>
          <w:rFonts w:ascii="Arial" w:eastAsia="Times New Roman" w:hAnsi="Arial" w:cs="Arial"/>
          <w:sz w:val="28"/>
          <w:szCs w:val="28"/>
          <w:lang w:eastAsia="es-MX"/>
        </w:rPr>
        <w:t>Instituto Nacional Electoral</w:t>
      </w:r>
      <w:r w:rsidR="00646DD4" w:rsidRPr="00FD2527">
        <w:rPr>
          <w:rFonts w:ascii="Arial" w:eastAsia="Times New Roman" w:hAnsi="Arial" w:cs="Arial"/>
          <w:sz w:val="28"/>
          <w:szCs w:val="28"/>
          <w:lang w:eastAsia="es-MX"/>
        </w:rPr>
        <w:t xml:space="preserve">, conforme al artículo 394, numeral </w:t>
      </w:r>
      <w:r w:rsidR="00DA472E" w:rsidRPr="00FD2527">
        <w:rPr>
          <w:rFonts w:ascii="Arial" w:eastAsia="Times New Roman" w:hAnsi="Arial" w:cs="Arial"/>
          <w:sz w:val="28"/>
          <w:szCs w:val="28"/>
          <w:lang w:eastAsia="es-MX"/>
        </w:rPr>
        <w:t>1, inciso n)</w:t>
      </w:r>
      <w:r w:rsidR="00646DD4" w:rsidRPr="00FD2527">
        <w:rPr>
          <w:rFonts w:ascii="Arial" w:eastAsia="Times New Roman" w:hAnsi="Arial" w:cs="Arial"/>
          <w:sz w:val="28"/>
          <w:szCs w:val="28"/>
          <w:lang w:eastAsia="es-MX"/>
        </w:rPr>
        <w:t xml:space="preserve"> de la LEGIPE.</w:t>
      </w:r>
    </w:p>
    <w:p w:rsidR="00646DD4" w:rsidRPr="00FD2527" w:rsidRDefault="001E4587" w:rsidP="00DA472E">
      <w:pPr>
        <w:shd w:val="clear" w:color="auto" w:fill="FFFFFF"/>
        <w:spacing w:before="360" w:after="360" w:line="360" w:lineRule="auto"/>
        <w:ind w:firstLine="1418"/>
        <w:jc w:val="both"/>
        <w:rPr>
          <w:rFonts w:ascii="Arial" w:eastAsia="Times New Roman" w:hAnsi="Arial" w:cs="Arial"/>
          <w:sz w:val="28"/>
          <w:szCs w:val="28"/>
          <w:lang w:eastAsia="es-MX"/>
        </w:rPr>
      </w:pPr>
      <w:r>
        <w:rPr>
          <w:rFonts w:ascii="Arial" w:eastAsia="Times New Roman" w:hAnsi="Arial" w:cs="Arial"/>
          <w:sz w:val="28"/>
          <w:szCs w:val="28"/>
          <w:lang w:eastAsia="es-MX"/>
        </w:rPr>
        <w:t>A</w:t>
      </w:r>
      <w:r w:rsidR="00646DD4" w:rsidRPr="00FD2527">
        <w:rPr>
          <w:rFonts w:ascii="Arial" w:eastAsia="Times New Roman" w:hAnsi="Arial" w:cs="Arial"/>
          <w:sz w:val="28"/>
          <w:szCs w:val="28"/>
          <w:lang w:eastAsia="es-MX"/>
        </w:rPr>
        <w:t>l igual que los partidos políticos, la Unidad Técnica de Fiscalización se encarga de verificar los ingresos y egresos de las candidaturas independientes, así como la veracidad de sus reportes y de observar los hallazgos detectados durante el procedimiento de revisi</w:t>
      </w:r>
      <w:r w:rsidR="005917F7" w:rsidRPr="00FD2527">
        <w:rPr>
          <w:rFonts w:ascii="Arial" w:eastAsia="Times New Roman" w:hAnsi="Arial" w:cs="Arial"/>
          <w:sz w:val="28"/>
          <w:szCs w:val="28"/>
          <w:lang w:eastAsia="es-MX"/>
        </w:rPr>
        <w:t>ón.</w:t>
      </w:r>
    </w:p>
    <w:p w:rsidR="00153F3E" w:rsidRPr="00FD2527" w:rsidRDefault="006D26E8" w:rsidP="009D686D">
      <w:pPr>
        <w:spacing w:before="360" w:after="360" w:line="360" w:lineRule="auto"/>
        <w:ind w:firstLine="1418"/>
        <w:jc w:val="both"/>
        <w:rPr>
          <w:rFonts w:ascii="Arial" w:hAnsi="Arial" w:cs="Arial"/>
          <w:b/>
          <w:sz w:val="28"/>
          <w:szCs w:val="28"/>
        </w:rPr>
      </w:pPr>
      <w:r w:rsidRPr="00FD2527">
        <w:rPr>
          <w:rFonts w:ascii="Arial" w:hAnsi="Arial" w:cs="Arial"/>
          <w:b/>
          <w:sz w:val="28"/>
          <w:szCs w:val="28"/>
        </w:rPr>
        <w:t>5</w:t>
      </w:r>
      <w:r w:rsidR="00EC13F7" w:rsidRPr="00FD2527">
        <w:rPr>
          <w:rFonts w:ascii="Arial" w:hAnsi="Arial" w:cs="Arial"/>
          <w:b/>
          <w:sz w:val="28"/>
          <w:szCs w:val="28"/>
        </w:rPr>
        <w:t>.</w:t>
      </w:r>
      <w:r w:rsidR="0023410E" w:rsidRPr="00FD2527">
        <w:rPr>
          <w:rFonts w:ascii="Arial" w:hAnsi="Arial" w:cs="Arial"/>
          <w:b/>
          <w:sz w:val="28"/>
          <w:szCs w:val="28"/>
        </w:rPr>
        <w:t>6</w:t>
      </w:r>
      <w:r w:rsidR="00EC13F7" w:rsidRPr="00FD2527">
        <w:rPr>
          <w:rFonts w:ascii="Arial" w:hAnsi="Arial" w:cs="Arial"/>
          <w:b/>
          <w:sz w:val="28"/>
          <w:szCs w:val="28"/>
        </w:rPr>
        <w:t xml:space="preserve">. </w:t>
      </w:r>
      <w:r w:rsidR="00153F3E" w:rsidRPr="00FD2527">
        <w:rPr>
          <w:rFonts w:ascii="Arial" w:hAnsi="Arial" w:cs="Arial"/>
          <w:b/>
          <w:sz w:val="28"/>
          <w:szCs w:val="28"/>
        </w:rPr>
        <w:t>Caso concreto</w:t>
      </w:r>
    </w:p>
    <w:p w:rsidR="00B56FFC" w:rsidRPr="00FD2527" w:rsidRDefault="00153F3E" w:rsidP="009D686D">
      <w:pPr>
        <w:spacing w:before="360" w:after="360" w:line="360" w:lineRule="auto"/>
        <w:ind w:firstLine="1418"/>
        <w:jc w:val="both"/>
        <w:rPr>
          <w:rFonts w:ascii="Arial" w:hAnsi="Arial" w:cs="Arial"/>
          <w:sz w:val="28"/>
          <w:szCs w:val="28"/>
        </w:rPr>
      </w:pPr>
      <w:r w:rsidRPr="00FD2527">
        <w:rPr>
          <w:rFonts w:ascii="Arial" w:hAnsi="Arial" w:cs="Arial"/>
          <w:b/>
          <w:sz w:val="28"/>
          <w:szCs w:val="28"/>
        </w:rPr>
        <w:t>5.</w:t>
      </w:r>
      <w:r w:rsidR="0023410E" w:rsidRPr="00FD2527">
        <w:rPr>
          <w:rFonts w:ascii="Arial" w:hAnsi="Arial" w:cs="Arial"/>
          <w:b/>
          <w:sz w:val="28"/>
          <w:szCs w:val="28"/>
        </w:rPr>
        <w:t>6</w:t>
      </w:r>
      <w:r w:rsidRPr="00FD2527">
        <w:rPr>
          <w:rFonts w:ascii="Arial" w:hAnsi="Arial" w:cs="Arial"/>
          <w:b/>
          <w:sz w:val="28"/>
          <w:szCs w:val="28"/>
        </w:rPr>
        <w:t xml:space="preserve">.1. </w:t>
      </w:r>
      <w:r w:rsidR="00FD2527" w:rsidRPr="00FD2527">
        <w:rPr>
          <w:rFonts w:ascii="Arial" w:hAnsi="Arial" w:cs="Arial"/>
          <w:b/>
          <w:sz w:val="28"/>
          <w:szCs w:val="28"/>
        </w:rPr>
        <w:t>Acto impugnado</w:t>
      </w:r>
      <w:r w:rsidRPr="00FD2527">
        <w:rPr>
          <w:rFonts w:ascii="Arial" w:hAnsi="Arial" w:cs="Arial"/>
          <w:b/>
          <w:sz w:val="28"/>
          <w:szCs w:val="28"/>
        </w:rPr>
        <w:t>.</w:t>
      </w:r>
      <w:r w:rsidR="002D27EC" w:rsidRPr="00FD2527">
        <w:rPr>
          <w:rFonts w:ascii="Arial" w:hAnsi="Arial" w:cs="Arial"/>
          <w:sz w:val="28"/>
          <w:szCs w:val="28"/>
        </w:rPr>
        <w:t xml:space="preserve"> </w:t>
      </w:r>
      <w:r w:rsidR="009B088B" w:rsidRPr="00FD2527">
        <w:rPr>
          <w:rFonts w:ascii="Arial" w:hAnsi="Arial" w:cs="Arial"/>
          <w:sz w:val="28"/>
          <w:szCs w:val="28"/>
        </w:rPr>
        <w:t>Como ya se expuso, e</w:t>
      </w:r>
      <w:r w:rsidR="001658EC" w:rsidRPr="00FD2527">
        <w:rPr>
          <w:rFonts w:ascii="Arial" w:hAnsi="Arial" w:cs="Arial"/>
          <w:sz w:val="28"/>
          <w:szCs w:val="28"/>
        </w:rPr>
        <w:t>l Consejo General</w:t>
      </w:r>
      <w:r w:rsidR="00B56FFC" w:rsidRPr="00FD2527">
        <w:rPr>
          <w:rFonts w:ascii="Arial" w:hAnsi="Arial" w:cs="Arial"/>
          <w:sz w:val="28"/>
          <w:szCs w:val="28"/>
        </w:rPr>
        <w:t xml:space="preserve">, en uso de sus facultades y a fin de dar cumplimiento y certeza a las disposiciones en materia de financiamiento privado de los candidatos independientes, aprobó por mayoría el Acuerdo </w:t>
      </w:r>
      <w:r w:rsidR="00B56FFC" w:rsidRPr="00AE0F00">
        <w:rPr>
          <w:rFonts w:ascii="Arial" w:hAnsi="Arial" w:cs="Arial"/>
          <w:sz w:val="28"/>
          <w:szCs w:val="28"/>
        </w:rPr>
        <w:t>INE/CG281/2018</w:t>
      </w:r>
      <w:r w:rsidR="00D82E73" w:rsidRPr="00AE0F00">
        <w:rPr>
          <w:rFonts w:ascii="Arial" w:hAnsi="Arial" w:cs="Arial"/>
          <w:sz w:val="28"/>
          <w:szCs w:val="28"/>
        </w:rPr>
        <w:t>,</w:t>
      </w:r>
      <w:r w:rsidR="00D82E73">
        <w:rPr>
          <w:rFonts w:ascii="Arial" w:hAnsi="Arial" w:cs="Arial"/>
          <w:sz w:val="28"/>
          <w:szCs w:val="28"/>
        </w:rPr>
        <w:t xml:space="preserve"> </w:t>
      </w:r>
      <w:r w:rsidR="00B56FFC" w:rsidRPr="00FD2527">
        <w:rPr>
          <w:rFonts w:ascii="Arial" w:hAnsi="Arial" w:cs="Arial"/>
          <w:sz w:val="28"/>
          <w:szCs w:val="28"/>
        </w:rPr>
        <w:t>por el que se determinan los límites de financiamiento privado que podrán recibir los candidatos independientes que se postulan para un cargo federal de elección popular</w:t>
      </w:r>
      <w:r w:rsidR="00D82E73">
        <w:rPr>
          <w:rFonts w:ascii="Arial" w:hAnsi="Arial" w:cs="Arial"/>
          <w:sz w:val="28"/>
          <w:szCs w:val="28"/>
        </w:rPr>
        <w:t xml:space="preserve">, </w:t>
      </w:r>
      <w:r w:rsidR="00B56FFC" w:rsidRPr="00FD2527">
        <w:rPr>
          <w:rFonts w:ascii="Arial" w:hAnsi="Arial" w:cs="Arial"/>
          <w:sz w:val="28"/>
          <w:szCs w:val="28"/>
        </w:rPr>
        <w:t>durante el periodo de campaña para los procesos electorales ordinarios concurrentes de 2017-2018.</w:t>
      </w:r>
    </w:p>
    <w:p w:rsidR="007F48B4" w:rsidRDefault="007F48B4" w:rsidP="009D686D">
      <w:pPr>
        <w:spacing w:before="360" w:after="360" w:line="360" w:lineRule="auto"/>
        <w:ind w:firstLine="1418"/>
        <w:jc w:val="both"/>
        <w:rPr>
          <w:rFonts w:ascii="Arial" w:hAnsi="Arial" w:cs="Arial"/>
          <w:sz w:val="28"/>
          <w:szCs w:val="28"/>
          <w:lang w:val="es-MX"/>
        </w:rPr>
      </w:pPr>
      <w:r>
        <w:rPr>
          <w:rFonts w:ascii="Arial" w:hAnsi="Arial" w:cs="Arial"/>
          <w:sz w:val="28"/>
          <w:szCs w:val="28"/>
        </w:rPr>
        <w:t xml:space="preserve">Para tal fin, la responsable tomó en consideración los topes de gastos de campaña fijados mediante </w:t>
      </w:r>
      <w:r w:rsidRPr="007F48B4">
        <w:rPr>
          <w:rFonts w:ascii="Arial" w:hAnsi="Arial" w:cs="Arial"/>
          <w:sz w:val="28"/>
          <w:szCs w:val="28"/>
        </w:rPr>
        <w:t xml:space="preserve">el Acuerdo </w:t>
      </w:r>
      <w:r w:rsidRPr="007F48B4">
        <w:rPr>
          <w:rFonts w:ascii="Arial" w:hAnsi="Arial" w:cs="Arial"/>
          <w:sz w:val="28"/>
          <w:szCs w:val="28"/>
          <w:lang w:val="es-MX"/>
        </w:rPr>
        <w:t>INE/CG505/2017</w:t>
      </w:r>
      <w:r>
        <w:rPr>
          <w:rFonts w:ascii="Arial" w:hAnsi="Arial" w:cs="Arial"/>
          <w:sz w:val="28"/>
          <w:szCs w:val="28"/>
          <w:lang w:val="es-MX"/>
        </w:rPr>
        <w:t>, siendo tales los siguientes respecto de los actores:</w:t>
      </w:r>
    </w:p>
    <w:tbl>
      <w:tblPr>
        <w:tblW w:w="7000" w:type="dxa"/>
        <w:jc w:val="center"/>
        <w:tblCellMar>
          <w:left w:w="70" w:type="dxa"/>
          <w:right w:w="70" w:type="dxa"/>
        </w:tblCellMar>
        <w:tblLook w:val="04A0" w:firstRow="1" w:lastRow="0" w:firstColumn="1" w:lastColumn="0" w:noHBand="0" w:noVBand="1"/>
      </w:tblPr>
      <w:tblGrid>
        <w:gridCol w:w="5180"/>
        <w:gridCol w:w="1820"/>
      </w:tblGrid>
      <w:tr w:rsidR="00B57536" w:rsidRPr="00B57536" w:rsidTr="00B57536">
        <w:trPr>
          <w:trHeight w:val="645"/>
          <w:jc w:val="center"/>
        </w:trPr>
        <w:tc>
          <w:tcPr>
            <w:tcW w:w="518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rsidR="00B57536" w:rsidRPr="00B57536" w:rsidRDefault="00B57536" w:rsidP="00B57536">
            <w:pPr>
              <w:spacing w:after="0" w:line="240" w:lineRule="auto"/>
              <w:jc w:val="center"/>
              <w:rPr>
                <w:rFonts w:ascii="Arial" w:eastAsia="Times New Roman" w:hAnsi="Arial" w:cs="Arial"/>
                <w:b/>
                <w:bCs/>
                <w:color w:val="FFFFFF"/>
                <w:sz w:val="20"/>
                <w:szCs w:val="20"/>
                <w:lang w:val="es-MX" w:eastAsia="es-MX"/>
              </w:rPr>
            </w:pPr>
            <w:r w:rsidRPr="00B57536">
              <w:rPr>
                <w:rFonts w:ascii="Arial" w:eastAsia="Times New Roman" w:hAnsi="Arial" w:cs="Arial"/>
                <w:b/>
                <w:bCs/>
                <w:color w:val="FFFFFF"/>
                <w:sz w:val="20"/>
                <w:szCs w:val="20"/>
                <w:lang w:val="es-MX" w:eastAsia="es-MX"/>
              </w:rPr>
              <w:t>Candidatura</w:t>
            </w:r>
          </w:p>
        </w:tc>
        <w:tc>
          <w:tcPr>
            <w:tcW w:w="1820" w:type="dxa"/>
            <w:tcBorders>
              <w:top w:val="single" w:sz="4" w:space="0" w:color="BFBFBF"/>
              <w:left w:val="nil"/>
              <w:bottom w:val="single" w:sz="4" w:space="0" w:color="BFBFBF"/>
              <w:right w:val="single" w:sz="4" w:space="0" w:color="BFBFBF"/>
            </w:tcBorders>
            <w:shd w:val="clear" w:color="000000" w:fill="595959"/>
            <w:vAlign w:val="center"/>
            <w:hideMark/>
          </w:tcPr>
          <w:p w:rsidR="00B57536" w:rsidRPr="00B57536" w:rsidRDefault="00B57536" w:rsidP="00B57536">
            <w:pPr>
              <w:spacing w:after="0" w:line="240" w:lineRule="auto"/>
              <w:jc w:val="center"/>
              <w:rPr>
                <w:rFonts w:ascii="Arial" w:eastAsia="Times New Roman" w:hAnsi="Arial" w:cs="Arial"/>
                <w:b/>
                <w:bCs/>
                <w:color w:val="FFFFFF"/>
                <w:sz w:val="20"/>
                <w:szCs w:val="20"/>
                <w:lang w:val="es-MX" w:eastAsia="es-MX"/>
              </w:rPr>
            </w:pPr>
            <w:r w:rsidRPr="00B57536">
              <w:rPr>
                <w:rFonts w:ascii="Arial" w:eastAsia="Times New Roman" w:hAnsi="Arial" w:cs="Arial"/>
                <w:b/>
                <w:bCs/>
                <w:color w:val="FFFFFF"/>
                <w:sz w:val="20"/>
                <w:szCs w:val="20"/>
                <w:lang w:val="es-MX" w:eastAsia="es-MX"/>
              </w:rPr>
              <w:t>Tope de gastos de campaña</w:t>
            </w:r>
          </w:p>
        </w:tc>
      </w:tr>
      <w:tr w:rsidR="00B57536" w:rsidRPr="00B57536" w:rsidTr="00B57536">
        <w:trPr>
          <w:trHeight w:val="300"/>
          <w:jc w:val="center"/>
        </w:trPr>
        <w:tc>
          <w:tcPr>
            <w:tcW w:w="5180" w:type="dxa"/>
            <w:tcBorders>
              <w:top w:val="nil"/>
              <w:left w:val="single" w:sz="4" w:space="0" w:color="BFBFBF"/>
              <w:bottom w:val="single" w:sz="4" w:space="0" w:color="BFBFBF"/>
              <w:right w:val="single" w:sz="4" w:space="0" w:color="BFBFBF"/>
            </w:tcBorders>
            <w:shd w:val="clear" w:color="000000" w:fill="D9D9D9"/>
            <w:noWrap/>
            <w:vAlign w:val="center"/>
            <w:hideMark/>
          </w:tcPr>
          <w:p w:rsidR="00B57536" w:rsidRPr="00B57536" w:rsidRDefault="00B57536" w:rsidP="00B57536">
            <w:pPr>
              <w:spacing w:after="0" w:line="240" w:lineRule="auto"/>
              <w:jc w:val="both"/>
              <w:rPr>
                <w:rFonts w:ascii="Arial" w:eastAsia="Times New Roman" w:hAnsi="Arial" w:cs="Arial"/>
                <w:color w:val="000000"/>
                <w:sz w:val="20"/>
                <w:szCs w:val="20"/>
                <w:lang w:val="es-MX" w:eastAsia="es-MX"/>
              </w:rPr>
            </w:pPr>
            <w:r w:rsidRPr="00B57536">
              <w:rPr>
                <w:rFonts w:ascii="Arial" w:eastAsia="Times New Roman" w:hAnsi="Arial" w:cs="Arial"/>
                <w:color w:val="000000"/>
                <w:sz w:val="20"/>
                <w:szCs w:val="20"/>
                <w:lang w:val="es-MX" w:eastAsia="es-MX"/>
              </w:rPr>
              <w:t>Presidente de los Estados Unidos Mexicanos</w:t>
            </w:r>
          </w:p>
        </w:tc>
        <w:tc>
          <w:tcPr>
            <w:tcW w:w="1820" w:type="dxa"/>
            <w:tcBorders>
              <w:top w:val="nil"/>
              <w:left w:val="nil"/>
              <w:bottom w:val="single" w:sz="4" w:space="0" w:color="BFBFBF"/>
              <w:right w:val="single" w:sz="4" w:space="0" w:color="BFBFBF"/>
            </w:tcBorders>
            <w:shd w:val="clear" w:color="auto" w:fill="auto"/>
            <w:vAlign w:val="center"/>
            <w:hideMark/>
          </w:tcPr>
          <w:p w:rsidR="00B57536" w:rsidRPr="00B57536" w:rsidRDefault="00B57536" w:rsidP="00B57536">
            <w:pPr>
              <w:spacing w:after="0" w:line="240" w:lineRule="auto"/>
              <w:jc w:val="right"/>
              <w:rPr>
                <w:rFonts w:ascii="Arial" w:eastAsia="Times New Roman" w:hAnsi="Arial" w:cs="Arial"/>
                <w:color w:val="000000"/>
                <w:sz w:val="20"/>
                <w:szCs w:val="20"/>
                <w:lang w:val="es-MX" w:eastAsia="es-MX"/>
              </w:rPr>
            </w:pPr>
            <w:r w:rsidRPr="00B57536">
              <w:rPr>
                <w:rFonts w:ascii="Arial" w:eastAsia="Times New Roman" w:hAnsi="Arial" w:cs="Arial"/>
                <w:color w:val="000000"/>
                <w:sz w:val="20"/>
                <w:szCs w:val="20"/>
                <w:lang w:val="es-MX" w:eastAsia="es-MX"/>
              </w:rPr>
              <w:t>$429,633,325.00</w:t>
            </w:r>
          </w:p>
        </w:tc>
      </w:tr>
      <w:tr w:rsidR="00B57536" w:rsidRPr="00B57536" w:rsidTr="00B57536">
        <w:trPr>
          <w:trHeight w:val="300"/>
          <w:jc w:val="center"/>
        </w:trPr>
        <w:tc>
          <w:tcPr>
            <w:tcW w:w="5180" w:type="dxa"/>
            <w:tcBorders>
              <w:top w:val="nil"/>
              <w:left w:val="single" w:sz="4" w:space="0" w:color="BFBFBF"/>
              <w:bottom w:val="single" w:sz="4" w:space="0" w:color="BFBFBF"/>
              <w:right w:val="single" w:sz="4" w:space="0" w:color="BFBFBF"/>
            </w:tcBorders>
            <w:shd w:val="clear" w:color="000000" w:fill="D9D9D9"/>
            <w:noWrap/>
            <w:vAlign w:val="center"/>
            <w:hideMark/>
          </w:tcPr>
          <w:p w:rsidR="00B57536" w:rsidRPr="00B57536" w:rsidRDefault="00B57536" w:rsidP="00B57536">
            <w:pPr>
              <w:spacing w:after="0" w:line="240" w:lineRule="auto"/>
              <w:jc w:val="both"/>
              <w:rPr>
                <w:rFonts w:ascii="Arial" w:eastAsia="Times New Roman" w:hAnsi="Arial" w:cs="Arial"/>
                <w:color w:val="000000"/>
                <w:sz w:val="20"/>
                <w:szCs w:val="20"/>
                <w:lang w:val="es-MX" w:eastAsia="es-MX"/>
              </w:rPr>
            </w:pPr>
            <w:r w:rsidRPr="00B57536">
              <w:rPr>
                <w:rFonts w:ascii="Arial" w:eastAsia="Times New Roman" w:hAnsi="Arial" w:cs="Arial"/>
                <w:color w:val="000000"/>
                <w:sz w:val="20"/>
                <w:szCs w:val="20"/>
                <w:lang w:val="es-MX" w:eastAsia="es-MX"/>
              </w:rPr>
              <w:t>Diputados por el principio de mayoría relativa</w:t>
            </w:r>
          </w:p>
        </w:tc>
        <w:tc>
          <w:tcPr>
            <w:tcW w:w="1820" w:type="dxa"/>
            <w:tcBorders>
              <w:top w:val="nil"/>
              <w:left w:val="nil"/>
              <w:bottom w:val="single" w:sz="4" w:space="0" w:color="BFBFBF"/>
              <w:right w:val="single" w:sz="4" w:space="0" w:color="BFBFBF"/>
            </w:tcBorders>
            <w:shd w:val="clear" w:color="auto" w:fill="auto"/>
            <w:vAlign w:val="center"/>
            <w:hideMark/>
          </w:tcPr>
          <w:p w:rsidR="00B57536" w:rsidRPr="00B57536" w:rsidRDefault="00B57536" w:rsidP="00B57536">
            <w:pPr>
              <w:spacing w:after="0" w:line="240" w:lineRule="auto"/>
              <w:jc w:val="right"/>
              <w:rPr>
                <w:rFonts w:ascii="Arial" w:eastAsia="Times New Roman" w:hAnsi="Arial" w:cs="Arial"/>
                <w:color w:val="000000"/>
                <w:sz w:val="20"/>
                <w:szCs w:val="20"/>
                <w:lang w:val="es-MX" w:eastAsia="es-MX"/>
              </w:rPr>
            </w:pPr>
            <w:r w:rsidRPr="00B57536">
              <w:rPr>
                <w:rFonts w:ascii="Arial" w:eastAsia="Times New Roman" w:hAnsi="Arial" w:cs="Arial"/>
                <w:color w:val="000000"/>
                <w:sz w:val="20"/>
                <w:szCs w:val="20"/>
                <w:lang w:val="es-MX" w:eastAsia="es-MX"/>
              </w:rPr>
              <w:t>$1,432,111.00</w:t>
            </w:r>
          </w:p>
        </w:tc>
      </w:tr>
      <w:tr w:rsidR="00B57536" w:rsidRPr="00B57536" w:rsidTr="00B57536">
        <w:trPr>
          <w:trHeight w:val="300"/>
          <w:jc w:val="center"/>
        </w:trPr>
        <w:tc>
          <w:tcPr>
            <w:tcW w:w="5180" w:type="dxa"/>
            <w:tcBorders>
              <w:top w:val="nil"/>
              <w:left w:val="single" w:sz="4" w:space="0" w:color="BFBFBF"/>
              <w:bottom w:val="single" w:sz="4" w:space="0" w:color="BFBFBF"/>
              <w:right w:val="single" w:sz="4" w:space="0" w:color="BFBFBF"/>
            </w:tcBorders>
            <w:shd w:val="clear" w:color="000000" w:fill="D9D9D9"/>
            <w:noWrap/>
            <w:vAlign w:val="center"/>
            <w:hideMark/>
          </w:tcPr>
          <w:p w:rsidR="00B57536" w:rsidRPr="00B57536" w:rsidRDefault="00B57536" w:rsidP="00B57536">
            <w:pPr>
              <w:spacing w:after="0" w:line="240" w:lineRule="auto"/>
              <w:jc w:val="both"/>
              <w:rPr>
                <w:rFonts w:ascii="Arial" w:eastAsia="Times New Roman" w:hAnsi="Arial" w:cs="Arial"/>
                <w:color w:val="000000"/>
                <w:sz w:val="20"/>
                <w:szCs w:val="20"/>
                <w:lang w:val="es-MX" w:eastAsia="es-MX"/>
              </w:rPr>
            </w:pPr>
            <w:r w:rsidRPr="00B57536">
              <w:rPr>
                <w:rFonts w:ascii="Arial" w:eastAsia="Times New Roman" w:hAnsi="Arial" w:cs="Arial"/>
                <w:color w:val="000000"/>
                <w:sz w:val="20"/>
                <w:szCs w:val="20"/>
                <w:lang w:val="es-MX" w:eastAsia="es-MX"/>
              </w:rPr>
              <w:t>Senadores por el principio de mayoría relativa en Chiapas</w:t>
            </w:r>
          </w:p>
        </w:tc>
        <w:tc>
          <w:tcPr>
            <w:tcW w:w="1820" w:type="dxa"/>
            <w:tcBorders>
              <w:top w:val="nil"/>
              <w:left w:val="nil"/>
              <w:bottom w:val="single" w:sz="4" w:space="0" w:color="BFBFBF"/>
              <w:right w:val="single" w:sz="4" w:space="0" w:color="BFBFBF"/>
            </w:tcBorders>
            <w:shd w:val="clear" w:color="auto" w:fill="auto"/>
            <w:vAlign w:val="center"/>
            <w:hideMark/>
          </w:tcPr>
          <w:p w:rsidR="00B57536" w:rsidRPr="00B57536" w:rsidRDefault="00B57536" w:rsidP="00B57536">
            <w:pPr>
              <w:spacing w:after="0" w:line="240" w:lineRule="auto"/>
              <w:jc w:val="right"/>
              <w:rPr>
                <w:rFonts w:ascii="Arial" w:eastAsia="Times New Roman" w:hAnsi="Arial" w:cs="Arial"/>
                <w:color w:val="000000"/>
                <w:sz w:val="20"/>
                <w:szCs w:val="20"/>
                <w:lang w:val="es-MX" w:eastAsia="es-MX"/>
              </w:rPr>
            </w:pPr>
            <w:r w:rsidRPr="00B57536">
              <w:rPr>
                <w:rFonts w:ascii="Arial" w:eastAsia="Times New Roman" w:hAnsi="Arial" w:cs="Arial"/>
                <w:color w:val="000000"/>
                <w:sz w:val="20"/>
                <w:szCs w:val="20"/>
                <w:lang w:val="es-MX" w:eastAsia="es-MX"/>
              </w:rPr>
              <w:t>$18,617,443.00</w:t>
            </w:r>
          </w:p>
        </w:tc>
      </w:tr>
      <w:tr w:rsidR="00B57536" w:rsidRPr="00B57536" w:rsidTr="00B57536">
        <w:trPr>
          <w:trHeight w:val="300"/>
          <w:jc w:val="center"/>
        </w:trPr>
        <w:tc>
          <w:tcPr>
            <w:tcW w:w="5180" w:type="dxa"/>
            <w:tcBorders>
              <w:top w:val="nil"/>
              <w:left w:val="single" w:sz="4" w:space="0" w:color="BFBFBF"/>
              <w:bottom w:val="single" w:sz="4" w:space="0" w:color="BFBFBF"/>
              <w:right w:val="single" w:sz="4" w:space="0" w:color="BFBFBF"/>
            </w:tcBorders>
            <w:shd w:val="clear" w:color="000000" w:fill="D9D9D9"/>
            <w:noWrap/>
            <w:vAlign w:val="center"/>
            <w:hideMark/>
          </w:tcPr>
          <w:p w:rsidR="00B57536" w:rsidRPr="00B57536" w:rsidRDefault="00B57536" w:rsidP="00B57536">
            <w:pPr>
              <w:spacing w:after="0" w:line="240" w:lineRule="auto"/>
              <w:jc w:val="both"/>
              <w:rPr>
                <w:rFonts w:ascii="Arial" w:eastAsia="Times New Roman" w:hAnsi="Arial" w:cs="Arial"/>
                <w:color w:val="000000"/>
                <w:sz w:val="20"/>
                <w:szCs w:val="20"/>
                <w:lang w:val="es-MX" w:eastAsia="es-MX"/>
              </w:rPr>
            </w:pPr>
            <w:r w:rsidRPr="00B57536">
              <w:rPr>
                <w:rFonts w:ascii="Arial" w:eastAsia="Times New Roman" w:hAnsi="Arial" w:cs="Arial"/>
                <w:color w:val="000000"/>
                <w:sz w:val="20"/>
                <w:szCs w:val="20"/>
                <w:lang w:val="es-MX" w:eastAsia="es-MX"/>
              </w:rPr>
              <w:t xml:space="preserve">Senadores por el principio de mayoría relativa en Sinaloa </w:t>
            </w:r>
          </w:p>
        </w:tc>
        <w:tc>
          <w:tcPr>
            <w:tcW w:w="1820" w:type="dxa"/>
            <w:tcBorders>
              <w:top w:val="nil"/>
              <w:left w:val="nil"/>
              <w:bottom w:val="single" w:sz="4" w:space="0" w:color="BFBFBF"/>
              <w:right w:val="single" w:sz="4" w:space="0" w:color="BFBFBF"/>
            </w:tcBorders>
            <w:shd w:val="clear" w:color="auto" w:fill="auto"/>
            <w:vAlign w:val="center"/>
            <w:hideMark/>
          </w:tcPr>
          <w:p w:rsidR="00B57536" w:rsidRPr="00B57536" w:rsidRDefault="00B57536" w:rsidP="00B57536">
            <w:pPr>
              <w:spacing w:after="0" w:line="240" w:lineRule="auto"/>
              <w:jc w:val="right"/>
              <w:rPr>
                <w:rFonts w:ascii="Arial" w:eastAsia="Times New Roman" w:hAnsi="Arial" w:cs="Arial"/>
                <w:color w:val="000000"/>
                <w:sz w:val="20"/>
                <w:szCs w:val="20"/>
                <w:lang w:val="es-MX" w:eastAsia="es-MX"/>
              </w:rPr>
            </w:pPr>
            <w:r w:rsidRPr="00B57536">
              <w:rPr>
                <w:rFonts w:ascii="Arial" w:eastAsia="Times New Roman" w:hAnsi="Arial" w:cs="Arial"/>
                <w:color w:val="000000"/>
                <w:sz w:val="20"/>
                <w:szCs w:val="20"/>
                <w:lang w:val="es-MX" w:eastAsia="es-MX"/>
              </w:rPr>
              <w:t>$10,024,777.00</w:t>
            </w:r>
          </w:p>
        </w:tc>
      </w:tr>
    </w:tbl>
    <w:p w:rsidR="00153F3E" w:rsidRPr="00FD2527" w:rsidRDefault="00D2255D" w:rsidP="009D686D">
      <w:pPr>
        <w:spacing w:before="360" w:after="360" w:line="360" w:lineRule="auto"/>
        <w:ind w:firstLine="1418"/>
        <w:jc w:val="both"/>
        <w:rPr>
          <w:rFonts w:ascii="Arial" w:hAnsi="Arial" w:cs="Arial"/>
          <w:sz w:val="28"/>
          <w:szCs w:val="28"/>
        </w:rPr>
      </w:pPr>
      <w:r>
        <w:rPr>
          <w:rFonts w:ascii="Arial" w:hAnsi="Arial" w:cs="Arial"/>
          <w:sz w:val="28"/>
          <w:szCs w:val="28"/>
        </w:rPr>
        <w:t>Considerando lo anterior</w:t>
      </w:r>
      <w:r w:rsidR="00B56FFC" w:rsidRPr="00FD2527">
        <w:rPr>
          <w:rFonts w:ascii="Arial" w:hAnsi="Arial" w:cs="Arial"/>
          <w:sz w:val="28"/>
          <w:szCs w:val="28"/>
        </w:rPr>
        <w:t xml:space="preserve">, </w:t>
      </w:r>
      <w:r>
        <w:rPr>
          <w:rFonts w:ascii="Arial" w:hAnsi="Arial" w:cs="Arial"/>
          <w:sz w:val="28"/>
          <w:szCs w:val="28"/>
        </w:rPr>
        <w:t xml:space="preserve">en el acuerdo impugnado </w:t>
      </w:r>
      <w:r w:rsidR="00B56FFC" w:rsidRPr="00FD2527">
        <w:rPr>
          <w:rFonts w:ascii="Arial" w:hAnsi="Arial" w:cs="Arial"/>
          <w:sz w:val="28"/>
          <w:szCs w:val="28"/>
        </w:rPr>
        <w:t xml:space="preserve">se dispusieron los montos máximos que podría recabar cada candidatura independiente conforme al tipo de </w:t>
      </w:r>
      <w:r w:rsidR="00EF59CE" w:rsidRPr="00FD2527">
        <w:rPr>
          <w:rFonts w:ascii="Arial" w:hAnsi="Arial" w:cs="Arial"/>
          <w:sz w:val="28"/>
          <w:szCs w:val="28"/>
        </w:rPr>
        <w:t xml:space="preserve">cargo por el cual se postularon, </w:t>
      </w:r>
      <w:r w:rsidR="001658EC" w:rsidRPr="00FD2527">
        <w:rPr>
          <w:rFonts w:ascii="Arial" w:hAnsi="Arial" w:cs="Arial"/>
          <w:sz w:val="28"/>
          <w:szCs w:val="28"/>
        </w:rPr>
        <w:t>aplic</w:t>
      </w:r>
      <w:r w:rsidR="00EF59CE" w:rsidRPr="00FD2527">
        <w:rPr>
          <w:rFonts w:ascii="Arial" w:hAnsi="Arial" w:cs="Arial"/>
          <w:sz w:val="28"/>
          <w:szCs w:val="28"/>
        </w:rPr>
        <w:t>ando para su cálculo</w:t>
      </w:r>
      <w:r w:rsidR="001658EC" w:rsidRPr="00FD2527">
        <w:rPr>
          <w:rFonts w:ascii="Arial" w:hAnsi="Arial" w:cs="Arial"/>
          <w:sz w:val="28"/>
          <w:szCs w:val="28"/>
        </w:rPr>
        <w:t xml:space="preserve"> la disposición contenida e</w:t>
      </w:r>
      <w:r w:rsidR="00EF59CE" w:rsidRPr="00FD2527">
        <w:rPr>
          <w:rFonts w:ascii="Arial" w:hAnsi="Arial" w:cs="Arial"/>
          <w:sz w:val="28"/>
          <w:szCs w:val="28"/>
        </w:rPr>
        <w:t>n el artículo 399 de la LEGIPE</w:t>
      </w:r>
      <w:r>
        <w:rPr>
          <w:rFonts w:ascii="Arial" w:hAnsi="Arial" w:cs="Arial"/>
          <w:sz w:val="28"/>
          <w:szCs w:val="28"/>
        </w:rPr>
        <w:t>, es decir, a partir del diez por ciento de los topes de gastos respectivos</w:t>
      </w:r>
      <w:r w:rsidR="00EF59CE" w:rsidRPr="00FD2527">
        <w:rPr>
          <w:rFonts w:ascii="Arial" w:hAnsi="Arial" w:cs="Arial"/>
          <w:sz w:val="28"/>
          <w:szCs w:val="28"/>
        </w:rPr>
        <w:t>.</w:t>
      </w:r>
    </w:p>
    <w:p w:rsidR="00636957" w:rsidRPr="00FD2527" w:rsidRDefault="00D2255D" w:rsidP="009D686D">
      <w:pPr>
        <w:spacing w:before="360" w:after="360" w:line="360" w:lineRule="auto"/>
        <w:ind w:firstLine="1418"/>
        <w:jc w:val="both"/>
        <w:rPr>
          <w:rFonts w:ascii="Arial" w:hAnsi="Arial" w:cs="Arial"/>
          <w:sz w:val="28"/>
          <w:szCs w:val="28"/>
        </w:rPr>
      </w:pPr>
      <w:r>
        <w:rPr>
          <w:rFonts w:ascii="Arial" w:hAnsi="Arial" w:cs="Arial"/>
          <w:sz w:val="28"/>
          <w:szCs w:val="28"/>
        </w:rPr>
        <w:t>En ese sentido</w:t>
      </w:r>
      <w:r w:rsidR="00372CAA" w:rsidRPr="00FD2527">
        <w:rPr>
          <w:rFonts w:ascii="Arial" w:hAnsi="Arial" w:cs="Arial"/>
          <w:sz w:val="28"/>
          <w:szCs w:val="28"/>
        </w:rPr>
        <w:t>, considerando las candidaturas independientes que ostentan los recurrentes, se advierte que el monto que pueden recaudar por financiamiento privado, es el siguiente:</w:t>
      </w:r>
    </w:p>
    <w:p w:rsidR="00372CAA" w:rsidRPr="006A3761" w:rsidRDefault="00372CAA" w:rsidP="00AD1BA3">
      <w:pPr>
        <w:pStyle w:val="Prrafodelista"/>
        <w:numPr>
          <w:ilvl w:val="0"/>
          <w:numId w:val="16"/>
        </w:numPr>
        <w:spacing w:before="360" w:after="360" w:line="360" w:lineRule="auto"/>
        <w:ind w:left="567"/>
        <w:jc w:val="both"/>
        <w:rPr>
          <w:rFonts w:ascii="Arial" w:hAnsi="Arial" w:cs="Arial"/>
          <w:b/>
          <w:sz w:val="24"/>
          <w:szCs w:val="26"/>
        </w:rPr>
      </w:pPr>
      <w:r w:rsidRPr="006A3761">
        <w:rPr>
          <w:rFonts w:ascii="Arial" w:hAnsi="Arial" w:cs="Arial"/>
          <w:sz w:val="24"/>
          <w:szCs w:val="26"/>
        </w:rPr>
        <w:t>Margarita Ester Zavala Gómez del Campo:</w:t>
      </w:r>
      <w:r w:rsidR="00AD1BA3" w:rsidRPr="006A3761">
        <w:rPr>
          <w:rFonts w:ascii="Arial" w:hAnsi="Arial" w:cs="Arial"/>
          <w:sz w:val="24"/>
          <w:szCs w:val="26"/>
        </w:rPr>
        <w:tab/>
      </w:r>
      <w:r w:rsidR="00E570D6" w:rsidRPr="006A3761">
        <w:rPr>
          <w:rFonts w:ascii="Arial" w:hAnsi="Arial" w:cs="Arial"/>
          <w:b/>
          <w:sz w:val="24"/>
          <w:szCs w:val="26"/>
        </w:rPr>
        <w:t>$42,963,332.50</w:t>
      </w:r>
    </w:p>
    <w:p w:rsidR="00E570D6" w:rsidRPr="006A3761" w:rsidRDefault="00E570D6" w:rsidP="00AD1BA3">
      <w:pPr>
        <w:pStyle w:val="Prrafodelista"/>
        <w:numPr>
          <w:ilvl w:val="0"/>
          <w:numId w:val="16"/>
        </w:numPr>
        <w:spacing w:before="360" w:after="360" w:line="360" w:lineRule="auto"/>
        <w:ind w:left="567"/>
        <w:jc w:val="both"/>
        <w:rPr>
          <w:rFonts w:ascii="Arial" w:hAnsi="Arial" w:cs="Arial"/>
          <w:b/>
          <w:sz w:val="24"/>
          <w:szCs w:val="26"/>
        </w:rPr>
      </w:pPr>
      <w:r w:rsidRPr="006A3761">
        <w:rPr>
          <w:rFonts w:ascii="Arial" w:hAnsi="Arial" w:cs="Arial"/>
          <w:sz w:val="24"/>
          <w:szCs w:val="26"/>
        </w:rPr>
        <w:t xml:space="preserve">Manuel Jesús Clouthier Carrillo: </w:t>
      </w:r>
      <w:r w:rsidR="00AD1BA3" w:rsidRPr="006A3761">
        <w:rPr>
          <w:rFonts w:ascii="Arial" w:hAnsi="Arial" w:cs="Arial"/>
          <w:sz w:val="24"/>
          <w:szCs w:val="26"/>
        </w:rPr>
        <w:tab/>
      </w:r>
      <w:r w:rsidR="00AD1BA3" w:rsidRPr="006A3761">
        <w:rPr>
          <w:rFonts w:ascii="Arial" w:hAnsi="Arial" w:cs="Arial"/>
          <w:sz w:val="24"/>
          <w:szCs w:val="26"/>
        </w:rPr>
        <w:tab/>
      </w:r>
      <w:r w:rsidR="006A3761">
        <w:rPr>
          <w:rFonts w:ascii="Arial" w:hAnsi="Arial" w:cs="Arial"/>
          <w:sz w:val="24"/>
          <w:szCs w:val="26"/>
        </w:rPr>
        <w:tab/>
      </w:r>
      <w:r w:rsidRPr="006A3761">
        <w:rPr>
          <w:rFonts w:ascii="Arial" w:hAnsi="Arial" w:cs="Arial"/>
          <w:b/>
          <w:sz w:val="24"/>
          <w:szCs w:val="26"/>
        </w:rPr>
        <w:t>$</w:t>
      </w:r>
      <w:r w:rsidR="00A60BD1" w:rsidRPr="006A3761">
        <w:rPr>
          <w:rFonts w:ascii="Arial" w:hAnsi="Arial" w:cs="Arial"/>
          <w:b/>
          <w:sz w:val="24"/>
          <w:szCs w:val="26"/>
        </w:rPr>
        <w:t>1,002,477.70</w:t>
      </w:r>
    </w:p>
    <w:p w:rsidR="00E570D6" w:rsidRPr="006A3761" w:rsidRDefault="00E570D6" w:rsidP="00AD1BA3">
      <w:pPr>
        <w:pStyle w:val="Prrafodelista"/>
        <w:numPr>
          <w:ilvl w:val="0"/>
          <w:numId w:val="16"/>
        </w:numPr>
        <w:spacing w:before="360" w:after="360" w:line="360" w:lineRule="auto"/>
        <w:ind w:left="567"/>
        <w:jc w:val="both"/>
        <w:rPr>
          <w:rFonts w:ascii="Arial" w:hAnsi="Arial" w:cs="Arial"/>
          <w:b/>
          <w:sz w:val="24"/>
          <w:szCs w:val="26"/>
        </w:rPr>
      </w:pPr>
      <w:r w:rsidRPr="006A3761">
        <w:rPr>
          <w:rFonts w:ascii="Arial" w:hAnsi="Arial" w:cs="Arial"/>
          <w:sz w:val="24"/>
          <w:szCs w:val="26"/>
        </w:rPr>
        <w:t xml:space="preserve">Pablo Abner Salazar Mendiguchía: </w:t>
      </w:r>
      <w:r w:rsidR="00AD1BA3" w:rsidRPr="006A3761">
        <w:rPr>
          <w:rFonts w:ascii="Arial" w:hAnsi="Arial" w:cs="Arial"/>
          <w:sz w:val="24"/>
          <w:szCs w:val="26"/>
        </w:rPr>
        <w:tab/>
      </w:r>
      <w:r w:rsidR="00AD1BA3" w:rsidRPr="006A3761">
        <w:rPr>
          <w:rFonts w:ascii="Arial" w:hAnsi="Arial" w:cs="Arial"/>
          <w:sz w:val="24"/>
          <w:szCs w:val="26"/>
        </w:rPr>
        <w:tab/>
      </w:r>
      <w:r w:rsidRPr="006A3761">
        <w:rPr>
          <w:rFonts w:ascii="Arial" w:hAnsi="Arial" w:cs="Arial"/>
          <w:b/>
          <w:sz w:val="24"/>
          <w:szCs w:val="26"/>
        </w:rPr>
        <w:t>$1,861,744.30</w:t>
      </w:r>
    </w:p>
    <w:p w:rsidR="00D82E73" w:rsidRPr="006A3761" w:rsidRDefault="00993E47" w:rsidP="00AD1BA3">
      <w:pPr>
        <w:pStyle w:val="Prrafodelista"/>
        <w:numPr>
          <w:ilvl w:val="0"/>
          <w:numId w:val="16"/>
        </w:numPr>
        <w:spacing w:before="360" w:after="360" w:line="360" w:lineRule="auto"/>
        <w:ind w:left="567"/>
        <w:jc w:val="both"/>
        <w:rPr>
          <w:rFonts w:ascii="Arial" w:hAnsi="Arial" w:cs="Arial"/>
          <w:b/>
          <w:sz w:val="24"/>
          <w:szCs w:val="26"/>
        </w:rPr>
      </w:pPr>
      <w:r w:rsidRPr="006A3761">
        <w:rPr>
          <w:rFonts w:ascii="Arial" w:hAnsi="Arial" w:cs="Arial"/>
          <w:sz w:val="24"/>
          <w:szCs w:val="26"/>
        </w:rPr>
        <w:t>Luisa María de Guadalupe Calderón Hinojosa:</w:t>
      </w:r>
      <w:r w:rsidR="006A3761">
        <w:rPr>
          <w:rFonts w:ascii="Arial" w:hAnsi="Arial" w:cs="Arial"/>
          <w:sz w:val="24"/>
          <w:szCs w:val="26"/>
        </w:rPr>
        <w:tab/>
      </w:r>
      <w:r w:rsidRPr="006A3761">
        <w:rPr>
          <w:rFonts w:ascii="Arial" w:hAnsi="Arial" w:cs="Arial"/>
          <w:b/>
          <w:sz w:val="24"/>
          <w:szCs w:val="26"/>
        </w:rPr>
        <w:t>$143,211.10</w:t>
      </w:r>
    </w:p>
    <w:p w:rsidR="00DB3768" w:rsidRPr="00FD2527" w:rsidRDefault="00DB3768" w:rsidP="00DB3768">
      <w:pPr>
        <w:spacing w:before="360" w:after="360" w:line="360" w:lineRule="auto"/>
        <w:jc w:val="both"/>
        <w:rPr>
          <w:rFonts w:ascii="Arial" w:hAnsi="Arial" w:cs="Arial"/>
          <w:sz w:val="28"/>
          <w:szCs w:val="28"/>
        </w:rPr>
      </w:pPr>
      <w:r w:rsidRPr="00D2255D">
        <w:rPr>
          <w:rFonts w:ascii="Arial" w:hAnsi="Arial" w:cs="Arial"/>
          <w:b/>
          <w:sz w:val="28"/>
          <w:szCs w:val="28"/>
        </w:rPr>
        <w:tab/>
      </w:r>
      <w:r w:rsidRPr="00D2255D">
        <w:rPr>
          <w:rFonts w:ascii="Arial" w:hAnsi="Arial" w:cs="Arial"/>
          <w:b/>
          <w:sz w:val="28"/>
          <w:szCs w:val="28"/>
        </w:rPr>
        <w:tab/>
      </w:r>
      <w:r w:rsidR="00D2255D" w:rsidRPr="00D2255D">
        <w:rPr>
          <w:rFonts w:ascii="Arial" w:hAnsi="Arial" w:cs="Arial"/>
          <w:b/>
          <w:sz w:val="28"/>
          <w:szCs w:val="28"/>
        </w:rPr>
        <w:t>Acuerdo de financiamiento público.</w:t>
      </w:r>
      <w:r w:rsidR="00D2255D">
        <w:rPr>
          <w:rFonts w:ascii="Arial" w:hAnsi="Arial" w:cs="Arial"/>
          <w:sz w:val="28"/>
          <w:szCs w:val="28"/>
        </w:rPr>
        <w:t xml:space="preserve"> </w:t>
      </w:r>
      <w:r w:rsidRPr="00FD2527">
        <w:rPr>
          <w:rFonts w:ascii="Arial" w:hAnsi="Arial" w:cs="Arial"/>
          <w:sz w:val="28"/>
          <w:szCs w:val="28"/>
        </w:rPr>
        <w:t xml:space="preserve">Ahora bien, por tener impacto en el estudio que se realiza en torno a la equidad en la contienda, es necesario hacer mención de los montos </w:t>
      </w:r>
      <w:r w:rsidR="00D2255D">
        <w:rPr>
          <w:rFonts w:ascii="Arial" w:hAnsi="Arial" w:cs="Arial"/>
          <w:sz w:val="28"/>
          <w:szCs w:val="28"/>
        </w:rPr>
        <w:t>determinados por la autoridad en el Acuerdo INE/</w:t>
      </w:r>
      <w:r w:rsidR="00D2255D" w:rsidRPr="00D2255D">
        <w:rPr>
          <w:rFonts w:ascii="Arial" w:hAnsi="Arial" w:cs="Arial"/>
          <w:sz w:val="28"/>
          <w:szCs w:val="28"/>
        </w:rPr>
        <w:t>CG283</w:t>
      </w:r>
      <w:r w:rsidR="00D2255D">
        <w:rPr>
          <w:rFonts w:ascii="Arial" w:hAnsi="Arial" w:cs="Arial"/>
          <w:sz w:val="28"/>
          <w:szCs w:val="28"/>
        </w:rPr>
        <w:t>/</w:t>
      </w:r>
      <w:r w:rsidR="00D2255D" w:rsidRPr="00D2255D">
        <w:rPr>
          <w:rFonts w:ascii="Arial" w:hAnsi="Arial" w:cs="Arial"/>
          <w:sz w:val="28"/>
          <w:szCs w:val="28"/>
        </w:rPr>
        <w:t>2018</w:t>
      </w:r>
      <w:r w:rsidR="00D2255D">
        <w:rPr>
          <w:rFonts w:ascii="Arial" w:hAnsi="Arial" w:cs="Arial"/>
          <w:sz w:val="28"/>
          <w:szCs w:val="28"/>
        </w:rPr>
        <w:t xml:space="preserve">, </w:t>
      </w:r>
      <w:r w:rsidR="0013402A" w:rsidRPr="00FD2527">
        <w:rPr>
          <w:rFonts w:ascii="Arial" w:hAnsi="Arial" w:cs="Arial"/>
          <w:sz w:val="28"/>
          <w:szCs w:val="28"/>
        </w:rPr>
        <w:t>a los cuales ti</w:t>
      </w:r>
      <w:r w:rsidR="00D2255D">
        <w:rPr>
          <w:rFonts w:ascii="Arial" w:hAnsi="Arial" w:cs="Arial"/>
          <w:sz w:val="28"/>
          <w:szCs w:val="28"/>
        </w:rPr>
        <w:t>enen derecho tales candidaturas</w:t>
      </w:r>
      <w:r w:rsidR="0013402A" w:rsidRPr="00FD2527">
        <w:rPr>
          <w:rFonts w:ascii="Arial" w:hAnsi="Arial" w:cs="Arial"/>
          <w:sz w:val="28"/>
          <w:szCs w:val="28"/>
        </w:rPr>
        <w:t xml:space="preserve"> </w:t>
      </w:r>
      <w:r w:rsidRPr="00FD2527">
        <w:rPr>
          <w:rFonts w:ascii="Arial" w:hAnsi="Arial" w:cs="Arial"/>
          <w:sz w:val="28"/>
          <w:szCs w:val="28"/>
        </w:rPr>
        <w:t>por concepto de financiamiento p</w:t>
      </w:r>
      <w:r w:rsidR="0013402A" w:rsidRPr="00FD2527">
        <w:rPr>
          <w:rFonts w:ascii="Arial" w:hAnsi="Arial" w:cs="Arial"/>
          <w:sz w:val="28"/>
          <w:szCs w:val="28"/>
        </w:rPr>
        <w:t>úblico</w:t>
      </w:r>
      <w:r w:rsidR="00D2255D">
        <w:rPr>
          <w:rStyle w:val="Refdenotaalpie"/>
          <w:rFonts w:ascii="Arial" w:hAnsi="Arial" w:cs="Arial"/>
          <w:sz w:val="28"/>
          <w:szCs w:val="28"/>
        </w:rPr>
        <w:footnoteReference w:id="34"/>
      </w:r>
      <w:r w:rsidR="0013402A" w:rsidRPr="00FD2527">
        <w:rPr>
          <w:rFonts w:ascii="Arial" w:hAnsi="Arial" w:cs="Arial"/>
          <w:sz w:val="28"/>
          <w:szCs w:val="28"/>
        </w:rPr>
        <w:t>:</w:t>
      </w:r>
    </w:p>
    <w:p w:rsidR="0013402A" w:rsidRPr="006A3761" w:rsidRDefault="0013402A" w:rsidP="00AD1BA3">
      <w:pPr>
        <w:pStyle w:val="Prrafodelista"/>
        <w:numPr>
          <w:ilvl w:val="0"/>
          <w:numId w:val="16"/>
        </w:numPr>
        <w:spacing w:before="360" w:after="360" w:line="360" w:lineRule="auto"/>
        <w:ind w:left="567"/>
        <w:jc w:val="both"/>
        <w:rPr>
          <w:rFonts w:ascii="Arial" w:hAnsi="Arial" w:cs="Arial"/>
          <w:b/>
          <w:sz w:val="24"/>
          <w:szCs w:val="26"/>
        </w:rPr>
      </w:pPr>
      <w:r w:rsidRPr="006A3761">
        <w:rPr>
          <w:rFonts w:ascii="Arial" w:hAnsi="Arial" w:cs="Arial"/>
          <w:sz w:val="24"/>
          <w:szCs w:val="26"/>
        </w:rPr>
        <w:t xml:space="preserve">Margarita Ester Zavala Gómez del Campo: </w:t>
      </w:r>
      <w:r w:rsidR="00AD1BA3" w:rsidRPr="006A3761">
        <w:rPr>
          <w:rFonts w:ascii="Arial" w:hAnsi="Arial" w:cs="Arial"/>
          <w:sz w:val="24"/>
          <w:szCs w:val="26"/>
        </w:rPr>
        <w:tab/>
      </w:r>
      <w:r w:rsidRPr="006A3761">
        <w:rPr>
          <w:rFonts w:ascii="Arial" w:hAnsi="Arial" w:cs="Arial"/>
          <w:b/>
          <w:sz w:val="24"/>
          <w:szCs w:val="26"/>
        </w:rPr>
        <w:t>$</w:t>
      </w:r>
      <w:r w:rsidR="009E4149" w:rsidRPr="006A3761">
        <w:rPr>
          <w:rFonts w:ascii="Arial" w:hAnsi="Arial" w:cs="Arial"/>
          <w:b/>
          <w:sz w:val="24"/>
          <w:szCs w:val="26"/>
        </w:rPr>
        <w:t>7,160,555</w:t>
      </w:r>
    </w:p>
    <w:p w:rsidR="0013402A" w:rsidRPr="006A3761" w:rsidRDefault="0013402A" w:rsidP="00AD1BA3">
      <w:pPr>
        <w:pStyle w:val="Prrafodelista"/>
        <w:numPr>
          <w:ilvl w:val="0"/>
          <w:numId w:val="16"/>
        </w:numPr>
        <w:spacing w:before="360" w:after="360" w:line="360" w:lineRule="auto"/>
        <w:ind w:left="567"/>
        <w:jc w:val="both"/>
        <w:rPr>
          <w:rFonts w:ascii="Arial" w:hAnsi="Arial" w:cs="Arial"/>
          <w:b/>
          <w:sz w:val="24"/>
          <w:szCs w:val="26"/>
        </w:rPr>
      </w:pPr>
      <w:r w:rsidRPr="006A3761">
        <w:rPr>
          <w:rFonts w:ascii="Arial" w:hAnsi="Arial" w:cs="Arial"/>
          <w:sz w:val="24"/>
          <w:szCs w:val="26"/>
        </w:rPr>
        <w:t xml:space="preserve">Manuel Jesús Clouthier Carrillo: </w:t>
      </w:r>
      <w:r w:rsidR="00AD1BA3" w:rsidRPr="006A3761">
        <w:rPr>
          <w:rFonts w:ascii="Arial" w:hAnsi="Arial" w:cs="Arial"/>
          <w:sz w:val="24"/>
          <w:szCs w:val="26"/>
        </w:rPr>
        <w:tab/>
      </w:r>
      <w:r w:rsidR="00AD1BA3" w:rsidRPr="006A3761">
        <w:rPr>
          <w:rFonts w:ascii="Arial" w:hAnsi="Arial" w:cs="Arial"/>
          <w:sz w:val="24"/>
          <w:szCs w:val="26"/>
        </w:rPr>
        <w:tab/>
      </w:r>
      <w:r w:rsidR="006A3761">
        <w:rPr>
          <w:rFonts w:ascii="Arial" w:hAnsi="Arial" w:cs="Arial"/>
          <w:sz w:val="24"/>
          <w:szCs w:val="26"/>
        </w:rPr>
        <w:tab/>
      </w:r>
      <w:r w:rsidRPr="006A3761">
        <w:rPr>
          <w:rFonts w:ascii="Arial" w:hAnsi="Arial" w:cs="Arial"/>
          <w:b/>
          <w:sz w:val="24"/>
          <w:szCs w:val="26"/>
        </w:rPr>
        <w:t>$</w:t>
      </w:r>
      <w:r w:rsidR="009E4149" w:rsidRPr="006A3761">
        <w:rPr>
          <w:rFonts w:ascii="Arial" w:hAnsi="Arial" w:cs="Arial"/>
          <w:b/>
          <w:sz w:val="24"/>
          <w:szCs w:val="26"/>
        </w:rPr>
        <w:t>2,045,872</w:t>
      </w:r>
    </w:p>
    <w:p w:rsidR="0013402A" w:rsidRPr="006A3761" w:rsidRDefault="0013402A" w:rsidP="00AD1BA3">
      <w:pPr>
        <w:pStyle w:val="Prrafodelista"/>
        <w:numPr>
          <w:ilvl w:val="0"/>
          <w:numId w:val="16"/>
        </w:numPr>
        <w:spacing w:before="360" w:after="360" w:line="360" w:lineRule="auto"/>
        <w:ind w:left="567"/>
        <w:jc w:val="both"/>
        <w:rPr>
          <w:rFonts w:ascii="Arial" w:hAnsi="Arial" w:cs="Arial"/>
          <w:b/>
          <w:sz w:val="24"/>
          <w:szCs w:val="26"/>
        </w:rPr>
      </w:pPr>
      <w:r w:rsidRPr="006A3761">
        <w:rPr>
          <w:rFonts w:ascii="Arial" w:hAnsi="Arial" w:cs="Arial"/>
          <w:sz w:val="24"/>
          <w:szCs w:val="26"/>
        </w:rPr>
        <w:t xml:space="preserve">Pablo Abner Salazar Mendiguchía: </w:t>
      </w:r>
      <w:r w:rsidR="00AD1BA3" w:rsidRPr="006A3761">
        <w:rPr>
          <w:rFonts w:ascii="Arial" w:hAnsi="Arial" w:cs="Arial"/>
          <w:sz w:val="24"/>
          <w:szCs w:val="26"/>
        </w:rPr>
        <w:tab/>
      </w:r>
      <w:r w:rsidR="00AD1BA3" w:rsidRPr="006A3761">
        <w:rPr>
          <w:rFonts w:ascii="Arial" w:hAnsi="Arial" w:cs="Arial"/>
          <w:sz w:val="24"/>
          <w:szCs w:val="26"/>
        </w:rPr>
        <w:tab/>
      </w:r>
      <w:r w:rsidRPr="006A3761">
        <w:rPr>
          <w:rFonts w:ascii="Arial" w:hAnsi="Arial" w:cs="Arial"/>
          <w:b/>
          <w:sz w:val="24"/>
          <w:szCs w:val="26"/>
        </w:rPr>
        <w:t>$</w:t>
      </w:r>
      <w:r w:rsidR="009E4149" w:rsidRPr="006A3761">
        <w:rPr>
          <w:rFonts w:ascii="Arial" w:hAnsi="Arial" w:cs="Arial"/>
          <w:b/>
          <w:sz w:val="24"/>
          <w:szCs w:val="26"/>
        </w:rPr>
        <w:t>2,045,872</w:t>
      </w:r>
    </w:p>
    <w:p w:rsidR="00993E47" w:rsidRPr="006A3761" w:rsidRDefault="00993E47" w:rsidP="00AD1BA3">
      <w:pPr>
        <w:pStyle w:val="Prrafodelista"/>
        <w:numPr>
          <w:ilvl w:val="0"/>
          <w:numId w:val="16"/>
        </w:numPr>
        <w:spacing w:before="360" w:after="360" w:line="360" w:lineRule="auto"/>
        <w:ind w:left="567"/>
        <w:jc w:val="both"/>
        <w:rPr>
          <w:rFonts w:ascii="Arial" w:hAnsi="Arial" w:cs="Arial"/>
          <w:b/>
          <w:sz w:val="24"/>
          <w:szCs w:val="26"/>
        </w:rPr>
      </w:pPr>
      <w:r w:rsidRPr="006A3761">
        <w:rPr>
          <w:rFonts w:ascii="Arial" w:hAnsi="Arial" w:cs="Arial"/>
          <w:sz w:val="24"/>
          <w:szCs w:val="26"/>
        </w:rPr>
        <w:t>Luisa María de Guadalupe Calderón Hinojosa:</w:t>
      </w:r>
      <w:r w:rsidR="006A3761">
        <w:rPr>
          <w:rFonts w:ascii="Arial" w:hAnsi="Arial" w:cs="Arial"/>
          <w:sz w:val="24"/>
          <w:szCs w:val="26"/>
        </w:rPr>
        <w:tab/>
      </w:r>
      <w:r w:rsidR="00092733" w:rsidRPr="006A3761">
        <w:rPr>
          <w:rFonts w:ascii="Arial" w:hAnsi="Arial" w:cs="Arial"/>
          <w:b/>
          <w:sz w:val="24"/>
          <w:szCs w:val="26"/>
        </w:rPr>
        <w:t>$</w:t>
      </w:r>
      <w:r w:rsidRPr="006A3761">
        <w:rPr>
          <w:rFonts w:ascii="Arial" w:hAnsi="Arial" w:cs="Arial"/>
          <w:b/>
          <w:sz w:val="24"/>
          <w:szCs w:val="26"/>
        </w:rPr>
        <w:t>387,057</w:t>
      </w:r>
      <w:r w:rsidR="006A3761" w:rsidRPr="006A3761">
        <w:rPr>
          <w:rFonts w:ascii="Arial" w:hAnsi="Arial" w:cs="Arial"/>
          <w:sz w:val="24"/>
          <w:szCs w:val="26"/>
        </w:rPr>
        <w:t xml:space="preserve"> </w:t>
      </w:r>
    </w:p>
    <w:p w:rsidR="00AE0F00" w:rsidRPr="00AE0F00" w:rsidRDefault="00904E45" w:rsidP="004471C3">
      <w:pPr>
        <w:pStyle w:val="Prrafosentencia0"/>
      </w:pPr>
      <w:r>
        <w:t>Debe</w:t>
      </w:r>
      <w:r w:rsidR="00AE0F00">
        <w:t xml:space="preserve"> </w:t>
      </w:r>
      <w:r>
        <w:t>señalarse</w:t>
      </w:r>
      <w:r w:rsidR="00AE0F00">
        <w:t xml:space="preserve"> que la responsable, al emitir el Acuerdo impugnado, </w:t>
      </w:r>
      <w:r w:rsidR="004471C3">
        <w:t>en atención al criterio sostenido en la Tesis XXI/2015 antes citada, no aplicó el</w:t>
      </w:r>
      <w:r w:rsidR="00AE0F00">
        <w:t xml:space="preserve"> principio de prevalencia del financiamiento público sobre el privado</w:t>
      </w:r>
      <w:r w:rsidR="00815830">
        <w:t xml:space="preserve">, con lo que permitió que las candidaturas independientes recaudaran mayor cantidad de financiamiento privado, derivado de la aplicación estricta del artículo </w:t>
      </w:r>
      <w:r w:rsidR="009A20E7">
        <w:t>controvertido</w:t>
      </w:r>
      <w:r w:rsidR="00815830">
        <w:t>.</w:t>
      </w:r>
    </w:p>
    <w:p w:rsidR="009D686D" w:rsidRPr="00FD2527" w:rsidRDefault="00B97409" w:rsidP="00B97409">
      <w:pPr>
        <w:spacing w:before="360" w:after="360" w:line="360" w:lineRule="auto"/>
        <w:jc w:val="both"/>
        <w:rPr>
          <w:rFonts w:ascii="Arial" w:hAnsi="Arial" w:cs="Arial"/>
          <w:sz w:val="28"/>
          <w:szCs w:val="28"/>
        </w:rPr>
      </w:pPr>
      <w:r w:rsidRPr="00FD2527">
        <w:rPr>
          <w:rFonts w:ascii="Arial" w:hAnsi="Arial" w:cs="Arial"/>
          <w:sz w:val="28"/>
          <w:szCs w:val="28"/>
        </w:rPr>
        <w:tab/>
      </w:r>
      <w:r w:rsidRPr="00FD2527">
        <w:rPr>
          <w:rFonts w:ascii="Arial" w:hAnsi="Arial" w:cs="Arial"/>
          <w:sz w:val="28"/>
          <w:szCs w:val="28"/>
        </w:rPr>
        <w:tab/>
      </w:r>
      <w:r w:rsidR="009D686D" w:rsidRPr="00FD2527">
        <w:rPr>
          <w:rFonts w:ascii="Arial" w:hAnsi="Arial" w:cs="Arial"/>
          <w:b/>
          <w:sz w:val="28"/>
          <w:szCs w:val="28"/>
        </w:rPr>
        <w:t>5</w:t>
      </w:r>
      <w:r w:rsidR="001257AD" w:rsidRPr="00FD2527">
        <w:rPr>
          <w:rFonts w:ascii="Arial" w:hAnsi="Arial" w:cs="Arial"/>
          <w:b/>
          <w:sz w:val="28"/>
          <w:szCs w:val="28"/>
        </w:rPr>
        <w:t>.6.2</w:t>
      </w:r>
      <w:r w:rsidR="009D686D" w:rsidRPr="00FD2527">
        <w:rPr>
          <w:rFonts w:ascii="Arial" w:hAnsi="Arial" w:cs="Arial"/>
          <w:b/>
          <w:sz w:val="28"/>
          <w:szCs w:val="28"/>
        </w:rPr>
        <w:t xml:space="preserve">. </w:t>
      </w:r>
      <w:r w:rsidR="00E7742E" w:rsidRPr="00FD2527">
        <w:rPr>
          <w:rFonts w:ascii="Arial" w:hAnsi="Arial" w:cs="Arial"/>
          <w:b/>
          <w:sz w:val="28"/>
          <w:szCs w:val="28"/>
        </w:rPr>
        <w:t xml:space="preserve">Análisis de constitucionalidad. </w:t>
      </w:r>
      <w:r w:rsidR="00C053B5">
        <w:rPr>
          <w:rFonts w:ascii="Arial" w:hAnsi="Arial" w:cs="Arial"/>
          <w:sz w:val="28"/>
          <w:szCs w:val="28"/>
        </w:rPr>
        <w:t>R</w:t>
      </w:r>
      <w:r w:rsidR="006914E0">
        <w:rPr>
          <w:rFonts w:ascii="Arial" w:hAnsi="Arial" w:cs="Arial"/>
          <w:sz w:val="28"/>
          <w:szCs w:val="28"/>
        </w:rPr>
        <w:t xml:space="preserve">esulta </w:t>
      </w:r>
      <w:r w:rsidR="006914E0" w:rsidRPr="006914E0">
        <w:rPr>
          <w:rFonts w:ascii="Arial" w:hAnsi="Arial" w:cs="Arial"/>
          <w:b/>
          <w:sz w:val="28"/>
          <w:szCs w:val="28"/>
        </w:rPr>
        <w:t>fundado</w:t>
      </w:r>
      <w:r w:rsidR="006914E0">
        <w:rPr>
          <w:rFonts w:ascii="Arial" w:hAnsi="Arial" w:cs="Arial"/>
          <w:sz w:val="28"/>
          <w:szCs w:val="28"/>
        </w:rPr>
        <w:t xml:space="preserve"> el agravio respectivo, ya que e</w:t>
      </w:r>
      <w:r w:rsidR="00E7742E" w:rsidRPr="00FD2527">
        <w:rPr>
          <w:rFonts w:ascii="Arial" w:hAnsi="Arial" w:cs="Arial"/>
          <w:sz w:val="28"/>
          <w:szCs w:val="28"/>
        </w:rPr>
        <w:t>l</w:t>
      </w:r>
      <w:r w:rsidR="009E7250">
        <w:rPr>
          <w:rFonts w:ascii="Arial" w:hAnsi="Arial" w:cs="Arial"/>
          <w:sz w:val="28"/>
          <w:szCs w:val="28"/>
        </w:rPr>
        <w:t xml:space="preserve"> </w:t>
      </w:r>
      <w:r w:rsidR="009E7250" w:rsidRPr="00FD2527">
        <w:rPr>
          <w:rFonts w:ascii="Arial" w:hAnsi="Arial" w:cs="Arial"/>
          <w:sz w:val="28"/>
          <w:szCs w:val="28"/>
        </w:rPr>
        <w:t xml:space="preserve">precepto </w:t>
      </w:r>
      <w:r w:rsidR="009E7250">
        <w:rPr>
          <w:rFonts w:ascii="Arial" w:hAnsi="Arial" w:cs="Arial"/>
          <w:sz w:val="28"/>
          <w:szCs w:val="28"/>
        </w:rPr>
        <w:t>contenido en</w:t>
      </w:r>
      <w:r w:rsidR="009E7250" w:rsidRPr="00FD2527">
        <w:rPr>
          <w:rFonts w:ascii="Arial" w:hAnsi="Arial" w:cs="Arial"/>
          <w:sz w:val="28"/>
          <w:szCs w:val="28"/>
        </w:rPr>
        <w:t xml:space="preserve"> </w:t>
      </w:r>
      <w:r w:rsidR="009E7250" w:rsidRPr="009E7250">
        <w:rPr>
          <w:rFonts w:ascii="Arial" w:hAnsi="Arial" w:cs="Arial"/>
          <w:sz w:val="28"/>
          <w:szCs w:val="28"/>
        </w:rPr>
        <w:t>artículo 399 de la LEGIPE</w:t>
      </w:r>
      <w:r w:rsidR="00E7742E" w:rsidRPr="00FD2527">
        <w:rPr>
          <w:rFonts w:ascii="Arial" w:hAnsi="Arial" w:cs="Arial"/>
          <w:sz w:val="28"/>
          <w:szCs w:val="28"/>
        </w:rPr>
        <w:t xml:space="preserve"> </w:t>
      </w:r>
      <w:r w:rsidR="009D686D" w:rsidRPr="00FD2527">
        <w:rPr>
          <w:rFonts w:ascii="Arial" w:hAnsi="Arial" w:cs="Arial"/>
          <w:sz w:val="28"/>
          <w:szCs w:val="28"/>
        </w:rPr>
        <w:t xml:space="preserve">es contrario </w:t>
      </w:r>
      <w:r w:rsidR="009D686D" w:rsidRPr="00E86D8B">
        <w:rPr>
          <w:rFonts w:ascii="Arial" w:hAnsi="Arial" w:cs="Arial"/>
          <w:sz w:val="28"/>
          <w:szCs w:val="28"/>
        </w:rPr>
        <w:t xml:space="preserve">a </w:t>
      </w:r>
      <w:r w:rsidR="009D686D" w:rsidRPr="00794AAB">
        <w:rPr>
          <w:rFonts w:ascii="Arial" w:hAnsi="Arial" w:cs="Arial"/>
          <w:sz w:val="28"/>
          <w:szCs w:val="28"/>
        </w:rPr>
        <w:t>uno de</w:t>
      </w:r>
      <w:r w:rsidR="009D686D" w:rsidRPr="00FD2527">
        <w:rPr>
          <w:rFonts w:ascii="Arial" w:hAnsi="Arial" w:cs="Arial"/>
          <w:sz w:val="28"/>
          <w:szCs w:val="28"/>
        </w:rPr>
        <w:t xml:space="preserve"> los fines del esquema jurídico en materia de financiamiento en las campañas electorales, que es la participación en condiciones de equidad en la contienda.</w:t>
      </w:r>
    </w:p>
    <w:p w:rsidR="009D686D" w:rsidRPr="00FD2527" w:rsidRDefault="009D686D" w:rsidP="009D686D">
      <w:pPr>
        <w:spacing w:before="360" w:after="360" w:line="360" w:lineRule="auto"/>
        <w:ind w:firstLine="1418"/>
        <w:jc w:val="both"/>
        <w:rPr>
          <w:rFonts w:ascii="Arial" w:hAnsi="Arial" w:cs="Arial"/>
          <w:sz w:val="28"/>
          <w:szCs w:val="28"/>
        </w:rPr>
      </w:pPr>
      <w:r w:rsidRPr="00FD2527">
        <w:rPr>
          <w:rFonts w:ascii="Arial" w:hAnsi="Arial" w:cs="Arial"/>
          <w:sz w:val="28"/>
          <w:szCs w:val="28"/>
        </w:rPr>
        <w:t>El artículo 399 de la Ley General de Procedimientos Electorales, señala lo siguiente:</w:t>
      </w:r>
    </w:p>
    <w:p w:rsidR="009D686D" w:rsidRPr="00FD2527" w:rsidRDefault="009D686D" w:rsidP="009D686D">
      <w:pPr>
        <w:spacing w:after="0" w:line="240" w:lineRule="auto"/>
        <w:ind w:left="567" w:right="618"/>
        <w:rPr>
          <w:rFonts w:ascii="Arial" w:hAnsi="Arial" w:cs="Arial"/>
          <w:i/>
          <w:sz w:val="26"/>
          <w:szCs w:val="26"/>
        </w:rPr>
      </w:pPr>
      <w:r w:rsidRPr="00FD2527">
        <w:rPr>
          <w:rFonts w:ascii="Arial" w:hAnsi="Arial" w:cs="Arial"/>
          <w:i/>
          <w:sz w:val="26"/>
          <w:szCs w:val="26"/>
        </w:rPr>
        <w:t>“</w:t>
      </w:r>
      <w:r w:rsidRPr="00FD2527">
        <w:rPr>
          <w:rFonts w:ascii="Arial" w:hAnsi="Arial" w:cs="Arial"/>
          <w:b/>
          <w:i/>
          <w:sz w:val="26"/>
          <w:szCs w:val="26"/>
        </w:rPr>
        <w:t>Artículo 399</w:t>
      </w:r>
      <w:r w:rsidRPr="00FD2527">
        <w:rPr>
          <w:rFonts w:ascii="Arial" w:hAnsi="Arial" w:cs="Arial"/>
          <w:i/>
          <w:sz w:val="26"/>
          <w:szCs w:val="26"/>
        </w:rPr>
        <w:t>.</w:t>
      </w:r>
    </w:p>
    <w:p w:rsidR="009D686D" w:rsidRPr="00FD2527" w:rsidRDefault="009D686D" w:rsidP="009D686D">
      <w:pPr>
        <w:spacing w:after="0" w:line="240" w:lineRule="auto"/>
        <w:ind w:left="567" w:right="618"/>
        <w:jc w:val="both"/>
        <w:rPr>
          <w:rFonts w:ascii="Arial" w:hAnsi="Arial" w:cs="Arial"/>
          <w:i/>
          <w:sz w:val="26"/>
          <w:szCs w:val="26"/>
        </w:rPr>
      </w:pPr>
      <w:r w:rsidRPr="00FD2527">
        <w:rPr>
          <w:rFonts w:ascii="Arial" w:hAnsi="Arial" w:cs="Arial"/>
          <w:i/>
          <w:sz w:val="26"/>
          <w:szCs w:val="26"/>
        </w:rPr>
        <w:t xml:space="preserve"> 1. El financiamiento privado se constituye por las aportaciones que realicen el Candidato Independiente y sus simpatizantes, el cual no podrá rebasar en ningún caso, el 10% del tope de gasto para la elección de que se trate.”</w:t>
      </w:r>
    </w:p>
    <w:p w:rsidR="006F5655" w:rsidRDefault="006F5655" w:rsidP="009D686D">
      <w:pPr>
        <w:spacing w:before="360" w:after="360" w:line="360" w:lineRule="auto"/>
        <w:ind w:firstLine="1418"/>
        <w:jc w:val="both"/>
        <w:rPr>
          <w:rFonts w:ascii="Arial" w:hAnsi="Arial" w:cs="Arial"/>
          <w:sz w:val="28"/>
          <w:szCs w:val="28"/>
        </w:rPr>
      </w:pPr>
      <w:r>
        <w:rPr>
          <w:rFonts w:ascii="Arial" w:hAnsi="Arial" w:cs="Arial"/>
          <w:sz w:val="28"/>
          <w:szCs w:val="28"/>
        </w:rPr>
        <w:t xml:space="preserve">A efecto de </w:t>
      </w:r>
      <w:r w:rsidR="00341071">
        <w:rPr>
          <w:rFonts w:ascii="Arial" w:hAnsi="Arial" w:cs="Arial"/>
          <w:sz w:val="28"/>
          <w:szCs w:val="28"/>
        </w:rPr>
        <w:t>proceder al análisis de</w:t>
      </w:r>
      <w:r>
        <w:rPr>
          <w:rFonts w:ascii="Arial" w:hAnsi="Arial" w:cs="Arial"/>
          <w:sz w:val="28"/>
          <w:szCs w:val="28"/>
        </w:rPr>
        <w:t xml:space="preserve"> constitucionalidad del precepto bajo estudio, es necesario </w:t>
      </w:r>
      <w:r w:rsidR="00341071">
        <w:rPr>
          <w:rFonts w:ascii="Arial" w:hAnsi="Arial" w:cs="Arial"/>
          <w:sz w:val="28"/>
          <w:szCs w:val="28"/>
        </w:rPr>
        <w:t>precisar</w:t>
      </w:r>
      <w:r w:rsidR="00480F90">
        <w:rPr>
          <w:rFonts w:ascii="Arial" w:hAnsi="Arial" w:cs="Arial"/>
          <w:sz w:val="28"/>
          <w:szCs w:val="28"/>
        </w:rPr>
        <w:t xml:space="preserve"> </w:t>
      </w:r>
      <w:r w:rsidR="00A069C1">
        <w:rPr>
          <w:rFonts w:ascii="Arial" w:hAnsi="Arial" w:cs="Arial"/>
          <w:sz w:val="28"/>
          <w:szCs w:val="28"/>
        </w:rPr>
        <w:t>si se está frente a una restricción fijada por el legislador democrático.</w:t>
      </w:r>
    </w:p>
    <w:p w:rsidR="00156DFC" w:rsidRPr="00FD2527" w:rsidRDefault="00C053B5" w:rsidP="00156DFC">
      <w:pPr>
        <w:spacing w:before="360" w:after="360" w:line="360" w:lineRule="auto"/>
        <w:ind w:firstLine="1418"/>
        <w:jc w:val="both"/>
        <w:rPr>
          <w:rFonts w:ascii="Arial" w:hAnsi="Arial" w:cs="Arial"/>
          <w:b/>
          <w:sz w:val="28"/>
          <w:szCs w:val="28"/>
        </w:rPr>
      </w:pPr>
      <w:bookmarkStart w:id="8" w:name="_Hlk511125486"/>
      <w:r>
        <w:rPr>
          <w:rFonts w:ascii="Arial" w:hAnsi="Arial" w:cs="Arial"/>
          <w:b/>
          <w:sz w:val="28"/>
          <w:szCs w:val="28"/>
        </w:rPr>
        <w:t>5.6.2</w:t>
      </w:r>
      <w:r w:rsidR="00D27770" w:rsidRPr="00D27770">
        <w:rPr>
          <w:rFonts w:ascii="Arial" w:hAnsi="Arial" w:cs="Arial"/>
          <w:b/>
          <w:sz w:val="28"/>
          <w:szCs w:val="28"/>
        </w:rPr>
        <w:t>.1. Identificación de la restricción en el caso.</w:t>
      </w:r>
      <w:bookmarkEnd w:id="8"/>
      <w:r w:rsidR="00D27770" w:rsidRPr="00D27770">
        <w:rPr>
          <w:rFonts w:ascii="Arial" w:hAnsi="Arial" w:cs="Arial"/>
          <w:b/>
          <w:sz w:val="28"/>
          <w:szCs w:val="28"/>
        </w:rPr>
        <w:t xml:space="preserve"> </w:t>
      </w:r>
      <w:r w:rsidR="00AB76AC">
        <w:rPr>
          <w:rFonts w:ascii="Arial" w:hAnsi="Arial" w:cs="Arial"/>
          <w:sz w:val="28"/>
          <w:szCs w:val="28"/>
        </w:rPr>
        <w:t>De</w:t>
      </w:r>
      <w:r w:rsidR="00156DFC" w:rsidRPr="00FD2527">
        <w:rPr>
          <w:rFonts w:ascii="Arial" w:hAnsi="Arial" w:cs="Arial"/>
          <w:sz w:val="28"/>
          <w:szCs w:val="28"/>
        </w:rPr>
        <w:t>l</w:t>
      </w:r>
      <w:r w:rsidR="00AB76AC">
        <w:rPr>
          <w:rFonts w:ascii="Arial" w:hAnsi="Arial" w:cs="Arial"/>
          <w:sz w:val="28"/>
          <w:szCs w:val="28"/>
        </w:rPr>
        <w:t xml:space="preserve"> artículo</w:t>
      </w:r>
      <w:r w:rsidR="00156DFC" w:rsidRPr="00FD2527">
        <w:rPr>
          <w:rFonts w:ascii="Arial" w:hAnsi="Arial" w:cs="Arial"/>
          <w:sz w:val="28"/>
          <w:szCs w:val="28"/>
        </w:rPr>
        <w:t xml:space="preserve"> transcrito, se aprecia que dicho precepto contien</w:t>
      </w:r>
      <w:r w:rsidR="00156DFC">
        <w:rPr>
          <w:rFonts w:ascii="Arial" w:hAnsi="Arial" w:cs="Arial"/>
          <w:sz w:val="28"/>
          <w:szCs w:val="28"/>
        </w:rPr>
        <w:t>e una regla, consistente en que</w:t>
      </w:r>
      <w:r w:rsidR="00156DFC" w:rsidRPr="00FD2527">
        <w:rPr>
          <w:rFonts w:ascii="Arial" w:hAnsi="Arial" w:cs="Arial"/>
          <w:sz w:val="28"/>
          <w:szCs w:val="28"/>
        </w:rPr>
        <w:t xml:space="preserve"> </w:t>
      </w:r>
      <w:r w:rsidR="00156DFC" w:rsidRPr="00FD2527">
        <w:rPr>
          <w:rFonts w:ascii="Arial" w:hAnsi="Arial" w:cs="Arial"/>
          <w:b/>
          <w:sz w:val="28"/>
          <w:szCs w:val="28"/>
        </w:rPr>
        <w:t>el monto total de los recursos que por vía de financiamiento privado obtengan l</w:t>
      </w:r>
      <w:r w:rsidR="00AB76AC">
        <w:rPr>
          <w:rFonts w:ascii="Arial" w:hAnsi="Arial" w:cs="Arial"/>
          <w:b/>
          <w:sz w:val="28"/>
          <w:szCs w:val="28"/>
        </w:rPr>
        <w:t>a</w:t>
      </w:r>
      <w:r w:rsidR="00156DFC" w:rsidRPr="00FD2527">
        <w:rPr>
          <w:rFonts w:ascii="Arial" w:hAnsi="Arial" w:cs="Arial"/>
          <w:b/>
          <w:sz w:val="28"/>
          <w:szCs w:val="28"/>
        </w:rPr>
        <w:t>s</w:t>
      </w:r>
      <w:r w:rsidR="00156DFC" w:rsidRPr="00FD2527">
        <w:rPr>
          <w:rFonts w:ascii="Arial" w:hAnsi="Arial" w:cs="Arial"/>
          <w:sz w:val="28"/>
          <w:szCs w:val="28"/>
        </w:rPr>
        <w:t xml:space="preserve"> </w:t>
      </w:r>
      <w:r w:rsidR="00156DFC" w:rsidRPr="00FD2527">
        <w:rPr>
          <w:rFonts w:ascii="Arial" w:hAnsi="Arial" w:cs="Arial"/>
          <w:b/>
          <w:sz w:val="28"/>
          <w:szCs w:val="28"/>
        </w:rPr>
        <w:t>candidat</w:t>
      </w:r>
      <w:r w:rsidR="00AB76AC">
        <w:rPr>
          <w:rFonts w:ascii="Arial" w:hAnsi="Arial" w:cs="Arial"/>
          <w:b/>
          <w:sz w:val="28"/>
          <w:szCs w:val="28"/>
        </w:rPr>
        <w:t>ura</w:t>
      </w:r>
      <w:r w:rsidR="00156DFC" w:rsidRPr="00FD2527">
        <w:rPr>
          <w:rFonts w:ascii="Arial" w:hAnsi="Arial" w:cs="Arial"/>
          <w:b/>
          <w:sz w:val="28"/>
          <w:szCs w:val="28"/>
        </w:rPr>
        <w:t>s independientes no</w:t>
      </w:r>
      <w:r w:rsidR="00156DFC" w:rsidRPr="00FD2527">
        <w:rPr>
          <w:b/>
          <w:sz w:val="28"/>
          <w:szCs w:val="28"/>
        </w:rPr>
        <w:t xml:space="preserve"> </w:t>
      </w:r>
      <w:r w:rsidR="00156DFC" w:rsidRPr="00FD2527">
        <w:rPr>
          <w:rFonts w:ascii="Arial" w:hAnsi="Arial" w:cs="Arial"/>
          <w:b/>
          <w:sz w:val="28"/>
          <w:szCs w:val="28"/>
        </w:rPr>
        <w:t>podrá rebasar el 10% del tope de gasto para la elección atinente.</w:t>
      </w:r>
    </w:p>
    <w:p w:rsidR="00AB76AC" w:rsidRDefault="00156DFC" w:rsidP="00AB76AC">
      <w:pPr>
        <w:pStyle w:val="PRRAFOSENTENCIA"/>
      </w:pPr>
      <w:r w:rsidRPr="00FD2527">
        <w:t xml:space="preserve">Como se ve, dicha regla se erige en una restricción, en la medida en que establece un límite al financiamiento privado </w:t>
      </w:r>
      <w:r w:rsidR="00AB76AC">
        <w:t>para</w:t>
      </w:r>
      <w:r w:rsidRPr="00FD2527">
        <w:t xml:space="preserve"> </w:t>
      </w:r>
      <w:r w:rsidR="00AB76AC">
        <w:t>las</w:t>
      </w:r>
      <w:r w:rsidRPr="00FD2527">
        <w:t xml:space="preserve"> campañas</w:t>
      </w:r>
      <w:r w:rsidR="00AB76AC">
        <w:t xml:space="preserve"> de las candidaturas independientes, lo que</w:t>
      </w:r>
      <w:r w:rsidR="00D27770">
        <w:t xml:space="preserve"> constituye una limitación </w:t>
      </w:r>
      <w:r w:rsidR="00AB76AC">
        <w:t>fijada respecto al derecho humano de ser votado.</w:t>
      </w:r>
    </w:p>
    <w:p w:rsidR="00D27770" w:rsidRDefault="00AB76AC" w:rsidP="00AB76AC">
      <w:pPr>
        <w:pStyle w:val="PRRAFOSENTENCIA"/>
      </w:pPr>
      <w:r>
        <w:t>Ello es así</w:t>
      </w:r>
      <w:r w:rsidR="00D27770">
        <w:t xml:space="preserve"> porque</w:t>
      </w:r>
      <w:r>
        <w:t>,</w:t>
      </w:r>
      <w:r w:rsidR="00D27770">
        <w:t xml:space="preserve"> ciertamente</w:t>
      </w:r>
      <w:r>
        <w:t>,</w:t>
      </w:r>
      <w:r w:rsidR="00D27770">
        <w:t xml:space="preserve"> quienes obtienen una candidatura tienen derecho </w:t>
      </w:r>
      <w:r w:rsidR="00C935D7">
        <w:t xml:space="preserve">a </w:t>
      </w:r>
      <w:r w:rsidR="00D27770">
        <w:t>realizar actos proselitistas tendentes a conseguir el voto, cuya realización serían imposible si no se</w:t>
      </w:r>
      <w:r>
        <w:t xml:space="preserve"> dispone de recursos económicos y, en la medida en que puedan usar mayor o menor cantidad de recursos privados, se podrá alcanzar,</w:t>
      </w:r>
      <w:r w:rsidR="007F48B4">
        <w:t xml:space="preserve"> o no, el tope de gastos de cam</w:t>
      </w:r>
      <w:r>
        <w:t>paña.</w:t>
      </w:r>
    </w:p>
    <w:p w:rsidR="009E7250" w:rsidRDefault="00670452" w:rsidP="009D686D">
      <w:pPr>
        <w:spacing w:before="360" w:after="360" w:line="360" w:lineRule="auto"/>
        <w:ind w:firstLine="1418"/>
        <w:jc w:val="both"/>
        <w:rPr>
          <w:rFonts w:ascii="Arial" w:hAnsi="Arial" w:cs="Arial"/>
          <w:sz w:val="28"/>
          <w:szCs w:val="28"/>
        </w:rPr>
      </w:pPr>
      <w:r>
        <w:rPr>
          <w:rFonts w:ascii="Arial" w:hAnsi="Arial" w:cs="Arial"/>
          <w:sz w:val="28"/>
          <w:szCs w:val="28"/>
        </w:rPr>
        <w:t xml:space="preserve">Este extremo demuestra </w:t>
      </w:r>
      <w:r w:rsidR="00092733">
        <w:rPr>
          <w:rFonts w:ascii="Arial" w:hAnsi="Arial" w:cs="Arial"/>
          <w:sz w:val="28"/>
          <w:szCs w:val="28"/>
        </w:rPr>
        <w:t xml:space="preserve">que </w:t>
      </w:r>
      <w:r>
        <w:rPr>
          <w:rFonts w:ascii="Arial" w:hAnsi="Arial" w:cs="Arial"/>
          <w:sz w:val="28"/>
          <w:szCs w:val="28"/>
        </w:rPr>
        <w:t>dicho límite es en sí mism</w:t>
      </w:r>
      <w:r w:rsidR="00D27770">
        <w:rPr>
          <w:rFonts w:ascii="Arial" w:hAnsi="Arial" w:cs="Arial"/>
          <w:sz w:val="28"/>
          <w:szCs w:val="28"/>
        </w:rPr>
        <w:t>o</w:t>
      </w:r>
      <w:r>
        <w:rPr>
          <w:rFonts w:ascii="Arial" w:hAnsi="Arial" w:cs="Arial"/>
          <w:sz w:val="28"/>
          <w:szCs w:val="28"/>
        </w:rPr>
        <w:t xml:space="preserve"> una restricción ya que</w:t>
      </w:r>
      <w:r w:rsidR="00D27770">
        <w:rPr>
          <w:rFonts w:ascii="Arial" w:hAnsi="Arial" w:cs="Arial"/>
          <w:sz w:val="28"/>
          <w:szCs w:val="28"/>
        </w:rPr>
        <w:t>,</w:t>
      </w:r>
      <w:r>
        <w:rPr>
          <w:rFonts w:ascii="Arial" w:hAnsi="Arial" w:cs="Arial"/>
          <w:sz w:val="28"/>
          <w:szCs w:val="28"/>
        </w:rPr>
        <w:t xml:space="preserve"> si los candidatos independientes tienen el derecho de allegarse de recursos en la etapa de campañas, el </w:t>
      </w:r>
      <w:r w:rsidR="00E86D8B">
        <w:rPr>
          <w:rFonts w:ascii="Arial" w:hAnsi="Arial" w:cs="Arial"/>
          <w:sz w:val="28"/>
          <w:szCs w:val="28"/>
        </w:rPr>
        <w:t>límite</w:t>
      </w:r>
      <w:r>
        <w:rPr>
          <w:rFonts w:ascii="Arial" w:hAnsi="Arial" w:cs="Arial"/>
          <w:sz w:val="28"/>
          <w:szCs w:val="28"/>
        </w:rPr>
        <w:t xml:space="preserve"> que impone el legislador a los provenientes de particulares, restringe </w:t>
      </w:r>
      <w:r w:rsidR="00263FDE">
        <w:rPr>
          <w:rFonts w:ascii="Arial" w:hAnsi="Arial" w:cs="Arial"/>
          <w:sz w:val="28"/>
          <w:szCs w:val="28"/>
        </w:rPr>
        <w:t>tal</w:t>
      </w:r>
      <w:r>
        <w:rPr>
          <w:rFonts w:ascii="Arial" w:hAnsi="Arial" w:cs="Arial"/>
          <w:sz w:val="28"/>
          <w:szCs w:val="28"/>
        </w:rPr>
        <w:t xml:space="preserve"> derecho.</w:t>
      </w:r>
    </w:p>
    <w:p w:rsidR="006A7ED6" w:rsidRDefault="00C053B5" w:rsidP="00827E85">
      <w:pPr>
        <w:pStyle w:val="PRRAFOSENTENCIA"/>
      </w:pPr>
      <w:bookmarkStart w:id="9" w:name="_Hlk511125476"/>
      <w:bookmarkStart w:id="10" w:name="_Hlk511125460"/>
      <w:r>
        <w:rPr>
          <w:b/>
        </w:rPr>
        <w:t>5.6.2</w:t>
      </w:r>
      <w:r w:rsidR="00827E85" w:rsidRPr="00827E85">
        <w:rPr>
          <w:b/>
        </w:rPr>
        <w:t>.2. Proporcionalidad de la medida</w:t>
      </w:r>
      <w:r w:rsidR="00827E85">
        <w:rPr>
          <w:b/>
        </w:rPr>
        <w:t xml:space="preserve">. </w:t>
      </w:r>
      <w:bookmarkEnd w:id="9"/>
      <w:bookmarkEnd w:id="10"/>
      <w:r w:rsidR="00D4043D">
        <w:t>Un aspecto que debe considerarse, una vez que se ha expuesto que, en este caso, estamos frente a una restricción fijada por el legislador, es la validez de dicha restricción.</w:t>
      </w:r>
    </w:p>
    <w:p w:rsidR="00AE6434" w:rsidRPr="00AE6434" w:rsidRDefault="00D4043D" w:rsidP="00FB12CA">
      <w:pPr>
        <w:spacing w:before="360" w:after="360" w:line="360" w:lineRule="auto"/>
        <w:ind w:firstLine="1418"/>
        <w:jc w:val="both"/>
        <w:rPr>
          <w:rFonts w:ascii="Arial" w:hAnsi="Arial" w:cs="Arial"/>
          <w:sz w:val="28"/>
          <w:szCs w:val="28"/>
        </w:rPr>
      </w:pPr>
      <w:r>
        <w:rPr>
          <w:rFonts w:ascii="Arial" w:hAnsi="Arial" w:cs="Arial"/>
          <w:sz w:val="28"/>
          <w:szCs w:val="28"/>
        </w:rPr>
        <w:t>Sobre tal aspecto, la Suprema Corte de Justicia de la Nación, en la Jurisprudencia 2/2012 (9a.)</w:t>
      </w:r>
      <w:r>
        <w:rPr>
          <w:rStyle w:val="Refdenotaalpie"/>
          <w:rFonts w:ascii="Arial" w:hAnsi="Arial" w:cs="Arial"/>
          <w:sz w:val="28"/>
          <w:szCs w:val="28"/>
        </w:rPr>
        <w:footnoteReference w:id="35"/>
      </w:r>
      <w:r>
        <w:rPr>
          <w:rFonts w:ascii="Arial" w:hAnsi="Arial" w:cs="Arial"/>
          <w:sz w:val="28"/>
          <w:szCs w:val="28"/>
        </w:rPr>
        <w:t xml:space="preserve"> ha dispuesto distintos requisitos que es necesario satisfacer para determinar si una medida establecida por el legislador ordinario, </w:t>
      </w:r>
      <w:r w:rsidRPr="00D4043D">
        <w:rPr>
          <w:rFonts w:ascii="Arial" w:hAnsi="Arial" w:cs="Arial"/>
          <w:sz w:val="28"/>
          <w:szCs w:val="28"/>
        </w:rPr>
        <w:t>con el propósito de restringir derechos fundamentales</w:t>
      </w:r>
      <w:r>
        <w:rPr>
          <w:rFonts w:ascii="Arial" w:hAnsi="Arial" w:cs="Arial"/>
          <w:sz w:val="28"/>
          <w:szCs w:val="28"/>
        </w:rPr>
        <w:t>,</w:t>
      </w:r>
      <w:r w:rsidRPr="00D4043D">
        <w:rPr>
          <w:rFonts w:ascii="Arial" w:hAnsi="Arial" w:cs="Arial"/>
          <w:sz w:val="28"/>
          <w:szCs w:val="28"/>
        </w:rPr>
        <w:t xml:space="preserve"> </w:t>
      </w:r>
      <w:r>
        <w:rPr>
          <w:rFonts w:ascii="Arial" w:hAnsi="Arial" w:cs="Arial"/>
          <w:sz w:val="28"/>
          <w:szCs w:val="28"/>
        </w:rPr>
        <w:t>resulta válida.</w:t>
      </w:r>
      <w:r w:rsidR="000236E0">
        <w:rPr>
          <w:rFonts w:ascii="Arial" w:hAnsi="Arial" w:cs="Arial"/>
          <w:sz w:val="28"/>
          <w:szCs w:val="28"/>
        </w:rPr>
        <w:t xml:space="preserve"> </w:t>
      </w:r>
      <w:r w:rsidR="00AE6434">
        <w:rPr>
          <w:rFonts w:ascii="Arial" w:hAnsi="Arial" w:cs="Arial"/>
          <w:sz w:val="28"/>
          <w:szCs w:val="28"/>
        </w:rPr>
        <w:t xml:space="preserve">Siendo tales que deben ser admisibles, </w:t>
      </w:r>
      <w:r w:rsidR="000236E0" w:rsidRPr="00AE6434">
        <w:rPr>
          <w:rFonts w:ascii="Arial" w:hAnsi="Arial" w:cs="Arial"/>
          <w:sz w:val="28"/>
          <w:szCs w:val="28"/>
        </w:rPr>
        <w:t>necesarias</w:t>
      </w:r>
      <w:r w:rsidR="000236E0" w:rsidRPr="000236E0">
        <w:rPr>
          <w:rFonts w:ascii="Arial" w:hAnsi="Arial" w:cs="Arial"/>
          <w:sz w:val="28"/>
          <w:szCs w:val="28"/>
        </w:rPr>
        <w:t xml:space="preserve">; y, </w:t>
      </w:r>
      <w:r w:rsidR="000236E0" w:rsidRPr="00AE6434">
        <w:rPr>
          <w:rFonts w:ascii="Arial" w:hAnsi="Arial" w:cs="Arial"/>
          <w:sz w:val="28"/>
          <w:szCs w:val="28"/>
        </w:rPr>
        <w:t>proporcional</w:t>
      </w:r>
      <w:r w:rsidR="00642A90" w:rsidRPr="00AE6434">
        <w:rPr>
          <w:rFonts w:ascii="Arial" w:hAnsi="Arial" w:cs="Arial"/>
          <w:sz w:val="28"/>
          <w:szCs w:val="28"/>
        </w:rPr>
        <w:t>es</w:t>
      </w:r>
      <w:r w:rsidR="000236E0" w:rsidRPr="00AE6434">
        <w:rPr>
          <w:rFonts w:ascii="Arial" w:hAnsi="Arial" w:cs="Arial"/>
          <w:sz w:val="28"/>
          <w:szCs w:val="28"/>
        </w:rPr>
        <w:t>.</w:t>
      </w:r>
    </w:p>
    <w:p w:rsidR="00E03F3E" w:rsidRDefault="000236E0" w:rsidP="00FB12CA">
      <w:pPr>
        <w:spacing w:before="360" w:after="360" w:line="360" w:lineRule="auto"/>
        <w:ind w:firstLine="1418"/>
        <w:jc w:val="both"/>
        <w:rPr>
          <w:rFonts w:ascii="Arial" w:hAnsi="Arial" w:cs="Arial"/>
          <w:sz w:val="28"/>
          <w:szCs w:val="28"/>
        </w:rPr>
      </w:pPr>
      <w:r w:rsidRPr="000236E0">
        <w:rPr>
          <w:rFonts w:ascii="Arial" w:hAnsi="Arial" w:cs="Arial"/>
          <w:sz w:val="28"/>
          <w:szCs w:val="28"/>
        </w:rPr>
        <w:t>Así, el juzgador debe determinar en cada caso si la restricción legislativa a un derecho fundamental es, en primer lugar, admisible dadas las previsiones constitucionales</w:t>
      </w:r>
      <w:r w:rsidR="00FB12CA">
        <w:rPr>
          <w:rFonts w:ascii="Arial" w:hAnsi="Arial" w:cs="Arial"/>
          <w:sz w:val="28"/>
          <w:szCs w:val="28"/>
        </w:rPr>
        <w:t>.</w:t>
      </w:r>
    </w:p>
    <w:p w:rsidR="00B221AE" w:rsidRDefault="00827E85" w:rsidP="00CF32EF">
      <w:pPr>
        <w:spacing w:before="360" w:after="360" w:line="360" w:lineRule="auto"/>
        <w:ind w:firstLine="1418"/>
        <w:jc w:val="both"/>
        <w:rPr>
          <w:rFonts w:ascii="Arial" w:hAnsi="Arial" w:cs="Arial"/>
          <w:sz w:val="28"/>
          <w:szCs w:val="28"/>
        </w:rPr>
      </w:pPr>
      <w:r>
        <w:rPr>
          <w:rFonts w:ascii="Arial" w:hAnsi="Arial" w:cs="Arial"/>
          <w:sz w:val="28"/>
          <w:szCs w:val="28"/>
        </w:rPr>
        <w:t>E</w:t>
      </w:r>
      <w:r w:rsidR="000236E0" w:rsidRPr="000236E0">
        <w:rPr>
          <w:rFonts w:ascii="Arial" w:hAnsi="Arial" w:cs="Arial"/>
          <w:sz w:val="28"/>
          <w:szCs w:val="28"/>
        </w:rPr>
        <w:t xml:space="preserv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w:t>
      </w:r>
    </w:p>
    <w:p w:rsidR="000236E0" w:rsidRDefault="000236E0" w:rsidP="00CF32EF">
      <w:pPr>
        <w:spacing w:before="360" w:after="360" w:line="360" w:lineRule="auto"/>
        <w:ind w:firstLine="1418"/>
        <w:jc w:val="both"/>
        <w:rPr>
          <w:rFonts w:ascii="Arial" w:hAnsi="Arial" w:cs="Arial"/>
          <w:sz w:val="28"/>
          <w:szCs w:val="28"/>
        </w:rPr>
      </w:pPr>
      <w:r w:rsidRPr="000236E0">
        <w:rPr>
          <w:rFonts w:ascii="Arial" w:hAnsi="Arial" w:cs="Arial"/>
          <w:sz w:val="28"/>
          <w:szCs w:val="28"/>
        </w:rPr>
        <w:t>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w:t>
      </w:r>
    </w:p>
    <w:p w:rsidR="009D686D" w:rsidRPr="00FD2527" w:rsidRDefault="00F65C66" w:rsidP="009D686D">
      <w:pPr>
        <w:spacing w:before="360" w:after="360" w:line="360" w:lineRule="auto"/>
        <w:ind w:firstLine="1418"/>
        <w:jc w:val="both"/>
        <w:rPr>
          <w:rFonts w:ascii="Arial" w:hAnsi="Arial" w:cs="Arial"/>
          <w:sz w:val="28"/>
          <w:szCs w:val="28"/>
        </w:rPr>
      </w:pPr>
      <w:r>
        <w:rPr>
          <w:rFonts w:ascii="Arial" w:hAnsi="Arial" w:cs="Arial"/>
          <w:sz w:val="28"/>
          <w:szCs w:val="28"/>
        </w:rPr>
        <w:t xml:space="preserve">Para </w:t>
      </w:r>
      <w:r w:rsidR="00B221AE">
        <w:rPr>
          <w:rFonts w:ascii="Arial" w:hAnsi="Arial" w:cs="Arial"/>
          <w:sz w:val="28"/>
          <w:szCs w:val="28"/>
        </w:rPr>
        <w:t>todo ello</w:t>
      </w:r>
      <w:r>
        <w:rPr>
          <w:rFonts w:ascii="Arial" w:hAnsi="Arial" w:cs="Arial"/>
          <w:sz w:val="28"/>
          <w:szCs w:val="28"/>
        </w:rPr>
        <w:t xml:space="preserve">, es </w:t>
      </w:r>
      <w:r w:rsidR="009D686D" w:rsidRPr="00FD2527">
        <w:rPr>
          <w:rFonts w:ascii="Arial" w:hAnsi="Arial" w:cs="Arial"/>
          <w:sz w:val="28"/>
          <w:szCs w:val="28"/>
        </w:rPr>
        <w:t xml:space="preserve">necesario realizar un </w:t>
      </w:r>
      <w:r w:rsidR="009D686D" w:rsidRPr="00F65C66">
        <w:rPr>
          <w:rFonts w:ascii="Arial" w:hAnsi="Arial" w:cs="Arial"/>
          <w:i/>
          <w:sz w:val="28"/>
          <w:szCs w:val="28"/>
        </w:rPr>
        <w:t>test de proporcionalidad</w:t>
      </w:r>
      <w:r w:rsidR="009D686D" w:rsidRPr="00FD2527">
        <w:rPr>
          <w:rFonts w:ascii="Arial" w:hAnsi="Arial" w:cs="Arial"/>
          <w:sz w:val="28"/>
          <w:szCs w:val="28"/>
        </w:rPr>
        <w:t>, ejercicio que constituye una herramienta para juzgadores constitucionales</w:t>
      </w:r>
      <w:r w:rsidR="00BC7C50">
        <w:rPr>
          <w:rFonts w:ascii="Arial" w:hAnsi="Arial" w:cs="Arial"/>
          <w:sz w:val="28"/>
          <w:szCs w:val="28"/>
        </w:rPr>
        <w:t>, a fin de analizar</w:t>
      </w:r>
      <w:r w:rsidR="009D686D" w:rsidRPr="00FD2527">
        <w:rPr>
          <w:rFonts w:ascii="Arial" w:hAnsi="Arial" w:cs="Arial"/>
          <w:sz w:val="28"/>
          <w:szCs w:val="28"/>
        </w:rPr>
        <w:t xml:space="preserve"> si determinado precepto es inconstitucional.</w:t>
      </w:r>
    </w:p>
    <w:p w:rsidR="009D686D" w:rsidRPr="00FD2527" w:rsidRDefault="009D686D" w:rsidP="009D686D">
      <w:pPr>
        <w:spacing w:before="360" w:after="360" w:line="360" w:lineRule="auto"/>
        <w:ind w:right="51" w:firstLine="1418"/>
        <w:jc w:val="both"/>
        <w:rPr>
          <w:rFonts w:ascii="Arial" w:hAnsi="Arial" w:cs="Arial"/>
          <w:bCs/>
          <w:sz w:val="28"/>
          <w:szCs w:val="28"/>
        </w:rPr>
      </w:pPr>
      <w:r w:rsidRPr="00FD2527">
        <w:rPr>
          <w:rFonts w:ascii="Arial" w:hAnsi="Arial" w:cs="Arial"/>
          <w:sz w:val="28"/>
          <w:szCs w:val="28"/>
        </w:rPr>
        <w:t>Cabe precisar que, para realizar tal ejercicio</w:t>
      </w:r>
      <w:r w:rsidRPr="00FD2527">
        <w:rPr>
          <w:rFonts w:ascii="Arial" w:hAnsi="Arial" w:cs="Arial"/>
          <w:bCs/>
          <w:sz w:val="28"/>
          <w:szCs w:val="28"/>
        </w:rPr>
        <w:t>, se deben seguir los pasos que a continuación se señalan.</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
          <w:bCs/>
          <w:sz w:val="28"/>
          <w:szCs w:val="28"/>
        </w:rPr>
        <w:t>1. Identificar el fin legitimo en la restricción concreta.</w:t>
      </w:r>
      <w:r w:rsidRPr="00FD2527">
        <w:rPr>
          <w:rFonts w:ascii="Arial" w:hAnsi="Arial" w:cs="Arial"/>
          <w:bCs/>
          <w:sz w:val="28"/>
          <w:szCs w:val="28"/>
        </w:rPr>
        <w:t xml:space="preserve"> Supone la idea de que no cualquier propósito puede justificar la limitación a un derecho fundamental.</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Cs/>
          <w:sz w:val="28"/>
          <w:szCs w:val="28"/>
        </w:rPr>
        <w:t>En efecto, los fines que pueden fundamentar la intervención legislativa al ejercicio de los derechos fundamentales tienen muy diversa naturaleza: valores, intereses, bienes o principios que el Estado puede perseguir. Así, los derechos fundamentales, los bienes colectivos y los bienes jurídicos garantizados como principios constitucionales, constituyen fines que legítimamente fundamentan la intervención del legislador en el ejercicio de otros derechos</w:t>
      </w:r>
      <w:r w:rsidRPr="00FD2527">
        <w:rPr>
          <w:rFonts w:ascii="Arial" w:hAnsi="Arial" w:cs="Arial"/>
          <w:bCs/>
          <w:sz w:val="28"/>
          <w:szCs w:val="28"/>
          <w:vertAlign w:val="superscript"/>
        </w:rPr>
        <w:footnoteReference w:id="36"/>
      </w:r>
      <w:r w:rsidRPr="00FD2527">
        <w:rPr>
          <w:rFonts w:ascii="Arial" w:hAnsi="Arial" w:cs="Arial"/>
          <w:bCs/>
          <w:sz w:val="28"/>
          <w:szCs w:val="28"/>
        </w:rPr>
        <w:t xml:space="preserve">. </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
          <w:bCs/>
          <w:sz w:val="28"/>
          <w:szCs w:val="28"/>
        </w:rPr>
        <w:t>2. Revisar la idoneidad de la medida.</w:t>
      </w:r>
      <w:r w:rsidRPr="00FD2527">
        <w:rPr>
          <w:rFonts w:ascii="Arial" w:hAnsi="Arial" w:cs="Arial"/>
          <w:bCs/>
          <w:sz w:val="28"/>
          <w:szCs w:val="28"/>
        </w:rPr>
        <w:t xml:space="preserve"> Lo cual presupone la existencia de una relación entre la intervención al derecho y el fin que persigue dicha afectación, siendo suficiente que la medida contribuya en algún modo y en algún grado a lograr el propósito que busca el legislador</w:t>
      </w:r>
      <w:r w:rsidRPr="00FD2527">
        <w:rPr>
          <w:rFonts w:ascii="Arial" w:hAnsi="Arial" w:cs="Arial"/>
          <w:bCs/>
          <w:sz w:val="28"/>
          <w:szCs w:val="28"/>
          <w:vertAlign w:val="superscript"/>
        </w:rPr>
        <w:footnoteReference w:id="37"/>
      </w:r>
      <w:r w:rsidRPr="00FD2527">
        <w:rPr>
          <w:rFonts w:ascii="Arial" w:hAnsi="Arial" w:cs="Arial"/>
          <w:bCs/>
          <w:sz w:val="28"/>
          <w:szCs w:val="28"/>
        </w:rPr>
        <w:t>.</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
          <w:bCs/>
          <w:sz w:val="28"/>
          <w:szCs w:val="28"/>
        </w:rPr>
        <w:t xml:space="preserve">3. </w:t>
      </w:r>
      <w:r w:rsidR="00AF10F5" w:rsidRPr="00FD2527">
        <w:rPr>
          <w:rFonts w:ascii="Arial" w:hAnsi="Arial" w:cs="Arial"/>
          <w:b/>
          <w:bCs/>
          <w:sz w:val="28"/>
          <w:szCs w:val="28"/>
        </w:rPr>
        <w:t>Realizar un e</w:t>
      </w:r>
      <w:r w:rsidRPr="00FD2527">
        <w:rPr>
          <w:rFonts w:ascii="Arial" w:hAnsi="Arial" w:cs="Arial"/>
          <w:b/>
          <w:bCs/>
          <w:sz w:val="28"/>
          <w:szCs w:val="28"/>
        </w:rPr>
        <w:t>xamen de necesidad.</w:t>
      </w:r>
      <w:r w:rsidRPr="00FD2527">
        <w:rPr>
          <w:rFonts w:ascii="Arial" w:hAnsi="Arial" w:cs="Arial"/>
          <w:bCs/>
          <w:sz w:val="28"/>
          <w:szCs w:val="28"/>
        </w:rPr>
        <w:t xml:space="preserve"> Implica corroborar, en primer lugar, si existen otros medios igualmente idóneos para lograr los fines que se persiguen y, en segundo lugar, determinar si estas alternativas intervienen con menor intensidad el derecho fundamental afectado.</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Cs/>
          <w:sz w:val="28"/>
          <w:szCs w:val="28"/>
        </w:rPr>
        <w:t>Ello implica hacer un catálogo de medidas alternativas y determinar el grado de idoneidad de éstas, es decir, evaluar su nivel de eficacia, rapidez, probabilidad o afectación material de su objeto.</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Cs/>
          <w:sz w:val="28"/>
          <w:szCs w:val="28"/>
        </w:rPr>
        <w:t>Este escrutinio puede acotarse ponderando aquellas medidas que el legislador consideró adecuadas para situaciones similares, o bien las alternativas que en el derecho comparado se han diseñado para regular el mismo fenómeno</w:t>
      </w:r>
      <w:r w:rsidRPr="00FD2527">
        <w:rPr>
          <w:rFonts w:ascii="Arial" w:hAnsi="Arial" w:cs="Arial"/>
          <w:bCs/>
          <w:sz w:val="28"/>
          <w:szCs w:val="28"/>
          <w:vertAlign w:val="superscript"/>
        </w:rPr>
        <w:footnoteReference w:id="38"/>
      </w:r>
      <w:r w:rsidRPr="00FD2527">
        <w:rPr>
          <w:rFonts w:ascii="Arial" w:hAnsi="Arial" w:cs="Arial"/>
          <w:bCs/>
          <w:sz w:val="28"/>
          <w:szCs w:val="28"/>
        </w:rPr>
        <w:t xml:space="preserve">. </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
          <w:bCs/>
          <w:sz w:val="28"/>
          <w:szCs w:val="28"/>
        </w:rPr>
        <w:t xml:space="preserve">4. </w:t>
      </w:r>
      <w:r w:rsidR="00AF10F5" w:rsidRPr="00FD2527">
        <w:rPr>
          <w:rFonts w:ascii="Arial" w:hAnsi="Arial" w:cs="Arial"/>
          <w:b/>
          <w:bCs/>
          <w:sz w:val="28"/>
          <w:szCs w:val="28"/>
        </w:rPr>
        <w:t xml:space="preserve">Realizar un </w:t>
      </w:r>
      <w:r w:rsidR="00F65C66">
        <w:rPr>
          <w:rFonts w:ascii="Arial" w:hAnsi="Arial" w:cs="Arial"/>
          <w:b/>
          <w:bCs/>
          <w:sz w:val="28"/>
          <w:szCs w:val="28"/>
        </w:rPr>
        <w:t>e</w:t>
      </w:r>
      <w:r w:rsidRPr="00FD2527">
        <w:rPr>
          <w:rFonts w:ascii="Arial" w:hAnsi="Arial" w:cs="Arial"/>
          <w:b/>
          <w:bCs/>
          <w:sz w:val="28"/>
          <w:szCs w:val="28"/>
        </w:rPr>
        <w:t>xamen de proporcionalidad en sentido estricto.</w:t>
      </w:r>
      <w:r w:rsidRPr="00FD2527">
        <w:rPr>
          <w:rFonts w:ascii="Arial" w:hAnsi="Arial" w:cs="Arial"/>
          <w:bCs/>
          <w:sz w:val="28"/>
          <w:szCs w:val="28"/>
        </w:rPr>
        <w:t xml:space="preserve"> En esta etapa, se debe efectuar un balance o ponderación entre dos principios que compiten en un caso concreto. Dicho análisis requiere comparar el grado de intervención en el derecho fundamental que supone la medida legislativa examinada, frente al grado de realización del fin perseguido por ésta.</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Cs/>
          <w:sz w:val="28"/>
          <w:szCs w:val="28"/>
        </w:rPr>
        <w:t>Es decir, en esta etapa se realiza una ponderación entre los beneficios que cabe esperar de una limitación desde la perspectiva de los fines que se persiguen, frente a los costos que necesariamente se producirán desde la perspectiva de los derechos fundamentales afectados.</w:t>
      </w:r>
    </w:p>
    <w:p w:rsidR="009D686D" w:rsidRPr="00FD2527" w:rsidRDefault="009D686D" w:rsidP="009D686D">
      <w:pPr>
        <w:spacing w:before="360" w:after="360" w:line="360" w:lineRule="auto"/>
        <w:ind w:firstLine="1418"/>
        <w:jc w:val="both"/>
        <w:rPr>
          <w:rFonts w:ascii="Arial" w:hAnsi="Arial" w:cs="Arial"/>
          <w:bCs/>
          <w:sz w:val="28"/>
          <w:szCs w:val="28"/>
        </w:rPr>
      </w:pPr>
      <w:r w:rsidRPr="00FD2527">
        <w:rPr>
          <w:rFonts w:ascii="Arial" w:hAnsi="Arial" w:cs="Arial"/>
          <w:bCs/>
          <w:sz w:val="28"/>
          <w:szCs w:val="28"/>
        </w:rPr>
        <w:t>En consecuencia, la medida impugnada sólo será constitucional si el nivel del fin constitucional que persigue el legislador es mayor al nivel de intervención en el derecho fundamental. En caso contrario, la medida será desproporcionada, y por tanto, inconstitucional</w:t>
      </w:r>
      <w:r w:rsidRPr="00FD2527">
        <w:rPr>
          <w:rFonts w:ascii="Arial" w:hAnsi="Arial" w:cs="Arial"/>
          <w:bCs/>
          <w:sz w:val="28"/>
          <w:szCs w:val="28"/>
          <w:vertAlign w:val="superscript"/>
        </w:rPr>
        <w:footnoteReference w:id="39"/>
      </w:r>
      <w:r w:rsidRPr="00FD2527">
        <w:rPr>
          <w:rFonts w:ascii="Arial" w:hAnsi="Arial" w:cs="Arial"/>
          <w:bCs/>
          <w:sz w:val="28"/>
          <w:szCs w:val="28"/>
        </w:rPr>
        <w:t>.</w:t>
      </w:r>
    </w:p>
    <w:p w:rsidR="009D686D" w:rsidRPr="00FD2527" w:rsidRDefault="009D686D" w:rsidP="009D686D">
      <w:pPr>
        <w:spacing w:before="360" w:after="360" w:line="360" w:lineRule="auto"/>
        <w:ind w:firstLine="1418"/>
        <w:jc w:val="both"/>
        <w:rPr>
          <w:rFonts w:ascii="Arial" w:hAnsi="Arial" w:cs="Arial"/>
          <w:sz w:val="28"/>
          <w:szCs w:val="28"/>
        </w:rPr>
      </w:pPr>
      <w:r w:rsidRPr="00FD2527">
        <w:rPr>
          <w:rFonts w:ascii="Arial" w:hAnsi="Arial" w:cs="Arial"/>
          <w:bCs/>
          <w:sz w:val="28"/>
          <w:szCs w:val="28"/>
        </w:rPr>
        <w:t>Una vez establecido lo anterior, se procede a correr el examen de proporcionalidad, ya señalado</w:t>
      </w:r>
      <w:r w:rsidRPr="00FD2527">
        <w:rPr>
          <w:rFonts w:ascii="Arial" w:hAnsi="Arial" w:cs="Arial"/>
          <w:bCs/>
          <w:sz w:val="28"/>
          <w:szCs w:val="28"/>
          <w:vertAlign w:val="superscript"/>
        </w:rPr>
        <w:footnoteReference w:id="40"/>
      </w:r>
      <w:r w:rsidR="00FB12CA">
        <w:rPr>
          <w:rFonts w:ascii="Arial" w:hAnsi="Arial" w:cs="Arial"/>
          <w:bCs/>
          <w:sz w:val="28"/>
          <w:szCs w:val="28"/>
        </w:rPr>
        <w:t>:</w:t>
      </w:r>
    </w:p>
    <w:p w:rsidR="0004472A" w:rsidRDefault="009D686D" w:rsidP="00CF407D">
      <w:pPr>
        <w:spacing w:before="360" w:after="360" w:line="360" w:lineRule="auto"/>
        <w:ind w:left="567"/>
        <w:jc w:val="both"/>
        <w:rPr>
          <w:rFonts w:ascii="Arial" w:hAnsi="Arial" w:cs="Arial"/>
          <w:sz w:val="28"/>
          <w:szCs w:val="28"/>
        </w:rPr>
      </w:pPr>
      <w:r w:rsidRPr="00FD2527">
        <w:rPr>
          <w:rFonts w:ascii="Arial" w:hAnsi="Arial" w:cs="Arial"/>
          <w:b/>
          <w:sz w:val="28"/>
          <w:szCs w:val="28"/>
        </w:rPr>
        <w:t xml:space="preserve">1. </w:t>
      </w:r>
      <w:r w:rsidRPr="00FD2527">
        <w:rPr>
          <w:rFonts w:ascii="Arial" w:hAnsi="Arial" w:cs="Arial"/>
          <w:b/>
          <w:bCs/>
          <w:sz w:val="28"/>
          <w:szCs w:val="28"/>
        </w:rPr>
        <w:t>Fin legitimo en la restricción concreta.</w:t>
      </w:r>
      <w:r w:rsidRPr="00FD2527">
        <w:rPr>
          <w:rFonts w:ascii="Arial" w:hAnsi="Arial" w:cs="Arial"/>
          <w:sz w:val="28"/>
          <w:szCs w:val="28"/>
        </w:rPr>
        <w:t xml:space="preserve"> </w:t>
      </w:r>
      <w:r w:rsidR="0004472A" w:rsidRPr="0004472A">
        <w:rPr>
          <w:rFonts w:ascii="Arial" w:hAnsi="Arial" w:cs="Arial"/>
          <w:sz w:val="28"/>
          <w:szCs w:val="28"/>
        </w:rPr>
        <w:t>Imponer límites al financiamiento privado a los candidatos independientes persigue</w:t>
      </w:r>
      <w:r w:rsidR="0004472A">
        <w:rPr>
          <w:rFonts w:ascii="Arial" w:hAnsi="Arial" w:cs="Arial"/>
          <w:sz w:val="28"/>
          <w:szCs w:val="28"/>
        </w:rPr>
        <w:t>,</w:t>
      </w:r>
      <w:r w:rsidR="0004472A" w:rsidRPr="0004472A">
        <w:rPr>
          <w:rFonts w:ascii="Arial" w:hAnsi="Arial" w:cs="Arial"/>
          <w:sz w:val="28"/>
          <w:szCs w:val="28"/>
        </w:rPr>
        <w:t xml:space="preserve"> al menos, tres fines legítimos, a saber: </w:t>
      </w:r>
      <w:r w:rsidR="0004472A">
        <w:rPr>
          <w:rFonts w:ascii="Arial" w:hAnsi="Arial" w:cs="Arial"/>
          <w:sz w:val="28"/>
          <w:szCs w:val="28"/>
        </w:rPr>
        <w:t xml:space="preserve">preservar la </w:t>
      </w:r>
      <w:r w:rsidR="0004472A" w:rsidRPr="0004472A">
        <w:rPr>
          <w:rFonts w:ascii="Arial" w:hAnsi="Arial" w:cs="Arial"/>
          <w:sz w:val="28"/>
          <w:szCs w:val="28"/>
        </w:rPr>
        <w:t>equidad en las contiendas electorales</w:t>
      </w:r>
      <w:r w:rsidR="0004472A" w:rsidRPr="0004472A">
        <w:rPr>
          <w:rStyle w:val="Refdenotaalpie"/>
          <w:rFonts w:ascii="Arial" w:hAnsi="Arial" w:cs="Arial"/>
          <w:i/>
          <w:sz w:val="28"/>
          <w:szCs w:val="28"/>
        </w:rPr>
        <w:footnoteReference w:id="41"/>
      </w:r>
      <w:r w:rsidR="0004472A" w:rsidRPr="0004472A">
        <w:rPr>
          <w:rFonts w:ascii="Arial" w:hAnsi="Arial" w:cs="Arial"/>
          <w:sz w:val="28"/>
          <w:szCs w:val="28"/>
        </w:rPr>
        <w:t>;</w:t>
      </w:r>
      <w:r w:rsidR="0004472A" w:rsidRPr="0004472A">
        <w:rPr>
          <w:rFonts w:ascii="Arial" w:hAnsi="Arial" w:cs="Arial"/>
          <w:i/>
          <w:sz w:val="28"/>
          <w:szCs w:val="28"/>
        </w:rPr>
        <w:t xml:space="preserve"> </w:t>
      </w:r>
      <w:r w:rsidR="0004472A">
        <w:rPr>
          <w:rFonts w:ascii="Arial" w:hAnsi="Arial" w:cs="Arial"/>
          <w:sz w:val="28"/>
          <w:szCs w:val="28"/>
        </w:rPr>
        <w:t>fortalecer la licitud en</w:t>
      </w:r>
      <w:r w:rsidR="0004472A" w:rsidRPr="00CF407D">
        <w:rPr>
          <w:rFonts w:ascii="Arial" w:hAnsi="Arial" w:cs="Arial"/>
          <w:sz w:val="28"/>
          <w:szCs w:val="28"/>
        </w:rPr>
        <w:t xml:space="preserve"> el</w:t>
      </w:r>
      <w:r w:rsidR="0004472A">
        <w:rPr>
          <w:rFonts w:ascii="Arial" w:hAnsi="Arial" w:cs="Arial"/>
          <w:i/>
          <w:sz w:val="28"/>
          <w:szCs w:val="28"/>
        </w:rPr>
        <w:t xml:space="preserve"> </w:t>
      </w:r>
      <w:r w:rsidR="0004472A" w:rsidRPr="0004472A">
        <w:rPr>
          <w:rFonts w:ascii="Arial" w:hAnsi="Arial" w:cs="Arial"/>
          <w:sz w:val="28"/>
          <w:szCs w:val="28"/>
        </w:rPr>
        <w:t>origen de los recursos que soportan una campaña; y autonomía de quienes son elegidos por el voto ciudadano.</w:t>
      </w:r>
    </w:p>
    <w:p w:rsidR="00FB12CA" w:rsidRPr="00FB12CA" w:rsidRDefault="00FB12CA" w:rsidP="00E8776F">
      <w:pPr>
        <w:spacing w:before="360" w:after="360" w:line="360" w:lineRule="auto"/>
        <w:ind w:left="567"/>
        <w:jc w:val="both"/>
        <w:rPr>
          <w:rFonts w:ascii="Arial" w:hAnsi="Arial" w:cs="Arial"/>
          <w:sz w:val="28"/>
          <w:szCs w:val="28"/>
        </w:rPr>
      </w:pPr>
      <w:r>
        <w:rPr>
          <w:rFonts w:ascii="Arial" w:hAnsi="Arial" w:cs="Arial"/>
          <w:sz w:val="28"/>
          <w:szCs w:val="28"/>
        </w:rPr>
        <w:t xml:space="preserve">El artículo 35 de la Constitución, fracción II, establece el derecho de </w:t>
      </w:r>
      <w:r w:rsidRPr="00FB12CA">
        <w:rPr>
          <w:rFonts w:ascii="Arial" w:hAnsi="Arial" w:cs="Arial"/>
          <w:sz w:val="28"/>
          <w:szCs w:val="28"/>
        </w:rPr>
        <w:t>los ciudadanos que soliciten su registro de manera independiente y cumplan con los requisitos, condiciones y términos que determine la legislación,</w:t>
      </w:r>
      <w:r>
        <w:rPr>
          <w:rFonts w:ascii="Arial" w:hAnsi="Arial" w:cs="Arial"/>
          <w:sz w:val="28"/>
          <w:szCs w:val="28"/>
        </w:rPr>
        <w:t xml:space="preserve"> a ser votado </w:t>
      </w:r>
      <w:r w:rsidRPr="00FB12CA">
        <w:rPr>
          <w:rFonts w:ascii="Arial" w:hAnsi="Arial" w:cs="Arial"/>
          <w:sz w:val="28"/>
          <w:szCs w:val="28"/>
        </w:rPr>
        <w:t>para todos los cargos de elección popular, teniendo las calidades que establezca la ley.</w:t>
      </w:r>
    </w:p>
    <w:p w:rsidR="00FB12CA" w:rsidRPr="00FB12CA" w:rsidRDefault="00FB12CA" w:rsidP="00E8776F">
      <w:pPr>
        <w:spacing w:before="360" w:after="360" w:line="360" w:lineRule="auto"/>
        <w:ind w:left="567"/>
        <w:jc w:val="both"/>
        <w:rPr>
          <w:rFonts w:ascii="Arial" w:hAnsi="Arial" w:cs="Arial"/>
          <w:sz w:val="28"/>
          <w:szCs w:val="28"/>
        </w:rPr>
      </w:pPr>
      <w:r w:rsidRPr="00FB12CA">
        <w:rPr>
          <w:rFonts w:ascii="Arial" w:hAnsi="Arial" w:cs="Arial"/>
          <w:sz w:val="28"/>
          <w:szCs w:val="28"/>
        </w:rPr>
        <w:t xml:space="preserve">La restricción se encuentra en el marco legal del financiamiento de las candidaturas independientes, </w:t>
      </w:r>
      <w:r w:rsidR="0018558E">
        <w:rPr>
          <w:rFonts w:ascii="Arial" w:hAnsi="Arial" w:cs="Arial"/>
          <w:sz w:val="28"/>
          <w:szCs w:val="28"/>
        </w:rPr>
        <w:t xml:space="preserve">es decir, en el artículo 399 de la LEGIPE, </w:t>
      </w:r>
      <w:r w:rsidRPr="00FB12CA">
        <w:rPr>
          <w:rFonts w:ascii="Arial" w:hAnsi="Arial" w:cs="Arial"/>
          <w:sz w:val="28"/>
          <w:szCs w:val="28"/>
        </w:rPr>
        <w:t xml:space="preserve">que es donde se determinan las reglas y condiciones bajo </w:t>
      </w:r>
      <w:r w:rsidR="0018558E">
        <w:rPr>
          <w:rFonts w:ascii="Arial" w:hAnsi="Arial" w:cs="Arial"/>
          <w:sz w:val="28"/>
          <w:szCs w:val="28"/>
        </w:rPr>
        <w:t xml:space="preserve">las cuales se norma </w:t>
      </w:r>
      <w:r w:rsidRPr="00FB12CA">
        <w:rPr>
          <w:rFonts w:ascii="Arial" w:hAnsi="Arial" w:cs="Arial"/>
          <w:sz w:val="28"/>
          <w:szCs w:val="28"/>
        </w:rPr>
        <w:t>dicha figura.</w:t>
      </w:r>
    </w:p>
    <w:p w:rsidR="00BD6F07" w:rsidRDefault="0004472A" w:rsidP="00E8776F">
      <w:pPr>
        <w:spacing w:before="360" w:after="360" w:line="360" w:lineRule="auto"/>
        <w:ind w:left="567"/>
        <w:jc w:val="both"/>
        <w:rPr>
          <w:rFonts w:ascii="Arial" w:hAnsi="Arial" w:cs="Arial"/>
          <w:sz w:val="28"/>
          <w:szCs w:val="28"/>
        </w:rPr>
      </w:pPr>
      <w:r>
        <w:rPr>
          <w:rFonts w:ascii="Arial" w:hAnsi="Arial" w:cs="Arial"/>
          <w:sz w:val="28"/>
          <w:szCs w:val="28"/>
        </w:rPr>
        <w:t>Por ello</w:t>
      </w:r>
      <w:r w:rsidR="00FB12CA" w:rsidRPr="00FB12CA">
        <w:rPr>
          <w:rFonts w:ascii="Arial" w:hAnsi="Arial" w:cs="Arial"/>
          <w:sz w:val="28"/>
          <w:szCs w:val="28"/>
        </w:rPr>
        <w:t>, se advierte que la restricción legislativa es admisible al fijar cuáles son los requisitos y condiciones a que hace referencia el citado artículo 35.</w:t>
      </w:r>
    </w:p>
    <w:p w:rsidR="009D686D" w:rsidRDefault="009D686D" w:rsidP="00E8776F">
      <w:pPr>
        <w:spacing w:before="360" w:after="360" w:line="360" w:lineRule="auto"/>
        <w:ind w:left="567"/>
        <w:jc w:val="both"/>
        <w:rPr>
          <w:rFonts w:ascii="Arial" w:hAnsi="Arial" w:cs="Arial"/>
          <w:sz w:val="28"/>
          <w:szCs w:val="28"/>
        </w:rPr>
      </w:pPr>
      <w:r w:rsidRPr="00FD2527">
        <w:rPr>
          <w:rFonts w:ascii="Arial" w:hAnsi="Arial" w:cs="Arial"/>
          <w:sz w:val="28"/>
          <w:szCs w:val="28"/>
        </w:rPr>
        <w:t xml:space="preserve">Ello, porque si los </w:t>
      </w:r>
      <w:r w:rsidR="00F16216">
        <w:rPr>
          <w:rFonts w:ascii="Arial" w:hAnsi="Arial" w:cs="Arial"/>
          <w:sz w:val="28"/>
          <w:szCs w:val="28"/>
        </w:rPr>
        <w:t>candidatos independientes</w:t>
      </w:r>
      <w:r w:rsidRPr="00FD2527">
        <w:rPr>
          <w:rFonts w:ascii="Arial" w:hAnsi="Arial" w:cs="Arial"/>
          <w:sz w:val="28"/>
          <w:szCs w:val="28"/>
        </w:rPr>
        <w:t xml:space="preserve"> en campaña contaran con recursos indeterminados</w:t>
      </w:r>
      <w:r w:rsidR="00F16216">
        <w:rPr>
          <w:rFonts w:ascii="Arial" w:hAnsi="Arial" w:cs="Arial"/>
          <w:sz w:val="28"/>
          <w:szCs w:val="28"/>
        </w:rPr>
        <w:t xml:space="preserve"> </w:t>
      </w:r>
      <w:r w:rsidR="00650030">
        <w:rPr>
          <w:rFonts w:ascii="Arial" w:hAnsi="Arial" w:cs="Arial"/>
          <w:sz w:val="28"/>
          <w:szCs w:val="28"/>
        </w:rPr>
        <w:t xml:space="preserve">ello abriría </w:t>
      </w:r>
      <w:r w:rsidR="00F16216">
        <w:rPr>
          <w:rFonts w:ascii="Arial" w:hAnsi="Arial" w:cs="Arial"/>
          <w:sz w:val="28"/>
          <w:szCs w:val="28"/>
        </w:rPr>
        <w:t xml:space="preserve">la posibilidad de que uno de ellos cuente con </w:t>
      </w:r>
      <w:r w:rsidR="00F16216" w:rsidRPr="00FD2527">
        <w:rPr>
          <w:rFonts w:ascii="Arial" w:hAnsi="Arial" w:cs="Arial"/>
          <w:sz w:val="28"/>
          <w:szCs w:val="28"/>
        </w:rPr>
        <w:t>recursos</w:t>
      </w:r>
      <w:r w:rsidR="00F16216">
        <w:rPr>
          <w:rFonts w:ascii="Arial" w:hAnsi="Arial" w:cs="Arial"/>
          <w:sz w:val="28"/>
          <w:szCs w:val="28"/>
        </w:rPr>
        <w:t xml:space="preserve"> diametralmente</w:t>
      </w:r>
      <w:r w:rsidR="00F16216" w:rsidRPr="00FD2527">
        <w:rPr>
          <w:rFonts w:ascii="Arial" w:hAnsi="Arial" w:cs="Arial"/>
          <w:sz w:val="28"/>
          <w:szCs w:val="28"/>
        </w:rPr>
        <w:t xml:space="preserve"> mayores</w:t>
      </w:r>
      <w:r w:rsidR="00F16216">
        <w:rPr>
          <w:rFonts w:ascii="Arial" w:hAnsi="Arial" w:cs="Arial"/>
          <w:sz w:val="28"/>
          <w:szCs w:val="28"/>
        </w:rPr>
        <w:t xml:space="preserve"> frente a sus demás contrincantes y con ello, </w:t>
      </w:r>
      <w:r w:rsidR="00650030">
        <w:rPr>
          <w:rFonts w:ascii="Arial" w:hAnsi="Arial" w:cs="Arial"/>
          <w:sz w:val="28"/>
          <w:szCs w:val="28"/>
        </w:rPr>
        <w:t xml:space="preserve">contara con </w:t>
      </w:r>
      <w:r w:rsidR="00F16216">
        <w:rPr>
          <w:rFonts w:ascii="Arial" w:hAnsi="Arial" w:cs="Arial"/>
          <w:sz w:val="28"/>
          <w:szCs w:val="28"/>
        </w:rPr>
        <w:t xml:space="preserve">más </w:t>
      </w:r>
      <w:r w:rsidRPr="00FD2527">
        <w:rPr>
          <w:rFonts w:ascii="Arial" w:hAnsi="Arial" w:cs="Arial"/>
          <w:sz w:val="28"/>
          <w:szCs w:val="28"/>
        </w:rPr>
        <w:t xml:space="preserve">posibilidades para </w:t>
      </w:r>
      <w:r w:rsidR="00F16216">
        <w:rPr>
          <w:rFonts w:ascii="Arial" w:hAnsi="Arial" w:cs="Arial"/>
          <w:sz w:val="28"/>
          <w:szCs w:val="28"/>
        </w:rPr>
        <w:t>promover el</w:t>
      </w:r>
      <w:r w:rsidRPr="00FD2527">
        <w:rPr>
          <w:rFonts w:ascii="Arial" w:hAnsi="Arial" w:cs="Arial"/>
          <w:sz w:val="28"/>
          <w:szCs w:val="28"/>
        </w:rPr>
        <w:t xml:space="preserve"> voto</w:t>
      </w:r>
      <w:r w:rsidR="00650030">
        <w:rPr>
          <w:rFonts w:ascii="Arial" w:hAnsi="Arial" w:cs="Arial"/>
          <w:sz w:val="28"/>
          <w:szCs w:val="28"/>
        </w:rPr>
        <w:t xml:space="preserve">, circunstancia que </w:t>
      </w:r>
      <w:r w:rsidR="00A71950">
        <w:rPr>
          <w:rFonts w:ascii="Arial" w:hAnsi="Arial" w:cs="Arial"/>
          <w:sz w:val="28"/>
          <w:szCs w:val="28"/>
        </w:rPr>
        <w:t>incide</w:t>
      </w:r>
      <w:r w:rsidR="00650030">
        <w:rPr>
          <w:rFonts w:ascii="Arial" w:hAnsi="Arial" w:cs="Arial"/>
          <w:sz w:val="28"/>
          <w:szCs w:val="28"/>
        </w:rPr>
        <w:t xml:space="preserve"> en el resultado</w:t>
      </w:r>
      <w:r w:rsidRPr="00FD2527">
        <w:rPr>
          <w:rFonts w:ascii="Arial" w:hAnsi="Arial" w:cs="Arial"/>
          <w:sz w:val="28"/>
          <w:szCs w:val="28"/>
        </w:rPr>
        <w:t>.</w:t>
      </w:r>
    </w:p>
    <w:p w:rsidR="00075A6E" w:rsidRPr="00DA6319" w:rsidRDefault="00075A6E" w:rsidP="00075A6E">
      <w:pPr>
        <w:spacing w:before="360" w:after="360" w:line="360" w:lineRule="auto"/>
        <w:ind w:left="567"/>
        <w:jc w:val="both"/>
        <w:rPr>
          <w:rFonts w:ascii="Arial" w:hAnsi="Arial" w:cs="Arial"/>
          <w:sz w:val="28"/>
          <w:szCs w:val="28"/>
        </w:rPr>
      </w:pPr>
      <w:r w:rsidRPr="00CF407D">
        <w:rPr>
          <w:rFonts w:ascii="Arial" w:hAnsi="Arial" w:cs="Arial"/>
          <w:sz w:val="28"/>
          <w:szCs w:val="28"/>
        </w:rPr>
        <w:t>Pero también, la medida procura que los candidatos independientes no se vean comprometidos por determinados grupos de poder que financien sus campañas electorales, así como aminorar los riesgos de que ingresen recursos de procedencia ilícita o desconocida. De esta manera, se establece una garantía de independencia de las candidaturas ciudadanas frente a actores externos.</w:t>
      </w:r>
    </w:p>
    <w:p w:rsidR="0018558E" w:rsidRDefault="0018558E" w:rsidP="00E8776F">
      <w:pPr>
        <w:spacing w:before="360" w:after="360" w:line="360" w:lineRule="auto"/>
        <w:ind w:left="567"/>
        <w:jc w:val="both"/>
        <w:rPr>
          <w:rFonts w:ascii="Arial" w:hAnsi="Arial" w:cs="Arial"/>
          <w:sz w:val="28"/>
          <w:szCs w:val="28"/>
        </w:rPr>
      </w:pPr>
      <w:r>
        <w:rPr>
          <w:rFonts w:ascii="Arial" w:hAnsi="Arial" w:cs="Arial"/>
          <w:sz w:val="28"/>
          <w:szCs w:val="28"/>
        </w:rPr>
        <w:t>En tal virtud, la medida atiende a un fin legítimo que es vigilar la equidad en la contienda, lo que debe garantizarse no sólo entre candidatos independientes, sino entre estos y los postulados por los partidos políticos.</w:t>
      </w:r>
    </w:p>
    <w:p w:rsidR="00E8776F" w:rsidRDefault="009D686D" w:rsidP="00E8776F">
      <w:pPr>
        <w:spacing w:before="360" w:after="360" w:line="360" w:lineRule="auto"/>
        <w:ind w:left="567"/>
        <w:jc w:val="both"/>
        <w:rPr>
          <w:rFonts w:ascii="Arial" w:hAnsi="Arial" w:cs="Arial"/>
          <w:sz w:val="28"/>
          <w:szCs w:val="28"/>
        </w:rPr>
      </w:pPr>
      <w:r w:rsidRPr="00FD2527">
        <w:rPr>
          <w:rFonts w:ascii="Arial" w:hAnsi="Arial" w:cs="Arial"/>
          <w:b/>
          <w:bCs/>
          <w:sz w:val="28"/>
          <w:szCs w:val="28"/>
        </w:rPr>
        <w:t xml:space="preserve">2. Idoneidad de la medida. </w:t>
      </w:r>
      <w:r w:rsidRPr="00FD2527">
        <w:rPr>
          <w:rFonts w:ascii="Arial" w:hAnsi="Arial" w:cs="Arial"/>
          <w:sz w:val="28"/>
          <w:szCs w:val="28"/>
        </w:rPr>
        <w:t xml:space="preserve">Por otro lado, dicha regla cumple con el requisito de idoneidad, </w:t>
      </w:r>
      <w:r w:rsidR="000211D4">
        <w:rPr>
          <w:rFonts w:ascii="Arial" w:hAnsi="Arial" w:cs="Arial"/>
          <w:sz w:val="28"/>
          <w:szCs w:val="28"/>
        </w:rPr>
        <w:t>teniendo en cuenta</w:t>
      </w:r>
      <w:r w:rsidRPr="00FD2527">
        <w:rPr>
          <w:rFonts w:ascii="Arial" w:hAnsi="Arial" w:cs="Arial"/>
          <w:sz w:val="28"/>
          <w:szCs w:val="28"/>
        </w:rPr>
        <w:t xml:space="preserve"> </w:t>
      </w:r>
      <w:r w:rsidR="000211D4">
        <w:rPr>
          <w:rFonts w:ascii="Arial" w:hAnsi="Arial" w:cs="Arial"/>
          <w:sz w:val="28"/>
          <w:szCs w:val="28"/>
        </w:rPr>
        <w:t xml:space="preserve">que, </w:t>
      </w:r>
      <w:r w:rsidRPr="00FD2527">
        <w:rPr>
          <w:rFonts w:ascii="Arial" w:hAnsi="Arial" w:cs="Arial"/>
          <w:sz w:val="28"/>
          <w:szCs w:val="28"/>
        </w:rPr>
        <w:t xml:space="preserve">para considerar idónea </w:t>
      </w:r>
      <w:r w:rsidR="000211D4">
        <w:rPr>
          <w:rFonts w:ascii="Arial" w:hAnsi="Arial" w:cs="Arial"/>
          <w:sz w:val="28"/>
          <w:szCs w:val="28"/>
        </w:rPr>
        <w:t>una medida</w:t>
      </w:r>
      <w:r w:rsidRPr="00FD2527">
        <w:rPr>
          <w:rFonts w:ascii="Arial" w:hAnsi="Arial" w:cs="Arial"/>
          <w:sz w:val="28"/>
          <w:szCs w:val="28"/>
        </w:rPr>
        <w:t xml:space="preserve">, </w:t>
      </w:r>
      <w:r w:rsidR="000211D4">
        <w:rPr>
          <w:rFonts w:ascii="Arial" w:hAnsi="Arial" w:cs="Arial"/>
          <w:sz w:val="28"/>
          <w:szCs w:val="28"/>
        </w:rPr>
        <w:t>é</w:t>
      </w:r>
      <w:r w:rsidRPr="00FD2527">
        <w:rPr>
          <w:rFonts w:ascii="Arial" w:hAnsi="Arial" w:cs="Arial"/>
          <w:sz w:val="28"/>
          <w:szCs w:val="28"/>
        </w:rPr>
        <w:t>sta debe tener una relación fáctica con el fin que se persigue</w:t>
      </w:r>
      <w:r w:rsidR="00E8776F">
        <w:rPr>
          <w:rFonts w:ascii="Arial" w:hAnsi="Arial" w:cs="Arial"/>
          <w:sz w:val="28"/>
          <w:szCs w:val="28"/>
        </w:rPr>
        <w:t>.</w:t>
      </w:r>
    </w:p>
    <w:p w:rsidR="009D686D" w:rsidRDefault="000211D4" w:rsidP="00E8776F">
      <w:pPr>
        <w:spacing w:before="360" w:after="360" w:line="360" w:lineRule="auto"/>
        <w:ind w:left="567"/>
        <w:jc w:val="both"/>
        <w:rPr>
          <w:rFonts w:ascii="Arial" w:hAnsi="Arial" w:cs="Arial"/>
          <w:sz w:val="28"/>
          <w:szCs w:val="28"/>
        </w:rPr>
      </w:pPr>
      <w:r>
        <w:rPr>
          <w:rFonts w:ascii="Arial" w:hAnsi="Arial" w:cs="Arial"/>
          <w:sz w:val="28"/>
          <w:szCs w:val="28"/>
        </w:rPr>
        <w:t>E</w:t>
      </w:r>
      <w:r w:rsidR="009D686D" w:rsidRPr="00FD2527">
        <w:rPr>
          <w:rFonts w:ascii="Arial" w:hAnsi="Arial" w:cs="Arial"/>
          <w:sz w:val="28"/>
          <w:szCs w:val="28"/>
        </w:rPr>
        <w:t xml:space="preserve">n el caso, </w:t>
      </w:r>
      <w:r>
        <w:rPr>
          <w:rFonts w:ascii="Arial" w:hAnsi="Arial" w:cs="Arial"/>
          <w:sz w:val="28"/>
          <w:szCs w:val="28"/>
        </w:rPr>
        <w:t>al ser el financiamiento naturalmente medible en dinero, el</w:t>
      </w:r>
      <w:r w:rsidR="009D686D" w:rsidRPr="00FD2527">
        <w:rPr>
          <w:rFonts w:ascii="Arial" w:hAnsi="Arial" w:cs="Arial"/>
          <w:sz w:val="28"/>
          <w:szCs w:val="28"/>
        </w:rPr>
        <w:t xml:space="preserve"> </w:t>
      </w:r>
      <w:r>
        <w:rPr>
          <w:rFonts w:ascii="Arial" w:hAnsi="Arial" w:cs="Arial"/>
          <w:sz w:val="28"/>
          <w:szCs w:val="28"/>
        </w:rPr>
        <w:t xml:space="preserve">establecimiento de un </w:t>
      </w:r>
      <w:r w:rsidR="009D686D" w:rsidRPr="00FD2527">
        <w:rPr>
          <w:rFonts w:ascii="Arial" w:hAnsi="Arial" w:cs="Arial"/>
          <w:sz w:val="28"/>
          <w:szCs w:val="28"/>
        </w:rPr>
        <w:t>límite</w:t>
      </w:r>
      <w:r>
        <w:rPr>
          <w:rFonts w:ascii="Arial" w:hAnsi="Arial" w:cs="Arial"/>
          <w:sz w:val="28"/>
          <w:szCs w:val="28"/>
        </w:rPr>
        <w:t xml:space="preserve"> a</w:t>
      </w:r>
      <w:r w:rsidR="009D686D" w:rsidRPr="00FD2527">
        <w:rPr>
          <w:rFonts w:ascii="Arial" w:hAnsi="Arial" w:cs="Arial"/>
          <w:sz w:val="28"/>
          <w:szCs w:val="28"/>
        </w:rPr>
        <w:t xml:space="preserve"> las aportaciones privadas</w:t>
      </w:r>
      <w:r>
        <w:rPr>
          <w:rFonts w:ascii="Arial" w:hAnsi="Arial" w:cs="Arial"/>
          <w:sz w:val="28"/>
          <w:szCs w:val="28"/>
        </w:rPr>
        <w:t xml:space="preserve"> es una</w:t>
      </w:r>
      <w:r w:rsidR="00A71950">
        <w:rPr>
          <w:rFonts w:ascii="Arial" w:hAnsi="Arial" w:cs="Arial"/>
          <w:sz w:val="28"/>
          <w:szCs w:val="28"/>
        </w:rPr>
        <w:t xml:space="preserve"> medida</w:t>
      </w:r>
      <w:r>
        <w:rPr>
          <w:rFonts w:ascii="Arial" w:hAnsi="Arial" w:cs="Arial"/>
          <w:sz w:val="28"/>
          <w:szCs w:val="28"/>
        </w:rPr>
        <w:t xml:space="preserve"> </w:t>
      </w:r>
      <w:r w:rsidR="003F785D">
        <w:rPr>
          <w:rFonts w:ascii="Arial" w:hAnsi="Arial" w:cs="Arial"/>
          <w:sz w:val="28"/>
          <w:szCs w:val="28"/>
        </w:rPr>
        <w:t>idónea para salvaguardar la equidad en la contienda a partir de los recursos que utilicen los candidatos</w:t>
      </w:r>
      <w:r w:rsidR="00A71950">
        <w:rPr>
          <w:rFonts w:ascii="Arial" w:hAnsi="Arial" w:cs="Arial"/>
          <w:sz w:val="28"/>
          <w:szCs w:val="28"/>
        </w:rPr>
        <w:t xml:space="preserve"> independientes</w:t>
      </w:r>
      <w:r w:rsidR="009D686D" w:rsidRPr="00FD2527">
        <w:rPr>
          <w:rFonts w:ascii="Arial" w:hAnsi="Arial" w:cs="Arial"/>
          <w:sz w:val="28"/>
          <w:szCs w:val="28"/>
        </w:rPr>
        <w:t>.</w:t>
      </w:r>
    </w:p>
    <w:p w:rsidR="004A3CFB" w:rsidRDefault="00487C46" w:rsidP="004F6A37">
      <w:pPr>
        <w:spacing w:before="360" w:after="360" w:line="360" w:lineRule="auto"/>
        <w:ind w:left="567"/>
        <w:jc w:val="both"/>
        <w:rPr>
          <w:rFonts w:ascii="Arial" w:hAnsi="Arial" w:cs="Arial"/>
          <w:sz w:val="28"/>
          <w:szCs w:val="28"/>
        </w:rPr>
      </w:pPr>
      <w:r>
        <w:rPr>
          <w:rFonts w:ascii="Arial" w:hAnsi="Arial" w:cs="Arial"/>
          <w:sz w:val="28"/>
          <w:szCs w:val="28"/>
        </w:rPr>
        <w:t xml:space="preserve">Al respecto, es idóneo fijar límites a las aportaciones que pueden recibir los simpatizantes, puesto que con dicha medida se busca establecer un parámetro que </w:t>
      </w:r>
      <w:r w:rsidR="005F3E32">
        <w:rPr>
          <w:rFonts w:ascii="Arial" w:hAnsi="Arial" w:cs="Arial"/>
          <w:sz w:val="28"/>
          <w:szCs w:val="28"/>
        </w:rPr>
        <w:t>restrinja el ingreso desmedido de recursos a las campañas, lo que vulneraría el régimen de rendición de cuentas que impera en el modelo de fiscalización actual.</w:t>
      </w:r>
    </w:p>
    <w:p w:rsidR="00341071" w:rsidRPr="004F6A37" w:rsidRDefault="009D686D" w:rsidP="004F6A37">
      <w:pPr>
        <w:spacing w:before="360" w:after="360" w:line="360" w:lineRule="auto"/>
        <w:ind w:left="567"/>
        <w:jc w:val="both"/>
        <w:rPr>
          <w:rFonts w:ascii="Arial" w:hAnsi="Arial" w:cs="Arial"/>
          <w:sz w:val="28"/>
          <w:szCs w:val="28"/>
        </w:rPr>
      </w:pPr>
      <w:r w:rsidRPr="004F6A37">
        <w:rPr>
          <w:rFonts w:ascii="Arial" w:hAnsi="Arial" w:cs="Arial"/>
          <w:b/>
          <w:sz w:val="28"/>
          <w:szCs w:val="28"/>
        </w:rPr>
        <w:t xml:space="preserve">3. Necesidad de la medida. </w:t>
      </w:r>
      <w:r w:rsidR="00A71950" w:rsidRPr="004F6A37">
        <w:rPr>
          <w:rFonts w:ascii="Arial" w:hAnsi="Arial" w:cs="Arial"/>
          <w:sz w:val="28"/>
          <w:szCs w:val="28"/>
        </w:rPr>
        <w:t>S</w:t>
      </w:r>
      <w:r w:rsidRPr="004F6A37">
        <w:rPr>
          <w:rFonts w:ascii="Arial" w:hAnsi="Arial" w:cs="Arial"/>
          <w:sz w:val="28"/>
          <w:szCs w:val="28"/>
        </w:rPr>
        <w:t>e cumple con el requisito de necesidad ya que, al igual que a los partidos políticos, se fijan límites para el financiamiento privado</w:t>
      </w:r>
      <w:r w:rsidR="00341071" w:rsidRPr="004F6A37">
        <w:rPr>
          <w:rFonts w:ascii="Arial" w:hAnsi="Arial" w:cs="Arial"/>
          <w:sz w:val="28"/>
          <w:szCs w:val="28"/>
        </w:rPr>
        <w:t>, de tal suerte que con el límite fijado a quienes compiten por la vía independiente se impone un equilibrio necesario a efecto de que la competencia se dé con cierta igualdad de posibilidades.</w:t>
      </w:r>
    </w:p>
    <w:p w:rsidR="004A3CFB" w:rsidRDefault="004F6A37" w:rsidP="004172C8">
      <w:pPr>
        <w:spacing w:before="360" w:after="360" w:line="360" w:lineRule="auto"/>
        <w:ind w:left="567"/>
        <w:jc w:val="both"/>
        <w:rPr>
          <w:rFonts w:ascii="Arial" w:hAnsi="Arial" w:cs="Arial"/>
          <w:sz w:val="28"/>
          <w:szCs w:val="28"/>
        </w:rPr>
      </w:pPr>
      <w:r>
        <w:rPr>
          <w:rFonts w:ascii="Arial" w:hAnsi="Arial" w:cs="Arial"/>
          <w:sz w:val="28"/>
          <w:szCs w:val="28"/>
        </w:rPr>
        <w:t>T</w:t>
      </w:r>
      <w:r w:rsidR="00A351F7">
        <w:rPr>
          <w:rFonts w:ascii="Arial" w:hAnsi="Arial" w:cs="Arial"/>
          <w:sz w:val="28"/>
          <w:szCs w:val="28"/>
        </w:rPr>
        <w:t xml:space="preserve">ales límites permiten al </w:t>
      </w:r>
      <w:r w:rsidR="00AA230E" w:rsidRPr="004F6A37">
        <w:rPr>
          <w:rFonts w:ascii="Arial" w:hAnsi="Arial" w:cs="Arial"/>
          <w:sz w:val="28"/>
          <w:szCs w:val="28"/>
        </w:rPr>
        <w:t>Instituto Nacional Electoral</w:t>
      </w:r>
      <w:r w:rsidR="00A351F7">
        <w:rPr>
          <w:rFonts w:ascii="Arial" w:hAnsi="Arial" w:cs="Arial"/>
          <w:sz w:val="28"/>
          <w:szCs w:val="28"/>
        </w:rPr>
        <w:t xml:space="preserve"> </w:t>
      </w:r>
      <w:r w:rsidR="00BC7C50" w:rsidRPr="004F6A37">
        <w:rPr>
          <w:rFonts w:ascii="Arial" w:hAnsi="Arial" w:cs="Arial"/>
          <w:sz w:val="28"/>
          <w:szCs w:val="28"/>
        </w:rPr>
        <w:t>a</w:t>
      </w:r>
      <w:r w:rsidR="00A71950" w:rsidRPr="004F6A37">
        <w:rPr>
          <w:rFonts w:ascii="Arial" w:hAnsi="Arial" w:cs="Arial"/>
          <w:sz w:val="28"/>
          <w:szCs w:val="28"/>
        </w:rPr>
        <w:t xml:space="preserve"> través de los instrumentos de fiscalización</w:t>
      </w:r>
      <w:r w:rsidR="00BC7C50" w:rsidRPr="004F6A37">
        <w:rPr>
          <w:rFonts w:ascii="Arial" w:hAnsi="Arial" w:cs="Arial"/>
          <w:sz w:val="28"/>
          <w:szCs w:val="28"/>
        </w:rPr>
        <w:t>,</w:t>
      </w:r>
      <w:r w:rsidR="009D686D" w:rsidRPr="004F6A37">
        <w:rPr>
          <w:rFonts w:ascii="Arial" w:hAnsi="Arial" w:cs="Arial"/>
          <w:sz w:val="28"/>
          <w:szCs w:val="28"/>
        </w:rPr>
        <w:t xml:space="preserve"> salvaguard</w:t>
      </w:r>
      <w:r w:rsidR="00A71950" w:rsidRPr="004F6A37">
        <w:rPr>
          <w:rFonts w:ascii="Arial" w:hAnsi="Arial" w:cs="Arial"/>
          <w:sz w:val="28"/>
          <w:szCs w:val="28"/>
        </w:rPr>
        <w:t xml:space="preserve">ar </w:t>
      </w:r>
      <w:r w:rsidR="009D686D" w:rsidRPr="004F6A37">
        <w:rPr>
          <w:rFonts w:ascii="Arial" w:hAnsi="Arial" w:cs="Arial"/>
          <w:sz w:val="28"/>
          <w:szCs w:val="28"/>
        </w:rPr>
        <w:t>la equidad en la contienda</w:t>
      </w:r>
      <w:r w:rsidR="004172C8">
        <w:rPr>
          <w:rFonts w:ascii="Arial" w:hAnsi="Arial" w:cs="Arial"/>
          <w:sz w:val="28"/>
          <w:szCs w:val="28"/>
        </w:rPr>
        <w:t>.</w:t>
      </w:r>
    </w:p>
    <w:p w:rsidR="004172C8" w:rsidRDefault="004172C8" w:rsidP="004172C8">
      <w:pPr>
        <w:spacing w:before="360" w:after="360" w:line="360" w:lineRule="auto"/>
        <w:ind w:left="567"/>
        <w:jc w:val="both"/>
        <w:rPr>
          <w:rFonts w:ascii="Arial" w:hAnsi="Arial" w:cs="Arial"/>
          <w:sz w:val="28"/>
          <w:szCs w:val="28"/>
        </w:rPr>
      </w:pPr>
      <w:r>
        <w:rPr>
          <w:rFonts w:ascii="Arial" w:hAnsi="Arial" w:cs="Arial"/>
          <w:sz w:val="28"/>
          <w:szCs w:val="28"/>
        </w:rPr>
        <w:t>Máxime que debe existir certeza en los montos que puede recaudar un independiente para efectos de la fiscalización de sus recursos y vigilando que no puedan recibir un monto que implique inequidad en la contienda.</w:t>
      </w:r>
    </w:p>
    <w:p w:rsidR="00EB19E6" w:rsidRPr="00FD2527" w:rsidRDefault="004172C8" w:rsidP="008F46C1">
      <w:pPr>
        <w:spacing w:before="360" w:after="360" w:line="360" w:lineRule="auto"/>
        <w:ind w:left="567"/>
        <w:jc w:val="both"/>
        <w:rPr>
          <w:rFonts w:ascii="Arial" w:hAnsi="Arial" w:cs="Arial"/>
          <w:sz w:val="28"/>
          <w:szCs w:val="28"/>
        </w:rPr>
      </w:pPr>
      <w:r>
        <w:rPr>
          <w:rFonts w:ascii="Arial" w:hAnsi="Arial" w:cs="Arial"/>
          <w:sz w:val="28"/>
          <w:szCs w:val="28"/>
        </w:rPr>
        <w:t xml:space="preserve">De </w:t>
      </w:r>
      <w:r w:rsidR="00EB19E6">
        <w:rPr>
          <w:rFonts w:ascii="Arial" w:hAnsi="Arial" w:cs="Arial"/>
          <w:sz w:val="28"/>
          <w:szCs w:val="28"/>
        </w:rPr>
        <w:t xml:space="preserve">igual forma, la medida se surte necesaria para que </w:t>
      </w:r>
      <w:r w:rsidR="00434D3A">
        <w:rPr>
          <w:rFonts w:ascii="Arial" w:hAnsi="Arial" w:cs="Arial"/>
          <w:sz w:val="28"/>
          <w:szCs w:val="28"/>
        </w:rPr>
        <w:t>se pueda salvaguardar</w:t>
      </w:r>
      <w:r w:rsidR="00EB19E6">
        <w:rPr>
          <w:rFonts w:ascii="Arial" w:hAnsi="Arial" w:cs="Arial"/>
          <w:sz w:val="28"/>
          <w:szCs w:val="28"/>
        </w:rPr>
        <w:t xml:space="preserve"> la licitud del origen de los recursos</w:t>
      </w:r>
      <w:r w:rsidR="00434D3A">
        <w:rPr>
          <w:rFonts w:ascii="Arial" w:hAnsi="Arial" w:cs="Arial"/>
          <w:sz w:val="28"/>
          <w:szCs w:val="28"/>
        </w:rPr>
        <w:t>,</w:t>
      </w:r>
      <w:r w:rsidR="00EB19E6">
        <w:rPr>
          <w:rFonts w:ascii="Arial" w:hAnsi="Arial" w:cs="Arial"/>
          <w:sz w:val="28"/>
          <w:szCs w:val="28"/>
        </w:rPr>
        <w:t xml:space="preserve"> </w:t>
      </w:r>
      <w:r w:rsidR="00434D3A">
        <w:rPr>
          <w:rFonts w:ascii="Arial" w:hAnsi="Arial" w:cs="Arial"/>
          <w:sz w:val="28"/>
          <w:szCs w:val="28"/>
        </w:rPr>
        <w:t>ya que, al establecer límites específicos a las aportaciones de procedencia distinta a la pública se permite a la autoridad fiscalizadora tener mayor control sobre los ingresos involucrados en las campañas</w:t>
      </w:r>
      <w:r w:rsidR="00E538B5">
        <w:rPr>
          <w:rFonts w:ascii="Arial" w:hAnsi="Arial" w:cs="Arial"/>
          <w:sz w:val="28"/>
          <w:szCs w:val="28"/>
        </w:rPr>
        <w:t>.</w:t>
      </w:r>
    </w:p>
    <w:p w:rsidR="009D686D" w:rsidRDefault="009D686D" w:rsidP="008F46C1">
      <w:pPr>
        <w:spacing w:before="360" w:after="360" w:line="360" w:lineRule="auto"/>
        <w:ind w:left="567"/>
        <w:jc w:val="both"/>
        <w:rPr>
          <w:rFonts w:ascii="Arial" w:hAnsi="Arial" w:cs="Arial"/>
          <w:sz w:val="28"/>
          <w:szCs w:val="28"/>
        </w:rPr>
      </w:pPr>
      <w:r w:rsidRPr="00FD2527">
        <w:rPr>
          <w:rFonts w:ascii="Arial" w:hAnsi="Arial" w:cs="Arial"/>
          <w:b/>
          <w:sz w:val="28"/>
          <w:szCs w:val="28"/>
        </w:rPr>
        <w:t>4. Estudio de</w:t>
      </w:r>
      <w:r w:rsidRPr="00FD2527">
        <w:rPr>
          <w:rFonts w:ascii="Arial" w:hAnsi="Arial" w:cs="Arial"/>
          <w:sz w:val="28"/>
          <w:szCs w:val="28"/>
        </w:rPr>
        <w:t xml:space="preserve"> </w:t>
      </w:r>
      <w:r w:rsidRPr="00FD2527">
        <w:rPr>
          <w:rFonts w:ascii="Arial" w:hAnsi="Arial" w:cs="Arial"/>
          <w:b/>
          <w:sz w:val="28"/>
          <w:szCs w:val="28"/>
        </w:rPr>
        <w:t>proporcional</w:t>
      </w:r>
      <w:r w:rsidR="00BC7C50">
        <w:rPr>
          <w:rFonts w:ascii="Arial" w:hAnsi="Arial" w:cs="Arial"/>
          <w:b/>
          <w:sz w:val="28"/>
          <w:szCs w:val="28"/>
        </w:rPr>
        <w:t>idad</w:t>
      </w:r>
      <w:r w:rsidRPr="00FD2527">
        <w:rPr>
          <w:rFonts w:ascii="Arial" w:hAnsi="Arial" w:cs="Arial"/>
          <w:b/>
          <w:sz w:val="28"/>
          <w:szCs w:val="28"/>
        </w:rPr>
        <w:t xml:space="preserve"> en sentido estricto.</w:t>
      </w:r>
      <w:r w:rsidRPr="00FD2527">
        <w:rPr>
          <w:rFonts w:ascii="Arial" w:hAnsi="Arial" w:cs="Arial"/>
          <w:sz w:val="28"/>
          <w:szCs w:val="28"/>
        </w:rPr>
        <w:t xml:space="preserve"> </w:t>
      </w:r>
      <w:r w:rsidR="00A71950">
        <w:rPr>
          <w:rFonts w:ascii="Arial" w:hAnsi="Arial" w:cs="Arial"/>
          <w:sz w:val="28"/>
          <w:szCs w:val="28"/>
        </w:rPr>
        <w:t>E</w:t>
      </w:r>
      <w:r w:rsidRPr="00FD2527">
        <w:rPr>
          <w:rFonts w:ascii="Arial" w:hAnsi="Arial" w:cs="Arial"/>
          <w:sz w:val="28"/>
          <w:szCs w:val="28"/>
        </w:rPr>
        <w:t>ste órgano jurisdiccional considera que la regla bajo análisis no cumple con e</w:t>
      </w:r>
      <w:r w:rsidR="008F46C1">
        <w:rPr>
          <w:rFonts w:ascii="Arial" w:hAnsi="Arial" w:cs="Arial"/>
          <w:sz w:val="28"/>
          <w:szCs w:val="28"/>
        </w:rPr>
        <w:t>l requisito de proporcionalidad como a continuación se expone:</w:t>
      </w:r>
    </w:p>
    <w:p w:rsidR="00CD3910" w:rsidRDefault="00C053B5" w:rsidP="008F46C1">
      <w:pPr>
        <w:pStyle w:val="PRRAFOSENTENCIA"/>
      </w:pPr>
      <w:bookmarkStart w:id="11" w:name="_Hlk511125438"/>
      <w:r>
        <w:rPr>
          <w:b/>
        </w:rPr>
        <w:t>5.6.2</w:t>
      </w:r>
      <w:r w:rsidR="008F46C1" w:rsidRPr="008F46C1">
        <w:rPr>
          <w:b/>
        </w:rPr>
        <w:t xml:space="preserve">.3. </w:t>
      </w:r>
      <w:r w:rsidR="00A71950" w:rsidRPr="008F46C1">
        <w:rPr>
          <w:b/>
        </w:rPr>
        <w:t>Falta de proporcionalidad en sentido estricto</w:t>
      </w:r>
      <w:bookmarkEnd w:id="11"/>
      <w:r w:rsidR="008F46C1">
        <w:rPr>
          <w:b/>
        </w:rPr>
        <w:t xml:space="preserve">. </w:t>
      </w:r>
      <w:r w:rsidR="00CD3910">
        <w:t>Expuesto lo anterior, esta Sala Superior considera que, si bien la fijación de límites de financiamiento privado atiende a un fin legítimo, resulta idónea y necesaria, el establecimiento del 10% como límite no resulta proporcional en sentido estricto como a continuación se expone:</w:t>
      </w:r>
    </w:p>
    <w:p w:rsidR="00C86AB9" w:rsidRDefault="00C86AB9" w:rsidP="008F46C1">
      <w:pPr>
        <w:pStyle w:val="PRRAFOSENTENCIA"/>
      </w:pPr>
      <w:r>
        <w:t>En el presente proceso electoral federal, contienden candidaturas de partidos políticos y candidaturas independientes, todas ellas, deben participar en igualdad de circunstancias, partiendo de las diferencias que cada una de las figuras supone.</w:t>
      </w:r>
    </w:p>
    <w:p w:rsidR="00C86AB9" w:rsidRDefault="000B76A9" w:rsidP="008F46C1">
      <w:pPr>
        <w:pStyle w:val="PRRAFOSENTENCIA"/>
      </w:pPr>
      <w:r>
        <w:t>L</w:t>
      </w:r>
      <w:r w:rsidR="00C86AB9">
        <w:t>os partidos políticos cuentan con estructuras consolidadas, que han sido sujetas al parpámetro de aprobación ciudadana mediante los procedimientos o condiciones establecidos en la C</w:t>
      </w:r>
      <w:r w:rsidR="00AA230E">
        <w:t xml:space="preserve">onstitución, así como en la Ley de </w:t>
      </w:r>
      <w:r w:rsidR="00C86AB9">
        <w:t>Partidos.</w:t>
      </w:r>
    </w:p>
    <w:p w:rsidR="00FF2A4C" w:rsidRDefault="00C86AB9" w:rsidP="008F46C1">
      <w:pPr>
        <w:pStyle w:val="PRRAFOSENTENCIA"/>
      </w:pPr>
      <w:r>
        <w:t xml:space="preserve">Ello </w:t>
      </w:r>
      <w:r w:rsidR="00FF2A4C">
        <w:t>significa que cuentan con un respaldo ciudadano previo a los procesos electorales, que los habilita a dar cumplimiento a los fines y objetivos que constitucional y legalmente tienen encomendados, los cuales atienden a cuestiones diversas a las candidaturas independientes.</w:t>
      </w:r>
    </w:p>
    <w:p w:rsidR="00FF2A4C" w:rsidRDefault="00A4631E" w:rsidP="008F46C1">
      <w:pPr>
        <w:pStyle w:val="PRRAFOSENTENCIA"/>
      </w:pPr>
      <w:r>
        <w:t xml:space="preserve">Por su parte, las candidaturas independientes surgen con la finalidad de evitar el monopolio de los partidos políticos como únicos medios de acceso al poder, posibilitando a la ciudadanía en general el ejercicio del derecho a ser </w:t>
      </w:r>
      <w:r w:rsidR="00355A85">
        <w:t>votado, siempre que se cumpla con los requisitos y condiciones que establece la ley.</w:t>
      </w:r>
    </w:p>
    <w:p w:rsidR="00355A85" w:rsidRDefault="00F11C41" w:rsidP="008F46C1">
      <w:pPr>
        <w:pStyle w:val="PRRAFOSENTENCIA"/>
      </w:pPr>
      <w:r>
        <w:t>Dentro de ese conjunto de condiciones se encuentra el cumplimiento a las obligaciones que, en materia de ingresos y gastos tienen encomendadas, frente a las cuales se tienen diversas prerrogativas como lo es, el acceso al financiamiento público y privado.</w:t>
      </w:r>
    </w:p>
    <w:p w:rsidR="00F11C41" w:rsidRDefault="00714991" w:rsidP="008F46C1">
      <w:pPr>
        <w:pStyle w:val="PRRAFOSENTENCIA"/>
      </w:pPr>
      <w:r>
        <w:t xml:space="preserve">Tales prerrogativas, aunque en esencia también lo son de los partidos políticos, suponen </w:t>
      </w:r>
      <w:r w:rsidR="00C4624A">
        <w:t>diferencias sustanciales que atienden a la naturaleza que se ha señalado para cada figura, y que los distingue, por lo que mientras un partido político puede recibir mayor cantidad de recursos públicos, ello tiene sustento en que sus fines están circunscritos a todo el ejercicio de manera ordinaria y periódica.</w:t>
      </w:r>
    </w:p>
    <w:p w:rsidR="00C4624A" w:rsidRDefault="00C4624A" w:rsidP="008F46C1">
      <w:pPr>
        <w:pStyle w:val="PRRAFOSENTENCIA"/>
      </w:pPr>
      <w:r>
        <w:t>Ahora bien, respecto del financiamiento público para la obtención del voto, también los partidos cuentan con una bolsa mayor que la de un candidato independiente, sin embargo, no debe perderse de vista que aquellos deben velar por la totalidad de las candidaturas postuladas, respecto de los diversos procesos electorales en que contienden.</w:t>
      </w:r>
    </w:p>
    <w:p w:rsidR="00C4624A" w:rsidRDefault="00346E8F" w:rsidP="008F46C1">
      <w:pPr>
        <w:pStyle w:val="PRRAFOSENTENCIA"/>
      </w:pPr>
      <w:r>
        <w:t>Tal</w:t>
      </w:r>
      <w:r w:rsidR="00354BE9">
        <w:t xml:space="preserve"> parám</w:t>
      </w:r>
      <w:r w:rsidR="00D422BA">
        <w:t>e</w:t>
      </w:r>
      <w:r w:rsidR="00354BE9">
        <w:t xml:space="preserve">tro impide comparar de manera efectiva </w:t>
      </w:r>
      <w:r>
        <w:t>las figuras de los partidos políticos y las candidaturas independientes, pues en un cargo al que contienda un candidato independiente, con cierto financiamiento público y privado, puede no ser del interés de un partido político por competitividad, lo que significará que</w:t>
      </w:r>
      <w:r w:rsidR="000B76A9">
        <w:t>,</w:t>
      </w:r>
      <w:r>
        <w:t xml:space="preserve"> posiblemente</w:t>
      </w:r>
      <w:r w:rsidR="000B76A9">
        <w:t>,</w:t>
      </w:r>
      <w:r>
        <w:t xml:space="preserve"> </w:t>
      </w:r>
      <w:r w:rsidR="00CD763B">
        <w:t>el partido político otorgue</w:t>
      </w:r>
      <w:r>
        <w:t xml:space="preserve"> me</w:t>
      </w:r>
      <w:r w:rsidR="00CD763B">
        <w:t>nor</w:t>
      </w:r>
      <w:r>
        <w:t xml:space="preserve"> </w:t>
      </w:r>
      <w:r w:rsidR="00CD763B">
        <w:t xml:space="preserve">cantidad de </w:t>
      </w:r>
      <w:r>
        <w:t xml:space="preserve">recursos </w:t>
      </w:r>
      <w:r w:rsidR="00CD763B">
        <w:t xml:space="preserve">al candidato </w:t>
      </w:r>
      <w:r>
        <w:t>que postula</w:t>
      </w:r>
      <w:r w:rsidR="00CD763B">
        <w:t>.</w:t>
      </w:r>
    </w:p>
    <w:p w:rsidR="00CD763B" w:rsidRDefault="00CD763B" w:rsidP="008F46C1">
      <w:pPr>
        <w:pStyle w:val="PRRAFOSENTENCIA"/>
      </w:pPr>
      <w:r>
        <w:t xml:space="preserve">Sin embargo, hay un parámetro que sirve de base para </w:t>
      </w:r>
      <w:r w:rsidR="008211BB">
        <w:t>medir la equidad en la contienda, y es el tope de gastos de campaña.</w:t>
      </w:r>
    </w:p>
    <w:p w:rsidR="000A037F" w:rsidRDefault="008211BB" w:rsidP="000A037F">
      <w:pPr>
        <w:pStyle w:val="PRRAFOSENTENCIA"/>
      </w:pPr>
      <w:r>
        <w:t xml:space="preserve">Este límite de gasto que se fija para cada campaña involucrada en un proceso electoral, tiene como objetivo permitir a todos los contendientes </w:t>
      </w:r>
      <w:r w:rsidR="000A037F">
        <w:t xml:space="preserve">participar en </w:t>
      </w:r>
      <w:r>
        <w:t xml:space="preserve">un marco de igualdad respecto de los recursos </w:t>
      </w:r>
      <w:r w:rsidR="000A037F">
        <w:t xml:space="preserve">que pueden emplear en la campaña, con lo que se busca garantizar la equidad en la contienda, al impedir </w:t>
      </w:r>
      <w:r w:rsidR="00FB4776">
        <w:t>que un candidato, sin distingo de su origen partidista o independiente, pueda gastar más que otro.</w:t>
      </w:r>
    </w:p>
    <w:p w:rsidR="002B02B3" w:rsidRDefault="002B02B3" w:rsidP="002B02B3">
      <w:pPr>
        <w:pStyle w:val="PRRAFOSENTENCIA"/>
      </w:pPr>
      <w:r>
        <w:t xml:space="preserve">Bajo tal premisa, todos los topes de gasto privilegian la equidad, principio en que se encuentran sustentados. No obstante, frente a los topes de gasto, se encuentran los límites de ingreso. </w:t>
      </w:r>
    </w:p>
    <w:p w:rsidR="002B02B3" w:rsidRDefault="002B02B3" w:rsidP="000A037F">
      <w:pPr>
        <w:pStyle w:val="PRRAFOSENTENCIA"/>
      </w:pPr>
      <w:r>
        <w:t xml:space="preserve">En el caso del financiamiento público, no se habla de un límite, sino del monto a que se tiene derecho, partiendo de las fórmulas establecidas legalmente. En cambio, para el financiamiento privado sí se contiene un límite, a fin de impedir que actores ajenos a los sujetos obligados </w:t>
      </w:r>
      <w:r w:rsidR="00847ED3">
        <w:t>incidan en la contienda, beneficiándose del resultado y afectando, por lo tanto, la independencia de los actores públicos que accedan al poder.</w:t>
      </w:r>
    </w:p>
    <w:p w:rsidR="00CF2ECA" w:rsidRDefault="006F6A21" w:rsidP="00CF2ECA">
      <w:pPr>
        <w:pStyle w:val="PRRAFOSENTENCIA"/>
      </w:pPr>
      <w:r>
        <w:t>Como se dijo, en el caso de las candidaturas partidistas, éstas pueden erogar recurso</w:t>
      </w:r>
      <w:r w:rsidR="008B05F4">
        <w:t>s</w:t>
      </w:r>
      <w:r>
        <w:t xml:space="preserve"> </w:t>
      </w:r>
      <w:r w:rsidR="008B05F4">
        <w:t>suficientes para alcanzar</w:t>
      </w:r>
      <w:r>
        <w:t xml:space="preserve"> el tope de gastos de campaña, pues los montos de financiamiento público y privado resultan mayores que </w:t>
      </w:r>
      <w:r w:rsidR="00CF2ECA">
        <w:t xml:space="preserve">éste. Lo que estará condicionado a </w:t>
      </w:r>
      <w:r w:rsidR="00DB134F">
        <w:t xml:space="preserve">la </w:t>
      </w:r>
      <w:r w:rsidR="00CF2ECA">
        <w:t>estrategia política de los partidos, mas no a una cuestión jurídica previamente delimitada.</w:t>
      </w:r>
    </w:p>
    <w:p w:rsidR="002B02B3" w:rsidRDefault="00CF2ECA" w:rsidP="000A037F">
      <w:pPr>
        <w:pStyle w:val="PRRAFOSENTENCIA"/>
      </w:pPr>
      <w:r>
        <w:t xml:space="preserve">Por su parte, las candidaturas independientes sí se encuentran en una situación diversa, </w:t>
      </w:r>
      <w:r w:rsidR="0038499F">
        <w:t>ya que los montos de financiamiento público no resultan suficientes, resepecto del tope de gastos de campaña, motivo por el cual se hace necesario que el financiamiento p</w:t>
      </w:r>
      <w:r w:rsidR="008D7B35">
        <w:t>r</w:t>
      </w:r>
      <w:r w:rsidR="0038499F">
        <w:t xml:space="preserve">ivado cubra la limitante </w:t>
      </w:r>
      <w:r w:rsidR="008D7B35">
        <w:t>referida, a efecto de hacer competitiva la candidatura en condiciones de equidad, frente a la de los partidos políticos.</w:t>
      </w:r>
    </w:p>
    <w:p w:rsidR="008D7B35" w:rsidRDefault="008D7B35" w:rsidP="000A037F">
      <w:pPr>
        <w:pStyle w:val="PRRAFOSENTENCIA"/>
      </w:pPr>
      <w:r>
        <w:t xml:space="preserve">Ahora bien, </w:t>
      </w:r>
      <w:r w:rsidR="00494002">
        <w:t xml:space="preserve">en el caso que nos ocupa, la problemática gira en torno a </w:t>
      </w:r>
      <w:r w:rsidR="003E545B">
        <w:t xml:space="preserve">la cantidad de </w:t>
      </w:r>
      <w:r w:rsidR="00BF122F">
        <w:t xml:space="preserve">recursos que se pueden obtener por concepto de aportaciones de simpatizantes </w:t>
      </w:r>
      <w:r w:rsidR="003E545B">
        <w:t>y de los propios candidatos, puesto que la norma establece que el límite debe fijarse a partir del tope de gastos de campaña, tasando con un diez por ciento dicha restricción.</w:t>
      </w:r>
    </w:p>
    <w:p w:rsidR="009D686D" w:rsidRPr="00FD2527" w:rsidRDefault="00E42777" w:rsidP="008F46C1">
      <w:pPr>
        <w:pStyle w:val="PRRAFOSENTENCIA"/>
      </w:pPr>
      <w:r>
        <w:t>E</w:t>
      </w:r>
      <w:r w:rsidR="009D686D" w:rsidRPr="00FD2527">
        <w:t xml:space="preserve">sta Sala Superior, al resolver la contradicción de criterios </w:t>
      </w:r>
      <w:r w:rsidR="009D686D" w:rsidRPr="00FD2527">
        <w:rPr>
          <w:b/>
        </w:rPr>
        <w:t>SUP-CDC-2/2016</w:t>
      </w:r>
      <w:r w:rsidR="009D686D" w:rsidRPr="00FD2527">
        <w:rPr>
          <w:rStyle w:val="Refdenotaalpie"/>
        </w:rPr>
        <w:footnoteReference w:id="42"/>
      </w:r>
      <w:r w:rsidR="009D686D" w:rsidRPr="00FD2527">
        <w:t>, esencialmente concluyó que “</w:t>
      </w:r>
      <w:r w:rsidR="009D686D" w:rsidRPr="00FD2527">
        <w:rPr>
          <w:i/>
        </w:rPr>
        <w:t>el límite para el financiamiento privado de los candidatos independientes, previsto en el artículo 228 de la Ley Electoral del Estado de Chihuahua, en el cual se prevé que éstos no podrán rebasar el 50% del tope de gasto de campaña para candidatos independientes de la elección de que se trate, resulta una medida proporcional y equitativa en tanto que permite que el financiamiento privado prevalezca sobre el público, el cual suele ser significativamente inferior al que es otorgado a sus similares que compiten postulados por un partido político o coalición</w:t>
      </w:r>
      <w:r w:rsidR="009D686D" w:rsidRPr="00FD2527">
        <w:t>”.</w:t>
      </w:r>
    </w:p>
    <w:p w:rsidR="009D686D" w:rsidRPr="00FD2527" w:rsidRDefault="009D686D" w:rsidP="009D686D">
      <w:pPr>
        <w:spacing w:before="360" w:after="360" w:line="360" w:lineRule="auto"/>
        <w:ind w:firstLine="1418"/>
        <w:jc w:val="both"/>
        <w:rPr>
          <w:rFonts w:ascii="Arial" w:hAnsi="Arial" w:cs="Arial"/>
          <w:sz w:val="28"/>
          <w:szCs w:val="28"/>
        </w:rPr>
      </w:pPr>
      <w:r w:rsidRPr="00FD2527">
        <w:rPr>
          <w:rFonts w:ascii="Arial" w:hAnsi="Arial" w:cs="Arial"/>
          <w:sz w:val="28"/>
          <w:szCs w:val="28"/>
        </w:rPr>
        <w:t xml:space="preserve">En la ejecutoria de dicha contradicción, se razonó que las candidaturas independientes (consideradas como partidos políticos de nueva creación) deben tener las mismas posibilidades de contender y tener éxito en las campañas electorales </w:t>
      </w:r>
      <w:r w:rsidR="00BC7C50">
        <w:rPr>
          <w:rFonts w:ascii="Arial" w:hAnsi="Arial" w:cs="Arial"/>
          <w:sz w:val="28"/>
          <w:szCs w:val="28"/>
        </w:rPr>
        <w:t xml:space="preserve">en las </w:t>
      </w:r>
      <w:r w:rsidRPr="00FD2527">
        <w:rPr>
          <w:rFonts w:ascii="Arial" w:hAnsi="Arial" w:cs="Arial"/>
          <w:sz w:val="28"/>
          <w:szCs w:val="28"/>
        </w:rPr>
        <w:t>que participen respecto de las candidaturas postuladas por partidos políticos, más allá de las diferencias latentes que existen como son el acceso a radio y televisión, estructura partidista, etc.</w:t>
      </w:r>
    </w:p>
    <w:p w:rsidR="009D686D" w:rsidRPr="00FD2527" w:rsidRDefault="009D686D" w:rsidP="009D686D">
      <w:pPr>
        <w:spacing w:before="360" w:after="360" w:line="360" w:lineRule="auto"/>
        <w:ind w:firstLine="1418"/>
        <w:jc w:val="both"/>
        <w:rPr>
          <w:rFonts w:ascii="Arial" w:hAnsi="Arial" w:cs="Arial"/>
          <w:sz w:val="28"/>
          <w:szCs w:val="28"/>
        </w:rPr>
      </w:pPr>
      <w:r w:rsidRPr="00FD2527">
        <w:rPr>
          <w:rFonts w:ascii="Arial" w:hAnsi="Arial" w:cs="Arial"/>
          <w:sz w:val="28"/>
          <w:szCs w:val="28"/>
        </w:rPr>
        <w:t>Se invocó el Código de buenas prácticas en materia electoral de la Comisión Europea para la Democracia por el Derecho, popularmente conocida como Comisión de Venecia, que contiene una serie de directrices, en cuya primera parte se estableció lo siguiente:</w:t>
      </w:r>
    </w:p>
    <w:p w:rsidR="009D686D" w:rsidRPr="00FD2527" w:rsidRDefault="009D686D" w:rsidP="003464FE">
      <w:pPr>
        <w:spacing w:before="120" w:after="120"/>
        <w:ind w:left="567" w:right="476" w:hanging="283"/>
        <w:jc w:val="both"/>
        <w:rPr>
          <w:rFonts w:ascii="Arial" w:hAnsi="Arial" w:cs="Arial"/>
          <w:i/>
          <w:sz w:val="26"/>
          <w:szCs w:val="26"/>
        </w:rPr>
      </w:pPr>
      <w:r w:rsidRPr="00FD2527">
        <w:rPr>
          <w:rFonts w:ascii="Arial" w:hAnsi="Arial" w:cs="Arial"/>
          <w:sz w:val="28"/>
          <w:szCs w:val="28"/>
        </w:rPr>
        <w:t xml:space="preserve"> “</w:t>
      </w:r>
      <w:r w:rsidRPr="00FD2527">
        <w:rPr>
          <w:rFonts w:ascii="Arial" w:hAnsi="Arial" w:cs="Arial"/>
          <w:i/>
          <w:sz w:val="26"/>
          <w:szCs w:val="26"/>
        </w:rPr>
        <w:t>2.3. Igualdad de oportunidades</w:t>
      </w:r>
    </w:p>
    <w:p w:rsidR="009D686D" w:rsidRPr="007905D9" w:rsidRDefault="009D686D" w:rsidP="003464FE">
      <w:pPr>
        <w:spacing w:before="120" w:after="120"/>
        <w:ind w:left="1134" w:right="476" w:hanging="283"/>
        <w:jc w:val="both"/>
        <w:rPr>
          <w:rFonts w:ascii="Arial" w:hAnsi="Arial" w:cs="Arial"/>
          <w:i/>
          <w:sz w:val="26"/>
          <w:szCs w:val="26"/>
        </w:rPr>
      </w:pPr>
      <w:r w:rsidRPr="00FD2527">
        <w:rPr>
          <w:rFonts w:ascii="Arial" w:hAnsi="Arial" w:cs="Arial"/>
          <w:i/>
          <w:sz w:val="26"/>
          <w:szCs w:val="26"/>
        </w:rPr>
        <w:t xml:space="preserve">a. Deberá garantizarse la igualdad de oportunidades entre los partidos y los candidatos. Ello implica la neutralidad de las </w:t>
      </w:r>
      <w:r w:rsidRPr="007905D9">
        <w:rPr>
          <w:rFonts w:ascii="Arial" w:hAnsi="Arial" w:cs="Arial"/>
          <w:i/>
          <w:sz w:val="26"/>
          <w:szCs w:val="26"/>
        </w:rPr>
        <w:t>autoridades públicas, en particular por lo que se refiere a:</w:t>
      </w:r>
    </w:p>
    <w:p w:rsidR="009D686D" w:rsidRPr="00306660" w:rsidRDefault="009D686D" w:rsidP="003464FE">
      <w:pPr>
        <w:pStyle w:val="Prrafodelista"/>
        <w:numPr>
          <w:ilvl w:val="0"/>
          <w:numId w:val="11"/>
        </w:numPr>
        <w:spacing w:before="120" w:after="120"/>
        <w:ind w:left="1418" w:right="476" w:hanging="284"/>
        <w:jc w:val="both"/>
        <w:rPr>
          <w:rFonts w:ascii="Arial" w:hAnsi="Arial" w:cs="Arial"/>
          <w:i/>
          <w:sz w:val="26"/>
          <w:szCs w:val="26"/>
        </w:rPr>
      </w:pPr>
      <w:r w:rsidRPr="00306660">
        <w:rPr>
          <w:rFonts w:ascii="Arial" w:hAnsi="Arial" w:cs="Arial"/>
          <w:i/>
          <w:sz w:val="26"/>
          <w:szCs w:val="26"/>
        </w:rPr>
        <w:t>la campaña electoral;</w:t>
      </w:r>
    </w:p>
    <w:p w:rsidR="009D686D" w:rsidRPr="00306660" w:rsidRDefault="009D686D" w:rsidP="003464FE">
      <w:pPr>
        <w:pStyle w:val="Prrafodelista"/>
        <w:numPr>
          <w:ilvl w:val="0"/>
          <w:numId w:val="11"/>
        </w:numPr>
        <w:spacing w:before="120" w:after="120"/>
        <w:ind w:left="1418" w:right="476" w:hanging="284"/>
        <w:jc w:val="both"/>
        <w:rPr>
          <w:rFonts w:ascii="Arial" w:hAnsi="Arial" w:cs="Arial"/>
          <w:i/>
          <w:sz w:val="26"/>
          <w:szCs w:val="26"/>
        </w:rPr>
      </w:pPr>
      <w:r w:rsidRPr="00306660">
        <w:rPr>
          <w:rFonts w:ascii="Arial" w:hAnsi="Arial" w:cs="Arial"/>
          <w:i/>
          <w:sz w:val="26"/>
          <w:szCs w:val="26"/>
        </w:rPr>
        <w:t>la cobertura por los medios, en particular los medios públicos;</w:t>
      </w:r>
    </w:p>
    <w:p w:rsidR="009D686D" w:rsidRPr="00306660" w:rsidRDefault="009D686D" w:rsidP="003464FE">
      <w:pPr>
        <w:pStyle w:val="Prrafodelista"/>
        <w:numPr>
          <w:ilvl w:val="0"/>
          <w:numId w:val="11"/>
        </w:numPr>
        <w:spacing w:before="120" w:after="120"/>
        <w:ind w:left="1418" w:right="476" w:hanging="284"/>
        <w:jc w:val="both"/>
        <w:rPr>
          <w:rFonts w:ascii="Arial" w:hAnsi="Arial" w:cs="Arial"/>
          <w:i/>
          <w:sz w:val="26"/>
          <w:szCs w:val="26"/>
        </w:rPr>
      </w:pPr>
      <w:r w:rsidRPr="00306660">
        <w:rPr>
          <w:rFonts w:ascii="Arial" w:hAnsi="Arial" w:cs="Arial"/>
          <w:i/>
          <w:sz w:val="26"/>
          <w:szCs w:val="26"/>
        </w:rPr>
        <w:t>la financiación pública de los partidos y campañas.</w:t>
      </w:r>
    </w:p>
    <w:p w:rsidR="009D686D" w:rsidRPr="007905D9" w:rsidRDefault="009D686D" w:rsidP="003464FE">
      <w:pPr>
        <w:spacing w:before="120" w:after="120"/>
        <w:ind w:left="1134" w:right="476" w:hanging="283"/>
        <w:jc w:val="both"/>
        <w:rPr>
          <w:rFonts w:ascii="Arial" w:hAnsi="Arial" w:cs="Arial"/>
          <w:i/>
          <w:sz w:val="26"/>
          <w:szCs w:val="26"/>
        </w:rPr>
      </w:pPr>
      <w:r w:rsidRPr="007905D9">
        <w:rPr>
          <w:rFonts w:ascii="Arial" w:hAnsi="Arial" w:cs="Arial"/>
          <w:i/>
          <w:sz w:val="26"/>
          <w:szCs w:val="26"/>
        </w:rPr>
        <w:t>[…].</w:t>
      </w:r>
    </w:p>
    <w:p w:rsidR="009D686D" w:rsidRPr="007905D9" w:rsidRDefault="009D686D" w:rsidP="003464FE">
      <w:pPr>
        <w:spacing w:before="120" w:after="120"/>
        <w:ind w:left="1134" w:right="476" w:hanging="283"/>
        <w:jc w:val="both"/>
        <w:rPr>
          <w:rFonts w:ascii="Arial" w:hAnsi="Arial" w:cs="Arial"/>
          <w:i/>
          <w:sz w:val="26"/>
          <w:szCs w:val="26"/>
        </w:rPr>
      </w:pPr>
      <w:r w:rsidRPr="007905D9">
        <w:rPr>
          <w:rFonts w:ascii="Arial" w:hAnsi="Arial" w:cs="Arial"/>
          <w:i/>
          <w:sz w:val="26"/>
          <w:szCs w:val="26"/>
        </w:rPr>
        <w:t>d. La financiación de los partidos, de los candidatos y de las campañas electorales deberá ser transparente.</w:t>
      </w:r>
    </w:p>
    <w:p w:rsidR="009D686D" w:rsidRPr="007905D9" w:rsidRDefault="009D686D" w:rsidP="003464FE">
      <w:pPr>
        <w:spacing w:before="120" w:after="120"/>
        <w:ind w:left="1134" w:right="476" w:hanging="283"/>
        <w:jc w:val="both"/>
        <w:rPr>
          <w:rFonts w:ascii="Arial" w:hAnsi="Arial" w:cs="Arial"/>
          <w:i/>
          <w:sz w:val="26"/>
          <w:szCs w:val="26"/>
        </w:rPr>
      </w:pPr>
      <w:r w:rsidRPr="007905D9">
        <w:rPr>
          <w:rFonts w:ascii="Arial" w:hAnsi="Arial" w:cs="Arial"/>
          <w:i/>
          <w:sz w:val="26"/>
          <w:szCs w:val="26"/>
        </w:rPr>
        <w:t>e. El principio de la igualdad de oportunidades puede, en ciertos casos, llevar a la limitación de los gastos de los partidos, sobre todo en materia de publicidad.</w:t>
      </w:r>
    </w:p>
    <w:p w:rsidR="009D686D" w:rsidRPr="007905D9" w:rsidRDefault="009D686D" w:rsidP="003464FE">
      <w:pPr>
        <w:spacing w:before="120" w:after="120"/>
        <w:ind w:left="567" w:right="476" w:hanging="283"/>
        <w:jc w:val="both"/>
        <w:rPr>
          <w:rFonts w:ascii="Arial" w:hAnsi="Arial" w:cs="Arial"/>
          <w:i/>
          <w:sz w:val="26"/>
          <w:szCs w:val="26"/>
        </w:rPr>
      </w:pPr>
      <w:r w:rsidRPr="007905D9">
        <w:rPr>
          <w:rFonts w:ascii="Arial" w:hAnsi="Arial" w:cs="Arial"/>
          <w:i/>
          <w:sz w:val="26"/>
          <w:szCs w:val="26"/>
        </w:rPr>
        <w:t>3. El sufragio libre</w:t>
      </w:r>
    </w:p>
    <w:p w:rsidR="009D686D" w:rsidRPr="007905D9" w:rsidRDefault="009D686D" w:rsidP="003464FE">
      <w:pPr>
        <w:spacing w:before="120" w:after="120"/>
        <w:ind w:left="709" w:right="476" w:hanging="283"/>
        <w:jc w:val="both"/>
        <w:rPr>
          <w:rFonts w:ascii="Arial" w:hAnsi="Arial" w:cs="Arial"/>
          <w:i/>
          <w:sz w:val="26"/>
          <w:szCs w:val="26"/>
        </w:rPr>
      </w:pPr>
      <w:r w:rsidRPr="007905D9">
        <w:rPr>
          <w:rFonts w:ascii="Arial" w:hAnsi="Arial" w:cs="Arial"/>
          <w:i/>
          <w:sz w:val="26"/>
          <w:szCs w:val="26"/>
        </w:rPr>
        <w:t>3.1. Libertad del votante para formar su opinión</w:t>
      </w:r>
    </w:p>
    <w:p w:rsidR="009D686D" w:rsidRPr="007905D9" w:rsidRDefault="009D686D" w:rsidP="003464FE">
      <w:pPr>
        <w:spacing w:before="120" w:after="120"/>
        <w:ind w:left="1134" w:right="476" w:hanging="283"/>
        <w:jc w:val="both"/>
        <w:rPr>
          <w:rFonts w:ascii="Arial" w:hAnsi="Arial" w:cs="Arial"/>
          <w:i/>
          <w:sz w:val="26"/>
          <w:szCs w:val="26"/>
        </w:rPr>
      </w:pPr>
      <w:r w:rsidRPr="007905D9">
        <w:rPr>
          <w:rFonts w:ascii="Arial" w:hAnsi="Arial" w:cs="Arial"/>
          <w:i/>
          <w:sz w:val="26"/>
          <w:szCs w:val="26"/>
        </w:rPr>
        <w:t>a. Las autoridades públicas deberán respetar su deber de neutralidad. En particular, ello tiene que ver con:</w:t>
      </w:r>
    </w:p>
    <w:p w:rsidR="009D686D" w:rsidRPr="00351BB6" w:rsidRDefault="009D686D" w:rsidP="003464FE">
      <w:pPr>
        <w:pStyle w:val="Prrafodelista"/>
        <w:numPr>
          <w:ilvl w:val="0"/>
          <w:numId w:val="12"/>
        </w:numPr>
        <w:spacing w:before="120" w:after="120"/>
        <w:ind w:left="1418" w:right="476" w:hanging="284"/>
        <w:jc w:val="both"/>
        <w:rPr>
          <w:rFonts w:ascii="Arial" w:hAnsi="Arial" w:cs="Arial"/>
          <w:i/>
          <w:sz w:val="26"/>
          <w:szCs w:val="26"/>
        </w:rPr>
      </w:pPr>
      <w:r w:rsidRPr="00351BB6">
        <w:rPr>
          <w:rFonts w:ascii="Arial" w:hAnsi="Arial" w:cs="Arial"/>
          <w:i/>
          <w:sz w:val="26"/>
          <w:szCs w:val="26"/>
        </w:rPr>
        <w:t>los medios;</w:t>
      </w:r>
    </w:p>
    <w:p w:rsidR="009D686D" w:rsidRPr="00351BB6" w:rsidRDefault="009D686D" w:rsidP="003464FE">
      <w:pPr>
        <w:pStyle w:val="Prrafodelista"/>
        <w:numPr>
          <w:ilvl w:val="0"/>
          <w:numId w:val="12"/>
        </w:numPr>
        <w:spacing w:before="120" w:after="120"/>
        <w:ind w:left="1418" w:right="476" w:hanging="284"/>
        <w:jc w:val="both"/>
        <w:rPr>
          <w:rFonts w:ascii="Arial" w:hAnsi="Arial" w:cs="Arial"/>
          <w:i/>
          <w:sz w:val="26"/>
          <w:szCs w:val="26"/>
        </w:rPr>
      </w:pPr>
      <w:r w:rsidRPr="00351BB6">
        <w:rPr>
          <w:rFonts w:ascii="Arial" w:hAnsi="Arial" w:cs="Arial"/>
          <w:i/>
          <w:sz w:val="26"/>
          <w:szCs w:val="26"/>
        </w:rPr>
        <w:t>la fijación de carteles;</w:t>
      </w:r>
    </w:p>
    <w:p w:rsidR="009D686D" w:rsidRPr="00351BB6" w:rsidRDefault="009D686D" w:rsidP="003464FE">
      <w:pPr>
        <w:pStyle w:val="Prrafodelista"/>
        <w:numPr>
          <w:ilvl w:val="0"/>
          <w:numId w:val="12"/>
        </w:numPr>
        <w:spacing w:before="120" w:after="120"/>
        <w:ind w:left="1418" w:right="476" w:hanging="284"/>
        <w:jc w:val="both"/>
        <w:rPr>
          <w:rFonts w:ascii="Arial" w:hAnsi="Arial" w:cs="Arial"/>
          <w:i/>
          <w:sz w:val="26"/>
          <w:szCs w:val="26"/>
        </w:rPr>
      </w:pPr>
      <w:r w:rsidRPr="00351BB6">
        <w:rPr>
          <w:rFonts w:ascii="Arial" w:hAnsi="Arial" w:cs="Arial"/>
          <w:i/>
          <w:sz w:val="26"/>
          <w:szCs w:val="26"/>
        </w:rPr>
        <w:t>el derecho a manifestarse en lugares públicos;</w:t>
      </w:r>
    </w:p>
    <w:p w:rsidR="009D686D" w:rsidRPr="00351BB6" w:rsidRDefault="009D686D" w:rsidP="003464FE">
      <w:pPr>
        <w:pStyle w:val="Prrafodelista"/>
        <w:numPr>
          <w:ilvl w:val="0"/>
          <w:numId w:val="12"/>
        </w:numPr>
        <w:spacing w:before="120" w:after="120"/>
        <w:ind w:left="1418" w:right="476" w:hanging="284"/>
        <w:jc w:val="both"/>
        <w:rPr>
          <w:rFonts w:ascii="Arial" w:hAnsi="Arial" w:cs="Arial"/>
          <w:i/>
          <w:sz w:val="26"/>
          <w:szCs w:val="26"/>
        </w:rPr>
      </w:pPr>
      <w:r w:rsidRPr="00351BB6">
        <w:rPr>
          <w:rFonts w:ascii="Arial" w:hAnsi="Arial" w:cs="Arial"/>
          <w:i/>
          <w:sz w:val="26"/>
          <w:szCs w:val="26"/>
        </w:rPr>
        <w:t>la financiación de los partidos y de los candidatos.</w:t>
      </w:r>
    </w:p>
    <w:p w:rsidR="009D686D" w:rsidRPr="007905D9" w:rsidRDefault="009D686D" w:rsidP="003464FE">
      <w:pPr>
        <w:spacing w:before="120" w:after="120"/>
        <w:ind w:left="1134" w:right="476" w:hanging="283"/>
        <w:jc w:val="both"/>
        <w:rPr>
          <w:rFonts w:ascii="Arial" w:hAnsi="Arial" w:cs="Arial"/>
          <w:i/>
          <w:sz w:val="26"/>
          <w:szCs w:val="26"/>
        </w:rPr>
      </w:pPr>
      <w:r w:rsidRPr="007905D9">
        <w:rPr>
          <w:rFonts w:ascii="Arial" w:hAnsi="Arial" w:cs="Arial"/>
          <w:i/>
          <w:sz w:val="26"/>
          <w:szCs w:val="26"/>
        </w:rPr>
        <w:t>[…].</w:t>
      </w:r>
    </w:p>
    <w:p w:rsidR="009D686D" w:rsidRPr="007905D9" w:rsidRDefault="009D686D" w:rsidP="003464FE">
      <w:pPr>
        <w:spacing w:before="120" w:after="120"/>
        <w:ind w:left="1134" w:right="476" w:hanging="283"/>
        <w:jc w:val="both"/>
        <w:rPr>
          <w:rFonts w:ascii="Arial" w:hAnsi="Arial" w:cs="Arial"/>
          <w:i/>
          <w:sz w:val="26"/>
          <w:szCs w:val="26"/>
        </w:rPr>
      </w:pPr>
      <w:r w:rsidRPr="007905D9">
        <w:rPr>
          <w:rFonts w:ascii="Arial" w:hAnsi="Arial" w:cs="Arial"/>
          <w:i/>
          <w:sz w:val="26"/>
          <w:szCs w:val="26"/>
        </w:rPr>
        <w:t>c. Las violaciones del deber de neutralidad y de la libertad del votante para formar su opinión deberán ser sancionadas.</w:t>
      </w:r>
      <w:r>
        <w:rPr>
          <w:rFonts w:ascii="Arial" w:hAnsi="Arial" w:cs="Arial"/>
          <w:i/>
          <w:sz w:val="26"/>
          <w:szCs w:val="26"/>
        </w:rPr>
        <w:t>”</w:t>
      </w:r>
    </w:p>
    <w:p w:rsidR="009D686D" w:rsidRDefault="009D686D" w:rsidP="009D686D">
      <w:pPr>
        <w:spacing w:before="360" w:after="360" w:line="360" w:lineRule="auto"/>
        <w:ind w:firstLine="1418"/>
        <w:jc w:val="both"/>
        <w:rPr>
          <w:rFonts w:ascii="Arial" w:hAnsi="Arial" w:cs="Arial"/>
          <w:sz w:val="28"/>
          <w:szCs w:val="28"/>
        </w:rPr>
      </w:pPr>
      <w:r w:rsidRPr="00100290">
        <w:rPr>
          <w:rFonts w:ascii="Arial" w:hAnsi="Arial" w:cs="Arial"/>
          <w:sz w:val="28"/>
          <w:szCs w:val="28"/>
        </w:rPr>
        <w:t>En ese sentido, se razonó que todos los candidatos deben participar en igualdad de circunstancias para tener posibilidades de éxito en la elección en la que contiendan, lo que</w:t>
      </w:r>
      <w:r>
        <w:rPr>
          <w:rFonts w:ascii="Arial" w:hAnsi="Arial" w:cs="Arial"/>
          <w:sz w:val="28"/>
          <w:szCs w:val="28"/>
        </w:rPr>
        <w:t xml:space="preserve"> tampoco</w:t>
      </w:r>
      <w:r w:rsidRPr="00100290">
        <w:rPr>
          <w:rFonts w:ascii="Arial" w:hAnsi="Arial" w:cs="Arial"/>
          <w:sz w:val="28"/>
          <w:szCs w:val="28"/>
        </w:rPr>
        <w:t xml:space="preserve"> significa que todos deban contar con los mismos recursos para participar en las elecciones, pues, las prerrogativas que otorga el Estado obedecen, en cada caso, a las circunstancias en que cada contendiente participa.</w:t>
      </w:r>
    </w:p>
    <w:p w:rsidR="009D686D" w:rsidRDefault="009D686D" w:rsidP="009D686D">
      <w:pPr>
        <w:spacing w:before="360" w:after="360" w:line="360" w:lineRule="auto"/>
        <w:ind w:firstLine="1418"/>
        <w:jc w:val="both"/>
        <w:rPr>
          <w:rFonts w:ascii="Arial" w:hAnsi="Arial" w:cs="Arial"/>
          <w:sz w:val="28"/>
          <w:szCs w:val="28"/>
        </w:rPr>
      </w:pPr>
      <w:r w:rsidRPr="00100290">
        <w:rPr>
          <w:rFonts w:ascii="Arial" w:hAnsi="Arial" w:cs="Arial"/>
          <w:sz w:val="28"/>
          <w:szCs w:val="28"/>
        </w:rPr>
        <w:t>Igual circunstancia se presenta respecto de los candidatos independientes</w:t>
      </w:r>
      <w:r w:rsidR="00814FD6">
        <w:rPr>
          <w:rFonts w:ascii="Arial" w:hAnsi="Arial" w:cs="Arial"/>
          <w:sz w:val="28"/>
          <w:szCs w:val="28"/>
        </w:rPr>
        <w:t>,</w:t>
      </w:r>
      <w:r w:rsidRPr="00100290">
        <w:rPr>
          <w:rFonts w:ascii="Arial" w:hAnsi="Arial" w:cs="Arial"/>
          <w:sz w:val="28"/>
          <w:szCs w:val="28"/>
        </w:rPr>
        <w:t xml:space="preserve"> toda vez que éstos, de conformidad con la normativa constitucional, convencional y legal a la que se ha hecho referencia, participan en los comicios electorales de acuerdo a su calidad de independientes, bajo condiciones diferenciadas respecto de los candidatos de partido, lo que no implica que participen en condiciones inequitativas.</w:t>
      </w:r>
    </w:p>
    <w:p w:rsidR="0064456D" w:rsidRDefault="0064456D" w:rsidP="009D686D">
      <w:pPr>
        <w:spacing w:before="360" w:after="360" w:line="360" w:lineRule="auto"/>
        <w:ind w:firstLine="1418"/>
        <w:jc w:val="both"/>
        <w:rPr>
          <w:rFonts w:ascii="Arial" w:hAnsi="Arial" w:cs="Arial"/>
          <w:sz w:val="28"/>
          <w:szCs w:val="28"/>
        </w:rPr>
      </w:pPr>
      <w:r>
        <w:rPr>
          <w:rFonts w:ascii="Arial" w:hAnsi="Arial" w:cs="Arial"/>
          <w:sz w:val="28"/>
          <w:szCs w:val="28"/>
        </w:rPr>
        <w:t>Si bien la jurisprudencia derivada de la contradicción de criterios referida, estaba relacionada con una legislación local que disponía un límite tasado mayor al federal (cincuenta por ciento del tope de gastos de campaña), sirve como referencia al caso concreto por los razonamientos ahí vertidos</w:t>
      </w:r>
      <w:r w:rsidR="00017CAA">
        <w:rPr>
          <w:rFonts w:ascii="Arial" w:hAnsi="Arial" w:cs="Arial"/>
          <w:sz w:val="28"/>
          <w:szCs w:val="28"/>
        </w:rPr>
        <w:t xml:space="preserve">, dado que </w:t>
      </w:r>
      <w:r w:rsidR="002031CE">
        <w:rPr>
          <w:rFonts w:ascii="Arial" w:hAnsi="Arial" w:cs="Arial"/>
          <w:sz w:val="28"/>
          <w:szCs w:val="28"/>
        </w:rPr>
        <w:t>reconoció las diferencias sustanciales que se presentan entre partidos políticos y candidaturas independientes</w:t>
      </w:r>
      <w:r>
        <w:rPr>
          <w:rFonts w:ascii="Arial" w:hAnsi="Arial" w:cs="Arial"/>
          <w:sz w:val="28"/>
          <w:szCs w:val="28"/>
        </w:rPr>
        <w:t>.</w:t>
      </w:r>
    </w:p>
    <w:p w:rsidR="009D686D" w:rsidRPr="00100290" w:rsidRDefault="007A132A" w:rsidP="009D686D">
      <w:pPr>
        <w:spacing w:before="360" w:after="360" w:line="360" w:lineRule="auto"/>
        <w:ind w:firstLine="1418"/>
        <w:jc w:val="both"/>
        <w:rPr>
          <w:rFonts w:ascii="Arial" w:hAnsi="Arial" w:cs="Arial"/>
          <w:sz w:val="28"/>
          <w:szCs w:val="28"/>
        </w:rPr>
      </w:pPr>
      <w:r>
        <w:rPr>
          <w:rFonts w:ascii="Arial" w:hAnsi="Arial" w:cs="Arial"/>
          <w:sz w:val="28"/>
          <w:szCs w:val="28"/>
        </w:rPr>
        <w:t>Por otra parte</w:t>
      </w:r>
      <w:r w:rsidR="009D686D">
        <w:rPr>
          <w:rFonts w:ascii="Arial" w:hAnsi="Arial" w:cs="Arial"/>
          <w:sz w:val="28"/>
          <w:szCs w:val="28"/>
        </w:rPr>
        <w:t>,</w:t>
      </w:r>
      <w:r w:rsidR="009D686D" w:rsidRPr="00100290">
        <w:rPr>
          <w:rFonts w:ascii="Arial" w:hAnsi="Arial" w:cs="Arial"/>
          <w:sz w:val="28"/>
          <w:szCs w:val="28"/>
        </w:rPr>
        <w:t xml:space="preserve"> esta Sala Superior</w:t>
      </w:r>
      <w:r>
        <w:rPr>
          <w:rFonts w:ascii="Arial" w:hAnsi="Arial" w:cs="Arial"/>
          <w:sz w:val="28"/>
          <w:szCs w:val="28"/>
        </w:rPr>
        <w:t>,</w:t>
      </w:r>
      <w:r w:rsidR="009D686D" w:rsidRPr="00100290">
        <w:rPr>
          <w:rFonts w:ascii="Arial" w:hAnsi="Arial" w:cs="Arial"/>
          <w:sz w:val="28"/>
          <w:szCs w:val="28"/>
        </w:rPr>
        <w:t xml:space="preserve"> en la tesis XXI/2015</w:t>
      </w:r>
      <w:r w:rsidR="009D686D">
        <w:rPr>
          <w:rStyle w:val="Refdenotaalpie"/>
          <w:rFonts w:ascii="Arial" w:hAnsi="Arial" w:cs="Arial"/>
          <w:sz w:val="28"/>
          <w:szCs w:val="28"/>
        </w:rPr>
        <w:footnoteReference w:id="43"/>
      </w:r>
      <w:r>
        <w:rPr>
          <w:rFonts w:ascii="Arial" w:hAnsi="Arial" w:cs="Arial"/>
          <w:sz w:val="28"/>
          <w:szCs w:val="28"/>
        </w:rPr>
        <w:t xml:space="preserve">, señaló que </w:t>
      </w:r>
      <w:r w:rsidR="009D686D" w:rsidRPr="00100290">
        <w:rPr>
          <w:rFonts w:ascii="Arial" w:hAnsi="Arial" w:cs="Arial"/>
          <w:sz w:val="28"/>
          <w:szCs w:val="28"/>
        </w:rPr>
        <w:t>los partidos políticos y los candidatos independientes se encuentran en situaciones jurídicas distintas, no equiparables, de modo que el marco normativo de los primeros no es aplicable a los segundos.</w:t>
      </w:r>
    </w:p>
    <w:p w:rsidR="009D686D" w:rsidRDefault="009D686D" w:rsidP="009D686D">
      <w:pPr>
        <w:spacing w:before="360" w:after="360" w:line="360" w:lineRule="auto"/>
        <w:ind w:firstLine="1418"/>
        <w:jc w:val="both"/>
        <w:rPr>
          <w:rFonts w:ascii="Arial" w:hAnsi="Arial" w:cs="Arial"/>
          <w:sz w:val="28"/>
          <w:szCs w:val="28"/>
        </w:rPr>
      </w:pPr>
      <w:r w:rsidRPr="00100290">
        <w:rPr>
          <w:rFonts w:ascii="Arial" w:hAnsi="Arial" w:cs="Arial"/>
          <w:sz w:val="28"/>
          <w:szCs w:val="28"/>
        </w:rPr>
        <w:t xml:space="preserve">Con dicho criterio se logró que los candidatos independientes </w:t>
      </w:r>
      <w:r>
        <w:rPr>
          <w:rFonts w:ascii="Arial" w:hAnsi="Arial" w:cs="Arial"/>
          <w:sz w:val="28"/>
          <w:szCs w:val="28"/>
        </w:rPr>
        <w:t>es</w:t>
      </w:r>
      <w:r w:rsidRPr="00100290">
        <w:rPr>
          <w:rFonts w:ascii="Arial" w:hAnsi="Arial" w:cs="Arial"/>
          <w:sz w:val="28"/>
          <w:szCs w:val="28"/>
        </w:rPr>
        <w:t xml:space="preserve">tuvieran </w:t>
      </w:r>
      <w:r>
        <w:rPr>
          <w:rFonts w:ascii="Arial" w:hAnsi="Arial" w:cs="Arial"/>
          <w:sz w:val="28"/>
          <w:szCs w:val="28"/>
        </w:rPr>
        <w:t>en</w:t>
      </w:r>
      <w:r w:rsidRPr="00100290">
        <w:rPr>
          <w:rFonts w:ascii="Arial" w:hAnsi="Arial" w:cs="Arial"/>
          <w:sz w:val="28"/>
          <w:szCs w:val="28"/>
        </w:rPr>
        <w:t xml:space="preserve"> posibilidad de acceder a un financiamiento privado superior al recibido por financiamiento público, toda vez que, como se precisó en los párrafos precedentes, éste último es significativamente inferior al que reciben los partidos políticos.</w:t>
      </w:r>
      <w:r w:rsidR="006925E2">
        <w:rPr>
          <w:rFonts w:ascii="Arial" w:hAnsi="Arial" w:cs="Arial"/>
          <w:sz w:val="28"/>
          <w:szCs w:val="28"/>
        </w:rPr>
        <w:t xml:space="preserve"> </w:t>
      </w:r>
    </w:p>
    <w:p w:rsidR="009D686D" w:rsidRPr="00100290" w:rsidRDefault="009D686D" w:rsidP="009D686D">
      <w:pPr>
        <w:spacing w:before="360" w:after="360" w:line="360" w:lineRule="auto"/>
        <w:ind w:firstLine="1418"/>
        <w:jc w:val="both"/>
        <w:rPr>
          <w:rFonts w:ascii="Arial" w:hAnsi="Arial" w:cs="Arial"/>
          <w:sz w:val="28"/>
          <w:szCs w:val="28"/>
        </w:rPr>
      </w:pPr>
      <w:r>
        <w:rPr>
          <w:rFonts w:ascii="Arial" w:hAnsi="Arial" w:cs="Arial"/>
          <w:sz w:val="28"/>
          <w:szCs w:val="28"/>
        </w:rPr>
        <w:t>De tal suerte que,</w:t>
      </w:r>
      <w:r w:rsidRPr="00100290">
        <w:rPr>
          <w:rFonts w:ascii="Arial" w:hAnsi="Arial" w:cs="Arial"/>
          <w:b/>
          <w:sz w:val="28"/>
          <w:szCs w:val="28"/>
        </w:rPr>
        <w:t xml:space="preserve"> el financiamiento público que reciben los candidatos independientes es significativamente inferior al de quienes contienden representando a un partido político, por lo que es razonable que los candidatos independientes tengan la posibilidad de acceder a un financiamiento privado sustancialmente mayor al que reciben por concepto de financiamiento público</w:t>
      </w:r>
      <w:r w:rsidRPr="00100290">
        <w:rPr>
          <w:rFonts w:ascii="Arial" w:hAnsi="Arial" w:cs="Arial"/>
          <w:sz w:val="28"/>
          <w:szCs w:val="28"/>
        </w:rPr>
        <w:t>, con lo cual tienen la posibilidad de contender en condiciones de igualdad.</w:t>
      </w:r>
    </w:p>
    <w:p w:rsidR="00FB7DCF" w:rsidRDefault="006925E2" w:rsidP="006925E2">
      <w:pPr>
        <w:pStyle w:val="PRRAFOSENTENCIA"/>
      </w:pPr>
      <w:r>
        <w:t>Tal afirmación no puede ser únicamente dogmática o jurisprudencial, sino que, analizando el caso co</w:t>
      </w:r>
      <w:r w:rsidR="00FB7DCF">
        <w:t>n</w:t>
      </w:r>
      <w:r>
        <w:t xml:space="preserve">creto, en este proceso electoral federal, </w:t>
      </w:r>
      <w:r>
        <w:rPr>
          <w:bCs/>
        </w:rPr>
        <w:t xml:space="preserve">los topes de gasto de campaña se fijaron en el Acuerdo </w:t>
      </w:r>
      <w:r w:rsidR="00FB7DCF" w:rsidRPr="00120CE0">
        <w:t>INE/CG505/2017</w:t>
      </w:r>
      <w:r w:rsidR="00FB7DCF">
        <w:t>.</w:t>
      </w:r>
    </w:p>
    <w:p w:rsidR="00FB7DCF" w:rsidRDefault="00FB7DCF" w:rsidP="006925E2">
      <w:pPr>
        <w:pStyle w:val="PRRAFOSENTENCIA"/>
        <w:rPr>
          <w:bCs/>
        </w:rPr>
      </w:pPr>
      <w:r>
        <w:t xml:space="preserve">Por su parte, </w:t>
      </w:r>
      <w:r w:rsidR="006925E2">
        <w:t xml:space="preserve">los montos de financiamiento público para </w:t>
      </w:r>
      <w:r>
        <w:t xml:space="preserve">candidaturas </w:t>
      </w:r>
      <w:r w:rsidR="006925E2">
        <w:t xml:space="preserve">independientes fueron determinados mediante el Acuerdo </w:t>
      </w:r>
      <w:r w:rsidR="006925E2" w:rsidRPr="00FB7DCF">
        <w:rPr>
          <w:bCs/>
        </w:rPr>
        <w:t>INE/CG283/2018</w:t>
      </w:r>
      <w:r w:rsidR="006925E2">
        <w:rPr>
          <w:bCs/>
        </w:rPr>
        <w:t xml:space="preserve">. </w:t>
      </w:r>
    </w:p>
    <w:p w:rsidR="006925E2" w:rsidRDefault="00FB7DCF" w:rsidP="006925E2">
      <w:pPr>
        <w:pStyle w:val="PRRAFOSENTENCIA"/>
        <w:rPr>
          <w:bCs/>
        </w:rPr>
      </w:pPr>
      <w:r>
        <w:rPr>
          <w:bCs/>
        </w:rPr>
        <w:t xml:space="preserve">Finalmente, </w:t>
      </w:r>
      <w:r w:rsidR="00086B7C">
        <w:rPr>
          <w:bCs/>
        </w:rPr>
        <w:t>en el Acuerdo impugnado se establecieron los límites que por concepto de financiamiento privado podían recibir los candidatos independientes.</w:t>
      </w:r>
    </w:p>
    <w:p w:rsidR="00086B7C" w:rsidRDefault="00086B7C" w:rsidP="006925E2">
      <w:pPr>
        <w:pStyle w:val="PRRAFOSENTENCIA"/>
        <w:rPr>
          <w:bCs/>
        </w:rPr>
      </w:pPr>
      <w:r>
        <w:rPr>
          <w:bCs/>
        </w:rPr>
        <w:t xml:space="preserve">Del análisis de dichos Acuerdos, y partiendo de que los topes de gastos de campaña son la base para la equidad en la contienda al establecer el gasto máximo que se permite erogar en las campañas, debe analizarse si se cumplen las condiciones para hacer posible que los actores </w:t>
      </w:r>
      <w:r w:rsidR="00C3317E">
        <w:rPr>
          <w:bCs/>
        </w:rPr>
        <w:t>participen en condiciones de equidad, para lo cual se presenta</w:t>
      </w:r>
      <w:r w:rsidR="007226F8">
        <w:rPr>
          <w:bCs/>
        </w:rPr>
        <w:t>n</w:t>
      </w:r>
      <w:r w:rsidR="00C3317E">
        <w:rPr>
          <w:bCs/>
        </w:rPr>
        <w:t xml:space="preserve"> a continuación </w:t>
      </w:r>
      <w:r w:rsidR="007226F8">
        <w:rPr>
          <w:bCs/>
        </w:rPr>
        <w:t>las cifras obtenidas:</w:t>
      </w:r>
    </w:p>
    <w:p w:rsidR="007226F8" w:rsidRPr="006C09C0" w:rsidRDefault="007226F8" w:rsidP="007226F8">
      <w:pPr>
        <w:pStyle w:val="PRRAFOSENTENCIA"/>
        <w:ind w:firstLine="0"/>
        <w:rPr>
          <w:lang w:val="es-ES_tradnl"/>
        </w:rPr>
      </w:pPr>
      <w:r w:rsidRPr="007226F8">
        <w:rPr>
          <w:noProof/>
          <w:lang w:val="es-MX" w:eastAsia="es-MX"/>
        </w:rPr>
        <w:drawing>
          <wp:inline distT="0" distB="0" distL="0" distR="0" wp14:anchorId="138D6E4D" wp14:editId="33CD3DA4">
            <wp:extent cx="5073015" cy="15103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3015" cy="1510348"/>
                    </a:xfrm>
                    <a:prstGeom prst="rect">
                      <a:avLst/>
                    </a:prstGeom>
                    <a:noFill/>
                    <a:ln>
                      <a:noFill/>
                    </a:ln>
                  </pic:spPr>
                </pic:pic>
              </a:graphicData>
            </a:graphic>
          </wp:inline>
        </w:drawing>
      </w:r>
    </w:p>
    <w:p w:rsidR="006925E2" w:rsidRPr="006925E2" w:rsidRDefault="007226F8" w:rsidP="007226F8">
      <w:pPr>
        <w:pStyle w:val="PRRAFOSENTENCIA"/>
      </w:pPr>
      <w:r>
        <w:t>De lo anterior se advierte que ninguno de los actores alcanza siquiera la posibilidad de erogar el cincuenta por ciento del tope de gastos de campaña, lo que los coloca en una desventaja inminente frente a las opciones partidistas, motivo por el cual se advierte que la inequidad notoria hace necesaria la inaplicación de la norma controvertida.</w:t>
      </w:r>
    </w:p>
    <w:p w:rsidR="009D686D" w:rsidRDefault="00E744CF" w:rsidP="009D686D">
      <w:pPr>
        <w:spacing w:before="360" w:after="360" w:line="360" w:lineRule="auto"/>
        <w:ind w:firstLine="1418"/>
        <w:jc w:val="both"/>
        <w:rPr>
          <w:rFonts w:ascii="Arial" w:hAnsi="Arial" w:cs="Arial"/>
          <w:sz w:val="28"/>
          <w:szCs w:val="28"/>
        </w:rPr>
      </w:pPr>
      <w:r>
        <w:rPr>
          <w:rFonts w:ascii="Arial" w:hAnsi="Arial" w:cs="Arial"/>
          <w:sz w:val="28"/>
          <w:szCs w:val="28"/>
        </w:rPr>
        <w:t>L</w:t>
      </w:r>
      <w:r w:rsidR="009D686D">
        <w:rPr>
          <w:rFonts w:ascii="Arial" w:hAnsi="Arial" w:cs="Arial"/>
          <w:sz w:val="28"/>
          <w:szCs w:val="28"/>
        </w:rPr>
        <w:t>a obligación de deferencia de los jueces para con el legislador, implica que sólo debe</w:t>
      </w:r>
      <w:r w:rsidR="00814FD6">
        <w:rPr>
          <w:rFonts w:ascii="Arial" w:hAnsi="Arial" w:cs="Arial"/>
          <w:sz w:val="28"/>
          <w:szCs w:val="28"/>
        </w:rPr>
        <w:t>n</w:t>
      </w:r>
      <w:r w:rsidR="009D686D">
        <w:rPr>
          <w:rFonts w:ascii="Arial" w:hAnsi="Arial" w:cs="Arial"/>
          <w:sz w:val="28"/>
          <w:szCs w:val="28"/>
        </w:rPr>
        <w:t xml:space="preserve"> optar por la inaplicación de normas cuando, no obstante</w:t>
      </w:r>
      <w:r w:rsidR="006A7ED6">
        <w:rPr>
          <w:rFonts w:ascii="Arial" w:hAnsi="Arial" w:cs="Arial"/>
          <w:sz w:val="28"/>
          <w:szCs w:val="28"/>
        </w:rPr>
        <w:t>,</w:t>
      </w:r>
      <w:r w:rsidR="009D686D">
        <w:rPr>
          <w:rFonts w:ascii="Arial" w:hAnsi="Arial" w:cs="Arial"/>
          <w:sz w:val="28"/>
          <w:szCs w:val="28"/>
        </w:rPr>
        <w:t xml:space="preserve"> un ejercicio interpretativo para hacer más acorde la medida con los derechos en juego, la inconstitucionalidad no logre disiparse o en tratándose de restricciones a derechos, su falta de proporcionalidad sea tal que haga intransitable los derechos en juego.</w:t>
      </w:r>
    </w:p>
    <w:p w:rsidR="009D686D" w:rsidRDefault="009D686D" w:rsidP="009D686D">
      <w:pPr>
        <w:spacing w:before="360" w:after="360" w:line="360" w:lineRule="auto"/>
        <w:ind w:firstLine="1418"/>
        <w:jc w:val="both"/>
        <w:rPr>
          <w:rFonts w:ascii="Arial" w:hAnsi="Arial" w:cs="Arial"/>
          <w:sz w:val="28"/>
          <w:szCs w:val="28"/>
        </w:rPr>
      </w:pPr>
      <w:r>
        <w:rPr>
          <w:rFonts w:ascii="Arial" w:hAnsi="Arial" w:cs="Arial"/>
          <w:sz w:val="28"/>
          <w:szCs w:val="28"/>
        </w:rPr>
        <w:t xml:space="preserve">En ese sentido, los jueces constitucionales sólo pueden calificar de desproporcional o irrazonable aquella medida </w:t>
      </w:r>
      <w:r w:rsidR="00C54F7A">
        <w:rPr>
          <w:rFonts w:ascii="Arial" w:hAnsi="Arial" w:cs="Arial"/>
          <w:sz w:val="28"/>
          <w:szCs w:val="28"/>
        </w:rPr>
        <w:t xml:space="preserve">de tal forma que implícitamente </w:t>
      </w:r>
      <w:r>
        <w:rPr>
          <w:rFonts w:ascii="Arial" w:hAnsi="Arial" w:cs="Arial"/>
          <w:sz w:val="28"/>
          <w:szCs w:val="28"/>
        </w:rPr>
        <w:t>anule el derecho</w:t>
      </w:r>
      <w:r w:rsidR="00C54F7A">
        <w:rPr>
          <w:rFonts w:ascii="Arial" w:hAnsi="Arial" w:cs="Arial"/>
          <w:sz w:val="28"/>
          <w:szCs w:val="28"/>
        </w:rPr>
        <w:t xml:space="preserve"> reconocido</w:t>
      </w:r>
      <w:r>
        <w:rPr>
          <w:rFonts w:ascii="Arial" w:hAnsi="Arial" w:cs="Arial"/>
          <w:sz w:val="28"/>
          <w:szCs w:val="28"/>
        </w:rPr>
        <w:t>.</w:t>
      </w:r>
    </w:p>
    <w:p w:rsidR="00264DC6" w:rsidRPr="00264DC6" w:rsidRDefault="00264DC6" w:rsidP="009D686D">
      <w:pPr>
        <w:spacing w:before="360" w:after="360" w:line="360" w:lineRule="auto"/>
        <w:ind w:firstLine="1418"/>
        <w:jc w:val="both"/>
        <w:rPr>
          <w:rFonts w:ascii="Arial" w:hAnsi="Arial" w:cs="Arial"/>
          <w:i/>
          <w:sz w:val="28"/>
          <w:szCs w:val="28"/>
        </w:rPr>
      </w:pPr>
      <w:r>
        <w:rPr>
          <w:rFonts w:ascii="Arial" w:hAnsi="Arial" w:cs="Arial"/>
          <w:sz w:val="28"/>
          <w:szCs w:val="28"/>
        </w:rPr>
        <w:t xml:space="preserve">Carlos Bernal Pulido, sostiene que </w:t>
      </w:r>
      <w:r>
        <w:rPr>
          <w:rFonts w:ascii="Arial" w:hAnsi="Arial" w:cs="Arial"/>
          <w:sz w:val="28"/>
        </w:rPr>
        <w:t xml:space="preserve">las </w:t>
      </w:r>
      <w:r w:rsidRPr="00264DC6">
        <w:rPr>
          <w:rFonts w:ascii="Arial" w:hAnsi="Arial" w:cs="Arial"/>
          <w:i/>
          <w:sz w:val="28"/>
        </w:rPr>
        <w:t>restricciones están cubiertas por la presunción de constitucionalidad de las leyes, y por lo tanto, se entiende que en principio ellas se mueven dentro del marco de posibilidades que la Constitución misma le ha reconocido a las decisiones del Parlamento. Las restricciones legislativas de los derechos fundamentales sólo deberán ser declaradas inconstitucionales, si aparecen como desproporcionadas, si exceden el marco constitucional de posibilidades, si limitan tales derechos innecesariamente, sin justificación plausible, sin razón</w:t>
      </w:r>
      <w:r w:rsidRPr="008323B3">
        <w:rPr>
          <w:rStyle w:val="Refdenotaalpie"/>
          <w:rFonts w:ascii="Arial" w:hAnsi="Arial" w:cs="Arial"/>
          <w:sz w:val="28"/>
        </w:rPr>
        <w:footnoteReference w:id="44"/>
      </w:r>
      <w:r w:rsidRPr="008323B3">
        <w:rPr>
          <w:rFonts w:ascii="Arial" w:hAnsi="Arial" w:cs="Arial"/>
          <w:sz w:val="28"/>
        </w:rPr>
        <w:t xml:space="preserve">. </w:t>
      </w:r>
    </w:p>
    <w:p w:rsidR="009D686D" w:rsidRDefault="009D686D" w:rsidP="003450E7">
      <w:pPr>
        <w:spacing w:before="360" w:after="360" w:line="360" w:lineRule="auto"/>
        <w:ind w:firstLine="1418"/>
        <w:jc w:val="both"/>
        <w:rPr>
          <w:rFonts w:ascii="Arial" w:hAnsi="Arial" w:cs="Arial"/>
          <w:sz w:val="28"/>
          <w:szCs w:val="28"/>
        </w:rPr>
      </w:pPr>
      <w:r>
        <w:rPr>
          <w:rFonts w:ascii="Arial" w:hAnsi="Arial" w:cs="Arial"/>
          <w:sz w:val="28"/>
          <w:szCs w:val="28"/>
        </w:rPr>
        <w:t xml:space="preserve">Es aquí donde encuentra lógica la conclusión a que se arribó en </w:t>
      </w:r>
      <w:r w:rsidR="005A3C54">
        <w:rPr>
          <w:rFonts w:ascii="Arial" w:hAnsi="Arial" w:cs="Arial"/>
          <w:sz w:val="28"/>
          <w:szCs w:val="28"/>
        </w:rPr>
        <w:t>la Contradicción de Criterios 2/2016</w:t>
      </w:r>
      <w:r>
        <w:rPr>
          <w:rFonts w:ascii="Arial" w:hAnsi="Arial" w:cs="Arial"/>
          <w:sz w:val="28"/>
          <w:szCs w:val="28"/>
        </w:rPr>
        <w:t xml:space="preserve">, donde se consideró que el límite de un 50% en las aportaciones privadas a los candidatos independientes, se estimó proporcional, no obstante </w:t>
      </w:r>
      <w:r w:rsidR="008F204B">
        <w:rPr>
          <w:rFonts w:ascii="Arial" w:hAnsi="Arial" w:cs="Arial"/>
          <w:sz w:val="28"/>
          <w:szCs w:val="28"/>
        </w:rPr>
        <w:t xml:space="preserve">que dicho límite eventualmente se materializara en </w:t>
      </w:r>
      <w:r>
        <w:rPr>
          <w:rFonts w:ascii="Arial" w:hAnsi="Arial" w:cs="Arial"/>
          <w:sz w:val="28"/>
          <w:szCs w:val="28"/>
        </w:rPr>
        <w:t xml:space="preserve">un trato diferenciado en cuanto al monto </w:t>
      </w:r>
      <w:r w:rsidR="008F204B">
        <w:rPr>
          <w:rFonts w:ascii="Arial" w:hAnsi="Arial" w:cs="Arial"/>
          <w:sz w:val="28"/>
          <w:szCs w:val="28"/>
        </w:rPr>
        <w:t>del</w:t>
      </w:r>
      <w:r>
        <w:rPr>
          <w:rFonts w:ascii="Arial" w:hAnsi="Arial" w:cs="Arial"/>
          <w:sz w:val="28"/>
          <w:szCs w:val="28"/>
        </w:rPr>
        <w:t xml:space="preserve"> que podrían </w:t>
      </w:r>
      <w:r w:rsidR="008F204B">
        <w:rPr>
          <w:rFonts w:ascii="Arial" w:hAnsi="Arial" w:cs="Arial"/>
          <w:sz w:val="28"/>
          <w:szCs w:val="28"/>
        </w:rPr>
        <w:t>disponer</w:t>
      </w:r>
      <w:r>
        <w:rPr>
          <w:rFonts w:ascii="Arial" w:hAnsi="Arial" w:cs="Arial"/>
          <w:sz w:val="28"/>
          <w:szCs w:val="28"/>
        </w:rPr>
        <w:t xml:space="preserve"> los independientes frente a los candidatos postulados por partidos políticos, </w:t>
      </w:r>
      <w:r w:rsidR="003450E7">
        <w:rPr>
          <w:rFonts w:ascii="Arial" w:hAnsi="Arial" w:cs="Arial"/>
          <w:sz w:val="28"/>
          <w:szCs w:val="28"/>
        </w:rPr>
        <w:t>entonces si el 50% no devenía palmariamente desproporcional es que debió hacer prevalecer la medida, dado que fue establecida en ejercicio de su libertad configurativa y facultad para establecer restricciones</w:t>
      </w:r>
      <w:r>
        <w:rPr>
          <w:rFonts w:ascii="Arial" w:hAnsi="Arial" w:cs="Arial"/>
          <w:sz w:val="28"/>
          <w:szCs w:val="28"/>
        </w:rPr>
        <w:t>.</w:t>
      </w:r>
    </w:p>
    <w:p w:rsidR="009D686D" w:rsidRDefault="009D686D" w:rsidP="009D686D">
      <w:pPr>
        <w:spacing w:before="360" w:after="360" w:line="360" w:lineRule="auto"/>
        <w:ind w:firstLine="1418"/>
        <w:jc w:val="both"/>
        <w:rPr>
          <w:rFonts w:ascii="Arial" w:hAnsi="Arial" w:cs="Arial"/>
          <w:sz w:val="28"/>
          <w:szCs w:val="28"/>
        </w:rPr>
      </w:pPr>
      <w:r>
        <w:rPr>
          <w:rFonts w:ascii="Arial" w:hAnsi="Arial" w:cs="Arial"/>
          <w:sz w:val="28"/>
          <w:szCs w:val="28"/>
        </w:rPr>
        <w:t xml:space="preserve">Tal situación no acontece en el caso, puesto que la regla del </w:t>
      </w:r>
      <w:r w:rsidR="00242D80" w:rsidRPr="00242D80">
        <w:rPr>
          <w:rFonts w:ascii="Arial" w:hAnsi="Arial" w:cs="Arial"/>
          <w:sz w:val="28"/>
          <w:szCs w:val="28"/>
        </w:rPr>
        <w:t>diez por ciento</w:t>
      </w:r>
      <w:r w:rsidRPr="00242D80">
        <w:rPr>
          <w:rFonts w:ascii="Arial" w:hAnsi="Arial" w:cs="Arial"/>
          <w:sz w:val="28"/>
          <w:szCs w:val="28"/>
        </w:rPr>
        <w:t xml:space="preserve"> </w:t>
      </w:r>
      <w:r>
        <w:rPr>
          <w:rFonts w:ascii="Arial" w:hAnsi="Arial" w:cs="Arial"/>
          <w:sz w:val="28"/>
          <w:szCs w:val="28"/>
        </w:rPr>
        <w:t>fijad</w:t>
      </w:r>
      <w:r w:rsidR="000D7998">
        <w:rPr>
          <w:rFonts w:ascii="Arial" w:hAnsi="Arial" w:cs="Arial"/>
          <w:sz w:val="28"/>
          <w:szCs w:val="28"/>
        </w:rPr>
        <w:t>a</w:t>
      </w:r>
      <w:r>
        <w:rPr>
          <w:rFonts w:ascii="Arial" w:hAnsi="Arial" w:cs="Arial"/>
          <w:sz w:val="28"/>
          <w:szCs w:val="28"/>
        </w:rPr>
        <w:t xml:space="preserve"> por el legislador federal, no soporta interpretación ni el test de proporcionalidad que permita hacer prevalecer su vigencia en el caso concreto.</w:t>
      </w:r>
    </w:p>
    <w:p w:rsidR="009D686D" w:rsidRDefault="009D686D" w:rsidP="006D7381">
      <w:pPr>
        <w:pStyle w:val="PRRAFOSENTENCIA"/>
      </w:pPr>
      <w:r>
        <w:t xml:space="preserve">En efecto, </w:t>
      </w:r>
      <w:r w:rsidR="006D7381">
        <w:t xml:space="preserve">como fue evidenciado, el límite equivalente al diez por ciento </w:t>
      </w:r>
      <w:r>
        <w:t xml:space="preserve">del tope gasto de campaña, para candidatos independientes les genera desventaja frente a los demás competidores partidos políticos, pues </w:t>
      </w:r>
      <w:r w:rsidR="006D7381">
        <w:t xml:space="preserve">legalmente </w:t>
      </w:r>
      <w:r>
        <w:t xml:space="preserve">estos cuentan con </w:t>
      </w:r>
      <w:r w:rsidR="006D7381">
        <w:t>posibilidad de erogar gasto hasta por el total del tope de gastos de campaña fijado</w:t>
      </w:r>
      <w:r w:rsidRPr="006D7381">
        <w:t>.</w:t>
      </w:r>
    </w:p>
    <w:p w:rsidR="00E856B8" w:rsidRDefault="00E856B8" w:rsidP="006372FB">
      <w:pPr>
        <w:pStyle w:val="PRRAFOSENTENCIA"/>
      </w:pPr>
      <w:r>
        <w:t xml:space="preserve">Por tal motivo, resulta procedente </w:t>
      </w:r>
      <w:r w:rsidR="006372FB">
        <w:t>la inaplicación en el caso concreto de la porción normativa del artículo 399 de la LEGIPE</w:t>
      </w:r>
      <w:r w:rsidR="00943BEA">
        <w:t xml:space="preserve"> que señala </w:t>
      </w:r>
      <w:r w:rsidR="00943BEA" w:rsidRPr="00691D0E">
        <w:t>“</w:t>
      </w:r>
      <w:r w:rsidR="00943BEA" w:rsidRPr="00691D0E">
        <w:rPr>
          <w:i/>
        </w:rPr>
        <w:t>el cual no podrá rebasar en ningún caso, el 10% del tope de gasto para la elección de que se trate”.</w:t>
      </w:r>
    </w:p>
    <w:p w:rsidR="00B02FAE" w:rsidRPr="00C6348D" w:rsidRDefault="00C053B5" w:rsidP="00C6348D">
      <w:pPr>
        <w:pStyle w:val="Prrafosentencia0"/>
        <w:rPr>
          <w:b/>
          <w:lang w:val="es-MX"/>
        </w:rPr>
      </w:pPr>
      <w:bookmarkStart w:id="13" w:name="_Hlk511125415"/>
      <w:r>
        <w:rPr>
          <w:b/>
          <w:lang w:val="es-MX"/>
        </w:rPr>
        <w:t>5.6.2</w:t>
      </w:r>
      <w:r w:rsidR="00064316" w:rsidRPr="00064316">
        <w:rPr>
          <w:b/>
          <w:lang w:val="es-MX"/>
        </w:rPr>
        <w:t xml:space="preserve">.4. </w:t>
      </w:r>
      <w:r w:rsidR="00E744CF" w:rsidRPr="00064316">
        <w:rPr>
          <w:b/>
          <w:lang w:val="es-MX"/>
        </w:rPr>
        <w:t>Consecuencia directa</w:t>
      </w:r>
      <w:r w:rsidR="00064316">
        <w:rPr>
          <w:b/>
          <w:lang w:val="es-MX"/>
        </w:rPr>
        <w:t xml:space="preserve">. </w:t>
      </w:r>
      <w:bookmarkEnd w:id="13"/>
      <w:r w:rsidR="00E744CF" w:rsidRPr="00064316">
        <w:rPr>
          <w:lang w:val="es-MX"/>
        </w:rPr>
        <w:t>L</w:t>
      </w:r>
      <w:r w:rsidR="00B02FAE" w:rsidRPr="00064316">
        <w:rPr>
          <w:lang w:val="es-MX"/>
        </w:rPr>
        <w:t xml:space="preserve">a circunstancia de que, el límite analizado </w:t>
      </w:r>
      <w:r w:rsidR="00E744CF" w:rsidRPr="00064316">
        <w:rPr>
          <w:lang w:val="es-MX"/>
        </w:rPr>
        <w:t xml:space="preserve">en el caso </w:t>
      </w:r>
      <w:r w:rsidR="00B02FAE" w:rsidRPr="00064316">
        <w:rPr>
          <w:lang w:val="es-MX"/>
        </w:rPr>
        <w:t>se</w:t>
      </w:r>
      <w:r w:rsidR="00E744CF" w:rsidRPr="00064316">
        <w:rPr>
          <w:lang w:val="es-MX"/>
        </w:rPr>
        <w:t>a</w:t>
      </w:r>
      <w:r w:rsidR="00B02FAE" w:rsidRPr="00064316">
        <w:rPr>
          <w:lang w:val="es-MX"/>
        </w:rPr>
        <w:t xml:space="preserve"> califi</w:t>
      </w:r>
      <w:r w:rsidR="00E744CF" w:rsidRPr="00064316">
        <w:rPr>
          <w:lang w:val="es-MX"/>
        </w:rPr>
        <w:t>cado</w:t>
      </w:r>
      <w:r w:rsidR="00B02FAE" w:rsidRPr="00064316">
        <w:rPr>
          <w:lang w:val="es-MX"/>
        </w:rPr>
        <w:t xml:space="preserve"> de desproporcional</w:t>
      </w:r>
      <w:r w:rsidR="00814FD6" w:rsidRPr="00064316">
        <w:rPr>
          <w:lang w:val="es-MX"/>
        </w:rPr>
        <w:t xml:space="preserve"> </w:t>
      </w:r>
      <w:r w:rsidR="00B02FAE" w:rsidRPr="00064316">
        <w:rPr>
          <w:lang w:val="es-MX"/>
        </w:rPr>
        <w:t>y</w:t>
      </w:r>
      <w:r w:rsidR="00814FD6" w:rsidRPr="00064316">
        <w:rPr>
          <w:lang w:val="es-MX"/>
        </w:rPr>
        <w:t>,</w:t>
      </w:r>
      <w:r w:rsidR="00B02FAE" w:rsidRPr="00064316">
        <w:rPr>
          <w:lang w:val="es-MX"/>
        </w:rPr>
        <w:t xml:space="preserve"> por ende, de inconstitucional, conlleva a su inaplicación en el caso concreto de conformidad con lo dispuesto por el artículo 99 </w:t>
      </w:r>
      <w:r w:rsidR="00123D98" w:rsidRPr="00064316">
        <w:rPr>
          <w:lang w:val="es-MX"/>
        </w:rPr>
        <w:t>Constitucional</w:t>
      </w:r>
      <w:r w:rsidR="00B02FAE" w:rsidRPr="00064316">
        <w:rPr>
          <w:lang w:val="es-MX"/>
        </w:rPr>
        <w:t>.</w:t>
      </w:r>
    </w:p>
    <w:p w:rsidR="006A7ED6" w:rsidRPr="006A7ED6" w:rsidRDefault="006A7ED6" w:rsidP="006A7ED6">
      <w:pPr>
        <w:spacing w:before="360" w:after="360" w:line="360" w:lineRule="auto"/>
        <w:ind w:firstLine="1418"/>
        <w:jc w:val="both"/>
        <w:rPr>
          <w:rFonts w:ascii="Arial" w:hAnsi="Arial" w:cs="Arial"/>
          <w:sz w:val="28"/>
          <w:szCs w:val="28"/>
        </w:rPr>
      </w:pPr>
      <w:r>
        <w:rPr>
          <w:rFonts w:ascii="Arial" w:hAnsi="Arial" w:cs="Arial"/>
          <w:sz w:val="28"/>
          <w:szCs w:val="28"/>
        </w:rPr>
        <w:t>Ahora bien, e</w:t>
      </w:r>
      <w:r w:rsidRPr="006A7ED6">
        <w:rPr>
          <w:rFonts w:ascii="Arial" w:hAnsi="Arial" w:cs="Arial"/>
          <w:sz w:val="28"/>
          <w:szCs w:val="28"/>
        </w:rPr>
        <w:t>n el sistema internacional de derechos humanos, se encuentra reconocido a los Estados la facultad de establecer restricciones a derechos humanos, siempre que sean producto del quehacer material y formalmente legislativo. Así lo ha establecido la Corte Interamericana de Derecho Humanos al interpretar el artículo 12.3 del Pacto Internacional de Derechos Civiles y Políticos</w:t>
      </w:r>
      <w:r w:rsidRPr="006A7ED6">
        <w:rPr>
          <w:rStyle w:val="Refdenotaalpie"/>
          <w:rFonts w:ascii="Arial" w:hAnsi="Arial" w:cs="Arial"/>
          <w:sz w:val="28"/>
          <w:szCs w:val="28"/>
        </w:rPr>
        <w:footnoteReference w:id="45"/>
      </w:r>
      <w:r w:rsidRPr="006A7ED6">
        <w:rPr>
          <w:rFonts w:ascii="Arial" w:hAnsi="Arial" w:cs="Arial"/>
          <w:sz w:val="28"/>
          <w:szCs w:val="28"/>
        </w:rPr>
        <w:t>.</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Aharon Barak</w:t>
      </w:r>
      <w:r w:rsidRPr="006A7ED6">
        <w:rPr>
          <w:rStyle w:val="Refdenotaalpie"/>
          <w:rFonts w:ascii="Arial" w:hAnsi="Arial" w:cs="Arial"/>
          <w:sz w:val="28"/>
          <w:szCs w:val="28"/>
        </w:rPr>
        <w:footnoteReference w:id="46"/>
      </w:r>
      <w:r w:rsidRPr="006A7ED6">
        <w:rPr>
          <w:rFonts w:ascii="Arial" w:hAnsi="Arial" w:cs="Arial"/>
          <w:sz w:val="28"/>
          <w:szCs w:val="28"/>
        </w:rPr>
        <w:t xml:space="preserve"> sostiene que </w:t>
      </w:r>
      <w:r w:rsidRPr="006A7ED6">
        <w:rPr>
          <w:rFonts w:ascii="Arial" w:hAnsi="Arial" w:cs="Arial"/>
          <w:i/>
          <w:sz w:val="28"/>
          <w:szCs w:val="28"/>
        </w:rPr>
        <w:t>toda cláusula restrictiva (sea ésta específica o general) que determine que el derecho puede ser objeto de restricción “por medio de la ley” no es una invitación sin condiciones al legislador con el objeto de que éste restrinja al derecho según su parecer. La restricción debe ser proporcional. Ella debe estar dirigida a un fin adecuado. Los medios deben ser racionales y necesarios. La vulneración al derecho fundamental debe ser proporcional al beneficio obtenido de la restricción misma (proporcionalidad en sentido estricto)</w:t>
      </w:r>
      <w:r w:rsidRPr="006A7ED6">
        <w:rPr>
          <w:rFonts w:ascii="Arial" w:hAnsi="Arial" w:cs="Arial"/>
          <w:sz w:val="28"/>
          <w:szCs w:val="28"/>
        </w:rPr>
        <w:t>.</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 xml:space="preserve">Acorde con lo anterior, </w:t>
      </w:r>
      <w:r>
        <w:rPr>
          <w:rFonts w:ascii="Arial" w:hAnsi="Arial" w:cs="Arial"/>
          <w:sz w:val="28"/>
          <w:szCs w:val="28"/>
        </w:rPr>
        <w:t>puede haber distintas consecuencias, según</w:t>
      </w:r>
      <w:r w:rsidRPr="006A7ED6">
        <w:rPr>
          <w:rFonts w:ascii="Arial" w:hAnsi="Arial" w:cs="Arial"/>
          <w:sz w:val="28"/>
          <w:szCs w:val="28"/>
        </w:rPr>
        <w:t xml:space="preserve"> se colmen los requisitos siguientes</w:t>
      </w:r>
      <w:r w:rsidR="00EF0BEC" w:rsidRPr="00EF0BEC">
        <w:rPr>
          <w:rFonts w:ascii="Arial" w:hAnsi="Arial" w:cs="Arial"/>
          <w:sz w:val="28"/>
          <w:szCs w:val="28"/>
        </w:rPr>
        <w:t xml:space="preserve"> </w:t>
      </w:r>
      <w:r w:rsidR="00EF0BEC">
        <w:rPr>
          <w:rFonts w:ascii="Arial" w:hAnsi="Arial" w:cs="Arial"/>
          <w:sz w:val="28"/>
          <w:szCs w:val="28"/>
        </w:rPr>
        <w:t>en análisis de constitucionalidad</w:t>
      </w:r>
      <w:r w:rsidRPr="006A7ED6">
        <w:rPr>
          <w:rFonts w:ascii="Arial" w:hAnsi="Arial" w:cs="Arial"/>
          <w:sz w:val="28"/>
          <w:szCs w:val="28"/>
        </w:rPr>
        <w:t>: (i) que la restricción se encuentre contenida en ley formalmente dicha; (ii) que la medida persiga un fin legítimo; y (iii) sea proporcional en sentido amplio (necesario, idóneo y proporcional en sentido estricto).</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 xml:space="preserve">El incumplimiento del </w:t>
      </w:r>
      <w:r w:rsidRPr="006A7ED6">
        <w:rPr>
          <w:rFonts w:ascii="Arial" w:hAnsi="Arial" w:cs="Arial"/>
          <w:b/>
          <w:sz w:val="28"/>
          <w:szCs w:val="28"/>
        </w:rPr>
        <w:t>requisito formal</w:t>
      </w:r>
      <w:r w:rsidRPr="006A7ED6">
        <w:rPr>
          <w:rFonts w:ascii="Arial" w:hAnsi="Arial" w:cs="Arial"/>
          <w:sz w:val="28"/>
          <w:szCs w:val="28"/>
        </w:rPr>
        <w:t xml:space="preserve"> conlleva a la </w:t>
      </w:r>
      <w:r w:rsidRPr="006A7ED6">
        <w:rPr>
          <w:rFonts w:ascii="Arial" w:hAnsi="Arial" w:cs="Arial"/>
          <w:sz w:val="28"/>
          <w:szCs w:val="28"/>
          <w:u w:val="single"/>
        </w:rPr>
        <w:t>invalidez de la restricción</w:t>
      </w:r>
      <w:r w:rsidRPr="006A7ED6">
        <w:rPr>
          <w:rFonts w:ascii="Arial" w:hAnsi="Arial" w:cs="Arial"/>
          <w:sz w:val="28"/>
          <w:szCs w:val="28"/>
        </w:rPr>
        <w:t xml:space="preserve"> constitucional como si se tratara de una nulidad de </w:t>
      </w:r>
      <w:r w:rsidRPr="006A7ED6">
        <w:rPr>
          <w:rFonts w:ascii="Arial" w:hAnsi="Arial" w:cs="Arial"/>
          <w:i/>
          <w:sz w:val="28"/>
          <w:szCs w:val="28"/>
        </w:rPr>
        <w:t>pleno derecho</w:t>
      </w:r>
      <w:r w:rsidRPr="006A7ED6">
        <w:rPr>
          <w:rFonts w:ascii="Arial" w:hAnsi="Arial" w:cs="Arial"/>
          <w:sz w:val="28"/>
          <w:szCs w:val="28"/>
        </w:rPr>
        <w:t xml:space="preserve">, por causa de ausencia de facultades de su emisor pues, como se precisó, en todo caso la restricción debió ser impuesta por el legislador. </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 xml:space="preserve">En tanto que, el incumplimiento al requisito material, consistente en la </w:t>
      </w:r>
      <w:r w:rsidRPr="006A7ED6">
        <w:rPr>
          <w:rFonts w:ascii="Arial" w:hAnsi="Arial" w:cs="Arial"/>
          <w:b/>
          <w:sz w:val="28"/>
          <w:szCs w:val="28"/>
        </w:rPr>
        <w:t>existencia de un fin legítimo</w:t>
      </w:r>
      <w:r w:rsidRPr="006A7ED6">
        <w:rPr>
          <w:rFonts w:ascii="Arial" w:hAnsi="Arial" w:cs="Arial"/>
          <w:sz w:val="28"/>
          <w:szCs w:val="28"/>
        </w:rPr>
        <w:t xml:space="preserve"> para imponer la medida, propicia su </w:t>
      </w:r>
      <w:r w:rsidRPr="006A7ED6">
        <w:rPr>
          <w:rFonts w:ascii="Arial" w:hAnsi="Arial" w:cs="Arial"/>
          <w:sz w:val="28"/>
          <w:szCs w:val="28"/>
          <w:u w:val="single"/>
        </w:rPr>
        <w:t>invalidez lisa y llana</w:t>
      </w:r>
      <w:r w:rsidRPr="006A7ED6">
        <w:rPr>
          <w:rFonts w:ascii="Arial" w:hAnsi="Arial" w:cs="Arial"/>
          <w:sz w:val="28"/>
          <w:szCs w:val="28"/>
        </w:rPr>
        <w:t xml:space="preserve">, por carecer de sustento que legitime la medida. </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 xml:space="preserve">Pero, cuando la medida restrictiva ha sido considerada carente de validez constitucional en razón del incumplimiento al tercero de los requisitos, </w:t>
      </w:r>
      <w:r w:rsidRPr="006A7ED6">
        <w:rPr>
          <w:rFonts w:ascii="Arial" w:hAnsi="Arial" w:cs="Arial"/>
          <w:b/>
          <w:sz w:val="28"/>
          <w:szCs w:val="28"/>
        </w:rPr>
        <w:t xml:space="preserve">proporcionalidad en sentido </w:t>
      </w:r>
      <w:r w:rsidR="00D6663A">
        <w:rPr>
          <w:rFonts w:ascii="Arial" w:hAnsi="Arial" w:cs="Arial"/>
          <w:b/>
          <w:sz w:val="28"/>
          <w:szCs w:val="28"/>
        </w:rPr>
        <w:t>estricto</w:t>
      </w:r>
      <w:r w:rsidRPr="006A7ED6">
        <w:rPr>
          <w:rFonts w:ascii="Arial" w:hAnsi="Arial" w:cs="Arial"/>
          <w:sz w:val="28"/>
          <w:szCs w:val="28"/>
        </w:rPr>
        <w:t xml:space="preserve">, por no cumplir uno o más de los parámetros de necesidad, idoneidad o proporcionalidad en sentido estricto, genera la </w:t>
      </w:r>
      <w:r w:rsidRPr="006A7ED6">
        <w:rPr>
          <w:rFonts w:ascii="Arial" w:hAnsi="Arial" w:cs="Arial"/>
          <w:sz w:val="28"/>
          <w:szCs w:val="28"/>
          <w:u w:val="single"/>
        </w:rPr>
        <w:t>necesidad de fijar una medida</w:t>
      </w:r>
      <w:r w:rsidRPr="006A7ED6">
        <w:rPr>
          <w:rFonts w:ascii="Arial" w:hAnsi="Arial" w:cs="Arial"/>
          <w:sz w:val="28"/>
          <w:szCs w:val="28"/>
        </w:rPr>
        <w:t xml:space="preserve"> que sí cumpla dicho requisito.</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Ello es así, porque si queda demostrado el fin legítimo que motivó la medida, la simple expulsión o inaplicación de ésta podría tener efectos perniciosos sobre dicho fin, al dejarlo desprotegido. De ahí que, en todo caso, conviene que en la sentencia se garantice el establecimiento de otra medida, que sea proporcional.</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 xml:space="preserve">Empero, si la restricción de derechos humanos es una facultad que los estados sólo pueden hacer conducto de ley, cuando el juez verifica el incumplimiento del requisito de proporcionalidad, éste no podría fijar una restricción que sí fuera proporcional, ni siquiera al amparo de la plenitud de jurisdicción de que pudiera gozar. </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 xml:space="preserve">De tal suerte que, el incumplimiento del aludido requisito provocaría la remisión de la ley al propio legislador para que éste reasuma su facultad exclusiva –la de establecer restricciones–; con la finalidad de que fije una restricción que cumpla los parámetros de proporcionalidad en sentido </w:t>
      </w:r>
      <w:r w:rsidR="00D6663A">
        <w:rPr>
          <w:rFonts w:ascii="Arial" w:hAnsi="Arial" w:cs="Arial"/>
          <w:sz w:val="28"/>
          <w:szCs w:val="28"/>
        </w:rPr>
        <w:t>estricto</w:t>
      </w:r>
      <w:r w:rsidRPr="006A7ED6">
        <w:rPr>
          <w:rFonts w:ascii="Arial" w:hAnsi="Arial" w:cs="Arial"/>
          <w:sz w:val="28"/>
          <w:szCs w:val="28"/>
        </w:rPr>
        <w:t>.</w:t>
      </w:r>
    </w:p>
    <w:p w:rsidR="006A7ED6" w:rsidRPr="006A7ED6" w:rsidRDefault="006A7ED6" w:rsidP="006A7ED6">
      <w:pPr>
        <w:spacing w:before="360" w:after="360" w:line="360" w:lineRule="auto"/>
        <w:ind w:firstLine="1418"/>
        <w:jc w:val="both"/>
        <w:rPr>
          <w:rFonts w:ascii="Arial" w:hAnsi="Arial" w:cs="Arial"/>
          <w:sz w:val="28"/>
          <w:szCs w:val="28"/>
        </w:rPr>
      </w:pPr>
      <w:r w:rsidRPr="006A7ED6">
        <w:rPr>
          <w:rFonts w:ascii="Arial" w:hAnsi="Arial" w:cs="Arial"/>
          <w:sz w:val="28"/>
          <w:szCs w:val="28"/>
        </w:rPr>
        <w:t xml:space="preserve">Sin embargo, </w:t>
      </w:r>
      <w:r w:rsidR="004937A3" w:rsidRPr="006A7ED6">
        <w:rPr>
          <w:rFonts w:ascii="Arial" w:hAnsi="Arial" w:cs="Arial"/>
          <w:sz w:val="28"/>
          <w:szCs w:val="28"/>
        </w:rPr>
        <w:t xml:space="preserve">se presenta un problema </w:t>
      </w:r>
      <w:r w:rsidRPr="006A7ED6">
        <w:rPr>
          <w:rFonts w:ascii="Arial" w:hAnsi="Arial" w:cs="Arial"/>
          <w:sz w:val="28"/>
          <w:szCs w:val="28"/>
        </w:rPr>
        <w:t>cuan</w:t>
      </w:r>
      <w:r w:rsidR="004937A3">
        <w:rPr>
          <w:rFonts w:ascii="Arial" w:hAnsi="Arial" w:cs="Arial"/>
          <w:sz w:val="28"/>
          <w:szCs w:val="28"/>
        </w:rPr>
        <w:t>d</w:t>
      </w:r>
      <w:r w:rsidRPr="006A7ED6">
        <w:rPr>
          <w:rFonts w:ascii="Arial" w:hAnsi="Arial" w:cs="Arial"/>
          <w:sz w:val="28"/>
          <w:szCs w:val="28"/>
        </w:rPr>
        <w:t xml:space="preserve">o se surte la anterior circunstancia </w:t>
      </w:r>
      <w:r w:rsidRPr="006A7ED6">
        <w:rPr>
          <w:rFonts w:ascii="Arial" w:hAnsi="Arial" w:cs="Arial"/>
          <w:b/>
          <w:sz w:val="28"/>
          <w:szCs w:val="28"/>
        </w:rPr>
        <w:t>en</w:t>
      </w:r>
      <w:r w:rsidR="004937A3">
        <w:rPr>
          <w:rFonts w:ascii="Arial" w:hAnsi="Arial" w:cs="Arial"/>
          <w:b/>
          <w:sz w:val="28"/>
          <w:szCs w:val="28"/>
        </w:rPr>
        <w:t xml:space="preserve"> esta</w:t>
      </w:r>
      <w:r w:rsidRPr="006A7ED6">
        <w:rPr>
          <w:rFonts w:ascii="Arial" w:hAnsi="Arial" w:cs="Arial"/>
          <w:b/>
          <w:sz w:val="28"/>
          <w:szCs w:val="28"/>
        </w:rPr>
        <w:t xml:space="preserve"> vía de control concreto</w:t>
      </w:r>
      <w:r w:rsidRPr="006A7ED6">
        <w:rPr>
          <w:rFonts w:ascii="Arial" w:hAnsi="Arial" w:cs="Arial"/>
          <w:sz w:val="28"/>
          <w:szCs w:val="28"/>
        </w:rPr>
        <w:t>, dado que los tribunales sólo están habilitados para la inaplicación por inconstitucionalidad de normas en el caso específico; de tal suerte que, ordenar al legislador proceder al restablecimiento de la restricción no sería posible, ya que conllevaría a darle a la inconstitucionalidad efectos generales.</w:t>
      </w:r>
    </w:p>
    <w:p w:rsidR="006D72D5" w:rsidRPr="009E7250" w:rsidRDefault="006D72D5" w:rsidP="006D72D5">
      <w:pPr>
        <w:spacing w:before="360" w:after="360" w:line="360" w:lineRule="auto"/>
        <w:ind w:firstLine="1418"/>
        <w:jc w:val="both"/>
        <w:rPr>
          <w:rFonts w:ascii="Arial" w:hAnsi="Arial" w:cs="Arial"/>
          <w:sz w:val="28"/>
          <w:szCs w:val="28"/>
        </w:rPr>
      </w:pPr>
      <w:r w:rsidRPr="009E7250">
        <w:rPr>
          <w:rFonts w:ascii="Arial" w:hAnsi="Arial" w:cs="Arial"/>
          <w:sz w:val="28"/>
          <w:szCs w:val="28"/>
        </w:rPr>
        <w:t xml:space="preserve">Con base en lo anterior, esta Sala Superior, tiene el deber de establecer una regla que sustituya la </w:t>
      </w:r>
      <w:r w:rsidR="008A248F">
        <w:rPr>
          <w:rFonts w:ascii="Arial" w:hAnsi="Arial" w:cs="Arial"/>
          <w:sz w:val="28"/>
          <w:szCs w:val="28"/>
        </w:rPr>
        <w:t xml:space="preserve">restricción </w:t>
      </w:r>
      <w:r w:rsidRPr="009E7250">
        <w:rPr>
          <w:rFonts w:ascii="Arial" w:hAnsi="Arial" w:cs="Arial"/>
          <w:sz w:val="28"/>
          <w:szCs w:val="28"/>
        </w:rPr>
        <w:t>impuesta por el legislador, esto es, se torna indispensable fijar el límite a que deben estar sujetos los candidatos independientes respecto de las aportaciones privadas.</w:t>
      </w:r>
    </w:p>
    <w:p w:rsidR="00E744CF" w:rsidRDefault="006D72D5" w:rsidP="006D72D5">
      <w:pPr>
        <w:spacing w:before="360" w:after="360" w:line="360" w:lineRule="auto"/>
        <w:ind w:firstLine="1418"/>
        <w:jc w:val="both"/>
        <w:rPr>
          <w:rFonts w:ascii="Arial" w:hAnsi="Arial" w:cs="Arial"/>
          <w:sz w:val="28"/>
          <w:szCs w:val="28"/>
        </w:rPr>
      </w:pPr>
      <w:r w:rsidRPr="009E7250">
        <w:rPr>
          <w:rFonts w:ascii="Arial" w:hAnsi="Arial" w:cs="Arial"/>
          <w:sz w:val="28"/>
          <w:szCs w:val="28"/>
        </w:rPr>
        <w:t>Ello, puesto que</w:t>
      </w:r>
      <w:r w:rsidR="008A248F">
        <w:rPr>
          <w:rFonts w:ascii="Arial" w:hAnsi="Arial" w:cs="Arial"/>
          <w:sz w:val="28"/>
          <w:szCs w:val="28"/>
        </w:rPr>
        <w:t>,</w:t>
      </w:r>
      <w:r w:rsidR="00E744CF">
        <w:rPr>
          <w:rFonts w:ascii="Arial" w:hAnsi="Arial" w:cs="Arial"/>
          <w:sz w:val="28"/>
          <w:szCs w:val="28"/>
        </w:rPr>
        <w:t xml:space="preserve"> como se precisó</w:t>
      </w:r>
      <w:r w:rsidR="00A71B52">
        <w:rPr>
          <w:rFonts w:ascii="Arial" w:hAnsi="Arial" w:cs="Arial"/>
          <w:sz w:val="28"/>
          <w:szCs w:val="28"/>
        </w:rPr>
        <w:t>,</w:t>
      </w:r>
      <w:r w:rsidR="00E744CF">
        <w:rPr>
          <w:rFonts w:ascii="Arial" w:hAnsi="Arial" w:cs="Arial"/>
          <w:sz w:val="28"/>
          <w:szCs w:val="28"/>
        </w:rPr>
        <w:t xml:space="preserve"> del análisis del caso,</w:t>
      </w:r>
      <w:r w:rsidRPr="009E7250">
        <w:rPr>
          <w:rFonts w:ascii="Arial" w:hAnsi="Arial" w:cs="Arial"/>
          <w:sz w:val="28"/>
          <w:szCs w:val="28"/>
        </w:rPr>
        <w:t xml:space="preserve"> dejar de lado el límite del 10%, simple y llanamente, sin fijar otro</w:t>
      </w:r>
      <w:r w:rsidR="00E744CF" w:rsidRPr="00E744CF">
        <w:rPr>
          <w:rFonts w:ascii="Arial" w:hAnsi="Arial" w:cs="Arial"/>
          <w:sz w:val="28"/>
          <w:szCs w:val="28"/>
        </w:rPr>
        <w:t xml:space="preserve"> </w:t>
      </w:r>
      <w:r w:rsidR="00E744CF" w:rsidRPr="009E7250">
        <w:rPr>
          <w:rFonts w:ascii="Arial" w:hAnsi="Arial" w:cs="Arial"/>
          <w:sz w:val="28"/>
          <w:szCs w:val="28"/>
        </w:rPr>
        <w:t>que resulte proporcional</w:t>
      </w:r>
      <w:r w:rsidRPr="009E7250">
        <w:rPr>
          <w:rFonts w:ascii="Arial" w:hAnsi="Arial" w:cs="Arial"/>
          <w:sz w:val="28"/>
          <w:szCs w:val="28"/>
        </w:rPr>
        <w:t xml:space="preserve">, podría materializar la vulneración al principio que esta sentencia pretende tutelar, es decir, la equidad en la contienda, así como el de certeza al no definir a las candidaturas independientes cuál es el monto que tienen permitido recibir por ese concepto. </w:t>
      </w:r>
    </w:p>
    <w:p w:rsidR="00E744CF" w:rsidRDefault="0085581D" w:rsidP="00B02FAE">
      <w:pPr>
        <w:spacing w:before="360" w:after="360" w:line="360" w:lineRule="auto"/>
        <w:ind w:firstLine="1418"/>
        <w:jc w:val="both"/>
        <w:rPr>
          <w:rFonts w:ascii="Arial" w:hAnsi="Arial" w:cs="Arial"/>
          <w:sz w:val="28"/>
          <w:szCs w:val="28"/>
          <w:lang w:val="es-MX"/>
        </w:rPr>
      </w:pPr>
      <w:r>
        <w:rPr>
          <w:rFonts w:ascii="Arial" w:hAnsi="Arial" w:cs="Arial"/>
          <w:sz w:val="28"/>
          <w:szCs w:val="28"/>
          <w:lang w:val="es-MX"/>
        </w:rPr>
        <w:t>Tal situación, como se ha dicho, no</w:t>
      </w:r>
      <w:r w:rsidR="00B02FAE" w:rsidRPr="00B02FAE">
        <w:rPr>
          <w:rFonts w:ascii="Arial" w:hAnsi="Arial" w:cs="Arial"/>
          <w:sz w:val="28"/>
          <w:szCs w:val="28"/>
          <w:lang w:val="es-MX"/>
        </w:rPr>
        <w:t xml:space="preserve"> </w:t>
      </w:r>
      <w:r w:rsidR="00E744CF">
        <w:rPr>
          <w:rFonts w:ascii="Arial" w:hAnsi="Arial" w:cs="Arial"/>
          <w:sz w:val="28"/>
          <w:szCs w:val="28"/>
          <w:lang w:val="es-MX"/>
        </w:rPr>
        <w:t>habilita a este Tribunal Constitucional para</w:t>
      </w:r>
      <w:r w:rsidR="00B02FAE" w:rsidRPr="00B02FAE">
        <w:rPr>
          <w:rFonts w:ascii="Arial" w:hAnsi="Arial" w:cs="Arial"/>
          <w:sz w:val="28"/>
          <w:szCs w:val="28"/>
          <w:lang w:val="es-MX"/>
        </w:rPr>
        <w:t xml:space="preserve"> asumir la facultad </w:t>
      </w:r>
      <w:r w:rsidR="00E744CF">
        <w:rPr>
          <w:rFonts w:ascii="Arial" w:hAnsi="Arial" w:cs="Arial"/>
          <w:sz w:val="28"/>
          <w:szCs w:val="28"/>
          <w:lang w:val="es-MX"/>
        </w:rPr>
        <w:t xml:space="preserve">exclusiva </w:t>
      </w:r>
      <w:r w:rsidR="00F24439">
        <w:rPr>
          <w:rFonts w:ascii="Arial" w:hAnsi="Arial" w:cs="Arial"/>
          <w:sz w:val="28"/>
          <w:szCs w:val="28"/>
          <w:lang w:val="es-MX"/>
        </w:rPr>
        <w:t>d</w:t>
      </w:r>
      <w:r w:rsidR="00E744CF">
        <w:rPr>
          <w:rFonts w:ascii="Arial" w:hAnsi="Arial" w:cs="Arial"/>
          <w:sz w:val="28"/>
          <w:szCs w:val="28"/>
          <w:lang w:val="es-MX"/>
        </w:rPr>
        <w:t xml:space="preserve">el </w:t>
      </w:r>
      <w:r w:rsidR="00B02FAE" w:rsidRPr="00B02FAE">
        <w:rPr>
          <w:rFonts w:ascii="Arial" w:hAnsi="Arial" w:cs="Arial"/>
          <w:sz w:val="28"/>
          <w:szCs w:val="28"/>
          <w:lang w:val="es-MX"/>
        </w:rPr>
        <w:t>legisl</w:t>
      </w:r>
      <w:r w:rsidR="00E744CF">
        <w:rPr>
          <w:rFonts w:ascii="Arial" w:hAnsi="Arial" w:cs="Arial"/>
          <w:sz w:val="28"/>
          <w:szCs w:val="28"/>
          <w:lang w:val="es-MX"/>
        </w:rPr>
        <w:t>ado</w:t>
      </w:r>
      <w:r w:rsidR="00814FD6">
        <w:rPr>
          <w:rFonts w:ascii="Arial" w:hAnsi="Arial" w:cs="Arial"/>
          <w:sz w:val="28"/>
          <w:szCs w:val="28"/>
          <w:lang w:val="es-MX"/>
        </w:rPr>
        <w:t>r</w:t>
      </w:r>
      <w:r w:rsidR="00E744CF">
        <w:rPr>
          <w:rFonts w:ascii="Arial" w:hAnsi="Arial" w:cs="Arial"/>
          <w:sz w:val="28"/>
          <w:szCs w:val="28"/>
          <w:lang w:val="es-MX"/>
        </w:rPr>
        <w:t xml:space="preserve"> para </w:t>
      </w:r>
      <w:r w:rsidR="00B02FAE" w:rsidRPr="00B02FAE">
        <w:rPr>
          <w:rFonts w:ascii="Arial" w:hAnsi="Arial" w:cs="Arial"/>
          <w:sz w:val="28"/>
          <w:szCs w:val="28"/>
          <w:lang w:val="es-MX"/>
        </w:rPr>
        <w:t>imponer restricci</w:t>
      </w:r>
      <w:r w:rsidR="00E744CF">
        <w:rPr>
          <w:rFonts w:ascii="Arial" w:hAnsi="Arial" w:cs="Arial"/>
          <w:sz w:val="28"/>
          <w:szCs w:val="28"/>
          <w:lang w:val="es-MX"/>
        </w:rPr>
        <w:t>ones, de ahí que e</w:t>
      </w:r>
      <w:r w:rsidR="00E744CF" w:rsidRPr="00B02FAE">
        <w:rPr>
          <w:rFonts w:ascii="Arial" w:hAnsi="Arial" w:cs="Arial"/>
          <w:sz w:val="28"/>
          <w:szCs w:val="28"/>
          <w:lang w:val="es-MX"/>
        </w:rPr>
        <w:t xml:space="preserve">l límite que ha de fijarse no puede </w:t>
      </w:r>
      <w:r w:rsidR="00E744CF">
        <w:rPr>
          <w:rFonts w:ascii="Arial" w:hAnsi="Arial" w:cs="Arial"/>
          <w:sz w:val="28"/>
          <w:szCs w:val="28"/>
          <w:lang w:val="es-MX"/>
        </w:rPr>
        <w:t>darse a</w:t>
      </w:r>
      <w:r w:rsidR="00E744CF" w:rsidRPr="00B02FAE">
        <w:rPr>
          <w:rFonts w:ascii="Arial" w:hAnsi="Arial" w:cs="Arial"/>
          <w:sz w:val="28"/>
          <w:szCs w:val="28"/>
          <w:lang w:val="es-MX"/>
        </w:rPr>
        <w:t xml:space="preserve"> sabiendas</w:t>
      </w:r>
      <w:r w:rsidR="008A248F">
        <w:rPr>
          <w:rFonts w:ascii="Arial" w:hAnsi="Arial" w:cs="Arial"/>
          <w:sz w:val="28"/>
          <w:szCs w:val="28"/>
          <w:lang w:val="es-MX"/>
        </w:rPr>
        <w:t xml:space="preserve">, </w:t>
      </w:r>
      <w:r w:rsidR="00E744CF" w:rsidRPr="00B02FAE">
        <w:rPr>
          <w:rFonts w:ascii="Arial" w:hAnsi="Arial" w:cs="Arial"/>
          <w:sz w:val="28"/>
          <w:szCs w:val="28"/>
          <w:lang w:val="es-MX"/>
        </w:rPr>
        <w:t>que las candidaturas independientes estarían sujetas al uso de menores recursos que los candidatos</w:t>
      </w:r>
      <w:r w:rsidR="00E744CF">
        <w:rPr>
          <w:rFonts w:ascii="Arial" w:hAnsi="Arial" w:cs="Arial"/>
          <w:sz w:val="28"/>
          <w:szCs w:val="28"/>
          <w:lang w:val="es-MX"/>
        </w:rPr>
        <w:t xml:space="preserve">, pues ello se traduciría en una </w:t>
      </w:r>
      <w:r w:rsidR="00E744CF" w:rsidRPr="00B02FAE">
        <w:rPr>
          <w:rFonts w:ascii="Arial" w:hAnsi="Arial" w:cs="Arial"/>
          <w:sz w:val="28"/>
          <w:szCs w:val="28"/>
          <w:lang w:val="es-MX"/>
        </w:rPr>
        <w:t>restricción</w:t>
      </w:r>
      <w:r w:rsidR="00E744CF">
        <w:rPr>
          <w:rFonts w:ascii="Arial" w:hAnsi="Arial" w:cs="Arial"/>
          <w:sz w:val="28"/>
          <w:szCs w:val="28"/>
          <w:lang w:val="es-MX"/>
        </w:rPr>
        <w:t>.</w:t>
      </w:r>
    </w:p>
    <w:p w:rsidR="00B02FAE" w:rsidRPr="00B02FAE" w:rsidRDefault="00B02FAE" w:rsidP="00B02FAE">
      <w:pPr>
        <w:spacing w:before="360" w:after="360" w:line="360" w:lineRule="auto"/>
        <w:ind w:firstLine="1418"/>
        <w:jc w:val="both"/>
        <w:rPr>
          <w:rFonts w:ascii="Arial" w:hAnsi="Arial" w:cs="Arial"/>
          <w:sz w:val="28"/>
          <w:szCs w:val="28"/>
          <w:lang w:val="es-MX"/>
        </w:rPr>
      </w:pPr>
      <w:r w:rsidRPr="00B02FAE">
        <w:rPr>
          <w:rFonts w:ascii="Arial" w:hAnsi="Arial" w:cs="Arial"/>
          <w:sz w:val="28"/>
          <w:szCs w:val="28"/>
          <w:lang w:val="es-MX"/>
        </w:rPr>
        <w:t xml:space="preserve"> </w:t>
      </w:r>
      <w:r w:rsidR="00EB2E93">
        <w:rPr>
          <w:rFonts w:ascii="Arial" w:hAnsi="Arial" w:cs="Arial"/>
          <w:sz w:val="28"/>
          <w:szCs w:val="28"/>
          <w:lang w:val="es-MX"/>
        </w:rPr>
        <w:t>E</w:t>
      </w:r>
      <w:r w:rsidRPr="00B02FAE">
        <w:rPr>
          <w:rFonts w:ascii="Arial" w:hAnsi="Arial" w:cs="Arial"/>
          <w:sz w:val="28"/>
          <w:szCs w:val="28"/>
          <w:lang w:val="es-MX"/>
        </w:rPr>
        <w:t>n todo caso, debe fijar</w:t>
      </w:r>
      <w:r w:rsidR="00E744CF">
        <w:rPr>
          <w:rFonts w:ascii="Arial" w:hAnsi="Arial" w:cs="Arial"/>
          <w:sz w:val="28"/>
          <w:szCs w:val="28"/>
          <w:lang w:val="es-MX"/>
        </w:rPr>
        <w:t>se</w:t>
      </w:r>
      <w:r w:rsidRPr="00B02FAE">
        <w:rPr>
          <w:rFonts w:ascii="Arial" w:hAnsi="Arial" w:cs="Arial"/>
          <w:sz w:val="28"/>
          <w:szCs w:val="28"/>
          <w:lang w:val="es-MX"/>
        </w:rPr>
        <w:t xml:space="preserve"> una regla o medida </w:t>
      </w:r>
      <w:r w:rsidR="008C4B91">
        <w:rPr>
          <w:rFonts w:ascii="Arial" w:hAnsi="Arial" w:cs="Arial"/>
          <w:sz w:val="28"/>
          <w:szCs w:val="28"/>
          <w:lang w:val="es-MX"/>
        </w:rPr>
        <w:t xml:space="preserve">que </w:t>
      </w:r>
      <w:r w:rsidR="00EB2E93">
        <w:rPr>
          <w:rFonts w:ascii="Arial" w:hAnsi="Arial" w:cs="Arial"/>
          <w:sz w:val="28"/>
          <w:szCs w:val="28"/>
          <w:lang w:val="es-MX"/>
        </w:rPr>
        <w:t xml:space="preserve">tenga </w:t>
      </w:r>
      <w:r w:rsidR="008C4B91">
        <w:rPr>
          <w:rFonts w:ascii="Arial" w:hAnsi="Arial" w:cs="Arial"/>
          <w:sz w:val="28"/>
          <w:szCs w:val="28"/>
          <w:lang w:val="es-MX"/>
        </w:rPr>
        <w:t>l</w:t>
      </w:r>
      <w:r w:rsidR="00EB2E93">
        <w:rPr>
          <w:rFonts w:ascii="Arial" w:hAnsi="Arial" w:cs="Arial"/>
          <w:sz w:val="28"/>
          <w:szCs w:val="28"/>
          <w:lang w:val="es-MX"/>
        </w:rPr>
        <w:t>a finalidad de evitar</w:t>
      </w:r>
      <w:r w:rsidRPr="00B02FAE">
        <w:rPr>
          <w:rFonts w:ascii="Arial" w:hAnsi="Arial" w:cs="Arial"/>
          <w:sz w:val="28"/>
          <w:szCs w:val="28"/>
          <w:lang w:val="es-MX"/>
        </w:rPr>
        <w:t xml:space="preserve"> </w:t>
      </w:r>
      <w:r w:rsidR="00EB2E93">
        <w:rPr>
          <w:rFonts w:ascii="Arial" w:hAnsi="Arial" w:cs="Arial"/>
          <w:sz w:val="28"/>
          <w:szCs w:val="28"/>
          <w:lang w:val="es-MX"/>
        </w:rPr>
        <w:t>un</w:t>
      </w:r>
      <w:r w:rsidRPr="00B02FAE">
        <w:rPr>
          <w:rFonts w:ascii="Arial" w:hAnsi="Arial" w:cs="Arial"/>
          <w:sz w:val="28"/>
          <w:szCs w:val="28"/>
          <w:lang w:val="es-MX"/>
        </w:rPr>
        <w:t xml:space="preserve"> gravamen a la equidad en la contienda, como fin legítimo que el legislador tuvo para establecer la restricción</w:t>
      </w:r>
      <w:r w:rsidR="008A248F">
        <w:rPr>
          <w:rFonts w:ascii="Arial" w:hAnsi="Arial" w:cs="Arial"/>
          <w:sz w:val="28"/>
          <w:szCs w:val="28"/>
          <w:lang w:val="es-MX"/>
        </w:rPr>
        <w:t xml:space="preserve">, al tiempo que propicie la igualdad de trato entre quienes compiten en la elección </w:t>
      </w:r>
      <w:r w:rsidR="00785C18">
        <w:rPr>
          <w:rFonts w:ascii="Arial" w:hAnsi="Arial" w:cs="Arial"/>
          <w:sz w:val="28"/>
          <w:szCs w:val="28"/>
          <w:lang w:val="es-MX"/>
        </w:rPr>
        <w:t>respectiva</w:t>
      </w:r>
      <w:r w:rsidR="008A248F">
        <w:rPr>
          <w:rFonts w:ascii="Arial" w:hAnsi="Arial" w:cs="Arial"/>
          <w:sz w:val="28"/>
          <w:szCs w:val="28"/>
          <w:lang w:val="es-MX"/>
        </w:rPr>
        <w:t>.</w:t>
      </w:r>
    </w:p>
    <w:p w:rsidR="0085581D" w:rsidRDefault="008F204B" w:rsidP="00B02FAE">
      <w:pPr>
        <w:spacing w:before="360" w:after="360" w:line="360" w:lineRule="auto"/>
        <w:ind w:firstLine="1418"/>
        <w:jc w:val="both"/>
        <w:rPr>
          <w:rFonts w:ascii="Arial" w:hAnsi="Arial" w:cs="Arial"/>
          <w:sz w:val="28"/>
          <w:szCs w:val="28"/>
          <w:lang w:val="es-MX"/>
        </w:rPr>
      </w:pPr>
      <w:r>
        <w:rPr>
          <w:rFonts w:ascii="Arial" w:hAnsi="Arial" w:cs="Arial"/>
          <w:sz w:val="28"/>
          <w:szCs w:val="28"/>
          <w:lang w:val="es-MX"/>
        </w:rPr>
        <w:t>Para tal efecto</w:t>
      </w:r>
      <w:r w:rsidR="00B02FAE" w:rsidRPr="00B02FAE">
        <w:rPr>
          <w:rFonts w:ascii="Arial" w:hAnsi="Arial" w:cs="Arial"/>
          <w:sz w:val="28"/>
          <w:szCs w:val="28"/>
          <w:lang w:val="es-MX"/>
        </w:rPr>
        <w:t xml:space="preserve">, es necesario considerar que se garantiza mayor equidad, en la medida que las candidaturas independientes puedan gastar tantos recursos como el tope de campaña respectivo les permita, lo que variará a partir de diversos factores como lo pueden ser: </w:t>
      </w:r>
    </w:p>
    <w:p w:rsidR="0085581D" w:rsidRPr="0085581D" w:rsidRDefault="00B02FAE" w:rsidP="0085581D">
      <w:pPr>
        <w:pStyle w:val="Prrafodelista"/>
        <w:numPr>
          <w:ilvl w:val="0"/>
          <w:numId w:val="25"/>
        </w:numPr>
        <w:spacing w:before="360" w:after="360" w:line="360" w:lineRule="auto"/>
        <w:ind w:left="709"/>
        <w:jc w:val="both"/>
        <w:rPr>
          <w:rFonts w:ascii="Arial" w:hAnsi="Arial" w:cs="Arial"/>
          <w:sz w:val="28"/>
          <w:szCs w:val="28"/>
          <w:lang w:val="es-MX"/>
        </w:rPr>
      </w:pPr>
      <w:r w:rsidRPr="0085581D">
        <w:rPr>
          <w:rFonts w:ascii="Arial" w:hAnsi="Arial" w:cs="Arial"/>
          <w:sz w:val="28"/>
          <w:szCs w:val="28"/>
          <w:lang w:val="es-MX"/>
        </w:rPr>
        <w:t xml:space="preserve">El monto fijado como tope de gastos de campaña; </w:t>
      </w:r>
    </w:p>
    <w:p w:rsidR="0085581D" w:rsidRPr="0085581D" w:rsidRDefault="00B02FAE" w:rsidP="0085581D">
      <w:pPr>
        <w:pStyle w:val="Prrafodelista"/>
        <w:numPr>
          <w:ilvl w:val="0"/>
          <w:numId w:val="25"/>
        </w:numPr>
        <w:spacing w:before="360" w:after="360" w:line="360" w:lineRule="auto"/>
        <w:ind w:left="709"/>
        <w:jc w:val="both"/>
        <w:rPr>
          <w:rFonts w:ascii="Arial" w:hAnsi="Arial" w:cs="Arial"/>
          <w:sz w:val="28"/>
          <w:szCs w:val="28"/>
          <w:lang w:val="es-MX"/>
        </w:rPr>
      </w:pPr>
      <w:r w:rsidRPr="0085581D">
        <w:rPr>
          <w:rFonts w:ascii="Arial" w:hAnsi="Arial" w:cs="Arial"/>
          <w:sz w:val="28"/>
          <w:szCs w:val="28"/>
          <w:lang w:val="es-MX"/>
        </w:rPr>
        <w:t xml:space="preserve">La cantidad de candidaturas postuladas por cada tipo de cargo; </w:t>
      </w:r>
    </w:p>
    <w:p w:rsidR="0085581D" w:rsidRPr="0085581D" w:rsidRDefault="00B02FAE" w:rsidP="0085581D">
      <w:pPr>
        <w:pStyle w:val="Prrafodelista"/>
        <w:numPr>
          <w:ilvl w:val="0"/>
          <w:numId w:val="25"/>
        </w:numPr>
        <w:spacing w:before="360" w:after="360" w:line="360" w:lineRule="auto"/>
        <w:ind w:left="709"/>
        <w:jc w:val="both"/>
        <w:rPr>
          <w:rFonts w:ascii="Arial" w:hAnsi="Arial" w:cs="Arial"/>
          <w:sz w:val="28"/>
          <w:szCs w:val="28"/>
          <w:lang w:val="es-MX"/>
        </w:rPr>
      </w:pPr>
      <w:r w:rsidRPr="0085581D">
        <w:rPr>
          <w:rFonts w:ascii="Arial" w:hAnsi="Arial" w:cs="Arial"/>
          <w:sz w:val="28"/>
          <w:szCs w:val="28"/>
          <w:lang w:val="es-MX"/>
        </w:rPr>
        <w:t xml:space="preserve">A partir del anterior, el monto de recursos que les corresponda como financiamiento público; y </w:t>
      </w:r>
    </w:p>
    <w:p w:rsidR="00B02FAE" w:rsidRPr="0085581D" w:rsidRDefault="0085581D" w:rsidP="0085581D">
      <w:pPr>
        <w:pStyle w:val="Prrafodelista"/>
        <w:numPr>
          <w:ilvl w:val="0"/>
          <w:numId w:val="25"/>
        </w:numPr>
        <w:spacing w:before="360" w:after="360" w:line="360" w:lineRule="auto"/>
        <w:ind w:left="709"/>
        <w:jc w:val="both"/>
        <w:rPr>
          <w:rFonts w:ascii="Arial" w:hAnsi="Arial" w:cs="Arial"/>
          <w:sz w:val="28"/>
          <w:szCs w:val="28"/>
          <w:lang w:val="es-MX"/>
        </w:rPr>
      </w:pPr>
      <w:r>
        <w:rPr>
          <w:rFonts w:ascii="Arial" w:hAnsi="Arial" w:cs="Arial"/>
          <w:sz w:val="28"/>
          <w:szCs w:val="28"/>
          <w:lang w:val="es-MX"/>
        </w:rPr>
        <w:t xml:space="preserve">La </w:t>
      </w:r>
      <w:r w:rsidR="00B02FAE" w:rsidRPr="0085581D">
        <w:rPr>
          <w:rFonts w:ascii="Arial" w:hAnsi="Arial" w:cs="Arial"/>
          <w:sz w:val="28"/>
          <w:szCs w:val="28"/>
          <w:lang w:val="es-MX"/>
        </w:rPr>
        <w:t>capacidad de recaudación de financiamiento privado.</w:t>
      </w:r>
    </w:p>
    <w:p w:rsidR="00B02FAE" w:rsidRPr="00B02FAE" w:rsidRDefault="00B02FAE" w:rsidP="00B02FAE">
      <w:pPr>
        <w:spacing w:before="360" w:after="360" w:line="360" w:lineRule="auto"/>
        <w:ind w:firstLine="1418"/>
        <w:jc w:val="both"/>
        <w:rPr>
          <w:rFonts w:ascii="Arial" w:hAnsi="Arial" w:cs="Arial"/>
          <w:sz w:val="28"/>
          <w:szCs w:val="28"/>
          <w:lang w:val="es-MX"/>
        </w:rPr>
      </w:pPr>
      <w:r w:rsidRPr="00B02FAE">
        <w:rPr>
          <w:rFonts w:ascii="Arial" w:hAnsi="Arial" w:cs="Arial"/>
          <w:sz w:val="28"/>
          <w:szCs w:val="28"/>
          <w:lang w:val="es-MX"/>
        </w:rPr>
        <w:t xml:space="preserve">De dichos aspectos, cada candidatura tiene injerencia directa únicamente en el último de ellos, por lo que </w:t>
      </w:r>
      <w:r w:rsidR="004A1CB4">
        <w:rPr>
          <w:rFonts w:ascii="Arial" w:hAnsi="Arial" w:cs="Arial"/>
          <w:sz w:val="28"/>
          <w:szCs w:val="28"/>
          <w:lang w:val="es-MX"/>
        </w:rPr>
        <w:t>determinar</w:t>
      </w:r>
      <w:r w:rsidRPr="00B02FAE">
        <w:rPr>
          <w:rFonts w:ascii="Arial" w:hAnsi="Arial" w:cs="Arial"/>
          <w:sz w:val="28"/>
          <w:szCs w:val="28"/>
          <w:lang w:val="es-MX"/>
        </w:rPr>
        <w:t xml:space="preserve"> un parámetro </w:t>
      </w:r>
      <w:r w:rsidR="004A1CB4">
        <w:rPr>
          <w:rFonts w:ascii="Arial" w:hAnsi="Arial" w:cs="Arial"/>
          <w:sz w:val="28"/>
          <w:szCs w:val="28"/>
          <w:lang w:val="es-MX"/>
        </w:rPr>
        <w:t>fijado de manera porcentual</w:t>
      </w:r>
      <w:r w:rsidRPr="00B02FAE">
        <w:rPr>
          <w:rFonts w:ascii="Arial" w:hAnsi="Arial" w:cs="Arial"/>
          <w:sz w:val="28"/>
          <w:szCs w:val="28"/>
          <w:lang w:val="es-MX"/>
        </w:rPr>
        <w:t xml:space="preserve">, no sería suficiente, pues ello </w:t>
      </w:r>
      <w:r w:rsidR="004A1CB4">
        <w:rPr>
          <w:rFonts w:ascii="Arial" w:hAnsi="Arial" w:cs="Arial"/>
          <w:sz w:val="28"/>
          <w:szCs w:val="28"/>
          <w:lang w:val="es-MX"/>
        </w:rPr>
        <w:t>generaría posibles</w:t>
      </w:r>
      <w:r w:rsidRPr="00B02FAE">
        <w:rPr>
          <w:rFonts w:ascii="Arial" w:hAnsi="Arial" w:cs="Arial"/>
          <w:sz w:val="28"/>
          <w:szCs w:val="28"/>
          <w:lang w:val="es-MX"/>
        </w:rPr>
        <w:t xml:space="preserve"> ventajas diferenciadas a las candidaturas independientes, a partir de circunstancias ajenas a ellos, frente a las candidaturas de los partidos políticos; límite que</w:t>
      </w:r>
      <w:r w:rsidR="00F370FE">
        <w:rPr>
          <w:rFonts w:ascii="Arial" w:hAnsi="Arial" w:cs="Arial"/>
          <w:sz w:val="28"/>
          <w:szCs w:val="28"/>
          <w:lang w:val="es-MX"/>
        </w:rPr>
        <w:t>,</w:t>
      </w:r>
      <w:r w:rsidRPr="00B02FAE">
        <w:rPr>
          <w:rFonts w:ascii="Arial" w:hAnsi="Arial" w:cs="Arial"/>
          <w:sz w:val="28"/>
          <w:szCs w:val="28"/>
          <w:lang w:val="es-MX"/>
        </w:rPr>
        <w:t xml:space="preserve"> traducido en restricción</w:t>
      </w:r>
      <w:r w:rsidR="00F370FE">
        <w:rPr>
          <w:rFonts w:ascii="Arial" w:hAnsi="Arial" w:cs="Arial"/>
          <w:sz w:val="28"/>
          <w:szCs w:val="28"/>
          <w:lang w:val="es-MX"/>
        </w:rPr>
        <w:t>,</w:t>
      </w:r>
      <w:r w:rsidRPr="00B02FAE">
        <w:rPr>
          <w:rFonts w:ascii="Arial" w:hAnsi="Arial" w:cs="Arial"/>
          <w:sz w:val="28"/>
          <w:szCs w:val="28"/>
          <w:lang w:val="es-MX"/>
        </w:rPr>
        <w:t xml:space="preserve"> es una facultad exclusiva del legislador.</w:t>
      </w:r>
    </w:p>
    <w:p w:rsidR="00B02FAE" w:rsidRPr="00B02FAE" w:rsidRDefault="00B02FAE" w:rsidP="00B02FAE">
      <w:pPr>
        <w:spacing w:before="360" w:after="360" w:line="360" w:lineRule="auto"/>
        <w:ind w:firstLine="1418"/>
        <w:jc w:val="both"/>
        <w:rPr>
          <w:rFonts w:ascii="Arial" w:hAnsi="Arial" w:cs="Arial"/>
          <w:sz w:val="28"/>
          <w:szCs w:val="28"/>
          <w:lang w:val="es-MX"/>
        </w:rPr>
      </w:pPr>
      <w:r w:rsidRPr="00B02FAE">
        <w:rPr>
          <w:rFonts w:ascii="Arial" w:hAnsi="Arial" w:cs="Arial"/>
          <w:sz w:val="28"/>
          <w:szCs w:val="28"/>
          <w:lang w:val="es-MX"/>
        </w:rPr>
        <w:t>En consecuencia, se estima que el límite de financiamiento privado que fije el Consejo General para las candidaturas independientes debe considerar dos factores, a saber:</w:t>
      </w:r>
    </w:p>
    <w:p w:rsidR="00B02FAE" w:rsidRPr="00B02FAE" w:rsidRDefault="00A957AC" w:rsidP="006F0439">
      <w:pPr>
        <w:numPr>
          <w:ilvl w:val="0"/>
          <w:numId w:val="13"/>
        </w:numPr>
        <w:spacing w:before="360" w:after="360" w:line="360" w:lineRule="auto"/>
        <w:jc w:val="both"/>
        <w:rPr>
          <w:rFonts w:ascii="Arial" w:hAnsi="Arial" w:cs="Arial"/>
          <w:sz w:val="28"/>
          <w:szCs w:val="28"/>
          <w:lang w:val="es-MX"/>
        </w:rPr>
      </w:pPr>
      <w:r>
        <w:rPr>
          <w:rFonts w:ascii="Arial" w:hAnsi="Arial" w:cs="Arial"/>
          <w:sz w:val="28"/>
          <w:szCs w:val="28"/>
          <w:lang w:val="es-MX"/>
        </w:rPr>
        <w:t>El t</w:t>
      </w:r>
      <w:r w:rsidR="0049332F" w:rsidRPr="00B02FAE">
        <w:rPr>
          <w:rFonts w:ascii="Arial" w:hAnsi="Arial" w:cs="Arial"/>
          <w:sz w:val="28"/>
          <w:szCs w:val="28"/>
          <w:lang w:val="es-MX"/>
        </w:rPr>
        <w:t>ope de gastos</w:t>
      </w:r>
      <w:r>
        <w:rPr>
          <w:rFonts w:ascii="Arial" w:hAnsi="Arial" w:cs="Arial"/>
          <w:sz w:val="28"/>
          <w:szCs w:val="28"/>
          <w:lang w:val="es-MX"/>
        </w:rPr>
        <w:t xml:space="preserve"> fijado</w:t>
      </w:r>
      <w:r w:rsidR="0049332F" w:rsidRPr="00B02FAE">
        <w:rPr>
          <w:rFonts w:ascii="Arial" w:hAnsi="Arial" w:cs="Arial"/>
          <w:sz w:val="28"/>
          <w:szCs w:val="28"/>
          <w:lang w:val="es-MX"/>
        </w:rPr>
        <w:t xml:space="preserve"> </w:t>
      </w:r>
      <w:r w:rsidR="00B02FAE" w:rsidRPr="00B02FAE">
        <w:rPr>
          <w:rFonts w:ascii="Arial" w:hAnsi="Arial" w:cs="Arial"/>
          <w:sz w:val="28"/>
          <w:szCs w:val="28"/>
          <w:lang w:val="es-MX"/>
        </w:rPr>
        <w:t>en la elección de que se trate.</w:t>
      </w:r>
    </w:p>
    <w:p w:rsidR="00B02FAE" w:rsidRPr="00B02FAE" w:rsidRDefault="00A957AC" w:rsidP="006F0439">
      <w:pPr>
        <w:numPr>
          <w:ilvl w:val="0"/>
          <w:numId w:val="13"/>
        </w:numPr>
        <w:spacing w:before="360" w:after="360" w:line="360" w:lineRule="auto"/>
        <w:jc w:val="both"/>
        <w:rPr>
          <w:rFonts w:ascii="Arial" w:hAnsi="Arial" w:cs="Arial"/>
          <w:sz w:val="28"/>
          <w:szCs w:val="28"/>
          <w:lang w:val="es-MX"/>
        </w:rPr>
      </w:pPr>
      <w:r>
        <w:rPr>
          <w:rFonts w:ascii="Arial" w:hAnsi="Arial" w:cs="Arial"/>
          <w:sz w:val="28"/>
          <w:szCs w:val="28"/>
          <w:lang w:val="es-MX"/>
        </w:rPr>
        <w:t>El f</w:t>
      </w:r>
      <w:r w:rsidR="00B02FAE" w:rsidRPr="00B02FAE">
        <w:rPr>
          <w:rFonts w:ascii="Arial" w:hAnsi="Arial" w:cs="Arial"/>
          <w:sz w:val="28"/>
          <w:szCs w:val="28"/>
          <w:lang w:val="es-MX"/>
        </w:rPr>
        <w:t>inanciamiento público a que tiene derecho cada candidatura.</w:t>
      </w:r>
    </w:p>
    <w:p w:rsidR="00B02FAE" w:rsidRPr="00B02FAE" w:rsidRDefault="00B02FAE" w:rsidP="00B02FAE">
      <w:pPr>
        <w:spacing w:before="360" w:after="360" w:line="360" w:lineRule="auto"/>
        <w:ind w:firstLine="1418"/>
        <w:jc w:val="both"/>
        <w:rPr>
          <w:rFonts w:ascii="Arial" w:hAnsi="Arial" w:cs="Arial"/>
          <w:sz w:val="28"/>
          <w:szCs w:val="28"/>
          <w:lang w:val="es-MX"/>
        </w:rPr>
      </w:pPr>
      <w:r w:rsidRPr="00B02FAE">
        <w:rPr>
          <w:rFonts w:ascii="Arial" w:hAnsi="Arial" w:cs="Arial"/>
          <w:sz w:val="28"/>
          <w:szCs w:val="28"/>
          <w:lang w:val="es-MX"/>
        </w:rPr>
        <w:t>A partir de ello, se puede inferir cuál es el monto faltante para que una candidatura independiente pueda recibir recursos que</w:t>
      </w:r>
      <w:r w:rsidR="00814FD6">
        <w:rPr>
          <w:rFonts w:ascii="Arial" w:hAnsi="Arial" w:cs="Arial"/>
          <w:sz w:val="28"/>
          <w:szCs w:val="28"/>
          <w:lang w:val="es-MX"/>
        </w:rPr>
        <w:t xml:space="preserve"> le</w:t>
      </w:r>
      <w:r w:rsidRPr="00B02FAE">
        <w:rPr>
          <w:rFonts w:ascii="Arial" w:hAnsi="Arial" w:cs="Arial"/>
          <w:sz w:val="28"/>
          <w:szCs w:val="28"/>
          <w:lang w:val="es-MX"/>
        </w:rPr>
        <w:t xml:space="preserve"> permitan competir en condiciones de equidad, respecto al monto de gastos que pueden erogar.</w:t>
      </w:r>
    </w:p>
    <w:p w:rsidR="00B02FAE" w:rsidRPr="00B02FAE" w:rsidRDefault="0049332F" w:rsidP="00B02FAE">
      <w:pPr>
        <w:spacing w:before="360" w:after="360" w:line="360" w:lineRule="auto"/>
        <w:ind w:firstLine="1418"/>
        <w:jc w:val="both"/>
        <w:rPr>
          <w:rFonts w:ascii="Arial" w:hAnsi="Arial" w:cs="Arial"/>
          <w:sz w:val="28"/>
          <w:szCs w:val="28"/>
          <w:lang w:val="es-MX"/>
        </w:rPr>
      </w:pPr>
      <w:r w:rsidRPr="00B02FAE">
        <w:rPr>
          <w:rFonts w:ascii="Arial" w:hAnsi="Arial" w:cs="Arial"/>
          <w:sz w:val="28"/>
          <w:szCs w:val="28"/>
          <w:lang w:val="es-MX"/>
        </w:rPr>
        <w:t xml:space="preserve">Ello teniendo en cuenta que, </w:t>
      </w:r>
      <w:r w:rsidR="00B02FAE" w:rsidRPr="00B02FAE">
        <w:rPr>
          <w:rFonts w:ascii="Arial" w:hAnsi="Arial" w:cs="Arial"/>
          <w:sz w:val="28"/>
          <w:szCs w:val="28"/>
          <w:lang w:val="es-MX"/>
        </w:rPr>
        <w:t>el</w:t>
      </w:r>
      <w:r w:rsidRPr="00B02FAE">
        <w:rPr>
          <w:rFonts w:ascii="Arial" w:hAnsi="Arial" w:cs="Arial"/>
          <w:sz w:val="28"/>
          <w:szCs w:val="28"/>
          <w:lang w:val="es-MX"/>
        </w:rPr>
        <w:t xml:space="preserve"> tope </w:t>
      </w:r>
      <w:r w:rsidR="00B02FAE" w:rsidRPr="00B02FAE">
        <w:rPr>
          <w:rFonts w:ascii="Arial" w:hAnsi="Arial" w:cs="Arial"/>
          <w:sz w:val="28"/>
          <w:szCs w:val="28"/>
          <w:lang w:val="es-MX"/>
        </w:rPr>
        <w:t>de gastos fijado para cada tipo de cargo es igual,</w:t>
      </w:r>
      <w:r w:rsidRPr="00B02FAE">
        <w:rPr>
          <w:rFonts w:ascii="Arial" w:hAnsi="Arial" w:cs="Arial"/>
          <w:sz w:val="28"/>
          <w:szCs w:val="28"/>
          <w:lang w:val="es-MX"/>
        </w:rPr>
        <w:t xml:space="preserve"> </w:t>
      </w:r>
      <w:r w:rsidR="00B02FAE" w:rsidRPr="00B02FAE">
        <w:rPr>
          <w:rFonts w:ascii="Arial" w:hAnsi="Arial" w:cs="Arial"/>
          <w:sz w:val="28"/>
          <w:szCs w:val="28"/>
          <w:lang w:val="es-MX"/>
        </w:rPr>
        <w:t xml:space="preserve">así como que el financiamiento que recibe una pluralidad de candidatos independientes que, en su caso, compitan por el mismo cargo, será </w:t>
      </w:r>
      <w:r w:rsidR="00814FD6">
        <w:rPr>
          <w:rFonts w:ascii="Arial" w:hAnsi="Arial" w:cs="Arial"/>
          <w:sz w:val="28"/>
          <w:szCs w:val="28"/>
          <w:lang w:val="es-MX"/>
        </w:rPr>
        <w:t>igual</w:t>
      </w:r>
      <w:r w:rsidR="00B02FAE" w:rsidRPr="00B02FAE">
        <w:rPr>
          <w:rFonts w:ascii="Arial" w:hAnsi="Arial" w:cs="Arial"/>
          <w:sz w:val="28"/>
          <w:szCs w:val="28"/>
          <w:lang w:val="es-MX"/>
        </w:rPr>
        <w:t xml:space="preserve">; por tanto, se da una </w:t>
      </w:r>
      <w:r w:rsidRPr="00B02FAE">
        <w:rPr>
          <w:rFonts w:ascii="Arial" w:hAnsi="Arial" w:cs="Arial"/>
          <w:sz w:val="28"/>
          <w:szCs w:val="28"/>
          <w:lang w:val="es-MX"/>
        </w:rPr>
        <w:t xml:space="preserve">proporcional </w:t>
      </w:r>
      <w:r w:rsidRPr="00B02FAE">
        <w:rPr>
          <w:rFonts w:ascii="Arial" w:hAnsi="Arial" w:cs="Arial"/>
          <w:i/>
          <w:sz w:val="28"/>
          <w:szCs w:val="28"/>
          <w:lang w:val="es-MX"/>
        </w:rPr>
        <w:t>per se</w:t>
      </w:r>
      <w:r w:rsidR="00B02FAE" w:rsidRPr="00B02FAE">
        <w:rPr>
          <w:rFonts w:ascii="Arial" w:hAnsi="Arial" w:cs="Arial"/>
          <w:sz w:val="28"/>
          <w:szCs w:val="28"/>
          <w:lang w:val="es-MX"/>
        </w:rPr>
        <w:t xml:space="preserve"> respecto a la percepción posible de recursos privados para cada candidatura independiente.</w:t>
      </w:r>
    </w:p>
    <w:p w:rsidR="00B02FAE" w:rsidRPr="00B02FAE" w:rsidRDefault="00B02FAE" w:rsidP="00B02FAE">
      <w:pPr>
        <w:spacing w:before="360" w:after="360" w:line="360" w:lineRule="auto"/>
        <w:ind w:firstLine="1418"/>
        <w:jc w:val="both"/>
        <w:rPr>
          <w:rFonts w:ascii="Arial" w:hAnsi="Arial" w:cs="Arial"/>
          <w:sz w:val="28"/>
          <w:szCs w:val="28"/>
          <w:lang w:val="es-MX"/>
        </w:rPr>
      </w:pPr>
      <w:r w:rsidRPr="00B02FAE">
        <w:rPr>
          <w:rFonts w:ascii="Arial" w:hAnsi="Arial" w:cs="Arial"/>
          <w:sz w:val="28"/>
          <w:szCs w:val="28"/>
          <w:lang w:val="es-MX"/>
        </w:rPr>
        <w:t>De igual forma, respecto de los partidos políticos, la proporcionalidad se da en tanto cada candidatura tiene la posibilidad de gastar la misma cantidad de recursos.</w:t>
      </w:r>
    </w:p>
    <w:p w:rsidR="0049332F" w:rsidRDefault="00B02FAE" w:rsidP="00B02FAE">
      <w:pPr>
        <w:spacing w:before="360" w:after="360" w:line="360" w:lineRule="auto"/>
        <w:ind w:firstLine="1418"/>
        <w:jc w:val="both"/>
        <w:rPr>
          <w:rFonts w:ascii="Arial" w:hAnsi="Arial" w:cs="Arial"/>
          <w:sz w:val="28"/>
          <w:szCs w:val="28"/>
          <w:lang w:val="es-MX"/>
        </w:rPr>
      </w:pPr>
      <w:r w:rsidRPr="00B02FAE">
        <w:rPr>
          <w:rFonts w:ascii="Arial" w:hAnsi="Arial" w:cs="Arial"/>
          <w:sz w:val="28"/>
          <w:szCs w:val="28"/>
          <w:lang w:val="es-MX"/>
        </w:rPr>
        <w:t>Por tales razones, l</w:t>
      </w:r>
      <w:r w:rsidR="0049332F" w:rsidRPr="00B02FAE">
        <w:rPr>
          <w:rFonts w:ascii="Arial" w:hAnsi="Arial" w:cs="Arial"/>
          <w:sz w:val="28"/>
          <w:szCs w:val="28"/>
          <w:lang w:val="es-MX"/>
        </w:rPr>
        <w:t xml:space="preserve">a medida </w:t>
      </w:r>
      <w:r w:rsidRPr="00B02FAE">
        <w:rPr>
          <w:rFonts w:ascii="Arial" w:hAnsi="Arial" w:cs="Arial"/>
          <w:sz w:val="28"/>
          <w:szCs w:val="28"/>
          <w:lang w:val="es-MX"/>
        </w:rPr>
        <w:t xml:space="preserve">adoptada </w:t>
      </w:r>
      <w:r w:rsidR="0049332F" w:rsidRPr="00B02FAE">
        <w:rPr>
          <w:rFonts w:ascii="Arial" w:hAnsi="Arial" w:cs="Arial"/>
          <w:sz w:val="28"/>
          <w:szCs w:val="28"/>
          <w:lang w:val="es-MX"/>
        </w:rPr>
        <w:t xml:space="preserve">no amerita </w:t>
      </w:r>
      <w:r w:rsidRPr="00B02FAE">
        <w:rPr>
          <w:rFonts w:ascii="Arial" w:hAnsi="Arial" w:cs="Arial"/>
          <w:sz w:val="28"/>
          <w:szCs w:val="28"/>
          <w:lang w:val="es-MX"/>
        </w:rPr>
        <w:t>el</w:t>
      </w:r>
      <w:r w:rsidR="0049332F" w:rsidRPr="00B02FAE">
        <w:rPr>
          <w:rFonts w:ascii="Arial" w:hAnsi="Arial" w:cs="Arial"/>
          <w:sz w:val="28"/>
          <w:szCs w:val="28"/>
          <w:lang w:val="es-MX"/>
        </w:rPr>
        <w:t xml:space="preserve"> sometimiento a un test de proporcionalidad, como ocurre con las restricciones.</w:t>
      </w:r>
    </w:p>
    <w:p w:rsidR="00872A1C" w:rsidRDefault="00D15D53" w:rsidP="00B02FAE">
      <w:pPr>
        <w:spacing w:before="360" w:after="360" w:line="360" w:lineRule="auto"/>
        <w:ind w:firstLine="1418"/>
        <w:jc w:val="both"/>
        <w:rPr>
          <w:rFonts w:ascii="Arial" w:hAnsi="Arial" w:cs="Arial"/>
          <w:sz w:val="28"/>
          <w:szCs w:val="28"/>
          <w:lang w:val="es-MX"/>
        </w:rPr>
      </w:pPr>
      <w:r>
        <w:rPr>
          <w:rFonts w:ascii="Arial" w:hAnsi="Arial" w:cs="Arial"/>
          <w:sz w:val="28"/>
          <w:szCs w:val="28"/>
          <w:lang w:val="es-MX"/>
        </w:rPr>
        <w:t xml:space="preserve">No es óbice a lo anterior </w:t>
      </w:r>
      <w:r w:rsidR="001B1D5B">
        <w:rPr>
          <w:rFonts w:ascii="Arial" w:hAnsi="Arial" w:cs="Arial"/>
          <w:sz w:val="28"/>
          <w:szCs w:val="28"/>
          <w:lang w:val="es-MX"/>
        </w:rPr>
        <w:t xml:space="preserve">que la medida fijada </w:t>
      </w:r>
      <w:r w:rsidR="00700342">
        <w:rPr>
          <w:rFonts w:ascii="Arial" w:hAnsi="Arial" w:cs="Arial"/>
          <w:sz w:val="28"/>
          <w:szCs w:val="28"/>
          <w:lang w:val="es-MX"/>
        </w:rPr>
        <w:t>debe atender a</w:t>
      </w:r>
      <w:r w:rsidR="001B1D5B">
        <w:rPr>
          <w:rFonts w:ascii="Arial" w:hAnsi="Arial" w:cs="Arial"/>
          <w:sz w:val="28"/>
          <w:szCs w:val="28"/>
          <w:lang w:val="es-MX"/>
        </w:rPr>
        <w:t xml:space="preserve"> los fines que originalmente fueron </w:t>
      </w:r>
      <w:r w:rsidR="00700342">
        <w:rPr>
          <w:rFonts w:ascii="Arial" w:hAnsi="Arial" w:cs="Arial"/>
          <w:sz w:val="28"/>
          <w:szCs w:val="28"/>
          <w:lang w:val="es-MX"/>
        </w:rPr>
        <w:t xml:space="preserve">observados </w:t>
      </w:r>
      <w:r w:rsidR="00043CD3">
        <w:rPr>
          <w:rFonts w:ascii="Arial" w:hAnsi="Arial" w:cs="Arial"/>
          <w:sz w:val="28"/>
          <w:szCs w:val="28"/>
          <w:lang w:val="es-MX"/>
        </w:rPr>
        <w:t>por el legislador</w:t>
      </w:r>
      <w:r w:rsidR="00872A1C">
        <w:rPr>
          <w:rFonts w:ascii="Arial" w:hAnsi="Arial" w:cs="Arial"/>
          <w:sz w:val="28"/>
          <w:szCs w:val="28"/>
          <w:lang w:val="es-MX"/>
        </w:rPr>
        <w:t>, propiciando una adecuada fiscalización, es decir, la resolución adoptada mediante la presente ejecutoria no puede contravenir otros principios adoptados por el legislador, los cuales de manera completa constituyen un parámetro racional para la vigilancia de los recursos que ingresan a las campañas electorales.</w:t>
      </w:r>
    </w:p>
    <w:p w:rsidR="00D15D53" w:rsidRDefault="00872A1C" w:rsidP="00B02FAE">
      <w:pPr>
        <w:spacing w:before="360" w:after="360" w:line="360" w:lineRule="auto"/>
        <w:ind w:firstLine="1418"/>
        <w:jc w:val="both"/>
        <w:rPr>
          <w:rFonts w:ascii="Arial" w:hAnsi="Arial" w:cs="Arial"/>
          <w:sz w:val="28"/>
          <w:szCs w:val="28"/>
          <w:lang w:val="es-MX"/>
        </w:rPr>
      </w:pPr>
      <w:r>
        <w:rPr>
          <w:rFonts w:ascii="Arial" w:hAnsi="Arial" w:cs="Arial"/>
          <w:sz w:val="28"/>
          <w:szCs w:val="28"/>
          <w:lang w:val="es-MX"/>
        </w:rPr>
        <w:t xml:space="preserve">En ese sentido, </w:t>
      </w:r>
      <w:r w:rsidR="00043CD3">
        <w:rPr>
          <w:rFonts w:ascii="Arial" w:hAnsi="Arial" w:cs="Arial"/>
          <w:sz w:val="28"/>
          <w:szCs w:val="28"/>
          <w:lang w:val="es-MX"/>
        </w:rPr>
        <w:t xml:space="preserve">a efecto de no vulnerar el marco jurídico de la fiscalización y buscando no propiciar la injerencia de terceros en la contienda de tal forma que comprometan la independencia de los actores políticos, se considera necesario </w:t>
      </w:r>
      <w:r w:rsidR="00B01788">
        <w:rPr>
          <w:rFonts w:ascii="Arial" w:hAnsi="Arial" w:cs="Arial"/>
          <w:sz w:val="28"/>
          <w:szCs w:val="28"/>
          <w:lang w:val="es-MX"/>
        </w:rPr>
        <w:t>determinar</w:t>
      </w:r>
      <w:r w:rsidR="00F127F0">
        <w:rPr>
          <w:rFonts w:ascii="Arial" w:hAnsi="Arial" w:cs="Arial"/>
          <w:sz w:val="28"/>
          <w:szCs w:val="28"/>
          <w:lang w:val="es-MX"/>
        </w:rPr>
        <w:t xml:space="preserve"> límites individuales de aportaciones privadas que realicen los simpatizantes y candidatos independientes</w:t>
      </w:r>
      <w:r>
        <w:rPr>
          <w:rFonts w:ascii="Arial" w:hAnsi="Arial" w:cs="Arial"/>
          <w:sz w:val="28"/>
          <w:szCs w:val="28"/>
          <w:lang w:val="es-MX"/>
        </w:rPr>
        <w:t xml:space="preserve"> de manera específica</w:t>
      </w:r>
      <w:r w:rsidR="00F127F0">
        <w:rPr>
          <w:rFonts w:ascii="Arial" w:hAnsi="Arial" w:cs="Arial"/>
          <w:sz w:val="28"/>
          <w:szCs w:val="28"/>
          <w:lang w:val="es-MX"/>
        </w:rPr>
        <w:t>.</w:t>
      </w:r>
    </w:p>
    <w:p w:rsidR="00EC152B" w:rsidRDefault="00EC152B" w:rsidP="00EC152B">
      <w:pPr>
        <w:pStyle w:val="Prrafosentencia0"/>
      </w:pPr>
      <w:r>
        <w:t>Lo anterior, aunado a</w:t>
      </w:r>
      <w:r w:rsidRPr="00EC152B">
        <w:t xml:space="preserve"> </w:t>
      </w:r>
      <w:r>
        <w:t>que dicha medida permite evitar que una sola persona genere todo el impacto económico en las aportaciones</w:t>
      </w:r>
      <w:r w:rsidR="00E9121F">
        <w:t xml:space="preserve"> que reciba</w:t>
      </w:r>
      <w:r>
        <w:t xml:space="preserve"> una candidatura independiente.</w:t>
      </w:r>
    </w:p>
    <w:p w:rsidR="00B01788" w:rsidRDefault="001E4587" w:rsidP="00A10E36">
      <w:pPr>
        <w:spacing w:before="360" w:after="360" w:line="360" w:lineRule="auto"/>
        <w:ind w:firstLine="1418"/>
        <w:jc w:val="both"/>
        <w:rPr>
          <w:rFonts w:ascii="Arial" w:hAnsi="Arial" w:cs="Arial"/>
          <w:sz w:val="28"/>
          <w:szCs w:val="28"/>
        </w:rPr>
      </w:pPr>
      <w:r>
        <w:rPr>
          <w:rFonts w:ascii="Arial" w:hAnsi="Arial" w:cs="Arial"/>
          <w:sz w:val="28"/>
          <w:szCs w:val="28"/>
        </w:rPr>
        <w:t>R</w:t>
      </w:r>
      <w:r w:rsidR="00B46475">
        <w:rPr>
          <w:rFonts w:ascii="Arial" w:hAnsi="Arial" w:cs="Arial"/>
          <w:sz w:val="28"/>
          <w:szCs w:val="28"/>
        </w:rPr>
        <w:t>esulta necesario tomar en cuenta las reglas fijadas en la legislación aplicable a aportaciones de simpatizantes lo que, como ya se abordó en el apartado 5.5.2, sólo se refiere a aportaciones a partidos políticos.</w:t>
      </w:r>
    </w:p>
    <w:p w:rsidR="00B46475" w:rsidRDefault="00B46475" w:rsidP="00A10E36">
      <w:pPr>
        <w:spacing w:before="360" w:after="360" w:line="360" w:lineRule="auto"/>
        <w:ind w:firstLine="1418"/>
        <w:jc w:val="both"/>
        <w:rPr>
          <w:rFonts w:ascii="Arial" w:hAnsi="Arial" w:cs="Arial"/>
          <w:sz w:val="28"/>
          <w:szCs w:val="28"/>
        </w:rPr>
      </w:pPr>
      <w:r>
        <w:rPr>
          <w:rFonts w:ascii="Arial" w:hAnsi="Arial" w:cs="Arial"/>
          <w:sz w:val="28"/>
          <w:szCs w:val="28"/>
        </w:rPr>
        <w:t xml:space="preserve">Al respecto, </w:t>
      </w:r>
      <w:r w:rsidR="00C5095A">
        <w:rPr>
          <w:rFonts w:ascii="Arial" w:hAnsi="Arial" w:cs="Arial"/>
          <w:sz w:val="28"/>
          <w:szCs w:val="28"/>
        </w:rPr>
        <w:t xml:space="preserve">la Ley de Partidos establece como límite </w:t>
      </w:r>
      <w:r w:rsidR="00DD1A03">
        <w:rPr>
          <w:rFonts w:ascii="Arial" w:hAnsi="Arial" w:cs="Arial"/>
          <w:sz w:val="28"/>
          <w:szCs w:val="28"/>
        </w:rPr>
        <w:t xml:space="preserve">individual anual </w:t>
      </w:r>
      <w:r w:rsidR="00C5095A">
        <w:rPr>
          <w:rFonts w:ascii="Arial" w:hAnsi="Arial" w:cs="Arial"/>
          <w:sz w:val="28"/>
          <w:szCs w:val="28"/>
        </w:rPr>
        <w:t>de aportaciones de simpatizantes el 0.5 por ciento del tope de gasto para la elección presidencial inmediata anterior.</w:t>
      </w:r>
    </w:p>
    <w:p w:rsidR="00C5095A" w:rsidRDefault="00C5095A" w:rsidP="00A10E36">
      <w:pPr>
        <w:spacing w:before="360" w:after="360" w:line="360" w:lineRule="auto"/>
        <w:ind w:firstLine="1418"/>
        <w:jc w:val="both"/>
        <w:rPr>
          <w:rFonts w:ascii="Arial" w:hAnsi="Arial" w:cs="Arial"/>
          <w:sz w:val="28"/>
          <w:szCs w:val="28"/>
        </w:rPr>
      </w:pPr>
      <w:r>
        <w:rPr>
          <w:rFonts w:ascii="Arial" w:hAnsi="Arial" w:cs="Arial"/>
          <w:sz w:val="28"/>
          <w:szCs w:val="28"/>
        </w:rPr>
        <w:t xml:space="preserve">Ahora bien, </w:t>
      </w:r>
      <w:r w:rsidR="00DD1A03">
        <w:rPr>
          <w:rFonts w:ascii="Arial" w:hAnsi="Arial" w:cs="Arial"/>
          <w:sz w:val="28"/>
          <w:szCs w:val="28"/>
        </w:rPr>
        <w:t xml:space="preserve">del análisis de </w:t>
      </w:r>
      <w:r>
        <w:rPr>
          <w:rFonts w:ascii="Arial" w:hAnsi="Arial" w:cs="Arial"/>
          <w:sz w:val="28"/>
          <w:szCs w:val="28"/>
        </w:rPr>
        <w:t xml:space="preserve">dicha disposición, </w:t>
      </w:r>
      <w:r w:rsidR="00DD1A03">
        <w:rPr>
          <w:rFonts w:ascii="Arial" w:hAnsi="Arial" w:cs="Arial"/>
          <w:sz w:val="28"/>
          <w:szCs w:val="28"/>
        </w:rPr>
        <w:t xml:space="preserve">en congruencia con </w:t>
      </w:r>
      <w:r>
        <w:rPr>
          <w:rFonts w:ascii="Arial" w:hAnsi="Arial" w:cs="Arial"/>
          <w:sz w:val="28"/>
          <w:szCs w:val="28"/>
        </w:rPr>
        <w:t xml:space="preserve">el </w:t>
      </w:r>
      <w:r w:rsidR="00DD1A03">
        <w:rPr>
          <w:rFonts w:ascii="Arial" w:hAnsi="Arial" w:cs="Arial"/>
          <w:sz w:val="28"/>
          <w:szCs w:val="28"/>
        </w:rPr>
        <w:t>artículo 56, numeral 2, se desprende que el legislador fijó una proporcionalidad temporal de los límites señalados, es decir, el monto máximo que puede aportar un simpatizante a un partido político se calcula de manera anualizada, al sumarse para un límite general anual, fiscalizado por el Instituto Nacional Electoral.</w:t>
      </w:r>
    </w:p>
    <w:p w:rsidR="00DD1A03" w:rsidRDefault="00DD1A03" w:rsidP="00A10E36">
      <w:pPr>
        <w:spacing w:before="360" w:after="360" w:line="360" w:lineRule="auto"/>
        <w:ind w:firstLine="1418"/>
        <w:jc w:val="both"/>
        <w:rPr>
          <w:rFonts w:ascii="Arial" w:hAnsi="Arial" w:cs="Arial"/>
          <w:sz w:val="28"/>
          <w:szCs w:val="28"/>
        </w:rPr>
      </w:pPr>
      <w:r>
        <w:rPr>
          <w:rFonts w:ascii="Arial" w:hAnsi="Arial" w:cs="Arial"/>
          <w:sz w:val="28"/>
          <w:szCs w:val="28"/>
        </w:rPr>
        <w:t>Cabe mencionar que, respecto de los candidatos y precandidatos, no se menciona en específico un límite individual.</w:t>
      </w:r>
    </w:p>
    <w:p w:rsidR="00B267A6" w:rsidRDefault="00DD1A03" w:rsidP="00B267A6">
      <w:pPr>
        <w:spacing w:before="360" w:after="360" w:line="360" w:lineRule="auto"/>
        <w:ind w:firstLine="1418"/>
        <w:jc w:val="both"/>
        <w:rPr>
          <w:rFonts w:ascii="Arial" w:hAnsi="Arial" w:cs="Arial"/>
          <w:sz w:val="28"/>
          <w:szCs w:val="28"/>
        </w:rPr>
      </w:pPr>
      <w:r>
        <w:rPr>
          <w:rFonts w:ascii="Arial" w:hAnsi="Arial" w:cs="Arial"/>
          <w:sz w:val="28"/>
          <w:szCs w:val="28"/>
        </w:rPr>
        <w:t xml:space="preserve">Por lo </w:t>
      </w:r>
      <w:r w:rsidR="003A3B25">
        <w:rPr>
          <w:rFonts w:ascii="Arial" w:hAnsi="Arial" w:cs="Arial"/>
          <w:sz w:val="28"/>
          <w:szCs w:val="28"/>
        </w:rPr>
        <w:t>anterior</w:t>
      </w:r>
      <w:r>
        <w:rPr>
          <w:rFonts w:ascii="Arial" w:hAnsi="Arial" w:cs="Arial"/>
          <w:sz w:val="28"/>
          <w:szCs w:val="28"/>
        </w:rPr>
        <w:t xml:space="preserve">, </w:t>
      </w:r>
      <w:r w:rsidR="00B267A6">
        <w:rPr>
          <w:rFonts w:ascii="Arial" w:hAnsi="Arial" w:cs="Arial"/>
          <w:sz w:val="28"/>
          <w:szCs w:val="28"/>
        </w:rPr>
        <w:t xml:space="preserve">esta Sala Superior </w:t>
      </w:r>
      <w:r>
        <w:rPr>
          <w:rFonts w:ascii="Arial" w:hAnsi="Arial" w:cs="Arial"/>
          <w:sz w:val="28"/>
          <w:szCs w:val="28"/>
        </w:rPr>
        <w:t xml:space="preserve">considera que el límite individual que se debe </w:t>
      </w:r>
      <w:r w:rsidR="00B267A6">
        <w:rPr>
          <w:rFonts w:ascii="Arial" w:hAnsi="Arial" w:cs="Arial"/>
          <w:sz w:val="28"/>
          <w:szCs w:val="28"/>
        </w:rPr>
        <w:t xml:space="preserve">establecer </w:t>
      </w:r>
      <w:r>
        <w:rPr>
          <w:rFonts w:ascii="Arial" w:hAnsi="Arial" w:cs="Arial"/>
          <w:sz w:val="28"/>
          <w:szCs w:val="28"/>
        </w:rPr>
        <w:t xml:space="preserve">en el presente asunto, </w:t>
      </w:r>
      <w:r w:rsidR="003A3B25">
        <w:rPr>
          <w:rFonts w:ascii="Arial" w:hAnsi="Arial" w:cs="Arial"/>
          <w:sz w:val="28"/>
          <w:szCs w:val="28"/>
        </w:rPr>
        <w:t>debe fijarse considerando</w:t>
      </w:r>
      <w:r w:rsidR="00B12B8F" w:rsidRPr="00A87035">
        <w:rPr>
          <w:rFonts w:ascii="Arial" w:hAnsi="Arial" w:cs="Arial"/>
          <w:sz w:val="28"/>
          <w:szCs w:val="28"/>
        </w:rPr>
        <w:t>, por una parte,</w:t>
      </w:r>
      <w:r w:rsidR="003A3B25" w:rsidRPr="00A87035">
        <w:rPr>
          <w:rFonts w:ascii="Arial" w:hAnsi="Arial" w:cs="Arial"/>
          <w:sz w:val="28"/>
          <w:szCs w:val="28"/>
        </w:rPr>
        <w:t xml:space="preserve"> </w:t>
      </w:r>
      <w:r w:rsidR="00B12B8F" w:rsidRPr="00A87035">
        <w:rPr>
          <w:rFonts w:ascii="Arial" w:hAnsi="Arial" w:cs="Arial"/>
          <w:sz w:val="28"/>
          <w:szCs w:val="28"/>
        </w:rPr>
        <w:t>que</w:t>
      </w:r>
      <w:r w:rsidR="003A3B25" w:rsidRPr="00A87035">
        <w:rPr>
          <w:rFonts w:ascii="Arial" w:hAnsi="Arial" w:cs="Arial"/>
          <w:sz w:val="28"/>
          <w:szCs w:val="28"/>
        </w:rPr>
        <w:t xml:space="preserve"> </w:t>
      </w:r>
      <w:r w:rsidR="00B12B8F" w:rsidRPr="00A87035">
        <w:rPr>
          <w:rFonts w:ascii="Arial" w:hAnsi="Arial" w:cs="Arial"/>
          <w:sz w:val="28"/>
          <w:szCs w:val="28"/>
        </w:rPr>
        <w:t xml:space="preserve">la participación de </w:t>
      </w:r>
      <w:r w:rsidR="003A3B25" w:rsidRPr="00A87035">
        <w:rPr>
          <w:rFonts w:ascii="Arial" w:hAnsi="Arial" w:cs="Arial"/>
          <w:sz w:val="28"/>
          <w:szCs w:val="28"/>
        </w:rPr>
        <w:t>las candidaturas independientes</w:t>
      </w:r>
      <w:r w:rsidR="00B267A6" w:rsidRPr="00A87035">
        <w:rPr>
          <w:rFonts w:ascii="Arial" w:hAnsi="Arial" w:cs="Arial"/>
          <w:sz w:val="28"/>
          <w:szCs w:val="28"/>
        </w:rPr>
        <w:t xml:space="preserve"> </w:t>
      </w:r>
      <w:r w:rsidR="00B12B8F" w:rsidRPr="00A87035">
        <w:rPr>
          <w:rFonts w:ascii="Arial" w:hAnsi="Arial" w:cs="Arial"/>
          <w:sz w:val="28"/>
          <w:szCs w:val="28"/>
        </w:rPr>
        <w:t>está ceñida al período de campaña electoral y, por otra,</w:t>
      </w:r>
      <w:r w:rsidR="00B12B8F" w:rsidRPr="00DE4D68">
        <w:rPr>
          <w:rFonts w:ascii="Arial" w:hAnsi="Arial" w:cs="Arial"/>
          <w:sz w:val="28"/>
          <w:szCs w:val="28"/>
          <w:u w:val="single"/>
        </w:rPr>
        <w:t xml:space="preserve"> </w:t>
      </w:r>
      <w:r w:rsidR="00B267A6">
        <w:rPr>
          <w:rFonts w:ascii="Arial" w:hAnsi="Arial" w:cs="Arial"/>
          <w:sz w:val="28"/>
          <w:szCs w:val="28"/>
        </w:rPr>
        <w:t>el tipo de cargo al que se contiende en atención a que los topes de gastos son proporcionales en relación con cada cargo.</w:t>
      </w:r>
    </w:p>
    <w:p w:rsidR="006178DB" w:rsidRDefault="00B267A6" w:rsidP="006178DB">
      <w:pPr>
        <w:spacing w:before="360" w:after="360" w:line="360" w:lineRule="auto"/>
        <w:ind w:firstLine="1418"/>
        <w:jc w:val="both"/>
        <w:rPr>
          <w:rFonts w:ascii="Arial" w:hAnsi="Arial" w:cs="Arial"/>
          <w:sz w:val="28"/>
          <w:szCs w:val="28"/>
        </w:rPr>
      </w:pPr>
      <w:r>
        <w:rPr>
          <w:rFonts w:ascii="Arial" w:hAnsi="Arial" w:cs="Arial"/>
          <w:sz w:val="28"/>
          <w:szCs w:val="28"/>
        </w:rPr>
        <w:t xml:space="preserve">Asimismo, resulta necesario establecer un límite para las aportaciones que cada candidatura puede hacer a sus campañas, </w:t>
      </w:r>
      <w:r w:rsidR="00B35100">
        <w:rPr>
          <w:rFonts w:ascii="Arial" w:hAnsi="Arial" w:cs="Arial"/>
          <w:sz w:val="28"/>
          <w:szCs w:val="28"/>
        </w:rPr>
        <w:t xml:space="preserve">para lo cual debe tomarse como referencia el porcentaje referido en el artículo 56 de la Ley de Partidos, </w:t>
      </w:r>
      <w:r>
        <w:rPr>
          <w:rFonts w:ascii="Arial" w:hAnsi="Arial" w:cs="Arial"/>
          <w:sz w:val="28"/>
          <w:szCs w:val="28"/>
        </w:rPr>
        <w:t xml:space="preserve">a fin de se genere proporcionalidad entre la capacidad económica </w:t>
      </w:r>
      <w:r w:rsidR="00C159B7">
        <w:rPr>
          <w:rFonts w:ascii="Arial" w:hAnsi="Arial" w:cs="Arial"/>
          <w:sz w:val="28"/>
          <w:szCs w:val="28"/>
        </w:rPr>
        <w:t>de cada candidatura independiente.</w:t>
      </w:r>
    </w:p>
    <w:p w:rsidR="00C62F88" w:rsidRDefault="00B267A6" w:rsidP="00A10E36">
      <w:pPr>
        <w:spacing w:before="360" w:after="360" w:line="360" w:lineRule="auto"/>
        <w:ind w:firstLine="1418"/>
        <w:jc w:val="both"/>
        <w:rPr>
          <w:rFonts w:ascii="Arial" w:hAnsi="Arial" w:cs="Arial"/>
          <w:b/>
          <w:sz w:val="28"/>
          <w:szCs w:val="28"/>
        </w:rPr>
      </w:pPr>
      <w:r>
        <w:rPr>
          <w:rFonts w:ascii="Arial" w:hAnsi="Arial" w:cs="Arial"/>
          <w:sz w:val="28"/>
          <w:szCs w:val="28"/>
        </w:rPr>
        <w:t xml:space="preserve">Por ello, el </w:t>
      </w:r>
      <w:r w:rsidRPr="00AA40AF">
        <w:rPr>
          <w:rFonts w:ascii="Arial" w:hAnsi="Arial" w:cs="Arial"/>
          <w:b/>
          <w:sz w:val="28"/>
          <w:szCs w:val="28"/>
        </w:rPr>
        <w:t xml:space="preserve">límite individual de aportaciones </w:t>
      </w:r>
      <w:r w:rsidRPr="004F6A37">
        <w:rPr>
          <w:rFonts w:ascii="Arial" w:hAnsi="Arial" w:cs="Arial"/>
          <w:sz w:val="28"/>
          <w:szCs w:val="28"/>
        </w:rPr>
        <w:t xml:space="preserve">que podrán realizar </w:t>
      </w:r>
      <w:r w:rsidR="00AA40AF" w:rsidRPr="004F6A37">
        <w:rPr>
          <w:rFonts w:ascii="Arial" w:hAnsi="Arial" w:cs="Arial"/>
          <w:sz w:val="28"/>
          <w:szCs w:val="28"/>
        </w:rPr>
        <w:t xml:space="preserve">los </w:t>
      </w:r>
      <w:r w:rsidRPr="00AA40AF">
        <w:rPr>
          <w:rFonts w:ascii="Arial" w:hAnsi="Arial" w:cs="Arial"/>
          <w:b/>
          <w:sz w:val="28"/>
          <w:szCs w:val="28"/>
        </w:rPr>
        <w:t xml:space="preserve">simpatizantes </w:t>
      </w:r>
      <w:r w:rsidR="00C62F88" w:rsidRPr="004F6A37">
        <w:rPr>
          <w:rFonts w:ascii="Arial" w:hAnsi="Arial" w:cs="Arial"/>
          <w:sz w:val="28"/>
          <w:szCs w:val="28"/>
        </w:rPr>
        <w:t>a las candidaturas independientes</w:t>
      </w:r>
      <w:r>
        <w:rPr>
          <w:rFonts w:ascii="Arial" w:hAnsi="Arial" w:cs="Arial"/>
          <w:sz w:val="28"/>
          <w:szCs w:val="28"/>
        </w:rPr>
        <w:t xml:space="preserve">, </w:t>
      </w:r>
      <w:r w:rsidR="00BC77E1">
        <w:rPr>
          <w:rFonts w:ascii="Arial" w:hAnsi="Arial" w:cs="Arial"/>
          <w:sz w:val="28"/>
          <w:szCs w:val="28"/>
        </w:rPr>
        <w:t xml:space="preserve">será el equivalente al </w:t>
      </w:r>
      <w:r w:rsidR="00BC77E1" w:rsidRPr="00AA40AF">
        <w:rPr>
          <w:rFonts w:ascii="Arial" w:hAnsi="Arial" w:cs="Arial"/>
          <w:b/>
          <w:sz w:val="28"/>
          <w:szCs w:val="28"/>
        </w:rPr>
        <w:t xml:space="preserve">0.5 por ciento del </w:t>
      </w:r>
      <w:r w:rsidR="00C62F88" w:rsidRPr="00AA40AF">
        <w:rPr>
          <w:rFonts w:ascii="Arial" w:hAnsi="Arial" w:cs="Arial"/>
          <w:b/>
          <w:sz w:val="28"/>
          <w:szCs w:val="28"/>
        </w:rPr>
        <w:t xml:space="preserve">actual </w:t>
      </w:r>
      <w:r w:rsidR="00BC77E1" w:rsidRPr="00AA40AF">
        <w:rPr>
          <w:rFonts w:ascii="Arial" w:hAnsi="Arial" w:cs="Arial"/>
          <w:b/>
          <w:sz w:val="28"/>
          <w:szCs w:val="28"/>
        </w:rPr>
        <w:t xml:space="preserve">tope de gastos </w:t>
      </w:r>
      <w:r w:rsidR="00C62F88">
        <w:rPr>
          <w:rFonts w:ascii="Arial" w:hAnsi="Arial" w:cs="Arial"/>
          <w:b/>
          <w:sz w:val="28"/>
          <w:szCs w:val="28"/>
        </w:rPr>
        <w:t xml:space="preserve">de la campaña </w:t>
      </w:r>
      <w:r w:rsidR="00BC77E1" w:rsidRPr="00AA40AF">
        <w:rPr>
          <w:rFonts w:ascii="Arial" w:hAnsi="Arial" w:cs="Arial"/>
          <w:b/>
          <w:sz w:val="28"/>
          <w:szCs w:val="28"/>
        </w:rPr>
        <w:t>de que se trat</w:t>
      </w:r>
      <w:r w:rsidR="00C62F88">
        <w:rPr>
          <w:rFonts w:ascii="Arial" w:hAnsi="Arial" w:cs="Arial"/>
          <w:b/>
          <w:sz w:val="28"/>
          <w:szCs w:val="28"/>
        </w:rPr>
        <w:t>e.</w:t>
      </w:r>
    </w:p>
    <w:p w:rsidR="00C62F88" w:rsidRDefault="00C62F88" w:rsidP="00A10E36">
      <w:pPr>
        <w:spacing w:before="360" w:after="360" w:line="360" w:lineRule="auto"/>
        <w:ind w:firstLine="1418"/>
        <w:jc w:val="both"/>
        <w:rPr>
          <w:rFonts w:ascii="Arial" w:hAnsi="Arial" w:cs="Arial"/>
          <w:sz w:val="28"/>
          <w:szCs w:val="28"/>
        </w:rPr>
      </w:pPr>
      <w:r>
        <w:rPr>
          <w:rFonts w:ascii="Arial" w:hAnsi="Arial" w:cs="Arial"/>
          <w:sz w:val="28"/>
          <w:szCs w:val="28"/>
        </w:rPr>
        <w:t xml:space="preserve">Por su parte, el </w:t>
      </w:r>
      <w:r w:rsidRPr="00AA40AF">
        <w:rPr>
          <w:rFonts w:ascii="Arial" w:hAnsi="Arial" w:cs="Arial"/>
          <w:b/>
          <w:sz w:val="28"/>
          <w:szCs w:val="28"/>
        </w:rPr>
        <w:t xml:space="preserve">límite individual de aportaciones </w:t>
      </w:r>
      <w:r w:rsidRPr="00E76933">
        <w:rPr>
          <w:rFonts w:ascii="Arial" w:hAnsi="Arial" w:cs="Arial"/>
          <w:sz w:val="28"/>
          <w:szCs w:val="28"/>
        </w:rPr>
        <w:t>que podrán realizar l</w:t>
      </w:r>
      <w:r>
        <w:rPr>
          <w:rFonts w:ascii="Arial" w:hAnsi="Arial" w:cs="Arial"/>
          <w:sz w:val="28"/>
          <w:szCs w:val="28"/>
        </w:rPr>
        <w:t>a</w:t>
      </w:r>
      <w:r w:rsidRPr="00E76933">
        <w:rPr>
          <w:rFonts w:ascii="Arial" w:hAnsi="Arial" w:cs="Arial"/>
          <w:sz w:val="28"/>
          <w:szCs w:val="28"/>
        </w:rPr>
        <w:t xml:space="preserve">s </w:t>
      </w:r>
      <w:r>
        <w:rPr>
          <w:rFonts w:ascii="Arial" w:hAnsi="Arial" w:cs="Arial"/>
          <w:sz w:val="28"/>
          <w:szCs w:val="28"/>
        </w:rPr>
        <w:t xml:space="preserve">candidatas y candidatos </w:t>
      </w:r>
      <w:r w:rsidRPr="00E76933">
        <w:rPr>
          <w:rFonts w:ascii="Arial" w:hAnsi="Arial" w:cs="Arial"/>
          <w:sz w:val="28"/>
          <w:szCs w:val="28"/>
        </w:rPr>
        <w:t xml:space="preserve">a </w:t>
      </w:r>
      <w:r>
        <w:rPr>
          <w:rFonts w:ascii="Arial" w:hAnsi="Arial" w:cs="Arial"/>
          <w:sz w:val="28"/>
          <w:szCs w:val="28"/>
        </w:rPr>
        <w:t>sus</w:t>
      </w:r>
      <w:r w:rsidRPr="00E76933">
        <w:rPr>
          <w:rFonts w:ascii="Arial" w:hAnsi="Arial" w:cs="Arial"/>
          <w:sz w:val="28"/>
          <w:szCs w:val="28"/>
        </w:rPr>
        <w:t xml:space="preserve"> </w:t>
      </w:r>
      <w:r>
        <w:rPr>
          <w:rFonts w:ascii="Arial" w:hAnsi="Arial" w:cs="Arial"/>
          <w:sz w:val="28"/>
          <w:szCs w:val="28"/>
        </w:rPr>
        <w:t xml:space="preserve">campañas, será el equivalente al </w:t>
      </w:r>
      <w:r w:rsidRPr="004F6A37">
        <w:rPr>
          <w:rFonts w:ascii="Arial" w:hAnsi="Arial" w:cs="Arial"/>
          <w:b/>
          <w:sz w:val="28"/>
          <w:szCs w:val="28"/>
        </w:rPr>
        <w:t>10</w:t>
      </w:r>
      <w:r w:rsidRPr="00AA40AF">
        <w:rPr>
          <w:rFonts w:ascii="Arial" w:hAnsi="Arial" w:cs="Arial"/>
          <w:b/>
          <w:sz w:val="28"/>
          <w:szCs w:val="28"/>
        </w:rPr>
        <w:t xml:space="preserve"> por ciento del actual tope de gastos </w:t>
      </w:r>
      <w:r>
        <w:rPr>
          <w:rFonts w:ascii="Arial" w:hAnsi="Arial" w:cs="Arial"/>
          <w:b/>
          <w:sz w:val="28"/>
          <w:szCs w:val="28"/>
        </w:rPr>
        <w:t>de su campaña</w:t>
      </w:r>
      <w:r w:rsidR="00B12B8F">
        <w:rPr>
          <w:rFonts w:ascii="Arial" w:hAnsi="Arial" w:cs="Arial"/>
          <w:sz w:val="28"/>
          <w:szCs w:val="28"/>
        </w:rPr>
        <w:t xml:space="preserve"> </w:t>
      </w:r>
      <w:r w:rsidR="00B12B8F" w:rsidRPr="00A87035">
        <w:rPr>
          <w:rFonts w:ascii="Arial" w:hAnsi="Arial" w:cs="Arial"/>
          <w:sz w:val="28"/>
          <w:szCs w:val="28"/>
        </w:rPr>
        <w:t xml:space="preserve">al ser este un parámetro racional </w:t>
      </w:r>
      <w:r w:rsidR="0024047B" w:rsidRPr="00A87035">
        <w:rPr>
          <w:rFonts w:ascii="Arial" w:hAnsi="Arial" w:cs="Arial"/>
          <w:sz w:val="28"/>
          <w:szCs w:val="28"/>
        </w:rPr>
        <w:t xml:space="preserve">y </w:t>
      </w:r>
      <w:r w:rsidR="00B12B8F" w:rsidRPr="00A87035">
        <w:rPr>
          <w:rFonts w:ascii="Arial" w:hAnsi="Arial" w:cs="Arial"/>
          <w:sz w:val="28"/>
          <w:szCs w:val="28"/>
        </w:rPr>
        <w:t>objetivo que garantiza la equidad entre todas las candidaturas</w:t>
      </w:r>
      <w:r>
        <w:rPr>
          <w:rFonts w:ascii="Arial" w:hAnsi="Arial" w:cs="Arial"/>
          <w:b/>
          <w:sz w:val="28"/>
          <w:szCs w:val="28"/>
        </w:rPr>
        <w:t>.</w:t>
      </w:r>
    </w:p>
    <w:p w:rsidR="00DD1A03" w:rsidRDefault="00C62F88" w:rsidP="00A10E36">
      <w:pPr>
        <w:spacing w:before="360" w:after="360" w:line="360" w:lineRule="auto"/>
        <w:ind w:firstLine="1418"/>
        <w:jc w:val="both"/>
        <w:rPr>
          <w:rFonts w:ascii="Arial" w:hAnsi="Arial" w:cs="Arial"/>
          <w:sz w:val="28"/>
          <w:szCs w:val="28"/>
        </w:rPr>
      </w:pPr>
      <w:r>
        <w:rPr>
          <w:rFonts w:ascii="Arial" w:hAnsi="Arial" w:cs="Arial"/>
          <w:sz w:val="28"/>
          <w:szCs w:val="28"/>
        </w:rPr>
        <w:t xml:space="preserve">Dichos </w:t>
      </w:r>
      <w:r w:rsidR="00FF014D">
        <w:rPr>
          <w:rFonts w:ascii="Arial" w:hAnsi="Arial" w:cs="Arial"/>
          <w:sz w:val="28"/>
          <w:szCs w:val="28"/>
        </w:rPr>
        <w:t>monto</w:t>
      </w:r>
      <w:r>
        <w:rPr>
          <w:rFonts w:ascii="Arial" w:hAnsi="Arial" w:cs="Arial"/>
          <w:sz w:val="28"/>
          <w:szCs w:val="28"/>
        </w:rPr>
        <w:t>s</w:t>
      </w:r>
      <w:r w:rsidR="00FF014D">
        <w:rPr>
          <w:rFonts w:ascii="Arial" w:hAnsi="Arial" w:cs="Arial"/>
          <w:sz w:val="28"/>
          <w:szCs w:val="28"/>
        </w:rPr>
        <w:t xml:space="preserve"> </w:t>
      </w:r>
      <w:r>
        <w:rPr>
          <w:rFonts w:ascii="Arial" w:hAnsi="Arial" w:cs="Arial"/>
          <w:sz w:val="28"/>
          <w:szCs w:val="28"/>
        </w:rPr>
        <w:t>se compondrán</w:t>
      </w:r>
      <w:r w:rsidR="00FF014D">
        <w:rPr>
          <w:rFonts w:ascii="Arial" w:hAnsi="Arial" w:cs="Arial"/>
          <w:sz w:val="28"/>
          <w:szCs w:val="28"/>
        </w:rPr>
        <w:t xml:space="preserve"> por las aportaciones </w:t>
      </w:r>
      <w:r w:rsidR="006679FD">
        <w:rPr>
          <w:rFonts w:ascii="Arial" w:hAnsi="Arial" w:cs="Arial"/>
          <w:sz w:val="28"/>
          <w:szCs w:val="28"/>
        </w:rPr>
        <w:t>realizadas</w:t>
      </w:r>
      <w:r w:rsidR="00FF014D">
        <w:rPr>
          <w:rFonts w:ascii="Arial" w:hAnsi="Arial" w:cs="Arial"/>
          <w:sz w:val="28"/>
          <w:szCs w:val="28"/>
        </w:rPr>
        <w:t xml:space="preserve"> desde el período de obtención de apoyo ciudadano hasta la campaña</w:t>
      </w:r>
      <w:r w:rsidR="00BC77E1">
        <w:rPr>
          <w:rFonts w:ascii="Arial" w:hAnsi="Arial" w:cs="Arial"/>
          <w:sz w:val="28"/>
          <w:szCs w:val="28"/>
        </w:rPr>
        <w:t>.</w:t>
      </w:r>
    </w:p>
    <w:p w:rsidR="006178DB" w:rsidRPr="00FD5405" w:rsidRDefault="00CE092D" w:rsidP="006178DB">
      <w:pPr>
        <w:spacing w:before="360" w:after="360" w:line="360" w:lineRule="auto"/>
        <w:ind w:firstLine="1418"/>
        <w:jc w:val="both"/>
        <w:rPr>
          <w:rFonts w:ascii="Arial" w:hAnsi="Arial" w:cs="Arial"/>
        </w:rPr>
      </w:pPr>
      <w:r>
        <w:rPr>
          <w:rFonts w:ascii="Arial" w:hAnsi="Arial" w:cs="Arial"/>
          <w:sz w:val="28"/>
          <w:szCs w:val="28"/>
        </w:rPr>
        <w:t xml:space="preserve">A </w:t>
      </w:r>
      <w:r w:rsidR="001F6E25">
        <w:rPr>
          <w:rFonts w:ascii="Arial" w:hAnsi="Arial" w:cs="Arial"/>
          <w:sz w:val="28"/>
          <w:szCs w:val="28"/>
        </w:rPr>
        <w:t>continuación,</w:t>
      </w:r>
      <w:r>
        <w:rPr>
          <w:rFonts w:ascii="Arial" w:hAnsi="Arial" w:cs="Arial"/>
          <w:sz w:val="28"/>
          <w:szCs w:val="28"/>
        </w:rPr>
        <w:t xml:space="preserve"> se determinan </w:t>
      </w:r>
      <w:r w:rsidRPr="00DE4D68">
        <w:rPr>
          <w:rFonts w:ascii="Arial" w:hAnsi="Arial" w:cs="Arial"/>
          <w:sz w:val="28"/>
          <w:szCs w:val="28"/>
        </w:rPr>
        <w:t xml:space="preserve">los </w:t>
      </w:r>
      <w:r w:rsidR="006178DB" w:rsidRPr="00DE4D68">
        <w:rPr>
          <w:rFonts w:ascii="Arial" w:hAnsi="Arial" w:cs="Arial"/>
          <w:sz w:val="28"/>
          <w:szCs w:val="28"/>
        </w:rPr>
        <w:t xml:space="preserve">límites </w:t>
      </w:r>
      <w:r w:rsidR="00372B56" w:rsidRPr="00DE4D68">
        <w:rPr>
          <w:rFonts w:ascii="Arial" w:hAnsi="Arial" w:cs="Arial"/>
          <w:sz w:val="28"/>
          <w:szCs w:val="28"/>
        </w:rPr>
        <w:t>de aportaciones individuales</w:t>
      </w:r>
      <w:r w:rsidR="00372B56">
        <w:rPr>
          <w:rFonts w:ascii="Arial" w:hAnsi="Arial" w:cs="Arial"/>
          <w:sz w:val="28"/>
          <w:szCs w:val="28"/>
        </w:rPr>
        <w:t xml:space="preserve"> </w:t>
      </w:r>
      <w:r w:rsidR="00076106">
        <w:rPr>
          <w:rFonts w:ascii="Arial" w:hAnsi="Arial" w:cs="Arial"/>
          <w:sz w:val="28"/>
          <w:szCs w:val="28"/>
        </w:rPr>
        <w:t xml:space="preserve">que deberán </w:t>
      </w:r>
      <w:r>
        <w:rPr>
          <w:rFonts w:ascii="Arial" w:hAnsi="Arial" w:cs="Arial"/>
          <w:sz w:val="28"/>
          <w:szCs w:val="28"/>
        </w:rPr>
        <w:t>observar</w:t>
      </w:r>
      <w:r w:rsidR="006178DB" w:rsidRPr="00FD5405">
        <w:rPr>
          <w:rFonts w:ascii="Arial" w:hAnsi="Arial" w:cs="Arial"/>
          <w:sz w:val="28"/>
          <w:szCs w:val="28"/>
        </w:rPr>
        <w:t xml:space="preserve"> las candidaturas independientes en cada elección:</w:t>
      </w:r>
    </w:p>
    <w:tbl>
      <w:tblPr>
        <w:tblStyle w:val="Tablaconcuadrcula"/>
        <w:tblW w:w="516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1995"/>
        <w:gridCol w:w="1995"/>
        <w:gridCol w:w="1996"/>
      </w:tblGrid>
      <w:tr w:rsidR="006178DB" w:rsidRPr="00D2762B" w:rsidTr="00D2762B">
        <w:trPr>
          <w:tblHeader/>
        </w:trPr>
        <w:tc>
          <w:tcPr>
            <w:tcW w:w="1372" w:type="pct"/>
            <w:shd w:val="clear" w:color="auto" w:fill="D9D9D9" w:themeFill="background1" w:themeFillShade="D9"/>
            <w:vAlign w:val="center"/>
          </w:tcPr>
          <w:p w:rsidR="006178DB" w:rsidRPr="00D2762B" w:rsidRDefault="006178DB" w:rsidP="007A37D7">
            <w:pPr>
              <w:pStyle w:val="Texto"/>
              <w:spacing w:line="224" w:lineRule="exact"/>
              <w:ind w:firstLine="0"/>
              <w:jc w:val="center"/>
              <w:rPr>
                <w:b/>
                <w:color w:val="000000"/>
                <w:sz w:val="22"/>
                <w:szCs w:val="22"/>
              </w:rPr>
            </w:pPr>
            <w:r w:rsidRPr="00D2762B">
              <w:rPr>
                <w:b/>
                <w:color w:val="000000"/>
                <w:sz w:val="22"/>
                <w:szCs w:val="22"/>
              </w:rPr>
              <w:t>Tipo de elección</w:t>
            </w:r>
          </w:p>
        </w:tc>
        <w:tc>
          <w:tcPr>
            <w:tcW w:w="1209" w:type="pct"/>
            <w:shd w:val="clear" w:color="auto" w:fill="D9D9D9" w:themeFill="background1" w:themeFillShade="D9"/>
            <w:vAlign w:val="center"/>
          </w:tcPr>
          <w:p w:rsidR="006178DB" w:rsidRPr="00D2762B" w:rsidRDefault="006178DB" w:rsidP="007A37D7">
            <w:pPr>
              <w:jc w:val="center"/>
              <w:rPr>
                <w:rFonts w:ascii="Arial" w:hAnsi="Arial" w:cs="Arial"/>
                <w:b/>
              </w:rPr>
            </w:pPr>
            <w:r w:rsidRPr="00D2762B">
              <w:rPr>
                <w:rFonts w:ascii="Arial" w:hAnsi="Arial" w:cs="Arial"/>
                <w:b/>
              </w:rPr>
              <w:t>Tope de gastos de campaña</w:t>
            </w:r>
            <w:r w:rsidRPr="00D2762B">
              <w:rPr>
                <w:rStyle w:val="Refdenotaalpie"/>
                <w:rFonts w:ascii="Arial" w:hAnsi="Arial" w:cs="Arial"/>
              </w:rPr>
              <w:footnoteReference w:id="47"/>
            </w:r>
          </w:p>
          <w:p w:rsidR="006178DB" w:rsidRPr="00D2762B" w:rsidRDefault="006178DB" w:rsidP="007A37D7">
            <w:pPr>
              <w:jc w:val="center"/>
              <w:rPr>
                <w:rFonts w:ascii="Arial" w:hAnsi="Arial" w:cs="Arial"/>
                <w:b/>
              </w:rPr>
            </w:pPr>
            <w:r w:rsidRPr="00D2762B">
              <w:rPr>
                <w:rFonts w:ascii="Arial" w:hAnsi="Arial" w:cs="Arial"/>
                <w:b/>
              </w:rPr>
              <w:t>(A)</w:t>
            </w:r>
          </w:p>
        </w:tc>
        <w:tc>
          <w:tcPr>
            <w:tcW w:w="1209" w:type="pct"/>
            <w:shd w:val="clear" w:color="auto" w:fill="D9D9D9" w:themeFill="background1" w:themeFillShade="D9"/>
            <w:vAlign w:val="center"/>
          </w:tcPr>
          <w:p w:rsidR="006178DB" w:rsidRPr="00D2762B" w:rsidRDefault="006178DB" w:rsidP="007A37D7">
            <w:pPr>
              <w:jc w:val="center"/>
              <w:rPr>
                <w:rFonts w:ascii="Arial" w:hAnsi="Arial" w:cs="Arial"/>
                <w:b/>
              </w:rPr>
            </w:pPr>
            <w:r w:rsidRPr="00D2762B">
              <w:rPr>
                <w:rFonts w:ascii="Arial" w:hAnsi="Arial" w:cs="Arial"/>
                <w:b/>
              </w:rPr>
              <w:t xml:space="preserve">Límite </w:t>
            </w:r>
            <w:r w:rsidR="00372B56" w:rsidRPr="00D2762B">
              <w:rPr>
                <w:rFonts w:ascii="Arial" w:hAnsi="Arial" w:cs="Arial"/>
                <w:b/>
              </w:rPr>
              <w:t>de aportación individual de</w:t>
            </w:r>
            <w:r w:rsidR="00372B56" w:rsidRPr="00D2762B">
              <w:rPr>
                <w:rFonts w:ascii="Arial" w:hAnsi="Arial" w:cs="Arial"/>
                <w:b/>
                <w:u w:val="single"/>
              </w:rPr>
              <w:t xml:space="preserve"> </w:t>
            </w:r>
            <w:r w:rsidR="00372B56" w:rsidRPr="00D2762B">
              <w:rPr>
                <w:rFonts w:ascii="Arial" w:hAnsi="Arial" w:cs="Arial"/>
                <w:b/>
              </w:rPr>
              <w:t>candidat</w:t>
            </w:r>
            <w:r w:rsidR="00B12B8F" w:rsidRPr="00D2762B">
              <w:rPr>
                <w:rFonts w:ascii="Arial" w:hAnsi="Arial" w:cs="Arial"/>
                <w:b/>
              </w:rPr>
              <w:t>ura</w:t>
            </w:r>
            <w:r w:rsidR="00372B56" w:rsidRPr="00D2762B">
              <w:rPr>
                <w:rFonts w:ascii="Arial" w:hAnsi="Arial" w:cs="Arial"/>
                <w:b/>
              </w:rPr>
              <w:t>s</w:t>
            </w:r>
            <w:r w:rsidR="00372B56" w:rsidRPr="00D2762B">
              <w:rPr>
                <w:rFonts w:ascii="Arial" w:hAnsi="Arial" w:cs="Arial"/>
                <w:b/>
                <w:u w:val="single"/>
              </w:rPr>
              <w:t xml:space="preserve"> </w:t>
            </w:r>
            <w:r w:rsidR="00372B56" w:rsidRPr="00D2762B">
              <w:rPr>
                <w:rFonts w:ascii="Arial" w:hAnsi="Arial" w:cs="Arial"/>
                <w:b/>
              </w:rPr>
              <w:t>independientes</w:t>
            </w:r>
          </w:p>
          <w:p w:rsidR="006178DB" w:rsidRPr="00D2762B" w:rsidRDefault="006178DB" w:rsidP="007A37D7">
            <w:pPr>
              <w:jc w:val="center"/>
              <w:rPr>
                <w:rFonts w:ascii="Arial" w:hAnsi="Arial" w:cs="Arial"/>
                <w:b/>
              </w:rPr>
            </w:pPr>
            <w:r w:rsidRPr="00D2762B">
              <w:rPr>
                <w:rFonts w:ascii="Arial" w:hAnsi="Arial" w:cs="Arial"/>
                <w:b/>
              </w:rPr>
              <w:t>(A * 10 %)</w:t>
            </w:r>
          </w:p>
        </w:tc>
        <w:tc>
          <w:tcPr>
            <w:tcW w:w="1209" w:type="pct"/>
            <w:shd w:val="clear" w:color="auto" w:fill="D9D9D9" w:themeFill="background1" w:themeFillShade="D9"/>
            <w:vAlign w:val="center"/>
          </w:tcPr>
          <w:p w:rsidR="006178DB" w:rsidRPr="00D2762B" w:rsidRDefault="006178DB" w:rsidP="007A37D7">
            <w:pPr>
              <w:jc w:val="center"/>
              <w:rPr>
                <w:rFonts w:ascii="Arial" w:hAnsi="Arial" w:cs="Arial"/>
                <w:b/>
              </w:rPr>
            </w:pPr>
            <w:r w:rsidRPr="00D2762B">
              <w:rPr>
                <w:rFonts w:ascii="Arial" w:hAnsi="Arial" w:cs="Arial"/>
                <w:b/>
              </w:rPr>
              <w:t>Límite de aportación individual de simpatizantes</w:t>
            </w:r>
          </w:p>
          <w:p w:rsidR="006178DB" w:rsidRPr="00D2762B" w:rsidRDefault="006178DB" w:rsidP="007A37D7">
            <w:pPr>
              <w:jc w:val="center"/>
              <w:rPr>
                <w:rFonts w:ascii="Arial" w:hAnsi="Arial" w:cs="Arial"/>
                <w:b/>
              </w:rPr>
            </w:pPr>
            <w:r w:rsidRPr="00D2762B">
              <w:rPr>
                <w:rFonts w:ascii="Arial" w:hAnsi="Arial" w:cs="Arial"/>
                <w:b/>
              </w:rPr>
              <w:t>(A * 0.5 %)</w:t>
            </w:r>
          </w:p>
        </w:tc>
      </w:tr>
      <w:tr w:rsidR="006178DB" w:rsidRPr="00D2762B" w:rsidTr="00D2762B">
        <w:trPr>
          <w:trHeight w:val="1135"/>
        </w:trPr>
        <w:tc>
          <w:tcPr>
            <w:tcW w:w="1372" w:type="pct"/>
            <w:shd w:val="clear" w:color="auto" w:fill="F2F2F2" w:themeFill="background1" w:themeFillShade="F2"/>
            <w:vAlign w:val="center"/>
          </w:tcPr>
          <w:p w:rsidR="006178DB" w:rsidRPr="00D2762B" w:rsidRDefault="006178DB" w:rsidP="007A37D7">
            <w:pPr>
              <w:pStyle w:val="Texto"/>
              <w:spacing w:line="224" w:lineRule="exact"/>
              <w:ind w:firstLine="0"/>
              <w:jc w:val="left"/>
              <w:rPr>
                <w:b/>
                <w:color w:val="000000"/>
                <w:sz w:val="22"/>
                <w:szCs w:val="22"/>
              </w:rPr>
            </w:pPr>
            <w:r w:rsidRPr="00D2762B">
              <w:rPr>
                <w:b/>
                <w:color w:val="000000"/>
                <w:sz w:val="22"/>
                <w:szCs w:val="22"/>
              </w:rPr>
              <w:t>Presidente de los Estados Unidos Mexicanos</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$429,633,325.00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hAnsi="Arial" w:cs="Arial"/>
              </w:rPr>
              <w:t>$42,963332.5</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hAnsi="Arial" w:cs="Arial"/>
              </w:rPr>
              <w:t>$2,148,166.62</w:t>
            </w:r>
          </w:p>
        </w:tc>
      </w:tr>
      <w:tr w:rsidR="006178DB" w:rsidRPr="00D2762B" w:rsidTr="00D2762B">
        <w:tc>
          <w:tcPr>
            <w:tcW w:w="1372" w:type="pct"/>
            <w:shd w:val="clear" w:color="auto" w:fill="F2F2F2" w:themeFill="background1" w:themeFillShade="F2"/>
            <w:vAlign w:val="center"/>
          </w:tcPr>
          <w:p w:rsidR="006178DB" w:rsidRPr="00D2762B" w:rsidRDefault="006178DB" w:rsidP="007A37D7">
            <w:pPr>
              <w:pStyle w:val="Texto"/>
              <w:spacing w:line="224" w:lineRule="exact"/>
              <w:ind w:firstLine="0"/>
              <w:jc w:val="left"/>
              <w:rPr>
                <w:b/>
                <w:color w:val="000000"/>
                <w:sz w:val="22"/>
                <w:szCs w:val="22"/>
              </w:rPr>
            </w:pPr>
            <w:r w:rsidRPr="00D2762B">
              <w:rPr>
                <w:b/>
                <w:color w:val="000000"/>
                <w:sz w:val="22"/>
                <w:szCs w:val="22"/>
              </w:rPr>
              <w:t>Diputaciones</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$1,432,111.00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hAnsi="Arial" w:cs="Arial"/>
              </w:rPr>
              <w:t>$143,211.1</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hAnsi="Arial" w:cs="Arial"/>
              </w:rPr>
              <w:t>$7,160.55</w:t>
            </w:r>
          </w:p>
        </w:tc>
      </w:tr>
      <w:tr w:rsidR="006178DB" w:rsidRPr="00D2762B" w:rsidTr="00D2762B">
        <w:tc>
          <w:tcPr>
            <w:tcW w:w="5000" w:type="pct"/>
            <w:gridSpan w:val="4"/>
            <w:shd w:val="clear" w:color="auto" w:fill="D9D9D9" w:themeFill="background1" w:themeFillShade="D9"/>
            <w:vAlign w:val="center"/>
          </w:tcPr>
          <w:p w:rsidR="006178DB" w:rsidRPr="00D2762B" w:rsidRDefault="006178DB" w:rsidP="007A37D7">
            <w:pPr>
              <w:jc w:val="both"/>
              <w:rPr>
                <w:rFonts w:ascii="Arial" w:hAnsi="Arial" w:cs="Arial"/>
                <w:b/>
              </w:rPr>
            </w:pPr>
            <w:r w:rsidRPr="00D2762B">
              <w:rPr>
                <w:rFonts w:ascii="Arial" w:hAnsi="Arial" w:cs="Arial"/>
                <w:b/>
              </w:rPr>
              <w:t>Por fórmula de senadurías</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1. Aguascalientes</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$4,296,333.00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hAnsi="Arial" w:cs="Arial"/>
              </w:rPr>
              <w:t>$429,633.3</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$21,481.67</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 Baja California</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$11,456,888.00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hAnsi="Arial" w:cs="Arial"/>
              </w:rPr>
              <w:t>$1,145,688.8</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$57,284.44</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3. Baja California Sur</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$2,864,222.00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$14,321.11</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4. Campeche</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$2,864,222.00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$14,321.11</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5. Coahuila </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$10,024,777.00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$1,002,477.70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$50,123.89</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6. Colima</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$2,864,222.00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$14,321.11</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7. Chiapas</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$18,617,443.00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$1,861,744.30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$93,087.22</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8. Chihuahua </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$12,888,999.00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$1,288,899.90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$64,445.00</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9. Ciudad de México</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$28,642,220.00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$143,211.10</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10. Durango</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$5,728,444.00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$572,844.40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11. Guanajuato </w:t>
            </w:r>
          </w:p>
        </w:tc>
        <w:tc>
          <w:tcPr>
            <w:tcW w:w="1209" w:type="pct"/>
            <w:vAlign w:val="center"/>
          </w:tcPr>
          <w:p w:rsidR="006178DB" w:rsidRPr="00D2762B" w:rsidRDefault="006178DB" w:rsidP="007A37D7">
            <w:pPr>
              <w:pStyle w:val="Texto"/>
              <w:spacing w:before="60" w:after="60" w:line="224" w:lineRule="exact"/>
              <w:ind w:firstLine="0"/>
              <w:jc w:val="center"/>
              <w:rPr>
                <w:color w:val="000000"/>
                <w:sz w:val="22"/>
                <w:szCs w:val="22"/>
              </w:rPr>
            </w:pPr>
            <w:r w:rsidRPr="00D2762B">
              <w:rPr>
                <w:color w:val="000000"/>
                <w:sz w:val="22"/>
                <w:szCs w:val="22"/>
              </w:rPr>
              <w:t>$21,481,665.00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$2,148,166.50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$107,408.33</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12. Guerrero</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$12,888,999.00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$1,288,899.90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$64,445.00</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13. Hidalgo </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$10,024,777.00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$1,002,477.70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$50,123.89</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14. Jalisco</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$28,642,220.00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$143,211.10</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15. México </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$28,642,220.00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$143,211.10</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16. Michoacán</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$17,185,332.00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$1,718,533.20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$85,926.66</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17. Morelos</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$7,160,555.00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$716,055.50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$35,802.78</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18. Nayarit </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$4,296,333.00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$429,633.30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$21,481.67</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19. Nuevo León</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$17,185,332.00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$1,718,533.20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$85,926.66</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20. Oaxaca</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$14,321,110.00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$1,432,111.00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$71,605.55</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21. Puebla</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$21,481,665.00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$2,148,166.50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$107,408.33</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22. Querétaro</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$7,160,555.00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$716,055.50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$35,802.78</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23. Quintana Roo</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$5,728,444.00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$572,844.40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24. San Luis Potosí</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$10,024,777.00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$1,002,477.70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$50,123.89</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25. Sinaloa</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$10,024,777.00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$1,002,477.70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$50,123.89</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26. Sonora</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$10,024,777.00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$1,002,477.70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$50,123.89</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27. Tabasco </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$8,592,666.00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$859,266.60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$42,963.33</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28. Tamaulipas</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$12,888,999.00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$1,288,899.90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$64,445.00</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29. Tlaxcala</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$4,296,333.00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$429,633.30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$21,481.67</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30. Veracruz</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$28,642,220.00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$143,211.10</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31. Yucatán </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$7,160,555.00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$716,055.50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$35,802.78</w:t>
            </w:r>
          </w:p>
        </w:tc>
      </w:tr>
      <w:tr w:rsidR="006178DB" w:rsidRPr="00D2762B" w:rsidTr="00D2762B">
        <w:tc>
          <w:tcPr>
            <w:tcW w:w="1372" w:type="pct"/>
            <w:shd w:val="clear" w:color="auto" w:fill="D9D9D9" w:themeFill="background1" w:themeFillShade="D9"/>
            <w:vAlign w:val="center"/>
          </w:tcPr>
          <w:p w:rsidR="006178DB" w:rsidRPr="00D2762B" w:rsidRDefault="006178DB" w:rsidP="007A37D7">
            <w:pPr>
              <w:pStyle w:val="Texto"/>
              <w:spacing w:after="0" w:line="240" w:lineRule="auto"/>
              <w:ind w:firstLine="0"/>
              <w:jc w:val="left"/>
              <w:rPr>
                <w:b/>
                <w:color w:val="000000"/>
                <w:sz w:val="22"/>
                <w:szCs w:val="22"/>
              </w:rPr>
            </w:pPr>
            <w:r w:rsidRPr="00D2762B">
              <w:rPr>
                <w:b/>
                <w:color w:val="000000"/>
                <w:sz w:val="22"/>
                <w:szCs w:val="22"/>
              </w:rPr>
              <w:t xml:space="preserve">32. Zacatecas </w:t>
            </w:r>
          </w:p>
        </w:tc>
        <w:tc>
          <w:tcPr>
            <w:tcW w:w="1209" w:type="pct"/>
            <w:vAlign w:val="center"/>
          </w:tcPr>
          <w:p w:rsidR="006178DB" w:rsidRPr="00D2762B" w:rsidRDefault="006178DB" w:rsidP="007A37D7">
            <w:pPr>
              <w:pStyle w:val="Texto"/>
              <w:spacing w:before="60" w:after="60"/>
              <w:ind w:firstLine="0"/>
              <w:jc w:val="center"/>
              <w:rPr>
                <w:color w:val="000000"/>
                <w:sz w:val="22"/>
                <w:szCs w:val="22"/>
              </w:rPr>
            </w:pPr>
            <w:r w:rsidRPr="00D2762B">
              <w:rPr>
                <w:color w:val="000000"/>
                <w:sz w:val="22"/>
                <w:szCs w:val="22"/>
              </w:rPr>
              <w:t>$5,728,444.00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$572,844.40</w:t>
            </w:r>
          </w:p>
        </w:tc>
        <w:tc>
          <w:tcPr>
            <w:tcW w:w="1209" w:type="pct"/>
            <w:vAlign w:val="center"/>
          </w:tcPr>
          <w:p w:rsidR="006178DB" w:rsidRPr="00D2762B" w:rsidRDefault="006178DB" w:rsidP="007A37D7">
            <w:pPr>
              <w:spacing w:before="60" w:after="60"/>
              <w:jc w:val="center"/>
              <w:rPr>
                <w:rFonts w:ascii="Arial" w:hAnsi="Arial" w:cs="Arial"/>
              </w:rPr>
            </w:pPr>
            <w:r w:rsidRPr="00D2762B">
              <w:rPr>
                <w:rFonts w:ascii="Arial" w:eastAsia="Times New Roman" w:hAnsi="Arial" w:cs="Arial"/>
                <w:color w:val="000000"/>
              </w:rPr>
              <w:t>$28,642.22</w:t>
            </w:r>
          </w:p>
        </w:tc>
      </w:tr>
    </w:tbl>
    <w:p w:rsidR="006178DB" w:rsidRPr="00753A47" w:rsidRDefault="006178DB" w:rsidP="006178DB">
      <w:pPr>
        <w:jc w:val="both"/>
      </w:pPr>
    </w:p>
    <w:p w:rsidR="00A10E36" w:rsidRDefault="00806FA4" w:rsidP="00A10E36">
      <w:pPr>
        <w:spacing w:before="360" w:after="360" w:line="360" w:lineRule="auto"/>
        <w:ind w:firstLine="1418"/>
        <w:jc w:val="both"/>
        <w:rPr>
          <w:rFonts w:ascii="Arial" w:hAnsi="Arial" w:cs="Arial"/>
          <w:i/>
          <w:sz w:val="28"/>
          <w:szCs w:val="28"/>
        </w:rPr>
      </w:pPr>
      <w:r>
        <w:rPr>
          <w:rFonts w:ascii="Arial" w:hAnsi="Arial" w:cs="Arial"/>
          <w:sz w:val="28"/>
          <w:szCs w:val="28"/>
        </w:rPr>
        <w:t>Finalmente, c</w:t>
      </w:r>
      <w:r w:rsidR="002A293E">
        <w:rPr>
          <w:rFonts w:ascii="Arial" w:hAnsi="Arial" w:cs="Arial"/>
          <w:sz w:val="28"/>
          <w:szCs w:val="28"/>
        </w:rPr>
        <w:t>abe precisar que</w:t>
      </w:r>
      <w:r w:rsidR="00A10E36">
        <w:rPr>
          <w:rFonts w:ascii="Arial" w:hAnsi="Arial" w:cs="Arial"/>
          <w:sz w:val="28"/>
          <w:szCs w:val="28"/>
        </w:rPr>
        <w:t xml:space="preserve"> los actores solicit</w:t>
      </w:r>
      <w:r w:rsidR="00A25986">
        <w:rPr>
          <w:rFonts w:ascii="Arial" w:hAnsi="Arial" w:cs="Arial"/>
          <w:sz w:val="28"/>
          <w:szCs w:val="28"/>
        </w:rPr>
        <w:t>a</w:t>
      </w:r>
      <w:r w:rsidR="00A10E36">
        <w:rPr>
          <w:rFonts w:ascii="Arial" w:hAnsi="Arial" w:cs="Arial"/>
          <w:sz w:val="28"/>
          <w:szCs w:val="28"/>
        </w:rPr>
        <w:t xml:space="preserve">n se declare la inconstitucionalidad del artículo 399 de la </w:t>
      </w:r>
      <w:r w:rsidR="00E67DDC">
        <w:rPr>
          <w:rFonts w:ascii="Arial" w:hAnsi="Arial" w:cs="Arial"/>
          <w:sz w:val="28"/>
          <w:szCs w:val="28"/>
        </w:rPr>
        <w:t>LEGIPE</w:t>
      </w:r>
      <w:r w:rsidR="00A10E36">
        <w:rPr>
          <w:rFonts w:ascii="Arial" w:hAnsi="Arial" w:cs="Arial"/>
          <w:sz w:val="28"/>
          <w:szCs w:val="28"/>
        </w:rPr>
        <w:t xml:space="preserve">, </w:t>
      </w:r>
      <w:r w:rsidR="00A25986">
        <w:rPr>
          <w:rFonts w:ascii="Arial" w:hAnsi="Arial" w:cs="Arial"/>
          <w:sz w:val="28"/>
          <w:szCs w:val="28"/>
        </w:rPr>
        <w:t xml:space="preserve">sin embargo, </w:t>
      </w:r>
      <w:r w:rsidR="00A10E36">
        <w:rPr>
          <w:rFonts w:ascii="Arial" w:hAnsi="Arial" w:cs="Arial"/>
          <w:sz w:val="28"/>
          <w:szCs w:val="28"/>
        </w:rPr>
        <w:t xml:space="preserve">esta Sala Superior no cuenta con facultades para hacerlo </w:t>
      </w:r>
      <w:r w:rsidR="00A25986">
        <w:rPr>
          <w:rFonts w:ascii="Arial" w:hAnsi="Arial" w:cs="Arial"/>
          <w:sz w:val="28"/>
          <w:szCs w:val="28"/>
        </w:rPr>
        <w:t>pero sí</w:t>
      </w:r>
      <w:r w:rsidR="00A10E36">
        <w:rPr>
          <w:rFonts w:ascii="Arial" w:hAnsi="Arial" w:cs="Arial"/>
          <w:sz w:val="28"/>
          <w:szCs w:val="28"/>
        </w:rPr>
        <w:t xml:space="preserve"> </w:t>
      </w:r>
      <w:r w:rsidR="00A25986">
        <w:rPr>
          <w:rFonts w:ascii="Arial" w:hAnsi="Arial" w:cs="Arial"/>
          <w:sz w:val="28"/>
          <w:szCs w:val="28"/>
        </w:rPr>
        <w:t xml:space="preserve">para </w:t>
      </w:r>
      <w:r w:rsidR="00A10E36">
        <w:rPr>
          <w:rFonts w:ascii="Arial" w:hAnsi="Arial" w:cs="Arial"/>
          <w:sz w:val="28"/>
          <w:szCs w:val="28"/>
        </w:rPr>
        <w:t xml:space="preserve">declarar su inaplicación, conforme con la jurisprudencia </w:t>
      </w:r>
      <w:r w:rsidR="00A10E36" w:rsidRPr="00A10E36">
        <w:rPr>
          <w:rFonts w:ascii="Arial" w:hAnsi="Arial" w:cs="Arial"/>
          <w:b/>
          <w:sz w:val="26"/>
          <w:szCs w:val="26"/>
        </w:rPr>
        <w:t>P./J. 23/2002</w:t>
      </w:r>
      <w:r w:rsidR="00A10E36">
        <w:rPr>
          <w:rFonts w:ascii="Arial" w:hAnsi="Arial" w:cs="Arial"/>
          <w:sz w:val="28"/>
          <w:szCs w:val="28"/>
        </w:rPr>
        <w:t xml:space="preserve">, de </w:t>
      </w:r>
      <w:bookmarkStart w:id="14" w:name="_Hlk511154104"/>
      <w:r w:rsidR="00A10E36">
        <w:rPr>
          <w:rFonts w:ascii="Arial" w:hAnsi="Arial" w:cs="Arial"/>
          <w:sz w:val="28"/>
          <w:szCs w:val="28"/>
        </w:rPr>
        <w:t>la Segunda Sala de la Suprema Corte de Justicia de la Nación</w:t>
      </w:r>
      <w:bookmarkEnd w:id="14"/>
      <w:r w:rsidR="00A10E36">
        <w:rPr>
          <w:rStyle w:val="Refdenotaalpie"/>
          <w:rFonts w:ascii="Arial" w:hAnsi="Arial" w:cs="Arial"/>
          <w:sz w:val="28"/>
          <w:szCs w:val="28"/>
        </w:rPr>
        <w:footnoteReference w:id="48"/>
      </w:r>
      <w:r w:rsidR="00A10E36">
        <w:rPr>
          <w:rFonts w:ascii="Arial" w:hAnsi="Arial" w:cs="Arial"/>
          <w:sz w:val="28"/>
          <w:szCs w:val="28"/>
        </w:rPr>
        <w:t xml:space="preserve">, de rubro: </w:t>
      </w:r>
      <w:r w:rsidR="00A10E36" w:rsidRPr="00A10E36">
        <w:rPr>
          <w:rFonts w:ascii="Arial" w:hAnsi="Arial" w:cs="Arial"/>
          <w:b/>
          <w:sz w:val="26"/>
          <w:szCs w:val="26"/>
        </w:rPr>
        <w:t>“TRIBUNAL ELECTORAL DEL PODER JUDICIAL DE LA FEDERACIÓN. CARECE DE COMPETENCIA PARA PRONUNCIARSE SOBRE INCONSTITUCIONALIDAD DE LEYES</w:t>
      </w:r>
      <w:r w:rsidR="00A10E36" w:rsidRPr="00A10E36">
        <w:rPr>
          <w:rFonts w:ascii="Arial" w:hAnsi="Arial" w:cs="Arial"/>
          <w:sz w:val="26"/>
          <w:szCs w:val="26"/>
        </w:rPr>
        <w:t>.</w:t>
      </w:r>
    </w:p>
    <w:p w:rsidR="00C6348D" w:rsidRPr="003375CC" w:rsidRDefault="00C6348D" w:rsidP="00A10E36">
      <w:pPr>
        <w:spacing w:before="360" w:after="360" w:line="360" w:lineRule="auto"/>
        <w:ind w:firstLine="1418"/>
        <w:jc w:val="both"/>
        <w:rPr>
          <w:rFonts w:ascii="Arial" w:hAnsi="Arial" w:cs="Arial"/>
          <w:sz w:val="28"/>
          <w:szCs w:val="28"/>
        </w:rPr>
      </w:pPr>
      <w:r>
        <w:rPr>
          <w:rFonts w:ascii="Arial" w:hAnsi="Arial" w:cs="Arial"/>
          <w:sz w:val="28"/>
          <w:szCs w:val="28"/>
        </w:rPr>
        <w:t xml:space="preserve">Una vez que fue alcanzado el mayor beneficio pretendido por los recurrentes, resulta innecesario analizar el resto de los argumentos formulados, por lo que no se </w:t>
      </w:r>
      <w:r w:rsidR="003375CC">
        <w:rPr>
          <w:rFonts w:ascii="Arial" w:hAnsi="Arial" w:cs="Arial"/>
          <w:sz w:val="28"/>
          <w:szCs w:val="28"/>
        </w:rPr>
        <w:t>procederá a su</w:t>
      </w:r>
      <w:r>
        <w:rPr>
          <w:rFonts w:ascii="Arial" w:hAnsi="Arial" w:cs="Arial"/>
          <w:sz w:val="28"/>
          <w:szCs w:val="28"/>
        </w:rPr>
        <w:t xml:space="preserve"> estudio.</w:t>
      </w:r>
    </w:p>
    <w:p w:rsidR="001A6665" w:rsidRDefault="006D26E8" w:rsidP="006D26E8">
      <w:pPr>
        <w:pStyle w:val="Prrafosentencia0"/>
      </w:pPr>
      <w:r>
        <w:rPr>
          <w:b/>
        </w:rPr>
        <w:t>6</w:t>
      </w:r>
      <w:r w:rsidR="001A6665" w:rsidRPr="00120CE0">
        <w:rPr>
          <w:b/>
        </w:rPr>
        <w:t xml:space="preserve">. </w:t>
      </w:r>
      <w:r w:rsidR="00626EA4" w:rsidRPr="00120CE0">
        <w:rPr>
          <w:b/>
        </w:rPr>
        <w:t>Decisión y e</w:t>
      </w:r>
      <w:r w:rsidR="001A6665" w:rsidRPr="00120CE0">
        <w:rPr>
          <w:b/>
        </w:rPr>
        <w:t>fectos de la sentencia</w:t>
      </w:r>
      <w:r w:rsidR="00626EA4" w:rsidRPr="00120CE0">
        <w:rPr>
          <w:b/>
        </w:rPr>
        <w:t>.</w:t>
      </w:r>
      <w:r w:rsidR="00626EA4" w:rsidRPr="00120CE0">
        <w:t xml:space="preserve"> </w:t>
      </w:r>
      <w:r w:rsidR="00EB0796">
        <w:t>Por los motivos antes expuestos</w:t>
      </w:r>
      <w:r w:rsidR="00073201">
        <w:t xml:space="preserve">, </w:t>
      </w:r>
      <w:r w:rsidR="00EB0796">
        <w:t xml:space="preserve">se </w:t>
      </w:r>
      <w:r w:rsidR="00EB0796" w:rsidRPr="00073201">
        <w:rPr>
          <w:b/>
        </w:rPr>
        <w:t>revoca</w:t>
      </w:r>
      <w:r w:rsidR="00EB0796">
        <w:t xml:space="preserve"> el Acuerdo INE/CG281/2018</w:t>
      </w:r>
      <w:r w:rsidR="000A66EF">
        <w:t xml:space="preserve"> para los siguientes efectos:</w:t>
      </w:r>
    </w:p>
    <w:p w:rsidR="00FB1090" w:rsidRDefault="000A66EF" w:rsidP="006D26E8">
      <w:pPr>
        <w:pStyle w:val="Prrafosentencia0"/>
      </w:pPr>
      <w:r w:rsidRPr="00FB1090">
        <w:rPr>
          <w:b/>
        </w:rPr>
        <w:t>a.</w:t>
      </w:r>
      <w:r>
        <w:t xml:space="preserve"> Se </w:t>
      </w:r>
      <w:r w:rsidR="00073201">
        <w:t xml:space="preserve">inaplica el artículo 399 de la Ley General de Instituciones y Procedimientos Electorales </w:t>
      </w:r>
      <w:r w:rsidR="0050370C" w:rsidRPr="00C86423">
        <w:t xml:space="preserve">en la porción normativa que establece que </w:t>
      </w:r>
      <w:r w:rsidR="0050370C">
        <w:t xml:space="preserve">el financiamiento privado que reciban los candidatos independientes </w:t>
      </w:r>
      <w:r w:rsidR="0050370C" w:rsidRPr="0050370C">
        <w:rPr>
          <w:i/>
        </w:rPr>
        <w:t>“no podrá rebasar en ningún caso, el 10% del tope de gasto para la elección de que se trate”</w:t>
      </w:r>
      <w:r w:rsidR="0050370C">
        <w:t xml:space="preserve"> </w:t>
      </w:r>
      <w:r w:rsidR="00073201">
        <w:t>y, en consecuencia</w:t>
      </w:r>
      <w:r w:rsidR="007757B5">
        <w:t xml:space="preserve">, se </w:t>
      </w:r>
      <w:r>
        <w:t xml:space="preserve">ordena al Consejo General emitir un nuevo acuerdo en el que </w:t>
      </w:r>
      <w:r w:rsidR="001A7E16">
        <w:t xml:space="preserve">se determinen límites de financiamiento privado a </w:t>
      </w:r>
      <w:r w:rsidR="001C7614">
        <w:t xml:space="preserve">todas </w:t>
      </w:r>
      <w:r w:rsidR="001A7E16">
        <w:t>las candidaturas independientes</w:t>
      </w:r>
      <w:r w:rsidR="00186559">
        <w:t xml:space="preserve"> </w:t>
      </w:r>
      <w:r w:rsidR="001C7614">
        <w:t xml:space="preserve">involucradas en el proceso electoral federal 2017-2018, </w:t>
      </w:r>
      <w:r w:rsidR="00FB1090">
        <w:t xml:space="preserve">que </w:t>
      </w:r>
      <w:r w:rsidR="001C7614">
        <w:t>les permitan</w:t>
      </w:r>
      <w:r w:rsidR="00186559">
        <w:t xml:space="preserve"> alcanzar los topes de gastos de campaña fijados en el Acuerdo INE/</w:t>
      </w:r>
      <w:r w:rsidR="00FB1090" w:rsidRPr="00120CE0">
        <w:t>CG505/2017</w:t>
      </w:r>
      <w:r w:rsidR="00FB1090">
        <w:t>.</w:t>
      </w:r>
    </w:p>
    <w:p w:rsidR="000A66EF" w:rsidRDefault="00FB1090" w:rsidP="008C4284">
      <w:pPr>
        <w:pStyle w:val="Prrafosentencia0"/>
      </w:pPr>
      <w:r w:rsidRPr="00FB1090">
        <w:rPr>
          <w:b/>
        </w:rPr>
        <w:t>b.</w:t>
      </w:r>
      <w:r>
        <w:t xml:space="preserve"> Al fijar los montos correspondientes al límite de financiamiento privado que puedan recibir, se deberá considerar el </w:t>
      </w:r>
      <w:r w:rsidR="00C84175">
        <w:t>financiamiento público</w:t>
      </w:r>
      <w:r>
        <w:t xml:space="preserve"> para la obtención del voto</w:t>
      </w:r>
      <w:r w:rsidR="009B391D">
        <w:t xml:space="preserve"> al cual tienen derecho</w:t>
      </w:r>
      <w:r w:rsidR="00D84077">
        <w:t xml:space="preserve">, </w:t>
      </w:r>
      <w:r w:rsidR="00936052">
        <w:t>a fin de que</w:t>
      </w:r>
      <w:r w:rsidR="00D84077">
        <w:t xml:space="preserve"> en ningún caso se </w:t>
      </w:r>
      <w:r w:rsidR="00936052">
        <w:t xml:space="preserve">determine </w:t>
      </w:r>
      <w:r w:rsidR="00D84077">
        <w:t xml:space="preserve">que el </w:t>
      </w:r>
      <w:r w:rsidR="00936052">
        <w:t>límite de financiamiento privado sea igual al monto total del tope de gastos de campaña.</w:t>
      </w:r>
    </w:p>
    <w:p w:rsidR="00C62F88" w:rsidRDefault="00D42E75" w:rsidP="005F3E32">
      <w:pPr>
        <w:pStyle w:val="Prrafosentencia0"/>
      </w:pPr>
      <w:r w:rsidRPr="00D42E75">
        <w:rPr>
          <w:b/>
        </w:rPr>
        <w:t xml:space="preserve">c. </w:t>
      </w:r>
      <w:r w:rsidR="006679FD">
        <w:t>Los</w:t>
      </w:r>
      <w:r w:rsidR="00D47363" w:rsidRPr="009A11B5">
        <w:t xml:space="preserve"> límites </w:t>
      </w:r>
      <w:r w:rsidR="00C62F88">
        <w:t>de</w:t>
      </w:r>
      <w:r w:rsidR="00D47363" w:rsidRPr="009A11B5">
        <w:t xml:space="preserve"> aportaciones individuales que </w:t>
      </w:r>
      <w:r w:rsidR="006679FD" w:rsidRPr="009A11B5">
        <w:t>pued</w:t>
      </w:r>
      <w:r w:rsidR="006679FD">
        <w:t>e</w:t>
      </w:r>
      <w:r w:rsidR="006679FD" w:rsidRPr="009A11B5">
        <w:t xml:space="preserve">n </w:t>
      </w:r>
      <w:r w:rsidR="00D47363" w:rsidRPr="009A11B5">
        <w:t xml:space="preserve">realizar </w:t>
      </w:r>
      <w:r w:rsidR="006679FD">
        <w:t>a las candidat</w:t>
      </w:r>
      <w:r w:rsidR="00C62F88">
        <w:t>ura</w:t>
      </w:r>
      <w:r w:rsidR="006679FD">
        <w:t xml:space="preserve">s independientes </w:t>
      </w:r>
      <w:r w:rsidR="00D47363" w:rsidRPr="009A11B5">
        <w:t xml:space="preserve">los simpatizantes, </w:t>
      </w:r>
      <w:r w:rsidR="00C62F88">
        <w:t xml:space="preserve">corresponde a un monto equivalente al </w:t>
      </w:r>
      <w:r w:rsidR="00C62F88" w:rsidRPr="006679FD">
        <w:t xml:space="preserve">0.5 por ciento del actual tope de gastos de </w:t>
      </w:r>
      <w:r w:rsidR="00C62F88">
        <w:t xml:space="preserve">campaña de </w:t>
      </w:r>
      <w:r w:rsidR="00C62F88" w:rsidRPr="006679FD">
        <w:t>la elección actual de que se trate</w:t>
      </w:r>
      <w:r w:rsidR="00C62F88">
        <w:t>.</w:t>
      </w:r>
    </w:p>
    <w:p w:rsidR="00D47363" w:rsidRPr="00D47363" w:rsidRDefault="00C62F88" w:rsidP="005F3E32">
      <w:pPr>
        <w:pStyle w:val="Prrafosentencia0"/>
      </w:pPr>
      <w:r w:rsidRPr="004F6A37">
        <w:rPr>
          <w:b/>
        </w:rPr>
        <w:t>d.</w:t>
      </w:r>
      <w:r>
        <w:t xml:space="preserve"> Los</w:t>
      </w:r>
      <w:r w:rsidRPr="009A11B5">
        <w:t xml:space="preserve"> límites </w:t>
      </w:r>
      <w:r>
        <w:t>de</w:t>
      </w:r>
      <w:r w:rsidRPr="009A11B5">
        <w:t xml:space="preserve"> aportaciones individuales que pued</w:t>
      </w:r>
      <w:r>
        <w:t>e</w:t>
      </w:r>
      <w:r w:rsidRPr="009A11B5">
        <w:t>n realizar l</w:t>
      </w:r>
      <w:r>
        <w:t>a</w:t>
      </w:r>
      <w:r w:rsidRPr="009A11B5">
        <w:t>s candidat</w:t>
      </w:r>
      <w:r>
        <w:t>as</w:t>
      </w:r>
      <w:r w:rsidRPr="009A11B5">
        <w:t xml:space="preserve"> </w:t>
      </w:r>
      <w:r>
        <w:t>y candidatos independientes a sus campañas</w:t>
      </w:r>
      <w:r w:rsidRPr="009A11B5">
        <w:t xml:space="preserve">, </w:t>
      </w:r>
      <w:r>
        <w:t>corresponde a un monto equivalente al 1</w:t>
      </w:r>
      <w:r w:rsidRPr="006679FD">
        <w:t xml:space="preserve">0 por ciento del actual tope de gastos de </w:t>
      </w:r>
      <w:r>
        <w:t xml:space="preserve">campaña de </w:t>
      </w:r>
      <w:r w:rsidRPr="006679FD">
        <w:t>la elección de que se trate</w:t>
      </w:r>
      <w:r w:rsidR="00D47363" w:rsidRPr="009A11B5">
        <w:t>.</w:t>
      </w:r>
    </w:p>
    <w:p w:rsidR="00C84175" w:rsidRDefault="00C62F88" w:rsidP="006D26E8">
      <w:pPr>
        <w:pStyle w:val="Prrafosentencia0"/>
      </w:pPr>
      <w:r>
        <w:rPr>
          <w:b/>
        </w:rPr>
        <w:t>e</w:t>
      </w:r>
      <w:r w:rsidR="00D47363" w:rsidRPr="00D47363">
        <w:rPr>
          <w:b/>
        </w:rPr>
        <w:t xml:space="preserve">. </w:t>
      </w:r>
      <w:r w:rsidR="005251C5" w:rsidRPr="005251C5">
        <w:t>Se</w:t>
      </w:r>
      <w:r w:rsidR="005251C5">
        <w:rPr>
          <w:b/>
        </w:rPr>
        <w:t xml:space="preserve"> </w:t>
      </w:r>
      <w:r w:rsidR="005251C5">
        <w:t xml:space="preserve">ordena a la autoridad responsable cumplir la presente ejecutoria en un plazo de </w:t>
      </w:r>
      <w:r w:rsidR="005571CE">
        <w:t>setenta y dos</w:t>
      </w:r>
      <w:r w:rsidR="005251C5">
        <w:t xml:space="preserve"> horas a partir de su notificación.</w:t>
      </w:r>
    </w:p>
    <w:p w:rsidR="005251C5" w:rsidRDefault="001F6E25" w:rsidP="006D26E8">
      <w:pPr>
        <w:pStyle w:val="Prrafosentencia0"/>
      </w:pPr>
      <w:r>
        <w:rPr>
          <w:b/>
        </w:rPr>
        <w:t>f</w:t>
      </w:r>
      <w:r w:rsidR="005251C5">
        <w:rPr>
          <w:b/>
        </w:rPr>
        <w:t xml:space="preserve">. </w:t>
      </w:r>
      <w:r w:rsidR="005251C5">
        <w:t xml:space="preserve">Una vez emitido el nuevo </w:t>
      </w:r>
      <w:r w:rsidR="001C7614">
        <w:t>Acuerdo</w:t>
      </w:r>
      <w:r w:rsidR="005251C5">
        <w:t xml:space="preserve">, se deberá informar a esta Sala Superior sobre el cumplimiento dentro de las </w:t>
      </w:r>
      <w:r w:rsidR="005571CE">
        <w:t>veinticuatro</w:t>
      </w:r>
      <w:r w:rsidR="005251C5">
        <w:t xml:space="preserve"> horas siguientes.</w:t>
      </w:r>
    </w:p>
    <w:p w:rsidR="005571CE" w:rsidRPr="005251C5" w:rsidRDefault="005571CE" w:rsidP="00001429">
      <w:pPr>
        <w:pStyle w:val="Prrafosentencia0"/>
      </w:pPr>
      <w:r>
        <w:t>Por lo antes expuesto y fundado se</w:t>
      </w:r>
    </w:p>
    <w:p w:rsidR="00402C79" w:rsidRPr="00FB1090" w:rsidRDefault="00402C79" w:rsidP="00001429">
      <w:pPr>
        <w:pStyle w:val="Estilo1"/>
        <w:spacing w:before="360" w:after="360"/>
        <w:ind w:firstLine="0"/>
        <w:jc w:val="center"/>
      </w:pPr>
      <w:r w:rsidRPr="00FB1090">
        <w:t>R E S U E L V E</w:t>
      </w:r>
    </w:p>
    <w:p w:rsidR="002C60C4" w:rsidRPr="00981F14" w:rsidRDefault="002C60C4" w:rsidP="002C60C4">
      <w:pPr>
        <w:pStyle w:val="Prrafosentencia0"/>
      </w:pPr>
      <w:r w:rsidRPr="005571CE">
        <w:rPr>
          <w:b/>
        </w:rPr>
        <w:t xml:space="preserve">PRIMERO. </w:t>
      </w:r>
      <w:r>
        <w:t xml:space="preserve">Se </w:t>
      </w:r>
      <w:r w:rsidRPr="00D2791A">
        <w:rPr>
          <w:b/>
        </w:rPr>
        <w:t>acumulan</w:t>
      </w:r>
      <w:r>
        <w:t xml:space="preserve"> los juicios ciudadanos </w:t>
      </w:r>
      <w:r w:rsidRPr="00981F14">
        <w:t>SUP-JDC-227/2018, SUP-JDC-228/2018 y SUP-JDC-240/2018</w:t>
      </w:r>
      <w:r>
        <w:rPr>
          <w:b/>
        </w:rPr>
        <w:t xml:space="preserve"> </w:t>
      </w:r>
      <w:r w:rsidRPr="002C60C4">
        <w:t xml:space="preserve">al </w:t>
      </w:r>
      <w:r w:rsidRPr="00981F14">
        <w:t>SUP-JDC-222/2018</w:t>
      </w:r>
      <w:r>
        <w:t>.</w:t>
      </w:r>
    </w:p>
    <w:p w:rsidR="005571CE" w:rsidRDefault="00981F14" w:rsidP="00001429">
      <w:pPr>
        <w:pStyle w:val="Prrafosentencia0"/>
      </w:pPr>
      <w:r w:rsidRPr="005571CE">
        <w:rPr>
          <w:b/>
        </w:rPr>
        <w:t xml:space="preserve">SEGUNDO. </w:t>
      </w:r>
      <w:r w:rsidR="005571CE" w:rsidRPr="005571CE">
        <w:t xml:space="preserve">Se </w:t>
      </w:r>
      <w:r w:rsidR="005571CE" w:rsidRPr="005571CE">
        <w:rPr>
          <w:b/>
        </w:rPr>
        <w:t>revoca</w:t>
      </w:r>
      <w:r w:rsidR="005571CE" w:rsidRPr="005571CE">
        <w:t xml:space="preserve"> </w:t>
      </w:r>
      <w:r w:rsidR="00CD3910">
        <w:t>el Acuerdo</w:t>
      </w:r>
      <w:r w:rsidR="005571CE" w:rsidRPr="005571CE">
        <w:t xml:space="preserve"> impugnad</w:t>
      </w:r>
      <w:r w:rsidR="00CD3910">
        <w:t>o</w:t>
      </w:r>
      <w:r w:rsidR="005571CE" w:rsidRPr="005571CE">
        <w:t xml:space="preserve"> para los efectos precisados en la parte consider</w:t>
      </w:r>
      <w:r w:rsidR="005571CE">
        <w:t>ativa de la presente sentencia.</w:t>
      </w:r>
    </w:p>
    <w:p w:rsidR="00B56121" w:rsidRDefault="00981F14" w:rsidP="00001429">
      <w:pPr>
        <w:pStyle w:val="Prrafosentencia0"/>
        <w:rPr>
          <w:b/>
        </w:rPr>
      </w:pPr>
      <w:r>
        <w:rPr>
          <w:b/>
        </w:rPr>
        <w:t xml:space="preserve">TERCERO. </w:t>
      </w:r>
      <w:r w:rsidR="00B56121" w:rsidRPr="00C86423">
        <w:t xml:space="preserve">Se declara la </w:t>
      </w:r>
      <w:r w:rsidR="00B56121" w:rsidRPr="005E56A8">
        <w:rPr>
          <w:b/>
        </w:rPr>
        <w:t>inaplicación</w:t>
      </w:r>
      <w:r w:rsidR="00B56121" w:rsidRPr="00C86423">
        <w:t xml:space="preserve"> del </w:t>
      </w:r>
      <w:r w:rsidR="00B56121">
        <w:t xml:space="preserve">artículo 399 de la Ley General </w:t>
      </w:r>
      <w:r w:rsidR="00B56121" w:rsidRPr="00C86423">
        <w:t xml:space="preserve">de Instituciones y Procesos Electorales, en la porción normativa que establece que </w:t>
      </w:r>
      <w:r w:rsidR="00B56121">
        <w:t xml:space="preserve">el financiamiento privado que reciban los candidatos independientes </w:t>
      </w:r>
      <w:r w:rsidR="00B56121" w:rsidRPr="0050370C">
        <w:rPr>
          <w:i/>
        </w:rPr>
        <w:t>“no podrá rebasar en ningún caso, el 10% del tope de gasto para la elección de que se trate”</w:t>
      </w:r>
      <w:r w:rsidR="00B56121" w:rsidRPr="00C86423">
        <w:t>.</w:t>
      </w:r>
    </w:p>
    <w:p w:rsidR="005571CE" w:rsidRDefault="00981F14" w:rsidP="00001429">
      <w:pPr>
        <w:pStyle w:val="Prrafosentencia0"/>
        <w:rPr>
          <w:b/>
        </w:rPr>
      </w:pPr>
      <w:r>
        <w:rPr>
          <w:b/>
        </w:rPr>
        <w:t>CUARTO</w:t>
      </w:r>
      <w:r w:rsidR="00B56121">
        <w:rPr>
          <w:b/>
        </w:rPr>
        <w:t xml:space="preserve">. </w:t>
      </w:r>
      <w:r w:rsidR="005571CE" w:rsidRPr="005571CE">
        <w:t xml:space="preserve">Se ordena dar vista a la Suprema Corte de Justicia de la Nación con copia certificada de la presente ejecutoria, de conformidad con lo previsto en el artículo 99, párrafo sexto de la Constitución Política de los Estados Unidos Mexicanos, respecto de la inaplicación de lo previsto en </w:t>
      </w:r>
      <w:r w:rsidR="005571CE">
        <w:t xml:space="preserve">el </w:t>
      </w:r>
      <w:r w:rsidR="005571CE" w:rsidRPr="005571CE">
        <w:t xml:space="preserve">artículo </w:t>
      </w:r>
      <w:r w:rsidR="005571CE">
        <w:t>399 de la Ley General de Instituciones y Procedimientos Electorales.</w:t>
      </w:r>
    </w:p>
    <w:p w:rsidR="00402C79" w:rsidRPr="00120CE0" w:rsidRDefault="00402C79" w:rsidP="005571CE">
      <w:pPr>
        <w:pStyle w:val="Prrafosentencia0"/>
      </w:pPr>
      <w:r w:rsidRPr="00120CE0">
        <w:rPr>
          <w:b/>
        </w:rPr>
        <w:t xml:space="preserve">Notifíquese </w:t>
      </w:r>
      <w:r w:rsidRPr="00120CE0">
        <w:t xml:space="preserve">como en Derecho corresponda. </w:t>
      </w:r>
    </w:p>
    <w:p w:rsidR="00402C79" w:rsidRPr="00120CE0" w:rsidRDefault="00402C79" w:rsidP="006D26E8">
      <w:pPr>
        <w:pStyle w:val="Prrafosentencia0"/>
      </w:pPr>
      <w:r w:rsidRPr="00120CE0">
        <w:t>En su oportunidad, devuélvanse las constancias atinentes y archívese el presente asunto como definitivamente concluido.</w:t>
      </w:r>
    </w:p>
    <w:p w:rsidR="00402C79" w:rsidRPr="00120CE0" w:rsidRDefault="00402C79" w:rsidP="006D26E8">
      <w:pPr>
        <w:pStyle w:val="Prrafosentencia0"/>
        <w:rPr>
          <w:lang w:eastAsia="es-MX"/>
        </w:rPr>
      </w:pPr>
      <w:r w:rsidRPr="00120CE0">
        <w:rPr>
          <w:lang w:eastAsia="es-MX"/>
        </w:rPr>
        <w:t xml:space="preserve">Así, por </w:t>
      </w:r>
      <w:r w:rsidR="007C7A19">
        <w:rPr>
          <w:b/>
          <w:lang w:eastAsia="es-MX"/>
        </w:rPr>
        <w:t>unanimidad</w:t>
      </w:r>
      <w:r w:rsidRPr="00120CE0">
        <w:rPr>
          <w:lang w:eastAsia="es-MX"/>
        </w:rPr>
        <w:t xml:space="preserve"> de votos</w:t>
      </w:r>
      <w:r w:rsidR="00817E77" w:rsidRPr="00120CE0">
        <w:rPr>
          <w:lang w:eastAsia="es-MX"/>
        </w:rPr>
        <w:t>, lo resolvieron la</w:t>
      </w:r>
      <w:r w:rsidR="00DF5112">
        <w:rPr>
          <w:lang w:eastAsia="es-MX"/>
        </w:rPr>
        <w:t>s</w:t>
      </w:r>
      <w:r w:rsidR="00817E77" w:rsidRPr="00120CE0">
        <w:rPr>
          <w:lang w:eastAsia="es-MX"/>
        </w:rPr>
        <w:t xml:space="preserve"> Magistrada</w:t>
      </w:r>
      <w:r w:rsidR="00DF5112">
        <w:rPr>
          <w:lang w:eastAsia="es-MX"/>
        </w:rPr>
        <w:t>s</w:t>
      </w:r>
      <w:r w:rsidRPr="00120CE0">
        <w:rPr>
          <w:lang w:eastAsia="es-MX"/>
        </w:rPr>
        <w:t xml:space="preserve"> y los Magistrados que integran la Sala Superior del Tribunal Electoral del Poder Judicial de la Federación, </w:t>
      </w:r>
      <w:bookmarkStart w:id="15" w:name="_GoBack"/>
      <w:bookmarkEnd w:id="15"/>
      <w:r w:rsidRPr="00120CE0">
        <w:rPr>
          <w:lang w:eastAsia="es-MX"/>
        </w:rPr>
        <w:t xml:space="preserve">ante </w:t>
      </w:r>
      <w:r w:rsidR="003D751F">
        <w:rPr>
          <w:lang w:eastAsia="es-MX"/>
        </w:rPr>
        <w:t>el</w:t>
      </w:r>
      <w:r w:rsidRPr="00120CE0">
        <w:rPr>
          <w:lang w:eastAsia="es-MX"/>
        </w:rPr>
        <w:t xml:space="preserve"> S</w:t>
      </w:r>
      <w:r w:rsidR="003D751F">
        <w:rPr>
          <w:lang w:eastAsia="es-MX"/>
        </w:rPr>
        <w:t>ubsecretario</w:t>
      </w:r>
      <w:r w:rsidRPr="00120CE0">
        <w:rPr>
          <w:lang w:eastAsia="es-MX"/>
        </w:rPr>
        <w:t xml:space="preserve"> General de Acuerdos, qui</w:t>
      </w:r>
      <w:r w:rsidR="003D751F">
        <w:rPr>
          <w:lang w:eastAsia="es-MX"/>
        </w:rPr>
        <w:t>e</w:t>
      </w:r>
      <w:r w:rsidRPr="00120CE0">
        <w:rPr>
          <w:lang w:eastAsia="es-MX"/>
        </w:rPr>
        <w:t xml:space="preserve">n da fe. </w:t>
      </w:r>
    </w:p>
    <w:p w:rsidR="00402C79" w:rsidRPr="00120CE0" w:rsidRDefault="00402C79" w:rsidP="00120CE0">
      <w:pPr>
        <w:pStyle w:val="Textoindependienteprimerasangra"/>
        <w:spacing w:after="0" w:line="360" w:lineRule="auto"/>
        <w:ind w:firstLine="0"/>
        <w:jc w:val="both"/>
        <w:rPr>
          <w:rFonts w:ascii="Arial" w:eastAsia="Calibri" w:hAnsi="Arial" w:cs="Arial"/>
          <w:sz w:val="28"/>
          <w:szCs w:val="28"/>
          <w:lang w:eastAsia="es-MX"/>
        </w:rPr>
      </w:pPr>
    </w:p>
    <w:tbl>
      <w:tblPr>
        <w:tblW w:w="8640" w:type="dxa"/>
        <w:tblLayout w:type="fixed"/>
        <w:tblCellMar>
          <w:left w:w="70" w:type="dxa"/>
          <w:right w:w="70" w:type="dxa"/>
        </w:tblCellMar>
        <w:tblLook w:val="04A0" w:firstRow="1" w:lastRow="0" w:firstColumn="1" w:lastColumn="0" w:noHBand="0" w:noVBand="1"/>
      </w:tblPr>
      <w:tblGrid>
        <w:gridCol w:w="4250"/>
        <w:gridCol w:w="4390"/>
      </w:tblGrid>
      <w:tr w:rsidR="0030453D" w:rsidRPr="00A25D05" w:rsidTr="0049332F">
        <w:trPr>
          <w:cantSplit/>
        </w:trPr>
        <w:tc>
          <w:tcPr>
            <w:tcW w:w="8640" w:type="dxa"/>
            <w:gridSpan w:val="2"/>
          </w:tcPr>
          <w:bookmarkEnd w:id="0"/>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MAGISTRADA PRESIDENTA</w:t>
            </w: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JANINE M. OTÁLORA MALASSIS</w:t>
            </w:r>
          </w:p>
        </w:tc>
      </w:tr>
      <w:tr w:rsidR="0030453D" w:rsidRPr="00A25D05" w:rsidTr="0049332F">
        <w:tc>
          <w:tcPr>
            <w:tcW w:w="4250" w:type="dxa"/>
          </w:tcPr>
          <w:p w:rsidR="0030453D" w:rsidRPr="00A25D05" w:rsidRDefault="0030453D" w:rsidP="0049332F">
            <w:pPr>
              <w:spacing w:after="0" w:line="240" w:lineRule="auto"/>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MAGISTRADO</w:t>
            </w: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FELIPE DE LA MATA PIZAÑA</w:t>
            </w:r>
          </w:p>
        </w:tc>
        <w:tc>
          <w:tcPr>
            <w:tcW w:w="4390" w:type="dxa"/>
          </w:tcPr>
          <w:p w:rsidR="0030453D" w:rsidRPr="00A25D05" w:rsidRDefault="0030453D" w:rsidP="0049332F">
            <w:pPr>
              <w:spacing w:after="0" w:line="240" w:lineRule="auto"/>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MAGISTRADO</w:t>
            </w: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FELIPE ALFREDO FUENTES BARRERA</w:t>
            </w:r>
          </w:p>
        </w:tc>
      </w:tr>
      <w:tr w:rsidR="0030453D" w:rsidRPr="00A25D05" w:rsidTr="0049332F">
        <w:trPr>
          <w:cantSplit/>
        </w:trPr>
        <w:tc>
          <w:tcPr>
            <w:tcW w:w="4250" w:type="dxa"/>
          </w:tcPr>
          <w:p w:rsidR="0030453D" w:rsidRPr="00A25D05" w:rsidRDefault="0030453D" w:rsidP="0049332F">
            <w:pPr>
              <w:spacing w:after="0" w:line="240" w:lineRule="auto"/>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MAGISTRADO</w:t>
            </w: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INDALFER INFANTE GONZALES</w:t>
            </w:r>
          </w:p>
        </w:tc>
        <w:tc>
          <w:tcPr>
            <w:tcW w:w="4390" w:type="dxa"/>
          </w:tcPr>
          <w:p w:rsidR="0030453D" w:rsidRPr="00A25D05" w:rsidRDefault="0030453D" w:rsidP="0049332F">
            <w:pPr>
              <w:spacing w:after="0" w:line="240" w:lineRule="auto"/>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MAGISTRADO</w:t>
            </w: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REYES RODRÍGUEZ MONDRAGÓN</w:t>
            </w:r>
          </w:p>
        </w:tc>
      </w:tr>
      <w:tr w:rsidR="0030453D" w:rsidRPr="00A25D05" w:rsidTr="0049332F">
        <w:trPr>
          <w:cantSplit/>
          <w:trHeight w:val="1236"/>
        </w:trPr>
        <w:tc>
          <w:tcPr>
            <w:tcW w:w="4250" w:type="dxa"/>
          </w:tcPr>
          <w:p w:rsidR="0030453D" w:rsidRPr="00A25D05" w:rsidRDefault="0030453D" w:rsidP="0049332F">
            <w:pPr>
              <w:spacing w:after="0" w:line="240" w:lineRule="auto"/>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br w:type="page"/>
            </w:r>
            <w:r w:rsidRPr="00A25D05">
              <w:rPr>
                <w:rFonts w:ascii="Arial" w:hAnsi="Arial" w:cs="Arial"/>
                <w:b/>
                <w:bCs/>
                <w:sz w:val="28"/>
                <w:szCs w:val="28"/>
              </w:rPr>
              <w:br w:type="page"/>
            </w:r>
            <w:r w:rsidRPr="00A25D05">
              <w:rPr>
                <w:rFonts w:ascii="Arial" w:hAnsi="Arial" w:cs="Arial"/>
                <w:b/>
                <w:bCs/>
                <w:sz w:val="28"/>
                <w:szCs w:val="28"/>
              </w:rPr>
              <w:br w:type="page"/>
            </w:r>
            <w:r w:rsidRPr="00A25D05">
              <w:rPr>
                <w:rFonts w:ascii="Arial" w:hAnsi="Arial" w:cs="Arial"/>
                <w:b/>
                <w:bCs/>
                <w:sz w:val="28"/>
                <w:szCs w:val="28"/>
              </w:rPr>
              <w:br w:type="page"/>
              <w:t>MAGISTRADA</w:t>
            </w: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MÓNICA ARALÍ SOTO FREGOSO</w:t>
            </w:r>
          </w:p>
        </w:tc>
        <w:tc>
          <w:tcPr>
            <w:tcW w:w="4390" w:type="dxa"/>
          </w:tcPr>
          <w:p w:rsidR="0030453D" w:rsidRPr="00A25D05" w:rsidRDefault="0030453D" w:rsidP="0049332F">
            <w:pPr>
              <w:spacing w:after="0" w:line="240" w:lineRule="auto"/>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MAGISTRADO</w:t>
            </w: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r w:rsidRPr="00A25D05">
              <w:rPr>
                <w:rFonts w:ascii="Arial" w:hAnsi="Arial" w:cs="Arial"/>
                <w:b/>
                <w:bCs/>
                <w:sz w:val="28"/>
                <w:szCs w:val="28"/>
              </w:rPr>
              <w:t>JOSÉ LUIS VARGAS VALDEZ</w:t>
            </w:r>
          </w:p>
        </w:tc>
      </w:tr>
      <w:tr w:rsidR="0030453D" w:rsidRPr="00A25D05" w:rsidTr="0049332F">
        <w:trPr>
          <w:cantSplit/>
        </w:trPr>
        <w:tc>
          <w:tcPr>
            <w:tcW w:w="8640" w:type="dxa"/>
            <w:gridSpan w:val="2"/>
          </w:tcPr>
          <w:p w:rsidR="0030453D" w:rsidRPr="00A25D05" w:rsidRDefault="0030453D" w:rsidP="0049332F">
            <w:pPr>
              <w:spacing w:after="0" w:line="240" w:lineRule="auto"/>
              <w:rPr>
                <w:rFonts w:ascii="Arial" w:hAnsi="Arial" w:cs="Arial"/>
                <w:b/>
                <w:bCs/>
                <w:sz w:val="28"/>
                <w:szCs w:val="28"/>
              </w:rPr>
            </w:pPr>
          </w:p>
          <w:p w:rsidR="0030453D" w:rsidRPr="00A25D05" w:rsidRDefault="00B12B8F" w:rsidP="0049332F">
            <w:pPr>
              <w:spacing w:after="0" w:line="240" w:lineRule="auto"/>
              <w:jc w:val="center"/>
              <w:rPr>
                <w:rFonts w:ascii="Arial" w:hAnsi="Arial" w:cs="Arial"/>
                <w:b/>
                <w:bCs/>
                <w:sz w:val="28"/>
                <w:szCs w:val="28"/>
              </w:rPr>
            </w:pPr>
            <w:r>
              <w:rPr>
                <w:rFonts w:ascii="Arial" w:hAnsi="Arial" w:cs="Arial"/>
                <w:b/>
                <w:bCs/>
                <w:sz w:val="28"/>
                <w:szCs w:val="28"/>
              </w:rPr>
              <w:t>SUB</w:t>
            </w:r>
            <w:r w:rsidR="0030453D" w:rsidRPr="00A25D05">
              <w:rPr>
                <w:rFonts w:ascii="Arial" w:hAnsi="Arial" w:cs="Arial"/>
                <w:b/>
                <w:bCs/>
                <w:sz w:val="28"/>
                <w:szCs w:val="28"/>
              </w:rPr>
              <w:t>SECRETARI</w:t>
            </w:r>
            <w:r>
              <w:rPr>
                <w:rFonts w:ascii="Arial" w:hAnsi="Arial" w:cs="Arial"/>
                <w:b/>
                <w:bCs/>
                <w:sz w:val="28"/>
                <w:szCs w:val="28"/>
              </w:rPr>
              <w:t>O</w:t>
            </w:r>
            <w:r w:rsidR="0030453D" w:rsidRPr="00A25D05">
              <w:rPr>
                <w:rFonts w:ascii="Arial" w:hAnsi="Arial" w:cs="Arial"/>
                <w:b/>
                <w:bCs/>
                <w:sz w:val="28"/>
                <w:szCs w:val="28"/>
              </w:rPr>
              <w:t xml:space="preserve"> GENERAL DE ACUERDOS</w:t>
            </w: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30453D" w:rsidP="0049332F">
            <w:pPr>
              <w:spacing w:after="0" w:line="240" w:lineRule="auto"/>
              <w:jc w:val="center"/>
              <w:rPr>
                <w:rFonts w:ascii="Arial" w:hAnsi="Arial" w:cs="Arial"/>
                <w:b/>
                <w:bCs/>
                <w:sz w:val="28"/>
                <w:szCs w:val="28"/>
              </w:rPr>
            </w:pPr>
          </w:p>
          <w:p w:rsidR="0030453D" w:rsidRPr="00A25D05" w:rsidRDefault="00EB4BE5" w:rsidP="0049332F">
            <w:pPr>
              <w:spacing w:after="0" w:line="240" w:lineRule="auto"/>
              <w:jc w:val="center"/>
              <w:rPr>
                <w:rFonts w:ascii="Arial" w:hAnsi="Arial" w:cs="Arial"/>
                <w:b/>
                <w:bCs/>
                <w:sz w:val="28"/>
                <w:szCs w:val="28"/>
              </w:rPr>
            </w:pPr>
            <w:r>
              <w:rPr>
                <w:rFonts w:ascii="Arial" w:hAnsi="Arial" w:cs="Arial"/>
                <w:b/>
                <w:bCs/>
                <w:sz w:val="28"/>
                <w:szCs w:val="28"/>
              </w:rPr>
              <w:t>RUBÉN JESÚS LARA PATRÓN</w:t>
            </w:r>
          </w:p>
        </w:tc>
      </w:tr>
    </w:tbl>
    <w:p w:rsidR="00870D61" w:rsidRPr="00120CE0" w:rsidRDefault="00870D61" w:rsidP="00120CE0">
      <w:pPr>
        <w:spacing w:after="0" w:line="360" w:lineRule="auto"/>
        <w:jc w:val="both"/>
        <w:rPr>
          <w:rFonts w:ascii="Arial" w:eastAsia="Calibri" w:hAnsi="Arial" w:cs="Arial"/>
          <w:bCs/>
          <w:sz w:val="28"/>
          <w:szCs w:val="28"/>
        </w:rPr>
      </w:pPr>
    </w:p>
    <w:sectPr w:rsidR="00870D61" w:rsidRPr="00120CE0" w:rsidSect="00D2762B">
      <w:headerReference w:type="even" r:id="rId9"/>
      <w:headerReference w:type="default" r:id="rId10"/>
      <w:footerReference w:type="even" r:id="rId11"/>
      <w:footerReference w:type="default" r:id="rId12"/>
      <w:pgSz w:w="12242" w:h="18722" w:code="14"/>
      <w:pgMar w:top="3119" w:right="1418" w:bottom="1418" w:left="2835" w:header="1985" w:footer="484" w:gutter="0"/>
      <w:paperSrc w:other="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BC3" w:rsidRDefault="002A7BC3" w:rsidP="00AB2A28">
      <w:pPr>
        <w:spacing w:after="0" w:line="240" w:lineRule="auto"/>
      </w:pPr>
      <w:r>
        <w:separator/>
      </w:r>
    </w:p>
    <w:p w:rsidR="002A7BC3" w:rsidRDefault="002A7BC3"/>
  </w:endnote>
  <w:endnote w:type="continuationSeparator" w:id="0">
    <w:p w:rsidR="002A7BC3" w:rsidRDefault="002A7BC3" w:rsidP="00AB2A28">
      <w:pPr>
        <w:spacing w:after="0" w:line="240" w:lineRule="auto"/>
      </w:pPr>
      <w:r>
        <w:continuationSeparator/>
      </w:r>
    </w:p>
    <w:p w:rsidR="002A7BC3" w:rsidRDefault="002A7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Arial (W1)">
    <w:altName w:val="Arial"/>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092932"/>
      <w:docPartObj>
        <w:docPartGallery w:val="Page Numbers (Bottom of Page)"/>
        <w:docPartUnique/>
      </w:docPartObj>
    </w:sdtPr>
    <w:sdtEndPr/>
    <w:sdtContent>
      <w:p w:rsidR="00DF5112" w:rsidRDefault="00DF5112" w:rsidP="006B56A8">
        <w:pPr>
          <w:pStyle w:val="Piedepgina"/>
          <w:jc w:val="center"/>
        </w:pPr>
        <w:r w:rsidRPr="00553CED">
          <w:rPr>
            <w:rFonts w:ascii="Univers" w:hAnsi="Univers" w:cs="Arial"/>
            <w:b/>
            <w:sz w:val="24"/>
            <w:szCs w:val="24"/>
          </w:rPr>
          <w:fldChar w:fldCharType="begin"/>
        </w:r>
        <w:r w:rsidRPr="00553CED">
          <w:rPr>
            <w:rFonts w:ascii="Univers" w:hAnsi="Univers" w:cs="Arial"/>
            <w:b/>
            <w:sz w:val="24"/>
            <w:szCs w:val="24"/>
          </w:rPr>
          <w:instrText>PAGE   \* MERGEFORMAT</w:instrText>
        </w:r>
        <w:r w:rsidRPr="00553CED">
          <w:rPr>
            <w:rFonts w:ascii="Univers" w:hAnsi="Univers" w:cs="Arial"/>
            <w:b/>
            <w:sz w:val="24"/>
            <w:szCs w:val="24"/>
          </w:rPr>
          <w:fldChar w:fldCharType="separate"/>
        </w:r>
        <w:r w:rsidR="00114C94" w:rsidRPr="00114C94">
          <w:rPr>
            <w:rFonts w:ascii="Univers" w:hAnsi="Univers" w:cs="Arial"/>
            <w:b/>
            <w:noProof/>
            <w:sz w:val="24"/>
            <w:szCs w:val="24"/>
            <w:lang w:val="es-ES"/>
          </w:rPr>
          <w:t>56</w:t>
        </w:r>
        <w:r w:rsidRPr="00553CED">
          <w:rPr>
            <w:rFonts w:ascii="Univers" w:hAnsi="Univers" w:cs="Arial"/>
            <w:b/>
            <w:sz w:val="24"/>
            <w:szCs w:val="24"/>
          </w:rPr>
          <w:fldChar w:fldCharType="end"/>
        </w:r>
      </w:p>
    </w:sdtContent>
  </w:sdt>
  <w:p w:rsidR="00DF5112" w:rsidRDefault="00DF511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Univers" w:hAnsi="Univers"/>
        <w:b/>
        <w:sz w:val="24"/>
        <w:szCs w:val="24"/>
      </w:rPr>
      <w:id w:val="-854575659"/>
      <w:docPartObj>
        <w:docPartGallery w:val="Page Numbers (Bottom of Page)"/>
        <w:docPartUnique/>
      </w:docPartObj>
    </w:sdtPr>
    <w:sdtEndPr/>
    <w:sdtContent>
      <w:p w:rsidR="00DF5112" w:rsidRPr="00553CED" w:rsidRDefault="00DF5112" w:rsidP="006B56A8">
        <w:pPr>
          <w:pStyle w:val="Piedepgina"/>
          <w:jc w:val="center"/>
          <w:rPr>
            <w:rFonts w:ascii="Univers" w:hAnsi="Univers"/>
            <w:b/>
            <w:sz w:val="24"/>
            <w:szCs w:val="24"/>
          </w:rPr>
        </w:pPr>
        <w:r w:rsidRPr="00553CED">
          <w:rPr>
            <w:rFonts w:ascii="Univers" w:hAnsi="Univers" w:cs="Arial"/>
            <w:b/>
            <w:sz w:val="24"/>
            <w:szCs w:val="24"/>
          </w:rPr>
          <w:fldChar w:fldCharType="begin"/>
        </w:r>
        <w:r w:rsidRPr="00553CED">
          <w:rPr>
            <w:rFonts w:ascii="Univers" w:hAnsi="Univers" w:cs="Arial"/>
            <w:b/>
            <w:sz w:val="24"/>
            <w:szCs w:val="24"/>
          </w:rPr>
          <w:instrText>PAGE   \* MERGEFORMAT</w:instrText>
        </w:r>
        <w:r w:rsidRPr="00553CED">
          <w:rPr>
            <w:rFonts w:ascii="Univers" w:hAnsi="Univers" w:cs="Arial"/>
            <w:b/>
            <w:sz w:val="24"/>
            <w:szCs w:val="24"/>
          </w:rPr>
          <w:fldChar w:fldCharType="separate"/>
        </w:r>
        <w:r w:rsidR="00114C94" w:rsidRPr="00114C94">
          <w:rPr>
            <w:rFonts w:ascii="Univers" w:hAnsi="Univers" w:cs="Arial"/>
            <w:b/>
            <w:noProof/>
            <w:sz w:val="24"/>
            <w:szCs w:val="24"/>
            <w:lang w:val="es-ES"/>
          </w:rPr>
          <w:t>55</w:t>
        </w:r>
        <w:r w:rsidRPr="00553CED">
          <w:rPr>
            <w:rFonts w:ascii="Univers" w:hAnsi="Univers" w:cs="Arial"/>
            <w:b/>
            <w:sz w:val="24"/>
            <w:szCs w:val="24"/>
          </w:rPr>
          <w:fldChar w:fldCharType="end"/>
        </w:r>
      </w:p>
    </w:sdtContent>
  </w:sdt>
  <w:p w:rsidR="00DF5112" w:rsidRDefault="00DF511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BC3" w:rsidRDefault="002A7BC3" w:rsidP="00AB2A28">
      <w:pPr>
        <w:spacing w:after="0" w:line="240" w:lineRule="auto"/>
      </w:pPr>
      <w:r>
        <w:separator/>
      </w:r>
    </w:p>
  </w:footnote>
  <w:footnote w:type="continuationSeparator" w:id="0">
    <w:p w:rsidR="002A7BC3" w:rsidRDefault="002A7BC3" w:rsidP="00AB2A28">
      <w:pPr>
        <w:spacing w:after="0" w:line="240" w:lineRule="auto"/>
      </w:pPr>
      <w:r>
        <w:continuationSeparator/>
      </w:r>
    </w:p>
  </w:footnote>
  <w:footnote w:id="1">
    <w:p w:rsidR="00DF5112" w:rsidRPr="00F03A13" w:rsidRDefault="00DF5112" w:rsidP="00F03A13">
      <w:pPr>
        <w:pStyle w:val="Textonotapie"/>
        <w:jc w:val="both"/>
        <w:rPr>
          <w:rFonts w:ascii="Arial" w:hAnsi="Arial" w:cs="Arial"/>
          <w:lang w:val="es-MX"/>
        </w:rPr>
      </w:pPr>
      <w:r>
        <w:rPr>
          <w:rStyle w:val="Refdenotaalpie"/>
        </w:rPr>
        <w:footnoteRef/>
      </w:r>
      <w:r>
        <w:t xml:space="preserve"> </w:t>
      </w:r>
      <w:r w:rsidRPr="00F03A13">
        <w:rPr>
          <w:rFonts w:ascii="Arial" w:hAnsi="Arial" w:cs="Arial"/>
          <w:lang w:val="es-MX"/>
        </w:rPr>
        <w:t>Todas las fechas corresponden a dos mil dieciocho.</w:t>
      </w:r>
    </w:p>
  </w:footnote>
  <w:footnote w:id="2">
    <w:p w:rsidR="00DF5112" w:rsidRPr="00F03A13" w:rsidRDefault="00DF5112" w:rsidP="00F03A13">
      <w:pPr>
        <w:pStyle w:val="Textonotapie"/>
        <w:jc w:val="both"/>
        <w:rPr>
          <w:rFonts w:ascii="Arial" w:hAnsi="Arial" w:cs="Arial"/>
          <w:lang w:val="es-MX"/>
        </w:rPr>
      </w:pPr>
      <w:r w:rsidRPr="00F03A13">
        <w:rPr>
          <w:rStyle w:val="Refdenotaalpie"/>
          <w:rFonts w:ascii="Arial" w:hAnsi="Arial" w:cs="Arial"/>
        </w:rPr>
        <w:footnoteRef/>
      </w:r>
      <w:r w:rsidRPr="00F03A13">
        <w:rPr>
          <w:rFonts w:ascii="Arial" w:hAnsi="Arial" w:cs="Arial"/>
        </w:rPr>
        <w:t xml:space="preserve"> La demanda fue presentada ante la Junta Local Ejecutiva del INE en Sinaloa.</w:t>
      </w:r>
    </w:p>
  </w:footnote>
  <w:footnote w:id="3">
    <w:p w:rsidR="00DF5112" w:rsidRPr="00F03A13" w:rsidRDefault="00DF5112" w:rsidP="00F03A13">
      <w:pPr>
        <w:pStyle w:val="Textonotapie"/>
        <w:jc w:val="both"/>
        <w:rPr>
          <w:rFonts w:ascii="Arial" w:hAnsi="Arial" w:cs="Arial"/>
          <w:lang w:val="es-MX"/>
        </w:rPr>
      </w:pPr>
      <w:r w:rsidRPr="00F03A13">
        <w:rPr>
          <w:rStyle w:val="Refdenotaalpie"/>
          <w:rFonts w:ascii="Arial" w:hAnsi="Arial" w:cs="Arial"/>
        </w:rPr>
        <w:footnoteRef/>
      </w:r>
      <w:r w:rsidRPr="00F03A13">
        <w:rPr>
          <w:rFonts w:ascii="Arial" w:hAnsi="Arial" w:cs="Arial"/>
        </w:rPr>
        <w:t xml:space="preserve"> </w:t>
      </w:r>
      <w:r w:rsidRPr="00F03A13">
        <w:rPr>
          <w:rFonts w:ascii="Arial" w:hAnsi="Arial" w:cs="Arial"/>
          <w:lang w:val="es-MX"/>
        </w:rPr>
        <w:t>La demanda fue promovida a través de su representante</w:t>
      </w:r>
      <w:r>
        <w:rPr>
          <w:rFonts w:ascii="Arial" w:hAnsi="Arial" w:cs="Arial"/>
          <w:lang w:val="es-MX"/>
        </w:rPr>
        <w:t xml:space="preserve"> legal</w:t>
      </w:r>
      <w:r w:rsidRPr="00F03A13">
        <w:rPr>
          <w:rFonts w:ascii="Arial" w:hAnsi="Arial" w:cs="Arial"/>
          <w:lang w:val="es-MX"/>
        </w:rPr>
        <w:t>.</w:t>
      </w:r>
    </w:p>
  </w:footnote>
  <w:footnote w:id="4">
    <w:p w:rsidR="00DF5112" w:rsidRPr="009B391D" w:rsidRDefault="00DF5112">
      <w:pPr>
        <w:pStyle w:val="Textonotapie"/>
      </w:pPr>
      <w:r>
        <w:rPr>
          <w:rStyle w:val="Refdenotaalpie"/>
        </w:rPr>
        <w:footnoteRef/>
      </w:r>
      <w:r>
        <w:t xml:space="preserve"> En lo sucesivo, la Ley General.</w:t>
      </w:r>
    </w:p>
  </w:footnote>
  <w:footnote w:id="5">
    <w:p w:rsidR="00DF5112" w:rsidRPr="0092546A" w:rsidRDefault="00DF5112" w:rsidP="0092546A">
      <w:pPr>
        <w:pStyle w:val="Textonotapie"/>
        <w:rPr>
          <w:lang w:val="es-MX"/>
        </w:rPr>
      </w:pPr>
      <w:r>
        <w:rPr>
          <w:rStyle w:val="Refdenotaalpie"/>
        </w:rPr>
        <w:footnoteRef/>
      </w:r>
      <w:r>
        <w:t xml:space="preserve"> </w:t>
      </w:r>
      <w:r>
        <w:rPr>
          <w:lang w:val="es-MX"/>
        </w:rPr>
        <w:t xml:space="preserve">Con esta fecha se aprobó el Acuerdo relativo al </w:t>
      </w:r>
      <w:r w:rsidRPr="0092546A">
        <w:t>SUP-JDC-240/2018</w:t>
      </w:r>
      <w:r>
        <w:t>.</w:t>
      </w:r>
    </w:p>
  </w:footnote>
  <w:footnote w:id="6">
    <w:p w:rsidR="00DF5112" w:rsidRPr="0033766A" w:rsidRDefault="00DF5112">
      <w:pPr>
        <w:pStyle w:val="Textonotapie"/>
        <w:rPr>
          <w:lang w:val="es-MX"/>
        </w:rPr>
      </w:pPr>
      <w:r>
        <w:rPr>
          <w:rStyle w:val="Refdenotaalpie"/>
        </w:rPr>
        <w:footnoteRef/>
      </w:r>
      <w:r>
        <w:t xml:space="preserve"> </w:t>
      </w:r>
      <w:r>
        <w:rPr>
          <w:lang w:val="es-MX"/>
        </w:rPr>
        <w:t>En lo sucesivo, LEGIPE.</w:t>
      </w:r>
    </w:p>
  </w:footnote>
  <w:footnote w:id="7">
    <w:p w:rsidR="00DF5112" w:rsidRPr="00411FCC" w:rsidRDefault="00DF5112">
      <w:pPr>
        <w:pStyle w:val="Textonotapie"/>
        <w:rPr>
          <w:lang w:val="es-MX"/>
        </w:rPr>
      </w:pPr>
      <w:r>
        <w:rPr>
          <w:rStyle w:val="Refdenotaalpie"/>
        </w:rPr>
        <w:footnoteRef/>
      </w:r>
      <w:r>
        <w:t xml:space="preserve"> </w:t>
      </w:r>
      <w:r>
        <w:rPr>
          <w:lang w:val="es-MX"/>
        </w:rPr>
        <w:t>En adelante, Consejo General.</w:t>
      </w:r>
    </w:p>
  </w:footnote>
  <w:footnote w:id="8">
    <w:p w:rsidR="00DF5112" w:rsidRPr="008E266D" w:rsidRDefault="00DF5112" w:rsidP="00846F36">
      <w:pPr>
        <w:pStyle w:val="Textonotapie"/>
        <w:jc w:val="both"/>
        <w:rPr>
          <w:rFonts w:ascii="Arial" w:hAnsi="Arial" w:cs="Arial"/>
          <w:lang w:val="es-MX"/>
        </w:rPr>
      </w:pPr>
      <w:r>
        <w:rPr>
          <w:rStyle w:val="Refdenotaalpie"/>
        </w:rPr>
        <w:footnoteRef/>
      </w:r>
      <w:r>
        <w:t xml:space="preserve"> </w:t>
      </w:r>
      <w:r w:rsidRPr="008E266D">
        <w:rPr>
          <w:rFonts w:ascii="Arial" w:hAnsi="Arial" w:cs="Arial"/>
          <w:lang w:val="es-MX"/>
        </w:rPr>
        <w:t>Salvo la de Manuel Jesús Clouthier Carrillo, que fue presentada ante la Junta Local Ejecutiva del INE, en Sinaloa.</w:t>
      </w:r>
    </w:p>
  </w:footnote>
  <w:footnote w:id="9">
    <w:p w:rsidR="00DF5112" w:rsidRPr="008E266D" w:rsidRDefault="00DF5112" w:rsidP="00326684">
      <w:pPr>
        <w:pStyle w:val="Textonotapie"/>
        <w:jc w:val="both"/>
        <w:rPr>
          <w:rFonts w:ascii="Arial" w:hAnsi="Arial" w:cs="Arial"/>
          <w:lang w:val="es-MX"/>
        </w:rPr>
      </w:pPr>
      <w:r w:rsidRPr="008E266D">
        <w:rPr>
          <w:rStyle w:val="Refdenotaalpie"/>
          <w:rFonts w:ascii="Arial" w:hAnsi="Arial" w:cs="Arial"/>
        </w:rPr>
        <w:footnoteRef/>
      </w:r>
      <w:r w:rsidRPr="008E266D">
        <w:rPr>
          <w:rFonts w:ascii="Arial" w:hAnsi="Arial" w:cs="Arial"/>
        </w:rPr>
        <w:t xml:space="preserve"> </w:t>
      </w:r>
      <w:r w:rsidRPr="008E266D">
        <w:rPr>
          <w:rFonts w:ascii="Arial" w:hAnsi="Arial" w:cs="Arial"/>
          <w:lang w:val="es-ES_tradnl"/>
        </w:rPr>
        <w:t>Con apoyo en la jurisprudencia 8/2001, de rubro “</w:t>
      </w:r>
      <w:r w:rsidRPr="008E266D">
        <w:rPr>
          <w:rFonts w:ascii="Arial" w:hAnsi="Arial" w:cs="Arial"/>
          <w:bCs/>
          <w:lang w:val="es-MX"/>
        </w:rPr>
        <w:t>CONOCIMIENTO DEL ACTO IMPUGNADO. SE CONSIDERA A PARTIR DE LA PRESENTACIÓN DE LA DEMANDA, SALVO PRUEBA PLENA EN CONTRARIO</w:t>
      </w:r>
      <w:r w:rsidRPr="008E266D">
        <w:rPr>
          <w:rFonts w:ascii="Arial" w:hAnsi="Arial" w:cs="Arial"/>
          <w:lang w:val="es-ES_tradnl"/>
        </w:rPr>
        <w:t>”. Disponible en: Justicia Electoral. Revista del Tribunal Electoral del Poder Judicial de la Federación, Suplemento 5, Año 2002, páginas 11 y 12.</w:t>
      </w:r>
    </w:p>
  </w:footnote>
  <w:footnote w:id="10">
    <w:p w:rsidR="00DF5112" w:rsidRPr="008E266D" w:rsidRDefault="00DF5112" w:rsidP="006D26E8">
      <w:pPr>
        <w:pStyle w:val="Textonotapie"/>
        <w:jc w:val="both"/>
        <w:rPr>
          <w:rFonts w:ascii="Arial" w:hAnsi="Arial" w:cs="Arial"/>
          <w:lang w:val="es-MX"/>
        </w:rPr>
      </w:pPr>
      <w:r w:rsidRPr="008E266D">
        <w:rPr>
          <w:rStyle w:val="Refdenotaalpie"/>
          <w:rFonts w:ascii="Arial" w:hAnsi="Arial" w:cs="Arial"/>
        </w:rPr>
        <w:footnoteRef/>
      </w:r>
      <w:r w:rsidRPr="008E266D">
        <w:rPr>
          <w:rFonts w:ascii="Arial" w:hAnsi="Arial" w:cs="Arial"/>
        </w:rPr>
        <w:t xml:space="preserve"> </w:t>
      </w:r>
      <w:r w:rsidRPr="008E266D">
        <w:rPr>
          <w:rFonts w:ascii="Arial" w:hAnsi="Arial" w:cs="Arial"/>
          <w:lang w:val="es-MX"/>
        </w:rPr>
        <w:t xml:space="preserve">Si bien </w:t>
      </w:r>
      <w:r w:rsidRPr="008E266D">
        <w:rPr>
          <w:rFonts w:ascii="Arial" w:hAnsi="Arial" w:cs="Arial"/>
          <w:lang w:val="es-ES_tradnl"/>
        </w:rPr>
        <w:t xml:space="preserve">Pablo Abner Salazar Mendiguchia no se ostenta como candidato independiente a senador, lo cierto es que ello es un hecho público y notorio para esta Sala Superior con base en el artículo 15 de la Ley de Medios. </w:t>
      </w:r>
    </w:p>
  </w:footnote>
  <w:footnote w:id="11">
    <w:p w:rsidR="00DF5112" w:rsidRPr="00CF407D" w:rsidRDefault="00DF5112" w:rsidP="00CF407D">
      <w:pPr>
        <w:pStyle w:val="Textonotapie"/>
        <w:jc w:val="both"/>
        <w:rPr>
          <w:rFonts w:ascii="Arial" w:hAnsi="Arial" w:cs="Arial"/>
          <w:lang w:val="es-MX"/>
        </w:rPr>
      </w:pPr>
      <w:r w:rsidRPr="00CF407D">
        <w:rPr>
          <w:rStyle w:val="Refdenotaalpie"/>
          <w:rFonts w:ascii="Arial" w:hAnsi="Arial" w:cs="Arial"/>
        </w:rPr>
        <w:footnoteRef/>
      </w:r>
      <w:r w:rsidRPr="00CF407D">
        <w:rPr>
          <w:rFonts w:ascii="Arial" w:hAnsi="Arial" w:cs="Arial"/>
        </w:rPr>
        <w:t xml:space="preserve"> </w:t>
      </w:r>
      <w:r w:rsidRPr="00184E71">
        <w:rPr>
          <w:rFonts w:ascii="Arial" w:hAnsi="Arial" w:cs="Arial"/>
        </w:rPr>
        <w:t xml:space="preserve">Jurisprudencia </w:t>
      </w:r>
      <w:r w:rsidRPr="00184E71">
        <w:rPr>
          <w:lang w:val="es-ES_tradnl" w:eastAsia="es-MX"/>
        </w:rPr>
        <w:t xml:space="preserve">P./J. 3/2005. </w:t>
      </w:r>
      <w:r w:rsidRPr="00CF407D">
        <w:rPr>
          <w:rFonts w:ascii="Arial" w:hAnsi="Arial" w:cs="Arial"/>
          <w:bCs/>
          <w:lang w:val="es-ES_tradnl"/>
        </w:rPr>
        <w:t xml:space="preserve">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w:t>
      </w:r>
      <w:r w:rsidRPr="00AD11CF">
        <w:rPr>
          <w:rFonts w:ascii="Arial" w:hAnsi="Arial" w:cs="Arial"/>
          <w:bCs/>
          <w:lang w:val="es-ES_tradnl"/>
        </w:rPr>
        <w:t>Semanario Judicial de la Federación y su Gaceta</w:t>
      </w:r>
      <w:r>
        <w:rPr>
          <w:rFonts w:ascii="Arial" w:hAnsi="Arial" w:cs="Arial"/>
          <w:bCs/>
          <w:lang w:val="es-ES_tradnl"/>
        </w:rPr>
        <w:t xml:space="preserve">. </w:t>
      </w:r>
      <w:r w:rsidRPr="00AD11CF">
        <w:rPr>
          <w:rFonts w:ascii="Arial" w:hAnsi="Arial" w:cs="Arial"/>
          <w:bCs/>
          <w:lang w:val="es-ES_tradnl"/>
        </w:rPr>
        <w:t xml:space="preserve">Tomo XXI, </w:t>
      </w:r>
      <w:r>
        <w:rPr>
          <w:rFonts w:ascii="Arial" w:hAnsi="Arial" w:cs="Arial"/>
          <w:bCs/>
          <w:lang w:val="es-ES_tradnl"/>
        </w:rPr>
        <w:t>f</w:t>
      </w:r>
      <w:r w:rsidRPr="00AD11CF">
        <w:rPr>
          <w:rFonts w:ascii="Arial" w:hAnsi="Arial" w:cs="Arial"/>
          <w:bCs/>
          <w:lang w:val="es-ES_tradnl"/>
        </w:rPr>
        <w:t>ebrero de 2005</w:t>
      </w:r>
      <w:r>
        <w:rPr>
          <w:rFonts w:ascii="Arial" w:hAnsi="Arial" w:cs="Arial"/>
          <w:bCs/>
          <w:lang w:val="es-ES_tradnl"/>
        </w:rPr>
        <w:t>. Pág. 5.</w:t>
      </w:r>
    </w:p>
  </w:footnote>
  <w:footnote w:id="12">
    <w:p w:rsidR="00DF5112" w:rsidRPr="001C502E" w:rsidRDefault="00DF5112" w:rsidP="00DA472E">
      <w:pPr>
        <w:pStyle w:val="Textonotapie"/>
        <w:rPr>
          <w:rFonts w:ascii="Arial" w:hAnsi="Arial" w:cs="Arial"/>
        </w:rPr>
      </w:pPr>
      <w:r>
        <w:rPr>
          <w:rStyle w:val="Refdenotaalpie"/>
        </w:rPr>
        <w:footnoteRef/>
      </w:r>
      <w:r>
        <w:t xml:space="preserve"> </w:t>
      </w:r>
      <w:r>
        <w:rPr>
          <w:rFonts w:ascii="Arial" w:hAnsi="Arial" w:cs="Arial"/>
        </w:rPr>
        <w:t>Véase SUP-JDC-1004/2015.</w:t>
      </w:r>
    </w:p>
  </w:footnote>
  <w:footnote w:id="13">
    <w:p w:rsidR="00DF5112" w:rsidRPr="008E266D" w:rsidRDefault="00DF5112" w:rsidP="00DA472E">
      <w:pPr>
        <w:pStyle w:val="Textonotapie"/>
        <w:jc w:val="both"/>
        <w:rPr>
          <w:rFonts w:ascii="Arial" w:hAnsi="Arial" w:cs="Arial"/>
          <w:szCs w:val="18"/>
        </w:rPr>
      </w:pPr>
      <w:r w:rsidRPr="008E266D">
        <w:rPr>
          <w:rStyle w:val="Refdenotaalpie"/>
          <w:rFonts w:ascii="Arial" w:hAnsi="Arial" w:cs="Arial"/>
          <w:szCs w:val="18"/>
        </w:rPr>
        <w:footnoteRef/>
      </w:r>
      <w:r w:rsidRPr="008E266D">
        <w:rPr>
          <w:rFonts w:ascii="Arial" w:hAnsi="Arial" w:cs="Arial"/>
          <w:szCs w:val="18"/>
        </w:rPr>
        <w:t xml:space="preserve"> Alemán Velasco, Miguel. 1995</w:t>
      </w:r>
      <w:r w:rsidRPr="008E266D">
        <w:rPr>
          <w:rFonts w:ascii="Arial" w:hAnsi="Arial" w:cs="Arial"/>
          <w:i/>
          <w:szCs w:val="18"/>
        </w:rPr>
        <w:t>. Las finanzas de la política</w:t>
      </w:r>
      <w:r w:rsidRPr="008E266D">
        <w:rPr>
          <w:rFonts w:ascii="Arial" w:hAnsi="Arial" w:cs="Arial"/>
          <w:szCs w:val="18"/>
        </w:rPr>
        <w:t>. México: Diana. Pág. 23</w:t>
      </w:r>
    </w:p>
  </w:footnote>
  <w:footnote w:id="14">
    <w:p w:rsidR="00DF5112" w:rsidRDefault="00DF5112" w:rsidP="00DA472E">
      <w:pPr>
        <w:pStyle w:val="Textonotapie"/>
        <w:jc w:val="both"/>
      </w:pPr>
      <w:r w:rsidRPr="008E266D">
        <w:rPr>
          <w:rStyle w:val="Refdenotaalpie"/>
          <w:rFonts w:ascii="Arial" w:hAnsi="Arial" w:cs="Arial"/>
          <w:szCs w:val="18"/>
        </w:rPr>
        <w:footnoteRef/>
      </w:r>
      <w:r w:rsidRPr="008E266D">
        <w:rPr>
          <w:rFonts w:ascii="Arial" w:hAnsi="Arial" w:cs="Arial"/>
          <w:szCs w:val="18"/>
        </w:rPr>
        <w:t xml:space="preserve"> Ídem.</w:t>
      </w:r>
    </w:p>
  </w:footnote>
  <w:footnote w:id="15">
    <w:p w:rsidR="00DF5112" w:rsidRPr="0016158E" w:rsidRDefault="00DF5112" w:rsidP="00DA472E">
      <w:pPr>
        <w:pStyle w:val="Textonotapie"/>
        <w:jc w:val="both"/>
        <w:rPr>
          <w:rFonts w:ascii="Arial" w:hAnsi="Arial" w:cs="Arial"/>
          <w:sz w:val="18"/>
        </w:rPr>
      </w:pPr>
      <w:r w:rsidRPr="008E266D">
        <w:rPr>
          <w:rStyle w:val="Refdenotaalpie"/>
          <w:rFonts w:ascii="Arial" w:hAnsi="Arial" w:cs="Arial"/>
        </w:rPr>
        <w:footnoteRef/>
      </w:r>
      <w:r w:rsidRPr="008E266D">
        <w:rPr>
          <w:rFonts w:ascii="Arial" w:hAnsi="Arial" w:cs="Arial"/>
        </w:rPr>
        <w:t xml:space="preserve"> Córdova Vianello</w:t>
      </w:r>
      <w:r>
        <w:rPr>
          <w:rFonts w:ascii="Arial" w:hAnsi="Arial" w:cs="Arial"/>
        </w:rPr>
        <w:t>,</w:t>
      </w:r>
      <w:r w:rsidRPr="008E266D">
        <w:rPr>
          <w:rFonts w:ascii="Arial" w:hAnsi="Arial" w:cs="Arial"/>
        </w:rPr>
        <w:t xml:space="preserve"> Lorenzo. 2011. </w:t>
      </w:r>
      <w:r w:rsidRPr="008E266D">
        <w:rPr>
          <w:rFonts w:ascii="Arial" w:hAnsi="Arial" w:cs="Arial"/>
          <w:i/>
        </w:rPr>
        <w:t xml:space="preserve">El financiamiento a los partidos políticos en México. </w:t>
      </w:r>
      <w:r w:rsidRPr="008E266D">
        <w:rPr>
          <w:rFonts w:ascii="Arial" w:hAnsi="Arial" w:cs="Arial"/>
        </w:rPr>
        <w:t>En Financiamiento de los partidos políticos en América Latina, coords. Pablo Gutiérrez y Daniel Zovatto, 349-366.</w:t>
      </w:r>
      <w:r>
        <w:rPr>
          <w:rFonts w:ascii="Arial" w:hAnsi="Arial" w:cs="Arial"/>
        </w:rPr>
        <w:t xml:space="preserve"> </w:t>
      </w:r>
      <w:r w:rsidRPr="008E266D">
        <w:rPr>
          <w:rFonts w:ascii="Arial" w:hAnsi="Arial" w:cs="Arial"/>
        </w:rPr>
        <w:t>México: Instituto Internacional para la Democracia y la Asistencia Electoral y UNAM</w:t>
      </w:r>
      <w:r w:rsidRPr="0016158E">
        <w:rPr>
          <w:rFonts w:ascii="Arial" w:hAnsi="Arial" w:cs="Arial"/>
          <w:sz w:val="18"/>
        </w:rPr>
        <w:t>.</w:t>
      </w:r>
    </w:p>
  </w:footnote>
  <w:footnote w:id="16">
    <w:p w:rsidR="00DF5112" w:rsidRPr="00AA230E" w:rsidRDefault="00DF5112">
      <w:pPr>
        <w:pStyle w:val="Textonotapie"/>
      </w:pPr>
      <w:r>
        <w:rPr>
          <w:rStyle w:val="Refdenotaalpie"/>
        </w:rPr>
        <w:footnoteRef/>
      </w:r>
      <w:r>
        <w:t xml:space="preserve"> En lo sucesivo, la Ley de Partidos.</w:t>
      </w:r>
    </w:p>
  </w:footnote>
  <w:footnote w:id="17">
    <w:p w:rsidR="00DF5112" w:rsidRPr="00674A4E" w:rsidRDefault="00DF5112" w:rsidP="00DA472E">
      <w:pPr>
        <w:pStyle w:val="Textonotapie"/>
        <w:jc w:val="both"/>
        <w:rPr>
          <w:rFonts w:ascii="Arial" w:hAnsi="Arial" w:cs="Arial"/>
        </w:rPr>
      </w:pPr>
      <w:r w:rsidRPr="00674A4E">
        <w:rPr>
          <w:rStyle w:val="Refdenotaalpie"/>
          <w:rFonts w:ascii="Arial" w:hAnsi="Arial" w:cs="Arial"/>
        </w:rPr>
        <w:footnoteRef/>
      </w:r>
      <w:r w:rsidRPr="00674A4E">
        <w:rPr>
          <w:rFonts w:ascii="Arial" w:hAnsi="Arial" w:cs="Arial"/>
        </w:rPr>
        <w:t xml:space="preserve"> Artículo 51, numeral 1, inciso a), fracción I de la </w:t>
      </w:r>
      <w:r w:rsidRPr="00FA66C1">
        <w:rPr>
          <w:rFonts w:ascii="Arial" w:hAnsi="Arial" w:cs="Arial"/>
          <w:lang w:val="es-ES_tradnl"/>
        </w:rPr>
        <w:t>Ley de Partidos</w:t>
      </w:r>
      <w:r>
        <w:rPr>
          <w:rFonts w:ascii="Arial" w:hAnsi="Arial" w:cs="Arial"/>
          <w:lang w:val="es-ES_tradnl"/>
        </w:rPr>
        <w:t>.</w:t>
      </w:r>
    </w:p>
  </w:footnote>
  <w:footnote w:id="18">
    <w:p w:rsidR="00DF5112" w:rsidRPr="004648E1" w:rsidRDefault="00DF5112" w:rsidP="00A7618A">
      <w:pPr>
        <w:pStyle w:val="Textonotapie"/>
        <w:jc w:val="both"/>
        <w:rPr>
          <w:rFonts w:ascii="Arial" w:hAnsi="Arial" w:cs="Arial"/>
        </w:rPr>
      </w:pPr>
      <w:r w:rsidRPr="004648E1">
        <w:rPr>
          <w:rStyle w:val="Refdenotaalpie"/>
          <w:rFonts w:ascii="Arial" w:hAnsi="Arial" w:cs="Arial"/>
        </w:rPr>
        <w:footnoteRef/>
      </w:r>
      <w:r w:rsidRPr="004648E1">
        <w:rPr>
          <w:rFonts w:ascii="Arial" w:hAnsi="Arial" w:cs="Arial"/>
        </w:rPr>
        <w:t xml:space="preserve"> </w:t>
      </w:r>
      <w:r w:rsidRPr="004648E1">
        <w:rPr>
          <w:rFonts w:ascii="Arial" w:hAnsi="Arial" w:cs="Arial"/>
          <w:iCs/>
        </w:rPr>
        <w:t>Figueroa Álvarez, Rosa Adriana.</w:t>
      </w:r>
      <w:r>
        <w:rPr>
          <w:rFonts w:ascii="Arial" w:hAnsi="Arial" w:cs="Arial"/>
          <w:iCs/>
        </w:rPr>
        <w:t xml:space="preserve"> 2007.</w:t>
      </w:r>
      <w:r w:rsidRPr="00FA66C1">
        <w:rPr>
          <w:rFonts w:ascii="Arial" w:hAnsi="Arial" w:cs="Arial"/>
          <w:i/>
          <w:iCs/>
        </w:rPr>
        <w:t xml:space="preserve"> </w:t>
      </w:r>
      <w:r w:rsidRPr="00FA66C1">
        <w:rPr>
          <w:rFonts w:ascii="Arial" w:hAnsi="Arial" w:cs="Arial"/>
          <w:i/>
        </w:rPr>
        <w:t>Regulación del financiamiento de los partidos políticos en México. Pluralidad y Consenso</w:t>
      </w:r>
      <w:r w:rsidRPr="004648E1">
        <w:rPr>
          <w:rFonts w:ascii="Arial" w:hAnsi="Arial" w:cs="Arial"/>
        </w:rPr>
        <w:t xml:space="preserve">. Instituto Belisario Domínguez. </w:t>
      </w:r>
      <w:r w:rsidRPr="004648E1">
        <w:rPr>
          <w:rFonts w:ascii="Arial" w:hAnsi="Arial" w:cs="Arial"/>
          <w:bCs/>
        </w:rPr>
        <w:t xml:space="preserve">Vol. 1, Núm. 2 </w:t>
      </w:r>
      <w:r>
        <w:rPr>
          <w:rFonts w:ascii="Arial" w:hAnsi="Arial" w:cs="Arial"/>
          <w:bCs/>
        </w:rPr>
        <w:t xml:space="preserve">Páginas </w:t>
      </w:r>
      <w:r w:rsidRPr="004648E1">
        <w:rPr>
          <w:rFonts w:ascii="Arial" w:hAnsi="Arial" w:cs="Arial"/>
          <w:bCs/>
        </w:rPr>
        <w:t>46-51.</w:t>
      </w:r>
    </w:p>
  </w:footnote>
  <w:footnote w:id="19">
    <w:p w:rsidR="00DF5112" w:rsidRPr="009B0691" w:rsidRDefault="00DF5112" w:rsidP="00A7618A">
      <w:pPr>
        <w:pStyle w:val="Textonotapie"/>
        <w:jc w:val="both"/>
        <w:rPr>
          <w:rFonts w:ascii="Arial" w:hAnsi="Arial" w:cs="Arial"/>
        </w:rPr>
      </w:pPr>
      <w:r w:rsidRPr="009B0691">
        <w:rPr>
          <w:rStyle w:val="Refdenotaalpie"/>
          <w:rFonts w:ascii="Arial" w:hAnsi="Arial" w:cs="Arial"/>
        </w:rPr>
        <w:footnoteRef/>
      </w:r>
      <w:r w:rsidRPr="009B0691">
        <w:rPr>
          <w:rFonts w:ascii="Arial" w:hAnsi="Arial" w:cs="Arial"/>
        </w:rPr>
        <w:t xml:space="preserve"> Artículos 53 y 56 de la </w:t>
      </w:r>
      <w:r w:rsidRPr="00AA230E">
        <w:rPr>
          <w:rFonts w:ascii="Arial" w:hAnsi="Arial" w:cs="Arial"/>
          <w:lang w:val="es-ES_tradnl"/>
        </w:rPr>
        <w:t>Ley de Partidos</w:t>
      </w:r>
      <w:r w:rsidRPr="009B0691">
        <w:rPr>
          <w:rFonts w:ascii="Arial" w:hAnsi="Arial" w:cs="Arial"/>
        </w:rPr>
        <w:t>.</w:t>
      </w:r>
    </w:p>
  </w:footnote>
  <w:footnote w:id="20">
    <w:p w:rsidR="00DF5112" w:rsidRPr="00FB43B1" w:rsidRDefault="00DF5112" w:rsidP="00A7618A">
      <w:pPr>
        <w:pStyle w:val="Textonotapie"/>
        <w:jc w:val="both"/>
        <w:rPr>
          <w:rFonts w:ascii="Arial" w:hAnsi="Arial" w:cs="Arial"/>
        </w:rPr>
      </w:pPr>
      <w:r w:rsidRPr="00FB43B1">
        <w:rPr>
          <w:rStyle w:val="Refdenotaalpie"/>
          <w:rFonts w:ascii="Arial" w:hAnsi="Arial" w:cs="Arial"/>
        </w:rPr>
        <w:footnoteRef/>
      </w:r>
      <w:r w:rsidRPr="00FB43B1">
        <w:rPr>
          <w:rFonts w:ascii="Arial" w:hAnsi="Arial" w:cs="Arial"/>
        </w:rPr>
        <w:t xml:space="preserve"> </w:t>
      </w:r>
      <w:r w:rsidRPr="00FB43B1">
        <w:rPr>
          <w:rFonts w:ascii="Arial" w:hAnsi="Arial" w:cs="Arial"/>
          <w:bCs/>
          <w:color w:val="000000"/>
          <w:shd w:val="clear" w:color="auto" w:fill="FFFFFF"/>
        </w:rPr>
        <w:t>Jurisprudencia 6/2017. APORTACIONES DE SIMPATIZANTES A PARTIDOS POLÍTICOS. ES INCONSTITUCIONAL LIMITARLAS A LOS PROCESOS ELECTORALES</w:t>
      </w:r>
      <w:r>
        <w:rPr>
          <w:rFonts w:ascii="Arial" w:hAnsi="Arial" w:cs="Arial"/>
          <w:bCs/>
          <w:color w:val="000000"/>
          <w:shd w:val="clear" w:color="auto" w:fill="FFFFFF"/>
        </w:rPr>
        <w:t xml:space="preserve">. Disponible </w:t>
      </w:r>
      <w:r w:rsidRPr="00FA66C1">
        <w:rPr>
          <w:rFonts w:ascii="Arial" w:hAnsi="Arial" w:cs="Arial"/>
          <w:bCs/>
          <w:shd w:val="clear" w:color="auto" w:fill="FFFFFF"/>
        </w:rPr>
        <w:t xml:space="preserve">en </w:t>
      </w:r>
      <w:hyperlink r:id="rId1" w:history="1">
        <w:r w:rsidRPr="00FA66C1">
          <w:rPr>
            <w:rStyle w:val="Hipervnculo"/>
            <w:rFonts w:ascii="Arial" w:hAnsi="Arial" w:cs="Arial"/>
            <w:bCs/>
            <w:color w:val="auto"/>
            <w:shd w:val="clear" w:color="auto" w:fill="FFFFFF"/>
          </w:rPr>
          <w:t>http://sief.te.gob.mx/iuse/tesisjur.aspx?idtesis=6/2017&amp;tpoBusqueda=S&amp;sWord=6/2017</w:t>
        </w:r>
      </w:hyperlink>
      <w:r w:rsidRPr="00FA66C1">
        <w:rPr>
          <w:rFonts w:ascii="Arial" w:hAnsi="Arial" w:cs="Arial"/>
          <w:bCs/>
          <w:shd w:val="clear" w:color="auto" w:fill="FFFFFF"/>
        </w:rPr>
        <w:t xml:space="preserve"> </w:t>
      </w:r>
    </w:p>
  </w:footnote>
  <w:footnote w:id="21">
    <w:p w:rsidR="00DF5112" w:rsidRPr="00835E7B" w:rsidRDefault="00DF5112" w:rsidP="00A7618A">
      <w:pPr>
        <w:pStyle w:val="Textonotapie"/>
        <w:jc w:val="both"/>
        <w:rPr>
          <w:rFonts w:ascii="Arial" w:hAnsi="Arial" w:cs="Arial"/>
        </w:rPr>
      </w:pPr>
      <w:r w:rsidRPr="00835E7B">
        <w:rPr>
          <w:rStyle w:val="Refdenotaalpie"/>
          <w:rFonts w:ascii="Arial" w:hAnsi="Arial" w:cs="Arial"/>
        </w:rPr>
        <w:footnoteRef/>
      </w:r>
      <w:r w:rsidRPr="00835E7B">
        <w:rPr>
          <w:rFonts w:ascii="Arial" w:hAnsi="Arial" w:cs="Arial"/>
        </w:rPr>
        <w:t xml:space="preserve"> Artículo 111 del Reglamento de Fiscalización.</w:t>
      </w:r>
    </w:p>
  </w:footnote>
  <w:footnote w:id="22">
    <w:p w:rsidR="00DF5112" w:rsidRPr="00AF1368" w:rsidRDefault="00DF5112" w:rsidP="00A7618A">
      <w:pPr>
        <w:pStyle w:val="Textonotapie"/>
        <w:jc w:val="both"/>
        <w:rPr>
          <w:rFonts w:ascii="Arial" w:hAnsi="Arial" w:cs="Arial"/>
        </w:rPr>
      </w:pPr>
      <w:r w:rsidRPr="00835E7B">
        <w:rPr>
          <w:rStyle w:val="Refdenotaalpie"/>
          <w:rFonts w:ascii="Arial" w:hAnsi="Arial" w:cs="Arial"/>
        </w:rPr>
        <w:footnoteRef/>
      </w:r>
      <w:r w:rsidRPr="00835E7B">
        <w:rPr>
          <w:rFonts w:ascii="Arial" w:hAnsi="Arial" w:cs="Arial"/>
        </w:rPr>
        <w:t xml:space="preserve"> Artículo 11</w:t>
      </w:r>
      <w:r>
        <w:rPr>
          <w:rFonts w:ascii="Arial" w:hAnsi="Arial" w:cs="Arial"/>
        </w:rPr>
        <w:t>8</w:t>
      </w:r>
      <w:r w:rsidRPr="00835E7B">
        <w:rPr>
          <w:rFonts w:ascii="Arial" w:hAnsi="Arial" w:cs="Arial"/>
        </w:rPr>
        <w:t xml:space="preserve"> del Reglamento d</w:t>
      </w:r>
      <w:r w:rsidRPr="00AF1368">
        <w:rPr>
          <w:rFonts w:ascii="Arial" w:hAnsi="Arial" w:cs="Arial"/>
        </w:rPr>
        <w:t>e Fiscalización.</w:t>
      </w:r>
    </w:p>
  </w:footnote>
  <w:footnote w:id="23">
    <w:p w:rsidR="00DF5112" w:rsidRPr="00A7618A" w:rsidRDefault="00DF5112" w:rsidP="00A7618A">
      <w:pPr>
        <w:pStyle w:val="Textonotapie"/>
        <w:jc w:val="both"/>
        <w:rPr>
          <w:rFonts w:ascii="Arial" w:hAnsi="Arial" w:cs="Arial"/>
          <w:lang w:val="es-MX"/>
        </w:rPr>
      </w:pPr>
      <w:r w:rsidRPr="00391405">
        <w:rPr>
          <w:rStyle w:val="Refdenotaalpie"/>
          <w:rFonts w:ascii="Arial" w:hAnsi="Arial" w:cs="Arial"/>
        </w:rPr>
        <w:footnoteRef/>
      </w:r>
      <w:r w:rsidRPr="00391405">
        <w:rPr>
          <w:rFonts w:ascii="Arial" w:hAnsi="Arial" w:cs="Arial"/>
        </w:rPr>
        <w:t xml:space="preserve"> Tesis </w:t>
      </w:r>
      <w:r w:rsidRPr="00391405">
        <w:rPr>
          <w:rFonts w:ascii="Arial" w:hAnsi="Arial" w:cs="Arial"/>
          <w:lang w:val="es-ES_tradnl"/>
        </w:rPr>
        <w:t xml:space="preserve">P./J. 12/2010, FINANCIAMIENTO PÚBLICO. EL PRINCIPIO DE PREEMINENCIA DE ESTE TIPO DE FINANCIAMIENTO SOBRE EL PRIVADO, ES APLICABLE TANTO EN </w:t>
      </w:r>
      <w:r w:rsidRPr="00A7618A">
        <w:rPr>
          <w:rFonts w:ascii="Arial" w:hAnsi="Arial" w:cs="Arial"/>
          <w:lang w:val="es-ES_tradnl"/>
        </w:rPr>
        <w:t>EL ÁMBITO FEDERAL COMO EN EL ESTATAL. Semanario Judicial de la Federación y su Gaceta, Tomo: XXXI, febrero de 2010, página 2319.</w:t>
      </w:r>
    </w:p>
  </w:footnote>
  <w:footnote w:id="24">
    <w:p w:rsidR="00DF5112" w:rsidRPr="00A7618A" w:rsidRDefault="00DF5112" w:rsidP="00A7618A">
      <w:pPr>
        <w:pStyle w:val="Textonotapie"/>
        <w:jc w:val="both"/>
        <w:rPr>
          <w:rFonts w:ascii="Arial" w:hAnsi="Arial" w:cs="Arial"/>
          <w:lang w:val="es-MX"/>
        </w:rPr>
      </w:pPr>
      <w:r w:rsidRPr="00A7618A">
        <w:rPr>
          <w:rStyle w:val="Refdenotaalpie"/>
          <w:rFonts w:ascii="Arial" w:hAnsi="Arial" w:cs="Arial"/>
        </w:rPr>
        <w:footnoteRef/>
      </w:r>
      <w:r w:rsidRPr="00A7618A">
        <w:rPr>
          <w:rFonts w:ascii="Arial" w:hAnsi="Arial" w:cs="Arial"/>
        </w:rPr>
        <w:t xml:space="preserve"> </w:t>
      </w:r>
      <w:r w:rsidRPr="00A7618A">
        <w:rPr>
          <w:rFonts w:ascii="Arial" w:hAnsi="Arial" w:cs="Arial"/>
          <w:lang w:val="es-MX"/>
        </w:rPr>
        <w:t>Artículo 41, Base V, Apartado C, inciso a) de la Constitución Política de los Estados Unidos Mexicanos (CPEUM).</w:t>
      </w:r>
    </w:p>
  </w:footnote>
  <w:footnote w:id="25">
    <w:p w:rsidR="00DF5112" w:rsidRPr="00A7618A" w:rsidRDefault="00DF5112" w:rsidP="00A7618A">
      <w:pPr>
        <w:pStyle w:val="Textonotapie"/>
        <w:jc w:val="both"/>
        <w:rPr>
          <w:rFonts w:ascii="Arial" w:hAnsi="Arial" w:cs="Arial"/>
        </w:rPr>
      </w:pPr>
      <w:r w:rsidRPr="00A7618A">
        <w:rPr>
          <w:rStyle w:val="Refdenotaalpie"/>
          <w:rFonts w:ascii="Arial" w:hAnsi="Arial" w:cs="Arial"/>
        </w:rPr>
        <w:footnoteRef/>
      </w:r>
      <w:r w:rsidRPr="00A7618A">
        <w:rPr>
          <w:rFonts w:ascii="Arial" w:hAnsi="Arial" w:cs="Arial"/>
        </w:rPr>
        <w:t xml:space="preserve"> Artículo 407 de la Ley General de Instituciones y Procedimientos Electorales (</w:t>
      </w:r>
      <w:r>
        <w:rPr>
          <w:rFonts w:ascii="Arial" w:hAnsi="Arial" w:cs="Arial"/>
        </w:rPr>
        <w:t>LEGIPE</w:t>
      </w:r>
      <w:r w:rsidRPr="00A7618A">
        <w:rPr>
          <w:rFonts w:ascii="Arial" w:hAnsi="Arial" w:cs="Arial"/>
        </w:rPr>
        <w:t>).</w:t>
      </w:r>
    </w:p>
  </w:footnote>
  <w:footnote w:id="26">
    <w:p w:rsidR="00DF5112" w:rsidRPr="00B03FAD" w:rsidRDefault="00DF5112" w:rsidP="00A7618A">
      <w:pPr>
        <w:pStyle w:val="Textonotapie"/>
        <w:jc w:val="both"/>
      </w:pPr>
      <w:r w:rsidRPr="00A7618A">
        <w:rPr>
          <w:rStyle w:val="Refdenotaalpie"/>
          <w:rFonts w:ascii="Arial" w:hAnsi="Arial" w:cs="Arial"/>
        </w:rPr>
        <w:footnoteRef/>
      </w:r>
      <w:r w:rsidRPr="00A7618A">
        <w:rPr>
          <w:rFonts w:ascii="Arial" w:hAnsi="Arial" w:cs="Arial"/>
        </w:rPr>
        <w:t xml:space="preserve"> Artículo 473, numeral 1, de la </w:t>
      </w:r>
      <w:r>
        <w:rPr>
          <w:rFonts w:ascii="Arial" w:hAnsi="Arial" w:cs="Arial"/>
        </w:rPr>
        <w:t>LEGIPE.</w:t>
      </w:r>
    </w:p>
  </w:footnote>
  <w:footnote w:id="27">
    <w:p w:rsidR="00DF5112" w:rsidRPr="00A7618A" w:rsidRDefault="00DF5112">
      <w:pPr>
        <w:pStyle w:val="Textonotapie"/>
        <w:rPr>
          <w:rFonts w:ascii="Arial" w:hAnsi="Arial" w:cs="Arial"/>
        </w:rPr>
      </w:pPr>
      <w:r w:rsidRPr="00A7618A">
        <w:rPr>
          <w:rStyle w:val="Refdenotaalpie"/>
          <w:rFonts w:ascii="Arial" w:hAnsi="Arial" w:cs="Arial"/>
        </w:rPr>
        <w:footnoteRef/>
      </w:r>
      <w:r w:rsidRPr="00A7618A">
        <w:rPr>
          <w:rFonts w:ascii="Arial" w:hAnsi="Arial" w:cs="Arial"/>
        </w:rPr>
        <w:t xml:space="preserve"> Artículo 408 de la </w:t>
      </w:r>
      <w:r>
        <w:rPr>
          <w:rFonts w:ascii="Arial" w:hAnsi="Arial" w:cs="Arial"/>
        </w:rPr>
        <w:t>LEGIPE</w:t>
      </w:r>
      <w:r w:rsidRPr="00A7618A">
        <w:rPr>
          <w:rFonts w:ascii="Arial" w:hAnsi="Arial" w:cs="Arial"/>
        </w:rPr>
        <w:t>.</w:t>
      </w:r>
    </w:p>
  </w:footnote>
  <w:footnote w:id="28">
    <w:p w:rsidR="00DF5112" w:rsidRPr="00A7618A" w:rsidRDefault="00DF5112">
      <w:pPr>
        <w:pStyle w:val="Textonotapie"/>
        <w:rPr>
          <w:rFonts w:ascii="Arial" w:hAnsi="Arial" w:cs="Arial"/>
          <w:lang w:val="es-MX"/>
        </w:rPr>
      </w:pPr>
      <w:r w:rsidRPr="00A7618A">
        <w:rPr>
          <w:rStyle w:val="Refdenotaalpie"/>
          <w:rFonts w:ascii="Arial" w:hAnsi="Arial" w:cs="Arial"/>
        </w:rPr>
        <w:footnoteRef/>
      </w:r>
      <w:r w:rsidRPr="00A7618A">
        <w:rPr>
          <w:rFonts w:ascii="Arial" w:hAnsi="Arial" w:cs="Arial"/>
        </w:rPr>
        <w:t xml:space="preserve"> </w:t>
      </w:r>
      <w:r w:rsidRPr="00A7618A">
        <w:rPr>
          <w:rFonts w:ascii="Arial" w:hAnsi="Arial" w:cs="Arial"/>
          <w:lang w:val="es-MX"/>
        </w:rPr>
        <w:t xml:space="preserve">Artículo 400 de la </w:t>
      </w:r>
      <w:r>
        <w:rPr>
          <w:rFonts w:ascii="Arial" w:hAnsi="Arial" w:cs="Arial"/>
          <w:lang w:val="es-MX"/>
        </w:rPr>
        <w:t>LEGIPE</w:t>
      </w:r>
      <w:r w:rsidRPr="00A7618A">
        <w:rPr>
          <w:rFonts w:ascii="Arial" w:hAnsi="Arial" w:cs="Arial"/>
          <w:lang w:val="es-MX"/>
        </w:rPr>
        <w:t>.</w:t>
      </w:r>
    </w:p>
  </w:footnote>
  <w:footnote w:id="29">
    <w:p w:rsidR="00DF5112" w:rsidRPr="00A7618A" w:rsidRDefault="00DF5112" w:rsidP="00421543">
      <w:pPr>
        <w:pStyle w:val="Textonotapie"/>
        <w:rPr>
          <w:rFonts w:ascii="Arial" w:hAnsi="Arial" w:cs="Arial"/>
          <w:lang w:val="es-MX"/>
        </w:rPr>
      </w:pPr>
      <w:r w:rsidRPr="00A7618A">
        <w:rPr>
          <w:rStyle w:val="Refdenotaalpie"/>
          <w:rFonts w:ascii="Arial" w:hAnsi="Arial" w:cs="Arial"/>
        </w:rPr>
        <w:footnoteRef/>
      </w:r>
      <w:r w:rsidRPr="00A7618A">
        <w:rPr>
          <w:rFonts w:ascii="Arial" w:hAnsi="Arial" w:cs="Arial"/>
        </w:rPr>
        <w:t xml:space="preserve"> </w:t>
      </w:r>
      <w:r w:rsidRPr="00A7618A">
        <w:rPr>
          <w:rFonts w:ascii="Arial" w:hAnsi="Arial" w:cs="Arial"/>
          <w:lang w:val="es-MX"/>
        </w:rPr>
        <w:t xml:space="preserve">Artículo 402 de la </w:t>
      </w:r>
      <w:r>
        <w:rPr>
          <w:rFonts w:ascii="Arial" w:hAnsi="Arial" w:cs="Arial"/>
          <w:lang w:val="es-MX"/>
        </w:rPr>
        <w:t>LEGIPE</w:t>
      </w:r>
      <w:r w:rsidRPr="00A7618A">
        <w:rPr>
          <w:rFonts w:ascii="Arial" w:hAnsi="Arial" w:cs="Arial"/>
          <w:lang w:val="es-MX"/>
        </w:rPr>
        <w:t>.</w:t>
      </w:r>
    </w:p>
  </w:footnote>
  <w:footnote w:id="30">
    <w:p w:rsidR="00DF5112" w:rsidRPr="00421543" w:rsidRDefault="00DF5112" w:rsidP="002B1609">
      <w:pPr>
        <w:pStyle w:val="Textonotapie"/>
        <w:rPr>
          <w:lang w:val="es-MX"/>
        </w:rPr>
      </w:pPr>
      <w:r w:rsidRPr="00A7618A">
        <w:rPr>
          <w:rStyle w:val="Refdenotaalpie"/>
          <w:rFonts w:ascii="Arial" w:hAnsi="Arial" w:cs="Arial"/>
        </w:rPr>
        <w:footnoteRef/>
      </w:r>
      <w:r w:rsidRPr="00A7618A">
        <w:rPr>
          <w:rFonts w:ascii="Arial" w:hAnsi="Arial" w:cs="Arial"/>
        </w:rPr>
        <w:t xml:space="preserve"> </w:t>
      </w:r>
      <w:r w:rsidRPr="00A7618A">
        <w:rPr>
          <w:rFonts w:ascii="Arial" w:hAnsi="Arial" w:cs="Arial"/>
          <w:lang w:val="es-MX"/>
        </w:rPr>
        <w:t xml:space="preserve">Artículos 403 y 404 de la </w:t>
      </w:r>
      <w:r>
        <w:rPr>
          <w:rFonts w:ascii="Arial" w:hAnsi="Arial" w:cs="Arial"/>
          <w:lang w:val="es-MX"/>
        </w:rPr>
        <w:t>LEGIPE</w:t>
      </w:r>
      <w:r w:rsidRPr="00A7618A">
        <w:rPr>
          <w:rFonts w:ascii="Arial" w:hAnsi="Arial" w:cs="Arial"/>
          <w:lang w:val="es-MX"/>
        </w:rPr>
        <w:t>.</w:t>
      </w:r>
    </w:p>
  </w:footnote>
  <w:footnote w:id="31">
    <w:p w:rsidR="00DF5112" w:rsidRPr="00A7618A" w:rsidRDefault="00DF5112" w:rsidP="002B1609">
      <w:pPr>
        <w:pStyle w:val="Textonotapie"/>
        <w:rPr>
          <w:rFonts w:ascii="Arial" w:hAnsi="Arial" w:cs="Arial"/>
          <w:lang w:val="es-MX"/>
        </w:rPr>
      </w:pPr>
      <w:r w:rsidRPr="00A7618A">
        <w:rPr>
          <w:rStyle w:val="Refdenotaalpie"/>
          <w:rFonts w:ascii="Arial" w:hAnsi="Arial" w:cs="Arial"/>
        </w:rPr>
        <w:footnoteRef/>
      </w:r>
      <w:r w:rsidRPr="00A7618A">
        <w:rPr>
          <w:rFonts w:ascii="Arial" w:hAnsi="Arial" w:cs="Arial"/>
        </w:rPr>
        <w:t xml:space="preserve"> </w:t>
      </w:r>
      <w:r w:rsidRPr="00A7618A">
        <w:rPr>
          <w:rFonts w:ascii="Arial" w:hAnsi="Arial" w:cs="Arial"/>
          <w:lang w:val="es-MX"/>
        </w:rPr>
        <w:t xml:space="preserve">Artículo 405 de la </w:t>
      </w:r>
      <w:r>
        <w:rPr>
          <w:rFonts w:ascii="Arial" w:hAnsi="Arial" w:cs="Arial"/>
          <w:lang w:val="es-MX"/>
        </w:rPr>
        <w:t>LEGIPE</w:t>
      </w:r>
      <w:r w:rsidRPr="00A7618A">
        <w:rPr>
          <w:rFonts w:ascii="Arial" w:hAnsi="Arial" w:cs="Arial"/>
          <w:lang w:val="es-MX"/>
        </w:rPr>
        <w:t>.</w:t>
      </w:r>
    </w:p>
  </w:footnote>
  <w:footnote w:id="32">
    <w:p w:rsidR="00DF5112" w:rsidRPr="00A7618A" w:rsidRDefault="00DF5112" w:rsidP="002B1609">
      <w:pPr>
        <w:pStyle w:val="Textonotapie"/>
        <w:rPr>
          <w:rFonts w:ascii="Arial" w:hAnsi="Arial" w:cs="Arial"/>
          <w:lang w:val="es-MX"/>
        </w:rPr>
      </w:pPr>
      <w:r w:rsidRPr="00A7618A">
        <w:rPr>
          <w:rStyle w:val="Refdenotaalpie"/>
          <w:rFonts w:ascii="Arial" w:hAnsi="Arial" w:cs="Arial"/>
        </w:rPr>
        <w:footnoteRef/>
      </w:r>
      <w:r w:rsidRPr="00A7618A">
        <w:rPr>
          <w:rFonts w:ascii="Arial" w:hAnsi="Arial" w:cs="Arial"/>
        </w:rPr>
        <w:t xml:space="preserve"> </w:t>
      </w:r>
      <w:r w:rsidRPr="00A7618A">
        <w:rPr>
          <w:rFonts w:ascii="Arial" w:hAnsi="Arial" w:cs="Arial"/>
          <w:lang w:val="es-MX"/>
        </w:rPr>
        <w:t xml:space="preserve">Artículo 406 de la </w:t>
      </w:r>
      <w:r>
        <w:rPr>
          <w:rFonts w:ascii="Arial" w:hAnsi="Arial" w:cs="Arial"/>
          <w:lang w:val="es-MX"/>
        </w:rPr>
        <w:t>LEGIPE</w:t>
      </w:r>
      <w:r w:rsidRPr="00A7618A">
        <w:rPr>
          <w:rFonts w:ascii="Arial" w:hAnsi="Arial" w:cs="Arial"/>
          <w:lang w:val="es-MX"/>
        </w:rPr>
        <w:t>.</w:t>
      </w:r>
    </w:p>
  </w:footnote>
  <w:footnote w:id="33">
    <w:p w:rsidR="00DF5112" w:rsidRPr="00AC356C" w:rsidRDefault="00DF5112" w:rsidP="00EA7FD3">
      <w:pPr>
        <w:pStyle w:val="Textonotapie"/>
        <w:jc w:val="both"/>
        <w:rPr>
          <w:rFonts w:ascii="Arial" w:hAnsi="Arial" w:cs="Arial"/>
        </w:rPr>
      </w:pPr>
      <w:r w:rsidRPr="00A7618A">
        <w:rPr>
          <w:rStyle w:val="Refdenotaalpie"/>
          <w:rFonts w:ascii="Arial" w:hAnsi="Arial" w:cs="Arial"/>
        </w:rPr>
        <w:footnoteRef/>
      </w:r>
      <w:r w:rsidRPr="00A7618A">
        <w:rPr>
          <w:rFonts w:ascii="Arial" w:hAnsi="Arial" w:cs="Arial"/>
        </w:rPr>
        <w:t xml:space="preserve"> Tesis XXI/2015. CANDIDATURAS INDEPENDIENTES. NO LES ES APLICABLE EL PRINCIPIO CONSTITUCIONAL DE PREVALENCIA DEL FINANCIAMIENTO PÚBLICO SOBRE EL PRIVADO, QUE CORRESPONDE A LOS PARTIDOS POLÍTICOS. </w:t>
      </w:r>
      <w:r w:rsidRPr="00A7618A">
        <w:rPr>
          <w:rFonts w:ascii="Arial" w:hAnsi="Arial" w:cs="Arial"/>
          <w:bCs/>
          <w:i/>
          <w:lang w:val="es-ES_tradnl"/>
        </w:rPr>
        <w:t>Gaceta de Jurisprudencia y Tesis en materia electoral,</w:t>
      </w:r>
      <w:r w:rsidRPr="00A7618A">
        <w:rPr>
          <w:rFonts w:ascii="Arial" w:hAnsi="Arial" w:cs="Arial"/>
          <w:bCs/>
          <w:lang w:val="es-ES_tradnl"/>
        </w:rPr>
        <w:t xml:space="preserve"> Tribunal Electoral del Poder Judicial de la Federación, Año 8, Número 16, 2015, páginas 45-47.</w:t>
      </w:r>
    </w:p>
  </w:footnote>
  <w:footnote w:id="34">
    <w:p w:rsidR="00DF5112" w:rsidRPr="00D2255D" w:rsidRDefault="00DF5112" w:rsidP="00D2255D">
      <w:pPr>
        <w:pStyle w:val="Textonotapie"/>
        <w:jc w:val="both"/>
      </w:pPr>
      <w:r>
        <w:rPr>
          <w:rStyle w:val="Refdenotaalpie"/>
        </w:rPr>
        <w:footnoteRef/>
      </w:r>
      <w:r>
        <w:t xml:space="preserve"> Estos montos pueden sufrir afectaciones, ya que los considerandos QUINTO y SEXTO del Acuerdo referido, disponen la posibilidad de redistribuir el financiamiento público al que renunciaran algunas candidaturas independientes, entre aquellas que no lo rechazaran.</w:t>
      </w:r>
    </w:p>
  </w:footnote>
  <w:footnote w:id="35">
    <w:p w:rsidR="00DF5112" w:rsidRPr="00D4043D" w:rsidRDefault="00DF5112" w:rsidP="00D4043D">
      <w:pPr>
        <w:pStyle w:val="Textonotapie"/>
        <w:jc w:val="both"/>
      </w:pPr>
      <w:r>
        <w:rPr>
          <w:rStyle w:val="Refdenotaalpie"/>
        </w:rPr>
        <w:footnoteRef/>
      </w:r>
      <w:r>
        <w:t xml:space="preserve"> Tesis de jurisprudencia 2/2012 (9a.). </w:t>
      </w:r>
      <w:r w:rsidRPr="00D4043D">
        <w:rPr>
          <w:lang w:val="es-ES_tradnl"/>
        </w:rPr>
        <w:t>RESTRICCIONES A LOS DERECHOS FUNDAMENTALES. ELEMENTOS QUE EL JUEZ CONSTITUCIONAL DEBE TOMAR EN CUENTA PARA CONSIDERARLAS VÁLIDAS</w:t>
      </w:r>
      <w:r>
        <w:rPr>
          <w:lang w:val="es-ES_tradnl"/>
        </w:rPr>
        <w:t xml:space="preserve">. </w:t>
      </w:r>
      <w:r w:rsidRPr="00D4043D">
        <w:t xml:space="preserve">Primera Sala. Décima Época. Semanario Judicial de la Federación y su Gaceta. Libro V, </w:t>
      </w:r>
      <w:r>
        <w:t>f</w:t>
      </w:r>
      <w:r w:rsidRPr="00D4043D">
        <w:t>ebrero de 2012, Pág. 533.</w:t>
      </w:r>
    </w:p>
  </w:footnote>
  <w:footnote w:id="36">
    <w:p w:rsidR="00DF5112" w:rsidRPr="00A667DE" w:rsidRDefault="00DF5112" w:rsidP="009D686D">
      <w:pPr>
        <w:pStyle w:val="Textonotapie"/>
        <w:jc w:val="both"/>
        <w:rPr>
          <w:rFonts w:ascii="Arial" w:hAnsi="Arial" w:cs="Arial"/>
        </w:rPr>
      </w:pPr>
      <w:r w:rsidRPr="00A667DE">
        <w:rPr>
          <w:rStyle w:val="Refdenotaalpie"/>
          <w:rFonts w:ascii="Arial" w:hAnsi="Arial" w:cs="Arial"/>
        </w:rPr>
        <w:footnoteRef/>
      </w:r>
      <w:r w:rsidRPr="00A667DE">
        <w:rPr>
          <w:rFonts w:ascii="Arial" w:hAnsi="Arial" w:cs="Arial"/>
        </w:rPr>
        <w:t xml:space="preserve"> Tesis 1a.CCLXV/2016 de rubro “PRIMERA ETAPA DEL TEST DE PROPORCIONALIDAD. IDENTIFICACIÓN DE UNA FINALIDAD CONSTITUCIONALMENTE VÁLIDA”, consultable en </w:t>
      </w:r>
      <w:r w:rsidRPr="00A667DE">
        <w:rPr>
          <w:rFonts w:ascii="Arial" w:hAnsi="Arial" w:cs="Arial"/>
          <w:i/>
        </w:rPr>
        <w:t>Gaceta del Semanario Judicial de la Federación</w:t>
      </w:r>
      <w:r w:rsidRPr="00A667DE">
        <w:rPr>
          <w:rFonts w:ascii="Arial" w:hAnsi="Arial" w:cs="Arial"/>
        </w:rPr>
        <w:t xml:space="preserve">, 10ª época, 1ª Sala, Libro 36, noviembre de 2016, Tomo II, página 902. </w:t>
      </w:r>
    </w:p>
  </w:footnote>
  <w:footnote w:id="37">
    <w:p w:rsidR="00DF5112" w:rsidRPr="001A7D2B" w:rsidRDefault="00DF5112" w:rsidP="009D686D">
      <w:pPr>
        <w:pStyle w:val="Textonotapie"/>
        <w:jc w:val="both"/>
        <w:rPr>
          <w:rFonts w:ascii="Century Gothic" w:hAnsi="Century Gothic"/>
        </w:rPr>
      </w:pPr>
      <w:r w:rsidRPr="00A667DE">
        <w:rPr>
          <w:rStyle w:val="Refdenotaalpie"/>
          <w:rFonts w:ascii="Arial" w:hAnsi="Arial" w:cs="Arial"/>
        </w:rPr>
        <w:footnoteRef/>
      </w:r>
      <w:r w:rsidRPr="00A667DE">
        <w:rPr>
          <w:rFonts w:ascii="Arial" w:hAnsi="Arial" w:cs="Arial"/>
        </w:rPr>
        <w:t xml:space="preserve"> Tesis 1a.CCLXVIII/2016 de rubro “SEGUNDA ETAPA DEL TEST DE PROPORCIONALIDAD. EXAMEN DE LA IDONEIDAD DE LA MEDIDA LEGISLATIVA”, consultable en </w:t>
      </w:r>
      <w:r w:rsidRPr="00A667DE">
        <w:rPr>
          <w:rFonts w:ascii="Arial" w:hAnsi="Arial" w:cs="Arial"/>
          <w:i/>
        </w:rPr>
        <w:t>Gaceta del Semanario Judicial de la Federación</w:t>
      </w:r>
      <w:r w:rsidRPr="00A667DE">
        <w:rPr>
          <w:rFonts w:ascii="Arial" w:hAnsi="Arial" w:cs="Arial"/>
        </w:rPr>
        <w:t>, 10ª época, 1ª Sala, Libro 36, noviembre de 2016, Tomo II, página 911.</w:t>
      </w:r>
      <w:r w:rsidRPr="008E0396">
        <w:rPr>
          <w:rFonts w:ascii="Century Gothic" w:hAnsi="Century Gothic"/>
        </w:rPr>
        <w:t xml:space="preserve"> </w:t>
      </w:r>
    </w:p>
  </w:footnote>
  <w:footnote w:id="38">
    <w:p w:rsidR="00DF5112" w:rsidRPr="00A667DE" w:rsidRDefault="00DF5112" w:rsidP="009D686D">
      <w:pPr>
        <w:pStyle w:val="Textonotapie"/>
        <w:jc w:val="both"/>
        <w:rPr>
          <w:rFonts w:ascii="Arial" w:hAnsi="Arial" w:cs="Arial"/>
        </w:rPr>
      </w:pPr>
      <w:r w:rsidRPr="00A667DE">
        <w:rPr>
          <w:rStyle w:val="Refdenotaalpie"/>
          <w:rFonts w:ascii="Arial" w:hAnsi="Arial" w:cs="Arial"/>
        </w:rPr>
        <w:footnoteRef/>
      </w:r>
      <w:r w:rsidRPr="00A667DE">
        <w:rPr>
          <w:rFonts w:ascii="Arial" w:hAnsi="Arial" w:cs="Arial"/>
        </w:rPr>
        <w:t xml:space="preserve"> Tesis 1a.CCLXX/2016 de rubro “TERCERA ETAPA DEL TEST DE PROPORCIONALIDAD. EXAMEN DE LA NECESIDAD DE LA MEDIDA LEGISLATIVA”, consultable en </w:t>
      </w:r>
      <w:r w:rsidRPr="00A667DE">
        <w:rPr>
          <w:rFonts w:ascii="Arial" w:hAnsi="Arial" w:cs="Arial"/>
          <w:i/>
        </w:rPr>
        <w:t>Gaceta del Semanario Judicial de la Federación</w:t>
      </w:r>
      <w:r w:rsidRPr="00A667DE">
        <w:rPr>
          <w:rFonts w:ascii="Arial" w:hAnsi="Arial" w:cs="Arial"/>
        </w:rPr>
        <w:t xml:space="preserve">, 10ª época, 1ª Sala, Libro 36, noviembre de 2016, Tomo II, página 914. </w:t>
      </w:r>
    </w:p>
  </w:footnote>
  <w:footnote w:id="39">
    <w:p w:rsidR="00DF5112" w:rsidRPr="00B24547" w:rsidRDefault="00DF5112" w:rsidP="00C04C48">
      <w:pPr>
        <w:pStyle w:val="Textonotapie"/>
        <w:widowControl w:val="0"/>
        <w:jc w:val="both"/>
        <w:rPr>
          <w:rFonts w:ascii="Arial" w:hAnsi="Arial" w:cs="Arial"/>
        </w:rPr>
      </w:pPr>
      <w:r w:rsidRPr="00A667DE">
        <w:rPr>
          <w:rStyle w:val="Refdenotaalpie"/>
          <w:rFonts w:ascii="Arial" w:hAnsi="Arial" w:cs="Arial"/>
        </w:rPr>
        <w:footnoteRef/>
      </w:r>
      <w:r w:rsidRPr="00A667DE">
        <w:rPr>
          <w:rFonts w:ascii="Arial" w:hAnsi="Arial" w:cs="Arial"/>
        </w:rPr>
        <w:t xml:space="preserve"> </w:t>
      </w:r>
      <w:r>
        <w:rPr>
          <w:rFonts w:ascii="Arial" w:hAnsi="Arial" w:cs="Arial"/>
        </w:rPr>
        <w:t xml:space="preserve">El </w:t>
      </w:r>
      <w:r w:rsidRPr="00A667DE">
        <w:rPr>
          <w:rFonts w:ascii="Arial" w:hAnsi="Arial" w:cs="Arial"/>
        </w:rPr>
        <w:t xml:space="preserve">Tesis 1a.CCLXXII/2016 de rubro “CUARTA ETAPA DEL TEST DE PROPORCIONALDIAD. EXAMEN DE LA PROPORCIONALIDAD EN SENTIDO ESTRICTO DE LA MEDIDA LEGISLATIVA”, consultable en </w:t>
      </w:r>
      <w:r w:rsidRPr="00A667DE">
        <w:rPr>
          <w:rFonts w:ascii="Arial" w:hAnsi="Arial" w:cs="Arial"/>
          <w:i/>
        </w:rPr>
        <w:t>Gaceta del Semanario Judicial de la Federación</w:t>
      </w:r>
      <w:r w:rsidRPr="00A667DE">
        <w:rPr>
          <w:rFonts w:ascii="Arial" w:hAnsi="Arial" w:cs="Arial"/>
        </w:rPr>
        <w:t>, 10ª época, 1ª Sala, Libro 36, noviembre de 2016, Tomo II, página 894.</w:t>
      </w:r>
    </w:p>
  </w:footnote>
  <w:footnote w:id="40">
    <w:p w:rsidR="00DF5112" w:rsidRPr="00A667DE" w:rsidRDefault="00DF5112" w:rsidP="00360461">
      <w:pPr>
        <w:pStyle w:val="Textonotapie"/>
        <w:jc w:val="both"/>
        <w:rPr>
          <w:rFonts w:ascii="Arial" w:hAnsi="Arial" w:cs="Arial"/>
        </w:rPr>
      </w:pPr>
      <w:r w:rsidRPr="00A667DE">
        <w:rPr>
          <w:rStyle w:val="Refdenotaalpie"/>
          <w:rFonts w:ascii="Arial" w:hAnsi="Arial" w:cs="Arial"/>
        </w:rPr>
        <w:footnoteRef/>
      </w:r>
      <w:r w:rsidRPr="00A667DE">
        <w:rPr>
          <w:rFonts w:ascii="Arial" w:hAnsi="Arial" w:cs="Arial"/>
        </w:rPr>
        <w:t xml:space="preserve"> El test de proporcionalidad ha sido utilizado por esta Sala Superior en múltiples sentencias, como las de los juicios SUP-JDC-894/2017, SUP-JDC-1209/2017, SUP-JDC-139/2018 y SUP-REC-106/2018.</w:t>
      </w:r>
    </w:p>
  </w:footnote>
  <w:footnote w:id="41">
    <w:p w:rsidR="00DF5112" w:rsidRPr="00F16216" w:rsidRDefault="00DF5112" w:rsidP="0004472A">
      <w:pPr>
        <w:pStyle w:val="Textonotapie"/>
        <w:jc w:val="both"/>
        <w:rPr>
          <w:lang w:val="es-MX"/>
        </w:rPr>
      </w:pPr>
      <w:r w:rsidRPr="00A667DE">
        <w:rPr>
          <w:rStyle w:val="Refdenotaalpie"/>
          <w:rFonts w:ascii="Arial" w:hAnsi="Arial" w:cs="Arial"/>
        </w:rPr>
        <w:footnoteRef/>
      </w:r>
      <w:r w:rsidRPr="00A667DE">
        <w:rPr>
          <w:rFonts w:ascii="Arial" w:hAnsi="Arial" w:cs="Arial"/>
        </w:rPr>
        <w:t xml:space="preserve"> El principio de equidad en la contienda se encuentra establecido en el artículo 41 de la CPEUM, con la precisión de que, si bien el mismo hace referencia a los partidos políticos, empero, ello obedece al contexto en que se dio la confección de esa disposición en la que no existía la figura de candidatos independientes; sin embargo, la voluntad de establecer el principio de equidad en la contienda efectivamente se deduce de dicho precepto, en la medida en que se refiere a recursos para la obtención del voto. De ahí que el aludido principio de aplicación general a los participantes en la etapa de campaña.</w:t>
      </w:r>
    </w:p>
  </w:footnote>
  <w:footnote w:id="42">
    <w:p w:rsidR="00DF5112" w:rsidRPr="0047266D" w:rsidRDefault="00DF5112" w:rsidP="009D686D">
      <w:pPr>
        <w:pStyle w:val="Textonotapie"/>
        <w:jc w:val="both"/>
        <w:rPr>
          <w:rFonts w:ascii="Arial" w:hAnsi="Arial" w:cs="Arial"/>
        </w:rPr>
      </w:pPr>
      <w:r w:rsidRPr="0047266D">
        <w:rPr>
          <w:rStyle w:val="Refdenotaalpie"/>
          <w:rFonts w:ascii="Arial" w:hAnsi="Arial" w:cs="Arial"/>
        </w:rPr>
        <w:footnoteRef/>
      </w:r>
      <w:r w:rsidRPr="0047266D">
        <w:rPr>
          <w:rFonts w:ascii="Arial" w:hAnsi="Arial" w:cs="Arial"/>
        </w:rPr>
        <w:t xml:space="preserve"> </w:t>
      </w:r>
      <w:r>
        <w:rPr>
          <w:rFonts w:ascii="Arial" w:hAnsi="Arial" w:cs="Arial"/>
        </w:rPr>
        <w:t>D</w:t>
      </w:r>
      <w:r w:rsidRPr="002F1A1F">
        <w:rPr>
          <w:rFonts w:ascii="Arial" w:hAnsi="Arial" w:cs="Arial"/>
        </w:rPr>
        <w:t xml:space="preserve">e la cual derivó la </w:t>
      </w:r>
      <w:r>
        <w:rPr>
          <w:rFonts w:ascii="Arial" w:hAnsi="Arial" w:cs="Arial"/>
        </w:rPr>
        <w:t>J</w:t>
      </w:r>
      <w:r w:rsidRPr="002F1A1F">
        <w:rPr>
          <w:rFonts w:ascii="Arial" w:hAnsi="Arial" w:cs="Arial"/>
        </w:rPr>
        <w:t xml:space="preserve">urisprudencia 7/2016 de rubro: FINANCIAMIENTO PRIVADO PARA CANDIDATOS INDEPENDIENTES. EL LÍMITE DEL 50% DEL TOPE DE GASTOS DE CAMPAÑA, ES CONSTITUCIONAL (LEGISLACIÓN DE CHIHUAHUA Y SIMILARES), </w:t>
      </w:r>
      <w:bookmarkStart w:id="12" w:name="_Hlk511153828"/>
      <w:r w:rsidRPr="002F1A1F">
        <w:rPr>
          <w:rFonts w:ascii="Arial" w:hAnsi="Arial" w:cs="Arial"/>
        </w:rPr>
        <w:t xml:space="preserve">consultable en la </w:t>
      </w:r>
      <w:r w:rsidRPr="0047266D">
        <w:rPr>
          <w:rFonts w:ascii="Arial" w:hAnsi="Arial" w:cs="Arial"/>
        </w:rPr>
        <w:t>Gaceta de Jurisprudencia y Tesis en materia electoral, Tribunal Electoral del Poder Judicial de la Federación, Año 9, Número 18, 2016, páginas 25 y 26.</w:t>
      </w:r>
    </w:p>
    <w:bookmarkEnd w:id="12"/>
  </w:footnote>
  <w:footnote w:id="43">
    <w:p w:rsidR="00DF5112" w:rsidRPr="00123D98" w:rsidRDefault="00DF5112" w:rsidP="009D686D">
      <w:pPr>
        <w:pStyle w:val="Textonotapie"/>
        <w:jc w:val="both"/>
        <w:rPr>
          <w:rFonts w:ascii="Arial" w:hAnsi="Arial" w:cs="Arial"/>
          <w:b/>
        </w:rPr>
      </w:pPr>
      <w:r w:rsidRPr="00123D98">
        <w:rPr>
          <w:rStyle w:val="Refdenotaalpie"/>
          <w:rFonts w:ascii="Arial" w:hAnsi="Arial" w:cs="Arial"/>
        </w:rPr>
        <w:footnoteRef/>
      </w:r>
      <w:r w:rsidRPr="00123D98">
        <w:rPr>
          <w:rFonts w:ascii="Arial" w:hAnsi="Arial" w:cs="Arial"/>
        </w:rPr>
        <w:t xml:space="preserve"> </w:t>
      </w:r>
      <w:r w:rsidRPr="00A667DE">
        <w:rPr>
          <w:rFonts w:ascii="Arial" w:hAnsi="Arial" w:cs="Arial"/>
        </w:rPr>
        <w:t>Tesis XXI/2015, de rubro: CANDIDATURAS INDEPENDIENTES. NO LES ES APLICABLE EL PRINCIPIO CONSTITUCIONAL DE PREVALENCIA DEL FINANCIAMIENTO PÚBLICO SOBRE EL PRIVADO, QUE CORRESPONDE A LOS PARTIDOS POLÍTICOS.</w:t>
      </w:r>
      <w:r>
        <w:rPr>
          <w:rFonts w:ascii="Arial" w:hAnsi="Arial" w:cs="Arial"/>
        </w:rPr>
        <w:t xml:space="preserve"> </w:t>
      </w:r>
    </w:p>
  </w:footnote>
  <w:footnote w:id="44">
    <w:p w:rsidR="00DF5112" w:rsidRPr="005A6059" w:rsidRDefault="00DF5112" w:rsidP="006A7ED6">
      <w:pPr>
        <w:pStyle w:val="Textonotapie"/>
        <w:jc w:val="both"/>
        <w:rPr>
          <w:rFonts w:ascii="Arial" w:hAnsi="Arial" w:cs="Arial"/>
        </w:rPr>
      </w:pPr>
      <w:r w:rsidRPr="005A6059">
        <w:rPr>
          <w:rStyle w:val="Refdenotaalpie"/>
          <w:rFonts w:ascii="Arial" w:hAnsi="Arial" w:cs="Arial"/>
        </w:rPr>
        <w:footnoteRef/>
      </w:r>
      <w:r w:rsidRPr="005A6059">
        <w:rPr>
          <w:rFonts w:ascii="Arial" w:hAnsi="Arial" w:cs="Arial"/>
        </w:rPr>
        <w:t xml:space="preserve"> Bernal Pulido, Carlos. 2007. </w:t>
      </w:r>
      <w:r w:rsidRPr="000D7998">
        <w:rPr>
          <w:rFonts w:ascii="Arial" w:hAnsi="Arial" w:cs="Arial"/>
        </w:rPr>
        <w:t>El principio de proporcionalidad y los derechos fundamentales</w:t>
      </w:r>
      <w:r w:rsidRPr="005A6059">
        <w:rPr>
          <w:rFonts w:ascii="Arial" w:hAnsi="Arial" w:cs="Arial"/>
          <w:i/>
        </w:rPr>
        <w:t xml:space="preserve">. </w:t>
      </w:r>
      <w:r w:rsidRPr="005A6059">
        <w:rPr>
          <w:rFonts w:ascii="Arial" w:hAnsi="Arial" w:cs="Arial"/>
        </w:rPr>
        <w:t xml:space="preserve">Madrid: Centro de Estudios Políticos y Constitucionales, página 529. </w:t>
      </w:r>
    </w:p>
  </w:footnote>
  <w:footnote w:id="45">
    <w:p w:rsidR="00DF5112" w:rsidRPr="001107ED" w:rsidRDefault="00DF5112" w:rsidP="006A7ED6">
      <w:pPr>
        <w:pStyle w:val="Textonotapie"/>
        <w:rPr>
          <w:rFonts w:ascii="Arial" w:hAnsi="Arial" w:cs="Arial"/>
          <w:lang w:val="es-MX"/>
        </w:rPr>
      </w:pPr>
      <w:r w:rsidRPr="001107ED">
        <w:rPr>
          <w:rStyle w:val="Refdenotaalpie"/>
          <w:rFonts w:ascii="Arial" w:hAnsi="Arial" w:cs="Arial"/>
        </w:rPr>
        <w:footnoteRef/>
      </w:r>
      <w:r w:rsidRPr="001107ED">
        <w:rPr>
          <w:rFonts w:ascii="Arial" w:hAnsi="Arial" w:cs="Arial"/>
        </w:rPr>
        <w:t xml:space="preserve"> </w:t>
      </w:r>
      <w:r>
        <w:rPr>
          <w:rFonts w:ascii="Arial" w:hAnsi="Arial" w:cs="Arial"/>
          <w:lang w:val="es-MX"/>
        </w:rPr>
        <w:t>Véase</w:t>
      </w:r>
      <w:r w:rsidRPr="001107ED">
        <w:rPr>
          <w:rFonts w:ascii="Arial" w:hAnsi="Arial" w:cs="Arial"/>
          <w:lang w:val="es-MX"/>
        </w:rPr>
        <w:t xml:space="preserve"> la sentencia de</w:t>
      </w:r>
      <w:r>
        <w:rPr>
          <w:rFonts w:ascii="Arial" w:hAnsi="Arial" w:cs="Arial"/>
          <w:lang w:val="es-MX"/>
        </w:rPr>
        <w:t>l</w:t>
      </w:r>
      <w:r w:rsidRPr="001107ED">
        <w:rPr>
          <w:rFonts w:ascii="Arial" w:hAnsi="Arial" w:cs="Arial"/>
          <w:lang w:val="es-MX"/>
        </w:rPr>
        <w:t xml:space="preserve"> caso: </w:t>
      </w:r>
      <w:r>
        <w:rPr>
          <w:rFonts w:ascii="Arial" w:hAnsi="Arial" w:cs="Arial"/>
          <w:lang w:val="es-MX"/>
        </w:rPr>
        <w:t>K</w:t>
      </w:r>
      <w:r w:rsidRPr="001107ED">
        <w:rPr>
          <w:rFonts w:ascii="Arial" w:hAnsi="Arial" w:cs="Arial"/>
          <w:lang w:val="es-MX"/>
        </w:rPr>
        <w:t>imel vs. Argentina</w:t>
      </w:r>
      <w:r>
        <w:rPr>
          <w:rFonts w:ascii="Arial" w:hAnsi="Arial" w:cs="Arial"/>
          <w:lang w:val="es-MX"/>
        </w:rPr>
        <w:t>,</w:t>
      </w:r>
      <w:r w:rsidRPr="001107ED">
        <w:rPr>
          <w:rFonts w:ascii="Arial" w:hAnsi="Arial" w:cs="Arial"/>
          <w:lang w:val="es-MX"/>
        </w:rPr>
        <w:t xml:space="preserve"> párrafo 63, (2008)</w:t>
      </w:r>
      <w:r>
        <w:rPr>
          <w:rFonts w:ascii="Arial" w:hAnsi="Arial" w:cs="Arial"/>
          <w:lang w:val="es-MX"/>
        </w:rPr>
        <w:t>.</w:t>
      </w:r>
    </w:p>
  </w:footnote>
  <w:footnote w:id="46">
    <w:p w:rsidR="00DF5112" w:rsidRPr="00A24B7B" w:rsidRDefault="00DF5112" w:rsidP="006A7ED6">
      <w:pPr>
        <w:pStyle w:val="Textonotapie"/>
        <w:jc w:val="both"/>
      </w:pPr>
      <w:r>
        <w:rPr>
          <w:rStyle w:val="Refdenotaalpie"/>
        </w:rPr>
        <w:footnoteRef/>
      </w:r>
      <w:r>
        <w:t xml:space="preserve"> Barak, Aharon. Proporcionalidad: los derechos fundamentales y sus restricciones. 2017. Lima: Palestra Editores.</w:t>
      </w:r>
    </w:p>
  </w:footnote>
  <w:footnote w:id="47">
    <w:p w:rsidR="00DF5112" w:rsidRPr="000344F5" w:rsidRDefault="00DF5112" w:rsidP="006178DB">
      <w:pPr>
        <w:pStyle w:val="Textonotapie"/>
        <w:jc w:val="both"/>
        <w:rPr>
          <w:lang w:val="es-ES_tradnl"/>
        </w:rPr>
      </w:pPr>
      <w:r w:rsidRPr="000344F5">
        <w:rPr>
          <w:rStyle w:val="Refdenotaalpie"/>
        </w:rPr>
        <w:footnoteRef/>
      </w:r>
      <w:r w:rsidRPr="000344F5">
        <w:t xml:space="preserve"> Con base en el acuerdo INE/CG505/2017, aprobado por el Consejo General del INE en la sesión ordinaria celebrada el 30 de octubre de 2017.</w:t>
      </w:r>
    </w:p>
  </w:footnote>
  <w:footnote w:id="48">
    <w:p w:rsidR="00DF5112" w:rsidRPr="00F458CD" w:rsidRDefault="00DF5112" w:rsidP="00A10E36">
      <w:pPr>
        <w:spacing w:after="0" w:line="240" w:lineRule="auto"/>
        <w:jc w:val="both"/>
        <w:rPr>
          <w:rFonts w:ascii="Arial" w:hAnsi="Arial" w:cs="Arial"/>
          <w:sz w:val="20"/>
          <w:szCs w:val="20"/>
        </w:rPr>
      </w:pPr>
      <w:r w:rsidRPr="00F458CD">
        <w:rPr>
          <w:rStyle w:val="Refdenotaalpie"/>
          <w:rFonts w:ascii="Arial" w:hAnsi="Arial" w:cs="Arial"/>
          <w:sz w:val="20"/>
          <w:szCs w:val="20"/>
        </w:rPr>
        <w:footnoteRef/>
      </w:r>
      <w:r w:rsidRPr="00F458CD">
        <w:rPr>
          <w:rFonts w:ascii="Arial" w:hAnsi="Arial" w:cs="Arial"/>
          <w:sz w:val="20"/>
          <w:szCs w:val="20"/>
        </w:rPr>
        <w:t xml:space="preserve"> Tesis emitida por la Segunda Sala de la Suprema Corte de Justicia de la Nación, de n</w:t>
      </w:r>
      <w:r>
        <w:rPr>
          <w:rFonts w:ascii="Arial" w:hAnsi="Arial" w:cs="Arial"/>
          <w:sz w:val="20"/>
          <w:szCs w:val="20"/>
        </w:rPr>
        <w:t>ú</w:t>
      </w:r>
      <w:r w:rsidRPr="00F458CD">
        <w:rPr>
          <w:rFonts w:ascii="Arial" w:hAnsi="Arial" w:cs="Arial"/>
          <w:sz w:val="20"/>
          <w:szCs w:val="20"/>
        </w:rPr>
        <w:t>mero P./J. 23/2002,</w:t>
      </w:r>
      <w:r w:rsidRPr="00F458CD">
        <w:rPr>
          <w:rFonts w:ascii="Arial" w:hAnsi="Arial" w:cs="Arial"/>
          <w:b/>
          <w:sz w:val="20"/>
          <w:szCs w:val="20"/>
        </w:rPr>
        <w:t xml:space="preserve"> </w:t>
      </w:r>
      <w:r w:rsidRPr="00F458CD">
        <w:rPr>
          <w:rFonts w:ascii="Arial" w:hAnsi="Arial" w:cs="Arial"/>
          <w:sz w:val="20"/>
          <w:szCs w:val="20"/>
        </w:rPr>
        <w:t>consultable en la página 22 del Semanario Judicial de la Federación y su Gaceta en la Novena Época. Tomo XXXI, enero de 2010.</w:t>
      </w:r>
    </w:p>
    <w:p w:rsidR="00DF5112" w:rsidRDefault="00DF5112" w:rsidP="00A10E36">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112" w:rsidRPr="00DA78AB" w:rsidRDefault="00DF5112" w:rsidP="00DA78AB">
    <w:pPr>
      <w:pStyle w:val="Sinespaciado"/>
      <w:rPr>
        <w:sz w:val="24"/>
      </w:rPr>
    </w:pPr>
    <w:r w:rsidRPr="00DA78AB">
      <w:rPr>
        <w:rFonts w:ascii="Arial" w:hAnsi="Arial" w:cs="Arial"/>
        <w:b/>
        <w:sz w:val="24"/>
      </w:rPr>
      <w:t>SUP-JDC-222/2018 Y ACUMULADOS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112" w:rsidRPr="00DA78AB" w:rsidRDefault="00DF5112" w:rsidP="0092705C">
    <w:pPr>
      <w:pStyle w:val="Sinespaciado"/>
      <w:jc w:val="right"/>
      <w:rPr>
        <w:sz w:val="24"/>
      </w:rPr>
    </w:pPr>
    <w:r w:rsidRPr="00DA78AB">
      <w:rPr>
        <w:rFonts w:ascii="Arial" w:hAnsi="Arial" w:cs="Arial"/>
        <w:b/>
        <w:sz w:val="24"/>
      </w:rPr>
      <w:t>SUP-JDC-222/2018 Y ACUMULADOS</w:t>
    </w:r>
  </w:p>
  <w:p w:rsidR="00DF5112" w:rsidRDefault="00DF5112" w:rsidP="00F13EFD">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8D0277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973DFA"/>
    <w:multiLevelType w:val="hybridMultilevel"/>
    <w:tmpl w:val="E036F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2B4719"/>
    <w:multiLevelType w:val="hybridMultilevel"/>
    <w:tmpl w:val="AB6825FA"/>
    <w:lvl w:ilvl="0" w:tplc="9F74AF54">
      <w:start w:val="1"/>
      <w:numFmt w:val="lowerRoman"/>
      <w:lvlText w:val="%1."/>
      <w:lvlJc w:val="left"/>
      <w:pPr>
        <w:ind w:left="1659" w:hanging="808"/>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800121D"/>
    <w:multiLevelType w:val="hybridMultilevel"/>
    <w:tmpl w:val="40B49676"/>
    <w:lvl w:ilvl="0" w:tplc="7D78F900">
      <w:start w:val="1"/>
      <w:numFmt w:val="lowerRoman"/>
      <w:lvlText w:val="%1."/>
      <w:lvlJc w:val="left"/>
      <w:pPr>
        <w:ind w:left="1417" w:hanging="283"/>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0CF95504"/>
    <w:multiLevelType w:val="hybridMultilevel"/>
    <w:tmpl w:val="F0AA3ACA"/>
    <w:lvl w:ilvl="0" w:tplc="F13C23DA">
      <w:start w:val="1"/>
      <w:numFmt w:val="decimal"/>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hint="default"/>
      </w:rPr>
    </w:lvl>
    <w:lvl w:ilvl="2" w:tplc="080A001B">
      <w:start w:val="1"/>
      <w:numFmt w:val="lowerRoman"/>
      <w:lvlText w:val="%3."/>
      <w:lvlJc w:val="right"/>
      <w:pPr>
        <w:ind w:left="2508" w:hanging="180"/>
      </w:pPr>
    </w:lvl>
    <w:lvl w:ilvl="3" w:tplc="D416D5E2">
      <w:start w:val="1"/>
      <w:numFmt w:val="lowerLetter"/>
      <w:lvlText w:val="%4)"/>
      <w:lvlJc w:val="left"/>
      <w:pPr>
        <w:ind w:left="3228" w:hanging="360"/>
      </w:pPr>
      <w:rPr>
        <w:rFonts w:hint="default"/>
      </w:r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5A75A8A"/>
    <w:multiLevelType w:val="hybridMultilevel"/>
    <w:tmpl w:val="72721C88"/>
    <w:lvl w:ilvl="0" w:tplc="F13C23DA">
      <w:start w:val="1"/>
      <w:numFmt w:val="decimal"/>
      <w:lvlText w:val="%1."/>
      <w:lvlJc w:val="left"/>
      <w:pPr>
        <w:ind w:left="1068" w:hanging="360"/>
      </w:pPr>
      <w:rPr>
        <w:rFonts w:hint="default"/>
      </w:rPr>
    </w:lvl>
    <w:lvl w:ilvl="1" w:tplc="0C0A0001">
      <w:start w:val="1"/>
      <w:numFmt w:val="bullet"/>
      <w:lvlText w:val=""/>
      <w:lvlJc w:val="left"/>
      <w:pPr>
        <w:ind w:left="1788" w:hanging="360"/>
      </w:pPr>
      <w:rPr>
        <w:rFonts w:ascii="Symbol" w:hAnsi="Symbol" w:hint="default"/>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B8E4176"/>
    <w:multiLevelType w:val="hybridMultilevel"/>
    <w:tmpl w:val="CA20B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B54575"/>
    <w:multiLevelType w:val="hybridMultilevel"/>
    <w:tmpl w:val="55DEB42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396A48B8"/>
    <w:multiLevelType w:val="hybridMultilevel"/>
    <w:tmpl w:val="0494F802"/>
    <w:lvl w:ilvl="0" w:tplc="F13C23DA">
      <w:start w:val="1"/>
      <w:numFmt w:val="decimal"/>
      <w:lvlText w:val="%1."/>
      <w:lvlJc w:val="left"/>
      <w:pPr>
        <w:ind w:left="1068" w:hanging="360"/>
      </w:pPr>
      <w:rPr>
        <w:rFonts w:hint="default"/>
      </w:rPr>
    </w:lvl>
    <w:lvl w:ilvl="1" w:tplc="080A000B">
      <w:start w:val="1"/>
      <w:numFmt w:val="bullet"/>
      <w:lvlText w:val=""/>
      <w:lvlJc w:val="left"/>
      <w:pPr>
        <w:ind w:left="1788" w:hanging="360"/>
      </w:pPr>
      <w:rPr>
        <w:rFonts w:ascii="Wingdings" w:hAnsi="Wingdings" w:hint="default"/>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EE16D70"/>
    <w:multiLevelType w:val="hybridMultilevel"/>
    <w:tmpl w:val="3B3CCC4A"/>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438D4160"/>
    <w:multiLevelType w:val="hybridMultilevel"/>
    <w:tmpl w:val="828A4C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762A78"/>
    <w:multiLevelType w:val="hybridMultilevel"/>
    <w:tmpl w:val="C7A8F7F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47DE5F14"/>
    <w:multiLevelType w:val="hybridMultilevel"/>
    <w:tmpl w:val="AAC4AB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732118"/>
    <w:multiLevelType w:val="multilevel"/>
    <w:tmpl w:val="146000C0"/>
    <w:styleLink w:val="Estilo2"/>
    <w:lvl w:ilvl="0">
      <w:start w:val="1"/>
      <w:numFmt w:val="lowerLetter"/>
      <w:lvlText w:val="%1."/>
      <w:lvlJc w:val="left"/>
      <w:pPr>
        <w:ind w:left="1069" w:hanging="360"/>
      </w:pPr>
      <w:rPr>
        <w:rFonts w:hint="default"/>
        <w:sz w:val="28"/>
      </w:rPr>
    </w:lvl>
    <w:lvl w:ilvl="1">
      <w:start w:val="1"/>
      <w:numFmt w:val="lowerRoman"/>
      <w:lvlText w:val="%2."/>
      <w:lvlJc w:val="right"/>
      <w:pPr>
        <w:ind w:left="1575"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53CD3502"/>
    <w:multiLevelType w:val="hybridMultilevel"/>
    <w:tmpl w:val="B8ECBD32"/>
    <w:lvl w:ilvl="0" w:tplc="080A0001">
      <w:start w:val="1"/>
      <w:numFmt w:val="bullet"/>
      <w:lvlText w:val=""/>
      <w:lvlJc w:val="left"/>
      <w:pPr>
        <w:ind w:left="1068" w:hanging="360"/>
      </w:pPr>
      <w:rPr>
        <w:rFonts w:ascii="Symbol" w:hAnsi="Symbol"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476034F"/>
    <w:multiLevelType w:val="hybridMultilevel"/>
    <w:tmpl w:val="1796244A"/>
    <w:lvl w:ilvl="0" w:tplc="F13C23DA">
      <w:start w:val="1"/>
      <w:numFmt w:val="decimal"/>
      <w:lvlText w:val="%1."/>
      <w:lvlJc w:val="left"/>
      <w:pPr>
        <w:ind w:left="1068" w:hanging="360"/>
      </w:pPr>
      <w:rPr>
        <w:rFonts w:hint="default"/>
      </w:rPr>
    </w:lvl>
    <w:lvl w:ilvl="1" w:tplc="0C0A0001">
      <w:start w:val="1"/>
      <w:numFmt w:val="bullet"/>
      <w:lvlText w:val=""/>
      <w:lvlJc w:val="left"/>
      <w:pPr>
        <w:ind w:left="1788" w:hanging="360"/>
      </w:pPr>
      <w:rPr>
        <w:rFonts w:ascii="Symbol" w:hAnsi="Symbol" w:hint="default"/>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4766B4E"/>
    <w:multiLevelType w:val="multilevel"/>
    <w:tmpl w:val="AB36C932"/>
    <w:lvl w:ilvl="0">
      <w:start w:val="1"/>
      <w:numFmt w:val="decimal"/>
      <w:pStyle w:val="Ttulo1"/>
      <w:suff w:val="space"/>
      <w:lvlText w:val="%1."/>
      <w:lvlJc w:val="left"/>
      <w:pPr>
        <w:ind w:left="1418" w:firstLine="0"/>
      </w:pPr>
      <w:rPr>
        <w:rFonts w:hint="default"/>
        <w:b/>
        <w:i w:val="0"/>
        <w:caps/>
        <w:sz w:val="28"/>
        <w:szCs w:val="26"/>
      </w:rPr>
    </w:lvl>
    <w:lvl w:ilvl="1">
      <w:start w:val="1"/>
      <w:numFmt w:val="decimal"/>
      <w:pStyle w:val="Ttulo2"/>
      <w:suff w:val="space"/>
      <w:lvlText w:val="%1.%2."/>
      <w:lvlJc w:val="left"/>
      <w:pPr>
        <w:ind w:left="2269" w:firstLine="0"/>
      </w:pPr>
      <w:rPr>
        <w:rFonts w:hint="default"/>
        <w:b/>
        <w:i w:val="0"/>
      </w:rPr>
    </w:lvl>
    <w:lvl w:ilvl="2">
      <w:start w:val="1"/>
      <w:numFmt w:val="decimal"/>
      <w:pStyle w:val="Ttulo3"/>
      <w:suff w:val="space"/>
      <w:lvlText w:val="%1.%2.%3."/>
      <w:lvlJc w:val="left"/>
      <w:pPr>
        <w:ind w:left="1418" w:firstLine="0"/>
      </w:pPr>
      <w:rPr>
        <w:rFonts w:hint="default"/>
        <w:b/>
      </w:rPr>
    </w:lvl>
    <w:lvl w:ilvl="3">
      <w:start w:val="1"/>
      <w:numFmt w:val="lowerLetter"/>
      <w:suff w:val="space"/>
      <w:lvlText w:val="%4."/>
      <w:lvlJc w:val="left"/>
      <w:pPr>
        <w:ind w:left="1418"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006"/>
        </w:tabs>
        <w:ind w:left="1418" w:firstLine="0"/>
      </w:pPr>
      <w:rPr>
        <w:rFonts w:hint="default"/>
        <w:b/>
      </w:rPr>
    </w:lvl>
    <w:lvl w:ilvl="5">
      <w:start w:val="1"/>
      <w:numFmt w:val="decimal"/>
      <w:pStyle w:val="Ttulo6"/>
      <w:lvlText w:val="%1.%2.%3.%4.%5.%6"/>
      <w:lvlJc w:val="left"/>
      <w:pPr>
        <w:tabs>
          <w:tab w:val="num" w:pos="3006"/>
        </w:tabs>
        <w:ind w:left="1418" w:firstLine="0"/>
      </w:pPr>
      <w:rPr>
        <w:rFonts w:hint="default"/>
      </w:rPr>
    </w:lvl>
    <w:lvl w:ilvl="6">
      <w:start w:val="1"/>
      <w:numFmt w:val="decimal"/>
      <w:pStyle w:val="Ttulo7"/>
      <w:lvlText w:val="%1.%2.%3.%4.%5.%6.%7"/>
      <w:lvlJc w:val="left"/>
      <w:pPr>
        <w:tabs>
          <w:tab w:val="num" w:pos="3006"/>
        </w:tabs>
        <w:ind w:left="1418" w:firstLine="0"/>
      </w:pPr>
      <w:rPr>
        <w:rFonts w:hint="default"/>
      </w:rPr>
    </w:lvl>
    <w:lvl w:ilvl="7">
      <w:start w:val="1"/>
      <w:numFmt w:val="decimal"/>
      <w:pStyle w:val="Ttulo8"/>
      <w:lvlText w:val="%1.%2.%3.%4.%5.%6.%7.%8"/>
      <w:lvlJc w:val="left"/>
      <w:pPr>
        <w:tabs>
          <w:tab w:val="num" w:pos="3006"/>
        </w:tabs>
        <w:ind w:left="1418" w:firstLine="0"/>
      </w:pPr>
      <w:rPr>
        <w:rFonts w:hint="default"/>
      </w:rPr>
    </w:lvl>
    <w:lvl w:ilvl="8">
      <w:start w:val="1"/>
      <w:numFmt w:val="decimal"/>
      <w:lvlText w:val="%1.%2.%3.%4.%5.%6.%7.%8.%9"/>
      <w:lvlJc w:val="left"/>
      <w:pPr>
        <w:tabs>
          <w:tab w:val="num" w:pos="3006"/>
        </w:tabs>
        <w:ind w:left="1418" w:firstLine="0"/>
      </w:pPr>
      <w:rPr>
        <w:rFonts w:hint="default"/>
      </w:rPr>
    </w:lvl>
  </w:abstractNum>
  <w:abstractNum w:abstractNumId="17" w15:restartNumberingAfterBreak="0">
    <w:nsid w:val="54B30EC8"/>
    <w:multiLevelType w:val="hybridMultilevel"/>
    <w:tmpl w:val="5D7A791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92818FC"/>
    <w:multiLevelType w:val="hybridMultilevel"/>
    <w:tmpl w:val="81A625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620F1A64"/>
    <w:multiLevelType w:val="multilevel"/>
    <w:tmpl w:val="49C2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0277D9"/>
    <w:multiLevelType w:val="hybridMultilevel"/>
    <w:tmpl w:val="86A4EA1A"/>
    <w:lvl w:ilvl="0" w:tplc="ABE4E820">
      <w:start w:val="1"/>
      <w:numFmt w:val="decimal"/>
      <w:pStyle w:val="Ttulo5"/>
      <w:lvlText w:val="6.1.1.1.%1."/>
      <w:lvlJc w:val="left"/>
      <w:pPr>
        <w:ind w:left="21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1" w15:restartNumberingAfterBreak="0">
    <w:nsid w:val="661D4367"/>
    <w:multiLevelType w:val="hybridMultilevel"/>
    <w:tmpl w:val="296A24EC"/>
    <w:lvl w:ilvl="0" w:tplc="F13C23DA">
      <w:start w:val="1"/>
      <w:numFmt w:val="decimal"/>
      <w:lvlText w:val="%1."/>
      <w:lvlJc w:val="left"/>
      <w:pPr>
        <w:ind w:left="1068" w:hanging="360"/>
      </w:pPr>
      <w:rPr>
        <w:rFonts w:hint="default"/>
      </w:rPr>
    </w:lvl>
    <w:lvl w:ilvl="1" w:tplc="0C0A0001">
      <w:start w:val="1"/>
      <w:numFmt w:val="bullet"/>
      <w:lvlText w:val=""/>
      <w:lvlJc w:val="left"/>
      <w:pPr>
        <w:ind w:left="1788" w:hanging="360"/>
      </w:pPr>
      <w:rPr>
        <w:rFonts w:ascii="Symbol" w:hAnsi="Symbol" w:hint="default"/>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807316C"/>
    <w:multiLevelType w:val="hybridMultilevel"/>
    <w:tmpl w:val="74F4588E"/>
    <w:lvl w:ilvl="0" w:tplc="080A0001">
      <w:start w:val="1"/>
      <w:numFmt w:val="bullet"/>
      <w:lvlText w:val=""/>
      <w:lvlJc w:val="left"/>
      <w:pPr>
        <w:ind w:left="1068" w:hanging="360"/>
      </w:pPr>
      <w:rPr>
        <w:rFonts w:ascii="Symbol" w:hAnsi="Symbol"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9483CD4"/>
    <w:multiLevelType w:val="hybridMultilevel"/>
    <w:tmpl w:val="AF3AEBBA"/>
    <w:lvl w:ilvl="0" w:tplc="0C0A000B">
      <w:start w:val="1"/>
      <w:numFmt w:val="bullet"/>
      <w:lvlText w:val=""/>
      <w:lvlJc w:val="left"/>
      <w:pPr>
        <w:ind w:left="1068" w:hanging="360"/>
      </w:pPr>
      <w:rPr>
        <w:rFonts w:ascii="Wingdings" w:hAnsi="Wingding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550467B"/>
    <w:multiLevelType w:val="hybridMultilevel"/>
    <w:tmpl w:val="1FFA1B1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num w:numId="1">
    <w:abstractNumId w:val="16"/>
  </w:num>
  <w:num w:numId="2">
    <w:abstractNumId w:val="13"/>
  </w:num>
  <w:num w:numId="3">
    <w:abstractNumId w:val="20"/>
  </w:num>
  <w:num w:numId="4">
    <w:abstractNumId w:val="6"/>
  </w:num>
  <w:num w:numId="5">
    <w:abstractNumId w:val="19"/>
  </w:num>
  <w:num w:numId="6">
    <w:abstractNumId w:val="17"/>
  </w:num>
  <w:num w:numId="7">
    <w:abstractNumId w:val="22"/>
  </w:num>
  <w:num w:numId="8">
    <w:abstractNumId w:val="14"/>
  </w:num>
  <w:num w:numId="9">
    <w:abstractNumId w:val="8"/>
  </w:num>
  <w:num w:numId="10">
    <w:abstractNumId w:val="18"/>
  </w:num>
  <w:num w:numId="11">
    <w:abstractNumId w:val="3"/>
  </w:num>
  <w:num w:numId="12">
    <w:abstractNumId w:val="2"/>
  </w:num>
  <w:num w:numId="13">
    <w:abstractNumId w:val="10"/>
  </w:num>
  <w:num w:numId="14">
    <w:abstractNumId w:val="9"/>
  </w:num>
  <w:num w:numId="15">
    <w:abstractNumId w:val="24"/>
  </w:num>
  <w:num w:numId="16">
    <w:abstractNumId w:val="1"/>
  </w:num>
  <w:num w:numId="17">
    <w:abstractNumId w:val="0"/>
  </w:num>
  <w:num w:numId="18">
    <w:abstractNumId w:val="7"/>
  </w:num>
  <w:num w:numId="19">
    <w:abstractNumId w:val="11"/>
  </w:num>
  <w:num w:numId="20">
    <w:abstractNumId w:val="4"/>
  </w:num>
  <w:num w:numId="21">
    <w:abstractNumId w:val="21"/>
  </w:num>
  <w:num w:numId="22">
    <w:abstractNumId w:val="15"/>
  </w:num>
  <w:num w:numId="23">
    <w:abstractNumId w:val="5"/>
  </w:num>
  <w:num w:numId="24">
    <w:abstractNumId w:val="23"/>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B625C3D-874F-408A-8374-8E7995805D57}"/>
    <w:docVar w:name="dgnword-eventsink" w:val="114709952"/>
  </w:docVars>
  <w:rsids>
    <w:rsidRoot w:val="005927E1"/>
    <w:rsid w:val="000000FE"/>
    <w:rsid w:val="0000011C"/>
    <w:rsid w:val="000001A1"/>
    <w:rsid w:val="00001429"/>
    <w:rsid w:val="00002316"/>
    <w:rsid w:val="00002D77"/>
    <w:rsid w:val="000054D2"/>
    <w:rsid w:val="00005E54"/>
    <w:rsid w:val="000065F8"/>
    <w:rsid w:val="00006A7C"/>
    <w:rsid w:val="00006E61"/>
    <w:rsid w:val="000075DF"/>
    <w:rsid w:val="000076B3"/>
    <w:rsid w:val="00007EBD"/>
    <w:rsid w:val="00010724"/>
    <w:rsid w:val="00010F09"/>
    <w:rsid w:val="00011D3A"/>
    <w:rsid w:val="00011D66"/>
    <w:rsid w:val="0001204D"/>
    <w:rsid w:val="00012F0A"/>
    <w:rsid w:val="00013243"/>
    <w:rsid w:val="00013377"/>
    <w:rsid w:val="00013397"/>
    <w:rsid w:val="000136FC"/>
    <w:rsid w:val="000138D2"/>
    <w:rsid w:val="00013C07"/>
    <w:rsid w:val="00013F3F"/>
    <w:rsid w:val="00014522"/>
    <w:rsid w:val="00014D8F"/>
    <w:rsid w:val="000150E6"/>
    <w:rsid w:val="0001590C"/>
    <w:rsid w:val="00016223"/>
    <w:rsid w:val="0001684C"/>
    <w:rsid w:val="0001714A"/>
    <w:rsid w:val="000176F8"/>
    <w:rsid w:val="00017707"/>
    <w:rsid w:val="00017898"/>
    <w:rsid w:val="00017A73"/>
    <w:rsid w:val="00017CAA"/>
    <w:rsid w:val="00020996"/>
    <w:rsid w:val="000211D4"/>
    <w:rsid w:val="00022962"/>
    <w:rsid w:val="000236E0"/>
    <w:rsid w:val="000237F3"/>
    <w:rsid w:val="000247A6"/>
    <w:rsid w:val="00025CC9"/>
    <w:rsid w:val="00025FB1"/>
    <w:rsid w:val="00025FB3"/>
    <w:rsid w:val="000265B2"/>
    <w:rsid w:val="000268DD"/>
    <w:rsid w:val="00026B1E"/>
    <w:rsid w:val="00027E16"/>
    <w:rsid w:val="00030863"/>
    <w:rsid w:val="000319C2"/>
    <w:rsid w:val="000324A5"/>
    <w:rsid w:val="00033238"/>
    <w:rsid w:val="000333A9"/>
    <w:rsid w:val="0003345F"/>
    <w:rsid w:val="00035165"/>
    <w:rsid w:val="00035A02"/>
    <w:rsid w:val="00035E14"/>
    <w:rsid w:val="00036E1C"/>
    <w:rsid w:val="00037927"/>
    <w:rsid w:val="0004049B"/>
    <w:rsid w:val="00040545"/>
    <w:rsid w:val="00040628"/>
    <w:rsid w:val="00040B54"/>
    <w:rsid w:val="000411B2"/>
    <w:rsid w:val="00041D0A"/>
    <w:rsid w:val="000420F5"/>
    <w:rsid w:val="00043698"/>
    <w:rsid w:val="00043B76"/>
    <w:rsid w:val="00043CD3"/>
    <w:rsid w:val="0004472A"/>
    <w:rsid w:val="00044987"/>
    <w:rsid w:val="00044E93"/>
    <w:rsid w:val="0004522C"/>
    <w:rsid w:val="00045B33"/>
    <w:rsid w:val="00046B45"/>
    <w:rsid w:val="000470FC"/>
    <w:rsid w:val="0004736B"/>
    <w:rsid w:val="0004790D"/>
    <w:rsid w:val="00047C7C"/>
    <w:rsid w:val="00050AD8"/>
    <w:rsid w:val="00050D45"/>
    <w:rsid w:val="000517A5"/>
    <w:rsid w:val="000521F5"/>
    <w:rsid w:val="00052574"/>
    <w:rsid w:val="00052A0B"/>
    <w:rsid w:val="000535CD"/>
    <w:rsid w:val="00053636"/>
    <w:rsid w:val="00055157"/>
    <w:rsid w:val="000575B5"/>
    <w:rsid w:val="000576E8"/>
    <w:rsid w:val="00060300"/>
    <w:rsid w:val="000614F6"/>
    <w:rsid w:val="00061B15"/>
    <w:rsid w:val="000626FC"/>
    <w:rsid w:val="00062901"/>
    <w:rsid w:val="00063BB4"/>
    <w:rsid w:val="00063D25"/>
    <w:rsid w:val="000640E6"/>
    <w:rsid w:val="00064316"/>
    <w:rsid w:val="00064C4B"/>
    <w:rsid w:val="00065668"/>
    <w:rsid w:val="00065FB8"/>
    <w:rsid w:val="00067BFE"/>
    <w:rsid w:val="00067C31"/>
    <w:rsid w:val="0007038F"/>
    <w:rsid w:val="0007062E"/>
    <w:rsid w:val="000706A0"/>
    <w:rsid w:val="000706A1"/>
    <w:rsid w:val="00071DD1"/>
    <w:rsid w:val="0007271A"/>
    <w:rsid w:val="0007291F"/>
    <w:rsid w:val="00072999"/>
    <w:rsid w:val="000730FF"/>
    <w:rsid w:val="000731FB"/>
    <w:rsid w:val="00073201"/>
    <w:rsid w:val="0007426C"/>
    <w:rsid w:val="000744F8"/>
    <w:rsid w:val="00074598"/>
    <w:rsid w:val="00074DA2"/>
    <w:rsid w:val="000752BF"/>
    <w:rsid w:val="000755BE"/>
    <w:rsid w:val="00075A6E"/>
    <w:rsid w:val="00076106"/>
    <w:rsid w:val="00076451"/>
    <w:rsid w:val="000766D8"/>
    <w:rsid w:val="00076853"/>
    <w:rsid w:val="00076979"/>
    <w:rsid w:val="000772A6"/>
    <w:rsid w:val="00077D9C"/>
    <w:rsid w:val="00080603"/>
    <w:rsid w:val="00080A9A"/>
    <w:rsid w:val="00080FCC"/>
    <w:rsid w:val="0008188D"/>
    <w:rsid w:val="00081CC7"/>
    <w:rsid w:val="00081D1B"/>
    <w:rsid w:val="000824A2"/>
    <w:rsid w:val="0008270A"/>
    <w:rsid w:val="00083608"/>
    <w:rsid w:val="0008383B"/>
    <w:rsid w:val="00084298"/>
    <w:rsid w:val="000842E6"/>
    <w:rsid w:val="00084607"/>
    <w:rsid w:val="00084775"/>
    <w:rsid w:val="00084C2C"/>
    <w:rsid w:val="00084C8A"/>
    <w:rsid w:val="0008529F"/>
    <w:rsid w:val="000854FB"/>
    <w:rsid w:val="00085A46"/>
    <w:rsid w:val="00085EC0"/>
    <w:rsid w:val="00085F0B"/>
    <w:rsid w:val="00086B7C"/>
    <w:rsid w:val="000874EA"/>
    <w:rsid w:val="00092733"/>
    <w:rsid w:val="000927B1"/>
    <w:rsid w:val="00092ED5"/>
    <w:rsid w:val="000930BD"/>
    <w:rsid w:val="00093383"/>
    <w:rsid w:val="00093679"/>
    <w:rsid w:val="0009431D"/>
    <w:rsid w:val="000944F6"/>
    <w:rsid w:val="000947D1"/>
    <w:rsid w:val="00095081"/>
    <w:rsid w:val="00095A78"/>
    <w:rsid w:val="00095C29"/>
    <w:rsid w:val="00095FC0"/>
    <w:rsid w:val="000964AC"/>
    <w:rsid w:val="000976F8"/>
    <w:rsid w:val="00097B88"/>
    <w:rsid w:val="000A037F"/>
    <w:rsid w:val="000A14FD"/>
    <w:rsid w:val="000A2AFE"/>
    <w:rsid w:val="000A2F90"/>
    <w:rsid w:val="000A3402"/>
    <w:rsid w:val="000A36F4"/>
    <w:rsid w:val="000A48E7"/>
    <w:rsid w:val="000A48F2"/>
    <w:rsid w:val="000A49DB"/>
    <w:rsid w:val="000A5A1E"/>
    <w:rsid w:val="000A5F2A"/>
    <w:rsid w:val="000A66EC"/>
    <w:rsid w:val="000A66EF"/>
    <w:rsid w:val="000A68C4"/>
    <w:rsid w:val="000A7290"/>
    <w:rsid w:val="000A784D"/>
    <w:rsid w:val="000A7863"/>
    <w:rsid w:val="000B02D3"/>
    <w:rsid w:val="000B1E6D"/>
    <w:rsid w:val="000B31EA"/>
    <w:rsid w:val="000B4A00"/>
    <w:rsid w:val="000B4BC7"/>
    <w:rsid w:val="000B66F6"/>
    <w:rsid w:val="000B6807"/>
    <w:rsid w:val="000B6D6B"/>
    <w:rsid w:val="000B76A9"/>
    <w:rsid w:val="000B7A01"/>
    <w:rsid w:val="000B7C34"/>
    <w:rsid w:val="000C11C2"/>
    <w:rsid w:val="000C1EBA"/>
    <w:rsid w:val="000C2C30"/>
    <w:rsid w:val="000C2F29"/>
    <w:rsid w:val="000C3E80"/>
    <w:rsid w:val="000C3E98"/>
    <w:rsid w:val="000C4A83"/>
    <w:rsid w:val="000C63EA"/>
    <w:rsid w:val="000C6B7E"/>
    <w:rsid w:val="000C7036"/>
    <w:rsid w:val="000C7364"/>
    <w:rsid w:val="000D04C7"/>
    <w:rsid w:val="000D271C"/>
    <w:rsid w:val="000D4463"/>
    <w:rsid w:val="000D466C"/>
    <w:rsid w:val="000D48AC"/>
    <w:rsid w:val="000D5788"/>
    <w:rsid w:val="000D57E6"/>
    <w:rsid w:val="000D6358"/>
    <w:rsid w:val="000D7305"/>
    <w:rsid w:val="000D7992"/>
    <w:rsid w:val="000D7998"/>
    <w:rsid w:val="000E0BE4"/>
    <w:rsid w:val="000E127C"/>
    <w:rsid w:val="000E1871"/>
    <w:rsid w:val="000E1A78"/>
    <w:rsid w:val="000E2838"/>
    <w:rsid w:val="000E329F"/>
    <w:rsid w:val="000E464B"/>
    <w:rsid w:val="000E48DB"/>
    <w:rsid w:val="000E4FAE"/>
    <w:rsid w:val="000E518A"/>
    <w:rsid w:val="000E54E5"/>
    <w:rsid w:val="000E6780"/>
    <w:rsid w:val="000E67DE"/>
    <w:rsid w:val="000E6EE0"/>
    <w:rsid w:val="000E71B4"/>
    <w:rsid w:val="000F0004"/>
    <w:rsid w:val="000F01D5"/>
    <w:rsid w:val="000F17C4"/>
    <w:rsid w:val="000F1B47"/>
    <w:rsid w:val="000F2C73"/>
    <w:rsid w:val="000F2D7A"/>
    <w:rsid w:val="000F303C"/>
    <w:rsid w:val="000F415B"/>
    <w:rsid w:val="000F48A0"/>
    <w:rsid w:val="000F4C81"/>
    <w:rsid w:val="000F53CD"/>
    <w:rsid w:val="000F5A73"/>
    <w:rsid w:val="000F5E07"/>
    <w:rsid w:val="000F5FC5"/>
    <w:rsid w:val="000F68EF"/>
    <w:rsid w:val="000F6B13"/>
    <w:rsid w:val="000F72CF"/>
    <w:rsid w:val="0010030F"/>
    <w:rsid w:val="001003DE"/>
    <w:rsid w:val="0010087B"/>
    <w:rsid w:val="001018D6"/>
    <w:rsid w:val="001022EC"/>
    <w:rsid w:val="00102E88"/>
    <w:rsid w:val="0010446E"/>
    <w:rsid w:val="0010449F"/>
    <w:rsid w:val="001045F0"/>
    <w:rsid w:val="0010460E"/>
    <w:rsid w:val="0010491D"/>
    <w:rsid w:val="00105237"/>
    <w:rsid w:val="0010618B"/>
    <w:rsid w:val="00106514"/>
    <w:rsid w:val="001065B4"/>
    <w:rsid w:val="00106610"/>
    <w:rsid w:val="00110499"/>
    <w:rsid w:val="00110586"/>
    <w:rsid w:val="001107ED"/>
    <w:rsid w:val="001111D6"/>
    <w:rsid w:val="00111D1A"/>
    <w:rsid w:val="0011270D"/>
    <w:rsid w:val="00112AC0"/>
    <w:rsid w:val="00112EA8"/>
    <w:rsid w:val="001134D0"/>
    <w:rsid w:val="00114C94"/>
    <w:rsid w:val="00115830"/>
    <w:rsid w:val="00116AC3"/>
    <w:rsid w:val="001172BA"/>
    <w:rsid w:val="001204BB"/>
    <w:rsid w:val="00120AEC"/>
    <w:rsid w:val="00120CE0"/>
    <w:rsid w:val="00120F12"/>
    <w:rsid w:val="001218CB"/>
    <w:rsid w:val="00122D65"/>
    <w:rsid w:val="001234A6"/>
    <w:rsid w:val="0012392E"/>
    <w:rsid w:val="00123D98"/>
    <w:rsid w:val="00124B77"/>
    <w:rsid w:val="001254BB"/>
    <w:rsid w:val="001257AD"/>
    <w:rsid w:val="00125C49"/>
    <w:rsid w:val="0012605F"/>
    <w:rsid w:val="001261FC"/>
    <w:rsid w:val="00126E98"/>
    <w:rsid w:val="001270F6"/>
    <w:rsid w:val="00127760"/>
    <w:rsid w:val="00127830"/>
    <w:rsid w:val="00127C37"/>
    <w:rsid w:val="001337E6"/>
    <w:rsid w:val="0013402A"/>
    <w:rsid w:val="00134AF2"/>
    <w:rsid w:val="001355AF"/>
    <w:rsid w:val="00135CDE"/>
    <w:rsid w:val="00136E36"/>
    <w:rsid w:val="00137430"/>
    <w:rsid w:val="001376E6"/>
    <w:rsid w:val="00137A7F"/>
    <w:rsid w:val="00140FB4"/>
    <w:rsid w:val="0014101D"/>
    <w:rsid w:val="001411D3"/>
    <w:rsid w:val="0014211F"/>
    <w:rsid w:val="00142954"/>
    <w:rsid w:val="001433A8"/>
    <w:rsid w:val="001437E1"/>
    <w:rsid w:val="001438AA"/>
    <w:rsid w:val="00143BB1"/>
    <w:rsid w:val="00143CF1"/>
    <w:rsid w:val="00144516"/>
    <w:rsid w:val="0014473B"/>
    <w:rsid w:val="00144992"/>
    <w:rsid w:val="00146320"/>
    <w:rsid w:val="00146CB2"/>
    <w:rsid w:val="00146EA3"/>
    <w:rsid w:val="00147C04"/>
    <w:rsid w:val="001501B4"/>
    <w:rsid w:val="00151318"/>
    <w:rsid w:val="001521C1"/>
    <w:rsid w:val="00152682"/>
    <w:rsid w:val="00152A49"/>
    <w:rsid w:val="00152D19"/>
    <w:rsid w:val="00153089"/>
    <w:rsid w:val="00153CB9"/>
    <w:rsid w:val="00153F3E"/>
    <w:rsid w:val="001552E4"/>
    <w:rsid w:val="00156DFC"/>
    <w:rsid w:val="0015713D"/>
    <w:rsid w:val="00157C06"/>
    <w:rsid w:val="001603D0"/>
    <w:rsid w:val="00161141"/>
    <w:rsid w:val="0016168D"/>
    <w:rsid w:val="0016182B"/>
    <w:rsid w:val="00161E5A"/>
    <w:rsid w:val="001623D6"/>
    <w:rsid w:val="00162A91"/>
    <w:rsid w:val="00162DDA"/>
    <w:rsid w:val="00162EE2"/>
    <w:rsid w:val="001636E6"/>
    <w:rsid w:val="00163AA0"/>
    <w:rsid w:val="00164B35"/>
    <w:rsid w:val="00164CE9"/>
    <w:rsid w:val="0016544B"/>
    <w:rsid w:val="001658EC"/>
    <w:rsid w:val="00165A4F"/>
    <w:rsid w:val="00167306"/>
    <w:rsid w:val="00167906"/>
    <w:rsid w:val="0016791F"/>
    <w:rsid w:val="00170672"/>
    <w:rsid w:val="00170BF8"/>
    <w:rsid w:val="001715A2"/>
    <w:rsid w:val="00171628"/>
    <w:rsid w:val="0017169E"/>
    <w:rsid w:val="00171DBA"/>
    <w:rsid w:val="00171DDF"/>
    <w:rsid w:val="00172699"/>
    <w:rsid w:val="001727CF"/>
    <w:rsid w:val="0017318D"/>
    <w:rsid w:val="00173631"/>
    <w:rsid w:val="00173BF1"/>
    <w:rsid w:val="00173D96"/>
    <w:rsid w:val="001751DD"/>
    <w:rsid w:val="00176473"/>
    <w:rsid w:val="0017669E"/>
    <w:rsid w:val="001779D7"/>
    <w:rsid w:val="00180126"/>
    <w:rsid w:val="0018083E"/>
    <w:rsid w:val="001808D0"/>
    <w:rsid w:val="00180BB1"/>
    <w:rsid w:val="001817A9"/>
    <w:rsid w:val="00181E91"/>
    <w:rsid w:val="0018233F"/>
    <w:rsid w:val="0018315B"/>
    <w:rsid w:val="0018392E"/>
    <w:rsid w:val="00183D77"/>
    <w:rsid w:val="0018425F"/>
    <w:rsid w:val="00184745"/>
    <w:rsid w:val="00184E71"/>
    <w:rsid w:val="0018558E"/>
    <w:rsid w:val="00185634"/>
    <w:rsid w:val="001862D7"/>
    <w:rsid w:val="00186559"/>
    <w:rsid w:val="00187E0D"/>
    <w:rsid w:val="00190E1F"/>
    <w:rsid w:val="00193DD1"/>
    <w:rsid w:val="00194972"/>
    <w:rsid w:val="001951C0"/>
    <w:rsid w:val="00195AFD"/>
    <w:rsid w:val="00195C9C"/>
    <w:rsid w:val="00195F6E"/>
    <w:rsid w:val="00195FF0"/>
    <w:rsid w:val="00196892"/>
    <w:rsid w:val="00197300"/>
    <w:rsid w:val="001973A3"/>
    <w:rsid w:val="001A2557"/>
    <w:rsid w:val="001A2FCF"/>
    <w:rsid w:val="001A3CDD"/>
    <w:rsid w:val="001A3DE2"/>
    <w:rsid w:val="001A41C7"/>
    <w:rsid w:val="001A6665"/>
    <w:rsid w:val="001A6D18"/>
    <w:rsid w:val="001A6DC1"/>
    <w:rsid w:val="001A7E16"/>
    <w:rsid w:val="001B0E59"/>
    <w:rsid w:val="001B11C0"/>
    <w:rsid w:val="001B1D45"/>
    <w:rsid w:val="001B1D5B"/>
    <w:rsid w:val="001B2070"/>
    <w:rsid w:val="001B2743"/>
    <w:rsid w:val="001B2BC8"/>
    <w:rsid w:val="001B30BE"/>
    <w:rsid w:val="001B3BDA"/>
    <w:rsid w:val="001B3FCC"/>
    <w:rsid w:val="001B422B"/>
    <w:rsid w:val="001B47E5"/>
    <w:rsid w:val="001B497C"/>
    <w:rsid w:val="001B4EE4"/>
    <w:rsid w:val="001B79BF"/>
    <w:rsid w:val="001B7BA2"/>
    <w:rsid w:val="001C1040"/>
    <w:rsid w:val="001C1235"/>
    <w:rsid w:val="001C15F7"/>
    <w:rsid w:val="001C1AD6"/>
    <w:rsid w:val="001C1EC3"/>
    <w:rsid w:val="001C261F"/>
    <w:rsid w:val="001C2A48"/>
    <w:rsid w:val="001C2F5B"/>
    <w:rsid w:val="001C2FF8"/>
    <w:rsid w:val="001C3402"/>
    <w:rsid w:val="001C35E0"/>
    <w:rsid w:val="001C379E"/>
    <w:rsid w:val="001C4225"/>
    <w:rsid w:val="001C58D5"/>
    <w:rsid w:val="001C6DEA"/>
    <w:rsid w:val="001C7614"/>
    <w:rsid w:val="001C7C1F"/>
    <w:rsid w:val="001D07BE"/>
    <w:rsid w:val="001D0E2B"/>
    <w:rsid w:val="001D2FF7"/>
    <w:rsid w:val="001D3666"/>
    <w:rsid w:val="001D3962"/>
    <w:rsid w:val="001D43B0"/>
    <w:rsid w:val="001D4D00"/>
    <w:rsid w:val="001D64B0"/>
    <w:rsid w:val="001D653C"/>
    <w:rsid w:val="001D67C9"/>
    <w:rsid w:val="001D6C64"/>
    <w:rsid w:val="001D77B9"/>
    <w:rsid w:val="001D77E1"/>
    <w:rsid w:val="001D7B2D"/>
    <w:rsid w:val="001E01C3"/>
    <w:rsid w:val="001E08B5"/>
    <w:rsid w:val="001E0B86"/>
    <w:rsid w:val="001E163F"/>
    <w:rsid w:val="001E1D95"/>
    <w:rsid w:val="001E29C9"/>
    <w:rsid w:val="001E31CF"/>
    <w:rsid w:val="001E364B"/>
    <w:rsid w:val="001E44D8"/>
    <w:rsid w:val="001E4587"/>
    <w:rsid w:val="001E639F"/>
    <w:rsid w:val="001E6E37"/>
    <w:rsid w:val="001F00EF"/>
    <w:rsid w:val="001F116E"/>
    <w:rsid w:val="001F1323"/>
    <w:rsid w:val="001F1D29"/>
    <w:rsid w:val="001F1FC3"/>
    <w:rsid w:val="001F2094"/>
    <w:rsid w:val="001F2243"/>
    <w:rsid w:val="001F460A"/>
    <w:rsid w:val="001F501C"/>
    <w:rsid w:val="001F52BF"/>
    <w:rsid w:val="001F591F"/>
    <w:rsid w:val="001F5AB5"/>
    <w:rsid w:val="001F5DE4"/>
    <w:rsid w:val="001F6E25"/>
    <w:rsid w:val="001F7783"/>
    <w:rsid w:val="00200C3E"/>
    <w:rsid w:val="0020146F"/>
    <w:rsid w:val="00201473"/>
    <w:rsid w:val="00202792"/>
    <w:rsid w:val="00202BF4"/>
    <w:rsid w:val="00202F0A"/>
    <w:rsid w:val="002031CE"/>
    <w:rsid w:val="002037CF"/>
    <w:rsid w:val="00203ABD"/>
    <w:rsid w:val="00205465"/>
    <w:rsid w:val="00205E60"/>
    <w:rsid w:val="00206F92"/>
    <w:rsid w:val="002070CD"/>
    <w:rsid w:val="002075C7"/>
    <w:rsid w:val="00207DE7"/>
    <w:rsid w:val="002114C2"/>
    <w:rsid w:val="00212FAA"/>
    <w:rsid w:val="00213293"/>
    <w:rsid w:val="0021371A"/>
    <w:rsid w:val="00213F56"/>
    <w:rsid w:val="00214E1A"/>
    <w:rsid w:val="0021540D"/>
    <w:rsid w:val="002155F0"/>
    <w:rsid w:val="002162D8"/>
    <w:rsid w:val="00216A91"/>
    <w:rsid w:val="002174E0"/>
    <w:rsid w:val="002212BC"/>
    <w:rsid w:val="002216E2"/>
    <w:rsid w:val="002222D6"/>
    <w:rsid w:val="00222409"/>
    <w:rsid w:val="002225D2"/>
    <w:rsid w:val="00223C02"/>
    <w:rsid w:val="00223EA7"/>
    <w:rsid w:val="0022446B"/>
    <w:rsid w:val="00224E17"/>
    <w:rsid w:val="00226681"/>
    <w:rsid w:val="00226D16"/>
    <w:rsid w:val="0022775B"/>
    <w:rsid w:val="002310AD"/>
    <w:rsid w:val="002312AC"/>
    <w:rsid w:val="00231759"/>
    <w:rsid w:val="002317EE"/>
    <w:rsid w:val="00231D29"/>
    <w:rsid w:val="00231D52"/>
    <w:rsid w:val="00232146"/>
    <w:rsid w:val="00232AE6"/>
    <w:rsid w:val="0023339B"/>
    <w:rsid w:val="00233493"/>
    <w:rsid w:val="00233BB2"/>
    <w:rsid w:val="0023410E"/>
    <w:rsid w:val="00235C3B"/>
    <w:rsid w:val="0024047B"/>
    <w:rsid w:val="002409DB"/>
    <w:rsid w:val="00240A0B"/>
    <w:rsid w:val="0024195F"/>
    <w:rsid w:val="00241D88"/>
    <w:rsid w:val="002421FB"/>
    <w:rsid w:val="00242B4E"/>
    <w:rsid w:val="00242D80"/>
    <w:rsid w:val="00242ECF"/>
    <w:rsid w:val="00242F5A"/>
    <w:rsid w:val="002430EE"/>
    <w:rsid w:val="00243414"/>
    <w:rsid w:val="00244033"/>
    <w:rsid w:val="0024458D"/>
    <w:rsid w:val="00244656"/>
    <w:rsid w:val="00245B37"/>
    <w:rsid w:val="00247C9C"/>
    <w:rsid w:val="00247DD1"/>
    <w:rsid w:val="0025014C"/>
    <w:rsid w:val="00250593"/>
    <w:rsid w:val="00250B12"/>
    <w:rsid w:val="002519B3"/>
    <w:rsid w:val="00251AE2"/>
    <w:rsid w:val="00251BEF"/>
    <w:rsid w:val="00251E59"/>
    <w:rsid w:val="0025256E"/>
    <w:rsid w:val="002528D3"/>
    <w:rsid w:val="00252C0B"/>
    <w:rsid w:val="002532B6"/>
    <w:rsid w:val="00253ECC"/>
    <w:rsid w:val="002547CD"/>
    <w:rsid w:val="0025529A"/>
    <w:rsid w:val="00255393"/>
    <w:rsid w:val="002555D3"/>
    <w:rsid w:val="00255EAB"/>
    <w:rsid w:val="002575C7"/>
    <w:rsid w:val="00260221"/>
    <w:rsid w:val="0026023F"/>
    <w:rsid w:val="00261456"/>
    <w:rsid w:val="00262A36"/>
    <w:rsid w:val="00263FDE"/>
    <w:rsid w:val="00264163"/>
    <w:rsid w:val="00264DC6"/>
    <w:rsid w:val="0026656A"/>
    <w:rsid w:val="00270329"/>
    <w:rsid w:val="0027052B"/>
    <w:rsid w:val="002709B7"/>
    <w:rsid w:val="00270B82"/>
    <w:rsid w:val="002715C7"/>
    <w:rsid w:val="002725C7"/>
    <w:rsid w:val="002726A8"/>
    <w:rsid w:val="00272CC8"/>
    <w:rsid w:val="00272D3D"/>
    <w:rsid w:val="00272F31"/>
    <w:rsid w:val="0027315B"/>
    <w:rsid w:val="00273249"/>
    <w:rsid w:val="00273E94"/>
    <w:rsid w:val="002748EC"/>
    <w:rsid w:val="002763C9"/>
    <w:rsid w:val="00276788"/>
    <w:rsid w:val="00277BE0"/>
    <w:rsid w:val="002802A8"/>
    <w:rsid w:val="002805B4"/>
    <w:rsid w:val="00281556"/>
    <w:rsid w:val="00282494"/>
    <w:rsid w:val="002827D0"/>
    <w:rsid w:val="00283750"/>
    <w:rsid w:val="00283804"/>
    <w:rsid w:val="00284072"/>
    <w:rsid w:val="00284F9B"/>
    <w:rsid w:val="00285218"/>
    <w:rsid w:val="00285AD7"/>
    <w:rsid w:val="002861A9"/>
    <w:rsid w:val="002867B4"/>
    <w:rsid w:val="00286DB5"/>
    <w:rsid w:val="00287144"/>
    <w:rsid w:val="00290435"/>
    <w:rsid w:val="00290AA5"/>
    <w:rsid w:val="002914BC"/>
    <w:rsid w:val="002917FF"/>
    <w:rsid w:val="00291B3A"/>
    <w:rsid w:val="0029222A"/>
    <w:rsid w:val="0029254C"/>
    <w:rsid w:val="00292BC1"/>
    <w:rsid w:val="00292C16"/>
    <w:rsid w:val="002931AE"/>
    <w:rsid w:val="002938D3"/>
    <w:rsid w:val="00293976"/>
    <w:rsid w:val="00294C8B"/>
    <w:rsid w:val="002950C3"/>
    <w:rsid w:val="00295271"/>
    <w:rsid w:val="0029561D"/>
    <w:rsid w:val="00295FC5"/>
    <w:rsid w:val="002964FC"/>
    <w:rsid w:val="00296B75"/>
    <w:rsid w:val="002A0452"/>
    <w:rsid w:val="002A293E"/>
    <w:rsid w:val="002A2DA6"/>
    <w:rsid w:val="002A3315"/>
    <w:rsid w:val="002A346E"/>
    <w:rsid w:val="002A39AA"/>
    <w:rsid w:val="002A3FEB"/>
    <w:rsid w:val="002A47DB"/>
    <w:rsid w:val="002A49BF"/>
    <w:rsid w:val="002A6956"/>
    <w:rsid w:val="002A73BD"/>
    <w:rsid w:val="002A7607"/>
    <w:rsid w:val="002A7BC3"/>
    <w:rsid w:val="002A7D36"/>
    <w:rsid w:val="002B02B3"/>
    <w:rsid w:val="002B033A"/>
    <w:rsid w:val="002B050B"/>
    <w:rsid w:val="002B05F2"/>
    <w:rsid w:val="002B10E9"/>
    <w:rsid w:val="002B1609"/>
    <w:rsid w:val="002B23FC"/>
    <w:rsid w:val="002B2D54"/>
    <w:rsid w:val="002B2FC3"/>
    <w:rsid w:val="002B38B4"/>
    <w:rsid w:val="002B40F5"/>
    <w:rsid w:val="002B430D"/>
    <w:rsid w:val="002B4677"/>
    <w:rsid w:val="002B49B8"/>
    <w:rsid w:val="002B6250"/>
    <w:rsid w:val="002B62A2"/>
    <w:rsid w:val="002B738B"/>
    <w:rsid w:val="002C031D"/>
    <w:rsid w:val="002C0359"/>
    <w:rsid w:val="002C12A4"/>
    <w:rsid w:val="002C13A3"/>
    <w:rsid w:val="002C13F9"/>
    <w:rsid w:val="002C1DA5"/>
    <w:rsid w:val="002C20C6"/>
    <w:rsid w:val="002C3E37"/>
    <w:rsid w:val="002C40E5"/>
    <w:rsid w:val="002C4BB3"/>
    <w:rsid w:val="002C60C4"/>
    <w:rsid w:val="002C6445"/>
    <w:rsid w:val="002C70DA"/>
    <w:rsid w:val="002C71C1"/>
    <w:rsid w:val="002C7396"/>
    <w:rsid w:val="002C768B"/>
    <w:rsid w:val="002C78DC"/>
    <w:rsid w:val="002D0AB7"/>
    <w:rsid w:val="002D1364"/>
    <w:rsid w:val="002D1454"/>
    <w:rsid w:val="002D1889"/>
    <w:rsid w:val="002D1FD1"/>
    <w:rsid w:val="002D27EC"/>
    <w:rsid w:val="002D49AF"/>
    <w:rsid w:val="002D4DE8"/>
    <w:rsid w:val="002D51E4"/>
    <w:rsid w:val="002D5EDE"/>
    <w:rsid w:val="002D67D3"/>
    <w:rsid w:val="002D70C3"/>
    <w:rsid w:val="002D733C"/>
    <w:rsid w:val="002D73A7"/>
    <w:rsid w:val="002E17D4"/>
    <w:rsid w:val="002E250E"/>
    <w:rsid w:val="002E2E6E"/>
    <w:rsid w:val="002E4A8B"/>
    <w:rsid w:val="002E5B91"/>
    <w:rsid w:val="002E5C15"/>
    <w:rsid w:val="002E6587"/>
    <w:rsid w:val="002E737A"/>
    <w:rsid w:val="002E7948"/>
    <w:rsid w:val="002E7CE4"/>
    <w:rsid w:val="002F0113"/>
    <w:rsid w:val="002F01DE"/>
    <w:rsid w:val="002F2868"/>
    <w:rsid w:val="002F2D0C"/>
    <w:rsid w:val="002F2D36"/>
    <w:rsid w:val="002F32E4"/>
    <w:rsid w:val="002F33FA"/>
    <w:rsid w:val="002F368A"/>
    <w:rsid w:val="002F4F94"/>
    <w:rsid w:val="002F69C7"/>
    <w:rsid w:val="0030074F"/>
    <w:rsid w:val="00300A93"/>
    <w:rsid w:val="003021CB"/>
    <w:rsid w:val="00302AB0"/>
    <w:rsid w:val="00302BA4"/>
    <w:rsid w:val="00302BDE"/>
    <w:rsid w:val="0030383E"/>
    <w:rsid w:val="00303860"/>
    <w:rsid w:val="0030453D"/>
    <w:rsid w:val="00304550"/>
    <w:rsid w:val="00304C25"/>
    <w:rsid w:val="0030697C"/>
    <w:rsid w:val="00311609"/>
    <w:rsid w:val="00311E0A"/>
    <w:rsid w:val="00313531"/>
    <w:rsid w:val="00313782"/>
    <w:rsid w:val="003144B4"/>
    <w:rsid w:val="003160CC"/>
    <w:rsid w:val="003165C0"/>
    <w:rsid w:val="003174C3"/>
    <w:rsid w:val="00317B14"/>
    <w:rsid w:val="00322065"/>
    <w:rsid w:val="0032345D"/>
    <w:rsid w:val="0032557E"/>
    <w:rsid w:val="00325818"/>
    <w:rsid w:val="00325E35"/>
    <w:rsid w:val="00326183"/>
    <w:rsid w:val="00326590"/>
    <w:rsid w:val="00326684"/>
    <w:rsid w:val="00326D6E"/>
    <w:rsid w:val="003311C6"/>
    <w:rsid w:val="00331B00"/>
    <w:rsid w:val="003326E3"/>
    <w:rsid w:val="00332B7B"/>
    <w:rsid w:val="003334E5"/>
    <w:rsid w:val="00333536"/>
    <w:rsid w:val="00335D31"/>
    <w:rsid w:val="00336233"/>
    <w:rsid w:val="00336236"/>
    <w:rsid w:val="00336510"/>
    <w:rsid w:val="00336873"/>
    <w:rsid w:val="00336CD8"/>
    <w:rsid w:val="00336F60"/>
    <w:rsid w:val="003375CC"/>
    <w:rsid w:val="0033766A"/>
    <w:rsid w:val="00337D1C"/>
    <w:rsid w:val="00340993"/>
    <w:rsid w:val="00340A27"/>
    <w:rsid w:val="00341071"/>
    <w:rsid w:val="00341568"/>
    <w:rsid w:val="00342344"/>
    <w:rsid w:val="003423A4"/>
    <w:rsid w:val="0034325F"/>
    <w:rsid w:val="00343756"/>
    <w:rsid w:val="00344141"/>
    <w:rsid w:val="00344860"/>
    <w:rsid w:val="003450E7"/>
    <w:rsid w:val="003452A2"/>
    <w:rsid w:val="00345338"/>
    <w:rsid w:val="0034543A"/>
    <w:rsid w:val="0034573B"/>
    <w:rsid w:val="00345F81"/>
    <w:rsid w:val="003464FE"/>
    <w:rsid w:val="0034657E"/>
    <w:rsid w:val="00346765"/>
    <w:rsid w:val="00346CF0"/>
    <w:rsid w:val="00346E8F"/>
    <w:rsid w:val="00346F94"/>
    <w:rsid w:val="00350172"/>
    <w:rsid w:val="00350B14"/>
    <w:rsid w:val="00350E31"/>
    <w:rsid w:val="00350FE6"/>
    <w:rsid w:val="00351340"/>
    <w:rsid w:val="00351479"/>
    <w:rsid w:val="00351DBF"/>
    <w:rsid w:val="00352400"/>
    <w:rsid w:val="003533B5"/>
    <w:rsid w:val="003539C0"/>
    <w:rsid w:val="00353A42"/>
    <w:rsid w:val="00353EA3"/>
    <w:rsid w:val="00354044"/>
    <w:rsid w:val="00354BE9"/>
    <w:rsid w:val="00354D99"/>
    <w:rsid w:val="00355A85"/>
    <w:rsid w:val="00355D41"/>
    <w:rsid w:val="0035604D"/>
    <w:rsid w:val="0035610C"/>
    <w:rsid w:val="00357479"/>
    <w:rsid w:val="00360160"/>
    <w:rsid w:val="00360461"/>
    <w:rsid w:val="003607BC"/>
    <w:rsid w:val="00360D70"/>
    <w:rsid w:val="00361680"/>
    <w:rsid w:val="00361FC3"/>
    <w:rsid w:val="00364543"/>
    <w:rsid w:val="003645A6"/>
    <w:rsid w:val="003647E3"/>
    <w:rsid w:val="00364C21"/>
    <w:rsid w:val="003660CA"/>
    <w:rsid w:val="003665A8"/>
    <w:rsid w:val="0036720F"/>
    <w:rsid w:val="00367408"/>
    <w:rsid w:val="0036783A"/>
    <w:rsid w:val="00367ABD"/>
    <w:rsid w:val="0037157D"/>
    <w:rsid w:val="0037170B"/>
    <w:rsid w:val="003718BC"/>
    <w:rsid w:val="003726CF"/>
    <w:rsid w:val="00372B56"/>
    <w:rsid w:val="00372CAA"/>
    <w:rsid w:val="00372D98"/>
    <w:rsid w:val="00373240"/>
    <w:rsid w:val="003742CC"/>
    <w:rsid w:val="003746A0"/>
    <w:rsid w:val="00374B6D"/>
    <w:rsid w:val="00374D52"/>
    <w:rsid w:val="00374EC1"/>
    <w:rsid w:val="00375BE7"/>
    <w:rsid w:val="00376255"/>
    <w:rsid w:val="0037679F"/>
    <w:rsid w:val="00377392"/>
    <w:rsid w:val="003803EC"/>
    <w:rsid w:val="00382339"/>
    <w:rsid w:val="00382562"/>
    <w:rsid w:val="00383E49"/>
    <w:rsid w:val="0038499F"/>
    <w:rsid w:val="0038520B"/>
    <w:rsid w:val="00385D7F"/>
    <w:rsid w:val="00386D92"/>
    <w:rsid w:val="00387B8C"/>
    <w:rsid w:val="00387FB7"/>
    <w:rsid w:val="0039049E"/>
    <w:rsid w:val="00391405"/>
    <w:rsid w:val="00391499"/>
    <w:rsid w:val="00391C41"/>
    <w:rsid w:val="00392CCE"/>
    <w:rsid w:val="0039401B"/>
    <w:rsid w:val="0039441A"/>
    <w:rsid w:val="00394518"/>
    <w:rsid w:val="00394894"/>
    <w:rsid w:val="00394B1F"/>
    <w:rsid w:val="003967A0"/>
    <w:rsid w:val="00396A2A"/>
    <w:rsid w:val="00397BC0"/>
    <w:rsid w:val="00397F1C"/>
    <w:rsid w:val="00397F93"/>
    <w:rsid w:val="003A14D0"/>
    <w:rsid w:val="003A27A1"/>
    <w:rsid w:val="003A29D6"/>
    <w:rsid w:val="003A2B51"/>
    <w:rsid w:val="003A33EC"/>
    <w:rsid w:val="003A354C"/>
    <w:rsid w:val="003A3B25"/>
    <w:rsid w:val="003A44B3"/>
    <w:rsid w:val="003A49D9"/>
    <w:rsid w:val="003A5BE7"/>
    <w:rsid w:val="003A614A"/>
    <w:rsid w:val="003A65C6"/>
    <w:rsid w:val="003A65FF"/>
    <w:rsid w:val="003A6A42"/>
    <w:rsid w:val="003A6ECD"/>
    <w:rsid w:val="003A7421"/>
    <w:rsid w:val="003A7E9A"/>
    <w:rsid w:val="003A7F4F"/>
    <w:rsid w:val="003B050B"/>
    <w:rsid w:val="003B0C06"/>
    <w:rsid w:val="003B1A35"/>
    <w:rsid w:val="003B2631"/>
    <w:rsid w:val="003B3E9A"/>
    <w:rsid w:val="003B3EF8"/>
    <w:rsid w:val="003B4715"/>
    <w:rsid w:val="003B5924"/>
    <w:rsid w:val="003B5925"/>
    <w:rsid w:val="003B593A"/>
    <w:rsid w:val="003B5EB3"/>
    <w:rsid w:val="003B6184"/>
    <w:rsid w:val="003B6DDC"/>
    <w:rsid w:val="003B7AE1"/>
    <w:rsid w:val="003B7B60"/>
    <w:rsid w:val="003B7E34"/>
    <w:rsid w:val="003C0103"/>
    <w:rsid w:val="003C0949"/>
    <w:rsid w:val="003C290F"/>
    <w:rsid w:val="003C2E28"/>
    <w:rsid w:val="003C3578"/>
    <w:rsid w:val="003C36FB"/>
    <w:rsid w:val="003C3BA9"/>
    <w:rsid w:val="003C455C"/>
    <w:rsid w:val="003C4BD5"/>
    <w:rsid w:val="003C5111"/>
    <w:rsid w:val="003C697A"/>
    <w:rsid w:val="003C69AF"/>
    <w:rsid w:val="003C6C6F"/>
    <w:rsid w:val="003C72B4"/>
    <w:rsid w:val="003C7552"/>
    <w:rsid w:val="003C7AA3"/>
    <w:rsid w:val="003C7B91"/>
    <w:rsid w:val="003D1901"/>
    <w:rsid w:val="003D3B8D"/>
    <w:rsid w:val="003D40E1"/>
    <w:rsid w:val="003D482B"/>
    <w:rsid w:val="003D4D68"/>
    <w:rsid w:val="003D57A4"/>
    <w:rsid w:val="003D64ED"/>
    <w:rsid w:val="003D65D1"/>
    <w:rsid w:val="003D6655"/>
    <w:rsid w:val="003D74BE"/>
    <w:rsid w:val="003D751F"/>
    <w:rsid w:val="003D7D99"/>
    <w:rsid w:val="003D7E48"/>
    <w:rsid w:val="003E032C"/>
    <w:rsid w:val="003E0462"/>
    <w:rsid w:val="003E0CDD"/>
    <w:rsid w:val="003E1261"/>
    <w:rsid w:val="003E2353"/>
    <w:rsid w:val="003E2877"/>
    <w:rsid w:val="003E2D15"/>
    <w:rsid w:val="003E2E02"/>
    <w:rsid w:val="003E5303"/>
    <w:rsid w:val="003E545B"/>
    <w:rsid w:val="003E5BED"/>
    <w:rsid w:val="003E5E94"/>
    <w:rsid w:val="003E664B"/>
    <w:rsid w:val="003E6711"/>
    <w:rsid w:val="003E67C0"/>
    <w:rsid w:val="003E69AD"/>
    <w:rsid w:val="003E6A67"/>
    <w:rsid w:val="003E6D3B"/>
    <w:rsid w:val="003F1276"/>
    <w:rsid w:val="003F1A9A"/>
    <w:rsid w:val="003F23DC"/>
    <w:rsid w:val="003F3DE3"/>
    <w:rsid w:val="003F4A22"/>
    <w:rsid w:val="003F4F9A"/>
    <w:rsid w:val="003F5006"/>
    <w:rsid w:val="003F5855"/>
    <w:rsid w:val="003F5D23"/>
    <w:rsid w:val="003F785D"/>
    <w:rsid w:val="00401B73"/>
    <w:rsid w:val="00401E04"/>
    <w:rsid w:val="00401F74"/>
    <w:rsid w:val="00402083"/>
    <w:rsid w:val="004028D1"/>
    <w:rsid w:val="004029D7"/>
    <w:rsid w:val="00402C79"/>
    <w:rsid w:val="004048C1"/>
    <w:rsid w:val="00405B1B"/>
    <w:rsid w:val="00407009"/>
    <w:rsid w:val="00407B7D"/>
    <w:rsid w:val="00407FB2"/>
    <w:rsid w:val="004107A5"/>
    <w:rsid w:val="004114E8"/>
    <w:rsid w:val="00411FCC"/>
    <w:rsid w:val="00412913"/>
    <w:rsid w:val="00412D6F"/>
    <w:rsid w:val="0041319C"/>
    <w:rsid w:val="004133A8"/>
    <w:rsid w:val="00413A0C"/>
    <w:rsid w:val="00413DC8"/>
    <w:rsid w:val="00414076"/>
    <w:rsid w:val="004140CD"/>
    <w:rsid w:val="00415669"/>
    <w:rsid w:val="004158E5"/>
    <w:rsid w:val="00415950"/>
    <w:rsid w:val="00415A9C"/>
    <w:rsid w:val="00415CEB"/>
    <w:rsid w:val="00415DE1"/>
    <w:rsid w:val="004172C8"/>
    <w:rsid w:val="00420D3C"/>
    <w:rsid w:val="00421543"/>
    <w:rsid w:val="00421C38"/>
    <w:rsid w:val="00421E35"/>
    <w:rsid w:val="00422E78"/>
    <w:rsid w:val="004230D0"/>
    <w:rsid w:val="00423363"/>
    <w:rsid w:val="00423463"/>
    <w:rsid w:val="004236DE"/>
    <w:rsid w:val="004237A5"/>
    <w:rsid w:val="00423F5F"/>
    <w:rsid w:val="00424816"/>
    <w:rsid w:val="004249CB"/>
    <w:rsid w:val="00424A2C"/>
    <w:rsid w:val="004257AC"/>
    <w:rsid w:val="00425D40"/>
    <w:rsid w:val="00425FA9"/>
    <w:rsid w:val="004266D6"/>
    <w:rsid w:val="00426792"/>
    <w:rsid w:val="00430246"/>
    <w:rsid w:val="004307EF"/>
    <w:rsid w:val="00430BD8"/>
    <w:rsid w:val="00430E5B"/>
    <w:rsid w:val="004319DC"/>
    <w:rsid w:val="00431B6E"/>
    <w:rsid w:val="00431DD4"/>
    <w:rsid w:val="004320CA"/>
    <w:rsid w:val="00434586"/>
    <w:rsid w:val="0043461B"/>
    <w:rsid w:val="00434879"/>
    <w:rsid w:val="004349BA"/>
    <w:rsid w:val="00434D3A"/>
    <w:rsid w:val="00435065"/>
    <w:rsid w:val="00435F69"/>
    <w:rsid w:val="00436ACB"/>
    <w:rsid w:val="004376EA"/>
    <w:rsid w:val="004411A3"/>
    <w:rsid w:val="00441908"/>
    <w:rsid w:val="004419D3"/>
    <w:rsid w:val="0044317F"/>
    <w:rsid w:val="004437DF"/>
    <w:rsid w:val="0044392A"/>
    <w:rsid w:val="00444125"/>
    <w:rsid w:val="00444372"/>
    <w:rsid w:val="00444F29"/>
    <w:rsid w:val="004455B2"/>
    <w:rsid w:val="00445D24"/>
    <w:rsid w:val="004460C7"/>
    <w:rsid w:val="0044644E"/>
    <w:rsid w:val="0044705E"/>
    <w:rsid w:val="004471C3"/>
    <w:rsid w:val="004473BF"/>
    <w:rsid w:val="004477FF"/>
    <w:rsid w:val="004504C4"/>
    <w:rsid w:val="00450F70"/>
    <w:rsid w:val="0045139B"/>
    <w:rsid w:val="004513B2"/>
    <w:rsid w:val="00453729"/>
    <w:rsid w:val="00453776"/>
    <w:rsid w:val="00453BF8"/>
    <w:rsid w:val="00454B73"/>
    <w:rsid w:val="004553BA"/>
    <w:rsid w:val="0045604B"/>
    <w:rsid w:val="0045673F"/>
    <w:rsid w:val="00457FD5"/>
    <w:rsid w:val="00460818"/>
    <w:rsid w:val="0046287A"/>
    <w:rsid w:val="00462AD4"/>
    <w:rsid w:val="0046393B"/>
    <w:rsid w:val="0046399B"/>
    <w:rsid w:val="00463AB0"/>
    <w:rsid w:val="00464191"/>
    <w:rsid w:val="00464370"/>
    <w:rsid w:val="00466B80"/>
    <w:rsid w:val="00467139"/>
    <w:rsid w:val="00467D28"/>
    <w:rsid w:val="004709A2"/>
    <w:rsid w:val="00471464"/>
    <w:rsid w:val="0047195B"/>
    <w:rsid w:val="004724DD"/>
    <w:rsid w:val="00472734"/>
    <w:rsid w:val="004736D5"/>
    <w:rsid w:val="0047371C"/>
    <w:rsid w:val="00473F1E"/>
    <w:rsid w:val="00474C3E"/>
    <w:rsid w:val="004753C1"/>
    <w:rsid w:val="004758A1"/>
    <w:rsid w:val="00475E53"/>
    <w:rsid w:val="00476950"/>
    <w:rsid w:val="00476CDE"/>
    <w:rsid w:val="0047716A"/>
    <w:rsid w:val="00477297"/>
    <w:rsid w:val="00477607"/>
    <w:rsid w:val="00477798"/>
    <w:rsid w:val="004804F6"/>
    <w:rsid w:val="00480F90"/>
    <w:rsid w:val="00482D81"/>
    <w:rsid w:val="00482F7A"/>
    <w:rsid w:val="00482FE0"/>
    <w:rsid w:val="00483014"/>
    <w:rsid w:val="00483D2E"/>
    <w:rsid w:val="00484435"/>
    <w:rsid w:val="00484787"/>
    <w:rsid w:val="00485630"/>
    <w:rsid w:val="0048580B"/>
    <w:rsid w:val="00485AB9"/>
    <w:rsid w:val="00485C5C"/>
    <w:rsid w:val="004862FA"/>
    <w:rsid w:val="004866E5"/>
    <w:rsid w:val="00486755"/>
    <w:rsid w:val="00487462"/>
    <w:rsid w:val="0048780C"/>
    <w:rsid w:val="00487C46"/>
    <w:rsid w:val="00487CBD"/>
    <w:rsid w:val="00487E82"/>
    <w:rsid w:val="004907DF"/>
    <w:rsid w:val="00491720"/>
    <w:rsid w:val="00492381"/>
    <w:rsid w:val="00492D7E"/>
    <w:rsid w:val="0049332F"/>
    <w:rsid w:val="0049342B"/>
    <w:rsid w:val="004937A3"/>
    <w:rsid w:val="00493B76"/>
    <w:rsid w:val="00494002"/>
    <w:rsid w:val="00495835"/>
    <w:rsid w:val="00495AEE"/>
    <w:rsid w:val="0049650F"/>
    <w:rsid w:val="00496C5B"/>
    <w:rsid w:val="004974F4"/>
    <w:rsid w:val="00497797"/>
    <w:rsid w:val="004A0255"/>
    <w:rsid w:val="004A05EE"/>
    <w:rsid w:val="004A0B9D"/>
    <w:rsid w:val="004A14E5"/>
    <w:rsid w:val="004A154A"/>
    <w:rsid w:val="004A1C25"/>
    <w:rsid w:val="004A1CB4"/>
    <w:rsid w:val="004A245F"/>
    <w:rsid w:val="004A2B0C"/>
    <w:rsid w:val="004A3C08"/>
    <w:rsid w:val="004A3CFB"/>
    <w:rsid w:val="004A4EC5"/>
    <w:rsid w:val="004A4FC0"/>
    <w:rsid w:val="004A597C"/>
    <w:rsid w:val="004A6F12"/>
    <w:rsid w:val="004B2186"/>
    <w:rsid w:val="004B2C9E"/>
    <w:rsid w:val="004B427F"/>
    <w:rsid w:val="004B4F08"/>
    <w:rsid w:val="004B52AD"/>
    <w:rsid w:val="004B5444"/>
    <w:rsid w:val="004B59C9"/>
    <w:rsid w:val="004B6883"/>
    <w:rsid w:val="004B6EEF"/>
    <w:rsid w:val="004B6FF4"/>
    <w:rsid w:val="004C16BE"/>
    <w:rsid w:val="004C20F0"/>
    <w:rsid w:val="004C22DC"/>
    <w:rsid w:val="004C2312"/>
    <w:rsid w:val="004C266F"/>
    <w:rsid w:val="004C2922"/>
    <w:rsid w:val="004C3675"/>
    <w:rsid w:val="004C4A66"/>
    <w:rsid w:val="004C65CE"/>
    <w:rsid w:val="004C6A53"/>
    <w:rsid w:val="004D021F"/>
    <w:rsid w:val="004D0497"/>
    <w:rsid w:val="004D10AA"/>
    <w:rsid w:val="004D1E59"/>
    <w:rsid w:val="004D20F2"/>
    <w:rsid w:val="004D2539"/>
    <w:rsid w:val="004D443F"/>
    <w:rsid w:val="004D5397"/>
    <w:rsid w:val="004D5643"/>
    <w:rsid w:val="004D6C34"/>
    <w:rsid w:val="004D7038"/>
    <w:rsid w:val="004D743B"/>
    <w:rsid w:val="004D7820"/>
    <w:rsid w:val="004D7A76"/>
    <w:rsid w:val="004E0453"/>
    <w:rsid w:val="004E0AEC"/>
    <w:rsid w:val="004E14D4"/>
    <w:rsid w:val="004E150F"/>
    <w:rsid w:val="004E455F"/>
    <w:rsid w:val="004E5317"/>
    <w:rsid w:val="004E540B"/>
    <w:rsid w:val="004E5BDC"/>
    <w:rsid w:val="004E6477"/>
    <w:rsid w:val="004E6BE3"/>
    <w:rsid w:val="004F009D"/>
    <w:rsid w:val="004F053B"/>
    <w:rsid w:val="004F10A5"/>
    <w:rsid w:val="004F294A"/>
    <w:rsid w:val="004F297F"/>
    <w:rsid w:val="004F31A5"/>
    <w:rsid w:val="004F48A9"/>
    <w:rsid w:val="004F4A4B"/>
    <w:rsid w:val="004F5124"/>
    <w:rsid w:val="004F5C68"/>
    <w:rsid w:val="004F6A37"/>
    <w:rsid w:val="004F76F1"/>
    <w:rsid w:val="004F7B79"/>
    <w:rsid w:val="004F7F14"/>
    <w:rsid w:val="005010AF"/>
    <w:rsid w:val="005014FE"/>
    <w:rsid w:val="00501C68"/>
    <w:rsid w:val="00502B0B"/>
    <w:rsid w:val="0050370C"/>
    <w:rsid w:val="00504283"/>
    <w:rsid w:val="0050442F"/>
    <w:rsid w:val="00504FC7"/>
    <w:rsid w:val="00505611"/>
    <w:rsid w:val="00505756"/>
    <w:rsid w:val="005064FB"/>
    <w:rsid w:val="005069DA"/>
    <w:rsid w:val="00506ADF"/>
    <w:rsid w:val="00506E28"/>
    <w:rsid w:val="0050712D"/>
    <w:rsid w:val="0051088C"/>
    <w:rsid w:val="00510AEC"/>
    <w:rsid w:val="00510CC2"/>
    <w:rsid w:val="005114B0"/>
    <w:rsid w:val="0051285A"/>
    <w:rsid w:val="0051288D"/>
    <w:rsid w:val="00513C88"/>
    <w:rsid w:val="00514128"/>
    <w:rsid w:val="005164F0"/>
    <w:rsid w:val="00516648"/>
    <w:rsid w:val="005176D5"/>
    <w:rsid w:val="00517735"/>
    <w:rsid w:val="00517AA9"/>
    <w:rsid w:val="00517C79"/>
    <w:rsid w:val="005202B2"/>
    <w:rsid w:val="00520394"/>
    <w:rsid w:val="005220D1"/>
    <w:rsid w:val="00522712"/>
    <w:rsid w:val="005229D7"/>
    <w:rsid w:val="005231E2"/>
    <w:rsid w:val="005237EA"/>
    <w:rsid w:val="005241B6"/>
    <w:rsid w:val="00524E9F"/>
    <w:rsid w:val="005251C5"/>
    <w:rsid w:val="00525BF2"/>
    <w:rsid w:val="005261BB"/>
    <w:rsid w:val="0053018C"/>
    <w:rsid w:val="005323BE"/>
    <w:rsid w:val="0053258B"/>
    <w:rsid w:val="005328C5"/>
    <w:rsid w:val="0053345B"/>
    <w:rsid w:val="00533B45"/>
    <w:rsid w:val="00534F9F"/>
    <w:rsid w:val="00535007"/>
    <w:rsid w:val="00535534"/>
    <w:rsid w:val="00535F54"/>
    <w:rsid w:val="00536206"/>
    <w:rsid w:val="005365E3"/>
    <w:rsid w:val="00537060"/>
    <w:rsid w:val="00537332"/>
    <w:rsid w:val="00540703"/>
    <w:rsid w:val="005407AF"/>
    <w:rsid w:val="005409BE"/>
    <w:rsid w:val="00541A03"/>
    <w:rsid w:val="00541C2A"/>
    <w:rsid w:val="005426F5"/>
    <w:rsid w:val="0054325E"/>
    <w:rsid w:val="00543F91"/>
    <w:rsid w:val="00544108"/>
    <w:rsid w:val="0054443B"/>
    <w:rsid w:val="005447DA"/>
    <w:rsid w:val="00544EFF"/>
    <w:rsid w:val="005453A6"/>
    <w:rsid w:val="00545449"/>
    <w:rsid w:val="00546CE6"/>
    <w:rsid w:val="005471C8"/>
    <w:rsid w:val="00547860"/>
    <w:rsid w:val="00550084"/>
    <w:rsid w:val="00550AFD"/>
    <w:rsid w:val="0055148D"/>
    <w:rsid w:val="00551529"/>
    <w:rsid w:val="00551B9D"/>
    <w:rsid w:val="005531A9"/>
    <w:rsid w:val="00553CED"/>
    <w:rsid w:val="00554082"/>
    <w:rsid w:val="00554ABE"/>
    <w:rsid w:val="0055670A"/>
    <w:rsid w:val="005571CE"/>
    <w:rsid w:val="00557696"/>
    <w:rsid w:val="0056020E"/>
    <w:rsid w:val="00560D0C"/>
    <w:rsid w:val="005618B1"/>
    <w:rsid w:val="00561A95"/>
    <w:rsid w:val="00561F0C"/>
    <w:rsid w:val="005620B8"/>
    <w:rsid w:val="00562448"/>
    <w:rsid w:val="005639D2"/>
    <w:rsid w:val="00564D25"/>
    <w:rsid w:val="00564E56"/>
    <w:rsid w:val="00564E84"/>
    <w:rsid w:val="00565266"/>
    <w:rsid w:val="005666B7"/>
    <w:rsid w:val="005678C7"/>
    <w:rsid w:val="00567CC9"/>
    <w:rsid w:val="00570A3B"/>
    <w:rsid w:val="005717F9"/>
    <w:rsid w:val="0057307E"/>
    <w:rsid w:val="0057365B"/>
    <w:rsid w:val="0057373B"/>
    <w:rsid w:val="005738D1"/>
    <w:rsid w:val="00573D75"/>
    <w:rsid w:val="005743A1"/>
    <w:rsid w:val="00575906"/>
    <w:rsid w:val="00576C46"/>
    <w:rsid w:val="00577CD5"/>
    <w:rsid w:val="00580341"/>
    <w:rsid w:val="00580AA4"/>
    <w:rsid w:val="00581074"/>
    <w:rsid w:val="0058118B"/>
    <w:rsid w:val="005814FE"/>
    <w:rsid w:val="005817E3"/>
    <w:rsid w:val="00583342"/>
    <w:rsid w:val="00583382"/>
    <w:rsid w:val="00583EA5"/>
    <w:rsid w:val="00584530"/>
    <w:rsid w:val="00585DE0"/>
    <w:rsid w:val="00586826"/>
    <w:rsid w:val="00586E00"/>
    <w:rsid w:val="005871D8"/>
    <w:rsid w:val="0059116E"/>
    <w:rsid w:val="00591580"/>
    <w:rsid w:val="005917F7"/>
    <w:rsid w:val="00591EB4"/>
    <w:rsid w:val="005927E1"/>
    <w:rsid w:val="00593B71"/>
    <w:rsid w:val="00595F69"/>
    <w:rsid w:val="005973F0"/>
    <w:rsid w:val="00597691"/>
    <w:rsid w:val="005A094E"/>
    <w:rsid w:val="005A0B66"/>
    <w:rsid w:val="005A237F"/>
    <w:rsid w:val="005A2AB1"/>
    <w:rsid w:val="005A3C54"/>
    <w:rsid w:val="005A466D"/>
    <w:rsid w:val="005A4BFC"/>
    <w:rsid w:val="005A4DE4"/>
    <w:rsid w:val="005A507E"/>
    <w:rsid w:val="005A5D3C"/>
    <w:rsid w:val="005A6059"/>
    <w:rsid w:val="005A60BA"/>
    <w:rsid w:val="005A61B3"/>
    <w:rsid w:val="005A6D3A"/>
    <w:rsid w:val="005A7E68"/>
    <w:rsid w:val="005B00DA"/>
    <w:rsid w:val="005B101A"/>
    <w:rsid w:val="005B185B"/>
    <w:rsid w:val="005B247A"/>
    <w:rsid w:val="005B2E18"/>
    <w:rsid w:val="005B334E"/>
    <w:rsid w:val="005B3518"/>
    <w:rsid w:val="005B37A5"/>
    <w:rsid w:val="005B4452"/>
    <w:rsid w:val="005B6C49"/>
    <w:rsid w:val="005B71CC"/>
    <w:rsid w:val="005B7E01"/>
    <w:rsid w:val="005C0421"/>
    <w:rsid w:val="005C06F5"/>
    <w:rsid w:val="005C0EF1"/>
    <w:rsid w:val="005C146D"/>
    <w:rsid w:val="005C2684"/>
    <w:rsid w:val="005C278D"/>
    <w:rsid w:val="005C2DFF"/>
    <w:rsid w:val="005C2E3E"/>
    <w:rsid w:val="005C2E64"/>
    <w:rsid w:val="005C32CB"/>
    <w:rsid w:val="005C36F3"/>
    <w:rsid w:val="005C385B"/>
    <w:rsid w:val="005C4B53"/>
    <w:rsid w:val="005C5394"/>
    <w:rsid w:val="005C61AA"/>
    <w:rsid w:val="005C71C6"/>
    <w:rsid w:val="005D1122"/>
    <w:rsid w:val="005D12EA"/>
    <w:rsid w:val="005D24C3"/>
    <w:rsid w:val="005D364F"/>
    <w:rsid w:val="005D4038"/>
    <w:rsid w:val="005D4770"/>
    <w:rsid w:val="005D552B"/>
    <w:rsid w:val="005D5E89"/>
    <w:rsid w:val="005D691D"/>
    <w:rsid w:val="005D7194"/>
    <w:rsid w:val="005D7965"/>
    <w:rsid w:val="005E042E"/>
    <w:rsid w:val="005E17C7"/>
    <w:rsid w:val="005E19CB"/>
    <w:rsid w:val="005E1DB5"/>
    <w:rsid w:val="005E220A"/>
    <w:rsid w:val="005E4001"/>
    <w:rsid w:val="005E40ED"/>
    <w:rsid w:val="005E531F"/>
    <w:rsid w:val="005E5A16"/>
    <w:rsid w:val="005E5B66"/>
    <w:rsid w:val="005E5E8B"/>
    <w:rsid w:val="005E7168"/>
    <w:rsid w:val="005E760D"/>
    <w:rsid w:val="005E7797"/>
    <w:rsid w:val="005E7C6D"/>
    <w:rsid w:val="005E7EE9"/>
    <w:rsid w:val="005F17D0"/>
    <w:rsid w:val="005F2F57"/>
    <w:rsid w:val="005F372B"/>
    <w:rsid w:val="005F3E15"/>
    <w:rsid w:val="005F3E32"/>
    <w:rsid w:val="005F51DE"/>
    <w:rsid w:val="005F6836"/>
    <w:rsid w:val="005F7432"/>
    <w:rsid w:val="00600E9B"/>
    <w:rsid w:val="00602332"/>
    <w:rsid w:val="00602F5E"/>
    <w:rsid w:val="006034F9"/>
    <w:rsid w:val="00603A5E"/>
    <w:rsid w:val="00603B5F"/>
    <w:rsid w:val="00603C3F"/>
    <w:rsid w:val="00604C29"/>
    <w:rsid w:val="00604E5D"/>
    <w:rsid w:val="00605931"/>
    <w:rsid w:val="00605A84"/>
    <w:rsid w:val="00606FD3"/>
    <w:rsid w:val="00607F2A"/>
    <w:rsid w:val="00611B10"/>
    <w:rsid w:val="006129B2"/>
    <w:rsid w:val="00612C39"/>
    <w:rsid w:val="00613518"/>
    <w:rsid w:val="00613E08"/>
    <w:rsid w:val="00613F58"/>
    <w:rsid w:val="00615647"/>
    <w:rsid w:val="0061759D"/>
    <w:rsid w:val="006178DB"/>
    <w:rsid w:val="00617B9D"/>
    <w:rsid w:val="00617F82"/>
    <w:rsid w:val="006208B6"/>
    <w:rsid w:val="00620C7E"/>
    <w:rsid w:val="00620DCF"/>
    <w:rsid w:val="00621739"/>
    <w:rsid w:val="00621DD7"/>
    <w:rsid w:val="00622513"/>
    <w:rsid w:val="00623213"/>
    <w:rsid w:val="00623CDA"/>
    <w:rsid w:val="006242E4"/>
    <w:rsid w:val="0062498C"/>
    <w:rsid w:val="00625351"/>
    <w:rsid w:val="00625C72"/>
    <w:rsid w:val="00626100"/>
    <w:rsid w:val="00626922"/>
    <w:rsid w:val="00626EA4"/>
    <w:rsid w:val="00626FC8"/>
    <w:rsid w:val="00631313"/>
    <w:rsid w:val="00632CC1"/>
    <w:rsid w:val="00633122"/>
    <w:rsid w:val="00633392"/>
    <w:rsid w:val="0063379E"/>
    <w:rsid w:val="006338EA"/>
    <w:rsid w:val="00633BC3"/>
    <w:rsid w:val="0063418D"/>
    <w:rsid w:val="0063505A"/>
    <w:rsid w:val="00635385"/>
    <w:rsid w:val="006353FE"/>
    <w:rsid w:val="006362B2"/>
    <w:rsid w:val="00636426"/>
    <w:rsid w:val="00636957"/>
    <w:rsid w:val="0063705A"/>
    <w:rsid w:val="0063720A"/>
    <w:rsid w:val="006372FB"/>
    <w:rsid w:val="0063766A"/>
    <w:rsid w:val="006379EA"/>
    <w:rsid w:val="00641217"/>
    <w:rsid w:val="00641354"/>
    <w:rsid w:val="00641E66"/>
    <w:rsid w:val="00642297"/>
    <w:rsid w:val="00642A6E"/>
    <w:rsid w:val="00642A90"/>
    <w:rsid w:val="00643AE6"/>
    <w:rsid w:val="00643E73"/>
    <w:rsid w:val="00643F7B"/>
    <w:rsid w:val="0064410B"/>
    <w:rsid w:val="0064456D"/>
    <w:rsid w:val="00644D81"/>
    <w:rsid w:val="00645AAE"/>
    <w:rsid w:val="00646921"/>
    <w:rsid w:val="00646DD4"/>
    <w:rsid w:val="00647480"/>
    <w:rsid w:val="00647655"/>
    <w:rsid w:val="00650030"/>
    <w:rsid w:val="00650C6A"/>
    <w:rsid w:val="00650FE9"/>
    <w:rsid w:val="0065190B"/>
    <w:rsid w:val="00652658"/>
    <w:rsid w:val="00652CF4"/>
    <w:rsid w:val="00653F83"/>
    <w:rsid w:val="00654C4D"/>
    <w:rsid w:val="00654C9C"/>
    <w:rsid w:val="00654DC0"/>
    <w:rsid w:val="006552A6"/>
    <w:rsid w:val="006557C6"/>
    <w:rsid w:val="006558C8"/>
    <w:rsid w:val="00655C2C"/>
    <w:rsid w:val="006562B0"/>
    <w:rsid w:val="0065637A"/>
    <w:rsid w:val="00656D4B"/>
    <w:rsid w:val="00660DC0"/>
    <w:rsid w:val="00661282"/>
    <w:rsid w:val="00661870"/>
    <w:rsid w:val="00661955"/>
    <w:rsid w:val="00661BD2"/>
    <w:rsid w:val="00661CEA"/>
    <w:rsid w:val="006630C7"/>
    <w:rsid w:val="006637DC"/>
    <w:rsid w:val="00663999"/>
    <w:rsid w:val="00664DA7"/>
    <w:rsid w:val="00665154"/>
    <w:rsid w:val="00665C4C"/>
    <w:rsid w:val="006679FD"/>
    <w:rsid w:val="00670452"/>
    <w:rsid w:val="00670550"/>
    <w:rsid w:val="00670C2F"/>
    <w:rsid w:val="00671D1F"/>
    <w:rsid w:val="006723EA"/>
    <w:rsid w:val="00672C83"/>
    <w:rsid w:val="00673166"/>
    <w:rsid w:val="00674B75"/>
    <w:rsid w:val="00676AA9"/>
    <w:rsid w:val="006771D0"/>
    <w:rsid w:val="006779DA"/>
    <w:rsid w:val="00677A37"/>
    <w:rsid w:val="00677C76"/>
    <w:rsid w:val="006803EB"/>
    <w:rsid w:val="00680D68"/>
    <w:rsid w:val="0068224C"/>
    <w:rsid w:val="00682764"/>
    <w:rsid w:val="006838F7"/>
    <w:rsid w:val="0068464A"/>
    <w:rsid w:val="0068473B"/>
    <w:rsid w:val="00685A6A"/>
    <w:rsid w:val="006867E6"/>
    <w:rsid w:val="00686ACA"/>
    <w:rsid w:val="00687467"/>
    <w:rsid w:val="006901D2"/>
    <w:rsid w:val="00690FE9"/>
    <w:rsid w:val="00691485"/>
    <w:rsid w:val="006914E0"/>
    <w:rsid w:val="006919BE"/>
    <w:rsid w:val="00691BA0"/>
    <w:rsid w:val="00691D0E"/>
    <w:rsid w:val="00692257"/>
    <w:rsid w:val="006925E2"/>
    <w:rsid w:val="00692757"/>
    <w:rsid w:val="00692CFF"/>
    <w:rsid w:val="006945C1"/>
    <w:rsid w:val="0069516D"/>
    <w:rsid w:val="006954E4"/>
    <w:rsid w:val="00695515"/>
    <w:rsid w:val="0069658E"/>
    <w:rsid w:val="006968E9"/>
    <w:rsid w:val="00696A71"/>
    <w:rsid w:val="00697205"/>
    <w:rsid w:val="00697617"/>
    <w:rsid w:val="00697C59"/>
    <w:rsid w:val="006A01C0"/>
    <w:rsid w:val="006A1180"/>
    <w:rsid w:val="006A121B"/>
    <w:rsid w:val="006A1325"/>
    <w:rsid w:val="006A2289"/>
    <w:rsid w:val="006A2CF7"/>
    <w:rsid w:val="006A2D4D"/>
    <w:rsid w:val="006A327C"/>
    <w:rsid w:val="006A3669"/>
    <w:rsid w:val="006A3761"/>
    <w:rsid w:val="006A38AF"/>
    <w:rsid w:val="006A3E4A"/>
    <w:rsid w:val="006A4B25"/>
    <w:rsid w:val="006A4C4A"/>
    <w:rsid w:val="006A4D8F"/>
    <w:rsid w:val="006A5363"/>
    <w:rsid w:val="006A5968"/>
    <w:rsid w:val="006A5FD6"/>
    <w:rsid w:val="006A72A5"/>
    <w:rsid w:val="006A7C27"/>
    <w:rsid w:val="006A7ED6"/>
    <w:rsid w:val="006B09BD"/>
    <w:rsid w:val="006B0DF1"/>
    <w:rsid w:val="006B151F"/>
    <w:rsid w:val="006B1CF7"/>
    <w:rsid w:val="006B1DF5"/>
    <w:rsid w:val="006B1F81"/>
    <w:rsid w:val="006B2101"/>
    <w:rsid w:val="006B255B"/>
    <w:rsid w:val="006B2847"/>
    <w:rsid w:val="006B3798"/>
    <w:rsid w:val="006B3C47"/>
    <w:rsid w:val="006B3F05"/>
    <w:rsid w:val="006B433D"/>
    <w:rsid w:val="006B56A8"/>
    <w:rsid w:val="006B62BC"/>
    <w:rsid w:val="006B7AD2"/>
    <w:rsid w:val="006B7AD5"/>
    <w:rsid w:val="006B7C01"/>
    <w:rsid w:val="006C09C0"/>
    <w:rsid w:val="006C2EA0"/>
    <w:rsid w:val="006C2FD5"/>
    <w:rsid w:val="006C42F4"/>
    <w:rsid w:val="006C5475"/>
    <w:rsid w:val="006C71A2"/>
    <w:rsid w:val="006C7BEB"/>
    <w:rsid w:val="006D06D3"/>
    <w:rsid w:val="006D0C38"/>
    <w:rsid w:val="006D14A4"/>
    <w:rsid w:val="006D1A7A"/>
    <w:rsid w:val="006D1CCC"/>
    <w:rsid w:val="006D26E8"/>
    <w:rsid w:val="006D3A85"/>
    <w:rsid w:val="006D4537"/>
    <w:rsid w:val="006D4F08"/>
    <w:rsid w:val="006D5194"/>
    <w:rsid w:val="006D5DE7"/>
    <w:rsid w:val="006D66F6"/>
    <w:rsid w:val="006D6876"/>
    <w:rsid w:val="006D6F75"/>
    <w:rsid w:val="006D7151"/>
    <w:rsid w:val="006D72D5"/>
    <w:rsid w:val="006D7381"/>
    <w:rsid w:val="006D751F"/>
    <w:rsid w:val="006D7804"/>
    <w:rsid w:val="006D7F13"/>
    <w:rsid w:val="006E06D8"/>
    <w:rsid w:val="006E0F77"/>
    <w:rsid w:val="006E100A"/>
    <w:rsid w:val="006E15E7"/>
    <w:rsid w:val="006E1A5D"/>
    <w:rsid w:val="006E35CB"/>
    <w:rsid w:val="006E399C"/>
    <w:rsid w:val="006E3FC9"/>
    <w:rsid w:val="006E462D"/>
    <w:rsid w:val="006E5E22"/>
    <w:rsid w:val="006E6374"/>
    <w:rsid w:val="006E69DB"/>
    <w:rsid w:val="006E732E"/>
    <w:rsid w:val="006E751C"/>
    <w:rsid w:val="006F0439"/>
    <w:rsid w:val="006F055D"/>
    <w:rsid w:val="006F09DA"/>
    <w:rsid w:val="006F1A1A"/>
    <w:rsid w:val="006F1A6A"/>
    <w:rsid w:val="006F398B"/>
    <w:rsid w:val="006F3C7B"/>
    <w:rsid w:val="006F430D"/>
    <w:rsid w:val="006F4819"/>
    <w:rsid w:val="006F4A10"/>
    <w:rsid w:val="006F5655"/>
    <w:rsid w:val="006F5DB2"/>
    <w:rsid w:val="006F5E9B"/>
    <w:rsid w:val="006F6215"/>
    <w:rsid w:val="006F661C"/>
    <w:rsid w:val="006F6A21"/>
    <w:rsid w:val="006F6A32"/>
    <w:rsid w:val="00700261"/>
    <w:rsid w:val="00700286"/>
    <w:rsid w:val="00700342"/>
    <w:rsid w:val="00701037"/>
    <w:rsid w:val="0070151D"/>
    <w:rsid w:val="00701C8D"/>
    <w:rsid w:val="007020E5"/>
    <w:rsid w:val="007023E1"/>
    <w:rsid w:val="00702414"/>
    <w:rsid w:val="00702D3B"/>
    <w:rsid w:val="00704793"/>
    <w:rsid w:val="0070521B"/>
    <w:rsid w:val="007060DA"/>
    <w:rsid w:val="00706EA3"/>
    <w:rsid w:val="007075DB"/>
    <w:rsid w:val="0070765D"/>
    <w:rsid w:val="007108C7"/>
    <w:rsid w:val="00710AF5"/>
    <w:rsid w:val="00710FF9"/>
    <w:rsid w:val="007113B6"/>
    <w:rsid w:val="007115AB"/>
    <w:rsid w:val="00712F4D"/>
    <w:rsid w:val="007147D7"/>
    <w:rsid w:val="00714991"/>
    <w:rsid w:val="00714ABA"/>
    <w:rsid w:val="007158F5"/>
    <w:rsid w:val="007160B3"/>
    <w:rsid w:val="0071633B"/>
    <w:rsid w:val="00716557"/>
    <w:rsid w:val="007168D1"/>
    <w:rsid w:val="00716F3E"/>
    <w:rsid w:val="00717209"/>
    <w:rsid w:val="00717E6D"/>
    <w:rsid w:val="00720E3B"/>
    <w:rsid w:val="00720FC3"/>
    <w:rsid w:val="00721D0B"/>
    <w:rsid w:val="00722648"/>
    <w:rsid w:val="007226F8"/>
    <w:rsid w:val="007236CE"/>
    <w:rsid w:val="007238D6"/>
    <w:rsid w:val="00725A1F"/>
    <w:rsid w:val="00725C3C"/>
    <w:rsid w:val="0072699A"/>
    <w:rsid w:val="007271CD"/>
    <w:rsid w:val="00730229"/>
    <w:rsid w:val="00730B65"/>
    <w:rsid w:val="00730D0E"/>
    <w:rsid w:val="00731CC8"/>
    <w:rsid w:val="007321B9"/>
    <w:rsid w:val="00732335"/>
    <w:rsid w:val="00733098"/>
    <w:rsid w:val="00733B91"/>
    <w:rsid w:val="00733EAA"/>
    <w:rsid w:val="0073478F"/>
    <w:rsid w:val="0073601E"/>
    <w:rsid w:val="0073679D"/>
    <w:rsid w:val="00736A2B"/>
    <w:rsid w:val="007370F2"/>
    <w:rsid w:val="00737C40"/>
    <w:rsid w:val="007400F6"/>
    <w:rsid w:val="00740515"/>
    <w:rsid w:val="00740779"/>
    <w:rsid w:val="0074134C"/>
    <w:rsid w:val="00741370"/>
    <w:rsid w:val="00741D86"/>
    <w:rsid w:val="00741EB2"/>
    <w:rsid w:val="0074289C"/>
    <w:rsid w:val="00742A88"/>
    <w:rsid w:val="0074430C"/>
    <w:rsid w:val="0074430F"/>
    <w:rsid w:val="00744EFA"/>
    <w:rsid w:val="007461CE"/>
    <w:rsid w:val="00746756"/>
    <w:rsid w:val="00746991"/>
    <w:rsid w:val="00747391"/>
    <w:rsid w:val="0074755F"/>
    <w:rsid w:val="0074762C"/>
    <w:rsid w:val="007477A9"/>
    <w:rsid w:val="00751AFB"/>
    <w:rsid w:val="00751FFA"/>
    <w:rsid w:val="00752372"/>
    <w:rsid w:val="0075259A"/>
    <w:rsid w:val="007527D2"/>
    <w:rsid w:val="00752B04"/>
    <w:rsid w:val="00753CED"/>
    <w:rsid w:val="00754546"/>
    <w:rsid w:val="00754906"/>
    <w:rsid w:val="00754B4D"/>
    <w:rsid w:val="0075512E"/>
    <w:rsid w:val="007554D1"/>
    <w:rsid w:val="007556AB"/>
    <w:rsid w:val="00755C03"/>
    <w:rsid w:val="00755C13"/>
    <w:rsid w:val="00756DE4"/>
    <w:rsid w:val="007600A6"/>
    <w:rsid w:val="007607FA"/>
    <w:rsid w:val="00761C2B"/>
    <w:rsid w:val="00761FDD"/>
    <w:rsid w:val="007625A2"/>
    <w:rsid w:val="00762FA4"/>
    <w:rsid w:val="00763872"/>
    <w:rsid w:val="00763E24"/>
    <w:rsid w:val="00763FAB"/>
    <w:rsid w:val="00764116"/>
    <w:rsid w:val="00764724"/>
    <w:rsid w:val="00764A41"/>
    <w:rsid w:val="00765492"/>
    <w:rsid w:val="00765EE9"/>
    <w:rsid w:val="00766320"/>
    <w:rsid w:val="007664E3"/>
    <w:rsid w:val="00766DC7"/>
    <w:rsid w:val="00767475"/>
    <w:rsid w:val="007704A1"/>
    <w:rsid w:val="00770F72"/>
    <w:rsid w:val="00772250"/>
    <w:rsid w:val="007724D6"/>
    <w:rsid w:val="00772CDC"/>
    <w:rsid w:val="0077484F"/>
    <w:rsid w:val="007757B5"/>
    <w:rsid w:val="007764F9"/>
    <w:rsid w:val="00777199"/>
    <w:rsid w:val="00777938"/>
    <w:rsid w:val="007802E9"/>
    <w:rsid w:val="00780818"/>
    <w:rsid w:val="00782477"/>
    <w:rsid w:val="00783136"/>
    <w:rsid w:val="00783199"/>
    <w:rsid w:val="00783E49"/>
    <w:rsid w:val="00784C94"/>
    <w:rsid w:val="00785798"/>
    <w:rsid w:val="00785C18"/>
    <w:rsid w:val="007860D4"/>
    <w:rsid w:val="007863F8"/>
    <w:rsid w:val="00786762"/>
    <w:rsid w:val="0078738F"/>
    <w:rsid w:val="0078748F"/>
    <w:rsid w:val="00787A44"/>
    <w:rsid w:val="00787C06"/>
    <w:rsid w:val="007901F8"/>
    <w:rsid w:val="0079166D"/>
    <w:rsid w:val="00791BF9"/>
    <w:rsid w:val="00791FD8"/>
    <w:rsid w:val="007930EC"/>
    <w:rsid w:val="00793248"/>
    <w:rsid w:val="00793B4D"/>
    <w:rsid w:val="00794600"/>
    <w:rsid w:val="0079467D"/>
    <w:rsid w:val="00794AAB"/>
    <w:rsid w:val="00794C03"/>
    <w:rsid w:val="00794CFA"/>
    <w:rsid w:val="007962AE"/>
    <w:rsid w:val="007973E6"/>
    <w:rsid w:val="0079749A"/>
    <w:rsid w:val="007978EE"/>
    <w:rsid w:val="007A0766"/>
    <w:rsid w:val="007A0DFC"/>
    <w:rsid w:val="007A0F2D"/>
    <w:rsid w:val="007A132A"/>
    <w:rsid w:val="007A1F72"/>
    <w:rsid w:val="007A37D7"/>
    <w:rsid w:val="007A59AC"/>
    <w:rsid w:val="007A621C"/>
    <w:rsid w:val="007A62FD"/>
    <w:rsid w:val="007A6FF8"/>
    <w:rsid w:val="007A7127"/>
    <w:rsid w:val="007A736E"/>
    <w:rsid w:val="007A7C10"/>
    <w:rsid w:val="007B0523"/>
    <w:rsid w:val="007B06CA"/>
    <w:rsid w:val="007B0713"/>
    <w:rsid w:val="007B1B09"/>
    <w:rsid w:val="007B1BB5"/>
    <w:rsid w:val="007B28F8"/>
    <w:rsid w:val="007B3303"/>
    <w:rsid w:val="007B3912"/>
    <w:rsid w:val="007B3A24"/>
    <w:rsid w:val="007B4882"/>
    <w:rsid w:val="007B5466"/>
    <w:rsid w:val="007B6143"/>
    <w:rsid w:val="007B65DC"/>
    <w:rsid w:val="007B711A"/>
    <w:rsid w:val="007B73BF"/>
    <w:rsid w:val="007B7A37"/>
    <w:rsid w:val="007C0B41"/>
    <w:rsid w:val="007C13CA"/>
    <w:rsid w:val="007C1CF7"/>
    <w:rsid w:val="007C2005"/>
    <w:rsid w:val="007C3B97"/>
    <w:rsid w:val="007C451F"/>
    <w:rsid w:val="007C55C8"/>
    <w:rsid w:val="007C5B08"/>
    <w:rsid w:val="007C5B27"/>
    <w:rsid w:val="007C5CF9"/>
    <w:rsid w:val="007C6572"/>
    <w:rsid w:val="007C66CD"/>
    <w:rsid w:val="007C69DE"/>
    <w:rsid w:val="007C6A10"/>
    <w:rsid w:val="007C7A19"/>
    <w:rsid w:val="007C7B7C"/>
    <w:rsid w:val="007C7E5A"/>
    <w:rsid w:val="007D03F2"/>
    <w:rsid w:val="007D3A74"/>
    <w:rsid w:val="007D3DB1"/>
    <w:rsid w:val="007D3FC2"/>
    <w:rsid w:val="007D5088"/>
    <w:rsid w:val="007D6CA1"/>
    <w:rsid w:val="007E00A8"/>
    <w:rsid w:val="007E02A3"/>
    <w:rsid w:val="007E0C5A"/>
    <w:rsid w:val="007E1576"/>
    <w:rsid w:val="007E267F"/>
    <w:rsid w:val="007E2994"/>
    <w:rsid w:val="007E2CFD"/>
    <w:rsid w:val="007E3413"/>
    <w:rsid w:val="007E3875"/>
    <w:rsid w:val="007E42E8"/>
    <w:rsid w:val="007E502A"/>
    <w:rsid w:val="007E71B7"/>
    <w:rsid w:val="007E770B"/>
    <w:rsid w:val="007E778E"/>
    <w:rsid w:val="007F0138"/>
    <w:rsid w:val="007F0456"/>
    <w:rsid w:val="007F0732"/>
    <w:rsid w:val="007F075B"/>
    <w:rsid w:val="007F15C4"/>
    <w:rsid w:val="007F250F"/>
    <w:rsid w:val="007F2D0F"/>
    <w:rsid w:val="007F3BD3"/>
    <w:rsid w:val="007F3F36"/>
    <w:rsid w:val="007F48B4"/>
    <w:rsid w:val="007F5287"/>
    <w:rsid w:val="007F5E97"/>
    <w:rsid w:val="007F727A"/>
    <w:rsid w:val="0080077C"/>
    <w:rsid w:val="00801F0D"/>
    <w:rsid w:val="00802203"/>
    <w:rsid w:val="00802B91"/>
    <w:rsid w:val="00803993"/>
    <w:rsid w:val="00803B27"/>
    <w:rsid w:val="00803FC3"/>
    <w:rsid w:val="0080497A"/>
    <w:rsid w:val="00804CA8"/>
    <w:rsid w:val="00804F2C"/>
    <w:rsid w:val="00805AFA"/>
    <w:rsid w:val="00805DB9"/>
    <w:rsid w:val="0080692B"/>
    <w:rsid w:val="00806FA4"/>
    <w:rsid w:val="00807885"/>
    <w:rsid w:val="00807AC3"/>
    <w:rsid w:val="0081052E"/>
    <w:rsid w:val="008111CB"/>
    <w:rsid w:val="00812916"/>
    <w:rsid w:val="008132D7"/>
    <w:rsid w:val="00813357"/>
    <w:rsid w:val="00814FD6"/>
    <w:rsid w:val="00815830"/>
    <w:rsid w:val="00816902"/>
    <w:rsid w:val="008179C6"/>
    <w:rsid w:val="00817A13"/>
    <w:rsid w:val="00817E77"/>
    <w:rsid w:val="0082011A"/>
    <w:rsid w:val="008202C8"/>
    <w:rsid w:val="008210E3"/>
    <w:rsid w:val="00821180"/>
    <w:rsid w:val="008211BB"/>
    <w:rsid w:val="008223CB"/>
    <w:rsid w:val="00823815"/>
    <w:rsid w:val="00823E3F"/>
    <w:rsid w:val="00825326"/>
    <w:rsid w:val="00825B00"/>
    <w:rsid w:val="0082678E"/>
    <w:rsid w:val="0082690B"/>
    <w:rsid w:val="00826FB0"/>
    <w:rsid w:val="00827627"/>
    <w:rsid w:val="00827CB4"/>
    <w:rsid w:val="00827E85"/>
    <w:rsid w:val="00830999"/>
    <w:rsid w:val="00830EF3"/>
    <w:rsid w:val="00832052"/>
    <w:rsid w:val="0083258D"/>
    <w:rsid w:val="00832666"/>
    <w:rsid w:val="00832D57"/>
    <w:rsid w:val="00833691"/>
    <w:rsid w:val="008336CD"/>
    <w:rsid w:val="00834280"/>
    <w:rsid w:val="0083449E"/>
    <w:rsid w:val="00835563"/>
    <w:rsid w:val="00835D1E"/>
    <w:rsid w:val="0083721C"/>
    <w:rsid w:val="00837583"/>
    <w:rsid w:val="0084046A"/>
    <w:rsid w:val="00841499"/>
    <w:rsid w:val="00842007"/>
    <w:rsid w:val="00842019"/>
    <w:rsid w:val="00842854"/>
    <w:rsid w:val="00843C33"/>
    <w:rsid w:val="00843E29"/>
    <w:rsid w:val="00843F40"/>
    <w:rsid w:val="008459DE"/>
    <w:rsid w:val="00846226"/>
    <w:rsid w:val="008466C5"/>
    <w:rsid w:val="008468A1"/>
    <w:rsid w:val="00846980"/>
    <w:rsid w:val="00846C61"/>
    <w:rsid w:val="00846F36"/>
    <w:rsid w:val="0084741E"/>
    <w:rsid w:val="00847593"/>
    <w:rsid w:val="00847BF4"/>
    <w:rsid w:val="00847ED3"/>
    <w:rsid w:val="00847EDE"/>
    <w:rsid w:val="00850054"/>
    <w:rsid w:val="008511C8"/>
    <w:rsid w:val="00851829"/>
    <w:rsid w:val="008523C6"/>
    <w:rsid w:val="0085274E"/>
    <w:rsid w:val="00852D06"/>
    <w:rsid w:val="00852F99"/>
    <w:rsid w:val="0085339B"/>
    <w:rsid w:val="008535FC"/>
    <w:rsid w:val="0085533F"/>
    <w:rsid w:val="0085581D"/>
    <w:rsid w:val="0085672B"/>
    <w:rsid w:val="00857591"/>
    <w:rsid w:val="00857C06"/>
    <w:rsid w:val="00860360"/>
    <w:rsid w:val="00860465"/>
    <w:rsid w:val="00860A23"/>
    <w:rsid w:val="00860CFC"/>
    <w:rsid w:val="00861B3E"/>
    <w:rsid w:val="00861E06"/>
    <w:rsid w:val="00861EE1"/>
    <w:rsid w:val="008627BB"/>
    <w:rsid w:val="00862B8B"/>
    <w:rsid w:val="00863820"/>
    <w:rsid w:val="008649B6"/>
    <w:rsid w:val="00864CEC"/>
    <w:rsid w:val="0086711F"/>
    <w:rsid w:val="0086736B"/>
    <w:rsid w:val="008678C5"/>
    <w:rsid w:val="0087013F"/>
    <w:rsid w:val="00870337"/>
    <w:rsid w:val="0087082B"/>
    <w:rsid w:val="00870D61"/>
    <w:rsid w:val="0087108F"/>
    <w:rsid w:val="00871583"/>
    <w:rsid w:val="00871DCB"/>
    <w:rsid w:val="00871EB9"/>
    <w:rsid w:val="00872309"/>
    <w:rsid w:val="00872376"/>
    <w:rsid w:val="00872877"/>
    <w:rsid w:val="00872A1C"/>
    <w:rsid w:val="00873C6A"/>
    <w:rsid w:val="008750C7"/>
    <w:rsid w:val="00875B79"/>
    <w:rsid w:val="008765C7"/>
    <w:rsid w:val="0087768C"/>
    <w:rsid w:val="00877943"/>
    <w:rsid w:val="008817BC"/>
    <w:rsid w:val="00882A64"/>
    <w:rsid w:val="00883557"/>
    <w:rsid w:val="00883B35"/>
    <w:rsid w:val="00884546"/>
    <w:rsid w:val="00884935"/>
    <w:rsid w:val="00884A12"/>
    <w:rsid w:val="00884A1B"/>
    <w:rsid w:val="00884F54"/>
    <w:rsid w:val="008851D8"/>
    <w:rsid w:val="008854A0"/>
    <w:rsid w:val="0088579D"/>
    <w:rsid w:val="008858BA"/>
    <w:rsid w:val="00886029"/>
    <w:rsid w:val="00886E59"/>
    <w:rsid w:val="00886FD5"/>
    <w:rsid w:val="00887BE8"/>
    <w:rsid w:val="00887F44"/>
    <w:rsid w:val="0089118A"/>
    <w:rsid w:val="00891E12"/>
    <w:rsid w:val="00892A02"/>
    <w:rsid w:val="00893747"/>
    <w:rsid w:val="00893CB5"/>
    <w:rsid w:val="008944F5"/>
    <w:rsid w:val="008955D8"/>
    <w:rsid w:val="00895FE2"/>
    <w:rsid w:val="00895FEC"/>
    <w:rsid w:val="0089600E"/>
    <w:rsid w:val="00896188"/>
    <w:rsid w:val="00896EF2"/>
    <w:rsid w:val="008970C6"/>
    <w:rsid w:val="00897A59"/>
    <w:rsid w:val="00897C7B"/>
    <w:rsid w:val="008A0229"/>
    <w:rsid w:val="008A18BB"/>
    <w:rsid w:val="008A18CC"/>
    <w:rsid w:val="008A1C06"/>
    <w:rsid w:val="008A207E"/>
    <w:rsid w:val="008A248F"/>
    <w:rsid w:val="008A3BC9"/>
    <w:rsid w:val="008A3BF9"/>
    <w:rsid w:val="008A4937"/>
    <w:rsid w:val="008A4B9C"/>
    <w:rsid w:val="008A5C92"/>
    <w:rsid w:val="008A5D4F"/>
    <w:rsid w:val="008A61C8"/>
    <w:rsid w:val="008A6ADD"/>
    <w:rsid w:val="008A6CF0"/>
    <w:rsid w:val="008B05F4"/>
    <w:rsid w:val="008B072F"/>
    <w:rsid w:val="008B1847"/>
    <w:rsid w:val="008B1CFE"/>
    <w:rsid w:val="008B24C0"/>
    <w:rsid w:val="008B34F8"/>
    <w:rsid w:val="008B38F8"/>
    <w:rsid w:val="008B3DC9"/>
    <w:rsid w:val="008B41EA"/>
    <w:rsid w:val="008B437C"/>
    <w:rsid w:val="008B4508"/>
    <w:rsid w:val="008B47DE"/>
    <w:rsid w:val="008B4AA6"/>
    <w:rsid w:val="008B589A"/>
    <w:rsid w:val="008B597D"/>
    <w:rsid w:val="008B5E48"/>
    <w:rsid w:val="008B6AB9"/>
    <w:rsid w:val="008B6E80"/>
    <w:rsid w:val="008B75B5"/>
    <w:rsid w:val="008B7AF7"/>
    <w:rsid w:val="008C0527"/>
    <w:rsid w:val="008C05C0"/>
    <w:rsid w:val="008C15E1"/>
    <w:rsid w:val="008C1E2E"/>
    <w:rsid w:val="008C1EEA"/>
    <w:rsid w:val="008C2431"/>
    <w:rsid w:val="008C25F4"/>
    <w:rsid w:val="008C28CD"/>
    <w:rsid w:val="008C31E0"/>
    <w:rsid w:val="008C3265"/>
    <w:rsid w:val="008C3852"/>
    <w:rsid w:val="008C4284"/>
    <w:rsid w:val="008C4B91"/>
    <w:rsid w:val="008C526C"/>
    <w:rsid w:val="008C53BF"/>
    <w:rsid w:val="008C5EFE"/>
    <w:rsid w:val="008C777D"/>
    <w:rsid w:val="008D064E"/>
    <w:rsid w:val="008D0A14"/>
    <w:rsid w:val="008D0A72"/>
    <w:rsid w:val="008D0E15"/>
    <w:rsid w:val="008D2218"/>
    <w:rsid w:val="008D231F"/>
    <w:rsid w:val="008D2A09"/>
    <w:rsid w:val="008D2B7A"/>
    <w:rsid w:val="008D2F83"/>
    <w:rsid w:val="008D333D"/>
    <w:rsid w:val="008D39E4"/>
    <w:rsid w:val="008D422F"/>
    <w:rsid w:val="008D613F"/>
    <w:rsid w:val="008D7864"/>
    <w:rsid w:val="008D7B35"/>
    <w:rsid w:val="008D7FE4"/>
    <w:rsid w:val="008E06E6"/>
    <w:rsid w:val="008E0EC6"/>
    <w:rsid w:val="008E13A2"/>
    <w:rsid w:val="008E1421"/>
    <w:rsid w:val="008E1726"/>
    <w:rsid w:val="008E266D"/>
    <w:rsid w:val="008E2B04"/>
    <w:rsid w:val="008E3166"/>
    <w:rsid w:val="008E4569"/>
    <w:rsid w:val="008E47BD"/>
    <w:rsid w:val="008E51A9"/>
    <w:rsid w:val="008E5B6C"/>
    <w:rsid w:val="008E64FF"/>
    <w:rsid w:val="008E6514"/>
    <w:rsid w:val="008E686B"/>
    <w:rsid w:val="008E7C41"/>
    <w:rsid w:val="008E7C92"/>
    <w:rsid w:val="008E7FA2"/>
    <w:rsid w:val="008F0335"/>
    <w:rsid w:val="008F060B"/>
    <w:rsid w:val="008F0F62"/>
    <w:rsid w:val="008F204B"/>
    <w:rsid w:val="008F3311"/>
    <w:rsid w:val="008F3599"/>
    <w:rsid w:val="008F3E43"/>
    <w:rsid w:val="008F46C1"/>
    <w:rsid w:val="008F4CF6"/>
    <w:rsid w:val="008F4EE4"/>
    <w:rsid w:val="008F5171"/>
    <w:rsid w:val="008F58D2"/>
    <w:rsid w:val="008F6294"/>
    <w:rsid w:val="008F70A7"/>
    <w:rsid w:val="008F7228"/>
    <w:rsid w:val="008F744E"/>
    <w:rsid w:val="008F7F51"/>
    <w:rsid w:val="008F7FAA"/>
    <w:rsid w:val="00901BDE"/>
    <w:rsid w:val="00901DA9"/>
    <w:rsid w:val="00901FBE"/>
    <w:rsid w:val="00902541"/>
    <w:rsid w:val="009026E9"/>
    <w:rsid w:val="0090291A"/>
    <w:rsid w:val="00903E19"/>
    <w:rsid w:val="00904E45"/>
    <w:rsid w:val="00905214"/>
    <w:rsid w:val="00905544"/>
    <w:rsid w:val="00905A67"/>
    <w:rsid w:val="00905E24"/>
    <w:rsid w:val="00905EA9"/>
    <w:rsid w:val="0090684B"/>
    <w:rsid w:val="00907193"/>
    <w:rsid w:val="00907A20"/>
    <w:rsid w:val="00907CB9"/>
    <w:rsid w:val="00907EF9"/>
    <w:rsid w:val="00910F39"/>
    <w:rsid w:val="009110DE"/>
    <w:rsid w:val="009110FA"/>
    <w:rsid w:val="00911824"/>
    <w:rsid w:val="00911C9E"/>
    <w:rsid w:val="0091225C"/>
    <w:rsid w:val="00912F44"/>
    <w:rsid w:val="00913273"/>
    <w:rsid w:val="00913A98"/>
    <w:rsid w:val="00913EB6"/>
    <w:rsid w:val="0091497A"/>
    <w:rsid w:val="00914FCF"/>
    <w:rsid w:val="00915096"/>
    <w:rsid w:val="00915301"/>
    <w:rsid w:val="009166D9"/>
    <w:rsid w:val="00916D94"/>
    <w:rsid w:val="00916E93"/>
    <w:rsid w:val="009174C9"/>
    <w:rsid w:val="0091754B"/>
    <w:rsid w:val="00917D2F"/>
    <w:rsid w:val="00917F3F"/>
    <w:rsid w:val="009200E8"/>
    <w:rsid w:val="00920BF9"/>
    <w:rsid w:val="00920EA9"/>
    <w:rsid w:val="009213B3"/>
    <w:rsid w:val="00921846"/>
    <w:rsid w:val="009218C0"/>
    <w:rsid w:val="00921AC7"/>
    <w:rsid w:val="00921C75"/>
    <w:rsid w:val="00921CBE"/>
    <w:rsid w:val="00921EB6"/>
    <w:rsid w:val="00922729"/>
    <w:rsid w:val="00922842"/>
    <w:rsid w:val="00922B90"/>
    <w:rsid w:val="00922FBB"/>
    <w:rsid w:val="009239DE"/>
    <w:rsid w:val="0092546A"/>
    <w:rsid w:val="009254AD"/>
    <w:rsid w:val="0092663F"/>
    <w:rsid w:val="00926DFE"/>
    <w:rsid w:val="0092705C"/>
    <w:rsid w:val="00927177"/>
    <w:rsid w:val="00927814"/>
    <w:rsid w:val="00927888"/>
    <w:rsid w:val="00930C1E"/>
    <w:rsid w:val="00930D97"/>
    <w:rsid w:val="00931114"/>
    <w:rsid w:val="00931F26"/>
    <w:rsid w:val="00932742"/>
    <w:rsid w:val="00932819"/>
    <w:rsid w:val="00932A60"/>
    <w:rsid w:val="00933513"/>
    <w:rsid w:val="009335EE"/>
    <w:rsid w:val="009336A8"/>
    <w:rsid w:val="00933D2F"/>
    <w:rsid w:val="00933E63"/>
    <w:rsid w:val="00933F0A"/>
    <w:rsid w:val="00934356"/>
    <w:rsid w:val="009344D9"/>
    <w:rsid w:val="00934656"/>
    <w:rsid w:val="0093546A"/>
    <w:rsid w:val="00936052"/>
    <w:rsid w:val="00936655"/>
    <w:rsid w:val="00937502"/>
    <w:rsid w:val="0093753A"/>
    <w:rsid w:val="00937686"/>
    <w:rsid w:val="00937920"/>
    <w:rsid w:val="00937D02"/>
    <w:rsid w:val="00937E36"/>
    <w:rsid w:val="009400B8"/>
    <w:rsid w:val="00940252"/>
    <w:rsid w:val="0094061D"/>
    <w:rsid w:val="00940C79"/>
    <w:rsid w:val="00940CEA"/>
    <w:rsid w:val="00940D34"/>
    <w:rsid w:val="0094102C"/>
    <w:rsid w:val="00941B63"/>
    <w:rsid w:val="00941E68"/>
    <w:rsid w:val="009431DC"/>
    <w:rsid w:val="00943364"/>
    <w:rsid w:val="00943514"/>
    <w:rsid w:val="00943733"/>
    <w:rsid w:val="00943BEA"/>
    <w:rsid w:val="00944101"/>
    <w:rsid w:val="00944690"/>
    <w:rsid w:val="00944C4A"/>
    <w:rsid w:val="00944DDF"/>
    <w:rsid w:val="009452BB"/>
    <w:rsid w:val="009452DC"/>
    <w:rsid w:val="00945E9C"/>
    <w:rsid w:val="00946C7C"/>
    <w:rsid w:val="00947221"/>
    <w:rsid w:val="00950538"/>
    <w:rsid w:val="00950BAB"/>
    <w:rsid w:val="00951BE1"/>
    <w:rsid w:val="00951C7D"/>
    <w:rsid w:val="009524B7"/>
    <w:rsid w:val="009525F1"/>
    <w:rsid w:val="00953942"/>
    <w:rsid w:val="00953C04"/>
    <w:rsid w:val="00953F2C"/>
    <w:rsid w:val="00954870"/>
    <w:rsid w:val="00954C93"/>
    <w:rsid w:val="00954ED0"/>
    <w:rsid w:val="00955D11"/>
    <w:rsid w:val="00955DC8"/>
    <w:rsid w:val="00956954"/>
    <w:rsid w:val="00956A32"/>
    <w:rsid w:val="0095717F"/>
    <w:rsid w:val="009577FD"/>
    <w:rsid w:val="00957CAA"/>
    <w:rsid w:val="00961233"/>
    <w:rsid w:val="00961398"/>
    <w:rsid w:val="00962AFC"/>
    <w:rsid w:val="009636C8"/>
    <w:rsid w:val="00963B1C"/>
    <w:rsid w:val="009643CC"/>
    <w:rsid w:val="0096474F"/>
    <w:rsid w:val="009647F7"/>
    <w:rsid w:val="00965180"/>
    <w:rsid w:val="00966AC9"/>
    <w:rsid w:val="00966E9D"/>
    <w:rsid w:val="0097017C"/>
    <w:rsid w:val="009706C3"/>
    <w:rsid w:val="009706C4"/>
    <w:rsid w:val="00970DB5"/>
    <w:rsid w:val="00971FB9"/>
    <w:rsid w:val="00972162"/>
    <w:rsid w:val="0097280A"/>
    <w:rsid w:val="00972A1A"/>
    <w:rsid w:val="009748A9"/>
    <w:rsid w:val="00974C6E"/>
    <w:rsid w:val="00975BA3"/>
    <w:rsid w:val="0097735E"/>
    <w:rsid w:val="00977B16"/>
    <w:rsid w:val="00977B21"/>
    <w:rsid w:val="00977E48"/>
    <w:rsid w:val="0098077C"/>
    <w:rsid w:val="00981298"/>
    <w:rsid w:val="009815E0"/>
    <w:rsid w:val="00981726"/>
    <w:rsid w:val="00981F14"/>
    <w:rsid w:val="00981FBC"/>
    <w:rsid w:val="0098332D"/>
    <w:rsid w:val="00983D0A"/>
    <w:rsid w:val="0098438A"/>
    <w:rsid w:val="00984410"/>
    <w:rsid w:val="009872B4"/>
    <w:rsid w:val="00987FEE"/>
    <w:rsid w:val="00990535"/>
    <w:rsid w:val="00990F45"/>
    <w:rsid w:val="00991637"/>
    <w:rsid w:val="0099167A"/>
    <w:rsid w:val="00991ADC"/>
    <w:rsid w:val="00992CA2"/>
    <w:rsid w:val="009931FB"/>
    <w:rsid w:val="00993870"/>
    <w:rsid w:val="00993CBD"/>
    <w:rsid w:val="00993E47"/>
    <w:rsid w:val="00993FE6"/>
    <w:rsid w:val="009940D3"/>
    <w:rsid w:val="0099430A"/>
    <w:rsid w:val="0099450C"/>
    <w:rsid w:val="00994872"/>
    <w:rsid w:val="00994DE6"/>
    <w:rsid w:val="0099531F"/>
    <w:rsid w:val="0099574B"/>
    <w:rsid w:val="00995B52"/>
    <w:rsid w:val="00996415"/>
    <w:rsid w:val="0099661C"/>
    <w:rsid w:val="0099668C"/>
    <w:rsid w:val="0099685C"/>
    <w:rsid w:val="00996F4A"/>
    <w:rsid w:val="00997209"/>
    <w:rsid w:val="00997A3E"/>
    <w:rsid w:val="009A0F1E"/>
    <w:rsid w:val="009A0FE3"/>
    <w:rsid w:val="009A11B5"/>
    <w:rsid w:val="009A129F"/>
    <w:rsid w:val="009A1706"/>
    <w:rsid w:val="009A20E7"/>
    <w:rsid w:val="009A22CA"/>
    <w:rsid w:val="009A29A3"/>
    <w:rsid w:val="009A2B2E"/>
    <w:rsid w:val="009A31FE"/>
    <w:rsid w:val="009A4177"/>
    <w:rsid w:val="009A439E"/>
    <w:rsid w:val="009A592D"/>
    <w:rsid w:val="009A7197"/>
    <w:rsid w:val="009A7561"/>
    <w:rsid w:val="009A778C"/>
    <w:rsid w:val="009A7E77"/>
    <w:rsid w:val="009B074B"/>
    <w:rsid w:val="009B088B"/>
    <w:rsid w:val="009B10C2"/>
    <w:rsid w:val="009B1AAF"/>
    <w:rsid w:val="009B1C94"/>
    <w:rsid w:val="009B2664"/>
    <w:rsid w:val="009B391D"/>
    <w:rsid w:val="009B3A66"/>
    <w:rsid w:val="009B3D76"/>
    <w:rsid w:val="009B5A6A"/>
    <w:rsid w:val="009B61C7"/>
    <w:rsid w:val="009B7535"/>
    <w:rsid w:val="009B780C"/>
    <w:rsid w:val="009C0947"/>
    <w:rsid w:val="009C0A94"/>
    <w:rsid w:val="009C0D92"/>
    <w:rsid w:val="009C1EC9"/>
    <w:rsid w:val="009C2195"/>
    <w:rsid w:val="009C25F8"/>
    <w:rsid w:val="009C2612"/>
    <w:rsid w:val="009C2808"/>
    <w:rsid w:val="009C328A"/>
    <w:rsid w:val="009C3892"/>
    <w:rsid w:val="009C4C10"/>
    <w:rsid w:val="009C4D0F"/>
    <w:rsid w:val="009C4E71"/>
    <w:rsid w:val="009C5434"/>
    <w:rsid w:val="009C5440"/>
    <w:rsid w:val="009C599C"/>
    <w:rsid w:val="009C6BC5"/>
    <w:rsid w:val="009D087B"/>
    <w:rsid w:val="009D09C8"/>
    <w:rsid w:val="009D1917"/>
    <w:rsid w:val="009D2300"/>
    <w:rsid w:val="009D2C37"/>
    <w:rsid w:val="009D3714"/>
    <w:rsid w:val="009D3FE1"/>
    <w:rsid w:val="009D4263"/>
    <w:rsid w:val="009D46BB"/>
    <w:rsid w:val="009D567E"/>
    <w:rsid w:val="009D62ED"/>
    <w:rsid w:val="009D653A"/>
    <w:rsid w:val="009D686D"/>
    <w:rsid w:val="009D6B8F"/>
    <w:rsid w:val="009D74C8"/>
    <w:rsid w:val="009D7501"/>
    <w:rsid w:val="009E0700"/>
    <w:rsid w:val="009E17F1"/>
    <w:rsid w:val="009E247C"/>
    <w:rsid w:val="009E3062"/>
    <w:rsid w:val="009E34D4"/>
    <w:rsid w:val="009E3FA3"/>
    <w:rsid w:val="009E4149"/>
    <w:rsid w:val="009E45DA"/>
    <w:rsid w:val="009E4CBE"/>
    <w:rsid w:val="009E5216"/>
    <w:rsid w:val="009E5251"/>
    <w:rsid w:val="009E6EAB"/>
    <w:rsid w:val="009E7250"/>
    <w:rsid w:val="009E7E12"/>
    <w:rsid w:val="009F0B94"/>
    <w:rsid w:val="009F1406"/>
    <w:rsid w:val="009F16F9"/>
    <w:rsid w:val="009F1732"/>
    <w:rsid w:val="009F1840"/>
    <w:rsid w:val="009F186D"/>
    <w:rsid w:val="009F1CF3"/>
    <w:rsid w:val="009F232A"/>
    <w:rsid w:val="009F28EB"/>
    <w:rsid w:val="009F32CD"/>
    <w:rsid w:val="009F3704"/>
    <w:rsid w:val="009F57F5"/>
    <w:rsid w:val="009F5800"/>
    <w:rsid w:val="009F6F2B"/>
    <w:rsid w:val="00A0109E"/>
    <w:rsid w:val="00A01279"/>
    <w:rsid w:val="00A0154A"/>
    <w:rsid w:val="00A02086"/>
    <w:rsid w:val="00A02397"/>
    <w:rsid w:val="00A04301"/>
    <w:rsid w:val="00A04B44"/>
    <w:rsid w:val="00A04BEB"/>
    <w:rsid w:val="00A0621F"/>
    <w:rsid w:val="00A069C1"/>
    <w:rsid w:val="00A071BD"/>
    <w:rsid w:val="00A10D55"/>
    <w:rsid w:val="00A10E36"/>
    <w:rsid w:val="00A12099"/>
    <w:rsid w:val="00A13026"/>
    <w:rsid w:val="00A13D75"/>
    <w:rsid w:val="00A141E0"/>
    <w:rsid w:val="00A14A9E"/>
    <w:rsid w:val="00A14DCA"/>
    <w:rsid w:val="00A15A73"/>
    <w:rsid w:val="00A162F0"/>
    <w:rsid w:val="00A166CB"/>
    <w:rsid w:val="00A16B39"/>
    <w:rsid w:val="00A1778F"/>
    <w:rsid w:val="00A17B16"/>
    <w:rsid w:val="00A17CDB"/>
    <w:rsid w:val="00A20CA6"/>
    <w:rsid w:val="00A20F69"/>
    <w:rsid w:val="00A21364"/>
    <w:rsid w:val="00A21531"/>
    <w:rsid w:val="00A22399"/>
    <w:rsid w:val="00A224EE"/>
    <w:rsid w:val="00A23776"/>
    <w:rsid w:val="00A238AB"/>
    <w:rsid w:val="00A23B0A"/>
    <w:rsid w:val="00A23C77"/>
    <w:rsid w:val="00A23E36"/>
    <w:rsid w:val="00A24095"/>
    <w:rsid w:val="00A242E6"/>
    <w:rsid w:val="00A24B7B"/>
    <w:rsid w:val="00A24DD1"/>
    <w:rsid w:val="00A2540B"/>
    <w:rsid w:val="00A25986"/>
    <w:rsid w:val="00A25D05"/>
    <w:rsid w:val="00A2610A"/>
    <w:rsid w:val="00A26AF6"/>
    <w:rsid w:val="00A27422"/>
    <w:rsid w:val="00A27FA2"/>
    <w:rsid w:val="00A3018A"/>
    <w:rsid w:val="00A30300"/>
    <w:rsid w:val="00A3131E"/>
    <w:rsid w:val="00A31E91"/>
    <w:rsid w:val="00A32553"/>
    <w:rsid w:val="00A32F9A"/>
    <w:rsid w:val="00A34870"/>
    <w:rsid w:val="00A351F7"/>
    <w:rsid w:val="00A36050"/>
    <w:rsid w:val="00A364DF"/>
    <w:rsid w:val="00A37C51"/>
    <w:rsid w:val="00A41672"/>
    <w:rsid w:val="00A419EB"/>
    <w:rsid w:val="00A41AEF"/>
    <w:rsid w:val="00A41F87"/>
    <w:rsid w:val="00A428A0"/>
    <w:rsid w:val="00A42918"/>
    <w:rsid w:val="00A42AF8"/>
    <w:rsid w:val="00A42B48"/>
    <w:rsid w:val="00A439F6"/>
    <w:rsid w:val="00A4433B"/>
    <w:rsid w:val="00A443E1"/>
    <w:rsid w:val="00A44674"/>
    <w:rsid w:val="00A44A21"/>
    <w:rsid w:val="00A450A2"/>
    <w:rsid w:val="00A4631E"/>
    <w:rsid w:val="00A46DDB"/>
    <w:rsid w:val="00A470F8"/>
    <w:rsid w:val="00A47B31"/>
    <w:rsid w:val="00A50DC1"/>
    <w:rsid w:val="00A510F5"/>
    <w:rsid w:val="00A51476"/>
    <w:rsid w:val="00A5155E"/>
    <w:rsid w:val="00A51C76"/>
    <w:rsid w:val="00A5311B"/>
    <w:rsid w:val="00A54D90"/>
    <w:rsid w:val="00A55399"/>
    <w:rsid w:val="00A55A68"/>
    <w:rsid w:val="00A55E15"/>
    <w:rsid w:val="00A56FFF"/>
    <w:rsid w:val="00A578C4"/>
    <w:rsid w:val="00A57FA5"/>
    <w:rsid w:val="00A602BC"/>
    <w:rsid w:val="00A602D0"/>
    <w:rsid w:val="00A6038E"/>
    <w:rsid w:val="00A603D8"/>
    <w:rsid w:val="00A604F4"/>
    <w:rsid w:val="00A60B09"/>
    <w:rsid w:val="00A60BD1"/>
    <w:rsid w:val="00A61303"/>
    <w:rsid w:val="00A61786"/>
    <w:rsid w:val="00A61B3F"/>
    <w:rsid w:val="00A62285"/>
    <w:rsid w:val="00A623D6"/>
    <w:rsid w:val="00A62BA1"/>
    <w:rsid w:val="00A644F2"/>
    <w:rsid w:val="00A64686"/>
    <w:rsid w:val="00A648A6"/>
    <w:rsid w:val="00A64B00"/>
    <w:rsid w:val="00A65258"/>
    <w:rsid w:val="00A6538C"/>
    <w:rsid w:val="00A6540E"/>
    <w:rsid w:val="00A6589D"/>
    <w:rsid w:val="00A66156"/>
    <w:rsid w:val="00A66781"/>
    <w:rsid w:val="00A667DE"/>
    <w:rsid w:val="00A67F4B"/>
    <w:rsid w:val="00A7046A"/>
    <w:rsid w:val="00A713A0"/>
    <w:rsid w:val="00A718AA"/>
    <w:rsid w:val="00A71950"/>
    <w:rsid w:val="00A71B52"/>
    <w:rsid w:val="00A73066"/>
    <w:rsid w:val="00A73E46"/>
    <w:rsid w:val="00A741A2"/>
    <w:rsid w:val="00A74512"/>
    <w:rsid w:val="00A7618A"/>
    <w:rsid w:val="00A766D3"/>
    <w:rsid w:val="00A77BCA"/>
    <w:rsid w:val="00A806A2"/>
    <w:rsid w:val="00A8093C"/>
    <w:rsid w:val="00A80AFD"/>
    <w:rsid w:val="00A811D8"/>
    <w:rsid w:val="00A81461"/>
    <w:rsid w:val="00A81BA4"/>
    <w:rsid w:val="00A81BC7"/>
    <w:rsid w:val="00A82B72"/>
    <w:rsid w:val="00A82ECB"/>
    <w:rsid w:val="00A85B11"/>
    <w:rsid w:val="00A86051"/>
    <w:rsid w:val="00A8648A"/>
    <w:rsid w:val="00A86567"/>
    <w:rsid w:val="00A87035"/>
    <w:rsid w:val="00A87EAC"/>
    <w:rsid w:val="00A87F24"/>
    <w:rsid w:val="00A90442"/>
    <w:rsid w:val="00A90DFC"/>
    <w:rsid w:val="00A91D58"/>
    <w:rsid w:val="00A92216"/>
    <w:rsid w:val="00A9239A"/>
    <w:rsid w:val="00A92CD9"/>
    <w:rsid w:val="00A93689"/>
    <w:rsid w:val="00A93E28"/>
    <w:rsid w:val="00A94732"/>
    <w:rsid w:val="00A957AC"/>
    <w:rsid w:val="00AA01C7"/>
    <w:rsid w:val="00AA021B"/>
    <w:rsid w:val="00AA0543"/>
    <w:rsid w:val="00AA1D49"/>
    <w:rsid w:val="00AA20EE"/>
    <w:rsid w:val="00AA230E"/>
    <w:rsid w:val="00AA296D"/>
    <w:rsid w:val="00AA2E67"/>
    <w:rsid w:val="00AA2E80"/>
    <w:rsid w:val="00AA3957"/>
    <w:rsid w:val="00AA3A13"/>
    <w:rsid w:val="00AA3FBC"/>
    <w:rsid w:val="00AA40AF"/>
    <w:rsid w:val="00AA4C3E"/>
    <w:rsid w:val="00AA52E6"/>
    <w:rsid w:val="00AA5378"/>
    <w:rsid w:val="00AA5784"/>
    <w:rsid w:val="00AA5B59"/>
    <w:rsid w:val="00AA67AE"/>
    <w:rsid w:val="00AA6C61"/>
    <w:rsid w:val="00AA6E22"/>
    <w:rsid w:val="00AA7308"/>
    <w:rsid w:val="00AA7533"/>
    <w:rsid w:val="00AB035E"/>
    <w:rsid w:val="00AB0AEE"/>
    <w:rsid w:val="00AB1B62"/>
    <w:rsid w:val="00AB21E9"/>
    <w:rsid w:val="00AB2383"/>
    <w:rsid w:val="00AB288B"/>
    <w:rsid w:val="00AB2A28"/>
    <w:rsid w:val="00AB2A83"/>
    <w:rsid w:val="00AB3C42"/>
    <w:rsid w:val="00AB3D91"/>
    <w:rsid w:val="00AB4063"/>
    <w:rsid w:val="00AB4B87"/>
    <w:rsid w:val="00AB535F"/>
    <w:rsid w:val="00AB5FB9"/>
    <w:rsid w:val="00AB619E"/>
    <w:rsid w:val="00AB6C32"/>
    <w:rsid w:val="00AB76AC"/>
    <w:rsid w:val="00AB7A23"/>
    <w:rsid w:val="00AB7D5D"/>
    <w:rsid w:val="00AC167E"/>
    <w:rsid w:val="00AC19DE"/>
    <w:rsid w:val="00AC1F95"/>
    <w:rsid w:val="00AC2D86"/>
    <w:rsid w:val="00AC31B3"/>
    <w:rsid w:val="00AC356C"/>
    <w:rsid w:val="00AC4166"/>
    <w:rsid w:val="00AC44F4"/>
    <w:rsid w:val="00AC4B1C"/>
    <w:rsid w:val="00AC4DF7"/>
    <w:rsid w:val="00AC5547"/>
    <w:rsid w:val="00AC6EB5"/>
    <w:rsid w:val="00AC7CF4"/>
    <w:rsid w:val="00AD003C"/>
    <w:rsid w:val="00AD0869"/>
    <w:rsid w:val="00AD0C0E"/>
    <w:rsid w:val="00AD0F8A"/>
    <w:rsid w:val="00AD11CF"/>
    <w:rsid w:val="00AD12C1"/>
    <w:rsid w:val="00AD1474"/>
    <w:rsid w:val="00AD18C8"/>
    <w:rsid w:val="00AD1BA3"/>
    <w:rsid w:val="00AD27BA"/>
    <w:rsid w:val="00AD2D97"/>
    <w:rsid w:val="00AD46AD"/>
    <w:rsid w:val="00AD4A21"/>
    <w:rsid w:val="00AD5351"/>
    <w:rsid w:val="00AD5E46"/>
    <w:rsid w:val="00AE0231"/>
    <w:rsid w:val="00AE0490"/>
    <w:rsid w:val="00AE0F00"/>
    <w:rsid w:val="00AE12DC"/>
    <w:rsid w:val="00AE168D"/>
    <w:rsid w:val="00AE184F"/>
    <w:rsid w:val="00AE1A4B"/>
    <w:rsid w:val="00AE1CEC"/>
    <w:rsid w:val="00AE337C"/>
    <w:rsid w:val="00AE3577"/>
    <w:rsid w:val="00AE4230"/>
    <w:rsid w:val="00AE4F31"/>
    <w:rsid w:val="00AE5A0A"/>
    <w:rsid w:val="00AE6213"/>
    <w:rsid w:val="00AE6287"/>
    <w:rsid w:val="00AE6383"/>
    <w:rsid w:val="00AE6434"/>
    <w:rsid w:val="00AE7482"/>
    <w:rsid w:val="00AF0159"/>
    <w:rsid w:val="00AF0A06"/>
    <w:rsid w:val="00AF0ED8"/>
    <w:rsid w:val="00AF10F5"/>
    <w:rsid w:val="00AF15B8"/>
    <w:rsid w:val="00AF249F"/>
    <w:rsid w:val="00AF2545"/>
    <w:rsid w:val="00AF3276"/>
    <w:rsid w:val="00AF5BB3"/>
    <w:rsid w:val="00AF7DDA"/>
    <w:rsid w:val="00AF7FF0"/>
    <w:rsid w:val="00B01788"/>
    <w:rsid w:val="00B02312"/>
    <w:rsid w:val="00B02FAE"/>
    <w:rsid w:val="00B03FAD"/>
    <w:rsid w:val="00B042A8"/>
    <w:rsid w:val="00B050A2"/>
    <w:rsid w:val="00B05893"/>
    <w:rsid w:val="00B0734B"/>
    <w:rsid w:val="00B10694"/>
    <w:rsid w:val="00B11C7B"/>
    <w:rsid w:val="00B11E1B"/>
    <w:rsid w:val="00B12B8F"/>
    <w:rsid w:val="00B12C29"/>
    <w:rsid w:val="00B132C3"/>
    <w:rsid w:val="00B13FC5"/>
    <w:rsid w:val="00B14130"/>
    <w:rsid w:val="00B1416E"/>
    <w:rsid w:val="00B1458C"/>
    <w:rsid w:val="00B14AA1"/>
    <w:rsid w:val="00B14B36"/>
    <w:rsid w:val="00B14F8D"/>
    <w:rsid w:val="00B153B1"/>
    <w:rsid w:val="00B15495"/>
    <w:rsid w:val="00B16162"/>
    <w:rsid w:val="00B16B53"/>
    <w:rsid w:val="00B16F3D"/>
    <w:rsid w:val="00B17B2C"/>
    <w:rsid w:val="00B17E76"/>
    <w:rsid w:val="00B17F0F"/>
    <w:rsid w:val="00B20BC5"/>
    <w:rsid w:val="00B20E68"/>
    <w:rsid w:val="00B21516"/>
    <w:rsid w:val="00B221AE"/>
    <w:rsid w:val="00B22368"/>
    <w:rsid w:val="00B22BDC"/>
    <w:rsid w:val="00B23A2E"/>
    <w:rsid w:val="00B267A6"/>
    <w:rsid w:val="00B26C98"/>
    <w:rsid w:val="00B276E0"/>
    <w:rsid w:val="00B310C0"/>
    <w:rsid w:val="00B3225E"/>
    <w:rsid w:val="00B32C6B"/>
    <w:rsid w:val="00B33768"/>
    <w:rsid w:val="00B346FD"/>
    <w:rsid w:val="00B34E4C"/>
    <w:rsid w:val="00B35100"/>
    <w:rsid w:val="00B3513D"/>
    <w:rsid w:val="00B3540C"/>
    <w:rsid w:val="00B354C7"/>
    <w:rsid w:val="00B36154"/>
    <w:rsid w:val="00B36890"/>
    <w:rsid w:val="00B36B94"/>
    <w:rsid w:val="00B36E5E"/>
    <w:rsid w:val="00B371C8"/>
    <w:rsid w:val="00B37C6C"/>
    <w:rsid w:val="00B40F8F"/>
    <w:rsid w:val="00B41596"/>
    <w:rsid w:val="00B4183F"/>
    <w:rsid w:val="00B4186F"/>
    <w:rsid w:val="00B4293E"/>
    <w:rsid w:val="00B429D3"/>
    <w:rsid w:val="00B42E18"/>
    <w:rsid w:val="00B43B5C"/>
    <w:rsid w:val="00B43FBC"/>
    <w:rsid w:val="00B44B7D"/>
    <w:rsid w:val="00B44CBA"/>
    <w:rsid w:val="00B46212"/>
    <w:rsid w:val="00B46475"/>
    <w:rsid w:val="00B46702"/>
    <w:rsid w:val="00B46730"/>
    <w:rsid w:val="00B46DC1"/>
    <w:rsid w:val="00B47020"/>
    <w:rsid w:val="00B47470"/>
    <w:rsid w:val="00B47F25"/>
    <w:rsid w:val="00B55496"/>
    <w:rsid w:val="00B55C3A"/>
    <w:rsid w:val="00B56121"/>
    <w:rsid w:val="00B562EE"/>
    <w:rsid w:val="00B56650"/>
    <w:rsid w:val="00B56795"/>
    <w:rsid w:val="00B56817"/>
    <w:rsid w:val="00B56FFC"/>
    <w:rsid w:val="00B57536"/>
    <w:rsid w:val="00B57587"/>
    <w:rsid w:val="00B57FF9"/>
    <w:rsid w:val="00B6003E"/>
    <w:rsid w:val="00B60387"/>
    <w:rsid w:val="00B6060B"/>
    <w:rsid w:val="00B61072"/>
    <w:rsid w:val="00B63458"/>
    <w:rsid w:val="00B6494C"/>
    <w:rsid w:val="00B64DC5"/>
    <w:rsid w:val="00B64EE1"/>
    <w:rsid w:val="00B676E2"/>
    <w:rsid w:val="00B67CBF"/>
    <w:rsid w:val="00B67FC9"/>
    <w:rsid w:val="00B705C9"/>
    <w:rsid w:val="00B70A9E"/>
    <w:rsid w:val="00B70ADA"/>
    <w:rsid w:val="00B716A3"/>
    <w:rsid w:val="00B71ABA"/>
    <w:rsid w:val="00B72C9E"/>
    <w:rsid w:val="00B72E27"/>
    <w:rsid w:val="00B736B5"/>
    <w:rsid w:val="00B75067"/>
    <w:rsid w:val="00B76BA9"/>
    <w:rsid w:val="00B76D07"/>
    <w:rsid w:val="00B77455"/>
    <w:rsid w:val="00B77EC9"/>
    <w:rsid w:val="00B8007F"/>
    <w:rsid w:val="00B80125"/>
    <w:rsid w:val="00B8035B"/>
    <w:rsid w:val="00B80D77"/>
    <w:rsid w:val="00B81F6F"/>
    <w:rsid w:val="00B820AC"/>
    <w:rsid w:val="00B823C1"/>
    <w:rsid w:val="00B82427"/>
    <w:rsid w:val="00B83EB1"/>
    <w:rsid w:val="00B84EA6"/>
    <w:rsid w:val="00B85367"/>
    <w:rsid w:val="00B85A0C"/>
    <w:rsid w:val="00B90531"/>
    <w:rsid w:val="00B90B78"/>
    <w:rsid w:val="00B9191F"/>
    <w:rsid w:val="00B91FD9"/>
    <w:rsid w:val="00B91FE2"/>
    <w:rsid w:val="00B922FF"/>
    <w:rsid w:val="00B92411"/>
    <w:rsid w:val="00B92EC4"/>
    <w:rsid w:val="00B9367B"/>
    <w:rsid w:val="00B93C6D"/>
    <w:rsid w:val="00B94807"/>
    <w:rsid w:val="00B955A4"/>
    <w:rsid w:val="00B9669A"/>
    <w:rsid w:val="00B97194"/>
    <w:rsid w:val="00B97365"/>
    <w:rsid w:val="00B97409"/>
    <w:rsid w:val="00BA0517"/>
    <w:rsid w:val="00BA092A"/>
    <w:rsid w:val="00BA0F71"/>
    <w:rsid w:val="00BA12BE"/>
    <w:rsid w:val="00BA1E4C"/>
    <w:rsid w:val="00BA1F73"/>
    <w:rsid w:val="00BA3398"/>
    <w:rsid w:val="00BA3B22"/>
    <w:rsid w:val="00BA56C3"/>
    <w:rsid w:val="00BA6077"/>
    <w:rsid w:val="00BA63A5"/>
    <w:rsid w:val="00BA671A"/>
    <w:rsid w:val="00BA6BBB"/>
    <w:rsid w:val="00BA7243"/>
    <w:rsid w:val="00BA7B88"/>
    <w:rsid w:val="00BA7D25"/>
    <w:rsid w:val="00BB0072"/>
    <w:rsid w:val="00BB0835"/>
    <w:rsid w:val="00BB0A3F"/>
    <w:rsid w:val="00BB0DCB"/>
    <w:rsid w:val="00BB1391"/>
    <w:rsid w:val="00BB19D4"/>
    <w:rsid w:val="00BB25A0"/>
    <w:rsid w:val="00BB2B0A"/>
    <w:rsid w:val="00BB3336"/>
    <w:rsid w:val="00BB35F7"/>
    <w:rsid w:val="00BB3C2B"/>
    <w:rsid w:val="00BB4873"/>
    <w:rsid w:val="00BB5453"/>
    <w:rsid w:val="00BB54DF"/>
    <w:rsid w:val="00BB5DC4"/>
    <w:rsid w:val="00BB656B"/>
    <w:rsid w:val="00BB6D3B"/>
    <w:rsid w:val="00BB6EF8"/>
    <w:rsid w:val="00BB74FC"/>
    <w:rsid w:val="00BB7979"/>
    <w:rsid w:val="00BC01F4"/>
    <w:rsid w:val="00BC0740"/>
    <w:rsid w:val="00BC13C4"/>
    <w:rsid w:val="00BC2B4F"/>
    <w:rsid w:val="00BC30DC"/>
    <w:rsid w:val="00BC419A"/>
    <w:rsid w:val="00BC43EB"/>
    <w:rsid w:val="00BC4B3A"/>
    <w:rsid w:val="00BC502D"/>
    <w:rsid w:val="00BC5D24"/>
    <w:rsid w:val="00BC6252"/>
    <w:rsid w:val="00BC77E1"/>
    <w:rsid w:val="00BC7C50"/>
    <w:rsid w:val="00BD056A"/>
    <w:rsid w:val="00BD0CD2"/>
    <w:rsid w:val="00BD0CE2"/>
    <w:rsid w:val="00BD0E87"/>
    <w:rsid w:val="00BD3481"/>
    <w:rsid w:val="00BD361F"/>
    <w:rsid w:val="00BD3633"/>
    <w:rsid w:val="00BD3A43"/>
    <w:rsid w:val="00BD3D25"/>
    <w:rsid w:val="00BD3D4B"/>
    <w:rsid w:val="00BD4DB1"/>
    <w:rsid w:val="00BD6701"/>
    <w:rsid w:val="00BD6938"/>
    <w:rsid w:val="00BD6F07"/>
    <w:rsid w:val="00BD6F34"/>
    <w:rsid w:val="00BE010A"/>
    <w:rsid w:val="00BE0413"/>
    <w:rsid w:val="00BE19E5"/>
    <w:rsid w:val="00BE1DB5"/>
    <w:rsid w:val="00BE1DD4"/>
    <w:rsid w:val="00BE20D2"/>
    <w:rsid w:val="00BE304B"/>
    <w:rsid w:val="00BE40C4"/>
    <w:rsid w:val="00BE46A2"/>
    <w:rsid w:val="00BE4B8A"/>
    <w:rsid w:val="00BE5347"/>
    <w:rsid w:val="00BE60C8"/>
    <w:rsid w:val="00BE62B2"/>
    <w:rsid w:val="00BE6B53"/>
    <w:rsid w:val="00BE72E5"/>
    <w:rsid w:val="00BE7B5C"/>
    <w:rsid w:val="00BF065F"/>
    <w:rsid w:val="00BF0876"/>
    <w:rsid w:val="00BF0D94"/>
    <w:rsid w:val="00BF10F0"/>
    <w:rsid w:val="00BF122F"/>
    <w:rsid w:val="00BF1543"/>
    <w:rsid w:val="00BF169C"/>
    <w:rsid w:val="00BF248D"/>
    <w:rsid w:val="00BF2863"/>
    <w:rsid w:val="00BF28B8"/>
    <w:rsid w:val="00BF39AB"/>
    <w:rsid w:val="00BF3D61"/>
    <w:rsid w:val="00BF3E17"/>
    <w:rsid w:val="00BF4231"/>
    <w:rsid w:val="00BF5005"/>
    <w:rsid w:val="00BF548C"/>
    <w:rsid w:val="00BF60D7"/>
    <w:rsid w:val="00BF6747"/>
    <w:rsid w:val="00BF6860"/>
    <w:rsid w:val="00BF7863"/>
    <w:rsid w:val="00C0311A"/>
    <w:rsid w:val="00C03147"/>
    <w:rsid w:val="00C03183"/>
    <w:rsid w:val="00C0351E"/>
    <w:rsid w:val="00C03BF2"/>
    <w:rsid w:val="00C044AC"/>
    <w:rsid w:val="00C04C48"/>
    <w:rsid w:val="00C05094"/>
    <w:rsid w:val="00C053B5"/>
    <w:rsid w:val="00C0548B"/>
    <w:rsid w:val="00C05F8E"/>
    <w:rsid w:val="00C06656"/>
    <w:rsid w:val="00C06B1D"/>
    <w:rsid w:val="00C078FA"/>
    <w:rsid w:val="00C10791"/>
    <w:rsid w:val="00C10E3C"/>
    <w:rsid w:val="00C10EBB"/>
    <w:rsid w:val="00C11162"/>
    <w:rsid w:val="00C124DA"/>
    <w:rsid w:val="00C1480C"/>
    <w:rsid w:val="00C159B7"/>
    <w:rsid w:val="00C15C1B"/>
    <w:rsid w:val="00C15DC3"/>
    <w:rsid w:val="00C1603A"/>
    <w:rsid w:val="00C16390"/>
    <w:rsid w:val="00C16D51"/>
    <w:rsid w:val="00C17396"/>
    <w:rsid w:val="00C17553"/>
    <w:rsid w:val="00C1781D"/>
    <w:rsid w:val="00C207CA"/>
    <w:rsid w:val="00C20C7F"/>
    <w:rsid w:val="00C212EB"/>
    <w:rsid w:val="00C21355"/>
    <w:rsid w:val="00C23EB1"/>
    <w:rsid w:val="00C2571D"/>
    <w:rsid w:val="00C25E94"/>
    <w:rsid w:val="00C260D1"/>
    <w:rsid w:val="00C26170"/>
    <w:rsid w:val="00C30A31"/>
    <w:rsid w:val="00C30CB5"/>
    <w:rsid w:val="00C31825"/>
    <w:rsid w:val="00C31C48"/>
    <w:rsid w:val="00C3317E"/>
    <w:rsid w:val="00C33D95"/>
    <w:rsid w:val="00C35389"/>
    <w:rsid w:val="00C356D2"/>
    <w:rsid w:val="00C359B0"/>
    <w:rsid w:val="00C3672E"/>
    <w:rsid w:val="00C36A36"/>
    <w:rsid w:val="00C36BDF"/>
    <w:rsid w:val="00C36BFE"/>
    <w:rsid w:val="00C375AF"/>
    <w:rsid w:val="00C37B0B"/>
    <w:rsid w:val="00C400B1"/>
    <w:rsid w:val="00C40220"/>
    <w:rsid w:val="00C402EF"/>
    <w:rsid w:val="00C41381"/>
    <w:rsid w:val="00C414F0"/>
    <w:rsid w:val="00C41FBD"/>
    <w:rsid w:val="00C42103"/>
    <w:rsid w:val="00C43260"/>
    <w:rsid w:val="00C433C3"/>
    <w:rsid w:val="00C44332"/>
    <w:rsid w:val="00C44724"/>
    <w:rsid w:val="00C4474E"/>
    <w:rsid w:val="00C44B74"/>
    <w:rsid w:val="00C44F73"/>
    <w:rsid w:val="00C4552F"/>
    <w:rsid w:val="00C4624A"/>
    <w:rsid w:val="00C46805"/>
    <w:rsid w:val="00C46AC2"/>
    <w:rsid w:val="00C47BB9"/>
    <w:rsid w:val="00C5044A"/>
    <w:rsid w:val="00C5095A"/>
    <w:rsid w:val="00C50E5E"/>
    <w:rsid w:val="00C52F0A"/>
    <w:rsid w:val="00C5405B"/>
    <w:rsid w:val="00C54A16"/>
    <w:rsid w:val="00C54F7A"/>
    <w:rsid w:val="00C56443"/>
    <w:rsid w:val="00C62C34"/>
    <w:rsid w:val="00C62F88"/>
    <w:rsid w:val="00C6348D"/>
    <w:rsid w:val="00C63C1A"/>
    <w:rsid w:val="00C6411D"/>
    <w:rsid w:val="00C64BF3"/>
    <w:rsid w:val="00C64C08"/>
    <w:rsid w:val="00C64D5F"/>
    <w:rsid w:val="00C64FCF"/>
    <w:rsid w:val="00C66322"/>
    <w:rsid w:val="00C670D0"/>
    <w:rsid w:val="00C67868"/>
    <w:rsid w:val="00C70738"/>
    <w:rsid w:val="00C71260"/>
    <w:rsid w:val="00C71ED9"/>
    <w:rsid w:val="00C72759"/>
    <w:rsid w:val="00C73359"/>
    <w:rsid w:val="00C734E2"/>
    <w:rsid w:val="00C746B8"/>
    <w:rsid w:val="00C74CCD"/>
    <w:rsid w:val="00C74D6E"/>
    <w:rsid w:val="00C75563"/>
    <w:rsid w:val="00C75ABC"/>
    <w:rsid w:val="00C76B5F"/>
    <w:rsid w:val="00C80358"/>
    <w:rsid w:val="00C80EAA"/>
    <w:rsid w:val="00C80FCA"/>
    <w:rsid w:val="00C80FD8"/>
    <w:rsid w:val="00C81070"/>
    <w:rsid w:val="00C81E7B"/>
    <w:rsid w:val="00C84175"/>
    <w:rsid w:val="00C84C2B"/>
    <w:rsid w:val="00C84DA5"/>
    <w:rsid w:val="00C84DEF"/>
    <w:rsid w:val="00C86AB9"/>
    <w:rsid w:val="00C871BC"/>
    <w:rsid w:val="00C874B7"/>
    <w:rsid w:val="00C91466"/>
    <w:rsid w:val="00C91CDB"/>
    <w:rsid w:val="00C92233"/>
    <w:rsid w:val="00C92FCF"/>
    <w:rsid w:val="00C935D7"/>
    <w:rsid w:val="00C94010"/>
    <w:rsid w:val="00C94678"/>
    <w:rsid w:val="00C9481E"/>
    <w:rsid w:val="00C94A30"/>
    <w:rsid w:val="00C94F2A"/>
    <w:rsid w:val="00C95B3F"/>
    <w:rsid w:val="00C95FB1"/>
    <w:rsid w:val="00C96439"/>
    <w:rsid w:val="00C977D7"/>
    <w:rsid w:val="00C97DCC"/>
    <w:rsid w:val="00CA02B7"/>
    <w:rsid w:val="00CA0997"/>
    <w:rsid w:val="00CA0DB7"/>
    <w:rsid w:val="00CA2509"/>
    <w:rsid w:val="00CA290C"/>
    <w:rsid w:val="00CA3A5C"/>
    <w:rsid w:val="00CA3C03"/>
    <w:rsid w:val="00CA3E70"/>
    <w:rsid w:val="00CA5F21"/>
    <w:rsid w:val="00CA6689"/>
    <w:rsid w:val="00CA690A"/>
    <w:rsid w:val="00CA6E2C"/>
    <w:rsid w:val="00CA70F7"/>
    <w:rsid w:val="00CA7B9B"/>
    <w:rsid w:val="00CA7D2A"/>
    <w:rsid w:val="00CB01B1"/>
    <w:rsid w:val="00CB12FD"/>
    <w:rsid w:val="00CB1306"/>
    <w:rsid w:val="00CB1D3F"/>
    <w:rsid w:val="00CB22E1"/>
    <w:rsid w:val="00CB31B6"/>
    <w:rsid w:val="00CB360D"/>
    <w:rsid w:val="00CB36DC"/>
    <w:rsid w:val="00CB37D5"/>
    <w:rsid w:val="00CB3D3C"/>
    <w:rsid w:val="00CB4981"/>
    <w:rsid w:val="00CB561B"/>
    <w:rsid w:val="00CB6262"/>
    <w:rsid w:val="00CB6D45"/>
    <w:rsid w:val="00CB7A98"/>
    <w:rsid w:val="00CC026E"/>
    <w:rsid w:val="00CC16B2"/>
    <w:rsid w:val="00CC1DFB"/>
    <w:rsid w:val="00CC2CD1"/>
    <w:rsid w:val="00CC3FF0"/>
    <w:rsid w:val="00CC4DE0"/>
    <w:rsid w:val="00CC5D2F"/>
    <w:rsid w:val="00CC7132"/>
    <w:rsid w:val="00CC7AB7"/>
    <w:rsid w:val="00CD179B"/>
    <w:rsid w:val="00CD189A"/>
    <w:rsid w:val="00CD197E"/>
    <w:rsid w:val="00CD23C7"/>
    <w:rsid w:val="00CD25E1"/>
    <w:rsid w:val="00CD278C"/>
    <w:rsid w:val="00CD2948"/>
    <w:rsid w:val="00CD2D41"/>
    <w:rsid w:val="00CD315E"/>
    <w:rsid w:val="00CD38D6"/>
    <w:rsid w:val="00CD3910"/>
    <w:rsid w:val="00CD4235"/>
    <w:rsid w:val="00CD4460"/>
    <w:rsid w:val="00CD4D2C"/>
    <w:rsid w:val="00CD5227"/>
    <w:rsid w:val="00CD5617"/>
    <w:rsid w:val="00CD5DB3"/>
    <w:rsid w:val="00CD5FD6"/>
    <w:rsid w:val="00CD61C4"/>
    <w:rsid w:val="00CD6EC6"/>
    <w:rsid w:val="00CD763B"/>
    <w:rsid w:val="00CD79C2"/>
    <w:rsid w:val="00CE020F"/>
    <w:rsid w:val="00CE092D"/>
    <w:rsid w:val="00CE1700"/>
    <w:rsid w:val="00CE2DA8"/>
    <w:rsid w:val="00CE321B"/>
    <w:rsid w:val="00CE3842"/>
    <w:rsid w:val="00CE38CD"/>
    <w:rsid w:val="00CE3D34"/>
    <w:rsid w:val="00CE469B"/>
    <w:rsid w:val="00CE4E34"/>
    <w:rsid w:val="00CE5FC8"/>
    <w:rsid w:val="00CE69C8"/>
    <w:rsid w:val="00CE7C0F"/>
    <w:rsid w:val="00CF01CE"/>
    <w:rsid w:val="00CF01D0"/>
    <w:rsid w:val="00CF110A"/>
    <w:rsid w:val="00CF1630"/>
    <w:rsid w:val="00CF16C3"/>
    <w:rsid w:val="00CF194A"/>
    <w:rsid w:val="00CF1D04"/>
    <w:rsid w:val="00CF2BA4"/>
    <w:rsid w:val="00CF2ECA"/>
    <w:rsid w:val="00CF32EF"/>
    <w:rsid w:val="00CF35C1"/>
    <w:rsid w:val="00CF39E1"/>
    <w:rsid w:val="00CF407D"/>
    <w:rsid w:val="00CF4A10"/>
    <w:rsid w:val="00CF4B07"/>
    <w:rsid w:val="00CF4D8C"/>
    <w:rsid w:val="00CF5764"/>
    <w:rsid w:val="00CF6155"/>
    <w:rsid w:val="00CF6872"/>
    <w:rsid w:val="00CF68B9"/>
    <w:rsid w:val="00CF68F7"/>
    <w:rsid w:val="00CF70B6"/>
    <w:rsid w:val="00D002B4"/>
    <w:rsid w:val="00D00FD8"/>
    <w:rsid w:val="00D0258A"/>
    <w:rsid w:val="00D031F7"/>
    <w:rsid w:val="00D03251"/>
    <w:rsid w:val="00D03308"/>
    <w:rsid w:val="00D042D7"/>
    <w:rsid w:val="00D044D3"/>
    <w:rsid w:val="00D04618"/>
    <w:rsid w:val="00D04F2C"/>
    <w:rsid w:val="00D05792"/>
    <w:rsid w:val="00D05DDB"/>
    <w:rsid w:val="00D06D70"/>
    <w:rsid w:val="00D074F7"/>
    <w:rsid w:val="00D101FF"/>
    <w:rsid w:val="00D10316"/>
    <w:rsid w:val="00D10B38"/>
    <w:rsid w:val="00D122E8"/>
    <w:rsid w:val="00D13447"/>
    <w:rsid w:val="00D135E7"/>
    <w:rsid w:val="00D14FCD"/>
    <w:rsid w:val="00D15923"/>
    <w:rsid w:val="00D15B93"/>
    <w:rsid w:val="00D15D53"/>
    <w:rsid w:val="00D20AEC"/>
    <w:rsid w:val="00D20F1D"/>
    <w:rsid w:val="00D21DDB"/>
    <w:rsid w:val="00D2255D"/>
    <w:rsid w:val="00D22D5B"/>
    <w:rsid w:val="00D22E2F"/>
    <w:rsid w:val="00D2328C"/>
    <w:rsid w:val="00D240D1"/>
    <w:rsid w:val="00D2656D"/>
    <w:rsid w:val="00D26A8F"/>
    <w:rsid w:val="00D26E06"/>
    <w:rsid w:val="00D27487"/>
    <w:rsid w:val="00D2762B"/>
    <w:rsid w:val="00D27694"/>
    <w:rsid w:val="00D27770"/>
    <w:rsid w:val="00D27CA8"/>
    <w:rsid w:val="00D27FE4"/>
    <w:rsid w:val="00D3088C"/>
    <w:rsid w:val="00D314C2"/>
    <w:rsid w:val="00D31938"/>
    <w:rsid w:val="00D32F5A"/>
    <w:rsid w:val="00D32F78"/>
    <w:rsid w:val="00D3323F"/>
    <w:rsid w:val="00D34D4A"/>
    <w:rsid w:val="00D35142"/>
    <w:rsid w:val="00D3651E"/>
    <w:rsid w:val="00D365D0"/>
    <w:rsid w:val="00D36680"/>
    <w:rsid w:val="00D3725E"/>
    <w:rsid w:val="00D3793D"/>
    <w:rsid w:val="00D4043D"/>
    <w:rsid w:val="00D41798"/>
    <w:rsid w:val="00D422BA"/>
    <w:rsid w:val="00D422D5"/>
    <w:rsid w:val="00D42962"/>
    <w:rsid w:val="00D429A3"/>
    <w:rsid w:val="00D42E75"/>
    <w:rsid w:val="00D43CB1"/>
    <w:rsid w:val="00D4400A"/>
    <w:rsid w:val="00D442C6"/>
    <w:rsid w:val="00D444CF"/>
    <w:rsid w:val="00D44845"/>
    <w:rsid w:val="00D45210"/>
    <w:rsid w:val="00D45514"/>
    <w:rsid w:val="00D46E7A"/>
    <w:rsid w:val="00D47363"/>
    <w:rsid w:val="00D4758D"/>
    <w:rsid w:val="00D51B07"/>
    <w:rsid w:val="00D52405"/>
    <w:rsid w:val="00D5252A"/>
    <w:rsid w:val="00D52917"/>
    <w:rsid w:val="00D54563"/>
    <w:rsid w:val="00D5546A"/>
    <w:rsid w:val="00D562BC"/>
    <w:rsid w:val="00D5679E"/>
    <w:rsid w:val="00D57101"/>
    <w:rsid w:val="00D5758A"/>
    <w:rsid w:val="00D600F5"/>
    <w:rsid w:val="00D61009"/>
    <w:rsid w:val="00D6221E"/>
    <w:rsid w:val="00D623C4"/>
    <w:rsid w:val="00D62A04"/>
    <w:rsid w:val="00D62E83"/>
    <w:rsid w:val="00D63BB5"/>
    <w:rsid w:val="00D63E6B"/>
    <w:rsid w:val="00D63F43"/>
    <w:rsid w:val="00D643B9"/>
    <w:rsid w:val="00D64F60"/>
    <w:rsid w:val="00D65A3D"/>
    <w:rsid w:val="00D6663A"/>
    <w:rsid w:val="00D6716C"/>
    <w:rsid w:val="00D67524"/>
    <w:rsid w:val="00D67835"/>
    <w:rsid w:val="00D70149"/>
    <w:rsid w:val="00D7094F"/>
    <w:rsid w:val="00D711AA"/>
    <w:rsid w:val="00D71473"/>
    <w:rsid w:val="00D714FE"/>
    <w:rsid w:val="00D718D3"/>
    <w:rsid w:val="00D72996"/>
    <w:rsid w:val="00D72D9D"/>
    <w:rsid w:val="00D730B2"/>
    <w:rsid w:val="00D73181"/>
    <w:rsid w:val="00D7444F"/>
    <w:rsid w:val="00D74919"/>
    <w:rsid w:val="00D751D0"/>
    <w:rsid w:val="00D761E3"/>
    <w:rsid w:val="00D764C6"/>
    <w:rsid w:val="00D76707"/>
    <w:rsid w:val="00D77032"/>
    <w:rsid w:val="00D770AB"/>
    <w:rsid w:val="00D773E0"/>
    <w:rsid w:val="00D807C3"/>
    <w:rsid w:val="00D80D8A"/>
    <w:rsid w:val="00D812CF"/>
    <w:rsid w:val="00D81374"/>
    <w:rsid w:val="00D8283A"/>
    <w:rsid w:val="00D82E73"/>
    <w:rsid w:val="00D83B6D"/>
    <w:rsid w:val="00D83F37"/>
    <w:rsid w:val="00D84077"/>
    <w:rsid w:val="00D840EF"/>
    <w:rsid w:val="00D846D2"/>
    <w:rsid w:val="00D84B5B"/>
    <w:rsid w:val="00D84C64"/>
    <w:rsid w:val="00D85622"/>
    <w:rsid w:val="00D859FD"/>
    <w:rsid w:val="00D860BB"/>
    <w:rsid w:val="00D86500"/>
    <w:rsid w:val="00D8679D"/>
    <w:rsid w:val="00D86ED7"/>
    <w:rsid w:val="00D87AED"/>
    <w:rsid w:val="00D90027"/>
    <w:rsid w:val="00D9085C"/>
    <w:rsid w:val="00D91A93"/>
    <w:rsid w:val="00D91B9E"/>
    <w:rsid w:val="00D929F0"/>
    <w:rsid w:val="00D929FB"/>
    <w:rsid w:val="00D92AC3"/>
    <w:rsid w:val="00D92BD2"/>
    <w:rsid w:val="00D9307F"/>
    <w:rsid w:val="00D932AC"/>
    <w:rsid w:val="00D9390F"/>
    <w:rsid w:val="00D941C2"/>
    <w:rsid w:val="00D94258"/>
    <w:rsid w:val="00D9457F"/>
    <w:rsid w:val="00D94E8F"/>
    <w:rsid w:val="00D9569E"/>
    <w:rsid w:val="00D9588F"/>
    <w:rsid w:val="00D95C94"/>
    <w:rsid w:val="00D966A7"/>
    <w:rsid w:val="00D96B54"/>
    <w:rsid w:val="00D96B7C"/>
    <w:rsid w:val="00D96CF9"/>
    <w:rsid w:val="00D978B4"/>
    <w:rsid w:val="00DA000B"/>
    <w:rsid w:val="00DA044C"/>
    <w:rsid w:val="00DA1A35"/>
    <w:rsid w:val="00DA1F42"/>
    <w:rsid w:val="00DA22C4"/>
    <w:rsid w:val="00DA267D"/>
    <w:rsid w:val="00DA32FB"/>
    <w:rsid w:val="00DA43F3"/>
    <w:rsid w:val="00DA45BF"/>
    <w:rsid w:val="00DA472E"/>
    <w:rsid w:val="00DA632F"/>
    <w:rsid w:val="00DA6CFF"/>
    <w:rsid w:val="00DA750D"/>
    <w:rsid w:val="00DA78AB"/>
    <w:rsid w:val="00DA7AA5"/>
    <w:rsid w:val="00DA7CDC"/>
    <w:rsid w:val="00DB00AB"/>
    <w:rsid w:val="00DB0378"/>
    <w:rsid w:val="00DB041F"/>
    <w:rsid w:val="00DB05DF"/>
    <w:rsid w:val="00DB118E"/>
    <w:rsid w:val="00DB134F"/>
    <w:rsid w:val="00DB29C9"/>
    <w:rsid w:val="00DB3045"/>
    <w:rsid w:val="00DB30DC"/>
    <w:rsid w:val="00DB321F"/>
    <w:rsid w:val="00DB3768"/>
    <w:rsid w:val="00DB4093"/>
    <w:rsid w:val="00DB4439"/>
    <w:rsid w:val="00DB4482"/>
    <w:rsid w:val="00DB5346"/>
    <w:rsid w:val="00DB6164"/>
    <w:rsid w:val="00DB6185"/>
    <w:rsid w:val="00DB62A0"/>
    <w:rsid w:val="00DB7655"/>
    <w:rsid w:val="00DB781A"/>
    <w:rsid w:val="00DC0BAC"/>
    <w:rsid w:val="00DC0BEC"/>
    <w:rsid w:val="00DC0F29"/>
    <w:rsid w:val="00DC0FB9"/>
    <w:rsid w:val="00DC1768"/>
    <w:rsid w:val="00DC1EB0"/>
    <w:rsid w:val="00DC22F8"/>
    <w:rsid w:val="00DC3048"/>
    <w:rsid w:val="00DC3F95"/>
    <w:rsid w:val="00DC4A14"/>
    <w:rsid w:val="00DC4EE7"/>
    <w:rsid w:val="00DC5503"/>
    <w:rsid w:val="00DC57F7"/>
    <w:rsid w:val="00DC5E8E"/>
    <w:rsid w:val="00DC5F8C"/>
    <w:rsid w:val="00DC6901"/>
    <w:rsid w:val="00DC69D9"/>
    <w:rsid w:val="00DC781A"/>
    <w:rsid w:val="00DD11B0"/>
    <w:rsid w:val="00DD1624"/>
    <w:rsid w:val="00DD1A03"/>
    <w:rsid w:val="00DD1BD1"/>
    <w:rsid w:val="00DD2B2F"/>
    <w:rsid w:val="00DD39DA"/>
    <w:rsid w:val="00DD3C3F"/>
    <w:rsid w:val="00DD4D48"/>
    <w:rsid w:val="00DD5AF1"/>
    <w:rsid w:val="00DD6860"/>
    <w:rsid w:val="00DD73B9"/>
    <w:rsid w:val="00DD75C7"/>
    <w:rsid w:val="00DD774B"/>
    <w:rsid w:val="00DD79F0"/>
    <w:rsid w:val="00DE05D7"/>
    <w:rsid w:val="00DE0621"/>
    <w:rsid w:val="00DE185D"/>
    <w:rsid w:val="00DE2422"/>
    <w:rsid w:val="00DE290A"/>
    <w:rsid w:val="00DE3126"/>
    <w:rsid w:val="00DE3276"/>
    <w:rsid w:val="00DE4D68"/>
    <w:rsid w:val="00DE4E03"/>
    <w:rsid w:val="00DE5018"/>
    <w:rsid w:val="00DE5786"/>
    <w:rsid w:val="00DE5831"/>
    <w:rsid w:val="00DE613F"/>
    <w:rsid w:val="00DE6791"/>
    <w:rsid w:val="00DE6962"/>
    <w:rsid w:val="00DE6C54"/>
    <w:rsid w:val="00DE6F75"/>
    <w:rsid w:val="00DE7905"/>
    <w:rsid w:val="00DE7EA7"/>
    <w:rsid w:val="00DF0AA4"/>
    <w:rsid w:val="00DF150D"/>
    <w:rsid w:val="00DF2F0D"/>
    <w:rsid w:val="00DF366C"/>
    <w:rsid w:val="00DF3BE7"/>
    <w:rsid w:val="00DF3C88"/>
    <w:rsid w:val="00DF3DCB"/>
    <w:rsid w:val="00DF4069"/>
    <w:rsid w:val="00DF4843"/>
    <w:rsid w:val="00DF4E2E"/>
    <w:rsid w:val="00DF4EC3"/>
    <w:rsid w:val="00DF5112"/>
    <w:rsid w:val="00DF53CB"/>
    <w:rsid w:val="00DF58F0"/>
    <w:rsid w:val="00DF6423"/>
    <w:rsid w:val="00DF70FD"/>
    <w:rsid w:val="00DF7602"/>
    <w:rsid w:val="00DF7CA9"/>
    <w:rsid w:val="00E000AD"/>
    <w:rsid w:val="00E01A27"/>
    <w:rsid w:val="00E0288B"/>
    <w:rsid w:val="00E03299"/>
    <w:rsid w:val="00E03915"/>
    <w:rsid w:val="00E03DEE"/>
    <w:rsid w:val="00E03EF2"/>
    <w:rsid w:val="00E03F3E"/>
    <w:rsid w:val="00E050FE"/>
    <w:rsid w:val="00E05506"/>
    <w:rsid w:val="00E05B48"/>
    <w:rsid w:val="00E06673"/>
    <w:rsid w:val="00E06CCE"/>
    <w:rsid w:val="00E0755F"/>
    <w:rsid w:val="00E1075E"/>
    <w:rsid w:val="00E10BD6"/>
    <w:rsid w:val="00E10BED"/>
    <w:rsid w:val="00E10FCF"/>
    <w:rsid w:val="00E1111D"/>
    <w:rsid w:val="00E11BEE"/>
    <w:rsid w:val="00E12042"/>
    <w:rsid w:val="00E121C9"/>
    <w:rsid w:val="00E12D36"/>
    <w:rsid w:val="00E1337B"/>
    <w:rsid w:val="00E139DD"/>
    <w:rsid w:val="00E13F78"/>
    <w:rsid w:val="00E142ED"/>
    <w:rsid w:val="00E158F1"/>
    <w:rsid w:val="00E20576"/>
    <w:rsid w:val="00E2130E"/>
    <w:rsid w:val="00E21DEC"/>
    <w:rsid w:val="00E232FC"/>
    <w:rsid w:val="00E23C95"/>
    <w:rsid w:val="00E24F29"/>
    <w:rsid w:val="00E264A1"/>
    <w:rsid w:val="00E266AD"/>
    <w:rsid w:val="00E27825"/>
    <w:rsid w:val="00E307D2"/>
    <w:rsid w:val="00E31A92"/>
    <w:rsid w:val="00E31E71"/>
    <w:rsid w:val="00E3223E"/>
    <w:rsid w:val="00E3344B"/>
    <w:rsid w:val="00E33536"/>
    <w:rsid w:val="00E336A2"/>
    <w:rsid w:val="00E34105"/>
    <w:rsid w:val="00E346C1"/>
    <w:rsid w:val="00E351B2"/>
    <w:rsid w:val="00E35D39"/>
    <w:rsid w:val="00E370E1"/>
    <w:rsid w:val="00E3789E"/>
    <w:rsid w:val="00E40026"/>
    <w:rsid w:val="00E402D2"/>
    <w:rsid w:val="00E40754"/>
    <w:rsid w:val="00E40A57"/>
    <w:rsid w:val="00E41028"/>
    <w:rsid w:val="00E41097"/>
    <w:rsid w:val="00E41606"/>
    <w:rsid w:val="00E41878"/>
    <w:rsid w:val="00E41F8E"/>
    <w:rsid w:val="00E421CE"/>
    <w:rsid w:val="00E42777"/>
    <w:rsid w:val="00E431F5"/>
    <w:rsid w:val="00E434FA"/>
    <w:rsid w:val="00E435C2"/>
    <w:rsid w:val="00E435EA"/>
    <w:rsid w:val="00E43A2B"/>
    <w:rsid w:val="00E44977"/>
    <w:rsid w:val="00E44A75"/>
    <w:rsid w:val="00E45BEF"/>
    <w:rsid w:val="00E45E77"/>
    <w:rsid w:val="00E462EC"/>
    <w:rsid w:val="00E46E8A"/>
    <w:rsid w:val="00E4716C"/>
    <w:rsid w:val="00E478E5"/>
    <w:rsid w:val="00E47BBB"/>
    <w:rsid w:val="00E47F48"/>
    <w:rsid w:val="00E5043C"/>
    <w:rsid w:val="00E50667"/>
    <w:rsid w:val="00E513DA"/>
    <w:rsid w:val="00E516D2"/>
    <w:rsid w:val="00E518DA"/>
    <w:rsid w:val="00E51EDA"/>
    <w:rsid w:val="00E52149"/>
    <w:rsid w:val="00E537B6"/>
    <w:rsid w:val="00E538B5"/>
    <w:rsid w:val="00E54B75"/>
    <w:rsid w:val="00E55579"/>
    <w:rsid w:val="00E558FF"/>
    <w:rsid w:val="00E5697E"/>
    <w:rsid w:val="00E570D6"/>
    <w:rsid w:val="00E575CF"/>
    <w:rsid w:val="00E57939"/>
    <w:rsid w:val="00E579A9"/>
    <w:rsid w:val="00E60A5D"/>
    <w:rsid w:val="00E610F5"/>
    <w:rsid w:val="00E6118A"/>
    <w:rsid w:val="00E61EE9"/>
    <w:rsid w:val="00E61FD2"/>
    <w:rsid w:val="00E6225B"/>
    <w:rsid w:val="00E62419"/>
    <w:rsid w:val="00E625F1"/>
    <w:rsid w:val="00E62ACC"/>
    <w:rsid w:val="00E62BD3"/>
    <w:rsid w:val="00E636F2"/>
    <w:rsid w:val="00E63B1A"/>
    <w:rsid w:val="00E63BCE"/>
    <w:rsid w:val="00E6461D"/>
    <w:rsid w:val="00E64CCE"/>
    <w:rsid w:val="00E64E9E"/>
    <w:rsid w:val="00E653DC"/>
    <w:rsid w:val="00E659BB"/>
    <w:rsid w:val="00E65C5E"/>
    <w:rsid w:val="00E65CE4"/>
    <w:rsid w:val="00E662A3"/>
    <w:rsid w:val="00E6656B"/>
    <w:rsid w:val="00E66906"/>
    <w:rsid w:val="00E66996"/>
    <w:rsid w:val="00E67DDC"/>
    <w:rsid w:val="00E70241"/>
    <w:rsid w:val="00E708E3"/>
    <w:rsid w:val="00E7095C"/>
    <w:rsid w:val="00E717A8"/>
    <w:rsid w:val="00E72279"/>
    <w:rsid w:val="00E7256B"/>
    <w:rsid w:val="00E73045"/>
    <w:rsid w:val="00E73209"/>
    <w:rsid w:val="00E735BA"/>
    <w:rsid w:val="00E73C2E"/>
    <w:rsid w:val="00E744CF"/>
    <w:rsid w:val="00E76CD6"/>
    <w:rsid w:val="00E7718E"/>
    <w:rsid w:val="00E772BC"/>
    <w:rsid w:val="00E7742E"/>
    <w:rsid w:val="00E77471"/>
    <w:rsid w:val="00E7768C"/>
    <w:rsid w:val="00E7779D"/>
    <w:rsid w:val="00E77B2A"/>
    <w:rsid w:val="00E80B6F"/>
    <w:rsid w:val="00E80C41"/>
    <w:rsid w:val="00E80DED"/>
    <w:rsid w:val="00E81217"/>
    <w:rsid w:val="00E8251A"/>
    <w:rsid w:val="00E8289D"/>
    <w:rsid w:val="00E82D6F"/>
    <w:rsid w:val="00E8476B"/>
    <w:rsid w:val="00E85159"/>
    <w:rsid w:val="00E856B8"/>
    <w:rsid w:val="00E86AED"/>
    <w:rsid w:val="00E86D8B"/>
    <w:rsid w:val="00E87654"/>
    <w:rsid w:val="00E8776F"/>
    <w:rsid w:val="00E87815"/>
    <w:rsid w:val="00E87ACC"/>
    <w:rsid w:val="00E9121F"/>
    <w:rsid w:val="00E91461"/>
    <w:rsid w:val="00E91568"/>
    <w:rsid w:val="00E91F9B"/>
    <w:rsid w:val="00E9344A"/>
    <w:rsid w:val="00E93695"/>
    <w:rsid w:val="00E93ECA"/>
    <w:rsid w:val="00E93EE1"/>
    <w:rsid w:val="00E94338"/>
    <w:rsid w:val="00E9464E"/>
    <w:rsid w:val="00E953C4"/>
    <w:rsid w:val="00E9550A"/>
    <w:rsid w:val="00E96315"/>
    <w:rsid w:val="00E96BF7"/>
    <w:rsid w:val="00E96EC1"/>
    <w:rsid w:val="00EA0CC2"/>
    <w:rsid w:val="00EA2108"/>
    <w:rsid w:val="00EA21E8"/>
    <w:rsid w:val="00EA3CE9"/>
    <w:rsid w:val="00EA3DB0"/>
    <w:rsid w:val="00EA3FC8"/>
    <w:rsid w:val="00EA4496"/>
    <w:rsid w:val="00EA462B"/>
    <w:rsid w:val="00EA47D9"/>
    <w:rsid w:val="00EA6C5F"/>
    <w:rsid w:val="00EA783C"/>
    <w:rsid w:val="00EA78AF"/>
    <w:rsid w:val="00EA7AA7"/>
    <w:rsid w:val="00EA7F10"/>
    <w:rsid w:val="00EA7FD3"/>
    <w:rsid w:val="00EB0083"/>
    <w:rsid w:val="00EB05FB"/>
    <w:rsid w:val="00EB0796"/>
    <w:rsid w:val="00EB0914"/>
    <w:rsid w:val="00EB0994"/>
    <w:rsid w:val="00EB0DDC"/>
    <w:rsid w:val="00EB0ED7"/>
    <w:rsid w:val="00EB19E6"/>
    <w:rsid w:val="00EB1FE9"/>
    <w:rsid w:val="00EB2629"/>
    <w:rsid w:val="00EB2B33"/>
    <w:rsid w:val="00EB2E3B"/>
    <w:rsid w:val="00EB2E93"/>
    <w:rsid w:val="00EB31A3"/>
    <w:rsid w:val="00EB3392"/>
    <w:rsid w:val="00EB4B12"/>
    <w:rsid w:val="00EB4BB5"/>
    <w:rsid w:val="00EB4BE5"/>
    <w:rsid w:val="00EB4E08"/>
    <w:rsid w:val="00EB58CD"/>
    <w:rsid w:val="00EB6AE8"/>
    <w:rsid w:val="00EB6C37"/>
    <w:rsid w:val="00EB7187"/>
    <w:rsid w:val="00EB76F5"/>
    <w:rsid w:val="00EB7AE1"/>
    <w:rsid w:val="00EB7BF0"/>
    <w:rsid w:val="00EC0297"/>
    <w:rsid w:val="00EC05CB"/>
    <w:rsid w:val="00EC13F7"/>
    <w:rsid w:val="00EC152B"/>
    <w:rsid w:val="00EC278E"/>
    <w:rsid w:val="00EC400C"/>
    <w:rsid w:val="00EC463C"/>
    <w:rsid w:val="00EC60B0"/>
    <w:rsid w:val="00ED0013"/>
    <w:rsid w:val="00ED116D"/>
    <w:rsid w:val="00ED127E"/>
    <w:rsid w:val="00ED1ABF"/>
    <w:rsid w:val="00ED4D63"/>
    <w:rsid w:val="00ED6BED"/>
    <w:rsid w:val="00ED7BC3"/>
    <w:rsid w:val="00ED7F00"/>
    <w:rsid w:val="00EE10D4"/>
    <w:rsid w:val="00EE1186"/>
    <w:rsid w:val="00EE354D"/>
    <w:rsid w:val="00EE3C0F"/>
    <w:rsid w:val="00EE456F"/>
    <w:rsid w:val="00EE499C"/>
    <w:rsid w:val="00EE49C3"/>
    <w:rsid w:val="00EE4AE1"/>
    <w:rsid w:val="00EE4FA0"/>
    <w:rsid w:val="00EE50F2"/>
    <w:rsid w:val="00EE5227"/>
    <w:rsid w:val="00EE5FC2"/>
    <w:rsid w:val="00EE62A2"/>
    <w:rsid w:val="00EE6953"/>
    <w:rsid w:val="00EE7FF0"/>
    <w:rsid w:val="00EF0BEC"/>
    <w:rsid w:val="00EF26A1"/>
    <w:rsid w:val="00EF3572"/>
    <w:rsid w:val="00EF43E0"/>
    <w:rsid w:val="00EF4CFE"/>
    <w:rsid w:val="00EF510E"/>
    <w:rsid w:val="00EF59CE"/>
    <w:rsid w:val="00EF5B42"/>
    <w:rsid w:val="00EF668B"/>
    <w:rsid w:val="00EF6F39"/>
    <w:rsid w:val="00EF6FE0"/>
    <w:rsid w:val="00EF7693"/>
    <w:rsid w:val="00F013EA"/>
    <w:rsid w:val="00F01400"/>
    <w:rsid w:val="00F02142"/>
    <w:rsid w:val="00F02202"/>
    <w:rsid w:val="00F0371B"/>
    <w:rsid w:val="00F03A13"/>
    <w:rsid w:val="00F04735"/>
    <w:rsid w:val="00F04F09"/>
    <w:rsid w:val="00F05590"/>
    <w:rsid w:val="00F05953"/>
    <w:rsid w:val="00F05AB7"/>
    <w:rsid w:val="00F06238"/>
    <w:rsid w:val="00F062BB"/>
    <w:rsid w:val="00F07670"/>
    <w:rsid w:val="00F1009B"/>
    <w:rsid w:val="00F1197D"/>
    <w:rsid w:val="00F11C41"/>
    <w:rsid w:val="00F11CCB"/>
    <w:rsid w:val="00F127F0"/>
    <w:rsid w:val="00F12B3C"/>
    <w:rsid w:val="00F134A1"/>
    <w:rsid w:val="00F13EE3"/>
    <w:rsid w:val="00F13EFD"/>
    <w:rsid w:val="00F14607"/>
    <w:rsid w:val="00F16216"/>
    <w:rsid w:val="00F17319"/>
    <w:rsid w:val="00F178D9"/>
    <w:rsid w:val="00F221A6"/>
    <w:rsid w:val="00F22F11"/>
    <w:rsid w:val="00F23566"/>
    <w:rsid w:val="00F236F6"/>
    <w:rsid w:val="00F23C70"/>
    <w:rsid w:val="00F24439"/>
    <w:rsid w:val="00F24974"/>
    <w:rsid w:val="00F25240"/>
    <w:rsid w:val="00F262EC"/>
    <w:rsid w:val="00F2652A"/>
    <w:rsid w:val="00F30253"/>
    <w:rsid w:val="00F307C4"/>
    <w:rsid w:val="00F30F35"/>
    <w:rsid w:val="00F3279E"/>
    <w:rsid w:val="00F329AD"/>
    <w:rsid w:val="00F33000"/>
    <w:rsid w:val="00F337D5"/>
    <w:rsid w:val="00F34F2F"/>
    <w:rsid w:val="00F353A2"/>
    <w:rsid w:val="00F36072"/>
    <w:rsid w:val="00F36613"/>
    <w:rsid w:val="00F36F7F"/>
    <w:rsid w:val="00F370FE"/>
    <w:rsid w:val="00F372B4"/>
    <w:rsid w:val="00F374EB"/>
    <w:rsid w:val="00F378CD"/>
    <w:rsid w:val="00F378E0"/>
    <w:rsid w:val="00F40D15"/>
    <w:rsid w:val="00F41CA8"/>
    <w:rsid w:val="00F428C2"/>
    <w:rsid w:val="00F42DA9"/>
    <w:rsid w:val="00F44B6E"/>
    <w:rsid w:val="00F458CD"/>
    <w:rsid w:val="00F45BF3"/>
    <w:rsid w:val="00F46536"/>
    <w:rsid w:val="00F470F7"/>
    <w:rsid w:val="00F47433"/>
    <w:rsid w:val="00F4785D"/>
    <w:rsid w:val="00F47B2E"/>
    <w:rsid w:val="00F50092"/>
    <w:rsid w:val="00F5035F"/>
    <w:rsid w:val="00F518C8"/>
    <w:rsid w:val="00F51CB3"/>
    <w:rsid w:val="00F53574"/>
    <w:rsid w:val="00F5455E"/>
    <w:rsid w:val="00F545F2"/>
    <w:rsid w:val="00F551D1"/>
    <w:rsid w:val="00F55239"/>
    <w:rsid w:val="00F55297"/>
    <w:rsid w:val="00F55915"/>
    <w:rsid w:val="00F56B11"/>
    <w:rsid w:val="00F56BE4"/>
    <w:rsid w:val="00F57341"/>
    <w:rsid w:val="00F57CBE"/>
    <w:rsid w:val="00F57CEB"/>
    <w:rsid w:val="00F60DAE"/>
    <w:rsid w:val="00F61025"/>
    <w:rsid w:val="00F616F1"/>
    <w:rsid w:val="00F61DC3"/>
    <w:rsid w:val="00F62112"/>
    <w:rsid w:val="00F6240C"/>
    <w:rsid w:val="00F62760"/>
    <w:rsid w:val="00F6319F"/>
    <w:rsid w:val="00F631BA"/>
    <w:rsid w:val="00F64051"/>
    <w:rsid w:val="00F64B24"/>
    <w:rsid w:val="00F64EE2"/>
    <w:rsid w:val="00F64FA8"/>
    <w:rsid w:val="00F64FE8"/>
    <w:rsid w:val="00F65C66"/>
    <w:rsid w:val="00F65C7F"/>
    <w:rsid w:val="00F67167"/>
    <w:rsid w:val="00F67396"/>
    <w:rsid w:val="00F67E00"/>
    <w:rsid w:val="00F70B79"/>
    <w:rsid w:val="00F70CA7"/>
    <w:rsid w:val="00F710D2"/>
    <w:rsid w:val="00F717C0"/>
    <w:rsid w:val="00F71A4F"/>
    <w:rsid w:val="00F71D6D"/>
    <w:rsid w:val="00F71EE4"/>
    <w:rsid w:val="00F73875"/>
    <w:rsid w:val="00F739B2"/>
    <w:rsid w:val="00F73B93"/>
    <w:rsid w:val="00F73CA8"/>
    <w:rsid w:val="00F7460C"/>
    <w:rsid w:val="00F7685D"/>
    <w:rsid w:val="00F76B8E"/>
    <w:rsid w:val="00F8012D"/>
    <w:rsid w:val="00F80354"/>
    <w:rsid w:val="00F803E4"/>
    <w:rsid w:val="00F8092D"/>
    <w:rsid w:val="00F82E7F"/>
    <w:rsid w:val="00F8332C"/>
    <w:rsid w:val="00F8375B"/>
    <w:rsid w:val="00F83B80"/>
    <w:rsid w:val="00F83FFB"/>
    <w:rsid w:val="00F84FB6"/>
    <w:rsid w:val="00F8559C"/>
    <w:rsid w:val="00F85AEC"/>
    <w:rsid w:val="00F85C92"/>
    <w:rsid w:val="00F86893"/>
    <w:rsid w:val="00F901DE"/>
    <w:rsid w:val="00F90B50"/>
    <w:rsid w:val="00F90C8F"/>
    <w:rsid w:val="00F90DE9"/>
    <w:rsid w:val="00F91530"/>
    <w:rsid w:val="00F91E24"/>
    <w:rsid w:val="00F91E36"/>
    <w:rsid w:val="00F92DBE"/>
    <w:rsid w:val="00F9316C"/>
    <w:rsid w:val="00F93C60"/>
    <w:rsid w:val="00F946A2"/>
    <w:rsid w:val="00F94977"/>
    <w:rsid w:val="00F9526A"/>
    <w:rsid w:val="00F95529"/>
    <w:rsid w:val="00F9660B"/>
    <w:rsid w:val="00F977C8"/>
    <w:rsid w:val="00F978A6"/>
    <w:rsid w:val="00F97C3D"/>
    <w:rsid w:val="00F97D85"/>
    <w:rsid w:val="00FA0230"/>
    <w:rsid w:val="00FA08D9"/>
    <w:rsid w:val="00FA0B08"/>
    <w:rsid w:val="00FA12CB"/>
    <w:rsid w:val="00FA13BD"/>
    <w:rsid w:val="00FA2F2E"/>
    <w:rsid w:val="00FA3FBF"/>
    <w:rsid w:val="00FA55E2"/>
    <w:rsid w:val="00FA609E"/>
    <w:rsid w:val="00FA66C1"/>
    <w:rsid w:val="00FA7058"/>
    <w:rsid w:val="00FA70A8"/>
    <w:rsid w:val="00FA74DE"/>
    <w:rsid w:val="00FA7968"/>
    <w:rsid w:val="00FB011E"/>
    <w:rsid w:val="00FB048B"/>
    <w:rsid w:val="00FB0509"/>
    <w:rsid w:val="00FB1090"/>
    <w:rsid w:val="00FB12CA"/>
    <w:rsid w:val="00FB14A1"/>
    <w:rsid w:val="00FB312F"/>
    <w:rsid w:val="00FB322F"/>
    <w:rsid w:val="00FB366C"/>
    <w:rsid w:val="00FB4776"/>
    <w:rsid w:val="00FB4ACE"/>
    <w:rsid w:val="00FB6D3A"/>
    <w:rsid w:val="00FB6E95"/>
    <w:rsid w:val="00FB77DD"/>
    <w:rsid w:val="00FB7DCF"/>
    <w:rsid w:val="00FB7F70"/>
    <w:rsid w:val="00FC05D9"/>
    <w:rsid w:val="00FC09E3"/>
    <w:rsid w:val="00FC15A2"/>
    <w:rsid w:val="00FC26E3"/>
    <w:rsid w:val="00FC2ED2"/>
    <w:rsid w:val="00FC2EED"/>
    <w:rsid w:val="00FC31EA"/>
    <w:rsid w:val="00FC3450"/>
    <w:rsid w:val="00FC368A"/>
    <w:rsid w:val="00FC36D1"/>
    <w:rsid w:val="00FC54D2"/>
    <w:rsid w:val="00FC5729"/>
    <w:rsid w:val="00FC5F0A"/>
    <w:rsid w:val="00FC6346"/>
    <w:rsid w:val="00FC7921"/>
    <w:rsid w:val="00FD0723"/>
    <w:rsid w:val="00FD1443"/>
    <w:rsid w:val="00FD17A7"/>
    <w:rsid w:val="00FD223D"/>
    <w:rsid w:val="00FD2527"/>
    <w:rsid w:val="00FD2ABC"/>
    <w:rsid w:val="00FD2DB7"/>
    <w:rsid w:val="00FD336D"/>
    <w:rsid w:val="00FD356A"/>
    <w:rsid w:val="00FD3DCC"/>
    <w:rsid w:val="00FD54AB"/>
    <w:rsid w:val="00FD5C62"/>
    <w:rsid w:val="00FD5CE0"/>
    <w:rsid w:val="00FD66B8"/>
    <w:rsid w:val="00FE0242"/>
    <w:rsid w:val="00FE05C6"/>
    <w:rsid w:val="00FE0624"/>
    <w:rsid w:val="00FE2289"/>
    <w:rsid w:val="00FE2340"/>
    <w:rsid w:val="00FE2C64"/>
    <w:rsid w:val="00FE37D4"/>
    <w:rsid w:val="00FE38AD"/>
    <w:rsid w:val="00FE3F82"/>
    <w:rsid w:val="00FE4056"/>
    <w:rsid w:val="00FE47D2"/>
    <w:rsid w:val="00FE5A05"/>
    <w:rsid w:val="00FE69CD"/>
    <w:rsid w:val="00FE6A9E"/>
    <w:rsid w:val="00FE7A51"/>
    <w:rsid w:val="00FE7EB2"/>
    <w:rsid w:val="00FF0084"/>
    <w:rsid w:val="00FF014D"/>
    <w:rsid w:val="00FF0EBC"/>
    <w:rsid w:val="00FF17C8"/>
    <w:rsid w:val="00FF19AA"/>
    <w:rsid w:val="00FF24E2"/>
    <w:rsid w:val="00FF253D"/>
    <w:rsid w:val="00FF2A4C"/>
    <w:rsid w:val="00FF3148"/>
    <w:rsid w:val="00FF3362"/>
    <w:rsid w:val="00FF3B70"/>
    <w:rsid w:val="00FF3CDC"/>
    <w:rsid w:val="00FF4AEB"/>
    <w:rsid w:val="00FF5460"/>
    <w:rsid w:val="00FF54E4"/>
    <w:rsid w:val="00FF5752"/>
    <w:rsid w:val="00FF5B87"/>
    <w:rsid w:val="00FF6DF4"/>
    <w:rsid w:val="00FF72DF"/>
    <w:rsid w:val="00FF769F"/>
    <w:rsid w:val="00FF7A3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5B8920"/>
  <w15:docId w15:val="{58582CF0-C7AD-4276-9B07-3E4815DF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C7B"/>
    <w:rPr>
      <w:lang w:val="es-ES_tradnl"/>
    </w:rPr>
  </w:style>
  <w:style w:type="paragraph" w:styleId="Ttulo1">
    <w:name w:val="heading 1"/>
    <w:basedOn w:val="Normal"/>
    <w:next w:val="Normal"/>
    <w:link w:val="Ttulo1Car"/>
    <w:uiPriority w:val="9"/>
    <w:qFormat/>
    <w:rsid w:val="009A0FE3"/>
    <w:pPr>
      <w:keepNext/>
      <w:keepLines/>
      <w:numPr>
        <w:numId w:val="1"/>
      </w:numPr>
      <w:tabs>
        <w:tab w:val="left" w:pos="1215"/>
      </w:tabs>
      <w:spacing w:before="360" w:after="360" w:line="360" w:lineRule="auto"/>
      <w:ind w:left="0" w:firstLine="1418"/>
      <w:jc w:val="both"/>
      <w:outlineLvl w:val="0"/>
    </w:pPr>
    <w:rPr>
      <w:rFonts w:ascii="Arial" w:eastAsia="Times New Roman" w:hAnsi="Arial" w:cs="Arial"/>
      <w:sz w:val="28"/>
      <w:szCs w:val="28"/>
      <w:lang w:val="es-ES" w:eastAsia="es-ES"/>
    </w:rPr>
  </w:style>
  <w:style w:type="paragraph" w:styleId="Ttulo2">
    <w:name w:val="heading 2"/>
    <w:basedOn w:val="Normal"/>
    <w:next w:val="Normal"/>
    <w:link w:val="Ttulo2Car"/>
    <w:autoRedefine/>
    <w:uiPriority w:val="9"/>
    <w:unhideWhenUsed/>
    <w:qFormat/>
    <w:rsid w:val="002C4BB3"/>
    <w:pPr>
      <w:widowControl w:val="0"/>
      <w:numPr>
        <w:ilvl w:val="1"/>
        <w:numId w:val="1"/>
      </w:numPr>
      <w:tabs>
        <w:tab w:val="left" w:pos="1215"/>
      </w:tabs>
      <w:spacing w:before="360" w:after="360" w:line="360" w:lineRule="auto"/>
      <w:ind w:left="0" w:firstLine="1418"/>
      <w:jc w:val="both"/>
      <w:outlineLvl w:val="1"/>
    </w:pPr>
    <w:rPr>
      <w:rFonts w:ascii="Arial" w:eastAsia="Times New Roman" w:hAnsi="Arial" w:cs="Arial"/>
      <w:sz w:val="28"/>
      <w:szCs w:val="26"/>
      <w:lang w:val="es-ES" w:eastAsia="es-ES"/>
    </w:rPr>
  </w:style>
  <w:style w:type="paragraph" w:styleId="Ttulo3">
    <w:name w:val="heading 3"/>
    <w:basedOn w:val="Normal"/>
    <w:next w:val="Normal"/>
    <w:link w:val="Ttulo3Car"/>
    <w:uiPriority w:val="9"/>
    <w:unhideWhenUsed/>
    <w:qFormat/>
    <w:rsid w:val="00302BDE"/>
    <w:pPr>
      <w:keepNext/>
      <w:numPr>
        <w:ilvl w:val="2"/>
        <w:numId w:val="1"/>
      </w:numPr>
      <w:tabs>
        <w:tab w:val="left" w:pos="1215"/>
      </w:tabs>
      <w:spacing w:before="360" w:after="360" w:line="360" w:lineRule="auto"/>
      <w:jc w:val="both"/>
      <w:outlineLvl w:val="2"/>
    </w:pPr>
    <w:rPr>
      <w:rFonts w:ascii="Arial" w:eastAsia="Times New Roman" w:hAnsi="Arial" w:cs="Arial"/>
      <w:b/>
      <w:sz w:val="28"/>
      <w:szCs w:val="26"/>
      <w:lang w:val="es-ES" w:eastAsia="es-ES"/>
    </w:rPr>
  </w:style>
  <w:style w:type="paragraph" w:styleId="Ttulo4">
    <w:name w:val="heading 4"/>
    <w:basedOn w:val="Normal"/>
    <w:next w:val="Normal"/>
    <w:link w:val="Ttulo4Car"/>
    <w:autoRedefine/>
    <w:uiPriority w:val="9"/>
    <w:unhideWhenUsed/>
    <w:qFormat/>
    <w:rsid w:val="00085A46"/>
    <w:pPr>
      <w:tabs>
        <w:tab w:val="left" w:pos="1560"/>
      </w:tabs>
      <w:spacing w:before="360" w:after="360" w:line="360" w:lineRule="auto"/>
      <w:ind w:firstLine="1418"/>
      <w:jc w:val="both"/>
      <w:outlineLvl w:val="3"/>
    </w:pPr>
    <w:rPr>
      <w:rFonts w:ascii="Arial" w:eastAsia="Calibri" w:hAnsi="Arial" w:cs="Arial"/>
      <w:b/>
      <w:sz w:val="28"/>
      <w:szCs w:val="28"/>
    </w:rPr>
  </w:style>
  <w:style w:type="paragraph" w:styleId="Ttulo5">
    <w:name w:val="heading 5"/>
    <w:basedOn w:val="Normal"/>
    <w:next w:val="Normal"/>
    <w:link w:val="Ttulo5Car"/>
    <w:uiPriority w:val="9"/>
    <w:unhideWhenUsed/>
    <w:qFormat/>
    <w:rsid w:val="000136FC"/>
    <w:pPr>
      <w:keepNext/>
      <w:keepLines/>
      <w:numPr>
        <w:numId w:val="3"/>
      </w:numPr>
      <w:spacing w:before="360" w:after="360" w:line="360" w:lineRule="auto"/>
      <w:ind w:left="0" w:firstLine="1418"/>
      <w:jc w:val="both"/>
      <w:outlineLvl w:val="4"/>
    </w:pPr>
    <w:rPr>
      <w:rFonts w:ascii="Arial" w:eastAsiaTheme="majorEastAsia" w:hAnsi="Arial" w:cstheme="majorBidi"/>
      <w:b/>
      <w:bCs/>
      <w:sz w:val="28"/>
      <w:szCs w:val="28"/>
      <w:lang w:val="es-ES" w:eastAsia="es-ES"/>
    </w:rPr>
  </w:style>
  <w:style w:type="paragraph" w:styleId="Ttulo6">
    <w:name w:val="heading 6"/>
    <w:basedOn w:val="Normal"/>
    <w:next w:val="Normal"/>
    <w:link w:val="Ttulo6Car"/>
    <w:uiPriority w:val="9"/>
    <w:unhideWhenUsed/>
    <w:qFormat/>
    <w:rsid w:val="00943364"/>
    <w:pPr>
      <w:keepNext/>
      <w:keepLines/>
      <w:numPr>
        <w:ilvl w:val="5"/>
        <w:numId w:val="1"/>
      </w:numPr>
      <w:tabs>
        <w:tab w:val="left" w:pos="1215"/>
      </w:tabs>
      <w:spacing w:before="200" w:after="0" w:line="360" w:lineRule="auto"/>
      <w:jc w:val="both"/>
      <w:outlineLvl w:val="5"/>
    </w:pPr>
    <w:rPr>
      <w:rFonts w:asciiTheme="majorHAnsi" w:eastAsiaTheme="majorEastAsia" w:hAnsiTheme="majorHAnsi" w:cstheme="majorBidi"/>
      <w:bCs/>
      <w:i/>
      <w:iCs/>
      <w:color w:val="243F60" w:themeColor="accent1" w:themeShade="7F"/>
      <w:sz w:val="26"/>
      <w:szCs w:val="28"/>
      <w:lang w:val="es-ES" w:eastAsia="es-ES"/>
    </w:rPr>
  </w:style>
  <w:style w:type="paragraph" w:styleId="Ttulo7">
    <w:name w:val="heading 7"/>
    <w:basedOn w:val="Normal"/>
    <w:next w:val="Normal"/>
    <w:link w:val="Ttulo7Car"/>
    <w:uiPriority w:val="9"/>
    <w:unhideWhenUsed/>
    <w:qFormat/>
    <w:rsid w:val="00943364"/>
    <w:pPr>
      <w:keepNext/>
      <w:keepLines/>
      <w:numPr>
        <w:ilvl w:val="6"/>
        <w:numId w:val="1"/>
      </w:numPr>
      <w:tabs>
        <w:tab w:val="left" w:pos="1215"/>
      </w:tabs>
      <w:spacing w:before="200" w:after="0" w:line="360" w:lineRule="auto"/>
      <w:jc w:val="both"/>
      <w:outlineLvl w:val="6"/>
    </w:pPr>
    <w:rPr>
      <w:rFonts w:asciiTheme="majorHAnsi" w:eastAsiaTheme="majorEastAsia" w:hAnsiTheme="majorHAnsi" w:cstheme="majorBidi"/>
      <w:bCs/>
      <w:i/>
      <w:iCs/>
      <w:color w:val="404040" w:themeColor="text1" w:themeTint="BF"/>
      <w:sz w:val="26"/>
      <w:szCs w:val="28"/>
      <w:lang w:val="es-ES" w:eastAsia="es-ES"/>
    </w:rPr>
  </w:style>
  <w:style w:type="paragraph" w:styleId="Ttulo8">
    <w:name w:val="heading 8"/>
    <w:basedOn w:val="Normal"/>
    <w:next w:val="Normal"/>
    <w:link w:val="Ttulo8Car"/>
    <w:uiPriority w:val="9"/>
    <w:unhideWhenUsed/>
    <w:qFormat/>
    <w:rsid w:val="00943364"/>
    <w:pPr>
      <w:keepNext/>
      <w:keepLines/>
      <w:numPr>
        <w:ilvl w:val="7"/>
        <w:numId w:val="1"/>
      </w:numPr>
      <w:tabs>
        <w:tab w:val="left" w:pos="1215"/>
      </w:tabs>
      <w:spacing w:before="200" w:after="0" w:line="360" w:lineRule="auto"/>
      <w:jc w:val="both"/>
      <w:outlineLvl w:val="7"/>
    </w:pPr>
    <w:rPr>
      <w:rFonts w:asciiTheme="majorHAnsi" w:eastAsiaTheme="majorEastAsia" w:hAnsiTheme="majorHAnsi" w:cstheme="majorBidi"/>
      <w:bCs/>
      <w:color w:val="404040" w:themeColor="text1" w:themeTint="BF"/>
      <w:sz w:val="20"/>
      <w:szCs w:val="20"/>
      <w:lang w:val="es-ES" w:eastAsia="es-ES"/>
    </w:rPr>
  </w:style>
  <w:style w:type="paragraph" w:styleId="Ttulo9">
    <w:name w:val="heading 9"/>
    <w:basedOn w:val="Normal"/>
    <w:next w:val="Normal"/>
    <w:link w:val="Ttulo9Car"/>
    <w:autoRedefine/>
    <w:uiPriority w:val="9"/>
    <w:unhideWhenUsed/>
    <w:qFormat/>
    <w:rsid w:val="007C0B41"/>
    <w:pPr>
      <w:keepNext/>
      <w:keepLines/>
      <w:spacing w:before="360" w:after="360" w:line="360" w:lineRule="auto"/>
      <w:ind w:firstLine="1418"/>
      <w:jc w:val="both"/>
      <w:outlineLvl w:val="8"/>
    </w:pPr>
    <w:rPr>
      <w:rFonts w:ascii="Arial" w:eastAsiaTheme="majorEastAsia" w:hAnsi="Arial" w:cstheme="majorBidi"/>
      <w:b/>
      <w:bCs/>
      <w:iCs/>
      <w:color w:val="000000" w:themeColor="text1"/>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A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2A28"/>
  </w:style>
  <w:style w:type="paragraph" w:styleId="Piedepgina">
    <w:name w:val="footer"/>
    <w:basedOn w:val="Normal"/>
    <w:link w:val="PiedepginaCar"/>
    <w:uiPriority w:val="99"/>
    <w:unhideWhenUsed/>
    <w:rsid w:val="00AB2A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2A28"/>
  </w:style>
  <w:style w:type="paragraph" w:styleId="Prrafodelista">
    <w:name w:val="List Paragraph"/>
    <w:aliases w:val="CNBV Parrafo1,Párrafo de lista1,Parrafo 1,Lista multicolor - Énfasis 11,Lista vistosa - Énfasis 11,Cuadrícula media 1 - Énfasis 21,List Paragraph-Thesis,Cita texto"/>
    <w:basedOn w:val="Normal"/>
    <w:link w:val="PrrafodelistaCar"/>
    <w:uiPriority w:val="34"/>
    <w:qFormat/>
    <w:rsid w:val="004F4A4B"/>
    <w:pPr>
      <w:ind w:left="720"/>
      <w:contextualSpacing/>
    </w:pPr>
  </w:style>
  <w:style w:type="table" w:styleId="Tablaconcuadrcula">
    <w:name w:val="Table Grid"/>
    <w:basedOn w:val="Tablanormal"/>
    <w:uiPriority w:val="59"/>
    <w:rsid w:val="00923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239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9DE"/>
    <w:rPr>
      <w:rFonts w:ascii="Tahoma" w:hAnsi="Tahoma" w:cs="Tahoma"/>
      <w:sz w:val="16"/>
      <w:szCs w:val="16"/>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qFormat/>
    <w:rsid w:val="00E91568"/>
    <w:pPr>
      <w:spacing w:before="100" w:beforeAutospacing="1" w:after="100" w:afterAutospacing="1" w:line="240" w:lineRule="auto"/>
    </w:pPr>
    <w:rPr>
      <w:rFonts w:ascii="Times New Roman" w:eastAsia="Times New Roman" w:hAnsi="Times New Roman" w:cs="Times New Roman"/>
      <w:sz w:val="24"/>
      <w:szCs w:val="24"/>
      <w:lang w:val="x-none" w:eastAsia="es-MX"/>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E91568"/>
    <w:rPr>
      <w:rFonts w:ascii="Times New Roman" w:eastAsia="Times New Roman" w:hAnsi="Times New Roman" w:cs="Times New Roman"/>
      <w:sz w:val="24"/>
      <w:szCs w:val="24"/>
      <w:lang w:val="x-none" w:eastAsia="es-MX"/>
    </w:rPr>
  </w:style>
  <w:style w:type="paragraph" w:customStyle="1" w:styleId="General">
    <w:name w:val="General"/>
    <w:basedOn w:val="Normal"/>
    <w:link w:val="GeneralCar"/>
    <w:uiPriority w:val="99"/>
    <w:qFormat/>
    <w:rsid w:val="00E91568"/>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locked/>
    <w:rsid w:val="00E91568"/>
    <w:rPr>
      <w:rFonts w:ascii="Times New Roman" w:eastAsia="Times New Roman" w:hAnsi="Times New Roman" w:cs="Times New Roman"/>
      <w:sz w:val="28"/>
      <w:szCs w:val="24"/>
      <w:lang w:val="es-ES" w:eastAsia="es-ES"/>
    </w:rPr>
  </w:style>
  <w:style w:type="character" w:styleId="Hipervnculo">
    <w:name w:val="Hyperlink"/>
    <w:basedOn w:val="Fuentedeprrafopredeter"/>
    <w:unhideWhenUsed/>
    <w:rsid w:val="00DB321F"/>
    <w:rPr>
      <w:color w:val="0000FF" w:themeColor="hyperlink"/>
      <w:u w:val="single"/>
    </w:rPr>
  </w:style>
  <w:style w:type="paragraph" w:customStyle="1" w:styleId="TEXTOLIBRE">
    <w:name w:val="TEXTO LIBRE"/>
    <w:basedOn w:val="Normal"/>
    <w:link w:val="TEXTOLIBRECar"/>
    <w:rsid w:val="00171DBA"/>
    <w:pPr>
      <w:spacing w:after="0" w:line="360" w:lineRule="auto"/>
      <w:jc w:val="both"/>
    </w:pPr>
    <w:rPr>
      <w:rFonts w:ascii="Arial" w:eastAsia="Times New Roman" w:hAnsi="Arial" w:cs="Times New Roman"/>
      <w:sz w:val="28"/>
      <w:szCs w:val="24"/>
      <w:lang w:eastAsia="es-ES"/>
    </w:rPr>
  </w:style>
  <w:style w:type="character" w:customStyle="1" w:styleId="TEXTOLIBRECar">
    <w:name w:val="TEXTO LIBRE Car"/>
    <w:link w:val="TEXTOLIBRE"/>
    <w:rsid w:val="00171DBA"/>
    <w:rPr>
      <w:rFonts w:ascii="Arial" w:eastAsia="Times New Roman" w:hAnsi="Arial" w:cs="Times New Roman"/>
      <w:sz w:val="28"/>
      <w:szCs w:val="24"/>
      <w:lang w:eastAsia="es-ES"/>
    </w:rPr>
  </w:style>
  <w:style w:type="paragraph" w:customStyle="1" w:styleId="Cuerpo">
    <w:name w:val="Cuerpo"/>
    <w:rsid w:val="00EA4496"/>
    <w:pPr>
      <w:pBdr>
        <w:top w:val="nil"/>
        <w:left w:val="nil"/>
        <w:bottom w:val="nil"/>
        <w:right w:val="nil"/>
        <w:between w:val="nil"/>
        <w:bar w:val="nil"/>
      </w:pBdr>
      <w:spacing w:after="0" w:line="240" w:lineRule="auto"/>
    </w:pPr>
    <w:rPr>
      <w:rFonts w:ascii="Univers" w:eastAsia="Univers" w:hAnsi="Univers" w:cs="Univers"/>
      <w:color w:val="000000"/>
      <w:sz w:val="28"/>
      <w:szCs w:val="28"/>
      <w:u w:color="000000"/>
      <w:bdr w:val="nil"/>
      <w:lang w:val="es-ES_tradnl"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Ref. de nota al pie1"/>
    <w:basedOn w:val="Normal"/>
    <w:link w:val="TextonotapieCar"/>
    <w:uiPriority w:val="99"/>
    <w:qFormat/>
    <w:rsid w:val="00017707"/>
    <w:pPr>
      <w:spacing w:after="0" w:line="240" w:lineRule="auto"/>
    </w:pPr>
    <w:rPr>
      <w:rFonts w:ascii="Arial (W1)" w:eastAsia="Times New Roman" w:hAnsi="Arial (W1)"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17707"/>
    <w:rPr>
      <w:rFonts w:ascii="Arial (W1)" w:eastAsia="Times New Roman" w:hAnsi="Arial (W1)" w:cs="Times New Roman"/>
      <w:sz w:val="20"/>
      <w:szCs w:val="20"/>
      <w:lang w:val="es-ES" w:eastAsia="es-ES"/>
    </w:rPr>
  </w:style>
  <w:style w:type="character" w:styleId="Refdenotaalpie">
    <w:name w:val="footnote reference"/>
    <w:aliases w:val="Texto de nota al pie,Footnote Reference,Ref. de nota al pie 2,Referencia nota al pie,Footnotes refss,Appel note de bas de page,Footnote number,referencia nota al pie,BVI fnr,4_G,16 Point,Superscript 6 Point,Texto nota al pie,f,ftref"/>
    <w:basedOn w:val="Fuentedeprrafopredeter"/>
    <w:link w:val="4GChar"/>
    <w:uiPriority w:val="99"/>
    <w:qFormat/>
    <w:rsid w:val="00017707"/>
    <w:rPr>
      <w:vertAlign w:val="superscript"/>
    </w:rPr>
  </w:style>
  <w:style w:type="table" w:customStyle="1" w:styleId="Tablaconcuadrcula3">
    <w:name w:val="Tabla con cuadrícula3"/>
    <w:basedOn w:val="Tablanormal"/>
    <w:uiPriority w:val="59"/>
    <w:rsid w:val="00B8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ED127E"/>
    <w:rPr>
      <w:b/>
      <w:bCs/>
    </w:rPr>
  </w:style>
  <w:style w:type="paragraph" w:customStyle="1" w:styleId="corte4fondo">
    <w:name w:val="corte4 fondo"/>
    <w:basedOn w:val="Normal"/>
    <w:link w:val="corte4fondoCar1"/>
    <w:qFormat/>
    <w:rsid w:val="00ED127E"/>
    <w:pPr>
      <w:spacing w:after="0" w:line="360" w:lineRule="auto"/>
      <w:ind w:firstLine="709"/>
      <w:jc w:val="both"/>
    </w:pPr>
    <w:rPr>
      <w:rFonts w:ascii="Arial" w:eastAsia="Times New Roman" w:hAnsi="Arial" w:cs="Times New Roman"/>
      <w:sz w:val="28"/>
      <w:szCs w:val="20"/>
      <w:lang w:eastAsia="x-none"/>
    </w:rPr>
  </w:style>
  <w:style w:type="character" w:customStyle="1" w:styleId="corte4fondoCar1">
    <w:name w:val="corte4 fondo Car1"/>
    <w:link w:val="corte4fondo"/>
    <w:locked/>
    <w:rsid w:val="00ED127E"/>
    <w:rPr>
      <w:rFonts w:ascii="Arial" w:eastAsia="Times New Roman" w:hAnsi="Arial" w:cs="Times New Roman"/>
      <w:sz w:val="28"/>
      <w:szCs w:val="20"/>
      <w:lang w:val="es-ES_tradnl" w:eastAsia="x-none"/>
    </w:rPr>
  </w:style>
  <w:style w:type="paragraph" w:customStyle="1" w:styleId="Default">
    <w:name w:val="Default"/>
    <w:qFormat/>
    <w:rsid w:val="009A0F1E"/>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CNBV Parrafo1 Car,Párrafo de lista1 Car,Parrafo 1 Car,Lista multicolor - Énfasis 11 Car,Lista vistosa - Énfasis 11 Car,Cuadrícula media 1 - Énfasis 21 Car,List Paragraph-Thesis Car,Cita texto Car"/>
    <w:link w:val="Prrafodelista"/>
    <w:uiPriority w:val="34"/>
    <w:rsid w:val="00933E63"/>
  </w:style>
  <w:style w:type="paragraph" w:customStyle="1" w:styleId="Texto">
    <w:name w:val="Texto"/>
    <w:basedOn w:val="Normal"/>
    <w:link w:val="TextoCar"/>
    <w:qFormat/>
    <w:rsid w:val="00956A32"/>
    <w:pPr>
      <w:spacing w:before="360" w:after="360" w:line="360" w:lineRule="auto"/>
      <w:ind w:firstLine="1418"/>
      <w:jc w:val="both"/>
    </w:pPr>
    <w:rPr>
      <w:rFonts w:ascii="Arial" w:eastAsia="Times New Roman" w:hAnsi="Arial" w:cs="Arial"/>
      <w:sz w:val="28"/>
      <w:szCs w:val="18"/>
      <w:lang w:eastAsia="es-ES"/>
    </w:rPr>
  </w:style>
  <w:style w:type="character" w:customStyle="1" w:styleId="TextoCar">
    <w:name w:val="Texto Car"/>
    <w:link w:val="Texto"/>
    <w:locked/>
    <w:rsid w:val="00956A32"/>
    <w:rPr>
      <w:rFonts w:ascii="Arial" w:eastAsia="Times New Roman" w:hAnsi="Arial" w:cs="Arial"/>
      <w:sz w:val="28"/>
      <w:szCs w:val="18"/>
      <w:lang w:eastAsia="es-ES"/>
    </w:rPr>
  </w:style>
  <w:style w:type="character" w:customStyle="1" w:styleId="Ttulo1Car">
    <w:name w:val="Título 1 Car"/>
    <w:basedOn w:val="Fuentedeprrafopredeter"/>
    <w:link w:val="Ttulo1"/>
    <w:uiPriority w:val="9"/>
    <w:rsid w:val="009A0FE3"/>
    <w:rPr>
      <w:rFonts w:ascii="Arial" w:eastAsia="Times New Roman" w:hAnsi="Arial" w:cs="Arial"/>
      <w:sz w:val="28"/>
      <w:szCs w:val="28"/>
      <w:lang w:val="es-ES" w:eastAsia="es-ES"/>
    </w:rPr>
  </w:style>
  <w:style w:type="character" w:customStyle="1" w:styleId="Ttulo2Car">
    <w:name w:val="Título 2 Car"/>
    <w:basedOn w:val="Fuentedeprrafopredeter"/>
    <w:link w:val="Ttulo2"/>
    <w:uiPriority w:val="9"/>
    <w:rsid w:val="002C4BB3"/>
    <w:rPr>
      <w:rFonts w:ascii="Arial" w:eastAsia="Times New Roman" w:hAnsi="Arial" w:cs="Arial"/>
      <w:sz w:val="28"/>
      <w:szCs w:val="26"/>
      <w:lang w:val="es-ES" w:eastAsia="es-ES"/>
    </w:rPr>
  </w:style>
  <w:style w:type="character" w:customStyle="1" w:styleId="Ttulo3Car">
    <w:name w:val="Título 3 Car"/>
    <w:basedOn w:val="Fuentedeprrafopredeter"/>
    <w:link w:val="Ttulo3"/>
    <w:uiPriority w:val="9"/>
    <w:rsid w:val="00302BDE"/>
    <w:rPr>
      <w:rFonts w:ascii="Arial" w:eastAsia="Times New Roman" w:hAnsi="Arial" w:cs="Arial"/>
      <w:b/>
      <w:sz w:val="28"/>
      <w:szCs w:val="26"/>
      <w:lang w:val="es-ES" w:eastAsia="es-ES"/>
    </w:rPr>
  </w:style>
  <w:style w:type="character" w:customStyle="1" w:styleId="Ttulo4Car">
    <w:name w:val="Título 4 Car"/>
    <w:basedOn w:val="Fuentedeprrafopredeter"/>
    <w:link w:val="Ttulo4"/>
    <w:uiPriority w:val="9"/>
    <w:rsid w:val="00085A46"/>
    <w:rPr>
      <w:rFonts w:ascii="Arial" w:eastAsia="Calibri" w:hAnsi="Arial" w:cs="Arial"/>
      <w:b/>
      <w:sz w:val="28"/>
      <w:szCs w:val="28"/>
    </w:rPr>
  </w:style>
  <w:style w:type="character" w:customStyle="1" w:styleId="Ttulo5Car">
    <w:name w:val="Título 5 Car"/>
    <w:basedOn w:val="Fuentedeprrafopredeter"/>
    <w:link w:val="Ttulo5"/>
    <w:uiPriority w:val="9"/>
    <w:rsid w:val="000136FC"/>
    <w:rPr>
      <w:rFonts w:ascii="Arial" w:eastAsiaTheme="majorEastAsia" w:hAnsi="Arial" w:cstheme="majorBidi"/>
      <w:b/>
      <w:bCs/>
      <w:sz w:val="28"/>
      <w:szCs w:val="28"/>
      <w:lang w:val="es-ES" w:eastAsia="es-ES"/>
    </w:rPr>
  </w:style>
  <w:style w:type="character" w:customStyle="1" w:styleId="Ttulo6Car">
    <w:name w:val="Título 6 Car"/>
    <w:basedOn w:val="Fuentedeprrafopredeter"/>
    <w:link w:val="Ttulo6"/>
    <w:uiPriority w:val="9"/>
    <w:rsid w:val="00943364"/>
    <w:rPr>
      <w:rFonts w:asciiTheme="majorHAnsi" w:eastAsiaTheme="majorEastAsia" w:hAnsiTheme="majorHAnsi" w:cstheme="majorBidi"/>
      <w:bCs/>
      <w:i/>
      <w:iCs/>
      <w:color w:val="243F60" w:themeColor="accent1" w:themeShade="7F"/>
      <w:sz w:val="26"/>
      <w:szCs w:val="28"/>
      <w:lang w:val="es-ES" w:eastAsia="es-ES"/>
    </w:rPr>
  </w:style>
  <w:style w:type="character" w:customStyle="1" w:styleId="Ttulo7Car">
    <w:name w:val="Título 7 Car"/>
    <w:basedOn w:val="Fuentedeprrafopredeter"/>
    <w:link w:val="Ttulo7"/>
    <w:uiPriority w:val="9"/>
    <w:rsid w:val="00943364"/>
    <w:rPr>
      <w:rFonts w:asciiTheme="majorHAnsi" w:eastAsiaTheme="majorEastAsia" w:hAnsiTheme="majorHAnsi" w:cstheme="majorBidi"/>
      <w:bCs/>
      <w:i/>
      <w:iCs/>
      <w:color w:val="404040" w:themeColor="text1" w:themeTint="BF"/>
      <w:sz w:val="26"/>
      <w:szCs w:val="28"/>
      <w:lang w:val="es-ES" w:eastAsia="es-ES"/>
    </w:rPr>
  </w:style>
  <w:style w:type="character" w:customStyle="1" w:styleId="Ttulo8Car">
    <w:name w:val="Título 8 Car"/>
    <w:basedOn w:val="Fuentedeprrafopredeter"/>
    <w:link w:val="Ttulo8"/>
    <w:uiPriority w:val="9"/>
    <w:rsid w:val="00943364"/>
    <w:rPr>
      <w:rFonts w:asciiTheme="majorHAnsi" w:eastAsiaTheme="majorEastAsia" w:hAnsiTheme="majorHAnsi" w:cstheme="majorBidi"/>
      <w:bCs/>
      <w:color w:val="404040" w:themeColor="text1" w:themeTint="BF"/>
      <w:sz w:val="20"/>
      <w:szCs w:val="20"/>
      <w:lang w:val="es-ES" w:eastAsia="es-ES"/>
    </w:rPr>
  </w:style>
  <w:style w:type="character" w:customStyle="1" w:styleId="Ttulo9Car">
    <w:name w:val="Título 9 Car"/>
    <w:basedOn w:val="Fuentedeprrafopredeter"/>
    <w:link w:val="Ttulo9"/>
    <w:uiPriority w:val="9"/>
    <w:rsid w:val="007C0B41"/>
    <w:rPr>
      <w:rFonts w:ascii="Arial" w:eastAsiaTheme="majorEastAsia" w:hAnsi="Arial" w:cstheme="majorBidi"/>
      <w:b/>
      <w:bCs/>
      <w:iCs/>
      <w:color w:val="000000" w:themeColor="text1"/>
      <w:sz w:val="28"/>
      <w:szCs w:val="20"/>
      <w:lang w:val="es-ES" w:eastAsia="es-ES"/>
    </w:rPr>
  </w:style>
  <w:style w:type="paragraph" w:styleId="Textoindependiente">
    <w:name w:val="Body Text"/>
    <w:aliases w:val="Texto independiente Car Car Car"/>
    <w:basedOn w:val="Normal"/>
    <w:link w:val="TextoindependienteCar1"/>
    <w:qFormat/>
    <w:rsid w:val="0039441A"/>
    <w:pPr>
      <w:spacing w:after="0" w:line="240" w:lineRule="auto"/>
      <w:jc w:val="both"/>
    </w:pPr>
    <w:rPr>
      <w:rFonts w:ascii="Arial" w:eastAsia="Times New Roman" w:hAnsi="Arial" w:cs="Times New Roman"/>
      <w:sz w:val="28"/>
      <w:szCs w:val="20"/>
      <w:lang w:eastAsia="es-ES"/>
    </w:rPr>
  </w:style>
  <w:style w:type="character" w:customStyle="1" w:styleId="TextoindependienteCar">
    <w:name w:val="Texto independiente Car"/>
    <w:basedOn w:val="Fuentedeprrafopredeter"/>
    <w:uiPriority w:val="99"/>
    <w:semiHidden/>
    <w:rsid w:val="0039441A"/>
  </w:style>
  <w:style w:type="character" w:customStyle="1" w:styleId="TextoindependienteCar1">
    <w:name w:val="Texto independiente Car1"/>
    <w:aliases w:val="Texto independiente Car Car Car Car"/>
    <w:basedOn w:val="Fuentedeprrafopredeter"/>
    <w:link w:val="Textoindependiente"/>
    <w:rsid w:val="0039441A"/>
    <w:rPr>
      <w:rFonts w:ascii="Arial" w:eastAsia="Times New Roman" w:hAnsi="Arial" w:cs="Times New Roman"/>
      <w:sz w:val="28"/>
      <w:szCs w:val="20"/>
      <w:lang w:eastAsia="es-ES"/>
    </w:rPr>
  </w:style>
  <w:style w:type="character" w:customStyle="1" w:styleId="apple-converted-space">
    <w:name w:val="apple-converted-space"/>
    <w:basedOn w:val="Fuentedeprrafopredeter"/>
    <w:rsid w:val="00505756"/>
  </w:style>
  <w:style w:type="paragraph" w:styleId="Textosinformato">
    <w:name w:val="Plain Text"/>
    <w:basedOn w:val="Normal"/>
    <w:link w:val="TextosinformatoCar"/>
    <w:uiPriority w:val="99"/>
    <w:unhideWhenUsed/>
    <w:rsid w:val="0055148D"/>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55148D"/>
    <w:rPr>
      <w:rFonts w:ascii="Calibri" w:hAnsi="Calibri"/>
      <w:szCs w:val="21"/>
    </w:rPr>
  </w:style>
  <w:style w:type="paragraph" w:styleId="Sinespaciado">
    <w:name w:val="No Spacing"/>
    <w:uiPriority w:val="1"/>
    <w:qFormat/>
    <w:rsid w:val="00BC6252"/>
    <w:pPr>
      <w:spacing w:after="0" w:line="240" w:lineRule="auto"/>
    </w:pPr>
    <w:rPr>
      <w:rFonts w:ascii="Calibri" w:eastAsia="Calibri" w:hAnsi="Calibri" w:cs="Times New Roman"/>
    </w:rPr>
  </w:style>
  <w:style w:type="paragraph" w:customStyle="1" w:styleId="Pa6">
    <w:name w:val="Pa6"/>
    <w:basedOn w:val="Normal"/>
    <w:next w:val="Normal"/>
    <w:uiPriority w:val="99"/>
    <w:rsid w:val="00097B88"/>
    <w:pPr>
      <w:autoSpaceDE w:val="0"/>
      <w:autoSpaceDN w:val="0"/>
      <w:adjustRightInd w:val="0"/>
      <w:spacing w:after="0" w:line="221" w:lineRule="atLeast"/>
    </w:pPr>
    <w:rPr>
      <w:rFonts w:ascii="Calibri" w:hAnsi="Calibri"/>
      <w:sz w:val="24"/>
      <w:szCs w:val="24"/>
    </w:rPr>
  </w:style>
  <w:style w:type="paragraph" w:customStyle="1" w:styleId="Pa8">
    <w:name w:val="Pa8"/>
    <w:basedOn w:val="Normal"/>
    <w:next w:val="Normal"/>
    <w:uiPriority w:val="99"/>
    <w:rsid w:val="00097B88"/>
    <w:pPr>
      <w:autoSpaceDE w:val="0"/>
      <w:autoSpaceDN w:val="0"/>
      <w:adjustRightInd w:val="0"/>
      <w:spacing w:after="0" w:line="201" w:lineRule="atLeast"/>
    </w:pPr>
    <w:rPr>
      <w:rFonts w:ascii="Calibri" w:hAnsi="Calibri"/>
      <w:sz w:val="24"/>
      <w:szCs w:val="24"/>
    </w:rPr>
  </w:style>
  <w:style w:type="numbering" w:customStyle="1" w:styleId="Estilo2">
    <w:name w:val="Estilo2"/>
    <w:uiPriority w:val="99"/>
    <w:rsid w:val="00943364"/>
    <w:pPr>
      <w:numPr>
        <w:numId w:val="2"/>
      </w:numPr>
    </w:pPr>
  </w:style>
  <w:style w:type="paragraph" w:customStyle="1" w:styleId="Estilo1">
    <w:name w:val="Estilo1"/>
    <w:basedOn w:val="Normal"/>
    <w:link w:val="Estilo1Car"/>
    <w:qFormat/>
    <w:rsid w:val="002037CF"/>
    <w:pPr>
      <w:spacing w:after="0" w:line="360" w:lineRule="auto"/>
      <w:ind w:firstLine="1418"/>
      <w:jc w:val="both"/>
    </w:pPr>
    <w:rPr>
      <w:rFonts w:ascii="Arial" w:eastAsia="Times New Roman" w:hAnsi="Arial" w:cs="Arial"/>
      <w:b/>
      <w:color w:val="000000"/>
      <w:spacing w:val="2"/>
      <w:sz w:val="28"/>
      <w:szCs w:val="28"/>
      <w:u w:color="000000"/>
      <w:bdr w:val="nil"/>
      <w:lang w:val="es-ES" w:eastAsia="es-ES"/>
    </w:rPr>
  </w:style>
  <w:style w:type="character" w:customStyle="1" w:styleId="Estilo1Car">
    <w:name w:val="Estilo1 Car"/>
    <w:basedOn w:val="Fuentedeprrafopredeter"/>
    <w:link w:val="Estilo1"/>
    <w:rsid w:val="002037CF"/>
    <w:rPr>
      <w:rFonts w:ascii="Arial" w:eastAsia="Times New Roman" w:hAnsi="Arial" w:cs="Arial"/>
      <w:b/>
      <w:color w:val="000000"/>
      <w:spacing w:val="2"/>
      <w:sz w:val="28"/>
      <w:szCs w:val="28"/>
      <w:u w:color="000000"/>
      <w:bdr w:val="nil"/>
      <w:lang w:val="es-ES" w:eastAsia="es-ES"/>
    </w:rPr>
  </w:style>
  <w:style w:type="paragraph" w:styleId="Mapadeldocumento">
    <w:name w:val="Document Map"/>
    <w:basedOn w:val="Normal"/>
    <w:link w:val="MapadeldocumentoCar"/>
    <w:uiPriority w:val="99"/>
    <w:semiHidden/>
    <w:unhideWhenUsed/>
    <w:rsid w:val="0051285A"/>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51285A"/>
    <w:rPr>
      <w:rFonts w:ascii="Lucida Grande" w:hAnsi="Lucida Grande" w:cs="Lucida Grande"/>
      <w:sz w:val="24"/>
      <w:szCs w:val="24"/>
    </w:rPr>
  </w:style>
  <w:style w:type="paragraph" w:customStyle="1" w:styleId="Ttulo10">
    <w:name w:val="Título 10"/>
    <w:basedOn w:val="Ttulo5"/>
    <w:link w:val="Ttulo10Car"/>
    <w:autoRedefine/>
    <w:qFormat/>
    <w:rsid w:val="000411B2"/>
    <w:pPr>
      <w:keepNext w:val="0"/>
      <w:keepLines w:val="0"/>
      <w:numPr>
        <w:numId w:val="0"/>
      </w:numPr>
    </w:pPr>
    <w:rPr>
      <w:rFonts w:cs="Arial"/>
    </w:rPr>
  </w:style>
  <w:style w:type="character" w:customStyle="1" w:styleId="Ttulo10Car">
    <w:name w:val="Título 10 Car"/>
    <w:basedOn w:val="Ttulo5Car"/>
    <w:link w:val="Ttulo10"/>
    <w:rsid w:val="000411B2"/>
    <w:rPr>
      <w:rFonts w:ascii="Arial" w:eastAsiaTheme="majorEastAsia" w:hAnsi="Arial" w:cs="Arial"/>
      <w:b/>
      <w:bCs/>
      <w:sz w:val="28"/>
      <w:szCs w:val="28"/>
      <w:lang w:val="es-ES" w:eastAsia="es-ES"/>
    </w:rPr>
  </w:style>
  <w:style w:type="paragraph" w:styleId="Revisin">
    <w:name w:val="Revision"/>
    <w:hidden/>
    <w:uiPriority w:val="99"/>
    <w:semiHidden/>
    <w:rsid w:val="003647E3"/>
    <w:pPr>
      <w:spacing w:after="0" w:line="240" w:lineRule="auto"/>
    </w:pPr>
  </w:style>
  <w:style w:type="character" w:customStyle="1" w:styleId="PRRAFOSENTENCIACar">
    <w:name w:val="PÁRRAFO SENTENCIA Car"/>
    <w:basedOn w:val="Fuentedeprrafopredeter"/>
    <w:link w:val="PRRAFOSENTENCIA"/>
    <w:locked/>
    <w:rsid w:val="00D80D8A"/>
    <w:rPr>
      <w:rFonts w:ascii="Arial" w:hAnsi="Arial" w:cs="Arial"/>
      <w:sz w:val="28"/>
      <w:szCs w:val="28"/>
      <w:lang w:val="it-IT"/>
    </w:rPr>
  </w:style>
  <w:style w:type="paragraph" w:customStyle="1" w:styleId="PRRAFOSENTENCIA">
    <w:name w:val="PÁRRAFO SENTENCIA"/>
    <w:basedOn w:val="Normal"/>
    <w:link w:val="PRRAFOSENTENCIACar"/>
    <w:qFormat/>
    <w:rsid w:val="00D80D8A"/>
    <w:pPr>
      <w:spacing w:before="360" w:after="360" w:line="360" w:lineRule="auto"/>
      <w:ind w:firstLine="1418"/>
      <w:jc w:val="both"/>
    </w:pPr>
    <w:rPr>
      <w:rFonts w:ascii="Arial" w:hAnsi="Arial" w:cs="Arial"/>
      <w:sz w:val="28"/>
      <w:szCs w:val="28"/>
      <w:lang w:val="it-IT"/>
    </w:rPr>
  </w:style>
  <w:style w:type="character" w:customStyle="1" w:styleId="lbl-encabezado-negro">
    <w:name w:val="lbl-encabezado-negro"/>
    <w:basedOn w:val="Fuentedeprrafopredeter"/>
    <w:rsid w:val="006F430D"/>
  </w:style>
  <w:style w:type="character" w:styleId="Refdecomentario">
    <w:name w:val="annotation reference"/>
    <w:basedOn w:val="Fuentedeprrafopredeter"/>
    <w:uiPriority w:val="99"/>
    <w:semiHidden/>
    <w:unhideWhenUsed/>
    <w:rsid w:val="00E579A9"/>
    <w:rPr>
      <w:sz w:val="16"/>
      <w:szCs w:val="16"/>
    </w:rPr>
  </w:style>
  <w:style w:type="paragraph" w:styleId="Textocomentario">
    <w:name w:val="annotation text"/>
    <w:basedOn w:val="Normal"/>
    <w:link w:val="TextocomentarioCar"/>
    <w:uiPriority w:val="99"/>
    <w:semiHidden/>
    <w:unhideWhenUsed/>
    <w:rsid w:val="00E579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79A9"/>
    <w:rPr>
      <w:sz w:val="20"/>
      <w:szCs w:val="20"/>
    </w:rPr>
  </w:style>
  <w:style w:type="paragraph" w:styleId="Asuntodelcomentario">
    <w:name w:val="annotation subject"/>
    <w:basedOn w:val="Textocomentario"/>
    <w:next w:val="Textocomentario"/>
    <w:link w:val="AsuntodelcomentarioCar"/>
    <w:uiPriority w:val="99"/>
    <w:semiHidden/>
    <w:unhideWhenUsed/>
    <w:rsid w:val="00E579A9"/>
    <w:rPr>
      <w:b/>
      <w:bCs/>
    </w:rPr>
  </w:style>
  <w:style w:type="character" w:customStyle="1" w:styleId="AsuntodelcomentarioCar">
    <w:name w:val="Asunto del comentario Car"/>
    <w:basedOn w:val="TextocomentarioCar"/>
    <w:link w:val="Asuntodelcomentario"/>
    <w:uiPriority w:val="99"/>
    <w:semiHidden/>
    <w:rsid w:val="00E579A9"/>
    <w:rPr>
      <w:b/>
      <w:bCs/>
      <w:sz w:val="20"/>
      <w:szCs w:val="20"/>
    </w:rPr>
  </w:style>
  <w:style w:type="paragraph" w:styleId="Textonotaalfinal">
    <w:name w:val="endnote text"/>
    <w:basedOn w:val="Normal"/>
    <w:link w:val="TextonotaalfinalCar"/>
    <w:uiPriority w:val="99"/>
    <w:unhideWhenUsed/>
    <w:rsid w:val="00350E31"/>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350E31"/>
    <w:rPr>
      <w:sz w:val="20"/>
      <w:szCs w:val="20"/>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5FE2"/>
    <w:pPr>
      <w:spacing w:after="0" w:line="240" w:lineRule="auto"/>
      <w:jc w:val="both"/>
    </w:pPr>
    <w:rPr>
      <w:vertAlign w:val="superscript"/>
    </w:rPr>
  </w:style>
  <w:style w:type="character" w:customStyle="1" w:styleId="articulojustificado1">
    <w:name w:val="articulojustificado1"/>
    <w:rsid w:val="00F378CD"/>
    <w:rPr>
      <w:rFonts w:ascii="Arial" w:hAnsi="Arial" w:cs="Arial" w:hint="default"/>
      <w:b w:val="0"/>
      <w:bCs w:val="0"/>
      <w:color w:val="000000"/>
      <w:sz w:val="18"/>
      <w:szCs w:val="18"/>
    </w:rPr>
  </w:style>
  <w:style w:type="paragraph" w:styleId="Textoindependienteprimerasangra">
    <w:name w:val="Body Text First Indent"/>
    <w:basedOn w:val="Textoindependiente"/>
    <w:link w:val="TextoindependienteprimerasangraCar"/>
    <w:uiPriority w:val="99"/>
    <w:unhideWhenUsed/>
    <w:rsid w:val="00402C79"/>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1"/>
    <w:link w:val="Textoindependienteprimerasangra"/>
    <w:uiPriority w:val="99"/>
    <w:rsid w:val="00402C79"/>
    <w:rPr>
      <w:rFonts w:ascii="Arial" w:eastAsia="Times New Roman" w:hAnsi="Arial" w:cs="Times New Roman"/>
      <w:sz w:val="28"/>
      <w:szCs w:val="20"/>
      <w:lang w:val="es-ES_tradnl" w:eastAsia="es-ES"/>
    </w:rPr>
  </w:style>
  <w:style w:type="paragraph" w:customStyle="1" w:styleId="Prrafosentencia0">
    <w:name w:val="Párrafo sentencia"/>
    <w:basedOn w:val="Sinespaciado"/>
    <w:link w:val="PrrafosentenciaCar0"/>
    <w:autoRedefine/>
    <w:qFormat/>
    <w:rsid w:val="006D26E8"/>
    <w:pPr>
      <w:spacing w:before="360" w:after="360" w:line="360" w:lineRule="auto"/>
      <w:ind w:firstLine="1418"/>
      <w:jc w:val="both"/>
    </w:pPr>
    <w:rPr>
      <w:rFonts w:ascii="Arial" w:eastAsia="Cambria" w:hAnsi="Arial" w:cs="Arial"/>
      <w:color w:val="000000"/>
      <w:sz w:val="28"/>
      <w:szCs w:val="28"/>
      <w:lang w:val="es-ES_tradnl"/>
    </w:rPr>
  </w:style>
  <w:style w:type="character" w:customStyle="1" w:styleId="PrrafosentenciaCar0">
    <w:name w:val="Párrafo sentencia Car"/>
    <w:link w:val="Prrafosentencia0"/>
    <w:rsid w:val="006D26E8"/>
    <w:rPr>
      <w:rFonts w:ascii="Arial" w:eastAsia="Cambria" w:hAnsi="Arial" w:cs="Arial"/>
      <w:color w:val="000000"/>
      <w:sz w:val="28"/>
      <w:szCs w:val="28"/>
      <w:lang w:val="es-ES_tradnl"/>
    </w:rPr>
  </w:style>
  <w:style w:type="paragraph" w:styleId="Lista">
    <w:name w:val="List"/>
    <w:basedOn w:val="Normal"/>
    <w:uiPriority w:val="99"/>
    <w:unhideWhenUsed/>
    <w:rsid w:val="000E4FAE"/>
    <w:pPr>
      <w:ind w:left="283" w:hanging="283"/>
      <w:contextualSpacing/>
    </w:pPr>
  </w:style>
  <w:style w:type="paragraph" w:styleId="Lista2">
    <w:name w:val="List 2"/>
    <w:basedOn w:val="Normal"/>
    <w:uiPriority w:val="99"/>
    <w:unhideWhenUsed/>
    <w:rsid w:val="000E4FAE"/>
    <w:pPr>
      <w:ind w:left="566" w:hanging="283"/>
      <w:contextualSpacing/>
    </w:pPr>
  </w:style>
  <w:style w:type="paragraph" w:styleId="Lista3">
    <w:name w:val="List 3"/>
    <w:basedOn w:val="Normal"/>
    <w:uiPriority w:val="99"/>
    <w:unhideWhenUsed/>
    <w:rsid w:val="000E4FAE"/>
    <w:pPr>
      <w:ind w:left="849" w:hanging="283"/>
      <w:contextualSpacing/>
    </w:pPr>
  </w:style>
  <w:style w:type="paragraph" w:styleId="Lista4">
    <w:name w:val="List 4"/>
    <w:basedOn w:val="Normal"/>
    <w:uiPriority w:val="99"/>
    <w:unhideWhenUsed/>
    <w:rsid w:val="000E4FAE"/>
    <w:pPr>
      <w:ind w:left="1132" w:hanging="283"/>
      <w:contextualSpacing/>
    </w:pPr>
  </w:style>
  <w:style w:type="paragraph" w:styleId="Lista5">
    <w:name w:val="List 5"/>
    <w:basedOn w:val="Normal"/>
    <w:uiPriority w:val="99"/>
    <w:unhideWhenUsed/>
    <w:rsid w:val="000E4FAE"/>
    <w:pPr>
      <w:ind w:left="1415" w:hanging="283"/>
      <w:contextualSpacing/>
    </w:pPr>
  </w:style>
  <w:style w:type="paragraph" w:styleId="Listaconvietas2">
    <w:name w:val="List Bullet 2"/>
    <w:basedOn w:val="Normal"/>
    <w:uiPriority w:val="99"/>
    <w:unhideWhenUsed/>
    <w:rsid w:val="000E4FAE"/>
    <w:pPr>
      <w:numPr>
        <w:numId w:val="17"/>
      </w:numPr>
      <w:contextualSpacing/>
    </w:pPr>
  </w:style>
  <w:style w:type="paragraph" w:styleId="Sangradetextonormal">
    <w:name w:val="Body Text Indent"/>
    <w:basedOn w:val="Normal"/>
    <w:link w:val="SangradetextonormalCar"/>
    <w:uiPriority w:val="99"/>
    <w:semiHidden/>
    <w:unhideWhenUsed/>
    <w:rsid w:val="000E4FAE"/>
    <w:pPr>
      <w:spacing w:after="120"/>
      <w:ind w:left="283"/>
    </w:pPr>
  </w:style>
  <w:style w:type="character" w:customStyle="1" w:styleId="SangradetextonormalCar">
    <w:name w:val="Sangría de texto normal Car"/>
    <w:basedOn w:val="Fuentedeprrafopredeter"/>
    <w:link w:val="Sangradetextonormal"/>
    <w:uiPriority w:val="99"/>
    <w:semiHidden/>
    <w:rsid w:val="000E4FAE"/>
    <w:rPr>
      <w:lang w:val="es-ES_tradnl"/>
    </w:rPr>
  </w:style>
  <w:style w:type="paragraph" w:styleId="Textoindependienteprimerasangra2">
    <w:name w:val="Body Text First Indent 2"/>
    <w:basedOn w:val="Sangradetextonormal"/>
    <w:link w:val="Textoindependienteprimerasangra2Car"/>
    <w:uiPriority w:val="99"/>
    <w:unhideWhenUsed/>
    <w:rsid w:val="000E4F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E4FAE"/>
    <w:rPr>
      <w:lang w:val="es-ES_tradnl"/>
    </w:rPr>
  </w:style>
  <w:style w:type="character" w:customStyle="1" w:styleId="Mencinsinresolver1">
    <w:name w:val="Mención sin resolver1"/>
    <w:basedOn w:val="Fuentedeprrafopredeter"/>
    <w:uiPriority w:val="99"/>
    <w:semiHidden/>
    <w:unhideWhenUsed/>
    <w:rsid w:val="00FA66C1"/>
    <w:rPr>
      <w:color w:val="808080"/>
      <w:shd w:val="clear" w:color="auto" w:fill="E6E6E6"/>
    </w:rPr>
  </w:style>
  <w:style w:type="paragraph" w:styleId="Tabladeilustraciones">
    <w:name w:val="table of figures"/>
    <w:basedOn w:val="Normal"/>
    <w:next w:val="Normal"/>
    <w:uiPriority w:val="99"/>
    <w:semiHidden/>
    <w:unhideWhenUsed/>
    <w:rsid w:val="005B7E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06">
      <w:bodyDiv w:val="1"/>
      <w:marLeft w:val="0"/>
      <w:marRight w:val="0"/>
      <w:marTop w:val="0"/>
      <w:marBottom w:val="0"/>
      <w:divBdr>
        <w:top w:val="none" w:sz="0" w:space="0" w:color="auto"/>
        <w:left w:val="none" w:sz="0" w:space="0" w:color="auto"/>
        <w:bottom w:val="none" w:sz="0" w:space="0" w:color="auto"/>
        <w:right w:val="none" w:sz="0" w:space="0" w:color="auto"/>
      </w:divBdr>
    </w:div>
    <w:div w:id="15936343">
      <w:bodyDiv w:val="1"/>
      <w:marLeft w:val="0"/>
      <w:marRight w:val="0"/>
      <w:marTop w:val="0"/>
      <w:marBottom w:val="0"/>
      <w:divBdr>
        <w:top w:val="none" w:sz="0" w:space="0" w:color="auto"/>
        <w:left w:val="none" w:sz="0" w:space="0" w:color="auto"/>
        <w:bottom w:val="none" w:sz="0" w:space="0" w:color="auto"/>
        <w:right w:val="none" w:sz="0" w:space="0" w:color="auto"/>
      </w:divBdr>
    </w:div>
    <w:div w:id="19167941">
      <w:bodyDiv w:val="1"/>
      <w:marLeft w:val="0"/>
      <w:marRight w:val="0"/>
      <w:marTop w:val="0"/>
      <w:marBottom w:val="0"/>
      <w:divBdr>
        <w:top w:val="none" w:sz="0" w:space="0" w:color="auto"/>
        <w:left w:val="none" w:sz="0" w:space="0" w:color="auto"/>
        <w:bottom w:val="none" w:sz="0" w:space="0" w:color="auto"/>
        <w:right w:val="none" w:sz="0" w:space="0" w:color="auto"/>
      </w:divBdr>
      <w:divsChild>
        <w:div w:id="2117363532">
          <w:marLeft w:val="0"/>
          <w:marRight w:val="0"/>
          <w:marTop w:val="0"/>
          <w:marBottom w:val="0"/>
          <w:divBdr>
            <w:top w:val="none" w:sz="0" w:space="0" w:color="auto"/>
            <w:left w:val="none" w:sz="0" w:space="0" w:color="auto"/>
            <w:bottom w:val="none" w:sz="0" w:space="0" w:color="auto"/>
            <w:right w:val="none" w:sz="0" w:space="0" w:color="auto"/>
          </w:divBdr>
          <w:divsChild>
            <w:div w:id="1938096818">
              <w:marLeft w:val="0"/>
              <w:marRight w:val="0"/>
              <w:marTop w:val="0"/>
              <w:marBottom w:val="0"/>
              <w:divBdr>
                <w:top w:val="none" w:sz="0" w:space="0" w:color="auto"/>
                <w:left w:val="none" w:sz="0" w:space="0" w:color="auto"/>
                <w:bottom w:val="none" w:sz="0" w:space="0" w:color="auto"/>
                <w:right w:val="none" w:sz="0" w:space="0" w:color="auto"/>
              </w:divBdr>
              <w:divsChild>
                <w:div w:id="1003779273">
                  <w:marLeft w:val="0"/>
                  <w:marRight w:val="0"/>
                  <w:marTop w:val="0"/>
                  <w:marBottom w:val="0"/>
                  <w:divBdr>
                    <w:top w:val="none" w:sz="0" w:space="0" w:color="auto"/>
                    <w:left w:val="none" w:sz="0" w:space="0" w:color="auto"/>
                    <w:bottom w:val="none" w:sz="0" w:space="0" w:color="auto"/>
                    <w:right w:val="none" w:sz="0" w:space="0" w:color="auto"/>
                  </w:divBdr>
                  <w:divsChild>
                    <w:div w:id="21221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4884">
      <w:bodyDiv w:val="1"/>
      <w:marLeft w:val="0"/>
      <w:marRight w:val="0"/>
      <w:marTop w:val="0"/>
      <w:marBottom w:val="0"/>
      <w:divBdr>
        <w:top w:val="none" w:sz="0" w:space="0" w:color="auto"/>
        <w:left w:val="none" w:sz="0" w:space="0" w:color="auto"/>
        <w:bottom w:val="none" w:sz="0" w:space="0" w:color="auto"/>
        <w:right w:val="none" w:sz="0" w:space="0" w:color="auto"/>
      </w:divBdr>
    </w:div>
    <w:div w:id="80152677">
      <w:bodyDiv w:val="1"/>
      <w:marLeft w:val="0"/>
      <w:marRight w:val="0"/>
      <w:marTop w:val="0"/>
      <w:marBottom w:val="0"/>
      <w:divBdr>
        <w:top w:val="none" w:sz="0" w:space="0" w:color="auto"/>
        <w:left w:val="none" w:sz="0" w:space="0" w:color="auto"/>
        <w:bottom w:val="none" w:sz="0" w:space="0" w:color="auto"/>
        <w:right w:val="none" w:sz="0" w:space="0" w:color="auto"/>
      </w:divBdr>
    </w:div>
    <w:div w:id="99841704">
      <w:bodyDiv w:val="1"/>
      <w:marLeft w:val="0"/>
      <w:marRight w:val="0"/>
      <w:marTop w:val="0"/>
      <w:marBottom w:val="0"/>
      <w:divBdr>
        <w:top w:val="none" w:sz="0" w:space="0" w:color="auto"/>
        <w:left w:val="none" w:sz="0" w:space="0" w:color="auto"/>
        <w:bottom w:val="none" w:sz="0" w:space="0" w:color="auto"/>
        <w:right w:val="none" w:sz="0" w:space="0" w:color="auto"/>
      </w:divBdr>
    </w:div>
    <w:div w:id="118888603">
      <w:bodyDiv w:val="1"/>
      <w:marLeft w:val="0"/>
      <w:marRight w:val="0"/>
      <w:marTop w:val="0"/>
      <w:marBottom w:val="0"/>
      <w:divBdr>
        <w:top w:val="none" w:sz="0" w:space="0" w:color="auto"/>
        <w:left w:val="none" w:sz="0" w:space="0" w:color="auto"/>
        <w:bottom w:val="none" w:sz="0" w:space="0" w:color="auto"/>
        <w:right w:val="none" w:sz="0" w:space="0" w:color="auto"/>
      </w:divBdr>
    </w:div>
    <w:div w:id="148786663">
      <w:bodyDiv w:val="1"/>
      <w:marLeft w:val="0"/>
      <w:marRight w:val="0"/>
      <w:marTop w:val="0"/>
      <w:marBottom w:val="0"/>
      <w:divBdr>
        <w:top w:val="none" w:sz="0" w:space="0" w:color="auto"/>
        <w:left w:val="none" w:sz="0" w:space="0" w:color="auto"/>
        <w:bottom w:val="none" w:sz="0" w:space="0" w:color="auto"/>
        <w:right w:val="none" w:sz="0" w:space="0" w:color="auto"/>
      </w:divBdr>
      <w:divsChild>
        <w:div w:id="161286221">
          <w:marLeft w:val="0"/>
          <w:marRight w:val="0"/>
          <w:marTop w:val="0"/>
          <w:marBottom w:val="0"/>
          <w:divBdr>
            <w:top w:val="none" w:sz="0" w:space="0" w:color="auto"/>
            <w:left w:val="none" w:sz="0" w:space="0" w:color="auto"/>
            <w:bottom w:val="none" w:sz="0" w:space="0" w:color="auto"/>
            <w:right w:val="none" w:sz="0" w:space="0" w:color="auto"/>
          </w:divBdr>
        </w:div>
      </w:divsChild>
    </w:div>
    <w:div w:id="160050046">
      <w:bodyDiv w:val="1"/>
      <w:marLeft w:val="0"/>
      <w:marRight w:val="0"/>
      <w:marTop w:val="0"/>
      <w:marBottom w:val="0"/>
      <w:divBdr>
        <w:top w:val="none" w:sz="0" w:space="0" w:color="auto"/>
        <w:left w:val="none" w:sz="0" w:space="0" w:color="auto"/>
        <w:bottom w:val="none" w:sz="0" w:space="0" w:color="auto"/>
        <w:right w:val="none" w:sz="0" w:space="0" w:color="auto"/>
      </w:divBdr>
    </w:div>
    <w:div w:id="215359102">
      <w:bodyDiv w:val="1"/>
      <w:marLeft w:val="0"/>
      <w:marRight w:val="0"/>
      <w:marTop w:val="0"/>
      <w:marBottom w:val="0"/>
      <w:divBdr>
        <w:top w:val="none" w:sz="0" w:space="0" w:color="auto"/>
        <w:left w:val="none" w:sz="0" w:space="0" w:color="auto"/>
        <w:bottom w:val="none" w:sz="0" w:space="0" w:color="auto"/>
        <w:right w:val="none" w:sz="0" w:space="0" w:color="auto"/>
      </w:divBdr>
    </w:div>
    <w:div w:id="299312674">
      <w:bodyDiv w:val="1"/>
      <w:marLeft w:val="0"/>
      <w:marRight w:val="0"/>
      <w:marTop w:val="0"/>
      <w:marBottom w:val="0"/>
      <w:divBdr>
        <w:top w:val="none" w:sz="0" w:space="0" w:color="auto"/>
        <w:left w:val="none" w:sz="0" w:space="0" w:color="auto"/>
        <w:bottom w:val="none" w:sz="0" w:space="0" w:color="auto"/>
        <w:right w:val="none" w:sz="0" w:space="0" w:color="auto"/>
      </w:divBdr>
    </w:div>
    <w:div w:id="360783099">
      <w:bodyDiv w:val="1"/>
      <w:marLeft w:val="0"/>
      <w:marRight w:val="0"/>
      <w:marTop w:val="0"/>
      <w:marBottom w:val="0"/>
      <w:divBdr>
        <w:top w:val="none" w:sz="0" w:space="0" w:color="auto"/>
        <w:left w:val="none" w:sz="0" w:space="0" w:color="auto"/>
        <w:bottom w:val="none" w:sz="0" w:space="0" w:color="auto"/>
        <w:right w:val="none" w:sz="0" w:space="0" w:color="auto"/>
      </w:divBdr>
    </w:div>
    <w:div w:id="486435633">
      <w:bodyDiv w:val="1"/>
      <w:marLeft w:val="0"/>
      <w:marRight w:val="0"/>
      <w:marTop w:val="0"/>
      <w:marBottom w:val="0"/>
      <w:divBdr>
        <w:top w:val="none" w:sz="0" w:space="0" w:color="auto"/>
        <w:left w:val="none" w:sz="0" w:space="0" w:color="auto"/>
        <w:bottom w:val="none" w:sz="0" w:space="0" w:color="auto"/>
        <w:right w:val="none" w:sz="0" w:space="0" w:color="auto"/>
      </w:divBdr>
    </w:div>
    <w:div w:id="491718231">
      <w:bodyDiv w:val="1"/>
      <w:marLeft w:val="0"/>
      <w:marRight w:val="0"/>
      <w:marTop w:val="0"/>
      <w:marBottom w:val="0"/>
      <w:divBdr>
        <w:top w:val="none" w:sz="0" w:space="0" w:color="auto"/>
        <w:left w:val="none" w:sz="0" w:space="0" w:color="auto"/>
        <w:bottom w:val="none" w:sz="0" w:space="0" w:color="auto"/>
        <w:right w:val="none" w:sz="0" w:space="0" w:color="auto"/>
      </w:divBdr>
    </w:div>
    <w:div w:id="558519278">
      <w:bodyDiv w:val="1"/>
      <w:marLeft w:val="0"/>
      <w:marRight w:val="0"/>
      <w:marTop w:val="0"/>
      <w:marBottom w:val="0"/>
      <w:divBdr>
        <w:top w:val="none" w:sz="0" w:space="0" w:color="auto"/>
        <w:left w:val="none" w:sz="0" w:space="0" w:color="auto"/>
        <w:bottom w:val="none" w:sz="0" w:space="0" w:color="auto"/>
        <w:right w:val="none" w:sz="0" w:space="0" w:color="auto"/>
      </w:divBdr>
    </w:div>
    <w:div w:id="611210398">
      <w:bodyDiv w:val="1"/>
      <w:marLeft w:val="0"/>
      <w:marRight w:val="0"/>
      <w:marTop w:val="0"/>
      <w:marBottom w:val="0"/>
      <w:divBdr>
        <w:top w:val="none" w:sz="0" w:space="0" w:color="auto"/>
        <w:left w:val="none" w:sz="0" w:space="0" w:color="auto"/>
        <w:bottom w:val="none" w:sz="0" w:space="0" w:color="auto"/>
        <w:right w:val="none" w:sz="0" w:space="0" w:color="auto"/>
      </w:divBdr>
      <w:divsChild>
        <w:div w:id="339890429">
          <w:marLeft w:val="0"/>
          <w:marRight w:val="0"/>
          <w:marTop w:val="0"/>
          <w:marBottom w:val="0"/>
          <w:divBdr>
            <w:top w:val="none" w:sz="0" w:space="0" w:color="auto"/>
            <w:left w:val="none" w:sz="0" w:space="0" w:color="auto"/>
            <w:bottom w:val="none" w:sz="0" w:space="0" w:color="auto"/>
            <w:right w:val="none" w:sz="0" w:space="0" w:color="auto"/>
          </w:divBdr>
          <w:divsChild>
            <w:div w:id="1015422031">
              <w:marLeft w:val="0"/>
              <w:marRight w:val="0"/>
              <w:marTop w:val="0"/>
              <w:marBottom w:val="0"/>
              <w:divBdr>
                <w:top w:val="none" w:sz="0" w:space="0" w:color="auto"/>
                <w:left w:val="none" w:sz="0" w:space="0" w:color="auto"/>
                <w:bottom w:val="none" w:sz="0" w:space="0" w:color="auto"/>
                <w:right w:val="none" w:sz="0" w:space="0" w:color="auto"/>
              </w:divBdr>
              <w:divsChild>
                <w:div w:id="1712919084">
                  <w:marLeft w:val="0"/>
                  <w:marRight w:val="0"/>
                  <w:marTop w:val="0"/>
                  <w:marBottom w:val="0"/>
                  <w:divBdr>
                    <w:top w:val="none" w:sz="0" w:space="0" w:color="auto"/>
                    <w:left w:val="none" w:sz="0" w:space="0" w:color="auto"/>
                    <w:bottom w:val="none" w:sz="0" w:space="0" w:color="auto"/>
                    <w:right w:val="none" w:sz="0" w:space="0" w:color="auto"/>
                  </w:divBdr>
                  <w:divsChild>
                    <w:div w:id="365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6148">
      <w:bodyDiv w:val="1"/>
      <w:marLeft w:val="0"/>
      <w:marRight w:val="0"/>
      <w:marTop w:val="0"/>
      <w:marBottom w:val="0"/>
      <w:divBdr>
        <w:top w:val="none" w:sz="0" w:space="0" w:color="auto"/>
        <w:left w:val="none" w:sz="0" w:space="0" w:color="auto"/>
        <w:bottom w:val="none" w:sz="0" w:space="0" w:color="auto"/>
        <w:right w:val="none" w:sz="0" w:space="0" w:color="auto"/>
      </w:divBdr>
    </w:div>
    <w:div w:id="683749079">
      <w:bodyDiv w:val="1"/>
      <w:marLeft w:val="0"/>
      <w:marRight w:val="0"/>
      <w:marTop w:val="0"/>
      <w:marBottom w:val="0"/>
      <w:divBdr>
        <w:top w:val="none" w:sz="0" w:space="0" w:color="auto"/>
        <w:left w:val="none" w:sz="0" w:space="0" w:color="auto"/>
        <w:bottom w:val="none" w:sz="0" w:space="0" w:color="auto"/>
        <w:right w:val="none" w:sz="0" w:space="0" w:color="auto"/>
      </w:divBdr>
    </w:div>
    <w:div w:id="760373584">
      <w:bodyDiv w:val="1"/>
      <w:marLeft w:val="0"/>
      <w:marRight w:val="0"/>
      <w:marTop w:val="0"/>
      <w:marBottom w:val="0"/>
      <w:divBdr>
        <w:top w:val="none" w:sz="0" w:space="0" w:color="auto"/>
        <w:left w:val="none" w:sz="0" w:space="0" w:color="auto"/>
        <w:bottom w:val="none" w:sz="0" w:space="0" w:color="auto"/>
        <w:right w:val="none" w:sz="0" w:space="0" w:color="auto"/>
      </w:divBdr>
    </w:div>
    <w:div w:id="773284459">
      <w:bodyDiv w:val="1"/>
      <w:marLeft w:val="0"/>
      <w:marRight w:val="0"/>
      <w:marTop w:val="0"/>
      <w:marBottom w:val="0"/>
      <w:divBdr>
        <w:top w:val="none" w:sz="0" w:space="0" w:color="auto"/>
        <w:left w:val="none" w:sz="0" w:space="0" w:color="auto"/>
        <w:bottom w:val="none" w:sz="0" w:space="0" w:color="auto"/>
        <w:right w:val="none" w:sz="0" w:space="0" w:color="auto"/>
      </w:divBdr>
      <w:divsChild>
        <w:div w:id="1343436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928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5783181">
      <w:bodyDiv w:val="1"/>
      <w:marLeft w:val="0"/>
      <w:marRight w:val="0"/>
      <w:marTop w:val="0"/>
      <w:marBottom w:val="0"/>
      <w:divBdr>
        <w:top w:val="none" w:sz="0" w:space="0" w:color="auto"/>
        <w:left w:val="none" w:sz="0" w:space="0" w:color="auto"/>
        <w:bottom w:val="none" w:sz="0" w:space="0" w:color="auto"/>
        <w:right w:val="none" w:sz="0" w:space="0" w:color="auto"/>
      </w:divBdr>
    </w:div>
    <w:div w:id="878974831">
      <w:bodyDiv w:val="1"/>
      <w:marLeft w:val="0"/>
      <w:marRight w:val="0"/>
      <w:marTop w:val="0"/>
      <w:marBottom w:val="0"/>
      <w:divBdr>
        <w:top w:val="none" w:sz="0" w:space="0" w:color="auto"/>
        <w:left w:val="none" w:sz="0" w:space="0" w:color="auto"/>
        <w:bottom w:val="none" w:sz="0" w:space="0" w:color="auto"/>
        <w:right w:val="none" w:sz="0" w:space="0" w:color="auto"/>
      </w:divBdr>
      <w:divsChild>
        <w:div w:id="2032758756">
          <w:marLeft w:val="0"/>
          <w:marRight w:val="0"/>
          <w:marTop w:val="0"/>
          <w:marBottom w:val="0"/>
          <w:divBdr>
            <w:top w:val="none" w:sz="0" w:space="0" w:color="auto"/>
            <w:left w:val="none" w:sz="0" w:space="0" w:color="auto"/>
            <w:bottom w:val="none" w:sz="0" w:space="0" w:color="auto"/>
            <w:right w:val="none" w:sz="0" w:space="0" w:color="auto"/>
          </w:divBdr>
          <w:divsChild>
            <w:div w:id="689374512">
              <w:marLeft w:val="0"/>
              <w:marRight w:val="0"/>
              <w:marTop w:val="0"/>
              <w:marBottom w:val="0"/>
              <w:divBdr>
                <w:top w:val="none" w:sz="0" w:space="0" w:color="auto"/>
                <w:left w:val="none" w:sz="0" w:space="0" w:color="auto"/>
                <w:bottom w:val="none" w:sz="0" w:space="0" w:color="auto"/>
                <w:right w:val="none" w:sz="0" w:space="0" w:color="auto"/>
              </w:divBdr>
              <w:divsChild>
                <w:div w:id="1660966292">
                  <w:marLeft w:val="0"/>
                  <w:marRight w:val="0"/>
                  <w:marTop w:val="0"/>
                  <w:marBottom w:val="0"/>
                  <w:divBdr>
                    <w:top w:val="none" w:sz="0" w:space="0" w:color="auto"/>
                    <w:left w:val="none" w:sz="0" w:space="0" w:color="auto"/>
                    <w:bottom w:val="none" w:sz="0" w:space="0" w:color="auto"/>
                    <w:right w:val="none" w:sz="0" w:space="0" w:color="auto"/>
                  </w:divBdr>
                  <w:divsChild>
                    <w:div w:id="20269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86923">
      <w:bodyDiv w:val="1"/>
      <w:marLeft w:val="0"/>
      <w:marRight w:val="0"/>
      <w:marTop w:val="0"/>
      <w:marBottom w:val="0"/>
      <w:divBdr>
        <w:top w:val="none" w:sz="0" w:space="0" w:color="auto"/>
        <w:left w:val="none" w:sz="0" w:space="0" w:color="auto"/>
        <w:bottom w:val="none" w:sz="0" w:space="0" w:color="auto"/>
        <w:right w:val="none" w:sz="0" w:space="0" w:color="auto"/>
      </w:divBdr>
    </w:div>
    <w:div w:id="918367660">
      <w:bodyDiv w:val="1"/>
      <w:marLeft w:val="0"/>
      <w:marRight w:val="0"/>
      <w:marTop w:val="0"/>
      <w:marBottom w:val="0"/>
      <w:divBdr>
        <w:top w:val="none" w:sz="0" w:space="0" w:color="auto"/>
        <w:left w:val="none" w:sz="0" w:space="0" w:color="auto"/>
        <w:bottom w:val="none" w:sz="0" w:space="0" w:color="auto"/>
        <w:right w:val="none" w:sz="0" w:space="0" w:color="auto"/>
      </w:divBdr>
    </w:div>
    <w:div w:id="945773286">
      <w:bodyDiv w:val="1"/>
      <w:marLeft w:val="0"/>
      <w:marRight w:val="0"/>
      <w:marTop w:val="0"/>
      <w:marBottom w:val="0"/>
      <w:divBdr>
        <w:top w:val="none" w:sz="0" w:space="0" w:color="auto"/>
        <w:left w:val="none" w:sz="0" w:space="0" w:color="auto"/>
        <w:bottom w:val="none" w:sz="0" w:space="0" w:color="auto"/>
        <w:right w:val="none" w:sz="0" w:space="0" w:color="auto"/>
      </w:divBdr>
    </w:div>
    <w:div w:id="967316744">
      <w:bodyDiv w:val="1"/>
      <w:marLeft w:val="0"/>
      <w:marRight w:val="0"/>
      <w:marTop w:val="0"/>
      <w:marBottom w:val="0"/>
      <w:divBdr>
        <w:top w:val="none" w:sz="0" w:space="0" w:color="auto"/>
        <w:left w:val="none" w:sz="0" w:space="0" w:color="auto"/>
        <w:bottom w:val="none" w:sz="0" w:space="0" w:color="auto"/>
        <w:right w:val="none" w:sz="0" w:space="0" w:color="auto"/>
      </w:divBdr>
    </w:div>
    <w:div w:id="981615300">
      <w:bodyDiv w:val="1"/>
      <w:marLeft w:val="0"/>
      <w:marRight w:val="0"/>
      <w:marTop w:val="0"/>
      <w:marBottom w:val="0"/>
      <w:divBdr>
        <w:top w:val="none" w:sz="0" w:space="0" w:color="auto"/>
        <w:left w:val="none" w:sz="0" w:space="0" w:color="auto"/>
        <w:bottom w:val="none" w:sz="0" w:space="0" w:color="auto"/>
        <w:right w:val="none" w:sz="0" w:space="0" w:color="auto"/>
      </w:divBdr>
    </w:div>
    <w:div w:id="1013219304">
      <w:bodyDiv w:val="1"/>
      <w:marLeft w:val="0"/>
      <w:marRight w:val="0"/>
      <w:marTop w:val="0"/>
      <w:marBottom w:val="0"/>
      <w:divBdr>
        <w:top w:val="none" w:sz="0" w:space="0" w:color="auto"/>
        <w:left w:val="none" w:sz="0" w:space="0" w:color="auto"/>
        <w:bottom w:val="none" w:sz="0" w:space="0" w:color="auto"/>
        <w:right w:val="none" w:sz="0" w:space="0" w:color="auto"/>
      </w:divBdr>
    </w:div>
    <w:div w:id="1032345932">
      <w:bodyDiv w:val="1"/>
      <w:marLeft w:val="0"/>
      <w:marRight w:val="0"/>
      <w:marTop w:val="0"/>
      <w:marBottom w:val="0"/>
      <w:divBdr>
        <w:top w:val="none" w:sz="0" w:space="0" w:color="auto"/>
        <w:left w:val="none" w:sz="0" w:space="0" w:color="auto"/>
        <w:bottom w:val="none" w:sz="0" w:space="0" w:color="auto"/>
        <w:right w:val="none" w:sz="0" w:space="0" w:color="auto"/>
      </w:divBdr>
    </w:div>
    <w:div w:id="1037900139">
      <w:bodyDiv w:val="1"/>
      <w:marLeft w:val="0"/>
      <w:marRight w:val="0"/>
      <w:marTop w:val="0"/>
      <w:marBottom w:val="0"/>
      <w:divBdr>
        <w:top w:val="none" w:sz="0" w:space="0" w:color="auto"/>
        <w:left w:val="none" w:sz="0" w:space="0" w:color="auto"/>
        <w:bottom w:val="none" w:sz="0" w:space="0" w:color="auto"/>
        <w:right w:val="none" w:sz="0" w:space="0" w:color="auto"/>
      </w:divBdr>
    </w:div>
    <w:div w:id="1053500299">
      <w:bodyDiv w:val="1"/>
      <w:marLeft w:val="0"/>
      <w:marRight w:val="0"/>
      <w:marTop w:val="0"/>
      <w:marBottom w:val="0"/>
      <w:divBdr>
        <w:top w:val="none" w:sz="0" w:space="0" w:color="auto"/>
        <w:left w:val="none" w:sz="0" w:space="0" w:color="auto"/>
        <w:bottom w:val="none" w:sz="0" w:space="0" w:color="auto"/>
        <w:right w:val="none" w:sz="0" w:space="0" w:color="auto"/>
      </w:divBdr>
      <w:divsChild>
        <w:div w:id="66683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361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659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0276040">
      <w:bodyDiv w:val="1"/>
      <w:marLeft w:val="0"/>
      <w:marRight w:val="0"/>
      <w:marTop w:val="0"/>
      <w:marBottom w:val="0"/>
      <w:divBdr>
        <w:top w:val="none" w:sz="0" w:space="0" w:color="auto"/>
        <w:left w:val="none" w:sz="0" w:space="0" w:color="auto"/>
        <w:bottom w:val="none" w:sz="0" w:space="0" w:color="auto"/>
        <w:right w:val="none" w:sz="0" w:space="0" w:color="auto"/>
      </w:divBdr>
    </w:div>
    <w:div w:id="1070617316">
      <w:bodyDiv w:val="1"/>
      <w:marLeft w:val="0"/>
      <w:marRight w:val="0"/>
      <w:marTop w:val="0"/>
      <w:marBottom w:val="0"/>
      <w:divBdr>
        <w:top w:val="none" w:sz="0" w:space="0" w:color="auto"/>
        <w:left w:val="none" w:sz="0" w:space="0" w:color="auto"/>
        <w:bottom w:val="none" w:sz="0" w:space="0" w:color="auto"/>
        <w:right w:val="none" w:sz="0" w:space="0" w:color="auto"/>
      </w:divBdr>
    </w:div>
    <w:div w:id="1086270117">
      <w:bodyDiv w:val="1"/>
      <w:marLeft w:val="0"/>
      <w:marRight w:val="0"/>
      <w:marTop w:val="0"/>
      <w:marBottom w:val="0"/>
      <w:divBdr>
        <w:top w:val="none" w:sz="0" w:space="0" w:color="auto"/>
        <w:left w:val="none" w:sz="0" w:space="0" w:color="auto"/>
        <w:bottom w:val="none" w:sz="0" w:space="0" w:color="auto"/>
        <w:right w:val="none" w:sz="0" w:space="0" w:color="auto"/>
      </w:divBdr>
    </w:div>
    <w:div w:id="1101071264">
      <w:bodyDiv w:val="1"/>
      <w:marLeft w:val="0"/>
      <w:marRight w:val="0"/>
      <w:marTop w:val="0"/>
      <w:marBottom w:val="0"/>
      <w:divBdr>
        <w:top w:val="none" w:sz="0" w:space="0" w:color="auto"/>
        <w:left w:val="none" w:sz="0" w:space="0" w:color="auto"/>
        <w:bottom w:val="none" w:sz="0" w:space="0" w:color="auto"/>
        <w:right w:val="none" w:sz="0" w:space="0" w:color="auto"/>
      </w:divBdr>
    </w:div>
    <w:div w:id="1113089305">
      <w:bodyDiv w:val="1"/>
      <w:marLeft w:val="0"/>
      <w:marRight w:val="0"/>
      <w:marTop w:val="0"/>
      <w:marBottom w:val="0"/>
      <w:divBdr>
        <w:top w:val="none" w:sz="0" w:space="0" w:color="auto"/>
        <w:left w:val="none" w:sz="0" w:space="0" w:color="auto"/>
        <w:bottom w:val="none" w:sz="0" w:space="0" w:color="auto"/>
        <w:right w:val="none" w:sz="0" w:space="0" w:color="auto"/>
      </w:divBdr>
    </w:div>
    <w:div w:id="1126435474">
      <w:bodyDiv w:val="1"/>
      <w:marLeft w:val="0"/>
      <w:marRight w:val="0"/>
      <w:marTop w:val="0"/>
      <w:marBottom w:val="0"/>
      <w:divBdr>
        <w:top w:val="none" w:sz="0" w:space="0" w:color="auto"/>
        <w:left w:val="none" w:sz="0" w:space="0" w:color="auto"/>
        <w:bottom w:val="none" w:sz="0" w:space="0" w:color="auto"/>
        <w:right w:val="none" w:sz="0" w:space="0" w:color="auto"/>
      </w:divBdr>
    </w:div>
    <w:div w:id="1155339418">
      <w:bodyDiv w:val="1"/>
      <w:marLeft w:val="0"/>
      <w:marRight w:val="0"/>
      <w:marTop w:val="0"/>
      <w:marBottom w:val="0"/>
      <w:divBdr>
        <w:top w:val="none" w:sz="0" w:space="0" w:color="auto"/>
        <w:left w:val="none" w:sz="0" w:space="0" w:color="auto"/>
        <w:bottom w:val="none" w:sz="0" w:space="0" w:color="auto"/>
        <w:right w:val="none" w:sz="0" w:space="0" w:color="auto"/>
      </w:divBdr>
    </w:div>
    <w:div w:id="1161890891">
      <w:bodyDiv w:val="1"/>
      <w:marLeft w:val="0"/>
      <w:marRight w:val="0"/>
      <w:marTop w:val="0"/>
      <w:marBottom w:val="0"/>
      <w:divBdr>
        <w:top w:val="none" w:sz="0" w:space="0" w:color="auto"/>
        <w:left w:val="none" w:sz="0" w:space="0" w:color="auto"/>
        <w:bottom w:val="none" w:sz="0" w:space="0" w:color="auto"/>
        <w:right w:val="none" w:sz="0" w:space="0" w:color="auto"/>
      </w:divBdr>
    </w:div>
    <w:div w:id="1172721858">
      <w:bodyDiv w:val="1"/>
      <w:marLeft w:val="0"/>
      <w:marRight w:val="0"/>
      <w:marTop w:val="0"/>
      <w:marBottom w:val="0"/>
      <w:divBdr>
        <w:top w:val="none" w:sz="0" w:space="0" w:color="auto"/>
        <w:left w:val="none" w:sz="0" w:space="0" w:color="auto"/>
        <w:bottom w:val="none" w:sz="0" w:space="0" w:color="auto"/>
        <w:right w:val="none" w:sz="0" w:space="0" w:color="auto"/>
      </w:divBdr>
      <w:divsChild>
        <w:div w:id="177669416">
          <w:marLeft w:val="0"/>
          <w:marRight w:val="0"/>
          <w:marTop w:val="0"/>
          <w:marBottom w:val="0"/>
          <w:divBdr>
            <w:top w:val="none" w:sz="0" w:space="0" w:color="auto"/>
            <w:left w:val="none" w:sz="0" w:space="0" w:color="auto"/>
            <w:bottom w:val="none" w:sz="0" w:space="0" w:color="auto"/>
            <w:right w:val="none" w:sz="0" w:space="0" w:color="auto"/>
          </w:divBdr>
          <w:divsChild>
            <w:div w:id="1823277733">
              <w:marLeft w:val="0"/>
              <w:marRight w:val="0"/>
              <w:marTop w:val="0"/>
              <w:marBottom w:val="0"/>
              <w:divBdr>
                <w:top w:val="none" w:sz="0" w:space="0" w:color="auto"/>
                <w:left w:val="none" w:sz="0" w:space="0" w:color="auto"/>
                <w:bottom w:val="none" w:sz="0" w:space="0" w:color="auto"/>
                <w:right w:val="none" w:sz="0" w:space="0" w:color="auto"/>
              </w:divBdr>
              <w:divsChild>
                <w:div w:id="239559716">
                  <w:marLeft w:val="0"/>
                  <w:marRight w:val="0"/>
                  <w:marTop w:val="0"/>
                  <w:marBottom w:val="0"/>
                  <w:divBdr>
                    <w:top w:val="none" w:sz="0" w:space="0" w:color="auto"/>
                    <w:left w:val="none" w:sz="0" w:space="0" w:color="auto"/>
                    <w:bottom w:val="none" w:sz="0" w:space="0" w:color="auto"/>
                    <w:right w:val="none" w:sz="0" w:space="0" w:color="auto"/>
                  </w:divBdr>
                  <w:divsChild>
                    <w:div w:id="12357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0812">
      <w:bodyDiv w:val="1"/>
      <w:marLeft w:val="0"/>
      <w:marRight w:val="0"/>
      <w:marTop w:val="0"/>
      <w:marBottom w:val="0"/>
      <w:divBdr>
        <w:top w:val="none" w:sz="0" w:space="0" w:color="auto"/>
        <w:left w:val="none" w:sz="0" w:space="0" w:color="auto"/>
        <w:bottom w:val="none" w:sz="0" w:space="0" w:color="auto"/>
        <w:right w:val="none" w:sz="0" w:space="0" w:color="auto"/>
      </w:divBdr>
      <w:divsChild>
        <w:div w:id="1712456052">
          <w:marLeft w:val="0"/>
          <w:marRight w:val="0"/>
          <w:marTop w:val="0"/>
          <w:marBottom w:val="0"/>
          <w:divBdr>
            <w:top w:val="none" w:sz="0" w:space="0" w:color="auto"/>
            <w:left w:val="none" w:sz="0" w:space="0" w:color="auto"/>
            <w:bottom w:val="none" w:sz="0" w:space="0" w:color="auto"/>
            <w:right w:val="none" w:sz="0" w:space="0" w:color="auto"/>
          </w:divBdr>
          <w:divsChild>
            <w:div w:id="597711140">
              <w:marLeft w:val="0"/>
              <w:marRight w:val="0"/>
              <w:marTop w:val="0"/>
              <w:marBottom w:val="0"/>
              <w:divBdr>
                <w:top w:val="none" w:sz="0" w:space="0" w:color="auto"/>
                <w:left w:val="none" w:sz="0" w:space="0" w:color="auto"/>
                <w:bottom w:val="none" w:sz="0" w:space="0" w:color="auto"/>
                <w:right w:val="none" w:sz="0" w:space="0" w:color="auto"/>
              </w:divBdr>
              <w:divsChild>
                <w:div w:id="1963000413">
                  <w:marLeft w:val="0"/>
                  <w:marRight w:val="0"/>
                  <w:marTop w:val="0"/>
                  <w:marBottom w:val="0"/>
                  <w:divBdr>
                    <w:top w:val="none" w:sz="0" w:space="0" w:color="auto"/>
                    <w:left w:val="none" w:sz="0" w:space="0" w:color="auto"/>
                    <w:bottom w:val="none" w:sz="0" w:space="0" w:color="auto"/>
                    <w:right w:val="none" w:sz="0" w:space="0" w:color="auto"/>
                  </w:divBdr>
                  <w:divsChild>
                    <w:div w:id="14217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398244">
      <w:bodyDiv w:val="1"/>
      <w:marLeft w:val="0"/>
      <w:marRight w:val="0"/>
      <w:marTop w:val="0"/>
      <w:marBottom w:val="0"/>
      <w:divBdr>
        <w:top w:val="none" w:sz="0" w:space="0" w:color="auto"/>
        <w:left w:val="none" w:sz="0" w:space="0" w:color="auto"/>
        <w:bottom w:val="none" w:sz="0" w:space="0" w:color="auto"/>
        <w:right w:val="none" w:sz="0" w:space="0" w:color="auto"/>
      </w:divBdr>
    </w:div>
    <w:div w:id="1425491067">
      <w:bodyDiv w:val="1"/>
      <w:marLeft w:val="0"/>
      <w:marRight w:val="0"/>
      <w:marTop w:val="0"/>
      <w:marBottom w:val="0"/>
      <w:divBdr>
        <w:top w:val="none" w:sz="0" w:space="0" w:color="auto"/>
        <w:left w:val="none" w:sz="0" w:space="0" w:color="auto"/>
        <w:bottom w:val="none" w:sz="0" w:space="0" w:color="auto"/>
        <w:right w:val="none" w:sz="0" w:space="0" w:color="auto"/>
      </w:divBdr>
    </w:div>
    <w:div w:id="1470514689">
      <w:bodyDiv w:val="1"/>
      <w:marLeft w:val="0"/>
      <w:marRight w:val="0"/>
      <w:marTop w:val="0"/>
      <w:marBottom w:val="0"/>
      <w:divBdr>
        <w:top w:val="none" w:sz="0" w:space="0" w:color="auto"/>
        <w:left w:val="none" w:sz="0" w:space="0" w:color="auto"/>
        <w:bottom w:val="none" w:sz="0" w:space="0" w:color="auto"/>
        <w:right w:val="none" w:sz="0" w:space="0" w:color="auto"/>
      </w:divBdr>
    </w:div>
    <w:div w:id="1480072627">
      <w:bodyDiv w:val="1"/>
      <w:marLeft w:val="0"/>
      <w:marRight w:val="0"/>
      <w:marTop w:val="0"/>
      <w:marBottom w:val="0"/>
      <w:divBdr>
        <w:top w:val="none" w:sz="0" w:space="0" w:color="auto"/>
        <w:left w:val="none" w:sz="0" w:space="0" w:color="auto"/>
        <w:bottom w:val="none" w:sz="0" w:space="0" w:color="auto"/>
        <w:right w:val="none" w:sz="0" w:space="0" w:color="auto"/>
      </w:divBdr>
    </w:div>
    <w:div w:id="1497695267">
      <w:bodyDiv w:val="1"/>
      <w:marLeft w:val="0"/>
      <w:marRight w:val="0"/>
      <w:marTop w:val="0"/>
      <w:marBottom w:val="0"/>
      <w:divBdr>
        <w:top w:val="none" w:sz="0" w:space="0" w:color="auto"/>
        <w:left w:val="none" w:sz="0" w:space="0" w:color="auto"/>
        <w:bottom w:val="none" w:sz="0" w:space="0" w:color="auto"/>
        <w:right w:val="none" w:sz="0" w:space="0" w:color="auto"/>
      </w:divBdr>
    </w:div>
    <w:div w:id="1642727440">
      <w:bodyDiv w:val="1"/>
      <w:marLeft w:val="0"/>
      <w:marRight w:val="0"/>
      <w:marTop w:val="0"/>
      <w:marBottom w:val="0"/>
      <w:divBdr>
        <w:top w:val="none" w:sz="0" w:space="0" w:color="auto"/>
        <w:left w:val="none" w:sz="0" w:space="0" w:color="auto"/>
        <w:bottom w:val="none" w:sz="0" w:space="0" w:color="auto"/>
        <w:right w:val="none" w:sz="0" w:space="0" w:color="auto"/>
      </w:divBdr>
    </w:div>
    <w:div w:id="1649361900">
      <w:bodyDiv w:val="1"/>
      <w:marLeft w:val="0"/>
      <w:marRight w:val="0"/>
      <w:marTop w:val="0"/>
      <w:marBottom w:val="0"/>
      <w:divBdr>
        <w:top w:val="none" w:sz="0" w:space="0" w:color="auto"/>
        <w:left w:val="none" w:sz="0" w:space="0" w:color="auto"/>
        <w:bottom w:val="none" w:sz="0" w:space="0" w:color="auto"/>
        <w:right w:val="none" w:sz="0" w:space="0" w:color="auto"/>
      </w:divBdr>
    </w:div>
    <w:div w:id="1661886764">
      <w:bodyDiv w:val="1"/>
      <w:marLeft w:val="0"/>
      <w:marRight w:val="0"/>
      <w:marTop w:val="0"/>
      <w:marBottom w:val="0"/>
      <w:divBdr>
        <w:top w:val="none" w:sz="0" w:space="0" w:color="auto"/>
        <w:left w:val="none" w:sz="0" w:space="0" w:color="auto"/>
        <w:bottom w:val="none" w:sz="0" w:space="0" w:color="auto"/>
        <w:right w:val="none" w:sz="0" w:space="0" w:color="auto"/>
      </w:divBdr>
    </w:div>
    <w:div w:id="1688680126">
      <w:bodyDiv w:val="1"/>
      <w:marLeft w:val="0"/>
      <w:marRight w:val="0"/>
      <w:marTop w:val="0"/>
      <w:marBottom w:val="0"/>
      <w:divBdr>
        <w:top w:val="none" w:sz="0" w:space="0" w:color="auto"/>
        <w:left w:val="none" w:sz="0" w:space="0" w:color="auto"/>
        <w:bottom w:val="none" w:sz="0" w:space="0" w:color="auto"/>
        <w:right w:val="none" w:sz="0" w:space="0" w:color="auto"/>
      </w:divBdr>
    </w:div>
    <w:div w:id="1794709508">
      <w:bodyDiv w:val="1"/>
      <w:marLeft w:val="0"/>
      <w:marRight w:val="0"/>
      <w:marTop w:val="0"/>
      <w:marBottom w:val="0"/>
      <w:divBdr>
        <w:top w:val="none" w:sz="0" w:space="0" w:color="auto"/>
        <w:left w:val="none" w:sz="0" w:space="0" w:color="auto"/>
        <w:bottom w:val="none" w:sz="0" w:space="0" w:color="auto"/>
        <w:right w:val="none" w:sz="0" w:space="0" w:color="auto"/>
      </w:divBdr>
    </w:div>
    <w:div w:id="1824545107">
      <w:bodyDiv w:val="1"/>
      <w:marLeft w:val="0"/>
      <w:marRight w:val="0"/>
      <w:marTop w:val="0"/>
      <w:marBottom w:val="0"/>
      <w:divBdr>
        <w:top w:val="none" w:sz="0" w:space="0" w:color="auto"/>
        <w:left w:val="none" w:sz="0" w:space="0" w:color="auto"/>
        <w:bottom w:val="none" w:sz="0" w:space="0" w:color="auto"/>
        <w:right w:val="none" w:sz="0" w:space="0" w:color="auto"/>
      </w:divBdr>
      <w:divsChild>
        <w:div w:id="830489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35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24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62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7963720">
      <w:bodyDiv w:val="1"/>
      <w:marLeft w:val="0"/>
      <w:marRight w:val="0"/>
      <w:marTop w:val="0"/>
      <w:marBottom w:val="0"/>
      <w:divBdr>
        <w:top w:val="none" w:sz="0" w:space="0" w:color="auto"/>
        <w:left w:val="none" w:sz="0" w:space="0" w:color="auto"/>
        <w:bottom w:val="none" w:sz="0" w:space="0" w:color="auto"/>
        <w:right w:val="none" w:sz="0" w:space="0" w:color="auto"/>
      </w:divBdr>
    </w:div>
    <w:div w:id="1874343915">
      <w:bodyDiv w:val="1"/>
      <w:marLeft w:val="0"/>
      <w:marRight w:val="0"/>
      <w:marTop w:val="0"/>
      <w:marBottom w:val="0"/>
      <w:divBdr>
        <w:top w:val="none" w:sz="0" w:space="0" w:color="auto"/>
        <w:left w:val="none" w:sz="0" w:space="0" w:color="auto"/>
        <w:bottom w:val="none" w:sz="0" w:space="0" w:color="auto"/>
        <w:right w:val="none" w:sz="0" w:space="0" w:color="auto"/>
      </w:divBdr>
      <w:divsChild>
        <w:div w:id="233860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277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87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87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9532392">
      <w:bodyDiv w:val="1"/>
      <w:marLeft w:val="0"/>
      <w:marRight w:val="0"/>
      <w:marTop w:val="0"/>
      <w:marBottom w:val="0"/>
      <w:divBdr>
        <w:top w:val="none" w:sz="0" w:space="0" w:color="auto"/>
        <w:left w:val="none" w:sz="0" w:space="0" w:color="auto"/>
        <w:bottom w:val="none" w:sz="0" w:space="0" w:color="auto"/>
        <w:right w:val="none" w:sz="0" w:space="0" w:color="auto"/>
      </w:divBdr>
    </w:div>
    <w:div w:id="2007437660">
      <w:bodyDiv w:val="1"/>
      <w:marLeft w:val="0"/>
      <w:marRight w:val="0"/>
      <w:marTop w:val="0"/>
      <w:marBottom w:val="0"/>
      <w:divBdr>
        <w:top w:val="none" w:sz="0" w:space="0" w:color="auto"/>
        <w:left w:val="none" w:sz="0" w:space="0" w:color="auto"/>
        <w:bottom w:val="none" w:sz="0" w:space="0" w:color="auto"/>
        <w:right w:val="none" w:sz="0" w:space="0" w:color="auto"/>
      </w:divBdr>
    </w:div>
    <w:div w:id="2008239762">
      <w:bodyDiv w:val="1"/>
      <w:marLeft w:val="0"/>
      <w:marRight w:val="0"/>
      <w:marTop w:val="0"/>
      <w:marBottom w:val="0"/>
      <w:divBdr>
        <w:top w:val="none" w:sz="0" w:space="0" w:color="auto"/>
        <w:left w:val="none" w:sz="0" w:space="0" w:color="auto"/>
        <w:bottom w:val="none" w:sz="0" w:space="0" w:color="auto"/>
        <w:right w:val="none" w:sz="0" w:space="0" w:color="auto"/>
      </w:divBdr>
    </w:div>
    <w:div w:id="2029675745">
      <w:bodyDiv w:val="1"/>
      <w:marLeft w:val="0"/>
      <w:marRight w:val="0"/>
      <w:marTop w:val="0"/>
      <w:marBottom w:val="0"/>
      <w:divBdr>
        <w:top w:val="none" w:sz="0" w:space="0" w:color="auto"/>
        <w:left w:val="none" w:sz="0" w:space="0" w:color="auto"/>
        <w:bottom w:val="none" w:sz="0" w:space="0" w:color="auto"/>
        <w:right w:val="none" w:sz="0" w:space="0" w:color="auto"/>
      </w:divBdr>
    </w:div>
    <w:div w:id="2035182789">
      <w:bodyDiv w:val="1"/>
      <w:marLeft w:val="0"/>
      <w:marRight w:val="0"/>
      <w:marTop w:val="0"/>
      <w:marBottom w:val="0"/>
      <w:divBdr>
        <w:top w:val="none" w:sz="0" w:space="0" w:color="auto"/>
        <w:left w:val="none" w:sz="0" w:space="0" w:color="auto"/>
        <w:bottom w:val="none" w:sz="0" w:space="0" w:color="auto"/>
        <w:right w:val="none" w:sz="0" w:space="0" w:color="auto"/>
      </w:divBdr>
    </w:div>
    <w:div w:id="2049134727">
      <w:bodyDiv w:val="1"/>
      <w:marLeft w:val="0"/>
      <w:marRight w:val="0"/>
      <w:marTop w:val="0"/>
      <w:marBottom w:val="0"/>
      <w:divBdr>
        <w:top w:val="none" w:sz="0" w:space="0" w:color="auto"/>
        <w:left w:val="none" w:sz="0" w:space="0" w:color="auto"/>
        <w:bottom w:val="none" w:sz="0" w:space="0" w:color="auto"/>
        <w:right w:val="none" w:sz="0" w:space="0" w:color="auto"/>
      </w:divBdr>
    </w:div>
    <w:div w:id="2101368918">
      <w:bodyDiv w:val="1"/>
      <w:marLeft w:val="0"/>
      <w:marRight w:val="0"/>
      <w:marTop w:val="0"/>
      <w:marBottom w:val="0"/>
      <w:divBdr>
        <w:top w:val="none" w:sz="0" w:space="0" w:color="auto"/>
        <w:left w:val="none" w:sz="0" w:space="0" w:color="auto"/>
        <w:bottom w:val="none" w:sz="0" w:space="0" w:color="auto"/>
        <w:right w:val="none" w:sz="0" w:space="0" w:color="auto"/>
      </w:divBdr>
      <w:divsChild>
        <w:div w:id="1346859676">
          <w:marLeft w:val="0"/>
          <w:marRight w:val="0"/>
          <w:marTop w:val="0"/>
          <w:marBottom w:val="0"/>
          <w:divBdr>
            <w:top w:val="none" w:sz="0" w:space="0" w:color="auto"/>
            <w:left w:val="none" w:sz="0" w:space="0" w:color="auto"/>
            <w:bottom w:val="none" w:sz="0" w:space="0" w:color="auto"/>
            <w:right w:val="none" w:sz="0" w:space="0" w:color="auto"/>
          </w:divBdr>
          <w:divsChild>
            <w:div w:id="1357005354">
              <w:marLeft w:val="0"/>
              <w:marRight w:val="0"/>
              <w:marTop w:val="0"/>
              <w:marBottom w:val="0"/>
              <w:divBdr>
                <w:top w:val="none" w:sz="0" w:space="0" w:color="auto"/>
                <w:left w:val="none" w:sz="0" w:space="0" w:color="auto"/>
                <w:bottom w:val="none" w:sz="0" w:space="0" w:color="auto"/>
                <w:right w:val="none" w:sz="0" w:space="0" w:color="auto"/>
              </w:divBdr>
              <w:divsChild>
                <w:div w:id="2066904638">
                  <w:marLeft w:val="0"/>
                  <w:marRight w:val="0"/>
                  <w:marTop w:val="0"/>
                  <w:marBottom w:val="0"/>
                  <w:divBdr>
                    <w:top w:val="none" w:sz="0" w:space="0" w:color="auto"/>
                    <w:left w:val="none" w:sz="0" w:space="0" w:color="auto"/>
                    <w:bottom w:val="none" w:sz="0" w:space="0" w:color="auto"/>
                    <w:right w:val="none" w:sz="0" w:space="0" w:color="auto"/>
                  </w:divBdr>
                  <w:divsChild>
                    <w:div w:id="10868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01302">
      <w:bodyDiv w:val="1"/>
      <w:marLeft w:val="0"/>
      <w:marRight w:val="0"/>
      <w:marTop w:val="0"/>
      <w:marBottom w:val="0"/>
      <w:divBdr>
        <w:top w:val="none" w:sz="0" w:space="0" w:color="auto"/>
        <w:left w:val="none" w:sz="0" w:space="0" w:color="auto"/>
        <w:bottom w:val="none" w:sz="0" w:space="0" w:color="auto"/>
        <w:right w:val="none" w:sz="0" w:space="0" w:color="auto"/>
      </w:divBdr>
    </w:div>
    <w:div w:id="2129808354">
      <w:bodyDiv w:val="1"/>
      <w:marLeft w:val="0"/>
      <w:marRight w:val="0"/>
      <w:marTop w:val="0"/>
      <w:marBottom w:val="0"/>
      <w:divBdr>
        <w:top w:val="none" w:sz="0" w:space="0" w:color="auto"/>
        <w:left w:val="none" w:sz="0" w:space="0" w:color="auto"/>
        <w:bottom w:val="none" w:sz="0" w:space="0" w:color="auto"/>
        <w:right w:val="none" w:sz="0" w:space="0" w:color="auto"/>
      </w:divBdr>
      <w:divsChild>
        <w:div w:id="1327778941">
          <w:marLeft w:val="0"/>
          <w:marRight w:val="0"/>
          <w:marTop w:val="0"/>
          <w:marBottom w:val="0"/>
          <w:divBdr>
            <w:top w:val="none" w:sz="0" w:space="0" w:color="auto"/>
            <w:left w:val="none" w:sz="0" w:space="0" w:color="auto"/>
            <w:bottom w:val="none" w:sz="0" w:space="0" w:color="auto"/>
            <w:right w:val="none" w:sz="0" w:space="0" w:color="auto"/>
          </w:divBdr>
          <w:divsChild>
            <w:div w:id="1914701593">
              <w:marLeft w:val="0"/>
              <w:marRight w:val="0"/>
              <w:marTop w:val="0"/>
              <w:marBottom w:val="0"/>
              <w:divBdr>
                <w:top w:val="none" w:sz="0" w:space="0" w:color="auto"/>
                <w:left w:val="none" w:sz="0" w:space="0" w:color="auto"/>
                <w:bottom w:val="none" w:sz="0" w:space="0" w:color="auto"/>
                <w:right w:val="none" w:sz="0" w:space="0" w:color="auto"/>
              </w:divBdr>
              <w:divsChild>
                <w:div w:id="1413165863">
                  <w:marLeft w:val="0"/>
                  <w:marRight w:val="0"/>
                  <w:marTop w:val="0"/>
                  <w:marBottom w:val="0"/>
                  <w:divBdr>
                    <w:top w:val="none" w:sz="0" w:space="0" w:color="auto"/>
                    <w:left w:val="none" w:sz="0" w:space="0" w:color="auto"/>
                    <w:bottom w:val="none" w:sz="0" w:space="0" w:color="auto"/>
                    <w:right w:val="none" w:sz="0" w:space="0" w:color="auto"/>
                  </w:divBdr>
                  <w:divsChild>
                    <w:div w:id="259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ef.te.gob.mx/iuse/tesisjur.aspx?idtesis=6/2017&amp;tpoBusqueda=S&amp;sWord=6/2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B920-47FC-4040-8F27-B3B834BA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11153</Words>
  <Characters>61342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TEPJF</dc:creator>
  <cp:keywords/>
  <dc:description/>
  <cp:lastModifiedBy>Jesús René Quiñones Ceballos</cp:lastModifiedBy>
  <cp:revision>2</cp:revision>
  <cp:lastPrinted>2018-04-25T22:09:00Z</cp:lastPrinted>
  <dcterms:created xsi:type="dcterms:W3CDTF">2018-04-25T22:23:00Z</dcterms:created>
  <dcterms:modified xsi:type="dcterms:W3CDTF">2018-04-25T22:23:00Z</dcterms:modified>
</cp:coreProperties>
</file>