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26D" w:rsidRPr="00343FBE" w:rsidRDefault="000C526D" w:rsidP="00C346A9">
      <w:pPr>
        <w:widowControl w:val="0"/>
        <w:shd w:val="clear" w:color="auto" w:fill="FFFFFF" w:themeFill="background1"/>
        <w:spacing w:before="100" w:beforeAutospacing="1" w:after="100" w:afterAutospacing="1"/>
        <w:ind w:left="3119"/>
        <w:jc w:val="both"/>
        <w:rPr>
          <w:rFonts w:ascii="Century Gothic" w:hAnsi="Century Gothic" w:cs="Arial"/>
          <w:b/>
          <w:bCs/>
          <w:sz w:val="28"/>
          <w:szCs w:val="28"/>
        </w:rPr>
      </w:pPr>
      <w:r w:rsidRPr="00343FBE">
        <w:rPr>
          <w:rFonts w:ascii="Century Gothic" w:hAnsi="Century Gothic" w:cs="Arial"/>
          <w:b/>
          <w:bCs/>
          <w:sz w:val="28"/>
          <w:szCs w:val="28"/>
        </w:rPr>
        <w:t>JUICIO</w:t>
      </w:r>
      <w:r w:rsidR="008956BC" w:rsidRPr="00343FBE">
        <w:rPr>
          <w:rFonts w:ascii="Century Gothic" w:hAnsi="Century Gothic" w:cs="Arial"/>
          <w:b/>
          <w:bCs/>
          <w:sz w:val="28"/>
          <w:szCs w:val="28"/>
        </w:rPr>
        <w:t>S</w:t>
      </w:r>
      <w:r w:rsidRPr="00343FBE">
        <w:rPr>
          <w:rFonts w:ascii="Century Gothic" w:hAnsi="Century Gothic" w:cs="Arial"/>
          <w:b/>
          <w:bCs/>
          <w:sz w:val="28"/>
          <w:szCs w:val="28"/>
        </w:rPr>
        <w:t xml:space="preserve"> PARA LA PROTECCIÓN DE LOS DERECHOS POLÍTICO-ELECTORALES DEL CIUDADANO</w:t>
      </w:r>
    </w:p>
    <w:p w:rsidR="000C526D" w:rsidRPr="00343FBE" w:rsidRDefault="000C526D" w:rsidP="00C346A9">
      <w:pPr>
        <w:widowControl w:val="0"/>
        <w:shd w:val="clear" w:color="auto" w:fill="FFFFFF" w:themeFill="background1"/>
        <w:spacing w:before="100" w:beforeAutospacing="1" w:after="100" w:afterAutospacing="1"/>
        <w:ind w:left="3119"/>
        <w:jc w:val="both"/>
        <w:rPr>
          <w:rFonts w:ascii="Century Gothic" w:hAnsi="Century Gothic" w:cs="Arial"/>
          <w:bCs/>
          <w:sz w:val="28"/>
          <w:szCs w:val="28"/>
        </w:rPr>
      </w:pPr>
      <w:r w:rsidRPr="00343FBE">
        <w:rPr>
          <w:rFonts w:ascii="Century Gothic" w:hAnsi="Century Gothic" w:cs="Arial"/>
          <w:b/>
          <w:bCs/>
          <w:sz w:val="28"/>
          <w:szCs w:val="28"/>
        </w:rPr>
        <w:t>EXPEDIENTE</w:t>
      </w:r>
      <w:r w:rsidR="008956BC" w:rsidRPr="00343FBE">
        <w:rPr>
          <w:rFonts w:ascii="Century Gothic" w:hAnsi="Century Gothic" w:cs="Arial"/>
          <w:b/>
          <w:bCs/>
          <w:sz w:val="28"/>
          <w:szCs w:val="28"/>
        </w:rPr>
        <w:t>S</w:t>
      </w:r>
      <w:r w:rsidR="00094A1D" w:rsidRPr="00343FBE">
        <w:rPr>
          <w:rFonts w:ascii="Century Gothic" w:hAnsi="Century Gothic" w:cs="Arial"/>
          <w:bCs/>
          <w:sz w:val="28"/>
          <w:szCs w:val="28"/>
        </w:rPr>
        <w:t>: SUP-JDC-</w:t>
      </w:r>
      <w:r w:rsidR="00EF5F4E" w:rsidRPr="00343FBE">
        <w:rPr>
          <w:rFonts w:ascii="Century Gothic" w:hAnsi="Century Gothic" w:cs="Arial"/>
          <w:bCs/>
          <w:sz w:val="28"/>
          <w:szCs w:val="28"/>
        </w:rPr>
        <w:t>369</w:t>
      </w:r>
      <w:r w:rsidRPr="00343FBE">
        <w:rPr>
          <w:rFonts w:ascii="Century Gothic" w:hAnsi="Century Gothic" w:cs="Arial"/>
          <w:bCs/>
          <w:sz w:val="28"/>
          <w:szCs w:val="28"/>
        </w:rPr>
        <w:t>/2017</w:t>
      </w:r>
      <w:r w:rsidR="008956BC" w:rsidRPr="00343FBE">
        <w:rPr>
          <w:rFonts w:ascii="Century Gothic" w:hAnsi="Century Gothic" w:cs="Arial"/>
          <w:bCs/>
          <w:sz w:val="28"/>
          <w:szCs w:val="28"/>
        </w:rPr>
        <w:t>,</w:t>
      </w:r>
      <w:r w:rsidR="002C74A5" w:rsidRPr="00343FBE">
        <w:rPr>
          <w:rFonts w:ascii="Century Gothic" w:hAnsi="Century Gothic" w:cs="Arial"/>
          <w:bCs/>
          <w:sz w:val="28"/>
          <w:szCs w:val="28"/>
        </w:rPr>
        <w:t xml:space="preserve"> SUP-JDC-399/2017</w:t>
      </w:r>
      <w:r w:rsidR="005B61B1" w:rsidRPr="00343FBE">
        <w:rPr>
          <w:rFonts w:ascii="Century Gothic" w:hAnsi="Century Gothic" w:cs="Arial"/>
          <w:bCs/>
          <w:sz w:val="28"/>
          <w:szCs w:val="28"/>
        </w:rPr>
        <w:t>,</w:t>
      </w:r>
      <w:r w:rsidR="002C74A5" w:rsidRPr="00343FBE">
        <w:rPr>
          <w:rFonts w:ascii="Century Gothic" w:hAnsi="Century Gothic" w:cs="Arial"/>
          <w:bCs/>
          <w:sz w:val="28"/>
          <w:szCs w:val="28"/>
        </w:rPr>
        <w:t xml:space="preserve"> </w:t>
      </w:r>
      <w:r w:rsidR="008956BC" w:rsidRPr="00343FBE">
        <w:rPr>
          <w:rFonts w:ascii="Century Gothic" w:hAnsi="Century Gothic" w:cs="Arial"/>
          <w:bCs/>
          <w:sz w:val="28"/>
          <w:szCs w:val="28"/>
        </w:rPr>
        <w:t>SUP-JDC-445/2017</w:t>
      </w:r>
      <w:r w:rsidR="005B61B1" w:rsidRPr="00343FBE">
        <w:rPr>
          <w:rFonts w:ascii="Century Gothic" w:hAnsi="Century Gothic" w:cs="Arial"/>
          <w:bCs/>
          <w:sz w:val="28"/>
          <w:szCs w:val="28"/>
        </w:rPr>
        <w:t xml:space="preserve"> Y</w:t>
      </w:r>
      <w:r w:rsidR="007F49C3" w:rsidRPr="00343FBE">
        <w:rPr>
          <w:rFonts w:ascii="Century Gothic" w:hAnsi="Century Gothic" w:cs="Arial"/>
          <w:bCs/>
          <w:sz w:val="28"/>
          <w:szCs w:val="28"/>
        </w:rPr>
        <w:t xml:space="preserve">, </w:t>
      </w:r>
      <w:r w:rsidR="005B61B1" w:rsidRPr="00343FBE">
        <w:rPr>
          <w:rFonts w:ascii="Century Gothic" w:hAnsi="Century Gothic" w:cs="Arial"/>
          <w:bCs/>
          <w:sz w:val="28"/>
          <w:szCs w:val="28"/>
        </w:rPr>
        <w:t>SUP-JDC-</w:t>
      </w:r>
      <w:r w:rsidR="007F49C3" w:rsidRPr="00343FBE">
        <w:rPr>
          <w:rFonts w:ascii="Century Gothic" w:hAnsi="Century Gothic" w:cs="Arial"/>
          <w:bCs/>
          <w:sz w:val="28"/>
          <w:szCs w:val="28"/>
        </w:rPr>
        <w:t>468</w:t>
      </w:r>
      <w:r w:rsidR="005B61B1" w:rsidRPr="00343FBE">
        <w:rPr>
          <w:rFonts w:ascii="Century Gothic" w:hAnsi="Century Gothic" w:cs="Arial"/>
          <w:bCs/>
          <w:sz w:val="28"/>
          <w:szCs w:val="28"/>
        </w:rPr>
        <w:t>/2017</w:t>
      </w:r>
      <w:r w:rsidR="008956BC" w:rsidRPr="00343FBE">
        <w:rPr>
          <w:rFonts w:ascii="Century Gothic" w:hAnsi="Century Gothic" w:cs="Arial"/>
          <w:bCs/>
          <w:sz w:val="28"/>
          <w:szCs w:val="28"/>
        </w:rPr>
        <w:t xml:space="preserve">, </w:t>
      </w:r>
      <w:r w:rsidR="002C74A5" w:rsidRPr="00343FBE">
        <w:rPr>
          <w:rFonts w:ascii="Century Gothic" w:hAnsi="Century Gothic" w:cs="Arial"/>
          <w:bCs/>
          <w:sz w:val="28"/>
          <w:szCs w:val="28"/>
        </w:rPr>
        <w:t>ACUMULADOS.</w:t>
      </w:r>
    </w:p>
    <w:p w:rsidR="000C526D" w:rsidRPr="00343FBE" w:rsidRDefault="000C526D" w:rsidP="00C346A9">
      <w:pPr>
        <w:widowControl w:val="0"/>
        <w:shd w:val="clear" w:color="auto" w:fill="FFFFFF" w:themeFill="background1"/>
        <w:spacing w:before="100" w:beforeAutospacing="1" w:after="100" w:afterAutospacing="1"/>
        <w:ind w:left="3119"/>
        <w:jc w:val="both"/>
        <w:rPr>
          <w:rFonts w:ascii="Century Gothic" w:hAnsi="Century Gothic" w:cs="Arial"/>
          <w:bCs/>
          <w:sz w:val="28"/>
          <w:szCs w:val="28"/>
        </w:rPr>
      </w:pPr>
      <w:r w:rsidRPr="00343FBE">
        <w:rPr>
          <w:rFonts w:ascii="Century Gothic" w:hAnsi="Century Gothic" w:cs="Arial"/>
          <w:b/>
          <w:bCs/>
          <w:sz w:val="28"/>
          <w:szCs w:val="28"/>
        </w:rPr>
        <w:t>ACTOR</w:t>
      </w:r>
      <w:r w:rsidR="007A3172" w:rsidRPr="00343FBE">
        <w:rPr>
          <w:rFonts w:ascii="Century Gothic" w:hAnsi="Century Gothic" w:cs="Arial"/>
          <w:b/>
          <w:bCs/>
          <w:sz w:val="28"/>
          <w:szCs w:val="28"/>
        </w:rPr>
        <w:t>ES</w:t>
      </w:r>
      <w:r w:rsidRPr="00343FBE">
        <w:rPr>
          <w:rFonts w:ascii="Century Gothic" w:hAnsi="Century Gothic" w:cs="Arial"/>
          <w:bCs/>
          <w:sz w:val="28"/>
          <w:szCs w:val="28"/>
        </w:rPr>
        <w:t xml:space="preserve">: </w:t>
      </w:r>
      <w:r w:rsidR="00094A1D" w:rsidRPr="00343FBE">
        <w:rPr>
          <w:rFonts w:ascii="Century Gothic" w:hAnsi="Century Gothic" w:cs="Arial"/>
          <w:bCs/>
          <w:sz w:val="28"/>
          <w:szCs w:val="28"/>
        </w:rPr>
        <w:t>SANTIAGO VARGAS HERNÁNDEZ</w:t>
      </w:r>
      <w:r w:rsidR="007A3172" w:rsidRPr="00343FBE">
        <w:rPr>
          <w:rFonts w:ascii="Century Gothic" w:hAnsi="Century Gothic" w:cs="Arial"/>
          <w:bCs/>
          <w:sz w:val="28"/>
          <w:szCs w:val="28"/>
        </w:rPr>
        <w:t xml:space="preserve"> Y FLORENCIO TORRES ROMERO</w:t>
      </w:r>
    </w:p>
    <w:p w:rsidR="000C526D" w:rsidRPr="00343FBE" w:rsidRDefault="00094A1D" w:rsidP="00C346A9">
      <w:pPr>
        <w:widowControl w:val="0"/>
        <w:shd w:val="clear" w:color="auto" w:fill="FFFFFF" w:themeFill="background1"/>
        <w:spacing w:before="100" w:beforeAutospacing="1" w:after="100" w:afterAutospacing="1"/>
        <w:ind w:left="3119"/>
        <w:jc w:val="both"/>
        <w:rPr>
          <w:rFonts w:ascii="Century Gothic" w:hAnsi="Century Gothic" w:cs="Arial"/>
          <w:bCs/>
          <w:snapToGrid w:val="0"/>
          <w:sz w:val="28"/>
          <w:szCs w:val="28"/>
        </w:rPr>
      </w:pPr>
      <w:r w:rsidRPr="00343FBE">
        <w:rPr>
          <w:rFonts w:ascii="Century Gothic" w:hAnsi="Century Gothic" w:cs="Arial"/>
          <w:b/>
          <w:bCs/>
          <w:sz w:val="28"/>
          <w:szCs w:val="28"/>
        </w:rPr>
        <w:t>ÓRGANO</w:t>
      </w:r>
      <w:r w:rsidR="00566347" w:rsidRPr="00343FBE">
        <w:rPr>
          <w:rFonts w:ascii="Century Gothic" w:hAnsi="Century Gothic" w:cs="Arial"/>
          <w:b/>
          <w:bCs/>
          <w:sz w:val="28"/>
          <w:szCs w:val="28"/>
        </w:rPr>
        <w:t>S</w:t>
      </w:r>
      <w:r w:rsidR="000C526D" w:rsidRPr="00343FBE">
        <w:rPr>
          <w:rFonts w:ascii="Century Gothic" w:hAnsi="Century Gothic" w:cs="Arial"/>
          <w:b/>
          <w:bCs/>
          <w:sz w:val="28"/>
          <w:szCs w:val="28"/>
        </w:rPr>
        <w:t xml:space="preserve"> RESPONSABLE</w:t>
      </w:r>
      <w:r w:rsidR="00566347" w:rsidRPr="00343FBE">
        <w:rPr>
          <w:rFonts w:ascii="Century Gothic" w:hAnsi="Century Gothic" w:cs="Arial"/>
          <w:b/>
          <w:bCs/>
          <w:sz w:val="28"/>
          <w:szCs w:val="28"/>
        </w:rPr>
        <w:t>S</w:t>
      </w:r>
      <w:r w:rsidR="000C526D" w:rsidRPr="00343FBE">
        <w:rPr>
          <w:rFonts w:ascii="Century Gothic" w:hAnsi="Century Gothic" w:cs="Arial"/>
          <w:b/>
          <w:bCs/>
          <w:sz w:val="28"/>
          <w:szCs w:val="28"/>
        </w:rPr>
        <w:t xml:space="preserve">: </w:t>
      </w:r>
      <w:r w:rsidR="000C526D" w:rsidRPr="00343FBE">
        <w:rPr>
          <w:rFonts w:ascii="Century Gothic" w:hAnsi="Century Gothic" w:cs="Arial"/>
          <w:bCs/>
          <w:snapToGrid w:val="0"/>
          <w:sz w:val="28"/>
          <w:szCs w:val="28"/>
        </w:rPr>
        <w:t xml:space="preserve"> </w:t>
      </w:r>
      <w:r w:rsidRPr="00343FBE">
        <w:rPr>
          <w:rFonts w:ascii="Century Gothic" w:hAnsi="Century Gothic" w:cs="Arial"/>
          <w:bCs/>
          <w:snapToGrid w:val="0"/>
          <w:sz w:val="28"/>
          <w:szCs w:val="28"/>
        </w:rPr>
        <w:t>COMISIÓN NACIONAL</w:t>
      </w:r>
      <w:r w:rsidR="004F26D4" w:rsidRPr="00343FBE">
        <w:rPr>
          <w:rFonts w:ascii="Century Gothic" w:hAnsi="Century Gothic" w:cs="Arial"/>
          <w:bCs/>
          <w:snapToGrid w:val="0"/>
          <w:sz w:val="28"/>
          <w:szCs w:val="28"/>
        </w:rPr>
        <w:t xml:space="preserve"> DE CONCILIACIÓN, GARANTÍAS, JUSTICIA Y CONTROVERSIAS </w:t>
      </w:r>
      <w:r w:rsidRPr="00343FBE">
        <w:rPr>
          <w:rFonts w:ascii="Century Gothic" w:hAnsi="Century Gothic" w:cs="Arial"/>
          <w:bCs/>
          <w:snapToGrid w:val="0"/>
          <w:sz w:val="28"/>
          <w:szCs w:val="28"/>
        </w:rPr>
        <w:t xml:space="preserve">DEL </w:t>
      </w:r>
      <w:r w:rsidR="00A8764A" w:rsidRPr="00343FBE">
        <w:rPr>
          <w:rFonts w:ascii="Century Gothic" w:hAnsi="Century Gothic" w:cs="Arial"/>
          <w:bCs/>
          <w:snapToGrid w:val="0"/>
          <w:sz w:val="28"/>
          <w:szCs w:val="28"/>
        </w:rPr>
        <w:t>PT</w:t>
      </w:r>
      <w:r w:rsidRPr="00343FBE">
        <w:rPr>
          <w:rFonts w:ascii="Century Gothic" w:hAnsi="Century Gothic" w:cs="Arial"/>
          <w:bCs/>
          <w:snapToGrid w:val="0"/>
          <w:sz w:val="28"/>
          <w:szCs w:val="28"/>
        </w:rPr>
        <w:t xml:space="preserve"> Y OTROS</w:t>
      </w:r>
    </w:p>
    <w:p w:rsidR="00296A66" w:rsidRPr="00343FBE" w:rsidRDefault="00296A66" w:rsidP="00C346A9">
      <w:pPr>
        <w:widowControl w:val="0"/>
        <w:shd w:val="clear" w:color="auto" w:fill="FFFFFF" w:themeFill="background1"/>
        <w:spacing w:before="100" w:beforeAutospacing="1" w:after="100" w:afterAutospacing="1"/>
        <w:ind w:left="3119"/>
        <w:jc w:val="both"/>
        <w:rPr>
          <w:rFonts w:ascii="Century Gothic" w:hAnsi="Century Gothic" w:cs="Arial"/>
          <w:bCs/>
          <w:snapToGrid w:val="0"/>
          <w:sz w:val="28"/>
          <w:szCs w:val="28"/>
        </w:rPr>
      </w:pPr>
      <w:r w:rsidRPr="00343FBE">
        <w:rPr>
          <w:rFonts w:ascii="Century Gothic" w:hAnsi="Century Gothic" w:cs="Arial"/>
          <w:b/>
          <w:bCs/>
          <w:snapToGrid w:val="0"/>
          <w:sz w:val="28"/>
          <w:szCs w:val="28"/>
        </w:rPr>
        <w:t>TERCERO INTERESADO.</w:t>
      </w:r>
      <w:r w:rsidRPr="00343FBE">
        <w:rPr>
          <w:rFonts w:ascii="Century Gothic" w:hAnsi="Century Gothic" w:cs="Arial"/>
          <w:bCs/>
          <w:snapToGrid w:val="0"/>
          <w:sz w:val="28"/>
          <w:szCs w:val="28"/>
        </w:rPr>
        <w:t xml:space="preserve"> ADALID MARTÍNEZ GÓMEZ.</w:t>
      </w:r>
    </w:p>
    <w:p w:rsidR="000C526D" w:rsidRPr="00343FBE" w:rsidRDefault="00EF5F4E" w:rsidP="00C346A9">
      <w:pPr>
        <w:widowControl w:val="0"/>
        <w:shd w:val="clear" w:color="auto" w:fill="FFFFFF" w:themeFill="background1"/>
        <w:spacing w:before="100" w:beforeAutospacing="1" w:after="100" w:afterAutospacing="1"/>
        <w:ind w:left="3119"/>
        <w:jc w:val="both"/>
        <w:rPr>
          <w:rFonts w:ascii="Century Gothic" w:hAnsi="Century Gothic" w:cs="Arial"/>
          <w:bCs/>
          <w:sz w:val="28"/>
          <w:szCs w:val="28"/>
        </w:rPr>
      </w:pPr>
      <w:r w:rsidRPr="00343FBE">
        <w:rPr>
          <w:rFonts w:ascii="Century Gothic" w:hAnsi="Century Gothic" w:cs="Arial"/>
          <w:b/>
          <w:bCs/>
          <w:sz w:val="28"/>
          <w:szCs w:val="28"/>
        </w:rPr>
        <w:t>MAGISTRADA</w:t>
      </w:r>
      <w:r w:rsidR="000C526D" w:rsidRPr="00343FBE">
        <w:rPr>
          <w:rFonts w:ascii="Century Gothic" w:hAnsi="Century Gothic" w:cs="Arial"/>
          <w:b/>
          <w:bCs/>
          <w:sz w:val="28"/>
          <w:szCs w:val="28"/>
        </w:rPr>
        <w:t xml:space="preserve"> </w:t>
      </w:r>
      <w:r w:rsidR="0084204A" w:rsidRPr="00343FBE">
        <w:rPr>
          <w:rFonts w:ascii="Century Gothic" w:hAnsi="Century Gothic" w:cs="Arial"/>
          <w:b/>
          <w:bCs/>
          <w:sz w:val="28"/>
          <w:szCs w:val="28"/>
        </w:rPr>
        <w:t>PONENTE</w:t>
      </w:r>
      <w:r w:rsidR="0084204A" w:rsidRPr="00343FBE">
        <w:rPr>
          <w:rFonts w:ascii="Century Gothic" w:hAnsi="Century Gothic" w:cs="Arial"/>
          <w:bCs/>
          <w:sz w:val="28"/>
          <w:szCs w:val="28"/>
        </w:rPr>
        <w:t xml:space="preserve">: </w:t>
      </w:r>
      <w:r w:rsidRPr="00343FBE">
        <w:rPr>
          <w:rFonts w:ascii="Century Gothic" w:hAnsi="Century Gothic" w:cs="Arial"/>
          <w:bCs/>
          <w:sz w:val="28"/>
          <w:szCs w:val="28"/>
        </w:rPr>
        <w:t>MÓNICA ARAL</w:t>
      </w:r>
      <w:r w:rsidR="00BF4A8C" w:rsidRPr="00343FBE">
        <w:rPr>
          <w:rFonts w:ascii="Century Gothic" w:hAnsi="Century Gothic" w:cs="Arial"/>
          <w:bCs/>
          <w:sz w:val="28"/>
          <w:szCs w:val="28"/>
        </w:rPr>
        <w:t xml:space="preserve">Í SOTO FREGOSO </w:t>
      </w:r>
      <w:r w:rsidR="000C526D" w:rsidRPr="00343FBE">
        <w:rPr>
          <w:rFonts w:ascii="Century Gothic" w:hAnsi="Century Gothic" w:cs="Arial"/>
          <w:bCs/>
          <w:sz w:val="28"/>
          <w:szCs w:val="28"/>
        </w:rPr>
        <w:t xml:space="preserve"> </w:t>
      </w:r>
    </w:p>
    <w:p w:rsidR="000C526D" w:rsidRPr="00343FBE" w:rsidRDefault="000C526D" w:rsidP="00C346A9">
      <w:pPr>
        <w:widowControl w:val="0"/>
        <w:shd w:val="clear" w:color="auto" w:fill="FFFFFF" w:themeFill="background1"/>
        <w:spacing w:before="100" w:beforeAutospacing="1" w:after="100" w:afterAutospacing="1"/>
        <w:ind w:left="3119"/>
        <w:jc w:val="both"/>
        <w:rPr>
          <w:rFonts w:ascii="Century Gothic" w:hAnsi="Century Gothic" w:cs="Arial"/>
          <w:bCs/>
          <w:sz w:val="28"/>
          <w:szCs w:val="28"/>
        </w:rPr>
      </w:pPr>
      <w:r w:rsidRPr="00343FBE">
        <w:rPr>
          <w:rFonts w:ascii="Century Gothic" w:hAnsi="Century Gothic" w:cs="Arial"/>
          <w:b/>
          <w:bCs/>
          <w:sz w:val="28"/>
          <w:szCs w:val="28"/>
        </w:rPr>
        <w:t>SECRE</w:t>
      </w:r>
      <w:r w:rsidR="0084204A" w:rsidRPr="00343FBE">
        <w:rPr>
          <w:rFonts w:ascii="Century Gothic" w:hAnsi="Century Gothic" w:cs="Arial"/>
          <w:b/>
          <w:bCs/>
          <w:sz w:val="28"/>
          <w:szCs w:val="28"/>
        </w:rPr>
        <w:t>TARIO</w:t>
      </w:r>
      <w:r w:rsidR="000A149A" w:rsidRPr="00343FBE">
        <w:rPr>
          <w:rFonts w:ascii="Century Gothic" w:hAnsi="Century Gothic" w:cs="Arial"/>
          <w:b/>
          <w:bCs/>
          <w:sz w:val="28"/>
          <w:szCs w:val="28"/>
        </w:rPr>
        <w:t>S</w:t>
      </w:r>
      <w:r w:rsidR="0084204A" w:rsidRPr="00343FBE">
        <w:rPr>
          <w:rFonts w:ascii="Century Gothic" w:hAnsi="Century Gothic" w:cs="Arial"/>
          <w:bCs/>
          <w:sz w:val="28"/>
          <w:szCs w:val="28"/>
        </w:rPr>
        <w:t xml:space="preserve">: </w:t>
      </w:r>
      <w:r w:rsidR="000A149A" w:rsidRPr="00343FBE">
        <w:rPr>
          <w:rFonts w:ascii="Century Gothic" w:hAnsi="Century Gothic" w:cs="Arial"/>
          <w:bCs/>
          <w:sz w:val="28"/>
          <w:szCs w:val="28"/>
        </w:rPr>
        <w:t xml:space="preserve">JUAN MANUEL ARREOLA ZAVALA, </w:t>
      </w:r>
      <w:r w:rsidR="00EF5F4E" w:rsidRPr="00343FBE">
        <w:rPr>
          <w:rFonts w:ascii="Century Gothic" w:hAnsi="Century Gothic" w:cs="Arial"/>
          <w:bCs/>
          <w:sz w:val="28"/>
          <w:szCs w:val="28"/>
        </w:rPr>
        <w:t>OMAR ESPINOZA HOYO</w:t>
      </w:r>
      <w:r w:rsidR="00166F2C" w:rsidRPr="00343FBE">
        <w:rPr>
          <w:rFonts w:ascii="Century Gothic" w:hAnsi="Century Gothic" w:cs="Arial"/>
          <w:bCs/>
          <w:sz w:val="28"/>
          <w:szCs w:val="28"/>
        </w:rPr>
        <w:t xml:space="preserve">, </w:t>
      </w:r>
      <w:r w:rsidR="000A149A" w:rsidRPr="00343FBE">
        <w:rPr>
          <w:rFonts w:ascii="Century Gothic" w:hAnsi="Century Gothic" w:cs="Arial"/>
          <w:bCs/>
          <w:sz w:val="28"/>
          <w:szCs w:val="28"/>
        </w:rPr>
        <w:t>JESÚS GONZÁLEZ PERALEZ</w:t>
      </w:r>
      <w:r w:rsidR="002C74A5" w:rsidRPr="00343FBE">
        <w:rPr>
          <w:rFonts w:ascii="Century Gothic" w:hAnsi="Century Gothic" w:cs="Arial"/>
          <w:bCs/>
          <w:sz w:val="28"/>
          <w:szCs w:val="28"/>
        </w:rPr>
        <w:t xml:space="preserve"> Y CARMELO MALDONADO HERNÁNDEZ</w:t>
      </w:r>
    </w:p>
    <w:p w:rsidR="007D1EEB" w:rsidRPr="00343FBE" w:rsidRDefault="007D1EEB" w:rsidP="00091FCE">
      <w:pPr>
        <w:widowControl w:val="0"/>
        <w:shd w:val="clear" w:color="auto" w:fill="FFFFFF" w:themeFill="background1"/>
        <w:spacing w:line="360" w:lineRule="auto"/>
        <w:ind w:firstLine="709"/>
        <w:jc w:val="both"/>
        <w:rPr>
          <w:rFonts w:ascii="Century Gothic" w:hAnsi="Century Gothic" w:cs="Arial"/>
          <w:sz w:val="28"/>
          <w:szCs w:val="28"/>
        </w:rPr>
      </w:pPr>
    </w:p>
    <w:p w:rsidR="000C526D" w:rsidRPr="00343FBE" w:rsidRDefault="000C526D" w:rsidP="00C426AA">
      <w:pPr>
        <w:widowControl w:val="0"/>
        <w:shd w:val="clear" w:color="auto" w:fill="FFFFFF" w:themeFill="background1"/>
        <w:spacing w:line="360" w:lineRule="auto"/>
        <w:jc w:val="both"/>
        <w:rPr>
          <w:rFonts w:ascii="Century Gothic" w:hAnsi="Century Gothic" w:cs="Arial"/>
          <w:sz w:val="28"/>
          <w:szCs w:val="28"/>
        </w:rPr>
      </w:pPr>
      <w:r w:rsidRPr="00343FBE">
        <w:rPr>
          <w:rFonts w:ascii="Century Gothic" w:hAnsi="Century Gothic" w:cs="Arial"/>
          <w:sz w:val="28"/>
          <w:szCs w:val="28"/>
        </w:rPr>
        <w:t xml:space="preserve">Ciudad de México, </w:t>
      </w:r>
      <w:r w:rsidR="00EF0B81" w:rsidRPr="00343FBE">
        <w:rPr>
          <w:rFonts w:ascii="Century Gothic" w:hAnsi="Century Gothic" w:cs="Arial"/>
          <w:sz w:val="28"/>
          <w:szCs w:val="28"/>
        </w:rPr>
        <w:t xml:space="preserve">a </w:t>
      </w:r>
      <w:r w:rsidR="00BA22C5" w:rsidRPr="00343FBE">
        <w:rPr>
          <w:rFonts w:ascii="Century Gothic" w:hAnsi="Century Gothic" w:cs="Arial"/>
          <w:sz w:val="28"/>
          <w:szCs w:val="28"/>
        </w:rPr>
        <w:t>veintidós</w:t>
      </w:r>
      <w:r w:rsidR="006B6A46" w:rsidRPr="00343FBE">
        <w:rPr>
          <w:rFonts w:ascii="Century Gothic" w:hAnsi="Century Gothic" w:cs="Arial"/>
          <w:sz w:val="28"/>
          <w:szCs w:val="28"/>
        </w:rPr>
        <w:t xml:space="preserve"> </w:t>
      </w:r>
      <w:r w:rsidRPr="00343FBE">
        <w:rPr>
          <w:rFonts w:ascii="Century Gothic" w:hAnsi="Century Gothic" w:cs="Arial"/>
          <w:sz w:val="28"/>
          <w:szCs w:val="28"/>
        </w:rPr>
        <w:t xml:space="preserve">de </w:t>
      </w:r>
      <w:r w:rsidR="00992E86" w:rsidRPr="00343FBE">
        <w:rPr>
          <w:rFonts w:ascii="Century Gothic" w:hAnsi="Century Gothic" w:cs="Arial"/>
          <w:sz w:val="28"/>
          <w:szCs w:val="28"/>
        </w:rPr>
        <w:t>junio</w:t>
      </w:r>
      <w:r w:rsidRPr="00343FBE">
        <w:rPr>
          <w:rFonts w:ascii="Century Gothic" w:hAnsi="Century Gothic" w:cs="Arial"/>
          <w:sz w:val="28"/>
          <w:szCs w:val="28"/>
        </w:rPr>
        <w:t xml:space="preserve"> de dos mil diecisiete.</w:t>
      </w:r>
    </w:p>
    <w:p w:rsidR="000C526D" w:rsidRPr="00343FBE" w:rsidRDefault="000C526D" w:rsidP="00091FCE">
      <w:pPr>
        <w:widowControl w:val="0"/>
        <w:shd w:val="clear" w:color="auto" w:fill="FFFFFF" w:themeFill="background1"/>
        <w:spacing w:line="360" w:lineRule="auto"/>
        <w:ind w:firstLine="709"/>
        <w:jc w:val="both"/>
        <w:rPr>
          <w:rFonts w:ascii="Century Gothic" w:hAnsi="Century Gothic" w:cs="Arial"/>
          <w:sz w:val="28"/>
          <w:szCs w:val="28"/>
        </w:rPr>
      </w:pPr>
    </w:p>
    <w:p w:rsidR="0019113D" w:rsidRPr="00343FBE" w:rsidRDefault="00DF799E" w:rsidP="00C426AA">
      <w:pPr>
        <w:widowControl w:val="0"/>
        <w:shd w:val="clear" w:color="auto" w:fill="FFFFFF" w:themeFill="background1"/>
        <w:spacing w:line="360" w:lineRule="auto"/>
        <w:jc w:val="both"/>
        <w:rPr>
          <w:rFonts w:ascii="Century Gothic" w:hAnsi="Century Gothic" w:cs="Arial"/>
          <w:sz w:val="28"/>
          <w:szCs w:val="28"/>
        </w:rPr>
      </w:pPr>
      <w:r w:rsidRPr="00343FBE">
        <w:rPr>
          <w:rFonts w:ascii="Century Gothic" w:hAnsi="Century Gothic" w:cs="Arial"/>
          <w:b/>
          <w:sz w:val="28"/>
          <w:szCs w:val="28"/>
        </w:rPr>
        <w:t>VISTOS</w:t>
      </w:r>
      <w:r w:rsidR="00402582" w:rsidRPr="00343FBE">
        <w:rPr>
          <w:rFonts w:ascii="Century Gothic" w:hAnsi="Century Gothic" w:cs="Arial"/>
          <w:b/>
          <w:sz w:val="28"/>
          <w:szCs w:val="28"/>
        </w:rPr>
        <w:t>,</w:t>
      </w:r>
      <w:r w:rsidRPr="00343FBE">
        <w:rPr>
          <w:rFonts w:ascii="Century Gothic" w:hAnsi="Century Gothic" w:cs="Arial"/>
          <w:sz w:val="28"/>
          <w:szCs w:val="28"/>
        </w:rPr>
        <w:t xml:space="preserve"> para resolver</w:t>
      </w:r>
      <w:r w:rsidR="00402582" w:rsidRPr="00343FBE">
        <w:rPr>
          <w:rFonts w:ascii="Century Gothic" w:hAnsi="Century Gothic" w:cs="Arial"/>
          <w:sz w:val="28"/>
          <w:szCs w:val="28"/>
        </w:rPr>
        <w:t>,</w:t>
      </w:r>
      <w:r w:rsidRPr="00343FBE">
        <w:rPr>
          <w:rFonts w:ascii="Century Gothic" w:hAnsi="Century Gothic" w:cs="Arial"/>
          <w:sz w:val="28"/>
          <w:szCs w:val="28"/>
        </w:rPr>
        <w:t xml:space="preserve"> los autos de</w:t>
      </w:r>
      <w:r w:rsidR="007A3172" w:rsidRPr="00343FBE">
        <w:rPr>
          <w:rFonts w:ascii="Century Gothic" w:hAnsi="Century Gothic" w:cs="Arial"/>
          <w:sz w:val="28"/>
          <w:szCs w:val="28"/>
        </w:rPr>
        <w:t xml:space="preserve"> </w:t>
      </w:r>
      <w:r w:rsidRPr="00343FBE">
        <w:rPr>
          <w:rFonts w:ascii="Century Gothic" w:hAnsi="Century Gothic" w:cs="Arial"/>
          <w:sz w:val="28"/>
          <w:szCs w:val="28"/>
        </w:rPr>
        <w:t>l</w:t>
      </w:r>
      <w:r w:rsidR="007A3172" w:rsidRPr="00343FBE">
        <w:rPr>
          <w:rFonts w:ascii="Century Gothic" w:hAnsi="Century Gothic" w:cs="Arial"/>
          <w:sz w:val="28"/>
          <w:szCs w:val="28"/>
        </w:rPr>
        <w:t>os</w:t>
      </w:r>
      <w:r w:rsidRPr="00343FBE">
        <w:rPr>
          <w:rFonts w:ascii="Century Gothic" w:hAnsi="Century Gothic" w:cs="Arial"/>
          <w:sz w:val="28"/>
          <w:szCs w:val="28"/>
        </w:rPr>
        <w:t xml:space="preserve"> juicio</w:t>
      </w:r>
      <w:r w:rsidR="007A3172" w:rsidRPr="00343FBE">
        <w:rPr>
          <w:rFonts w:ascii="Century Gothic" w:hAnsi="Century Gothic" w:cs="Arial"/>
          <w:sz w:val="28"/>
          <w:szCs w:val="28"/>
        </w:rPr>
        <w:t>s</w:t>
      </w:r>
      <w:r w:rsidRPr="00343FBE">
        <w:rPr>
          <w:rFonts w:ascii="Century Gothic" w:hAnsi="Century Gothic" w:cs="Arial"/>
          <w:sz w:val="28"/>
          <w:szCs w:val="28"/>
        </w:rPr>
        <w:t xml:space="preserve"> para la protección de los derechos político-electorales del ciudadano indicado</w:t>
      </w:r>
      <w:r w:rsidR="002C74A5" w:rsidRPr="00343FBE">
        <w:rPr>
          <w:rFonts w:ascii="Century Gothic" w:hAnsi="Century Gothic" w:cs="Arial"/>
          <w:sz w:val="28"/>
          <w:szCs w:val="28"/>
        </w:rPr>
        <w:t>s</w:t>
      </w:r>
      <w:r w:rsidRPr="00343FBE">
        <w:rPr>
          <w:rFonts w:ascii="Century Gothic" w:hAnsi="Century Gothic" w:cs="Arial"/>
          <w:sz w:val="28"/>
          <w:szCs w:val="28"/>
        </w:rPr>
        <w:t xml:space="preserve"> al rubro, promovido</w:t>
      </w:r>
      <w:r w:rsidR="007A3172" w:rsidRPr="00343FBE">
        <w:rPr>
          <w:rFonts w:ascii="Century Gothic" w:hAnsi="Century Gothic" w:cs="Arial"/>
          <w:sz w:val="28"/>
          <w:szCs w:val="28"/>
        </w:rPr>
        <w:t>s</w:t>
      </w:r>
      <w:r w:rsidRPr="00343FBE">
        <w:rPr>
          <w:rFonts w:ascii="Century Gothic" w:hAnsi="Century Gothic" w:cs="Arial"/>
          <w:sz w:val="28"/>
          <w:szCs w:val="28"/>
        </w:rPr>
        <w:t xml:space="preserve"> por Santiago </w:t>
      </w:r>
      <w:r w:rsidRPr="00343FBE">
        <w:rPr>
          <w:rFonts w:ascii="Century Gothic" w:hAnsi="Century Gothic" w:cs="Arial"/>
          <w:sz w:val="28"/>
          <w:szCs w:val="28"/>
        </w:rPr>
        <w:lastRenderedPageBreak/>
        <w:t>Vargas Hernández</w:t>
      </w:r>
      <w:r w:rsidR="007A3172" w:rsidRPr="00343FBE">
        <w:rPr>
          <w:rFonts w:ascii="Century Gothic" w:hAnsi="Century Gothic" w:cs="Arial"/>
          <w:sz w:val="28"/>
          <w:szCs w:val="28"/>
        </w:rPr>
        <w:t xml:space="preserve"> y Florencio Torres Romero</w:t>
      </w:r>
      <w:r w:rsidRPr="00343FBE">
        <w:rPr>
          <w:rFonts w:ascii="Century Gothic" w:hAnsi="Century Gothic" w:cs="Arial"/>
          <w:sz w:val="28"/>
          <w:szCs w:val="28"/>
        </w:rPr>
        <w:t xml:space="preserve">, en su carácter de militante del </w:t>
      </w:r>
      <w:r w:rsidR="00A8764A" w:rsidRPr="00343FBE">
        <w:rPr>
          <w:rFonts w:ascii="Century Gothic" w:hAnsi="Century Gothic" w:cs="Arial"/>
          <w:sz w:val="28"/>
          <w:szCs w:val="28"/>
        </w:rPr>
        <w:t>PT</w:t>
      </w:r>
      <w:r w:rsidR="007F32AD" w:rsidRPr="00343FBE">
        <w:rPr>
          <w:rStyle w:val="Refdenotaalpie"/>
          <w:rFonts w:ascii="Century Gothic" w:hAnsi="Century Gothic" w:cs="Arial"/>
          <w:sz w:val="28"/>
          <w:szCs w:val="28"/>
        </w:rPr>
        <w:footnoteReference w:id="1"/>
      </w:r>
      <w:r w:rsidR="00476015" w:rsidRPr="00343FBE">
        <w:rPr>
          <w:rFonts w:ascii="Century Gothic" w:hAnsi="Century Gothic" w:cs="Arial"/>
          <w:sz w:val="28"/>
          <w:szCs w:val="28"/>
        </w:rPr>
        <w:t>,</w:t>
      </w:r>
      <w:r w:rsidR="007F32AD" w:rsidRPr="00343FBE">
        <w:rPr>
          <w:rFonts w:ascii="Century Gothic" w:hAnsi="Century Gothic" w:cs="Arial"/>
          <w:sz w:val="28"/>
          <w:szCs w:val="28"/>
        </w:rPr>
        <w:t xml:space="preserve"> </w:t>
      </w:r>
      <w:r w:rsidR="0019113D" w:rsidRPr="00343FBE">
        <w:rPr>
          <w:rFonts w:ascii="Century Gothic" w:hAnsi="Century Gothic" w:cs="Arial"/>
          <w:sz w:val="28"/>
          <w:szCs w:val="28"/>
        </w:rPr>
        <w:t xml:space="preserve">contra </w:t>
      </w:r>
      <w:r w:rsidR="007F32AD" w:rsidRPr="00343FBE">
        <w:rPr>
          <w:rFonts w:ascii="Century Gothic" w:hAnsi="Century Gothic" w:cs="Arial"/>
          <w:sz w:val="28"/>
          <w:szCs w:val="28"/>
        </w:rPr>
        <w:t xml:space="preserve">diversos actos y </w:t>
      </w:r>
      <w:r w:rsidR="0019113D" w:rsidRPr="00343FBE">
        <w:rPr>
          <w:rFonts w:ascii="Century Gothic" w:hAnsi="Century Gothic" w:cs="Arial"/>
          <w:sz w:val="28"/>
          <w:szCs w:val="28"/>
        </w:rPr>
        <w:t>omisiones atribuidas a diferentes órganos partidistas</w:t>
      </w:r>
      <w:r w:rsidR="007F32AD" w:rsidRPr="00343FBE">
        <w:rPr>
          <w:rFonts w:ascii="Century Gothic" w:hAnsi="Century Gothic" w:cs="Arial"/>
          <w:sz w:val="28"/>
          <w:szCs w:val="28"/>
        </w:rPr>
        <w:t xml:space="preserve">, </w:t>
      </w:r>
      <w:r w:rsidR="0019113D" w:rsidRPr="00343FBE">
        <w:rPr>
          <w:rFonts w:ascii="Century Gothic" w:hAnsi="Century Gothic" w:cs="Arial"/>
          <w:sz w:val="28"/>
          <w:szCs w:val="28"/>
        </w:rPr>
        <w:t>re</w:t>
      </w:r>
      <w:r w:rsidR="007F32AD" w:rsidRPr="00343FBE">
        <w:rPr>
          <w:rFonts w:ascii="Century Gothic" w:hAnsi="Century Gothic" w:cs="Arial"/>
          <w:sz w:val="28"/>
          <w:szCs w:val="28"/>
        </w:rPr>
        <w:t xml:space="preserve">lacionados con </w:t>
      </w:r>
      <w:r w:rsidR="0019113D" w:rsidRPr="00343FBE">
        <w:rPr>
          <w:rFonts w:ascii="Century Gothic" w:hAnsi="Century Gothic" w:cs="Arial"/>
          <w:sz w:val="28"/>
          <w:szCs w:val="28"/>
        </w:rPr>
        <w:t xml:space="preserve">la renovación de los </w:t>
      </w:r>
      <w:r w:rsidR="00C33DEE" w:rsidRPr="00343FBE">
        <w:rPr>
          <w:rFonts w:ascii="Century Gothic" w:hAnsi="Century Gothic" w:cs="Arial"/>
          <w:sz w:val="28"/>
          <w:szCs w:val="28"/>
        </w:rPr>
        <w:t>entes</w:t>
      </w:r>
      <w:r w:rsidR="0019113D" w:rsidRPr="00343FBE">
        <w:rPr>
          <w:rFonts w:ascii="Century Gothic" w:hAnsi="Century Gothic" w:cs="Arial"/>
          <w:sz w:val="28"/>
          <w:szCs w:val="28"/>
        </w:rPr>
        <w:t xml:space="preserve"> directivos nacionales.</w:t>
      </w:r>
    </w:p>
    <w:p w:rsidR="00F75CB6" w:rsidRPr="00343FBE" w:rsidRDefault="00F75CB6" w:rsidP="00091FCE">
      <w:pPr>
        <w:spacing w:line="360" w:lineRule="auto"/>
        <w:ind w:firstLine="709"/>
        <w:jc w:val="center"/>
        <w:rPr>
          <w:rFonts w:ascii="Century Gothic" w:hAnsi="Century Gothic" w:cs="Arial"/>
          <w:b/>
          <w:bCs/>
          <w:sz w:val="28"/>
          <w:szCs w:val="28"/>
        </w:rPr>
      </w:pPr>
    </w:p>
    <w:p w:rsidR="000C526D" w:rsidRPr="00343FBE" w:rsidRDefault="00B612B7" w:rsidP="00091FCE">
      <w:pPr>
        <w:spacing w:line="360" w:lineRule="auto"/>
        <w:ind w:firstLine="709"/>
        <w:jc w:val="center"/>
        <w:rPr>
          <w:rFonts w:ascii="Century Gothic" w:hAnsi="Century Gothic" w:cs="Arial"/>
          <w:b/>
          <w:bCs/>
          <w:snapToGrid w:val="0"/>
          <w:sz w:val="28"/>
          <w:szCs w:val="28"/>
        </w:rPr>
      </w:pPr>
      <w:r w:rsidRPr="00343FBE">
        <w:rPr>
          <w:rFonts w:ascii="Century Gothic" w:hAnsi="Century Gothic" w:cs="Arial"/>
          <w:b/>
          <w:bCs/>
          <w:snapToGrid w:val="0"/>
          <w:sz w:val="28"/>
          <w:szCs w:val="28"/>
        </w:rPr>
        <w:t>R</w:t>
      </w:r>
      <w:r w:rsidR="003B2931" w:rsidRPr="00343FBE">
        <w:rPr>
          <w:rFonts w:ascii="Century Gothic" w:hAnsi="Century Gothic" w:cs="Arial"/>
          <w:b/>
          <w:bCs/>
          <w:snapToGrid w:val="0"/>
          <w:sz w:val="28"/>
          <w:szCs w:val="28"/>
        </w:rPr>
        <w:t xml:space="preserve"> </w:t>
      </w:r>
      <w:r w:rsidRPr="00343FBE">
        <w:rPr>
          <w:rFonts w:ascii="Century Gothic" w:hAnsi="Century Gothic" w:cs="Arial"/>
          <w:b/>
          <w:bCs/>
          <w:snapToGrid w:val="0"/>
          <w:sz w:val="28"/>
          <w:szCs w:val="28"/>
        </w:rPr>
        <w:t>E</w:t>
      </w:r>
      <w:r w:rsidR="003B2931" w:rsidRPr="00343FBE">
        <w:rPr>
          <w:rFonts w:ascii="Century Gothic" w:hAnsi="Century Gothic" w:cs="Arial"/>
          <w:b/>
          <w:bCs/>
          <w:snapToGrid w:val="0"/>
          <w:sz w:val="28"/>
          <w:szCs w:val="28"/>
        </w:rPr>
        <w:t xml:space="preserve"> </w:t>
      </w:r>
      <w:r w:rsidRPr="00343FBE">
        <w:rPr>
          <w:rFonts w:ascii="Century Gothic" w:hAnsi="Century Gothic" w:cs="Arial"/>
          <w:b/>
          <w:bCs/>
          <w:snapToGrid w:val="0"/>
          <w:sz w:val="28"/>
          <w:szCs w:val="28"/>
        </w:rPr>
        <w:t>S</w:t>
      </w:r>
      <w:r w:rsidR="003B2931" w:rsidRPr="00343FBE">
        <w:rPr>
          <w:rFonts w:ascii="Century Gothic" w:hAnsi="Century Gothic" w:cs="Arial"/>
          <w:b/>
          <w:bCs/>
          <w:snapToGrid w:val="0"/>
          <w:sz w:val="28"/>
          <w:szCs w:val="28"/>
        </w:rPr>
        <w:t xml:space="preserve"> </w:t>
      </w:r>
      <w:r w:rsidRPr="00343FBE">
        <w:rPr>
          <w:rFonts w:ascii="Century Gothic" w:hAnsi="Century Gothic" w:cs="Arial"/>
          <w:b/>
          <w:bCs/>
          <w:snapToGrid w:val="0"/>
          <w:sz w:val="28"/>
          <w:szCs w:val="28"/>
        </w:rPr>
        <w:t>U</w:t>
      </w:r>
      <w:r w:rsidR="003B2931" w:rsidRPr="00343FBE">
        <w:rPr>
          <w:rFonts w:ascii="Century Gothic" w:hAnsi="Century Gothic" w:cs="Arial"/>
          <w:b/>
          <w:bCs/>
          <w:snapToGrid w:val="0"/>
          <w:sz w:val="28"/>
          <w:szCs w:val="28"/>
        </w:rPr>
        <w:t xml:space="preserve"> </w:t>
      </w:r>
      <w:r w:rsidRPr="00343FBE">
        <w:rPr>
          <w:rFonts w:ascii="Century Gothic" w:hAnsi="Century Gothic" w:cs="Arial"/>
          <w:b/>
          <w:bCs/>
          <w:snapToGrid w:val="0"/>
          <w:sz w:val="28"/>
          <w:szCs w:val="28"/>
        </w:rPr>
        <w:t>L</w:t>
      </w:r>
      <w:r w:rsidR="003B2931" w:rsidRPr="00343FBE">
        <w:rPr>
          <w:rFonts w:ascii="Century Gothic" w:hAnsi="Century Gothic" w:cs="Arial"/>
          <w:b/>
          <w:bCs/>
          <w:snapToGrid w:val="0"/>
          <w:sz w:val="28"/>
          <w:szCs w:val="28"/>
        </w:rPr>
        <w:t xml:space="preserve"> </w:t>
      </w:r>
      <w:r w:rsidRPr="00343FBE">
        <w:rPr>
          <w:rFonts w:ascii="Century Gothic" w:hAnsi="Century Gothic" w:cs="Arial"/>
          <w:b/>
          <w:bCs/>
          <w:snapToGrid w:val="0"/>
          <w:sz w:val="28"/>
          <w:szCs w:val="28"/>
        </w:rPr>
        <w:t>T</w:t>
      </w:r>
      <w:r w:rsidR="003B2931" w:rsidRPr="00343FBE">
        <w:rPr>
          <w:rFonts w:ascii="Century Gothic" w:hAnsi="Century Gothic" w:cs="Arial"/>
          <w:b/>
          <w:bCs/>
          <w:snapToGrid w:val="0"/>
          <w:sz w:val="28"/>
          <w:szCs w:val="28"/>
        </w:rPr>
        <w:t xml:space="preserve"> </w:t>
      </w:r>
      <w:r w:rsidRPr="00343FBE">
        <w:rPr>
          <w:rFonts w:ascii="Century Gothic" w:hAnsi="Century Gothic" w:cs="Arial"/>
          <w:b/>
          <w:bCs/>
          <w:snapToGrid w:val="0"/>
          <w:sz w:val="28"/>
          <w:szCs w:val="28"/>
        </w:rPr>
        <w:t>A</w:t>
      </w:r>
      <w:r w:rsidR="003B2931" w:rsidRPr="00343FBE">
        <w:rPr>
          <w:rFonts w:ascii="Century Gothic" w:hAnsi="Century Gothic" w:cs="Arial"/>
          <w:b/>
          <w:bCs/>
          <w:snapToGrid w:val="0"/>
          <w:sz w:val="28"/>
          <w:szCs w:val="28"/>
        </w:rPr>
        <w:t xml:space="preserve"> </w:t>
      </w:r>
      <w:r w:rsidRPr="00343FBE">
        <w:rPr>
          <w:rFonts w:ascii="Century Gothic" w:hAnsi="Century Gothic" w:cs="Arial"/>
          <w:b/>
          <w:bCs/>
          <w:snapToGrid w:val="0"/>
          <w:sz w:val="28"/>
          <w:szCs w:val="28"/>
        </w:rPr>
        <w:t>N</w:t>
      </w:r>
      <w:r w:rsidR="003B2931" w:rsidRPr="00343FBE">
        <w:rPr>
          <w:rFonts w:ascii="Century Gothic" w:hAnsi="Century Gothic" w:cs="Arial"/>
          <w:b/>
          <w:bCs/>
          <w:snapToGrid w:val="0"/>
          <w:sz w:val="28"/>
          <w:szCs w:val="28"/>
        </w:rPr>
        <w:t xml:space="preserve"> </w:t>
      </w:r>
      <w:r w:rsidRPr="00343FBE">
        <w:rPr>
          <w:rFonts w:ascii="Century Gothic" w:hAnsi="Century Gothic" w:cs="Arial"/>
          <w:b/>
          <w:bCs/>
          <w:snapToGrid w:val="0"/>
          <w:sz w:val="28"/>
          <w:szCs w:val="28"/>
        </w:rPr>
        <w:t>D</w:t>
      </w:r>
      <w:r w:rsidR="003B2931" w:rsidRPr="00343FBE">
        <w:rPr>
          <w:rFonts w:ascii="Century Gothic" w:hAnsi="Century Gothic" w:cs="Arial"/>
          <w:b/>
          <w:bCs/>
          <w:snapToGrid w:val="0"/>
          <w:sz w:val="28"/>
          <w:szCs w:val="28"/>
        </w:rPr>
        <w:t xml:space="preserve"> </w:t>
      </w:r>
      <w:r w:rsidRPr="00343FBE">
        <w:rPr>
          <w:rFonts w:ascii="Century Gothic" w:hAnsi="Century Gothic" w:cs="Arial"/>
          <w:b/>
          <w:bCs/>
          <w:snapToGrid w:val="0"/>
          <w:sz w:val="28"/>
          <w:szCs w:val="28"/>
        </w:rPr>
        <w:t>O</w:t>
      </w:r>
      <w:r w:rsidR="00F75CB6" w:rsidRPr="00343FBE">
        <w:rPr>
          <w:rFonts w:ascii="Century Gothic" w:hAnsi="Century Gothic" w:cs="Arial"/>
          <w:b/>
          <w:bCs/>
          <w:snapToGrid w:val="0"/>
          <w:sz w:val="28"/>
          <w:szCs w:val="28"/>
        </w:rPr>
        <w:t xml:space="preserve"> </w:t>
      </w:r>
    </w:p>
    <w:p w:rsidR="00C36992" w:rsidRPr="00343FBE" w:rsidRDefault="00C36992" w:rsidP="00091FCE">
      <w:pPr>
        <w:spacing w:line="360" w:lineRule="auto"/>
        <w:ind w:firstLine="709"/>
        <w:jc w:val="center"/>
        <w:rPr>
          <w:rFonts w:ascii="Century Gothic" w:hAnsi="Century Gothic" w:cs="Arial"/>
          <w:b/>
          <w:bCs/>
          <w:snapToGrid w:val="0"/>
          <w:sz w:val="28"/>
          <w:szCs w:val="28"/>
        </w:rPr>
      </w:pPr>
    </w:p>
    <w:p w:rsidR="00B612B7" w:rsidRPr="00343FBE" w:rsidRDefault="003B2931" w:rsidP="00C426AA">
      <w:pPr>
        <w:spacing w:line="360" w:lineRule="auto"/>
        <w:jc w:val="both"/>
        <w:rPr>
          <w:rFonts w:ascii="Century Gothic" w:hAnsi="Century Gothic" w:cs="Arial"/>
          <w:bCs/>
          <w:snapToGrid w:val="0"/>
          <w:sz w:val="28"/>
          <w:szCs w:val="28"/>
        </w:rPr>
      </w:pPr>
      <w:r w:rsidRPr="00343FBE">
        <w:rPr>
          <w:rFonts w:ascii="Century Gothic" w:hAnsi="Century Gothic" w:cs="Arial"/>
          <w:b/>
          <w:bCs/>
          <w:snapToGrid w:val="0"/>
          <w:sz w:val="28"/>
          <w:szCs w:val="28"/>
        </w:rPr>
        <w:t>PRIMERO</w:t>
      </w:r>
      <w:r w:rsidR="00B612B7" w:rsidRPr="00343FBE">
        <w:rPr>
          <w:rFonts w:ascii="Century Gothic" w:hAnsi="Century Gothic" w:cs="Arial"/>
          <w:b/>
          <w:bCs/>
          <w:snapToGrid w:val="0"/>
          <w:sz w:val="28"/>
          <w:szCs w:val="28"/>
        </w:rPr>
        <w:t xml:space="preserve">. </w:t>
      </w:r>
      <w:r w:rsidRPr="00343FBE">
        <w:rPr>
          <w:rFonts w:ascii="Century Gothic" w:hAnsi="Century Gothic" w:cs="Arial"/>
          <w:b/>
          <w:bCs/>
          <w:snapToGrid w:val="0"/>
          <w:sz w:val="28"/>
          <w:szCs w:val="28"/>
        </w:rPr>
        <w:t>Antecedentes</w:t>
      </w:r>
      <w:r w:rsidR="00B612B7" w:rsidRPr="00343FBE">
        <w:rPr>
          <w:rFonts w:ascii="Century Gothic" w:hAnsi="Century Gothic" w:cs="Arial"/>
          <w:b/>
          <w:bCs/>
          <w:snapToGrid w:val="0"/>
          <w:sz w:val="28"/>
          <w:szCs w:val="28"/>
        </w:rPr>
        <w:t>.</w:t>
      </w:r>
      <w:r w:rsidRPr="00343FBE">
        <w:rPr>
          <w:rFonts w:ascii="Century Gothic" w:hAnsi="Century Gothic" w:cs="Arial"/>
          <w:b/>
          <w:bCs/>
          <w:snapToGrid w:val="0"/>
          <w:sz w:val="28"/>
          <w:szCs w:val="28"/>
        </w:rPr>
        <w:t xml:space="preserve"> </w:t>
      </w:r>
      <w:r w:rsidRPr="00343FBE">
        <w:rPr>
          <w:rFonts w:ascii="Century Gothic" w:hAnsi="Century Gothic" w:cs="Arial"/>
          <w:bCs/>
          <w:snapToGrid w:val="0"/>
          <w:sz w:val="28"/>
          <w:szCs w:val="28"/>
        </w:rPr>
        <w:t>De los hechos narrados en la</w:t>
      </w:r>
      <w:r w:rsidR="00C70E46" w:rsidRPr="00343FBE">
        <w:rPr>
          <w:rFonts w:ascii="Century Gothic" w:hAnsi="Century Gothic" w:cs="Arial"/>
          <w:bCs/>
          <w:snapToGrid w:val="0"/>
          <w:sz w:val="28"/>
          <w:szCs w:val="28"/>
        </w:rPr>
        <w:t xml:space="preserve">s </w:t>
      </w:r>
      <w:r w:rsidRPr="00343FBE">
        <w:rPr>
          <w:rFonts w:ascii="Century Gothic" w:hAnsi="Century Gothic" w:cs="Arial"/>
          <w:bCs/>
          <w:snapToGrid w:val="0"/>
          <w:sz w:val="28"/>
          <w:szCs w:val="28"/>
        </w:rPr>
        <w:t>demanda</w:t>
      </w:r>
      <w:r w:rsidR="00D905DF" w:rsidRPr="00343FBE">
        <w:rPr>
          <w:rFonts w:ascii="Century Gothic" w:hAnsi="Century Gothic" w:cs="Arial"/>
          <w:bCs/>
          <w:snapToGrid w:val="0"/>
          <w:sz w:val="28"/>
          <w:szCs w:val="28"/>
        </w:rPr>
        <w:t>s</w:t>
      </w:r>
      <w:r w:rsidRPr="00343FBE">
        <w:rPr>
          <w:rFonts w:ascii="Century Gothic" w:hAnsi="Century Gothic" w:cs="Arial"/>
          <w:bCs/>
          <w:snapToGrid w:val="0"/>
          <w:sz w:val="28"/>
          <w:szCs w:val="28"/>
        </w:rPr>
        <w:t>, así como de las con</w:t>
      </w:r>
      <w:r w:rsidR="00F75CB6" w:rsidRPr="00343FBE">
        <w:rPr>
          <w:rFonts w:ascii="Century Gothic" w:hAnsi="Century Gothic" w:cs="Arial"/>
          <w:bCs/>
          <w:snapToGrid w:val="0"/>
          <w:sz w:val="28"/>
          <w:szCs w:val="28"/>
        </w:rPr>
        <w:t>stancias de autos, se desprende lo siguiente</w:t>
      </w:r>
      <w:r w:rsidRPr="00343FBE">
        <w:rPr>
          <w:rFonts w:ascii="Century Gothic" w:hAnsi="Century Gothic" w:cs="Arial"/>
          <w:bCs/>
          <w:snapToGrid w:val="0"/>
          <w:sz w:val="28"/>
          <w:szCs w:val="28"/>
        </w:rPr>
        <w:t>:</w:t>
      </w:r>
    </w:p>
    <w:p w:rsidR="00C36992" w:rsidRPr="00343FBE" w:rsidRDefault="00C36992" w:rsidP="00091FCE">
      <w:pPr>
        <w:spacing w:line="360" w:lineRule="auto"/>
        <w:ind w:firstLine="709"/>
        <w:jc w:val="both"/>
        <w:rPr>
          <w:rFonts w:ascii="Century Gothic" w:hAnsi="Century Gothic" w:cs="Arial"/>
          <w:bCs/>
          <w:snapToGrid w:val="0"/>
          <w:sz w:val="28"/>
          <w:szCs w:val="28"/>
        </w:rPr>
      </w:pPr>
    </w:p>
    <w:p w:rsidR="000F11DE" w:rsidRPr="00343FBE" w:rsidRDefault="000C526D" w:rsidP="00C426AA">
      <w:pPr>
        <w:spacing w:line="360" w:lineRule="auto"/>
        <w:jc w:val="both"/>
        <w:rPr>
          <w:rFonts w:ascii="Century Gothic" w:hAnsi="Century Gothic" w:cs="Arial"/>
          <w:bCs/>
          <w:snapToGrid w:val="0"/>
          <w:sz w:val="28"/>
          <w:szCs w:val="28"/>
        </w:rPr>
      </w:pPr>
      <w:r w:rsidRPr="00343FBE">
        <w:rPr>
          <w:rFonts w:ascii="Century Gothic" w:hAnsi="Century Gothic" w:cs="Arial"/>
          <w:b/>
          <w:bCs/>
          <w:snapToGrid w:val="0"/>
          <w:sz w:val="28"/>
          <w:szCs w:val="28"/>
        </w:rPr>
        <w:t xml:space="preserve">1. </w:t>
      </w:r>
      <w:r w:rsidR="00207985" w:rsidRPr="00343FBE">
        <w:rPr>
          <w:rFonts w:ascii="Century Gothic" w:hAnsi="Century Gothic" w:cs="Arial"/>
          <w:b/>
          <w:bCs/>
          <w:snapToGrid w:val="0"/>
          <w:sz w:val="28"/>
          <w:szCs w:val="28"/>
        </w:rPr>
        <w:t>Elección de dirigentes</w:t>
      </w:r>
      <w:r w:rsidRPr="00343FBE">
        <w:rPr>
          <w:rFonts w:ascii="Century Gothic" w:hAnsi="Century Gothic" w:cs="Arial"/>
          <w:b/>
          <w:bCs/>
          <w:snapToGrid w:val="0"/>
          <w:sz w:val="28"/>
          <w:szCs w:val="28"/>
        </w:rPr>
        <w:t>.</w:t>
      </w:r>
      <w:r w:rsidR="00CA503E" w:rsidRPr="00343FBE">
        <w:rPr>
          <w:rFonts w:ascii="Century Gothic" w:hAnsi="Century Gothic" w:cs="Arial"/>
          <w:b/>
          <w:bCs/>
          <w:snapToGrid w:val="0"/>
          <w:sz w:val="28"/>
          <w:szCs w:val="28"/>
        </w:rPr>
        <w:t xml:space="preserve"> </w:t>
      </w:r>
      <w:r w:rsidR="00C83EC8" w:rsidRPr="00343FBE">
        <w:rPr>
          <w:rFonts w:ascii="Century Gothic" w:hAnsi="Century Gothic" w:cs="Arial"/>
          <w:bCs/>
          <w:snapToGrid w:val="0"/>
          <w:sz w:val="28"/>
          <w:szCs w:val="28"/>
        </w:rPr>
        <w:t xml:space="preserve">El </w:t>
      </w:r>
      <w:r w:rsidR="00CA503E" w:rsidRPr="00343FBE">
        <w:rPr>
          <w:rFonts w:ascii="Century Gothic" w:hAnsi="Century Gothic" w:cs="Arial"/>
          <w:bCs/>
          <w:snapToGrid w:val="0"/>
          <w:sz w:val="28"/>
          <w:szCs w:val="28"/>
        </w:rPr>
        <w:t xml:space="preserve">diecinueve de </w:t>
      </w:r>
      <w:r w:rsidRPr="00343FBE">
        <w:rPr>
          <w:rFonts w:ascii="Century Gothic" w:hAnsi="Century Gothic" w:cs="Arial"/>
          <w:bCs/>
          <w:snapToGrid w:val="0"/>
          <w:sz w:val="28"/>
          <w:szCs w:val="28"/>
        </w:rPr>
        <w:t>febrero</w:t>
      </w:r>
      <w:r w:rsidR="00CA503E" w:rsidRPr="00343FBE">
        <w:rPr>
          <w:rFonts w:ascii="Century Gothic" w:hAnsi="Century Gothic" w:cs="Arial"/>
          <w:bCs/>
          <w:snapToGrid w:val="0"/>
          <w:sz w:val="28"/>
          <w:szCs w:val="28"/>
        </w:rPr>
        <w:t xml:space="preserve"> de dos mil once</w:t>
      </w:r>
      <w:r w:rsidR="00C83EC8" w:rsidRPr="00343FBE">
        <w:rPr>
          <w:rFonts w:ascii="Century Gothic" w:hAnsi="Century Gothic" w:cs="Arial"/>
          <w:bCs/>
          <w:snapToGrid w:val="0"/>
          <w:sz w:val="28"/>
          <w:szCs w:val="28"/>
        </w:rPr>
        <w:t xml:space="preserve"> </w:t>
      </w:r>
      <w:r w:rsidR="00CA503E" w:rsidRPr="00343FBE">
        <w:rPr>
          <w:rFonts w:ascii="Century Gothic" w:hAnsi="Century Gothic" w:cs="Arial"/>
          <w:bCs/>
          <w:snapToGrid w:val="0"/>
          <w:sz w:val="28"/>
          <w:szCs w:val="28"/>
        </w:rPr>
        <w:t>se celebró el Congreso Nacional Ordinario y se renovaron todo</w:t>
      </w:r>
      <w:r w:rsidR="00C83EC8" w:rsidRPr="00343FBE">
        <w:rPr>
          <w:rFonts w:ascii="Century Gothic" w:hAnsi="Century Gothic" w:cs="Arial"/>
          <w:bCs/>
          <w:snapToGrid w:val="0"/>
          <w:sz w:val="28"/>
          <w:szCs w:val="28"/>
        </w:rPr>
        <w:t>s los órganos directivos del PT.</w:t>
      </w:r>
    </w:p>
    <w:p w:rsidR="00C36992" w:rsidRPr="00343FBE" w:rsidRDefault="00C36992" w:rsidP="00091FCE">
      <w:pPr>
        <w:spacing w:line="360" w:lineRule="auto"/>
        <w:ind w:firstLine="709"/>
        <w:jc w:val="both"/>
        <w:rPr>
          <w:rFonts w:ascii="Century Gothic" w:hAnsi="Century Gothic" w:cs="Arial"/>
          <w:bCs/>
          <w:snapToGrid w:val="0"/>
          <w:sz w:val="28"/>
          <w:szCs w:val="28"/>
        </w:rPr>
      </w:pPr>
    </w:p>
    <w:p w:rsidR="00CA7D04" w:rsidRPr="00343FBE" w:rsidRDefault="000C526D" w:rsidP="00C426AA">
      <w:pPr>
        <w:spacing w:line="360" w:lineRule="auto"/>
        <w:jc w:val="both"/>
        <w:rPr>
          <w:rFonts w:ascii="Century Gothic" w:hAnsi="Century Gothic" w:cs="Arial"/>
          <w:bCs/>
          <w:snapToGrid w:val="0"/>
          <w:sz w:val="28"/>
          <w:szCs w:val="28"/>
        </w:rPr>
      </w:pPr>
      <w:r w:rsidRPr="00343FBE">
        <w:rPr>
          <w:rFonts w:ascii="Century Gothic" w:hAnsi="Century Gothic" w:cs="Arial"/>
          <w:b/>
          <w:bCs/>
          <w:snapToGrid w:val="0"/>
          <w:sz w:val="28"/>
          <w:szCs w:val="28"/>
        </w:rPr>
        <w:t xml:space="preserve">2. </w:t>
      </w:r>
      <w:r w:rsidR="00476015" w:rsidRPr="00343FBE">
        <w:rPr>
          <w:rFonts w:ascii="Century Gothic" w:hAnsi="Century Gothic" w:cs="Arial"/>
          <w:b/>
          <w:bCs/>
          <w:snapToGrid w:val="0"/>
          <w:sz w:val="28"/>
          <w:szCs w:val="28"/>
        </w:rPr>
        <w:t>Primer j</w:t>
      </w:r>
      <w:r w:rsidRPr="00343FBE">
        <w:rPr>
          <w:rFonts w:ascii="Century Gothic" w:hAnsi="Century Gothic" w:cs="Arial"/>
          <w:b/>
          <w:bCs/>
          <w:snapToGrid w:val="0"/>
          <w:sz w:val="28"/>
          <w:szCs w:val="28"/>
        </w:rPr>
        <w:t>uicio ciudadano</w:t>
      </w:r>
      <w:r w:rsidR="00476015" w:rsidRPr="00343FBE">
        <w:rPr>
          <w:rFonts w:ascii="Century Gothic" w:hAnsi="Century Gothic" w:cs="Arial"/>
          <w:b/>
          <w:bCs/>
          <w:snapToGrid w:val="0"/>
          <w:sz w:val="28"/>
          <w:szCs w:val="28"/>
        </w:rPr>
        <w:t xml:space="preserve"> (SUP-JDC-198/2017)</w:t>
      </w:r>
      <w:r w:rsidRPr="00343FBE">
        <w:rPr>
          <w:rFonts w:ascii="Century Gothic" w:hAnsi="Century Gothic" w:cs="Arial"/>
          <w:bCs/>
          <w:snapToGrid w:val="0"/>
          <w:sz w:val="28"/>
          <w:szCs w:val="28"/>
        </w:rPr>
        <w:t xml:space="preserve">. </w:t>
      </w:r>
      <w:r w:rsidR="00412389" w:rsidRPr="00343FBE">
        <w:rPr>
          <w:rFonts w:ascii="Century Gothic" w:hAnsi="Century Gothic" w:cs="Arial"/>
          <w:bCs/>
          <w:snapToGrid w:val="0"/>
          <w:sz w:val="28"/>
          <w:szCs w:val="28"/>
        </w:rPr>
        <w:t xml:space="preserve">El </w:t>
      </w:r>
      <w:r w:rsidR="00C14C27" w:rsidRPr="00343FBE">
        <w:rPr>
          <w:rFonts w:ascii="Century Gothic" w:hAnsi="Century Gothic" w:cs="Arial"/>
          <w:bCs/>
          <w:snapToGrid w:val="0"/>
          <w:sz w:val="28"/>
          <w:szCs w:val="28"/>
        </w:rPr>
        <w:t>treinta y uno</w:t>
      </w:r>
      <w:r w:rsidR="00412389" w:rsidRPr="00343FBE">
        <w:rPr>
          <w:rFonts w:ascii="Century Gothic" w:hAnsi="Century Gothic" w:cs="Arial"/>
          <w:bCs/>
          <w:snapToGrid w:val="0"/>
          <w:sz w:val="28"/>
          <w:szCs w:val="28"/>
        </w:rPr>
        <w:t xml:space="preserve"> de marzo pasado, </w:t>
      </w:r>
      <w:r w:rsidR="00D905DF" w:rsidRPr="00343FBE">
        <w:rPr>
          <w:rFonts w:ascii="Century Gothic" w:hAnsi="Century Gothic" w:cs="Arial"/>
          <w:bCs/>
          <w:snapToGrid w:val="0"/>
          <w:sz w:val="28"/>
          <w:szCs w:val="28"/>
        </w:rPr>
        <w:t>Santiago Vargas Hernández</w:t>
      </w:r>
      <w:r w:rsidR="00412389" w:rsidRPr="00343FBE">
        <w:rPr>
          <w:rFonts w:ascii="Century Gothic" w:hAnsi="Century Gothic" w:cs="Arial"/>
          <w:bCs/>
          <w:snapToGrid w:val="0"/>
          <w:sz w:val="28"/>
          <w:szCs w:val="28"/>
        </w:rPr>
        <w:t xml:space="preserve"> promovió juicio ciudadano; solicitó que se conociera </w:t>
      </w:r>
      <w:r w:rsidR="00412389" w:rsidRPr="00343FBE">
        <w:rPr>
          <w:rFonts w:ascii="Century Gothic" w:hAnsi="Century Gothic" w:cs="Arial"/>
          <w:bCs/>
          <w:i/>
          <w:snapToGrid w:val="0"/>
          <w:sz w:val="28"/>
          <w:szCs w:val="28"/>
        </w:rPr>
        <w:t xml:space="preserve">per </w:t>
      </w:r>
      <w:proofErr w:type="spellStart"/>
      <w:r w:rsidR="00412389" w:rsidRPr="00343FBE">
        <w:rPr>
          <w:rFonts w:ascii="Century Gothic" w:hAnsi="Century Gothic" w:cs="Arial"/>
          <w:bCs/>
          <w:i/>
          <w:snapToGrid w:val="0"/>
          <w:sz w:val="28"/>
          <w:szCs w:val="28"/>
        </w:rPr>
        <w:t>saltum</w:t>
      </w:r>
      <w:proofErr w:type="spellEnd"/>
      <w:r w:rsidR="00412389" w:rsidRPr="00343FBE">
        <w:rPr>
          <w:rFonts w:ascii="Century Gothic" w:hAnsi="Century Gothic" w:cs="Arial"/>
          <w:bCs/>
          <w:snapToGrid w:val="0"/>
          <w:sz w:val="28"/>
          <w:szCs w:val="28"/>
        </w:rPr>
        <w:t xml:space="preserve"> su impugnación.</w:t>
      </w:r>
    </w:p>
    <w:p w:rsidR="00CA7D04" w:rsidRPr="00343FBE" w:rsidRDefault="00CA7D04" w:rsidP="00091FCE">
      <w:pPr>
        <w:spacing w:line="360" w:lineRule="auto"/>
        <w:ind w:firstLine="709"/>
        <w:jc w:val="both"/>
        <w:rPr>
          <w:rFonts w:ascii="Century Gothic" w:hAnsi="Century Gothic" w:cs="Arial"/>
          <w:bCs/>
          <w:snapToGrid w:val="0"/>
          <w:sz w:val="28"/>
          <w:szCs w:val="28"/>
        </w:rPr>
      </w:pPr>
    </w:p>
    <w:p w:rsidR="00C14C27" w:rsidRPr="00343FBE" w:rsidRDefault="00412389" w:rsidP="00C426AA">
      <w:pPr>
        <w:spacing w:line="360" w:lineRule="auto"/>
        <w:jc w:val="both"/>
        <w:rPr>
          <w:rFonts w:ascii="Century Gothic" w:hAnsi="Century Gothic" w:cs="Arial"/>
          <w:bCs/>
          <w:snapToGrid w:val="0"/>
          <w:sz w:val="28"/>
          <w:szCs w:val="28"/>
        </w:rPr>
      </w:pPr>
      <w:r w:rsidRPr="00343FBE">
        <w:rPr>
          <w:rFonts w:ascii="Century Gothic" w:hAnsi="Century Gothic" w:cs="Arial"/>
          <w:bCs/>
          <w:snapToGrid w:val="0"/>
          <w:sz w:val="28"/>
          <w:szCs w:val="28"/>
        </w:rPr>
        <w:t xml:space="preserve">Este Tribunal determinó que el juicio era improcedente y ordenó reencauzarlo a recurso de queja, competencia de la Comisión Nacional de Conciliación, Garantías, Justicia y </w:t>
      </w:r>
      <w:r w:rsidRPr="00343FBE">
        <w:rPr>
          <w:rFonts w:ascii="Century Gothic" w:hAnsi="Century Gothic" w:cs="Arial"/>
          <w:bCs/>
          <w:snapToGrid w:val="0"/>
          <w:sz w:val="28"/>
          <w:szCs w:val="28"/>
        </w:rPr>
        <w:lastRenderedPageBreak/>
        <w:t>Controversias del PT</w:t>
      </w:r>
      <w:r w:rsidR="00694FEB" w:rsidRPr="00343FBE">
        <w:rPr>
          <w:rFonts w:ascii="Century Gothic" w:hAnsi="Century Gothic" w:cs="Arial"/>
          <w:bCs/>
          <w:snapToGrid w:val="0"/>
          <w:sz w:val="28"/>
          <w:szCs w:val="28"/>
          <w:vertAlign w:val="superscript"/>
        </w:rPr>
        <w:footnoteReference w:id="2"/>
      </w:r>
      <w:r w:rsidR="00056DE8" w:rsidRPr="00343FBE">
        <w:rPr>
          <w:rFonts w:ascii="Century Gothic" w:hAnsi="Century Gothic" w:cs="Arial"/>
          <w:bCs/>
          <w:snapToGrid w:val="0"/>
          <w:sz w:val="28"/>
          <w:szCs w:val="28"/>
        </w:rPr>
        <w:t>, en donde se registró con la clave CNCGJYC/01/NAL/17.</w:t>
      </w:r>
    </w:p>
    <w:p w:rsidR="00C14C27" w:rsidRPr="00343FBE" w:rsidRDefault="00C14C27" w:rsidP="00091FCE">
      <w:pPr>
        <w:spacing w:line="360" w:lineRule="auto"/>
        <w:ind w:firstLine="709"/>
        <w:jc w:val="both"/>
        <w:rPr>
          <w:rFonts w:ascii="Century Gothic" w:hAnsi="Century Gothic" w:cs="Arial"/>
          <w:bCs/>
          <w:snapToGrid w:val="0"/>
          <w:sz w:val="28"/>
          <w:szCs w:val="28"/>
        </w:rPr>
      </w:pPr>
    </w:p>
    <w:p w:rsidR="00C14C27" w:rsidRPr="00343FBE" w:rsidRDefault="00C14C27" w:rsidP="00C426AA">
      <w:pPr>
        <w:spacing w:line="360" w:lineRule="auto"/>
        <w:jc w:val="both"/>
        <w:rPr>
          <w:rFonts w:ascii="Century Gothic" w:hAnsi="Century Gothic" w:cs="Arial"/>
          <w:bCs/>
          <w:snapToGrid w:val="0"/>
          <w:sz w:val="28"/>
          <w:szCs w:val="28"/>
        </w:rPr>
      </w:pPr>
      <w:r w:rsidRPr="00343FBE">
        <w:rPr>
          <w:rFonts w:ascii="Century Gothic" w:hAnsi="Century Gothic" w:cs="Arial"/>
          <w:b/>
          <w:bCs/>
          <w:snapToGrid w:val="0"/>
          <w:sz w:val="28"/>
          <w:szCs w:val="28"/>
        </w:rPr>
        <w:t>3. Segundo juicio ciudadano (SUP-JDC-272/2017)</w:t>
      </w:r>
      <w:r w:rsidRPr="00343FBE">
        <w:rPr>
          <w:rFonts w:ascii="Century Gothic" w:hAnsi="Century Gothic" w:cs="Arial"/>
          <w:bCs/>
          <w:snapToGrid w:val="0"/>
          <w:sz w:val="28"/>
          <w:szCs w:val="28"/>
        </w:rPr>
        <w:t xml:space="preserve">. El veintidós de abril siguiente, </w:t>
      </w:r>
      <w:r w:rsidR="00D905DF" w:rsidRPr="00343FBE">
        <w:rPr>
          <w:rFonts w:ascii="Century Gothic" w:hAnsi="Century Gothic" w:cs="Arial"/>
          <w:bCs/>
          <w:snapToGrid w:val="0"/>
          <w:sz w:val="28"/>
          <w:szCs w:val="28"/>
        </w:rPr>
        <w:t xml:space="preserve">Santiago Vargas Hernández </w:t>
      </w:r>
      <w:r w:rsidRPr="00343FBE">
        <w:rPr>
          <w:rFonts w:ascii="Century Gothic" w:hAnsi="Century Gothic" w:cs="Arial"/>
          <w:bCs/>
          <w:snapToGrid w:val="0"/>
          <w:sz w:val="28"/>
          <w:szCs w:val="28"/>
        </w:rPr>
        <w:t xml:space="preserve">promovió juicio ciudadano en el que fundamentalmente reclamó la omisión de resolver el recurso </w:t>
      </w:r>
      <w:proofErr w:type="spellStart"/>
      <w:r w:rsidRPr="00343FBE">
        <w:rPr>
          <w:rFonts w:ascii="Century Gothic" w:hAnsi="Century Gothic" w:cs="Arial"/>
          <w:bCs/>
          <w:snapToGrid w:val="0"/>
          <w:sz w:val="28"/>
          <w:szCs w:val="28"/>
        </w:rPr>
        <w:t>intrapartidista</w:t>
      </w:r>
      <w:proofErr w:type="spellEnd"/>
      <w:r w:rsidRPr="00343FBE">
        <w:rPr>
          <w:rFonts w:ascii="Century Gothic" w:hAnsi="Century Gothic" w:cs="Arial"/>
          <w:bCs/>
          <w:snapToGrid w:val="0"/>
          <w:sz w:val="28"/>
          <w:szCs w:val="28"/>
        </w:rPr>
        <w:t xml:space="preserve"> al que se reencauzó su demanda inicial; la demanda fue desechada, por haber quedado sin materia, ya que el órgano partidista resolvió dicho recurso.</w:t>
      </w:r>
    </w:p>
    <w:p w:rsidR="005E07B1" w:rsidRPr="00343FBE" w:rsidRDefault="005E07B1" w:rsidP="00C426AA">
      <w:pPr>
        <w:spacing w:line="360" w:lineRule="auto"/>
        <w:jc w:val="both"/>
        <w:rPr>
          <w:rFonts w:ascii="Century Gothic" w:hAnsi="Century Gothic" w:cs="Arial"/>
          <w:bCs/>
          <w:snapToGrid w:val="0"/>
          <w:sz w:val="28"/>
          <w:szCs w:val="28"/>
        </w:rPr>
      </w:pPr>
    </w:p>
    <w:p w:rsidR="00C426AA" w:rsidRPr="00343FBE" w:rsidRDefault="00C426AA" w:rsidP="00C426AA">
      <w:pPr>
        <w:spacing w:line="360" w:lineRule="auto"/>
        <w:jc w:val="both"/>
        <w:rPr>
          <w:rFonts w:ascii="Century Gothic" w:hAnsi="Century Gothic" w:cs="Arial"/>
          <w:bCs/>
          <w:snapToGrid w:val="0"/>
          <w:sz w:val="28"/>
          <w:szCs w:val="28"/>
        </w:rPr>
      </w:pPr>
      <w:r w:rsidRPr="00343FBE">
        <w:rPr>
          <w:rFonts w:ascii="Century Gothic" w:hAnsi="Century Gothic" w:cs="Arial"/>
          <w:b/>
          <w:bCs/>
          <w:snapToGrid w:val="0"/>
          <w:sz w:val="28"/>
          <w:szCs w:val="28"/>
        </w:rPr>
        <w:t>SEGUNDO. Medio</w:t>
      </w:r>
      <w:r w:rsidR="00D905DF" w:rsidRPr="00343FBE">
        <w:rPr>
          <w:rFonts w:ascii="Century Gothic" w:hAnsi="Century Gothic" w:cs="Arial"/>
          <w:b/>
          <w:bCs/>
          <w:snapToGrid w:val="0"/>
          <w:sz w:val="28"/>
          <w:szCs w:val="28"/>
        </w:rPr>
        <w:t>s</w:t>
      </w:r>
      <w:r w:rsidRPr="00343FBE">
        <w:rPr>
          <w:rFonts w:ascii="Century Gothic" w:hAnsi="Century Gothic" w:cs="Arial"/>
          <w:b/>
          <w:bCs/>
          <w:snapToGrid w:val="0"/>
          <w:sz w:val="28"/>
          <w:szCs w:val="28"/>
        </w:rPr>
        <w:t xml:space="preserve"> de impugnación</w:t>
      </w:r>
      <w:r w:rsidRPr="00343FBE">
        <w:rPr>
          <w:rFonts w:ascii="Century Gothic" w:hAnsi="Century Gothic" w:cs="Arial"/>
          <w:bCs/>
          <w:snapToGrid w:val="0"/>
          <w:sz w:val="28"/>
          <w:szCs w:val="28"/>
        </w:rPr>
        <w:t>. En desacuerdo con la resolución</w:t>
      </w:r>
      <w:r w:rsidR="00D33724" w:rsidRPr="00343FBE">
        <w:rPr>
          <w:rFonts w:ascii="Century Gothic" w:hAnsi="Century Gothic" w:cs="Arial"/>
          <w:bCs/>
          <w:snapToGrid w:val="0"/>
          <w:sz w:val="28"/>
          <w:szCs w:val="28"/>
        </w:rPr>
        <w:t xml:space="preserve"> de la Comisión</w:t>
      </w:r>
      <w:r w:rsidR="00313505" w:rsidRPr="00343FBE">
        <w:rPr>
          <w:rFonts w:ascii="Century Gothic" w:hAnsi="Century Gothic" w:cs="Arial"/>
          <w:bCs/>
          <w:snapToGrid w:val="0"/>
          <w:sz w:val="28"/>
          <w:szCs w:val="28"/>
        </w:rPr>
        <w:t xml:space="preserve"> Nacional de Conciliación, Garantías, Justicia y Controversias del </w:t>
      </w:r>
      <w:r w:rsidR="00A8764A" w:rsidRPr="00343FBE">
        <w:rPr>
          <w:rFonts w:ascii="Century Gothic" w:hAnsi="Century Gothic" w:cs="Arial"/>
          <w:bCs/>
          <w:snapToGrid w:val="0"/>
          <w:sz w:val="28"/>
          <w:szCs w:val="28"/>
        </w:rPr>
        <w:t>PT</w:t>
      </w:r>
      <w:r w:rsidR="00313505" w:rsidRPr="00343FBE">
        <w:rPr>
          <w:rFonts w:ascii="Century Gothic" w:hAnsi="Century Gothic" w:cs="Arial"/>
          <w:bCs/>
          <w:snapToGrid w:val="0"/>
          <w:sz w:val="28"/>
          <w:szCs w:val="28"/>
        </w:rPr>
        <w:t xml:space="preserve"> emitida el </w:t>
      </w:r>
      <w:r w:rsidR="00207BBD" w:rsidRPr="00343FBE">
        <w:rPr>
          <w:rFonts w:ascii="Century Gothic" w:hAnsi="Century Gothic" w:cs="Arial"/>
          <w:bCs/>
          <w:snapToGrid w:val="0"/>
          <w:sz w:val="28"/>
          <w:szCs w:val="28"/>
        </w:rPr>
        <w:t>veintiocho de abril de dos mil diecisiete</w:t>
      </w:r>
      <w:r w:rsidRPr="00343FBE">
        <w:rPr>
          <w:rFonts w:ascii="Century Gothic" w:hAnsi="Century Gothic" w:cs="Arial"/>
          <w:bCs/>
          <w:snapToGrid w:val="0"/>
          <w:sz w:val="28"/>
          <w:szCs w:val="28"/>
        </w:rPr>
        <w:t>, as</w:t>
      </w:r>
      <w:r w:rsidR="00D33724" w:rsidRPr="00343FBE">
        <w:rPr>
          <w:rFonts w:ascii="Century Gothic" w:hAnsi="Century Gothic" w:cs="Arial"/>
          <w:bCs/>
          <w:snapToGrid w:val="0"/>
          <w:sz w:val="28"/>
          <w:szCs w:val="28"/>
        </w:rPr>
        <w:t xml:space="preserve">í como </w:t>
      </w:r>
      <w:r w:rsidR="00442568" w:rsidRPr="00343FBE">
        <w:rPr>
          <w:rFonts w:ascii="Century Gothic" w:hAnsi="Century Gothic" w:cs="Arial"/>
          <w:bCs/>
          <w:snapToGrid w:val="0"/>
          <w:sz w:val="28"/>
          <w:szCs w:val="28"/>
        </w:rPr>
        <w:t>con diverso acto y omisión que más adelante se precisarán,</w:t>
      </w:r>
      <w:r w:rsidR="00651AFA" w:rsidRPr="00343FBE">
        <w:rPr>
          <w:rFonts w:ascii="Century Gothic" w:hAnsi="Century Gothic" w:cs="Arial"/>
          <w:bCs/>
          <w:snapToGrid w:val="0"/>
          <w:sz w:val="28"/>
          <w:szCs w:val="28"/>
        </w:rPr>
        <w:t xml:space="preserve"> relacionados con el Congreso Nacional que llevará a cabo el PT para elegir a sus </w:t>
      </w:r>
      <w:r w:rsidR="004D00DE" w:rsidRPr="00343FBE">
        <w:rPr>
          <w:rFonts w:ascii="Century Gothic" w:hAnsi="Century Gothic" w:cs="Arial"/>
          <w:bCs/>
          <w:snapToGrid w:val="0"/>
          <w:sz w:val="28"/>
          <w:szCs w:val="28"/>
        </w:rPr>
        <w:t>dirigentes</w:t>
      </w:r>
      <w:r w:rsidR="002925D6" w:rsidRPr="00343FBE">
        <w:rPr>
          <w:rFonts w:ascii="Century Gothic" w:hAnsi="Century Gothic" w:cs="Arial"/>
          <w:bCs/>
          <w:snapToGrid w:val="0"/>
          <w:sz w:val="28"/>
          <w:szCs w:val="28"/>
        </w:rPr>
        <w:t xml:space="preserve"> nacionales</w:t>
      </w:r>
      <w:r w:rsidR="00651AFA" w:rsidRPr="00343FBE">
        <w:rPr>
          <w:rFonts w:ascii="Century Gothic" w:hAnsi="Century Gothic" w:cs="Arial"/>
          <w:bCs/>
          <w:snapToGrid w:val="0"/>
          <w:sz w:val="28"/>
          <w:szCs w:val="28"/>
        </w:rPr>
        <w:t>,</w:t>
      </w:r>
      <w:r w:rsidR="00442568" w:rsidRPr="00343FBE">
        <w:rPr>
          <w:rFonts w:ascii="Century Gothic" w:hAnsi="Century Gothic" w:cs="Arial"/>
          <w:bCs/>
          <w:snapToGrid w:val="0"/>
          <w:sz w:val="28"/>
          <w:szCs w:val="28"/>
        </w:rPr>
        <w:t xml:space="preserve"> </w:t>
      </w:r>
      <w:r w:rsidR="00D905DF" w:rsidRPr="00343FBE">
        <w:rPr>
          <w:rFonts w:ascii="Century Gothic" w:hAnsi="Century Gothic" w:cs="Arial"/>
          <w:bCs/>
          <w:snapToGrid w:val="0"/>
          <w:sz w:val="28"/>
          <w:szCs w:val="28"/>
        </w:rPr>
        <w:t xml:space="preserve">Santiago Vargas Hernández </w:t>
      </w:r>
      <w:r w:rsidR="00442568" w:rsidRPr="00343FBE">
        <w:rPr>
          <w:rFonts w:ascii="Century Gothic" w:hAnsi="Century Gothic" w:cs="Arial"/>
          <w:bCs/>
          <w:snapToGrid w:val="0"/>
          <w:sz w:val="28"/>
          <w:szCs w:val="28"/>
        </w:rPr>
        <w:t>promovió el presente juicio.</w:t>
      </w:r>
    </w:p>
    <w:p w:rsidR="00626E9A" w:rsidRPr="00343FBE" w:rsidRDefault="00626E9A" w:rsidP="00C426AA">
      <w:pPr>
        <w:spacing w:line="360" w:lineRule="auto"/>
        <w:jc w:val="both"/>
        <w:rPr>
          <w:rFonts w:ascii="Century Gothic" w:hAnsi="Century Gothic" w:cs="Arial"/>
          <w:bCs/>
          <w:snapToGrid w:val="0"/>
          <w:sz w:val="28"/>
          <w:szCs w:val="28"/>
        </w:rPr>
      </w:pPr>
    </w:p>
    <w:p w:rsidR="00331FB3" w:rsidRPr="00343FBE" w:rsidRDefault="00626E9A" w:rsidP="00C426AA">
      <w:pPr>
        <w:spacing w:line="360" w:lineRule="auto"/>
        <w:jc w:val="both"/>
        <w:rPr>
          <w:rFonts w:ascii="Century Gothic" w:hAnsi="Century Gothic" w:cs="Arial"/>
          <w:bCs/>
          <w:snapToGrid w:val="0"/>
          <w:sz w:val="28"/>
          <w:szCs w:val="28"/>
        </w:rPr>
      </w:pPr>
      <w:r w:rsidRPr="00343FBE">
        <w:rPr>
          <w:rFonts w:ascii="Century Gothic" w:hAnsi="Century Gothic" w:cs="Arial"/>
          <w:bCs/>
          <w:snapToGrid w:val="0"/>
          <w:sz w:val="28"/>
          <w:szCs w:val="28"/>
        </w:rPr>
        <w:t xml:space="preserve">Asimismo, </w:t>
      </w:r>
      <w:r w:rsidR="00651AFA" w:rsidRPr="00343FBE">
        <w:rPr>
          <w:rFonts w:ascii="Century Gothic" w:hAnsi="Century Gothic" w:cs="Arial"/>
          <w:bCs/>
          <w:snapToGrid w:val="0"/>
          <w:sz w:val="28"/>
          <w:szCs w:val="28"/>
        </w:rPr>
        <w:t>Florencio Torres Romero</w:t>
      </w:r>
      <w:r w:rsidR="00B40EE0" w:rsidRPr="00343FBE">
        <w:rPr>
          <w:rFonts w:ascii="Century Gothic" w:hAnsi="Century Gothic" w:cs="Arial"/>
          <w:bCs/>
          <w:snapToGrid w:val="0"/>
          <w:sz w:val="28"/>
          <w:szCs w:val="28"/>
        </w:rPr>
        <w:t xml:space="preserve"> promovió</w:t>
      </w:r>
      <w:r w:rsidR="004D00DE" w:rsidRPr="00343FBE">
        <w:rPr>
          <w:rFonts w:ascii="Century Gothic" w:hAnsi="Century Gothic" w:cs="Arial"/>
          <w:bCs/>
          <w:snapToGrid w:val="0"/>
          <w:sz w:val="28"/>
          <w:szCs w:val="28"/>
        </w:rPr>
        <w:t xml:space="preserve"> </w:t>
      </w:r>
      <w:r w:rsidR="008732B6" w:rsidRPr="00343FBE">
        <w:rPr>
          <w:rFonts w:ascii="Century Gothic" w:hAnsi="Century Gothic" w:cs="Arial"/>
          <w:bCs/>
          <w:snapToGrid w:val="0"/>
          <w:sz w:val="28"/>
          <w:szCs w:val="28"/>
        </w:rPr>
        <w:t xml:space="preserve">tres </w:t>
      </w:r>
      <w:r w:rsidR="004D00DE" w:rsidRPr="00343FBE">
        <w:rPr>
          <w:rFonts w:ascii="Century Gothic" w:hAnsi="Century Gothic" w:cs="Arial"/>
          <w:bCs/>
          <w:snapToGrid w:val="0"/>
          <w:sz w:val="28"/>
          <w:szCs w:val="28"/>
        </w:rPr>
        <w:t>juicio</w:t>
      </w:r>
      <w:r w:rsidR="008732B6" w:rsidRPr="00343FBE">
        <w:rPr>
          <w:rFonts w:ascii="Century Gothic" w:hAnsi="Century Gothic" w:cs="Arial"/>
          <w:bCs/>
          <w:snapToGrid w:val="0"/>
          <w:sz w:val="28"/>
          <w:szCs w:val="28"/>
        </w:rPr>
        <w:t>s</w:t>
      </w:r>
      <w:r w:rsidR="004D00DE" w:rsidRPr="00343FBE">
        <w:rPr>
          <w:rFonts w:ascii="Century Gothic" w:hAnsi="Century Gothic" w:cs="Arial"/>
          <w:bCs/>
          <w:snapToGrid w:val="0"/>
          <w:sz w:val="28"/>
          <w:szCs w:val="28"/>
        </w:rPr>
        <w:t xml:space="preserve"> ciudadano</w:t>
      </w:r>
      <w:r w:rsidR="008732B6" w:rsidRPr="00343FBE">
        <w:rPr>
          <w:rFonts w:ascii="Century Gothic" w:hAnsi="Century Gothic" w:cs="Arial"/>
          <w:bCs/>
          <w:snapToGrid w:val="0"/>
          <w:sz w:val="28"/>
          <w:szCs w:val="28"/>
        </w:rPr>
        <w:t>s</w:t>
      </w:r>
      <w:r w:rsidR="004D00DE" w:rsidRPr="00343FBE">
        <w:rPr>
          <w:rFonts w:ascii="Century Gothic" w:hAnsi="Century Gothic" w:cs="Arial"/>
          <w:bCs/>
          <w:snapToGrid w:val="0"/>
          <w:sz w:val="28"/>
          <w:szCs w:val="28"/>
        </w:rPr>
        <w:t xml:space="preserve"> para impugnar diversas omisiones relacionadas también con el Congreso Nacional que llevará a cabo el PT para elegir a sus dirigentes</w:t>
      </w:r>
      <w:r w:rsidR="002925D6" w:rsidRPr="00343FBE">
        <w:rPr>
          <w:rFonts w:ascii="Century Gothic" w:hAnsi="Century Gothic" w:cs="Arial"/>
          <w:bCs/>
          <w:snapToGrid w:val="0"/>
          <w:sz w:val="28"/>
          <w:szCs w:val="28"/>
        </w:rPr>
        <w:t xml:space="preserve"> nacionales</w:t>
      </w:r>
      <w:r w:rsidR="003D4F49" w:rsidRPr="00343FBE">
        <w:rPr>
          <w:rFonts w:ascii="Century Gothic" w:hAnsi="Century Gothic" w:cs="Arial"/>
          <w:bCs/>
          <w:snapToGrid w:val="0"/>
          <w:sz w:val="28"/>
          <w:szCs w:val="28"/>
        </w:rPr>
        <w:t xml:space="preserve">, </w:t>
      </w:r>
      <w:r w:rsidR="00840316" w:rsidRPr="00343FBE">
        <w:rPr>
          <w:rFonts w:ascii="Century Gothic" w:hAnsi="Century Gothic" w:cs="Arial"/>
          <w:bCs/>
          <w:snapToGrid w:val="0"/>
          <w:sz w:val="28"/>
          <w:szCs w:val="28"/>
        </w:rPr>
        <w:t>así como la Convocatoria al 10° Congreso Nacional Ordinario del P</w:t>
      </w:r>
      <w:r w:rsidR="003D4F49" w:rsidRPr="00343FBE">
        <w:rPr>
          <w:rFonts w:ascii="Century Gothic" w:hAnsi="Century Gothic" w:cs="Arial"/>
          <w:bCs/>
          <w:snapToGrid w:val="0"/>
          <w:sz w:val="28"/>
          <w:szCs w:val="28"/>
        </w:rPr>
        <w:t>T</w:t>
      </w:r>
      <w:r w:rsidR="00840316" w:rsidRPr="00343FBE">
        <w:rPr>
          <w:rFonts w:ascii="Century Gothic" w:hAnsi="Century Gothic" w:cs="Arial"/>
          <w:bCs/>
          <w:snapToGrid w:val="0"/>
          <w:sz w:val="28"/>
          <w:szCs w:val="28"/>
        </w:rPr>
        <w:t>.</w:t>
      </w:r>
    </w:p>
    <w:p w:rsidR="00C426AA" w:rsidRPr="00343FBE" w:rsidRDefault="00C426AA" w:rsidP="00C426AA">
      <w:pPr>
        <w:spacing w:line="360" w:lineRule="auto"/>
        <w:jc w:val="both"/>
        <w:rPr>
          <w:rFonts w:ascii="Century Gothic" w:hAnsi="Century Gothic" w:cs="Arial"/>
          <w:bCs/>
          <w:snapToGrid w:val="0"/>
          <w:sz w:val="28"/>
          <w:szCs w:val="28"/>
        </w:rPr>
      </w:pPr>
    </w:p>
    <w:p w:rsidR="00C426AA" w:rsidRPr="00343FBE" w:rsidRDefault="00C426AA" w:rsidP="00C426AA">
      <w:pPr>
        <w:spacing w:line="360" w:lineRule="auto"/>
        <w:jc w:val="both"/>
        <w:rPr>
          <w:rFonts w:ascii="Century Gothic" w:hAnsi="Century Gothic" w:cs="Arial"/>
          <w:bCs/>
          <w:snapToGrid w:val="0"/>
          <w:sz w:val="28"/>
          <w:szCs w:val="28"/>
        </w:rPr>
      </w:pPr>
      <w:r w:rsidRPr="00343FBE">
        <w:rPr>
          <w:rFonts w:ascii="Century Gothic" w:hAnsi="Century Gothic" w:cs="Arial"/>
          <w:b/>
          <w:bCs/>
          <w:snapToGrid w:val="0"/>
          <w:sz w:val="28"/>
          <w:szCs w:val="28"/>
        </w:rPr>
        <w:t>TERCERO. Trámite y sustanciación</w:t>
      </w:r>
      <w:r w:rsidR="00B40EE0" w:rsidRPr="00343FBE">
        <w:rPr>
          <w:rFonts w:ascii="Century Gothic" w:hAnsi="Century Gothic" w:cs="Arial"/>
          <w:bCs/>
          <w:snapToGrid w:val="0"/>
          <w:sz w:val="28"/>
          <w:szCs w:val="28"/>
        </w:rPr>
        <w:t>. Recibidas las constancias atinentes</w:t>
      </w:r>
      <w:r w:rsidRPr="00343FBE">
        <w:rPr>
          <w:rFonts w:ascii="Century Gothic" w:hAnsi="Century Gothic" w:cs="Arial"/>
          <w:bCs/>
          <w:snapToGrid w:val="0"/>
          <w:sz w:val="28"/>
          <w:szCs w:val="28"/>
        </w:rPr>
        <w:t xml:space="preserve"> en esta Sala Superior, la Magistrada Presidenta acordó integrar l</w:t>
      </w:r>
      <w:r w:rsidR="004D00DE" w:rsidRPr="00343FBE">
        <w:rPr>
          <w:rFonts w:ascii="Century Gothic" w:hAnsi="Century Gothic" w:cs="Arial"/>
          <w:bCs/>
          <w:snapToGrid w:val="0"/>
          <w:sz w:val="28"/>
          <w:szCs w:val="28"/>
        </w:rPr>
        <w:t>os</w:t>
      </w:r>
      <w:r w:rsidRPr="00343FBE">
        <w:rPr>
          <w:rFonts w:ascii="Century Gothic" w:hAnsi="Century Gothic" w:cs="Arial"/>
          <w:bCs/>
          <w:snapToGrid w:val="0"/>
          <w:sz w:val="28"/>
          <w:szCs w:val="28"/>
        </w:rPr>
        <w:t xml:space="preserve"> expediente</w:t>
      </w:r>
      <w:r w:rsidR="004D00DE" w:rsidRPr="00343FBE">
        <w:rPr>
          <w:rFonts w:ascii="Century Gothic" w:hAnsi="Century Gothic" w:cs="Arial"/>
          <w:bCs/>
          <w:snapToGrid w:val="0"/>
          <w:sz w:val="28"/>
          <w:szCs w:val="28"/>
        </w:rPr>
        <w:t>s</w:t>
      </w:r>
      <w:r w:rsidRPr="00343FBE">
        <w:rPr>
          <w:rFonts w:ascii="Century Gothic" w:hAnsi="Century Gothic" w:cs="Arial"/>
          <w:bCs/>
          <w:snapToGrid w:val="0"/>
          <w:sz w:val="28"/>
          <w:szCs w:val="28"/>
        </w:rPr>
        <w:t xml:space="preserve"> SUP-</w:t>
      </w:r>
      <w:r w:rsidR="00F8138E" w:rsidRPr="00343FBE">
        <w:rPr>
          <w:rFonts w:ascii="Century Gothic" w:hAnsi="Century Gothic" w:cs="Arial"/>
          <w:bCs/>
          <w:snapToGrid w:val="0"/>
          <w:sz w:val="28"/>
          <w:szCs w:val="28"/>
        </w:rPr>
        <w:t>JDC</w:t>
      </w:r>
      <w:r w:rsidRPr="00343FBE">
        <w:rPr>
          <w:rFonts w:ascii="Century Gothic" w:hAnsi="Century Gothic" w:cs="Arial"/>
          <w:bCs/>
          <w:snapToGrid w:val="0"/>
          <w:sz w:val="28"/>
          <w:szCs w:val="28"/>
        </w:rPr>
        <w:t>-</w:t>
      </w:r>
      <w:r w:rsidR="00F8138E" w:rsidRPr="00343FBE">
        <w:rPr>
          <w:rFonts w:ascii="Century Gothic" w:hAnsi="Century Gothic" w:cs="Arial"/>
          <w:bCs/>
          <w:snapToGrid w:val="0"/>
          <w:sz w:val="28"/>
          <w:szCs w:val="28"/>
        </w:rPr>
        <w:t>369</w:t>
      </w:r>
      <w:r w:rsidRPr="00343FBE">
        <w:rPr>
          <w:rFonts w:ascii="Century Gothic" w:hAnsi="Century Gothic" w:cs="Arial"/>
          <w:bCs/>
          <w:snapToGrid w:val="0"/>
          <w:sz w:val="28"/>
          <w:szCs w:val="28"/>
        </w:rPr>
        <w:t>/2017</w:t>
      </w:r>
      <w:r w:rsidR="00226886" w:rsidRPr="00343FBE">
        <w:rPr>
          <w:rFonts w:ascii="Century Gothic" w:hAnsi="Century Gothic" w:cs="Arial"/>
          <w:bCs/>
          <w:snapToGrid w:val="0"/>
          <w:sz w:val="28"/>
          <w:szCs w:val="28"/>
        </w:rPr>
        <w:t>,</w:t>
      </w:r>
      <w:r w:rsidR="004D00DE" w:rsidRPr="00343FBE">
        <w:rPr>
          <w:rFonts w:ascii="Century Gothic" w:hAnsi="Century Gothic" w:cs="Arial"/>
          <w:bCs/>
          <w:snapToGrid w:val="0"/>
          <w:sz w:val="28"/>
          <w:szCs w:val="28"/>
        </w:rPr>
        <w:t xml:space="preserve"> SUP-JDC-399/2017</w:t>
      </w:r>
      <w:r w:rsidR="002061BE" w:rsidRPr="00343FBE">
        <w:rPr>
          <w:rFonts w:ascii="Century Gothic" w:hAnsi="Century Gothic" w:cs="Arial"/>
          <w:bCs/>
          <w:snapToGrid w:val="0"/>
          <w:sz w:val="28"/>
          <w:szCs w:val="28"/>
        </w:rPr>
        <w:t>,</w:t>
      </w:r>
      <w:r w:rsidR="00226886" w:rsidRPr="00343FBE">
        <w:rPr>
          <w:rFonts w:ascii="Century Gothic" w:hAnsi="Century Gothic" w:cs="Arial"/>
          <w:bCs/>
          <w:snapToGrid w:val="0"/>
          <w:sz w:val="28"/>
          <w:szCs w:val="28"/>
        </w:rPr>
        <w:t xml:space="preserve"> SUP-JDC-445/2017</w:t>
      </w:r>
      <w:r w:rsidR="002061BE" w:rsidRPr="00343FBE">
        <w:rPr>
          <w:rFonts w:ascii="Century Gothic" w:hAnsi="Century Gothic" w:cs="Arial"/>
          <w:bCs/>
          <w:snapToGrid w:val="0"/>
          <w:sz w:val="28"/>
          <w:szCs w:val="28"/>
        </w:rPr>
        <w:t xml:space="preserve"> y SUP-JDC-468/2017</w:t>
      </w:r>
      <w:r w:rsidRPr="00343FBE">
        <w:rPr>
          <w:rFonts w:ascii="Century Gothic" w:hAnsi="Century Gothic" w:cs="Arial"/>
          <w:bCs/>
          <w:snapToGrid w:val="0"/>
          <w:sz w:val="28"/>
          <w:szCs w:val="28"/>
        </w:rPr>
        <w:t xml:space="preserve">, </w:t>
      </w:r>
      <w:r w:rsidR="002061BE" w:rsidRPr="00343FBE">
        <w:rPr>
          <w:rFonts w:ascii="Century Gothic" w:hAnsi="Century Gothic" w:cs="Arial"/>
          <w:bCs/>
          <w:snapToGrid w:val="0"/>
          <w:sz w:val="28"/>
          <w:szCs w:val="28"/>
        </w:rPr>
        <w:t>así como</w:t>
      </w:r>
      <w:r w:rsidRPr="00343FBE">
        <w:rPr>
          <w:rFonts w:ascii="Century Gothic" w:hAnsi="Century Gothic" w:cs="Arial"/>
          <w:bCs/>
          <w:snapToGrid w:val="0"/>
          <w:sz w:val="28"/>
          <w:szCs w:val="28"/>
        </w:rPr>
        <w:t xml:space="preserve"> turnarlo</w:t>
      </w:r>
      <w:r w:rsidR="004D00DE" w:rsidRPr="00343FBE">
        <w:rPr>
          <w:rFonts w:ascii="Century Gothic" w:hAnsi="Century Gothic" w:cs="Arial"/>
          <w:bCs/>
          <w:snapToGrid w:val="0"/>
          <w:sz w:val="28"/>
          <w:szCs w:val="28"/>
        </w:rPr>
        <w:t>s</w:t>
      </w:r>
      <w:r w:rsidRPr="00343FBE">
        <w:rPr>
          <w:rFonts w:ascii="Century Gothic" w:hAnsi="Century Gothic" w:cs="Arial"/>
          <w:bCs/>
          <w:snapToGrid w:val="0"/>
          <w:sz w:val="28"/>
          <w:szCs w:val="28"/>
        </w:rPr>
        <w:t xml:space="preserve"> a la ponencia de la Magistrada Mónica Aralí Soto Fregoso, para los efectos establecidos en el artículo 19 de la Ley General del Sistema de Medios de Impugnación en Materia Electoral. La Magistrada instructora radicó y admitió a trámite l</w:t>
      </w:r>
      <w:r w:rsidR="004D00DE" w:rsidRPr="00343FBE">
        <w:rPr>
          <w:rFonts w:ascii="Century Gothic" w:hAnsi="Century Gothic" w:cs="Arial"/>
          <w:bCs/>
          <w:snapToGrid w:val="0"/>
          <w:sz w:val="28"/>
          <w:szCs w:val="28"/>
        </w:rPr>
        <w:t>os</w:t>
      </w:r>
      <w:r w:rsidRPr="00343FBE">
        <w:rPr>
          <w:rFonts w:ascii="Century Gothic" w:hAnsi="Century Gothic" w:cs="Arial"/>
          <w:bCs/>
          <w:snapToGrid w:val="0"/>
          <w:sz w:val="28"/>
          <w:szCs w:val="28"/>
        </w:rPr>
        <w:t xml:space="preserve"> presente</w:t>
      </w:r>
      <w:r w:rsidR="004D00DE" w:rsidRPr="00343FBE">
        <w:rPr>
          <w:rFonts w:ascii="Century Gothic" w:hAnsi="Century Gothic" w:cs="Arial"/>
          <w:bCs/>
          <w:snapToGrid w:val="0"/>
          <w:sz w:val="28"/>
          <w:szCs w:val="28"/>
        </w:rPr>
        <w:t>s</w:t>
      </w:r>
      <w:r w:rsidRPr="00343FBE">
        <w:rPr>
          <w:rFonts w:ascii="Century Gothic" w:hAnsi="Century Gothic" w:cs="Arial"/>
          <w:bCs/>
          <w:snapToGrid w:val="0"/>
          <w:sz w:val="28"/>
          <w:szCs w:val="28"/>
        </w:rPr>
        <w:t xml:space="preserve"> medio</w:t>
      </w:r>
      <w:r w:rsidR="004D00DE" w:rsidRPr="00343FBE">
        <w:rPr>
          <w:rFonts w:ascii="Century Gothic" w:hAnsi="Century Gothic" w:cs="Arial"/>
          <w:bCs/>
          <w:snapToGrid w:val="0"/>
          <w:sz w:val="28"/>
          <w:szCs w:val="28"/>
        </w:rPr>
        <w:t>s</w:t>
      </w:r>
      <w:r w:rsidRPr="00343FBE">
        <w:rPr>
          <w:rFonts w:ascii="Century Gothic" w:hAnsi="Century Gothic" w:cs="Arial"/>
          <w:bCs/>
          <w:snapToGrid w:val="0"/>
          <w:sz w:val="28"/>
          <w:szCs w:val="28"/>
        </w:rPr>
        <w:t xml:space="preserve"> de impugnación; </w:t>
      </w:r>
      <w:r w:rsidR="00226886" w:rsidRPr="00343FBE">
        <w:rPr>
          <w:rFonts w:ascii="Century Gothic" w:hAnsi="Century Gothic" w:cs="Arial"/>
          <w:bCs/>
          <w:snapToGrid w:val="0"/>
          <w:sz w:val="28"/>
          <w:szCs w:val="28"/>
        </w:rPr>
        <w:t xml:space="preserve">y, </w:t>
      </w:r>
      <w:r w:rsidRPr="00343FBE">
        <w:rPr>
          <w:rFonts w:ascii="Century Gothic" w:hAnsi="Century Gothic" w:cs="Arial"/>
          <w:bCs/>
          <w:snapToGrid w:val="0"/>
          <w:sz w:val="28"/>
          <w:szCs w:val="28"/>
        </w:rPr>
        <w:t>en su oportunidad, cerró la instrucción.</w:t>
      </w:r>
    </w:p>
    <w:p w:rsidR="00C426AA" w:rsidRPr="00343FBE" w:rsidRDefault="00C426AA" w:rsidP="00C426AA">
      <w:pPr>
        <w:spacing w:line="360" w:lineRule="auto"/>
        <w:jc w:val="both"/>
        <w:rPr>
          <w:rFonts w:ascii="Century Gothic" w:hAnsi="Century Gothic" w:cs="Arial"/>
          <w:bCs/>
          <w:snapToGrid w:val="0"/>
          <w:sz w:val="28"/>
          <w:szCs w:val="28"/>
        </w:rPr>
      </w:pPr>
    </w:p>
    <w:p w:rsidR="003B2931" w:rsidRPr="00343FBE" w:rsidRDefault="00F75CB6" w:rsidP="00091FCE">
      <w:pPr>
        <w:pStyle w:val="NormalWeb"/>
        <w:spacing w:line="360" w:lineRule="auto"/>
        <w:ind w:firstLine="709"/>
        <w:jc w:val="center"/>
        <w:rPr>
          <w:rFonts w:ascii="Century Gothic" w:hAnsi="Century Gothic" w:cs="Arial"/>
          <w:b/>
          <w:bCs/>
          <w:sz w:val="28"/>
          <w:szCs w:val="28"/>
          <w:lang w:val="es-MX"/>
        </w:rPr>
      </w:pPr>
      <w:r w:rsidRPr="00343FBE">
        <w:rPr>
          <w:rFonts w:ascii="Century Gothic" w:hAnsi="Century Gothic" w:cs="Arial"/>
          <w:b/>
          <w:bCs/>
          <w:sz w:val="28"/>
          <w:szCs w:val="28"/>
          <w:lang w:val="es-MX"/>
        </w:rPr>
        <w:t xml:space="preserve">C O N S I D E R A N D O </w:t>
      </w:r>
    </w:p>
    <w:p w:rsidR="003B2931" w:rsidRPr="00343FBE" w:rsidRDefault="003B2931" w:rsidP="00091FCE">
      <w:pPr>
        <w:spacing w:line="360" w:lineRule="auto"/>
        <w:ind w:firstLine="709"/>
        <w:jc w:val="both"/>
        <w:rPr>
          <w:rFonts w:ascii="Century Gothic" w:hAnsi="Century Gothic" w:cs="Arial"/>
          <w:sz w:val="28"/>
          <w:szCs w:val="28"/>
        </w:rPr>
      </w:pPr>
    </w:p>
    <w:p w:rsidR="008F4E51" w:rsidRPr="00343FBE" w:rsidRDefault="0049265B" w:rsidP="00F8138E">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PRIMERO. C</w:t>
      </w:r>
      <w:r w:rsidR="00055DFA" w:rsidRPr="00343FBE">
        <w:rPr>
          <w:rFonts w:ascii="Century Gothic" w:hAnsi="Century Gothic" w:cs="Arial"/>
          <w:b/>
          <w:bCs/>
          <w:sz w:val="28"/>
          <w:szCs w:val="28"/>
          <w:lang w:eastAsia="en-US"/>
        </w:rPr>
        <w:t>ompetencia</w:t>
      </w:r>
      <w:r w:rsidRPr="00343FBE">
        <w:rPr>
          <w:rFonts w:ascii="Century Gothic" w:hAnsi="Century Gothic" w:cs="Arial"/>
          <w:bCs/>
          <w:sz w:val="28"/>
          <w:szCs w:val="28"/>
          <w:lang w:eastAsia="en-US"/>
        </w:rPr>
        <w:t>.</w:t>
      </w:r>
      <w:r w:rsidR="0059431B" w:rsidRPr="00343FBE">
        <w:rPr>
          <w:rFonts w:ascii="Century Gothic" w:hAnsi="Century Gothic" w:cs="Arial"/>
          <w:bCs/>
          <w:sz w:val="28"/>
          <w:szCs w:val="28"/>
          <w:lang w:eastAsia="en-US"/>
        </w:rPr>
        <w:t xml:space="preserve"> </w:t>
      </w:r>
      <w:r w:rsidR="00D82727" w:rsidRPr="00343FBE">
        <w:rPr>
          <w:rFonts w:ascii="Century Gothic" w:hAnsi="Century Gothic" w:cs="Arial"/>
          <w:bCs/>
          <w:sz w:val="28"/>
          <w:szCs w:val="28"/>
          <w:lang w:eastAsia="en-US"/>
        </w:rPr>
        <w:t>Esta Sala Superior es competente para conocer y resolver l</w:t>
      </w:r>
      <w:r w:rsidR="002925D6" w:rsidRPr="00343FBE">
        <w:rPr>
          <w:rFonts w:ascii="Century Gothic" w:hAnsi="Century Gothic" w:cs="Arial"/>
          <w:bCs/>
          <w:sz w:val="28"/>
          <w:szCs w:val="28"/>
          <w:lang w:eastAsia="en-US"/>
        </w:rPr>
        <w:t>os</w:t>
      </w:r>
      <w:r w:rsidR="00D82727" w:rsidRPr="00343FBE">
        <w:rPr>
          <w:rFonts w:ascii="Century Gothic" w:hAnsi="Century Gothic" w:cs="Arial"/>
          <w:bCs/>
          <w:sz w:val="28"/>
          <w:szCs w:val="28"/>
          <w:lang w:eastAsia="en-US"/>
        </w:rPr>
        <w:t xml:space="preserve"> juicio</w:t>
      </w:r>
      <w:r w:rsidR="002925D6" w:rsidRPr="00343FBE">
        <w:rPr>
          <w:rFonts w:ascii="Century Gothic" w:hAnsi="Century Gothic" w:cs="Arial"/>
          <w:bCs/>
          <w:sz w:val="28"/>
          <w:szCs w:val="28"/>
          <w:lang w:eastAsia="en-US"/>
        </w:rPr>
        <w:t>s</w:t>
      </w:r>
      <w:r w:rsidR="00D82727" w:rsidRPr="00343FBE">
        <w:rPr>
          <w:rFonts w:ascii="Century Gothic" w:hAnsi="Century Gothic" w:cs="Arial"/>
          <w:bCs/>
          <w:sz w:val="28"/>
          <w:szCs w:val="28"/>
          <w:lang w:eastAsia="en-US"/>
        </w:rPr>
        <w:t xml:space="preserve"> al rubro indicado</w:t>
      </w:r>
      <w:r w:rsidR="002925D6" w:rsidRPr="00343FBE">
        <w:rPr>
          <w:rFonts w:ascii="Century Gothic" w:hAnsi="Century Gothic" w:cs="Arial"/>
          <w:bCs/>
          <w:sz w:val="28"/>
          <w:szCs w:val="28"/>
          <w:lang w:eastAsia="en-US"/>
        </w:rPr>
        <w:t>s</w:t>
      </w:r>
      <w:r w:rsidR="00D82727" w:rsidRPr="00343FBE">
        <w:rPr>
          <w:rFonts w:ascii="Century Gothic" w:hAnsi="Century Gothic" w:cs="Arial"/>
          <w:bCs/>
          <w:sz w:val="28"/>
          <w:szCs w:val="28"/>
          <w:lang w:eastAsia="en-US"/>
        </w:rPr>
        <w:t>, con fundamento en los artículos 189, fracción I, inciso e), de la Ley Orgánica del Poder Judicial de la Federación y 83</w:t>
      </w:r>
      <w:r w:rsidR="005F61CE" w:rsidRPr="00343FBE">
        <w:rPr>
          <w:rFonts w:ascii="Century Gothic" w:hAnsi="Century Gothic" w:cs="Arial"/>
          <w:bCs/>
          <w:sz w:val="28"/>
          <w:szCs w:val="28"/>
          <w:lang w:eastAsia="en-US"/>
        </w:rPr>
        <w:t>, párrafo 1, inciso a), fracción III,</w:t>
      </w:r>
      <w:r w:rsidR="00D82727" w:rsidRPr="00343FBE">
        <w:rPr>
          <w:rFonts w:ascii="Century Gothic" w:hAnsi="Century Gothic" w:cs="Arial"/>
          <w:bCs/>
          <w:sz w:val="28"/>
          <w:szCs w:val="28"/>
          <w:lang w:eastAsia="en-US"/>
        </w:rPr>
        <w:t xml:space="preserve"> de la Ley General del Sistema de Medios de Impugnación en Materia Electoral, por tratarse de juicio</w:t>
      </w:r>
      <w:r w:rsidR="00A05CD1" w:rsidRPr="00343FBE">
        <w:rPr>
          <w:rFonts w:ascii="Century Gothic" w:hAnsi="Century Gothic" w:cs="Arial"/>
          <w:bCs/>
          <w:sz w:val="28"/>
          <w:szCs w:val="28"/>
          <w:lang w:eastAsia="en-US"/>
        </w:rPr>
        <w:t>s</w:t>
      </w:r>
      <w:r w:rsidR="008F4E51" w:rsidRPr="00343FBE">
        <w:rPr>
          <w:rFonts w:ascii="Century Gothic" w:hAnsi="Century Gothic" w:cs="Arial"/>
          <w:bCs/>
          <w:sz w:val="28"/>
          <w:szCs w:val="28"/>
          <w:lang w:eastAsia="en-US"/>
        </w:rPr>
        <w:t xml:space="preserve"> en l</w:t>
      </w:r>
      <w:r w:rsidR="002925D6" w:rsidRPr="00343FBE">
        <w:rPr>
          <w:rFonts w:ascii="Century Gothic" w:hAnsi="Century Gothic" w:cs="Arial"/>
          <w:bCs/>
          <w:sz w:val="28"/>
          <w:szCs w:val="28"/>
          <w:lang w:eastAsia="en-US"/>
        </w:rPr>
        <w:t>os</w:t>
      </w:r>
      <w:r w:rsidR="008F4E51" w:rsidRPr="00343FBE">
        <w:rPr>
          <w:rFonts w:ascii="Century Gothic" w:hAnsi="Century Gothic" w:cs="Arial"/>
          <w:bCs/>
          <w:sz w:val="28"/>
          <w:szCs w:val="28"/>
          <w:lang w:eastAsia="en-US"/>
        </w:rPr>
        <w:t xml:space="preserve"> que se reclama</w:t>
      </w:r>
      <w:r w:rsidR="002925D6" w:rsidRPr="00343FBE">
        <w:rPr>
          <w:rFonts w:ascii="Century Gothic" w:hAnsi="Century Gothic" w:cs="Arial"/>
          <w:bCs/>
          <w:sz w:val="28"/>
          <w:szCs w:val="28"/>
          <w:lang w:eastAsia="en-US"/>
        </w:rPr>
        <w:t>n actos y omisiones relacionados</w:t>
      </w:r>
      <w:r w:rsidR="00927C24" w:rsidRPr="00343FBE">
        <w:rPr>
          <w:rFonts w:ascii="Century Gothic" w:hAnsi="Century Gothic" w:cs="Arial"/>
          <w:bCs/>
          <w:sz w:val="28"/>
          <w:szCs w:val="28"/>
          <w:lang w:eastAsia="en-US"/>
        </w:rPr>
        <w:t xml:space="preserve"> con la renovación de los órganos nacionales de un partido político.</w:t>
      </w:r>
    </w:p>
    <w:p w:rsidR="001F63DA" w:rsidRPr="00343FBE" w:rsidRDefault="001F63DA" w:rsidP="00F8138E">
      <w:pPr>
        <w:widowControl w:val="0"/>
        <w:shd w:val="clear" w:color="auto" w:fill="FFFFFF" w:themeFill="background1"/>
        <w:spacing w:line="360" w:lineRule="auto"/>
        <w:jc w:val="both"/>
        <w:rPr>
          <w:rFonts w:ascii="Century Gothic" w:hAnsi="Century Gothic" w:cs="Arial"/>
          <w:bCs/>
          <w:sz w:val="28"/>
          <w:szCs w:val="28"/>
          <w:lang w:eastAsia="en-US"/>
        </w:rPr>
      </w:pPr>
    </w:p>
    <w:p w:rsidR="009021F9" w:rsidRPr="00343FBE" w:rsidRDefault="001F63DA" w:rsidP="00E539CF">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 xml:space="preserve">SEGUNDO. </w:t>
      </w:r>
      <w:r w:rsidR="009021F9" w:rsidRPr="00343FBE">
        <w:rPr>
          <w:rFonts w:ascii="Century Gothic" w:hAnsi="Century Gothic" w:cs="Arial"/>
          <w:b/>
          <w:bCs/>
          <w:sz w:val="28"/>
          <w:szCs w:val="28"/>
          <w:lang w:eastAsia="en-US"/>
        </w:rPr>
        <w:t>Acumulación</w:t>
      </w:r>
      <w:r w:rsidR="009021F9" w:rsidRPr="00343FBE">
        <w:rPr>
          <w:rFonts w:ascii="Century Gothic" w:hAnsi="Century Gothic" w:cs="Arial"/>
          <w:bCs/>
          <w:sz w:val="28"/>
          <w:szCs w:val="28"/>
          <w:lang w:eastAsia="en-US"/>
        </w:rPr>
        <w:t xml:space="preserve">. De la lectura integral de las demandas, se advierte que los casos tienen relación con la </w:t>
      </w:r>
      <w:r w:rsidR="009021F9" w:rsidRPr="00343FBE">
        <w:rPr>
          <w:rFonts w:ascii="Century Gothic" w:hAnsi="Century Gothic" w:cs="Arial"/>
          <w:bCs/>
          <w:sz w:val="28"/>
          <w:szCs w:val="28"/>
          <w:lang w:eastAsia="en-US"/>
        </w:rPr>
        <w:lastRenderedPageBreak/>
        <w:t xml:space="preserve">convocatoria para el Congreso Nacional ordinario del PT que tendrá lugar el veinticuatro de junio de dos mil diecisiete, además de que coinciden en reclamar la supuesta omisión de convocar y notificar las convocatorias a las sesiones de dieciséis de diciembre de dos mil dieciséis y veintidós de febrero de dos mil diecisiete, de levantar las actas correspondientes, así como por la indebida publicidad de la Convocatoria, entre otras cosas, haciendo valer agravios similares. </w:t>
      </w:r>
    </w:p>
    <w:p w:rsidR="009021F9" w:rsidRPr="00343FBE" w:rsidRDefault="009021F9" w:rsidP="009021F9">
      <w:pPr>
        <w:spacing w:line="360" w:lineRule="auto"/>
        <w:jc w:val="both"/>
        <w:rPr>
          <w:rFonts w:ascii="Century Gothic" w:hAnsi="Century Gothic" w:cs="Arial"/>
          <w:bCs/>
          <w:sz w:val="28"/>
          <w:szCs w:val="28"/>
          <w:lang w:eastAsia="en-US"/>
        </w:rPr>
      </w:pPr>
    </w:p>
    <w:p w:rsidR="009021F9" w:rsidRPr="00343FBE" w:rsidRDefault="009021F9" w:rsidP="009021F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En ese sentido, al existir estrecha vinculación entre los juicios, con fundamento en los artículos 199, fracción XI, de la Ley Orgánica del Poder Judicial de la Federación, 31, de la Ley General del Sistema de Medios de Impugnación en Materia Electoral, y 79 del Reglamento Interno del Tribunal Electoral del Poder Judicial de la Federación, se decreta la acumulación de los juicios ciudadanos SUP-JDC-399/2017</w:t>
      </w:r>
      <w:r w:rsidR="00634FA7" w:rsidRPr="00343FBE">
        <w:rPr>
          <w:rFonts w:ascii="Century Gothic" w:hAnsi="Century Gothic" w:cs="Arial"/>
          <w:bCs/>
          <w:sz w:val="28"/>
          <w:szCs w:val="28"/>
          <w:lang w:eastAsia="en-US"/>
        </w:rPr>
        <w:t>,</w:t>
      </w:r>
      <w:r w:rsidRPr="00343FBE">
        <w:rPr>
          <w:rFonts w:ascii="Century Gothic" w:hAnsi="Century Gothic" w:cs="Arial"/>
          <w:bCs/>
          <w:sz w:val="28"/>
          <w:szCs w:val="28"/>
          <w:lang w:eastAsia="en-US"/>
        </w:rPr>
        <w:t xml:space="preserve"> SUP-JDC-445/2017</w:t>
      </w:r>
      <w:r w:rsidR="00634FA7" w:rsidRPr="00343FBE">
        <w:rPr>
          <w:rFonts w:ascii="Century Gothic" w:hAnsi="Century Gothic" w:cs="Arial"/>
          <w:bCs/>
          <w:sz w:val="28"/>
          <w:szCs w:val="28"/>
          <w:lang w:eastAsia="en-US"/>
        </w:rPr>
        <w:t xml:space="preserve"> y SUP-JDC-468/2017</w:t>
      </w:r>
      <w:r w:rsidRPr="00343FBE">
        <w:rPr>
          <w:rFonts w:ascii="Century Gothic" w:hAnsi="Century Gothic" w:cs="Arial"/>
          <w:bCs/>
          <w:sz w:val="28"/>
          <w:szCs w:val="28"/>
          <w:lang w:eastAsia="en-US"/>
        </w:rPr>
        <w:t>, al diverso SUP-JDC-369/2017, por ser este medio de impugnación el que se recibió primero en la oficialía de partes de esta Sala Superior, según se advierte de las constancias de autos.</w:t>
      </w:r>
    </w:p>
    <w:p w:rsidR="009021F9" w:rsidRPr="00343FBE" w:rsidRDefault="009021F9" w:rsidP="009021F9">
      <w:pPr>
        <w:spacing w:line="360" w:lineRule="auto"/>
        <w:jc w:val="both"/>
        <w:rPr>
          <w:rFonts w:ascii="Century Gothic" w:hAnsi="Century Gothic" w:cs="Arial"/>
          <w:bCs/>
          <w:sz w:val="28"/>
          <w:szCs w:val="28"/>
          <w:lang w:eastAsia="en-US"/>
        </w:rPr>
      </w:pPr>
    </w:p>
    <w:p w:rsidR="009021F9" w:rsidRPr="00343FBE" w:rsidRDefault="009021F9" w:rsidP="009021F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En consecuencia, se deberá glosar copia certificada de los puntos resolutivos de la presente resolución, a los autos de los expedientes acumulados.</w:t>
      </w:r>
    </w:p>
    <w:p w:rsidR="00E539CF" w:rsidRPr="00343FBE" w:rsidRDefault="00E539CF" w:rsidP="00E539CF">
      <w:pPr>
        <w:widowControl w:val="0"/>
        <w:shd w:val="clear" w:color="auto" w:fill="FFFFFF" w:themeFill="background1"/>
        <w:spacing w:line="360" w:lineRule="auto"/>
        <w:jc w:val="both"/>
        <w:rPr>
          <w:rFonts w:ascii="Century Gothic" w:hAnsi="Century Gothic" w:cs="Arial"/>
          <w:b/>
          <w:bCs/>
          <w:sz w:val="28"/>
          <w:szCs w:val="28"/>
          <w:lang w:eastAsia="en-US"/>
        </w:rPr>
      </w:pP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 xml:space="preserve">TERCERO. Procedencia del </w:t>
      </w:r>
      <w:r w:rsidRPr="00343FBE">
        <w:rPr>
          <w:rFonts w:ascii="Century Gothic" w:hAnsi="Century Gothic" w:cs="Arial"/>
          <w:b/>
          <w:bCs/>
          <w:i/>
          <w:sz w:val="28"/>
          <w:szCs w:val="28"/>
          <w:lang w:eastAsia="en-US"/>
        </w:rPr>
        <w:t xml:space="preserve">per </w:t>
      </w:r>
      <w:proofErr w:type="spellStart"/>
      <w:r w:rsidRPr="00343FBE">
        <w:rPr>
          <w:rFonts w:ascii="Century Gothic" w:hAnsi="Century Gothic" w:cs="Arial"/>
          <w:b/>
          <w:bCs/>
          <w:i/>
          <w:sz w:val="28"/>
          <w:szCs w:val="28"/>
          <w:lang w:eastAsia="en-US"/>
        </w:rPr>
        <w:t>saltum</w:t>
      </w:r>
      <w:proofErr w:type="spellEnd"/>
      <w:r w:rsidRPr="00343FBE">
        <w:rPr>
          <w:rFonts w:ascii="Century Gothic" w:hAnsi="Century Gothic" w:cs="Arial"/>
          <w:b/>
          <w:bCs/>
          <w:i/>
          <w:sz w:val="28"/>
          <w:szCs w:val="28"/>
          <w:lang w:eastAsia="en-US"/>
        </w:rPr>
        <w:t xml:space="preserve"> (SUP-JDC-399/2017</w:t>
      </w:r>
      <w:r w:rsidR="00CF3B71" w:rsidRPr="00343FBE">
        <w:rPr>
          <w:rFonts w:ascii="Century Gothic" w:hAnsi="Century Gothic" w:cs="Arial"/>
          <w:b/>
          <w:bCs/>
          <w:i/>
          <w:sz w:val="28"/>
          <w:szCs w:val="28"/>
          <w:lang w:eastAsia="en-US"/>
        </w:rPr>
        <w:t>,</w:t>
      </w:r>
      <w:r w:rsidRPr="00343FBE">
        <w:rPr>
          <w:rFonts w:ascii="Century Gothic" w:hAnsi="Century Gothic" w:cs="Arial"/>
          <w:b/>
          <w:bCs/>
          <w:i/>
          <w:sz w:val="28"/>
          <w:szCs w:val="28"/>
          <w:lang w:eastAsia="en-US"/>
        </w:rPr>
        <w:t xml:space="preserve"> </w:t>
      </w:r>
      <w:r w:rsidRPr="00343FBE">
        <w:rPr>
          <w:rFonts w:ascii="Century Gothic" w:hAnsi="Century Gothic" w:cs="Arial"/>
          <w:b/>
          <w:bCs/>
          <w:sz w:val="28"/>
          <w:szCs w:val="28"/>
          <w:lang w:eastAsia="en-US"/>
        </w:rPr>
        <w:lastRenderedPageBreak/>
        <w:t>S</w:t>
      </w:r>
      <w:r w:rsidRPr="00343FBE">
        <w:rPr>
          <w:rFonts w:ascii="Century Gothic" w:hAnsi="Century Gothic" w:cs="Arial"/>
          <w:b/>
          <w:bCs/>
          <w:i/>
          <w:sz w:val="28"/>
          <w:szCs w:val="28"/>
          <w:lang w:eastAsia="en-US"/>
        </w:rPr>
        <w:t>UP-JDC-445/2017</w:t>
      </w:r>
      <w:r w:rsidR="00CF3B71" w:rsidRPr="00343FBE">
        <w:rPr>
          <w:rFonts w:ascii="Century Gothic" w:hAnsi="Century Gothic" w:cs="Arial"/>
          <w:b/>
          <w:bCs/>
          <w:i/>
          <w:sz w:val="28"/>
          <w:szCs w:val="28"/>
          <w:lang w:eastAsia="en-US"/>
        </w:rPr>
        <w:t xml:space="preserve"> y SUP-JDC-468/2017</w:t>
      </w:r>
      <w:r w:rsidRPr="00343FBE">
        <w:rPr>
          <w:rFonts w:ascii="Century Gothic" w:hAnsi="Century Gothic" w:cs="Arial"/>
          <w:b/>
          <w:bCs/>
          <w:i/>
          <w:sz w:val="28"/>
          <w:szCs w:val="28"/>
          <w:lang w:eastAsia="en-US"/>
        </w:rPr>
        <w:t>)</w:t>
      </w:r>
      <w:r w:rsidRPr="00343FBE">
        <w:rPr>
          <w:rFonts w:ascii="Century Gothic" w:hAnsi="Century Gothic" w:cs="Arial"/>
          <w:bCs/>
          <w:sz w:val="28"/>
          <w:szCs w:val="28"/>
          <w:lang w:eastAsia="en-US"/>
        </w:rPr>
        <w:t>. Florencio Torres Romero señala que ha sido criterio reiterado de la Sala Superior que</w:t>
      </w:r>
      <w:r w:rsidR="0089279F" w:rsidRPr="00343FBE">
        <w:rPr>
          <w:rFonts w:ascii="Century Gothic" w:hAnsi="Century Gothic" w:cs="Arial"/>
          <w:bCs/>
          <w:sz w:val="28"/>
          <w:szCs w:val="28"/>
          <w:lang w:eastAsia="en-US"/>
        </w:rPr>
        <w:t xml:space="preserve"> el estudio</w:t>
      </w:r>
      <w:r w:rsidRPr="00343FBE">
        <w:rPr>
          <w:rFonts w:ascii="Century Gothic" w:hAnsi="Century Gothic" w:cs="Arial"/>
          <w:bCs/>
          <w:sz w:val="28"/>
          <w:szCs w:val="28"/>
          <w:lang w:eastAsia="en-US"/>
        </w:rPr>
        <w:t xml:space="preserve"> </w:t>
      </w:r>
      <w:r w:rsidRPr="00343FBE">
        <w:rPr>
          <w:rFonts w:ascii="Century Gothic" w:hAnsi="Century Gothic" w:cs="Arial"/>
          <w:bCs/>
          <w:i/>
          <w:sz w:val="28"/>
          <w:szCs w:val="28"/>
          <w:lang w:eastAsia="en-US"/>
        </w:rPr>
        <w:t xml:space="preserve">per </w:t>
      </w:r>
      <w:proofErr w:type="spellStart"/>
      <w:r w:rsidRPr="00343FBE">
        <w:rPr>
          <w:rFonts w:ascii="Century Gothic" w:hAnsi="Century Gothic" w:cs="Arial"/>
          <w:bCs/>
          <w:i/>
          <w:sz w:val="28"/>
          <w:szCs w:val="28"/>
          <w:lang w:eastAsia="en-US"/>
        </w:rPr>
        <w:t>saltum</w:t>
      </w:r>
      <w:proofErr w:type="spellEnd"/>
      <w:r w:rsidRPr="00343FBE">
        <w:rPr>
          <w:rFonts w:ascii="Century Gothic" w:hAnsi="Century Gothic" w:cs="Arial"/>
          <w:bCs/>
          <w:sz w:val="28"/>
          <w:szCs w:val="28"/>
          <w:lang w:eastAsia="en-US"/>
        </w:rPr>
        <w:t xml:space="preserve"> se justifica, entre otras causas, por el riesgo de que el transcurso del tiempo impida la restitución del derecho político-electoral presuntamente vulnerado. </w:t>
      </w: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Señala que en el caso, se encuentra exonerado de agotar los medios </w:t>
      </w:r>
      <w:proofErr w:type="spellStart"/>
      <w:r w:rsidRPr="00343FBE">
        <w:rPr>
          <w:rFonts w:ascii="Century Gothic" w:hAnsi="Century Gothic" w:cs="Arial"/>
          <w:bCs/>
          <w:sz w:val="28"/>
          <w:szCs w:val="28"/>
          <w:lang w:eastAsia="en-US"/>
        </w:rPr>
        <w:t>intrapartidistas</w:t>
      </w:r>
      <w:proofErr w:type="spellEnd"/>
      <w:r w:rsidRPr="00343FBE">
        <w:rPr>
          <w:rFonts w:ascii="Century Gothic" w:hAnsi="Century Gothic" w:cs="Arial"/>
          <w:bCs/>
          <w:sz w:val="28"/>
          <w:szCs w:val="28"/>
          <w:lang w:eastAsia="en-US"/>
        </w:rPr>
        <w:t xml:space="preserve"> previstos en los estatutos del PT, ya que dicho agotamiento podría representar una amenaza seria a los derechos sustanciales que son objeto del litigio, pues</w:t>
      </w:r>
      <w:r w:rsidR="00C263E8" w:rsidRPr="00343FBE">
        <w:rPr>
          <w:rFonts w:ascii="Century Gothic" w:hAnsi="Century Gothic" w:cs="Arial"/>
          <w:bCs/>
          <w:sz w:val="28"/>
          <w:szCs w:val="28"/>
          <w:lang w:eastAsia="en-US"/>
        </w:rPr>
        <w:t xml:space="preserve"> lo impugnado se relaciona con</w:t>
      </w:r>
      <w:r w:rsidRPr="00343FBE">
        <w:rPr>
          <w:rFonts w:ascii="Century Gothic" w:hAnsi="Century Gothic" w:cs="Arial"/>
          <w:bCs/>
          <w:sz w:val="28"/>
          <w:szCs w:val="28"/>
          <w:lang w:eastAsia="en-US"/>
        </w:rPr>
        <w:t xml:space="preserve"> el 10° Congreso Nacional del citado partido político,</w:t>
      </w:r>
      <w:r w:rsidR="00C263E8" w:rsidRPr="00343FBE">
        <w:rPr>
          <w:rFonts w:ascii="Century Gothic" w:hAnsi="Century Gothic" w:cs="Arial"/>
          <w:bCs/>
          <w:sz w:val="28"/>
          <w:szCs w:val="28"/>
          <w:lang w:eastAsia="en-US"/>
        </w:rPr>
        <w:t xml:space="preserve"> que tendrá lugar</w:t>
      </w:r>
      <w:r w:rsidRPr="00343FBE">
        <w:rPr>
          <w:rFonts w:ascii="Century Gothic" w:hAnsi="Century Gothic" w:cs="Arial"/>
          <w:bCs/>
          <w:sz w:val="28"/>
          <w:szCs w:val="28"/>
          <w:lang w:eastAsia="en-US"/>
        </w:rPr>
        <w:t xml:space="preserve"> el próximo veinticuatro de junio, por lo que si agotara el recurso de queja previsto en el artículo 55 Bis 1 del Estatuto, ya no podría impugnar la resolución que le recaiga, y por ende, las omisiones y determinaciones que ahora recurre, dado que el mencionado recurso debe ser resuelto en un plazo no mayor a </w:t>
      </w:r>
      <w:r w:rsidR="00E82161" w:rsidRPr="00343FBE">
        <w:rPr>
          <w:rFonts w:ascii="Century Gothic" w:hAnsi="Century Gothic" w:cs="Arial"/>
          <w:bCs/>
          <w:sz w:val="28"/>
          <w:szCs w:val="28"/>
          <w:lang w:eastAsia="en-US"/>
        </w:rPr>
        <w:t xml:space="preserve">cuarenta y cinco </w:t>
      </w:r>
      <w:r w:rsidRPr="00343FBE">
        <w:rPr>
          <w:rFonts w:ascii="Century Gothic" w:hAnsi="Century Gothic" w:cs="Arial"/>
          <w:bCs/>
          <w:sz w:val="28"/>
          <w:szCs w:val="28"/>
          <w:lang w:eastAsia="en-US"/>
        </w:rPr>
        <w:t>días.</w:t>
      </w: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La Sala Superior considera que debe procederse, </w:t>
      </w:r>
      <w:r w:rsidRPr="00343FBE">
        <w:rPr>
          <w:rFonts w:ascii="Century Gothic" w:hAnsi="Century Gothic" w:cs="Arial"/>
          <w:bCs/>
          <w:i/>
          <w:sz w:val="28"/>
          <w:szCs w:val="28"/>
          <w:lang w:eastAsia="en-US"/>
        </w:rPr>
        <w:t xml:space="preserve">per </w:t>
      </w:r>
      <w:proofErr w:type="spellStart"/>
      <w:r w:rsidRPr="00343FBE">
        <w:rPr>
          <w:rFonts w:ascii="Century Gothic" w:hAnsi="Century Gothic" w:cs="Arial"/>
          <w:bCs/>
          <w:i/>
          <w:sz w:val="28"/>
          <w:szCs w:val="28"/>
          <w:lang w:eastAsia="en-US"/>
        </w:rPr>
        <w:t>saltum</w:t>
      </w:r>
      <w:proofErr w:type="spellEnd"/>
      <w:r w:rsidRPr="00343FBE">
        <w:rPr>
          <w:rFonts w:ascii="Century Gothic" w:hAnsi="Century Gothic" w:cs="Arial"/>
          <w:bCs/>
          <w:sz w:val="28"/>
          <w:szCs w:val="28"/>
          <w:lang w:eastAsia="en-US"/>
        </w:rPr>
        <w:t>, al estudio de</w:t>
      </w:r>
      <w:r w:rsidR="00C263E8" w:rsidRPr="00343FBE">
        <w:rPr>
          <w:rFonts w:ascii="Century Gothic" w:hAnsi="Century Gothic" w:cs="Arial"/>
          <w:bCs/>
          <w:sz w:val="28"/>
          <w:szCs w:val="28"/>
          <w:lang w:eastAsia="en-US"/>
        </w:rPr>
        <w:t xml:space="preserve"> las demandas de los juicios</w:t>
      </w:r>
      <w:r w:rsidRPr="00343FBE">
        <w:rPr>
          <w:rFonts w:ascii="Century Gothic" w:hAnsi="Century Gothic" w:cs="Arial"/>
          <w:bCs/>
          <w:sz w:val="28"/>
          <w:szCs w:val="28"/>
          <w:lang w:eastAsia="en-US"/>
        </w:rPr>
        <w:t xml:space="preserve"> SUP-JDC-399/2017</w:t>
      </w:r>
      <w:r w:rsidR="00E02A47" w:rsidRPr="00343FBE">
        <w:rPr>
          <w:rFonts w:ascii="Century Gothic" w:hAnsi="Century Gothic" w:cs="Arial"/>
          <w:bCs/>
          <w:sz w:val="28"/>
          <w:szCs w:val="28"/>
          <w:lang w:eastAsia="en-US"/>
        </w:rPr>
        <w:t>,</w:t>
      </w:r>
      <w:r w:rsidRPr="00343FBE">
        <w:rPr>
          <w:rFonts w:ascii="Century Gothic" w:hAnsi="Century Gothic" w:cs="Arial"/>
          <w:bCs/>
          <w:sz w:val="28"/>
          <w:szCs w:val="28"/>
          <w:lang w:eastAsia="en-US"/>
        </w:rPr>
        <w:t xml:space="preserve"> SUP-JDC-445/2017</w:t>
      </w:r>
      <w:r w:rsidR="00E02A47" w:rsidRPr="00343FBE">
        <w:rPr>
          <w:rFonts w:ascii="Century Gothic" w:hAnsi="Century Gothic" w:cs="Arial"/>
          <w:bCs/>
          <w:sz w:val="28"/>
          <w:szCs w:val="28"/>
          <w:lang w:eastAsia="en-US"/>
        </w:rPr>
        <w:t xml:space="preserve"> y SUP-JDC-468/2017</w:t>
      </w:r>
      <w:r w:rsidRPr="00343FBE">
        <w:rPr>
          <w:rFonts w:ascii="Century Gothic" w:hAnsi="Century Gothic" w:cs="Arial"/>
          <w:bCs/>
          <w:sz w:val="28"/>
          <w:szCs w:val="28"/>
          <w:lang w:eastAsia="en-US"/>
        </w:rPr>
        <w:t>, por las razones que enseguida se exponen:</w:t>
      </w: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p>
    <w:p w:rsidR="00E539CF" w:rsidRPr="00343FBE" w:rsidRDefault="00C263E8" w:rsidP="00E539CF">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L</w:t>
      </w:r>
      <w:r w:rsidR="00E539CF" w:rsidRPr="00343FBE">
        <w:rPr>
          <w:rFonts w:ascii="Century Gothic" w:hAnsi="Century Gothic" w:cs="Arial"/>
          <w:bCs/>
          <w:sz w:val="28"/>
          <w:szCs w:val="28"/>
          <w:lang w:eastAsia="en-US"/>
        </w:rPr>
        <w:t xml:space="preserve">a </w:t>
      </w:r>
      <w:proofErr w:type="spellStart"/>
      <w:r w:rsidR="00E539CF" w:rsidRPr="00343FBE">
        <w:rPr>
          <w:rFonts w:ascii="Century Gothic" w:hAnsi="Century Gothic" w:cs="Arial"/>
          <w:bCs/>
          <w:sz w:val="28"/>
          <w:szCs w:val="28"/>
          <w:lang w:eastAsia="en-US"/>
        </w:rPr>
        <w:t>litis</w:t>
      </w:r>
      <w:proofErr w:type="spellEnd"/>
      <w:r w:rsidR="00E539CF" w:rsidRPr="00343FBE">
        <w:rPr>
          <w:rFonts w:ascii="Century Gothic" w:hAnsi="Century Gothic" w:cs="Arial"/>
          <w:bCs/>
          <w:sz w:val="28"/>
          <w:szCs w:val="28"/>
          <w:lang w:eastAsia="en-US"/>
        </w:rPr>
        <w:t xml:space="preserve"> </w:t>
      </w:r>
      <w:r w:rsidRPr="00343FBE">
        <w:rPr>
          <w:rFonts w:ascii="Century Gothic" w:hAnsi="Century Gothic" w:cs="Arial"/>
          <w:bCs/>
          <w:sz w:val="28"/>
          <w:szCs w:val="28"/>
          <w:lang w:eastAsia="en-US"/>
        </w:rPr>
        <w:t xml:space="preserve">en los juicios </w:t>
      </w:r>
      <w:r w:rsidR="00E539CF" w:rsidRPr="00343FBE">
        <w:rPr>
          <w:rFonts w:ascii="Century Gothic" w:hAnsi="Century Gothic" w:cs="Arial"/>
          <w:bCs/>
          <w:sz w:val="28"/>
          <w:szCs w:val="28"/>
          <w:lang w:eastAsia="en-US"/>
        </w:rPr>
        <w:t>se relaciona con diversas omisiones que se atribuyen a la Comisión Coordinadora Nacional</w:t>
      </w:r>
      <w:r w:rsidRPr="00343FBE">
        <w:rPr>
          <w:rFonts w:ascii="Century Gothic" w:hAnsi="Century Gothic" w:cs="Arial"/>
          <w:bCs/>
          <w:sz w:val="28"/>
          <w:szCs w:val="28"/>
          <w:lang w:eastAsia="en-US"/>
        </w:rPr>
        <w:t>, a la</w:t>
      </w:r>
      <w:r w:rsidR="00E539CF" w:rsidRPr="00343FBE">
        <w:rPr>
          <w:rFonts w:ascii="Century Gothic" w:hAnsi="Century Gothic" w:cs="Arial"/>
          <w:bCs/>
          <w:sz w:val="28"/>
          <w:szCs w:val="28"/>
          <w:lang w:eastAsia="en-US"/>
        </w:rPr>
        <w:t xml:space="preserve"> </w:t>
      </w:r>
      <w:r w:rsidR="00E539CF" w:rsidRPr="00343FBE">
        <w:rPr>
          <w:rFonts w:ascii="Century Gothic" w:hAnsi="Century Gothic" w:cs="Arial"/>
          <w:bCs/>
          <w:sz w:val="28"/>
          <w:szCs w:val="28"/>
          <w:lang w:eastAsia="en-US"/>
        </w:rPr>
        <w:lastRenderedPageBreak/>
        <w:t xml:space="preserve">Comisión Ejecutiva Nacional del </w:t>
      </w:r>
      <w:r w:rsidR="00A8764A" w:rsidRPr="00343FBE">
        <w:rPr>
          <w:rFonts w:ascii="Century Gothic" w:hAnsi="Century Gothic" w:cs="Arial"/>
          <w:bCs/>
          <w:sz w:val="28"/>
          <w:szCs w:val="28"/>
          <w:lang w:eastAsia="en-US"/>
        </w:rPr>
        <w:t>PT</w:t>
      </w:r>
      <w:r w:rsidRPr="00343FBE">
        <w:rPr>
          <w:rFonts w:ascii="Century Gothic" w:hAnsi="Century Gothic" w:cs="Arial"/>
          <w:bCs/>
          <w:sz w:val="28"/>
          <w:szCs w:val="28"/>
          <w:lang w:eastAsia="en-US"/>
        </w:rPr>
        <w:t xml:space="preserve"> y a la Comisión Nacional de Elecciones y Procedimientos Internos</w:t>
      </w:r>
      <w:r w:rsidR="00E539CF" w:rsidRPr="00343FBE">
        <w:rPr>
          <w:rFonts w:ascii="Century Gothic" w:hAnsi="Century Gothic" w:cs="Arial"/>
          <w:bCs/>
          <w:sz w:val="28"/>
          <w:szCs w:val="28"/>
          <w:lang w:eastAsia="en-US"/>
        </w:rPr>
        <w:t>, así como con la legalidad de la Convocatoria emitida para la celebración del 10° Congreso Nacional Ordinario del indicado partido político, por lo que atendiendo lo previsto en los artículos 51, primer párrafo; 53, primer párrafo, incisos a), b) y e); 54, primer párrafo, inciso a); y 55 Bis 1, primer y segundo párrafos, de los Estatutos del PT, quien tendría que pronunciarse en un primer momento al respecto, sería la Comisión de Justicia, a través del recurso de queja. Lo anterior, de conformidad con lo previsto en el artículo 99, párrafo cuarto, fracción V, del Pacto Federal.</w:t>
      </w: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No obstante, en cuanto a la </w:t>
      </w:r>
      <w:proofErr w:type="spellStart"/>
      <w:r w:rsidRPr="00343FBE">
        <w:rPr>
          <w:rFonts w:ascii="Century Gothic" w:hAnsi="Century Gothic" w:cs="Arial"/>
          <w:bCs/>
          <w:sz w:val="28"/>
          <w:szCs w:val="28"/>
          <w:lang w:eastAsia="en-US"/>
        </w:rPr>
        <w:t>definitividad</w:t>
      </w:r>
      <w:proofErr w:type="spellEnd"/>
      <w:r w:rsidRPr="00343FBE">
        <w:rPr>
          <w:rFonts w:ascii="Century Gothic" w:hAnsi="Century Gothic" w:cs="Arial"/>
          <w:bCs/>
          <w:sz w:val="28"/>
          <w:szCs w:val="28"/>
          <w:lang w:eastAsia="en-US"/>
        </w:rPr>
        <w:t xml:space="preserve"> del acto controvertido, se destaca que existen supuestos conforme a los cuales la parte actora queda exonerada de agotar los medios de impugnación previstos en la ley electoral local o en la normativa partidista, cuando las circunstancias del caso puedan implicar denegación de impartición de justicia o cuando el agotamiento previo de los medios de impugnación, se traduzca en una amenaza seria para los derechos sustanciales que son objeto del litigio, en esencia, porque los trámites de que consten y el tiempo necesario para llevarlos a cabo puedan implicar la merma considerable o hasta la extinción del contenido de las pretensiones o de sus efectos o consecuencias, por lo que el acto electoral se considera firme y definitivo.</w:t>
      </w: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Esta Sala Superior ha concluido que en tratándose del cumplimiento del requisito de </w:t>
      </w:r>
      <w:proofErr w:type="spellStart"/>
      <w:r w:rsidRPr="00343FBE">
        <w:rPr>
          <w:rFonts w:ascii="Century Gothic" w:hAnsi="Century Gothic" w:cs="Arial"/>
          <w:bCs/>
          <w:sz w:val="28"/>
          <w:szCs w:val="28"/>
          <w:lang w:eastAsia="en-US"/>
        </w:rPr>
        <w:t>definitividad</w:t>
      </w:r>
      <w:proofErr w:type="spellEnd"/>
      <w:r w:rsidRPr="00343FBE">
        <w:rPr>
          <w:rFonts w:ascii="Century Gothic" w:hAnsi="Century Gothic" w:cs="Arial"/>
          <w:bCs/>
          <w:sz w:val="28"/>
          <w:szCs w:val="28"/>
          <w:lang w:eastAsia="en-US"/>
        </w:rPr>
        <w:t xml:space="preserve"> se considerará satisfecho, cuando el propósito o finalidad de agotar los medios de impugnación no signifiquen instrumentos aptos y suficientes para reparar, oportuna y adecuadamente, el derecho del actor que se aduce conculcado, en el acto o resolución controvertido.</w:t>
      </w: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El criterio anterior ha sido sostenido reiteradamente por la Sala Superior, lo cual ha dado origen a la tesis de jurisprudencia identificada con la clave 9/2001, cuyo rubro es “DEFINITIVIDAD Y FIRMEZA. SI EL AGOTAMIENTO DE LOS MEDIOS IMPUGNATIVOS ORDINARIOS IMPLICAN LA MERMA O EXTINCIÓN DE LA PRETENSIÓN DEL ACTOR, DEBE TENERSE POR CUMPLIDO EL REQUISITO.” </w:t>
      </w: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En este sentido, en el caso, existen circunstancias especiales que conducen a tener por satisfecho el requisito de </w:t>
      </w:r>
      <w:proofErr w:type="spellStart"/>
      <w:r w:rsidRPr="00343FBE">
        <w:rPr>
          <w:rFonts w:ascii="Century Gothic" w:hAnsi="Century Gothic" w:cs="Arial"/>
          <w:bCs/>
          <w:sz w:val="28"/>
          <w:szCs w:val="28"/>
          <w:lang w:eastAsia="en-US"/>
        </w:rPr>
        <w:t>procedibilidad</w:t>
      </w:r>
      <w:proofErr w:type="spellEnd"/>
      <w:r w:rsidRPr="00343FBE">
        <w:rPr>
          <w:rFonts w:ascii="Century Gothic" w:hAnsi="Century Gothic" w:cs="Arial"/>
          <w:bCs/>
          <w:sz w:val="28"/>
          <w:szCs w:val="28"/>
          <w:lang w:eastAsia="en-US"/>
        </w:rPr>
        <w:t xml:space="preserve"> que se analiza, derivado de las peculiaridades del asunto.</w:t>
      </w: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Lo anterior se afirma, en razón de que para el próximo veinticuatro de junio de dos mil diecisiete, está convocado el “10º Congreso Nacional Ordinario” del PT,</w:t>
      </w:r>
      <w:r w:rsidRPr="00343FBE">
        <w:rPr>
          <w:rFonts w:ascii="Century Gothic" w:hAnsi="Century Gothic" w:cs="Arial"/>
          <w:bCs/>
          <w:strike/>
          <w:sz w:val="28"/>
          <w:szCs w:val="28"/>
          <w:lang w:eastAsia="en-US"/>
        </w:rPr>
        <w:t xml:space="preserve"> </w:t>
      </w:r>
      <w:r w:rsidR="009D29B3" w:rsidRPr="00343FBE">
        <w:rPr>
          <w:rFonts w:ascii="Century Gothic" w:hAnsi="Century Gothic" w:cs="Arial"/>
          <w:bCs/>
          <w:sz w:val="28"/>
          <w:szCs w:val="28"/>
          <w:lang w:eastAsia="en-US"/>
        </w:rPr>
        <w:t xml:space="preserve">y los actos y omisiones que se reclaman en los juicios citados, tienen estrecha relación con lo controvertido en el juicio </w:t>
      </w:r>
      <w:r w:rsidR="009D29B3" w:rsidRPr="00343FBE">
        <w:rPr>
          <w:rFonts w:ascii="Century Gothic" w:hAnsi="Century Gothic" w:cs="Arial"/>
          <w:bCs/>
          <w:sz w:val="28"/>
          <w:szCs w:val="28"/>
          <w:lang w:eastAsia="en-US"/>
        </w:rPr>
        <w:lastRenderedPageBreak/>
        <w:t>ciudadano SUP-JDC-369/2017, ya que, por ejemplo, se aduce la ilegalidad de las asambleas del catorce de diciembre de dos mil dieciséis y veintidós de febrero del año en curso, y se alega la ilegibilidad de algunas personas.</w:t>
      </w:r>
    </w:p>
    <w:p w:rsidR="009D29B3" w:rsidRPr="00343FBE" w:rsidRDefault="009D29B3" w:rsidP="00E539CF">
      <w:pPr>
        <w:widowControl w:val="0"/>
        <w:shd w:val="clear" w:color="auto" w:fill="FFFFFF" w:themeFill="background1"/>
        <w:spacing w:line="360" w:lineRule="auto"/>
        <w:jc w:val="both"/>
        <w:rPr>
          <w:rFonts w:ascii="Century Gothic" w:hAnsi="Century Gothic" w:cs="Arial"/>
          <w:bCs/>
          <w:sz w:val="28"/>
          <w:szCs w:val="28"/>
          <w:lang w:eastAsia="en-US"/>
        </w:rPr>
      </w:pPr>
    </w:p>
    <w:p w:rsidR="009D29B3" w:rsidRPr="00343FBE" w:rsidRDefault="009D29B3" w:rsidP="00E539CF">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Ahora bien, en el último juicio citado, el actor ya agotó la instancia </w:t>
      </w:r>
      <w:proofErr w:type="spellStart"/>
      <w:r w:rsidRPr="00343FBE">
        <w:rPr>
          <w:rFonts w:ascii="Century Gothic" w:hAnsi="Century Gothic" w:cs="Arial"/>
          <w:bCs/>
          <w:sz w:val="28"/>
          <w:szCs w:val="28"/>
          <w:lang w:eastAsia="en-US"/>
        </w:rPr>
        <w:t>intrapartidista</w:t>
      </w:r>
      <w:proofErr w:type="spellEnd"/>
      <w:r w:rsidRPr="00343FBE">
        <w:rPr>
          <w:rFonts w:ascii="Century Gothic" w:hAnsi="Century Gothic" w:cs="Arial"/>
          <w:bCs/>
          <w:sz w:val="28"/>
          <w:szCs w:val="28"/>
          <w:lang w:eastAsia="en-US"/>
        </w:rPr>
        <w:t xml:space="preserve">, por tanto, en el caso, dada esa estrecha relación, entre todos los juicios, procede el estudio per </w:t>
      </w:r>
      <w:proofErr w:type="spellStart"/>
      <w:r w:rsidRPr="00343FBE">
        <w:rPr>
          <w:rFonts w:ascii="Century Gothic" w:hAnsi="Century Gothic" w:cs="Arial"/>
          <w:bCs/>
          <w:sz w:val="28"/>
          <w:szCs w:val="28"/>
          <w:lang w:eastAsia="en-US"/>
        </w:rPr>
        <w:t>saltum</w:t>
      </w:r>
      <w:proofErr w:type="spellEnd"/>
      <w:r w:rsidRPr="00343FBE">
        <w:rPr>
          <w:rFonts w:ascii="Century Gothic" w:hAnsi="Century Gothic" w:cs="Arial"/>
          <w:bCs/>
          <w:sz w:val="28"/>
          <w:szCs w:val="28"/>
          <w:lang w:eastAsia="en-US"/>
        </w:rPr>
        <w:t xml:space="preserve"> de aquéllos en los que no se ha agotado la instancia </w:t>
      </w:r>
      <w:proofErr w:type="spellStart"/>
      <w:r w:rsidRPr="00343FBE">
        <w:rPr>
          <w:rFonts w:ascii="Century Gothic" w:hAnsi="Century Gothic" w:cs="Arial"/>
          <w:bCs/>
          <w:sz w:val="28"/>
          <w:szCs w:val="28"/>
          <w:lang w:eastAsia="en-US"/>
        </w:rPr>
        <w:t>intrapartidista</w:t>
      </w:r>
      <w:proofErr w:type="spellEnd"/>
      <w:r w:rsidRPr="00343FBE">
        <w:rPr>
          <w:rFonts w:ascii="Century Gothic" w:hAnsi="Century Gothic" w:cs="Arial"/>
          <w:bCs/>
          <w:sz w:val="28"/>
          <w:szCs w:val="28"/>
          <w:lang w:eastAsia="en-US"/>
        </w:rPr>
        <w:t>.</w:t>
      </w: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Atento a lo expuesto, la Sala Superior tiene por cumplido el requisito de </w:t>
      </w:r>
      <w:proofErr w:type="spellStart"/>
      <w:r w:rsidRPr="00343FBE">
        <w:rPr>
          <w:rFonts w:ascii="Century Gothic" w:hAnsi="Century Gothic" w:cs="Arial"/>
          <w:bCs/>
          <w:sz w:val="28"/>
          <w:szCs w:val="28"/>
          <w:lang w:eastAsia="en-US"/>
        </w:rPr>
        <w:t>definitividad</w:t>
      </w:r>
      <w:proofErr w:type="spellEnd"/>
      <w:r w:rsidRPr="00343FBE">
        <w:rPr>
          <w:rFonts w:ascii="Century Gothic" w:hAnsi="Century Gothic" w:cs="Arial"/>
          <w:bCs/>
          <w:sz w:val="28"/>
          <w:szCs w:val="28"/>
          <w:lang w:eastAsia="en-US"/>
        </w:rPr>
        <w:t xml:space="preserve"> de la impugnación, por lo que procederá a estudiar, </w:t>
      </w:r>
      <w:r w:rsidRPr="00343FBE">
        <w:rPr>
          <w:rFonts w:ascii="Century Gothic" w:hAnsi="Century Gothic" w:cs="Arial"/>
          <w:bCs/>
          <w:i/>
          <w:sz w:val="28"/>
          <w:szCs w:val="28"/>
          <w:lang w:eastAsia="en-US"/>
        </w:rPr>
        <w:t xml:space="preserve">per </w:t>
      </w:r>
      <w:proofErr w:type="spellStart"/>
      <w:r w:rsidRPr="00343FBE">
        <w:rPr>
          <w:rFonts w:ascii="Century Gothic" w:hAnsi="Century Gothic" w:cs="Arial"/>
          <w:bCs/>
          <w:i/>
          <w:sz w:val="28"/>
          <w:szCs w:val="28"/>
          <w:lang w:eastAsia="en-US"/>
        </w:rPr>
        <w:t>saltum</w:t>
      </w:r>
      <w:proofErr w:type="spellEnd"/>
      <w:r w:rsidRPr="00343FBE">
        <w:rPr>
          <w:rFonts w:ascii="Century Gothic" w:hAnsi="Century Gothic" w:cs="Arial"/>
          <w:bCs/>
          <w:sz w:val="28"/>
          <w:szCs w:val="28"/>
          <w:lang w:eastAsia="en-US"/>
        </w:rPr>
        <w:t>, los agravios que plantea Florencio Torres Romero.</w:t>
      </w: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p>
    <w:p w:rsidR="007272CC"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En consecuencia, se </w:t>
      </w:r>
      <w:r w:rsidRPr="00343FBE">
        <w:rPr>
          <w:rFonts w:ascii="Century Gothic" w:hAnsi="Century Gothic" w:cs="Arial"/>
          <w:b/>
          <w:bCs/>
          <w:sz w:val="28"/>
          <w:szCs w:val="28"/>
          <w:lang w:eastAsia="en-US"/>
        </w:rPr>
        <w:t xml:space="preserve">desestima </w:t>
      </w:r>
      <w:r w:rsidRPr="00343FBE">
        <w:rPr>
          <w:rFonts w:ascii="Century Gothic" w:hAnsi="Century Gothic" w:cs="Arial"/>
          <w:bCs/>
          <w:sz w:val="28"/>
          <w:szCs w:val="28"/>
          <w:lang w:eastAsia="en-US"/>
        </w:rPr>
        <w:t>la causa de improcedencia invocada por la Comisión Coordinadora Nacional del P</w:t>
      </w:r>
      <w:r w:rsidR="00CC3FD3" w:rsidRPr="00343FBE">
        <w:rPr>
          <w:rFonts w:ascii="Century Gothic" w:hAnsi="Century Gothic" w:cs="Arial"/>
          <w:bCs/>
          <w:sz w:val="28"/>
          <w:szCs w:val="28"/>
          <w:lang w:eastAsia="en-US"/>
        </w:rPr>
        <w:t>T</w:t>
      </w:r>
      <w:r w:rsidRPr="00343FBE">
        <w:rPr>
          <w:rFonts w:ascii="Century Gothic" w:hAnsi="Century Gothic" w:cs="Arial"/>
          <w:bCs/>
          <w:sz w:val="28"/>
          <w:szCs w:val="28"/>
          <w:lang w:eastAsia="en-US"/>
        </w:rPr>
        <w:t xml:space="preserve">, relativa al incumplimiento del principio de </w:t>
      </w:r>
      <w:proofErr w:type="spellStart"/>
      <w:r w:rsidRPr="00343FBE">
        <w:rPr>
          <w:rFonts w:ascii="Century Gothic" w:hAnsi="Century Gothic" w:cs="Arial"/>
          <w:bCs/>
          <w:sz w:val="28"/>
          <w:szCs w:val="28"/>
          <w:lang w:eastAsia="en-US"/>
        </w:rPr>
        <w:t>definitividad</w:t>
      </w:r>
      <w:proofErr w:type="spellEnd"/>
      <w:r w:rsidRPr="00343FBE">
        <w:rPr>
          <w:rFonts w:ascii="Century Gothic" w:hAnsi="Century Gothic" w:cs="Arial"/>
          <w:bCs/>
          <w:sz w:val="28"/>
          <w:szCs w:val="28"/>
          <w:lang w:eastAsia="en-US"/>
        </w:rPr>
        <w:t xml:space="preserve"> y a que no se justifica el conocimiento </w:t>
      </w:r>
      <w:r w:rsidRPr="00343FBE">
        <w:rPr>
          <w:rFonts w:ascii="Century Gothic" w:hAnsi="Century Gothic" w:cs="Arial"/>
          <w:bCs/>
          <w:i/>
          <w:sz w:val="28"/>
          <w:szCs w:val="28"/>
          <w:lang w:eastAsia="en-US"/>
        </w:rPr>
        <w:t xml:space="preserve">per </w:t>
      </w:r>
      <w:proofErr w:type="spellStart"/>
      <w:r w:rsidRPr="00343FBE">
        <w:rPr>
          <w:rFonts w:ascii="Century Gothic" w:hAnsi="Century Gothic" w:cs="Arial"/>
          <w:bCs/>
          <w:i/>
          <w:sz w:val="28"/>
          <w:szCs w:val="28"/>
          <w:lang w:eastAsia="en-US"/>
        </w:rPr>
        <w:t>saltum</w:t>
      </w:r>
      <w:proofErr w:type="spellEnd"/>
      <w:r w:rsidRPr="00343FBE">
        <w:rPr>
          <w:rFonts w:ascii="Century Gothic" w:hAnsi="Century Gothic" w:cs="Arial"/>
          <w:bCs/>
          <w:sz w:val="28"/>
          <w:szCs w:val="28"/>
          <w:lang w:eastAsia="en-US"/>
        </w:rPr>
        <w:t>.</w:t>
      </w:r>
    </w:p>
    <w:p w:rsidR="00E539CF" w:rsidRPr="00343FBE" w:rsidRDefault="00E539CF" w:rsidP="00E539CF">
      <w:pPr>
        <w:widowControl w:val="0"/>
        <w:shd w:val="clear" w:color="auto" w:fill="FFFFFF" w:themeFill="background1"/>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p>
    <w:p w:rsidR="00FC06C0" w:rsidRPr="00343FBE" w:rsidRDefault="008F68DE" w:rsidP="00FC06C0">
      <w:pPr>
        <w:spacing w:before="120" w:after="240" w:line="348" w:lineRule="auto"/>
        <w:jc w:val="both"/>
        <w:rPr>
          <w:rFonts w:ascii="Century Gothic" w:hAnsi="Century Gothic" w:cs="Arial"/>
          <w:sz w:val="28"/>
          <w:szCs w:val="28"/>
        </w:rPr>
      </w:pPr>
      <w:r w:rsidRPr="00343FBE">
        <w:rPr>
          <w:rFonts w:ascii="Century Gothic" w:hAnsi="Century Gothic" w:cs="Arial"/>
          <w:b/>
          <w:bCs/>
          <w:sz w:val="28"/>
          <w:szCs w:val="28"/>
          <w:lang w:eastAsia="en-US"/>
        </w:rPr>
        <w:t>CUARTO</w:t>
      </w:r>
      <w:r w:rsidR="00260AA3" w:rsidRPr="00343FBE">
        <w:rPr>
          <w:rFonts w:ascii="Century Gothic" w:hAnsi="Century Gothic" w:cs="Arial"/>
          <w:b/>
          <w:bCs/>
          <w:sz w:val="28"/>
          <w:szCs w:val="28"/>
          <w:lang w:eastAsia="en-US"/>
        </w:rPr>
        <w:t xml:space="preserve">. </w:t>
      </w:r>
      <w:r w:rsidR="00FC06C0" w:rsidRPr="00343FBE">
        <w:rPr>
          <w:rFonts w:ascii="Century Gothic" w:hAnsi="Century Gothic" w:cs="Arial"/>
          <w:b/>
          <w:sz w:val="28"/>
          <w:szCs w:val="28"/>
        </w:rPr>
        <w:t xml:space="preserve">Tercero interesado. </w:t>
      </w:r>
      <w:r w:rsidR="00FC06C0" w:rsidRPr="00343FBE">
        <w:rPr>
          <w:rFonts w:ascii="Century Gothic" w:hAnsi="Century Gothic" w:cs="Arial"/>
          <w:sz w:val="28"/>
          <w:szCs w:val="28"/>
        </w:rPr>
        <w:t xml:space="preserve">Toda vez que, mediante escrito recibido en la Comisión Coordinadora Nacional del </w:t>
      </w:r>
      <w:r w:rsidR="00A8764A" w:rsidRPr="00343FBE">
        <w:rPr>
          <w:rFonts w:ascii="Century Gothic" w:hAnsi="Century Gothic" w:cs="Arial"/>
          <w:sz w:val="28"/>
          <w:szCs w:val="28"/>
        </w:rPr>
        <w:t>PT</w:t>
      </w:r>
      <w:r w:rsidR="00FC06C0" w:rsidRPr="00343FBE">
        <w:rPr>
          <w:rFonts w:ascii="Century Gothic" w:hAnsi="Century Gothic" w:cs="Arial"/>
          <w:sz w:val="28"/>
          <w:szCs w:val="28"/>
        </w:rPr>
        <w:t xml:space="preserve">, el ocho de junio de dos mil diecisiete, Adalid Martínez Gómez, ostentándose como militante e integrante de la </w:t>
      </w:r>
      <w:r w:rsidR="00FC06C0" w:rsidRPr="00343FBE">
        <w:rPr>
          <w:rFonts w:ascii="Century Gothic" w:hAnsi="Century Gothic" w:cs="Arial"/>
          <w:sz w:val="28"/>
          <w:szCs w:val="28"/>
        </w:rPr>
        <w:lastRenderedPageBreak/>
        <w:t>Comisión Ejecutiva Nacional del indicado partido político, compareció al juicio ciudadano SUP-JDC-399/2017, con el carácter de tercero interesado, se le reconoce tal calidad.</w:t>
      </w:r>
    </w:p>
    <w:p w:rsidR="00FC06C0" w:rsidRPr="00343FBE" w:rsidRDefault="00FC06C0" w:rsidP="00FC06C0">
      <w:pPr>
        <w:spacing w:before="120" w:after="240" w:line="348" w:lineRule="auto"/>
        <w:jc w:val="both"/>
        <w:rPr>
          <w:rFonts w:ascii="Century Gothic" w:hAnsi="Century Gothic" w:cs="Arial"/>
          <w:sz w:val="28"/>
          <w:szCs w:val="28"/>
        </w:rPr>
      </w:pPr>
      <w:r w:rsidRPr="00343FBE">
        <w:rPr>
          <w:rFonts w:ascii="Century Gothic" w:hAnsi="Century Gothic" w:cs="Arial"/>
          <w:sz w:val="28"/>
          <w:szCs w:val="28"/>
        </w:rPr>
        <w:t>Lo anterior, toda vez que se cumplen los requisitos del artículo 17, numeral 4, de la Ley General del Sistema de Medios de Impugnación en Materia Electoral, de la siguiente manera:</w:t>
      </w:r>
    </w:p>
    <w:p w:rsidR="00FC06C0" w:rsidRPr="00343FBE" w:rsidRDefault="00FC06C0" w:rsidP="00FC06C0">
      <w:pPr>
        <w:spacing w:before="120" w:after="240" w:line="348" w:lineRule="auto"/>
        <w:jc w:val="both"/>
        <w:rPr>
          <w:rFonts w:ascii="Century Gothic" w:hAnsi="Century Gothic" w:cs="Arial"/>
          <w:sz w:val="28"/>
          <w:szCs w:val="28"/>
        </w:rPr>
      </w:pPr>
      <w:r w:rsidRPr="00343FBE">
        <w:rPr>
          <w:rFonts w:ascii="Century Gothic" w:hAnsi="Century Gothic" w:cs="Arial"/>
          <w:b/>
          <w:sz w:val="28"/>
          <w:szCs w:val="28"/>
        </w:rPr>
        <w:t xml:space="preserve">1. </w:t>
      </w:r>
      <w:r w:rsidR="00B432D1" w:rsidRPr="00343FBE">
        <w:rPr>
          <w:rFonts w:ascii="Century Gothic" w:hAnsi="Century Gothic" w:cs="Arial"/>
          <w:b/>
          <w:sz w:val="28"/>
          <w:szCs w:val="28"/>
        </w:rPr>
        <w:t>F</w:t>
      </w:r>
      <w:r w:rsidRPr="00343FBE">
        <w:rPr>
          <w:rFonts w:ascii="Century Gothic" w:hAnsi="Century Gothic" w:cs="Arial"/>
          <w:b/>
          <w:sz w:val="28"/>
          <w:szCs w:val="28"/>
        </w:rPr>
        <w:t>orma.</w:t>
      </w:r>
      <w:r w:rsidRPr="00343FBE">
        <w:rPr>
          <w:rFonts w:ascii="Century Gothic" w:hAnsi="Century Gothic" w:cs="Arial"/>
          <w:sz w:val="28"/>
          <w:szCs w:val="28"/>
        </w:rPr>
        <w:t xml:space="preserve"> En el escrito que se analiza, se hace constar el nombre de quien comparece como tercero interesado, así como la razón del interés jurídico en que se funda y su pretensión concreta contraria a la del actor, así como su firma autógrafa.</w:t>
      </w:r>
    </w:p>
    <w:p w:rsidR="00FC06C0" w:rsidRPr="00343FBE" w:rsidRDefault="00FC06C0" w:rsidP="00FC06C0">
      <w:pPr>
        <w:spacing w:before="120" w:after="240" w:line="348" w:lineRule="auto"/>
        <w:jc w:val="both"/>
        <w:rPr>
          <w:rFonts w:ascii="Century Gothic" w:hAnsi="Century Gothic" w:cs="Arial"/>
          <w:sz w:val="28"/>
          <w:szCs w:val="28"/>
        </w:rPr>
      </w:pPr>
      <w:r w:rsidRPr="00343FBE">
        <w:rPr>
          <w:rFonts w:ascii="Century Gothic" w:hAnsi="Century Gothic" w:cs="Arial"/>
          <w:b/>
          <w:sz w:val="28"/>
          <w:szCs w:val="28"/>
        </w:rPr>
        <w:t>2. Oportunidad.</w:t>
      </w:r>
      <w:r w:rsidRPr="00343FBE">
        <w:rPr>
          <w:rFonts w:ascii="Century Gothic" w:hAnsi="Century Gothic" w:cs="Arial"/>
          <w:sz w:val="28"/>
          <w:szCs w:val="28"/>
        </w:rPr>
        <w:t xml:space="preserve"> El escrito de tercero interesado fue presentado oportunamente, ya que se recibió en la Comisión Coordinadora Nacional del </w:t>
      </w:r>
      <w:r w:rsidR="00A8764A" w:rsidRPr="00343FBE">
        <w:rPr>
          <w:rFonts w:ascii="Century Gothic" w:hAnsi="Century Gothic" w:cs="Arial"/>
          <w:sz w:val="28"/>
          <w:szCs w:val="28"/>
        </w:rPr>
        <w:t>PT</w:t>
      </w:r>
      <w:r w:rsidRPr="00343FBE">
        <w:rPr>
          <w:rFonts w:ascii="Century Gothic" w:hAnsi="Century Gothic" w:cs="Arial"/>
          <w:sz w:val="28"/>
          <w:szCs w:val="28"/>
        </w:rPr>
        <w:t>, dentro del plazo de setenta y dos horas que marca el artículo 17, párrafo 1, de la Ley General del Sistema de Medios de Impugnación en Materia Electoral.</w:t>
      </w:r>
    </w:p>
    <w:p w:rsidR="00FC06C0" w:rsidRPr="00343FBE" w:rsidRDefault="00FC06C0" w:rsidP="00FC06C0">
      <w:pPr>
        <w:spacing w:before="120" w:after="240" w:line="348" w:lineRule="auto"/>
        <w:jc w:val="both"/>
        <w:rPr>
          <w:rFonts w:ascii="Century Gothic" w:hAnsi="Century Gothic" w:cs="Arial"/>
          <w:sz w:val="28"/>
          <w:szCs w:val="28"/>
        </w:rPr>
      </w:pPr>
      <w:r w:rsidRPr="00343FBE">
        <w:rPr>
          <w:rFonts w:ascii="Century Gothic" w:hAnsi="Century Gothic" w:cs="Arial"/>
          <w:sz w:val="28"/>
          <w:szCs w:val="28"/>
        </w:rPr>
        <w:t>Al efecto, la referida Comisión Coordinadora Nacional al remitir las constancias de publicitación del medio de impugnación, señaló que en el plazo conferido para tal fin se presentó el escrito referido, ya que el término de setenta y dos horas transcurrió de las veintidós horas del seis de junio, hasta las veintidós horas del nueve de junio del presente año.</w:t>
      </w:r>
    </w:p>
    <w:p w:rsidR="00FC06C0" w:rsidRPr="00343FBE" w:rsidRDefault="00FC06C0" w:rsidP="00FC06C0">
      <w:pPr>
        <w:spacing w:before="120" w:after="240" w:line="348" w:lineRule="auto"/>
        <w:jc w:val="both"/>
        <w:rPr>
          <w:rFonts w:ascii="Century Gothic" w:hAnsi="Century Gothic" w:cs="Arial"/>
          <w:sz w:val="28"/>
          <w:szCs w:val="28"/>
        </w:rPr>
      </w:pPr>
      <w:r w:rsidRPr="00343FBE">
        <w:rPr>
          <w:rFonts w:ascii="Century Gothic" w:hAnsi="Century Gothic" w:cs="Arial"/>
          <w:sz w:val="28"/>
          <w:szCs w:val="28"/>
        </w:rPr>
        <w:lastRenderedPageBreak/>
        <w:t xml:space="preserve">Por lo anterior, si el escrito de comparecencia como tercero interesado fue presentado el ocho de junio de dos mil diecisiete a las diecinueve horas con diez minutos, es inconcuso que su promoción fue oportuna. </w:t>
      </w:r>
    </w:p>
    <w:p w:rsidR="00FC06C0" w:rsidRPr="00343FBE" w:rsidRDefault="00FC06C0" w:rsidP="00FC06C0">
      <w:pPr>
        <w:spacing w:before="120" w:after="240" w:line="348" w:lineRule="auto"/>
        <w:jc w:val="both"/>
        <w:rPr>
          <w:rFonts w:ascii="Century Gothic" w:hAnsi="Century Gothic" w:cs="Arial"/>
          <w:sz w:val="28"/>
          <w:szCs w:val="28"/>
        </w:rPr>
      </w:pPr>
      <w:r w:rsidRPr="00343FBE">
        <w:rPr>
          <w:rFonts w:ascii="Century Gothic" w:hAnsi="Century Gothic" w:cs="Arial"/>
          <w:b/>
          <w:sz w:val="28"/>
          <w:szCs w:val="28"/>
        </w:rPr>
        <w:t>3. Legitimación.</w:t>
      </w:r>
      <w:r w:rsidRPr="00343FBE">
        <w:rPr>
          <w:rFonts w:ascii="Century Gothic" w:hAnsi="Century Gothic" w:cs="Arial"/>
          <w:sz w:val="28"/>
          <w:szCs w:val="28"/>
        </w:rPr>
        <w:t xml:space="preserve"> Se reconoce la legitimación del ciudadano compareciente ya que lo hace en su carácter de militante del </w:t>
      </w:r>
      <w:r w:rsidR="00A8764A" w:rsidRPr="00343FBE">
        <w:rPr>
          <w:rFonts w:ascii="Century Gothic" w:hAnsi="Century Gothic" w:cs="Arial"/>
          <w:sz w:val="28"/>
          <w:szCs w:val="28"/>
        </w:rPr>
        <w:t>PT</w:t>
      </w:r>
      <w:r w:rsidRPr="00343FBE">
        <w:rPr>
          <w:rFonts w:ascii="Century Gothic" w:hAnsi="Century Gothic" w:cs="Arial"/>
          <w:sz w:val="28"/>
          <w:szCs w:val="28"/>
        </w:rPr>
        <w:t xml:space="preserve"> e integrante de la Comisión Ejecutiva Nacional, en términos de lo establecido en el artículo 12, apartado 1, inciso c), de la Ley General del Sistema de Medios de Impugnación en Materia Electoral, toda vez que tiene un interés legítimo, ya que su pretensión es incompatible con la del actor, pues, en su concepto, no existen las omisiones reclamadas, además de que no se actualiza vulneración alguna a</w:t>
      </w:r>
      <w:r w:rsidR="00DC502F" w:rsidRPr="00343FBE">
        <w:rPr>
          <w:rFonts w:ascii="Century Gothic" w:hAnsi="Century Gothic" w:cs="Arial"/>
          <w:sz w:val="28"/>
          <w:szCs w:val="28"/>
        </w:rPr>
        <w:t>l</w:t>
      </w:r>
      <w:r w:rsidRPr="00343FBE">
        <w:rPr>
          <w:rFonts w:ascii="Century Gothic" w:hAnsi="Century Gothic" w:cs="Arial"/>
          <w:sz w:val="28"/>
          <w:szCs w:val="28"/>
        </w:rPr>
        <w:t xml:space="preserve"> principio de paridad de género.</w:t>
      </w:r>
    </w:p>
    <w:p w:rsidR="0067350A" w:rsidRPr="00343FBE" w:rsidRDefault="00FC06C0" w:rsidP="004D51C9">
      <w:pPr>
        <w:tabs>
          <w:tab w:val="left" w:pos="6660"/>
        </w:tabs>
        <w:spacing w:before="100" w:beforeAutospacing="1" w:after="100" w:afterAutospacing="1"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 xml:space="preserve">QUINTO. </w:t>
      </w:r>
      <w:r w:rsidR="00260AA3" w:rsidRPr="00343FBE">
        <w:rPr>
          <w:rFonts w:ascii="Century Gothic" w:hAnsi="Century Gothic" w:cs="Arial"/>
          <w:b/>
          <w:bCs/>
          <w:sz w:val="28"/>
          <w:szCs w:val="28"/>
          <w:lang w:eastAsia="en-US"/>
        </w:rPr>
        <w:t xml:space="preserve">Sobreseimiento. </w:t>
      </w:r>
      <w:r w:rsidR="0067350A" w:rsidRPr="00343FBE">
        <w:rPr>
          <w:rFonts w:ascii="Century Gothic" w:hAnsi="Century Gothic" w:cs="Arial"/>
          <w:bCs/>
          <w:sz w:val="28"/>
          <w:szCs w:val="28"/>
          <w:lang w:eastAsia="en-US"/>
        </w:rPr>
        <w:t>En primer lugar, se debe precisar que</w:t>
      </w:r>
      <w:r w:rsidR="008816CA" w:rsidRPr="00343FBE">
        <w:rPr>
          <w:rFonts w:ascii="Century Gothic" w:hAnsi="Century Gothic" w:cs="Arial"/>
          <w:bCs/>
          <w:sz w:val="28"/>
          <w:szCs w:val="28"/>
          <w:lang w:eastAsia="en-US"/>
        </w:rPr>
        <w:t>,</w:t>
      </w:r>
      <w:r w:rsidR="0067350A" w:rsidRPr="00343FBE">
        <w:rPr>
          <w:rFonts w:ascii="Century Gothic" w:hAnsi="Century Gothic" w:cs="Arial"/>
          <w:bCs/>
          <w:sz w:val="28"/>
          <w:szCs w:val="28"/>
          <w:lang w:eastAsia="en-US"/>
        </w:rPr>
        <w:t xml:space="preserve"> en el juicio para la protección de los derechos político-electorales del ciudadano, identificado con el número de expediente SUP-JDC-</w:t>
      </w:r>
      <w:r w:rsidR="006763E4" w:rsidRPr="00343FBE">
        <w:rPr>
          <w:rFonts w:ascii="Century Gothic" w:hAnsi="Century Gothic" w:cs="Arial"/>
          <w:bCs/>
          <w:sz w:val="28"/>
          <w:szCs w:val="28"/>
          <w:lang w:eastAsia="en-US"/>
        </w:rPr>
        <w:t xml:space="preserve">445/2017, se cuestionan las siguientes omisiones y actos: </w:t>
      </w:r>
    </w:p>
    <w:p w:rsidR="008354F9" w:rsidRPr="00343FBE" w:rsidRDefault="008354F9" w:rsidP="008354F9">
      <w:pPr>
        <w:tabs>
          <w:tab w:val="left" w:pos="6660"/>
        </w:tabs>
        <w:spacing w:before="100" w:beforeAutospacing="1" w:after="100" w:afterAutospacing="1"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1.</w:t>
      </w:r>
      <w:r w:rsidRPr="00343FBE">
        <w:rPr>
          <w:rFonts w:ascii="Century Gothic" w:hAnsi="Century Gothic" w:cs="Arial"/>
          <w:bCs/>
          <w:sz w:val="28"/>
          <w:szCs w:val="28"/>
          <w:lang w:eastAsia="en-US"/>
        </w:rPr>
        <w:t xml:space="preserve"> La omisión de expedir la convocatoria por parte de la Comisión Coordinadora Nacional del </w:t>
      </w:r>
      <w:r w:rsidR="00A8764A" w:rsidRPr="00343FBE">
        <w:rPr>
          <w:rFonts w:ascii="Century Gothic" w:hAnsi="Century Gothic" w:cs="Arial"/>
          <w:bCs/>
          <w:sz w:val="28"/>
          <w:szCs w:val="28"/>
          <w:lang w:eastAsia="en-US"/>
        </w:rPr>
        <w:t>PT</w:t>
      </w:r>
      <w:r w:rsidRPr="00343FBE">
        <w:rPr>
          <w:rFonts w:ascii="Century Gothic" w:hAnsi="Century Gothic" w:cs="Arial"/>
          <w:bCs/>
          <w:sz w:val="28"/>
          <w:szCs w:val="28"/>
          <w:lang w:eastAsia="en-US"/>
        </w:rPr>
        <w:t xml:space="preserve"> para las sesiones de la Comisión Ejecutiva Nacional del </w:t>
      </w:r>
      <w:r w:rsidR="00A8764A" w:rsidRPr="00343FBE">
        <w:rPr>
          <w:rFonts w:ascii="Century Gothic" w:hAnsi="Century Gothic" w:cs="Arial"/>
          <w:bCs/>
          <w:sz w:val="28"/>
          <w:szCs w:val="28"/>
          <w:lang w:eastAsia="en-US"/>
        </w:rPr>
        <w:t>PT</w:t>
      </w:r>
      <w:r w:rsidRPr="00343FBE">
        <w:rPr>
          <w:rFonts w:ascii="Century Gothic" w:hAnsi="Century Gothic" w:cs="Arial"/>
          <w:bCs/>
          <w:sz w:val="28"/>
          <w:szCs w:val="28"/>
          <w:lang w:eastAsia="en-US"/>
        </w:rPr>
        <w:t xml:space="preserve"> en fechas catorce de diciembre de dos mil dieciséis y veintidós de febrero de dos mil diecisiete.</w:t>
      </w:r>
    </w:p>
    <w:p w:rsidR="008354F9" w:rsidRPr="00343FBE" w:rsidRDefault="008354F9" w:rsidP="008354F9">
      <w:pPr>
        <w:tabs>
          <w:tab w:val="left" w:pos="6660"/>
        </w:tabs>
        <w:spacing w:before="100" w:beforeAutospacing="1" w:after="100" w:afterAutospacing="1"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lastRenderedPageBreak/>
        <w:t xml:space="preserve">2. </w:t>
      </w:r>
      <w:r w:rsidRPr="00343FBE">
        <w:rPr>
          <w:rFonts w:ascii="Century Gothic" w:hAnsi="Century Gothic" w:cs="Arial"/>
          <w:bCs/>
          <w:sz w:val="28"/>
          <w:szCs w:val="28"/>
          <w:lang w:eastAsia="en-US"/>
        </w:rPr>
        <w:t>La omisión de aprobar y publicar los supuestos acuerdos de las sesiones de la Comisión Ejecutiva Nacional celebradas el catorce de diciembre de dos mil dieciséis y veintidós de febrero de dos mil diecisiete.</w:t>
      </w:r>
    </w:p>
    <w:p w:rsidR="008354F9" w:rsidRPr="00343FBE" w:rsidRDefault="008354F9" w:rsidP="008354F9">
      <w:pPr>
        <w:tabs>
          <w:tab w:val="left" w:pos="6660"/>
        </w:tabs>
        <w:spacing w:before="100" w:beforeAutospacing="1" w:after="100" w:afterAutospacing="1"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3.</w:t>
      </w:r>
      <w:r w:rsidRPr="00343FBE">
        <w:rPr>
          <w:rFonts w:ascii="Century Gothic" w:hAnsi="Century Gothic" w:cs="Arial"/>
          <w:bCs/>
          <w:sz w:val="28"/>
          <w:szCs w:val="28"/>
          <w:lang w:eastAsia="en-US"/>
        </w:rPr>
        <w:t xml:space="preserve"> La omisión de aprobar y publicar la Lista de asistencia de los integrantes de la Comisión Ejecutiva Nacional del </w:t>
      </w:r>
      <w:r w:rsidR="00A8764A" w:rsidRPr="00343FBE">
        <w:rPr>
          <w:rFonts w:ascii="Century Gothic" w:hAnsi="Century Gothic" w:cs="Arial"/>
          <w:bCs/>
          <w:sz w:val="28"/>
          <w:szCs w:val="28"/>
          <w:lang w:eastAsia="en-US"/>
        </w:rPr>
        <w:t>PT</w:t>
      </w:r>
      <w:r w:rsidRPr="00343FBE">
        <w:rPr>
          <w:rFonts w:ascii="Century Gothic" w:hAnsi="Century Gothic" w:cs="Arial"/>
          <w:bCs/>
          <w:sz w:val="28"/>
          <w:szCs w:val="28"/>
          <w:lang w:eastAsia="en-US"/>
        </w:rPr>
        <w:t>.</w:t>
      </w:r>
    </w:p>
    <w:p w:rsidR="008354F9" w:rsidRPr="00343FBE" w:rsidRDefault="008354F9" w:rsidP="008354F9">
      <w:pPr>
        <w:tabs>
          <w:tab w:val="left" w:pos="6660"/>
        </w:tabs>
        <w:spacing w:before="100" w:beforeAutospacing="1" w:after="100" w:afterAutospacing="1"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4.</w:t>
      </w:r>
      <w:r w:rsidRPr="00343FBE">
        <w:rPr>
          <w:rFonts w:ascii="Century Gothic" w:hAnsi="Century Gothic" w:cs="Arial"/>
          <w:bCs/>
          <w:sz w:val="28"/>
          <w:szCs w:val="28"/>
          <w:lang w:eastAsia="en-US"/>
        </w:rPr>
        <w:t xml:space="preserve"> La Convocatoria al 10° Congreso Nacional Ordinario del </w:t>
      </w:r>
      <w:r w:rsidR="00A8764A" w:rsidRPr="00343FBE">
        <w:rPr>
          <w:rFonts w:ascii="Century Gothic" w:hAnsi="Century Gothic" w:cs="Arial"/>
          <w:bCs/>
          <w:sz w:val="28"/>
          <w:szCs w:val="28"/>
          <w:lang w:eastAsia="en-US"/>
        </w:rPr>
        <w:t>PT</w:t>
      </w:r>
      <w:r w:rsidRPr="00343FBE">
        <w:rPr>
          <w:rFonts w:ascii="Century Gothic" w:hAnsi="Century Gothic" w:cs="Arial"/>
          <w:bCs/>
          <w:sz w:val="28"/>
          <w:szCs w:val="28"/>
          <w:lang w:eastAsia="en-US"/>
        </w:rPr>
        <w:t>.</w:t>
      </w:r>
    </w:p>
    <w:p w:rsidR="004D51C9" w:rsidRPr="00343FBE" w:rsidRDefault="00AC4A63" w:rsidP="004D51C9">
      <w:pPr>
        <w:tabs>
          <w:tab w:val="left" w:pos="6660"/>
        </w:tabs>
        <w:spacing w:before="100" w:beforeAutospacing="1" w:after="100" w:afterAutospacing="1" w:line="360" w:lineRule="auto"/>
        <w:jc w:val="both"/>
        <w:rPr>
          <w:rFonts w:ascii="Century Gothic" w:eastAsia="Times New Roman" w:hAnsi="Century Gothic" w:cs="Arial"/>
          <w:sz w:val="28"/>
          <w:szCs w:val="28"/>
          <w:lang w:eastAsia="es-ES"/>
        </w:rPr>
      </w:pPr>
      <w:r w:rsidRPr="00343FBE">
        <w:rPr>
          <w:rFonts w:ascii="Century Gothic" w:eastAsia="Times New Roman" w:hAnsi="Century Gothic" w:cs="Arial"/>
          <w:sz w:val="28"/>
          <w:szCs w:val="28"/>
          <w:lang w:eastAsia="es-ES"/>
        </w:rPr>
        <w:t>Ahora bien, e</w:t>
      </w:r>
      <w:r w:rsidR="004D51C9" w:rsidRPr="00343FBE">
        <w:rPr>
          <w:rFonts w:ascii="Century Gothic" w:eastAsia="Times New Roman" w:hAnsi="Century Gothic" w:cs="Arial"/>
          <w:sz w:val="28"/>
          <w:szCs w:val="28"/>
          <w:lang w:eastAsia="es-ES"/>
        </w:rPr>
        <w:t xml:space="preserve">sta instancia jurisdiccional electoral federal </w:t>
      </w:r>
      <w:r w:rsidRPr="00343FBE">
        <w:rPr>
          <w:rFonts w:ascii="Century Gothic" w:eastAsia="Times New Roman" w:hAnsi="Century Gothic" w:cs="Arial"/>
          <w:sz w:val="28"/>
          <w:szCs w:val="28"/>
          <w:lang w:eastAsia="es-ES"/>
        </w:rPr>
        <w:t xml:space="preserve">considera </w:t>
      </w:r>
      <w:r w:rsidR="004D51C9" w:rsidRPr="00343FBE">
        <w:rPr>
          <w:rFonts w:ascii="Century Gothic" w:eastAsia="Times New Roman" w:hAnsi="Century Gothic" w:cs="Arial"/>
          <w:sz w:val="28"/>
          <w:szCs w:val="28"/>
          <w:lang w:eastAsia="es-ES"/>
        </w:rPr>
        <w:t xml:space="preserve">que debe sobreseerse </w:t>
      </w:r>
      <w:r w:rsidR="00FE3414" w:rsidRPr="00343FBE">
        <w:rPr>
          <w:rFonts w:ascii="Century Gothic" w:eastAsia="Times New Roman" w:hAnsi="Century Gothic" w:cs="Arial"/>
          <w:sz w:val="28"/>
          <w:szCs w:val="28"/>
          <w:lang w:eastAsia="es-ES"/>
        </w:rPr>
        <w:t>respecto de la</w:t>
      </w:r>
      <w:r w:rsidR="006462E3" w:rsidRPr="00343FBE">
        <w:rPr>
          <w:rFonts w:ascii="Century Gothic" w:eastAsia="Times New Roman" w:hAnsi="Century Gothic" w:cs="Arial"/>
          <w:sz w:val="28"/>
          <w:szCs w:val="28"/>
          <w:lang w:eastAsia="es-ES"/>
        </w:rPr>
        <w:t xml:space="preserve">s tres primeras omisiones reclamadas, </w:t>
      </w:r>
      <w:r w:rsidR="004D51C9" w:rsidRPr="00343FBE">
        <w:rPr>
          <w:rFonts w:ascii="Century Gothic" w:eastAsia="Times New Roman" w:hAnsi="Century Gothic" w:cs="Arial"/>
          <w:sz w:val="28"/>
          <w:szCs w:val="28"/>
          <w:lang w:eastAsia="es-ES"/>
        </w:rPr>
        <w:t>en el juicio para la protección de los derechos político-electorales del ciudadano, identificado con la clave SUP-JDC-445/2017, en razón de que el actor</w:t>
      </w:r>
      <w:r w:rsidR="00014B73" w:rsidRPr="00343FBE">
        <w:rPr>
          <w:rFonts w:ascii="Century Gothic" w:eastAsia="Times New Roman" w:hAnsi="Century Gothic" w:cs="Arial"/>
          <w:sz w:val="28"/>
          <w:szCs w:val="28"/>
          <w:lang w:eastAsia="es-ES"/>
        </w:rPr>
        <w:t xml:space="preserve"> Florencio Torres Romero</w:t>
      </w:r>
      <w:r w:rsidR="004D51C9" w:rsidRPr="00343FBE">
        <w:rPr>
          <w:rFonts w:ascii="Century Gothic" w:eastAsia="Times New Roman" w:hAnsi="Century Gothic" w:cs="Arial"/>
          <w:sz w:val="28"/>
          <w:szCs w:val="28"/>
          <w:lang w:eastAsia="es-ES"/>
        </w:rPr>
        <w:t>, agotó su derecho a impugnar l</w:t>
      </w:r>
      <w:r w:rsidR="00014B73" w:rsidRPr="00343FBE">
        <w:rPr>
          <w:rFonts w:ascii="Century Gothic" w:eastAsia="Times New Roman" w:hAnsi="Century Gothic" w:cs="Arial"/>
          <w:sz w:val="28"/>
          <w:szCs w:val="28"/>
          <w:lang w:eastAsia="es-ES"/>
        </w:rPr>
        <w:t>a</w:t>
      </w:r>
      <w:r w:rsidR="004D51C9" w:rsidRPr="00343FBE">
        <w:rPr>
          <w:rFonts w:ascii="Century Gothic" w:eastAsia="Times New Roman" w:hAnsi="Century Gothic" w:cs="Arial"/>
          <w:sz w:val="28"/>
          <w:szCs w:val="28"/>
          <w:lang w:eastAsia="es-ES"/>
        </w:rPr>
        <w:t xml:space="preserve">s </w:t>
      </w:r>
      <w:r w:rsidR="006462E3" w:rsidRPr="00343FBE">
        <w:rPr>
          <w:rFonts w:ascii="Century Gothic" w:eastAsia="Times New Roman" w:hAnsi="Century Gothic" w:cs="Arial"/>
          <w:sz w:val="28"/>
          <w:szCs w:val="28"/>
          <w:lang w:eastAsia="es-ES"/>
        </w:rPr>
        <w:t xml:space="preserve">mismas </w:t>
      </w:r>
      <w:r w:rsidR="00014B73" w:rsidRPr="00343FBE">
        <w:rPr>
          <w:rFonts w:ascii="Century Gothic" w:eastAsia="Times New Roman" w:hAnsi="Century Gothic" w:cs="Arial"/>
          <w:sz w:val="28"/>
          <w:szCs w:val="28"/>
          <w:lang w:eastAsia="es-ES"/>
        </w:rPr>
        <w:t>omisiones</w:t>
      </w:r>
      <w:r w:rsidR="004D51C9" w:rsidRPr="00343FBE">
        <w:rPr>
          <w:rFonts w:ascii="Century Gothic" w:eastAsia="Times New Roman" w:hAnsi="Century Gothic" w:cs="Arial"/>
          <w:sz w:val="28"/>
          <w:szCs w:val="28"/>
          <w:lang w:eastAsia="es-ES"/>
        </w:rPr>
        <w:t>, con la presentación del diverso juicio radicado en el expediente</w:t>
      </w:r>
      <w:r w:rsidR="004D51C9" w:rsidRPr="00343FBE">
        <w:rPr>
          <w:rFonts w:ascii="Century Gothic" w:eastAsia="Times New Roman" w:hAnsi="Century Gothic" w:cs="Arial"/>
          <w:b/>
          <w:sz w:val="28"/>
          <w:szCs w:val="28"/>
          <w:lang w:eastAsia="es-ES"/>
        </w:rPr>
        <w:t xml:space="preserve"> </w:t>
      </w:r>
      <w:r w:rsidR="004D51C9" w:rsidRPr="00343FBE">
        <w:rPr>
          <w:rFonts w:ascii="Century Gothic" w:eastAsia="Times New Roman" w:hAnsi="Century Gothic" w:cs="Arial"/>
          <w:sz w:val="28"/>
          <w:szCs w:val="28"/>
          <w:lang w:eastAsia="es-ES"/>
        </w:rPr>
        <w:t>SUP-JDC-</w:t>
      </w:r>
      <w:r w:rsidR="0067350A" w:rsidRPr="00343FBE">
        <w:rPr>
          <w:rFonts w:ascii="Century Gothic" w:eastAsia="Times New Roman" w:hAnsi="Century Gothic" w:cs="Arial"/>
          <w:sz w:val="28"/>
          <w:szCs w:val="28"/>
          <w:lang w:eastAsia="es-ES"/>
        </w:rPr>
        <w:t>399</w:t>
      </w:r>
      <w:r w:rsidR="004D51C9" w:rsidRPr="00343FBE">
        <w:rPr>
          <w:rFonts w:ascii="Century Gothic" w:eastAsia="Times New Roman" w:hAnsi="Century Gothic" w:cs="Arial"/>
          <w:sz w:val="28"/>
          <w:szCs w:val="28"/>
          <w:lang w:eastAsia="es-ES"/>
        </w:rPr>
        <w:t>/201</w:t>
      </w:r>
      <w:r w:rsidR="00782055" w:rsidRPr="00343FBE">
        <w:rPr>
          <w:rFonts w:ascii="Century Gothic" w:eastAsia="Times New Roman" w:hAnsi="Century Gothic" w:cs="Arial"/>
          <w:sz w:val="28"/>
          <w:szCs w:val="28"/>
          <w:lang w:eastAsia="es-ES"/>
        </w:rPr>
        <w:t>7</w:t>
      </w:r>
      <w:r w:rsidR="0067350A" w:rsidRPr="00343FBE">
        <w:rPr>
          <w:rFonts w:ascii="Century Gothic" w:eastAsia="Times New Roman" w:hAnsi="Century Gothic" w:cs="Arial"/>
          <w:sz w:val="28"/>
          <w:szCs w:val="28"/>
          <w:lang w:eastAsia="es-ES"/>
        </w:rPr>
        <w:t>.</w:t>
      </w:r>
    </w:p>
    <w:p w:rsidR="004D51C9" w:rsidRPr="00343FBE" w:rsidRDefault="004D51C9" w:rsidP="004D51C9">
      <w:pPr>
        <w:tabs>
          <w:tab w:val="left" w:pos="6660"/>
        </w:tabs>
        <w:spacing w:before="100" w:beforeAutospacing="1" w:after="100" w:afterAutospacing="1" w:line="360" w:lineRule="auto"/>
        <w:jc w:val="both"/>
        <w:rPr>
          <w:rFonts w:ascii="Century Gothic" w:eastAsia="Times New Roman" w:hAnsi="Century Gothic" w:cs="Arial"/>
          <w:sz w:val="28"/>
          <w:szCs w:val="28"/>
          <w:lang w:eastAsia="es-ES"/>
        </w:rPr>
      </w:pPr>
      <w:r w:rsidRPr="00343FBE">
        <w:rPr>
          <w:rFonts w:ascii="Century Gothic" w:eastAsia="Times New Roman" w:hAnsi="Century Gothic" w:cs="Arial"/>
          <w:sz w:val="28"/>
          <w:szCs w:val="28"/>
          <w:lang w:eastAsia="es-ES"/>
        </w:rPr>
        <w:t>Sobre el particular, debe tomarse en consideración el texto del artículo 9, apartado 3 de la Ley General del Sistema de Medios de Impugnación en Materia Electoral que, a la letra, establece lo siguiente:</w:t>
      </w:r>
    </w:p>
    <w:p w:rsidR="004D51C9" w:rsidRPr="00343FBE" w:rsidRDefault="004D51C9" w:rsidP="004D51C9">
      <w:pPr>
        <w:autoSpaceDE w:val="0"/>
        <w:autoSpaceDN w:val="0"/>
        <w:adjustRightInd w:val="0"/>
        <w:ind w:left="851" w:right="1185"/>
        <w:jc w:val="both"/>
        <w:rPr>
          <w:rFonts w:ascii="Century Gothic" w:eastAsia="Times New Roman" w:hAnsi="Century Gothic" w:cs="Arial"/>
          <w:color w:val="000000"/>
          <w:sz w:val="24"/>
          <w:szCs w:val="24"/>
        </w:rPr>
      </w:pPr>
      <w:r w:rsidRPr="00343FBE">
        <w:rPr>
          <w:rFonts w:ascii="Century Gothic" w:eastAsia="Times New Roman" w:hAnsi="Century Gothic" w:cs="Arial"/>
          <w:b/>
          <w:color w:val="000000"/>
          <w:sz w:val="24"/>
          <w:szCs w:val="24"/>
        </w:rPr>
        <w:t>“Artículo 9</w:t>
      </w:r>
      <w:r w:rsidRPr="00343FBE">
        <w:rPr>
          <w:rFonts w:ascii="Century Gothic" w:eastAsia="Times New Roman" w:hAnsi="Century Gothic" w:cs="Arial"/>
          <w:color w:val="000000"/>
          <w:sz w:val="24"/>
          <w:szCs w:val="24"/>
        </w:rPr>
        <w:t>.</w:t>
      </w:r>
    </w:p>
    <w:p w:rsidR="004D51C9" w:rsidRPr="00343FBE" w:rsidRDefault="004D51C9" w:rsidP="004D51C9">
      <w:pPr>
        <w:autoSpaceDE w:val="0"/>
        <w:autoSpaceDN w:val="0"/>
        <w:adjustRightInd w:val="0"/>
        <w:ind w:left="851" w:right="1185"/>
        <w:jc w:val="both"/>
        <w:rPr>
          <w:rFonts w:ascii="Century Gothic" w:eastAsia="Times New Roman" w:hAnsi="Century Gothic" w:cs="Arial"/>
          <w:color w:val="000000"/>
          <w:sz w:val="24"/>
          <w:szCs w:val="24"/>
        </w:rPr>
      </w:pPr>
      <w:r w:rsidRPr="00343FBE">
        <w:rPr>
          <w:rFonts w:ascii="Century Gothic" w:eastAsia="Times New Roman" w:hAnsi="Century Gothic" w:cs="Arial"/>
          <w:color w:val="000000"/>
          <w:sz w:val="24"/>
          <w:szCs w:val="24"/>
        </w:rPr>
        <w:t>…</w:t>
      </w:r>
    </w:p>
    <w:p w:rsidR="004D51C9" w:rsidRPr="00343FBE" w:rsidRDefault="004D51C9" w:rsidP="004D51C9">
      <w:pPr>
        <w:autoSpaceDE w:val="0"/>
        <w:autoSpaceDN w:val="0"/>
        <w:adjustRightInd w:val="0"/>
        <w:ind w:left="851" w:right="1185"/>
        <w:jc w:val="both"/>
        <w:rPr>
          <w:rFonts w:ascii="Century Gothic" w:eastAsia="Times New Roman" w:hAnsi="Century Gothic" w:cs="Arial"/>
          <w:color w:val="000000"/>
          <w:sz w:val="24"/>
          <w:szCs w:val="24"/>
        </w:rPr>
      </w:pPr>
      <w:r w:rsidRPr="00343FBE">
        <w:rPr>
          <w:rFonts w:ascii="Century Gothic" w:eastAsia="Times New Roman" w:hAnsi="Century Gothic" w:cs="Arial"/>
          <w:color w:val="000000"/>
          <w:sz w:val="24"/>
          <w:szCs w:val="24"/>
        </w:rPr>
        <w:t xml:space="preserve">3. Cuando el medio de impugnación no se presente por escrito ante la autoridad correspondiente, incumpla cualquiera de los </w:t>
      </w:r>
      <w:r w:rsidRPr="00343FBE">
        <w:rPr>
          <w:rFonts w:ascii="Century Gothic" w:eastAsia="Times New Roman" w:hAnsi="Century Gothic" w:cs="Arial"/>
          <w:color w:val="000000"/>
          <w:sz w:val="24"/>
          <w:szCs w:val="24"/>
        </w:rPr>
        <w:lastRenderedPageBreak/>
        <w:t xml:space="preserve">requisitos previstos por los incisos a) o g) del párrafo 1 de este artículo, resulte evidentemente frívolo o cuya notoria improcedencia se derive de las disposiciones del presente ordenamiento, se desechará de plano. También operará el </w:t>
      </w:r>
      <w:proofErr w:type="spellStart"/>
      <w:r w:rsidRPr="00343FBE">
        <w:rPr>
          <w:rFonts w:ascii="Century Gothic" w:eastAsia="Times New Roman" w:hAnsi="Century Gothic" w:cs="Arial"/>
          <w:color w:val="000000"/>
          <w:sz w:val="24"/>
          <w:szCs w:val="24"/>
        </w:rPr>
        <w:t>desechamiento</w:t>
      </w:r>
      <w:proofErr w:type="spellEnd"/>
      <w:r w:rsidRPr="00343FBE">
        <w:rPr>
          <w:rFonts w:ascii="Century Gothic" w:eastAsia="Times New Roman" w:hAnsi="Century Gothic" w:cs="Arial"/>
          <w:color w:val="000000"/>
          <w:sz w:val="24"/>
          <w:szCs w:val="24"/>
        </w:rPr>
        <w:t xml:space="preserve"> a que se refiere este párrafo, cuando no existan hechos y agravios expuestos o habiéndose señalado sólo hechos, de ellos no se pueda deducir agravio alguno…</w:t>
      </w:r>
      <w:r w:rsidRPr="00343FBE">
        <w:rPr>
          <w:rFonts w:ascii="Century Gothic" w:eastAsia="Times New Roman" w:hAnsi="Century Gothic" w:cs="Arial"/>
          <w:b/>
          <w:color w:val="000000"/>
          <w:sz w:val="24"/>
          <w:szCs w:val="24"/>
        </w:rPr>
        <w:t>”</w:t>
      </w:r>
    </w:p>
    <w:p w:rsidR="004D51C9" w:rsidRPr="00343FBE" w:rsidRDefault="004D51C9" w:rsidP="004D51C9">
      <w:pPr>
        <w:tabs>
          <w:tab w:val="left" w:pos="6660"/>
        </w:tabs>
        <w:spacing w:before="100" w:beforeAutospacing="1" w:after="100" w:afterAutospacing="1" w:line="360" w:lineRule="auto"/>
        <w:jc w:val="both"/>
        <w:rPr>
          <w:rFonts w:ascii="Century Gothic" w:eastAsia="Times New Roman" w:hAnsi="Century Gothic" w:cs="Arial"/>
          <w:sz w:val="28"/>
          <w:szCs w:val="28"/>
          <w:lang w:eastAsia="es-ES"/>
        </w:rPr>
      </w:pPr>
      <w:r w:rsidRPr="00343FBE">
        <w:rPr>
          <w:rFonts w:ascii="Century Gothic" w:eastAsia="Times New Roman" w:hAnsi="Century Gothic" w:cs="Arial"/>
          <w:sz w:val="28"/>
          <w:szCs w:val="28"/>
          <w:lang w:eastAsia="es-ES"/>
        </w:rPr>
        <w:t>Además, el artículo 11, apartado 1, inciso c), de la Ley General del Sistema de Medios de Impugnación en Materia Electoral señala que procede el sobreseimiento cuando, una vez admitido el juicio o recurso correspondiente, aparezca o sobrevenga una causal prevista en el propio ordenamiento invocado.</w:t>
      </w:r>
    </w:p>
    <w:p w:rsidR="004D51C9" w:rsidRPr="00343FBE" w:rsidRDefault="004D51C9" w:rsidP="004D51C9">
      <w:pPr>
        <w:tabs>
          <w:tab w:val="left" w:pos="6660"/>
        </w:tabs>
        <w:spacing w:before="100" w:beforeAutospacing="1" w:after="100" w:afterAutospacing="1" w:line="360" w:lineRule="auto"/>
        <w:jc w:val="both"/>
        <w:rPr>
          <w:rFonts w:ascii="Century Gothic" w:eastAsia="Times New Roman" w:hAnsi="Century Gothic" w:cs="Arial"/>
          <w:sz w:val="28"/>
          <w:szCs w:val="28"/>
          <w:lang w:eastAsia="es-ES"/>
        </w:rPr>
      </w:pPr>
      <w:r w:rsidRPr="00343FBE">
        <w:rPr>
          <w:rFonts w:ascii="Century Gothic" w:eastAsia="Times New Roman" w:hAnsi="Century Gothic" w:cs="Arial"/>
          <w:sz w:val="28"/>
          <w:szCs w:val="28"/>
          <w:lang w:eastAsia="es-ES"/>
        </w:rPr>
        <w:t>Al respecto, ha sido criterio reiterado por este órgano jurisdiccional que, en materia electoral, salvo en circunstancias y particularidades excepcionales, no procede la ampliación de la demanda o la presentación de un segundo escrito de demanda, toda vez que si el derecho de impugnación, ya ha sido ejercido con la promoción de una demanda, no se puede volver a ejercer, válida y eficazmente, por segunda o ulterior ocasión, mediante la presentación de otra u otras demandas.</w:t>
      </w:r>
    </w:p>
    <w:p w:rsidR="004D51C9" w:rsidRPr="00343FBE" w:rsidRDefault="004D51C9" w:rsidP="004D51C9">
      <w:pPr>
        <w:tabs>
          <w:tab w:val="left" w:pos="6660"/>
        </w:tabs>
        <w:spacing w:before="100" w:beforeAutospacing="1" w:after="100" w:afterAutospacing="1" w:line="360" w:lineRule="auto"/>
        <w:jc w:val="both"/>
        <w:rPr>
          <w:rFonts w:ascii="Century Gothic" w:eastAsia="Times New Roman" w:hAnsi="Century Gothic" w:cs="Arial"/>
          <w:sz w:val="28"/>
          <w:szCs w:val="28"/>
          <w:lang w:eastAsia="es-ES"/>
        </w:rPr>
      </w:pPr>
      <w:r w:rsidRPr="00343FBE">
        <w:rPr>
          <w:rFonts w:ascii="Century Gothic" w:eastAsia="Times New Roman" w:hAnsi="Century Gothic" w:cs="Arial"/>
          <w:sz w:val="28"/>
          <w:szCs w:val="28"/>
          <w:lang w:eastAsia="es-ES"/>
        </w:rPr>
        <w:t xml:space="preserve">Esto es así, en razón de que la promoción de un medio de impugnación electoral agota el derecho de acción, lo que hace que el interesado se encuentre impedido legalmente para interponer, con un nuevo o segundo escrito de demanda, idéntico medio de impugnación para </w:t>
      </w:r>
      <w:r w:rsidRPr="00343FBE">
        <w:rPr>
          <w:rFonts w:ascii="Century Gothic" w:eastAsia="Times New Roman" w:hAnsi="Century Gothic" w:cs="Arial"/>
          <w:sz w:val="28"/>
          <w:szCs w:val="28"/>
          <w:lang w:eastAsia="es-ES"/>
        </w:rPr>
        <w:lastRenderedPageBreak/>
        <w:t>controvertir igual acto reclamado, emitido por la propia autoridad.</w:t>
      </w:r>
    </w:p>
    <w:p w:rsidR="004D51C9" w:rsidRPr="00343FBE" w:rsidRDefault="004D51C9" w:rsidP="004D51C9">
      <w:pPr>
        <w:tabs>
          <w:tab w:val="left" w:pos="6660"/>
        </w:tabs>
        <w:spacing w:before="100" w:beforeAutospacing="1" w:after="100" w:afterAutospacing="1" w:line="360" w:lineRule="auto"/>
        <w:jc w:val="both"/>
        <w:rPr>
          <w:rFonts w:ascii="Century Gothic" w:eastAsia="Times New Roman" w:hAnsi="Century Gothic" w:cs="Arial"/>
          <w:color w:val="000000"/>
          <w:sz w:val="24"/>
          <w:szCs w:val="24"/>
        </w:rPr>
      </w:pPr>
      <w:r w:rsidRPr="00343FBE">
        <w:rPr>
          <w:rFonts w:ascii="Century Gothic" w:eastAsia="Times New Roman" w:hAnsi="Century Gothic" w:cs="Arial"/>
          <w:sz w:val="28"/>
          <w:szCs w:val="28"/>
          <w:lang w:eastAsia="es-ES"/>
        </w:rPr>
        <w:t xml:space="preserve">Ilustra lo anterior, </w:t>
      </w:r>
      <w:r w:rsidRPr="00343FBE">
        <w:rPr>
          <w:rFonts w:ascii="Century Gothic" w:eastAsia="Times New Roman" w:hAnsi="Century Gothic" w:cs="Arial"/>
          <w:i/>
          <w:sz w:val="28"/>
          <w:szCs w:val="28"/>
          <w:lang w:eastAsia="es-ES"/>
        </w:rPr>
        <w:t>mutatis mutandis</w:t>
      </w:r>
      <w:r w:rsidRPr="00343FBE">
        <w:rPr>
          <w:rFonts w:ascii="Century Gothic" w:eastAsia="Times New Roman" w:hAnsi="Century Gothic" w:cs="Arial"/>
          <w:sz w:val="28"/>
          <w:szCs w:val="28"/>
          <w:lang w:eastAsia="es-ES"/>
        </w:rPr>
        <w:t xml:space="preserve">, la jurisprudencia 06/2000, cuyo rubro, es del orden siguiente: </w:t>
      </w:r>
      <w:r w:rsidRPr="00343FBE">
        <w:rPr>
          <w:rFonts w:ascii="Century Gothic" w:eastAsia="Times New Roman" w:hAnsi="Century Gothic" w:cs="Arial"/>
          <w:b/>
          <w:color w:val="000000"/>
          <w:sz w:val="24"/>
          <w:szCs w:val="24"/>
        </w:rPr>
        <w:t>“DEMANDA DE JUICIO DE REVISIÓN CONSTITUCIONAL ELECTORAL. SU AMPLIACIÓN O LA PRESENTACIÓN DE UN SEGUNDO LIBELO ES INADMISIBLE”</w:t>
      </w:r>
      <w:r w:rsidRPr="00343FBE">
        <w:rPr>
          <w:rFonts w:ascii="Century Gothic" w:eastAsia="Times New Roman" w:hAnsi="Century Gothic" w:cs="Arial"/>
          <w:color w:val="000000"/>
          <w:sz w:val="24"/>
          <w:szCs w:val="24"/>
        </w:rPr>
        <w:t xml:space="preserve">. </w:t>
      </w:r>
    </w:p>
    <w:p w:rsidR="004D51C9" w:rsidRPr="00343FBE" w:rsidRDefault="004D51C9" w:rsidP="004D51C9">
      <w:pPr>
        <w:tabs>
          <w:tab w:val="left" w:pos="6660"/>
        </w:tabs>
        <w:spacing w:before="100" w:beforeAutospacing="1" w:after="100" w:afterAutospacing="1" w:line="360" w:lineRule="auto"/>
        <w:jc w:val="both"/>
        <w:rPr>
          <w:rFonts w:ascii="Century Gothic" w:eastAsia="Times New Roman" w:hAnsi="Century Gothic" w:cs="Arial"/>
          <w:sz w:val="28"/>
          <w:szCs w:val="28"/>
          <w:lang w:eastAsia="es-ES"/>
        </w:rPr>
      </w:pPr>
      <w:r w:rsidRPr="00343FBE">
        <w:rPr>
          <w:rFonts w:ascii="Century Gothic" w:eastAsia="Times New Roman" w:hAnsi="Century Gothic" w:cs="Arial"/>
          <w:sz w:val="28"/>
          <w:szCs w:val="28"/>
          <w:lang w:eastAsia="es-ES"/>
        </w:rPr>
        <w:t>Ahora bien, en el caso, de las constancias que obran en autos, específicamente los que corresponden a los juicios ciudadanos citados en el presente apartado</w:t>
      </w:r>
      <w:r w:rsidRPr="00343FBE">
        <w:rPr>
          <w:rFonts w:ascii="Century Gothic" w:eastAsia="Times New Roman" w:hAnsi="Century Gothic" w:cs="Arial"/>
          <w:b/>
          <w:sz w:val="28"/>
          <w:szCs w:val="28"/>
          <w:lang w:eastAsia="es-ES"/>
        </w:rPr>
        <w:t xml:space="preserve">, </w:t>
      </w:r>
      <w:r w:rsidRPr="00343FBE">
        <w:rPr>
          <w:rFonts w:ascii="Century Gothic" w:eastAsia="Times New Roman" w:hAnsi="Century Gothic" w:cs="Arial"/>
          <w:sz w:val="28"/>
          <w:szCs w:val="28"/>
          <w:lang w:eastAsia="es-ES"/>
        </w:rPr>
        <w:t xml:space="preserve">se advierte que </w:t>
      </w:r>
      <w:r w:rsidR="00F61EB1" w:rsidRPr="00343FBE">
        <w:rPr>
          <w:rFonts w:ascii="Century Gothic" w:eastAsia="Times New Roman" w:hAnsi="Century Gothic" w:cs="Arial"/>
          <w:sz w:val="28"/>
          <w:szCs w:val="28"/>
          <w:lang w:eastAsia="es-ES"/>
        </w:rPr>
        <w:t xml:space="preserve">Florencio Torres Romero </w:t>
      </w:r>
      <w:r w:rsidRPr="00343FBE">
        <w:rPr>
          <w:rFonts w:ascii="Century Gothic" w:eastAsia="Times New Roman" w:hAnsi="Century Gothic" w:cs="Arial"/>
          <w:sz w:val="28"/>
          <w:szCs w:val="28"/>
          <w:lang w:eastAsia="es-ES"/>
        </w:rPr>
        <w:t xml:space="preserve">presentó dos escritos de demanda de juicio para la protección de los derechos político-electorales del ciudadano, en contra de las </w:t>
      </w:r>
      <w:r w:rsidR="00F61EB1" w:rsidRPr="00343FBE">
        <w:rPr>
          <w:rFonts w:ascii="Century Gothic" w:eastAsia="Times New Roman" w:hAnsi="Century Gothic" w:cs="Arial"/>
          <w:sz w:val="28"/>
          <w:szCs w:val="28"/>
          <w:lang w:eastAsia="es-ES"/>
        </w:rPr>
        <w:t>omisiones antes precisadas</w:t>
      </w:r>
      <w:r w:rsidRPr="00343FBE">
        <w:rPr>
          <w:rFonts w:ascii="Century Gothic" w:eastAsia="Times New Roman" w:hAnsi="Century Gothic" w:cs="Arial"/>
          <w:sz w:val="28"/>
          <w:szCs w:val="28"/>
          <w:lang w:eastAsia="es-ES"/>
        </w:rPr>
        <w:t xml:space="preserve">. </w:t>
      </w:r>
    </w:p>
    <w:p w:rsidR="004D51C9" w:rsidRPr="00343FBE" w:rsidRDefault="004D51C9" w:rsidP="004D51C9">
      <w:pPr>
        <w:tabs>
          <w:tab w:val="left" w:pos="6660"/>
        </w:tabs>
        <w:spacing w:before="100" w:beforeAutospacing="1" w:after="100" w:afterAutospacing="1" w:line="360" w:lineRule="auto"/>
        <w:jc w:val="both"/>
        <w:rPr>
          <w:rFonts w:ascii="Century Gothic" w:eastAsia="Times New Roman" w:hAnsi="Century Gothic" w:cs="Arial"/>
          <w:sz w:val="28"/>
          <w:szCs w:val="28"/>
          <w:lang w:eastAsia="es-ES"/>
        </w:rPr>
      </w:pPr>
      <w:r w:rsidRPr="00343FBE">
        <w:rPr>
          <w:rFonts w:ascii="Century Gothic" w:eastAsia="Times New Roman" w:hAnsi="Century Gothic" w:cs="Arial"/>
          <w:sz w:val="28"/>
          <w:szCs w:val="28"/>
          <w:lang w:eastAsia="es-ES"/>
        </w:rPr>
        <w:t xml:space="preserve">La primera de las demandas fue presentada directamente en la Oficialía de Partes de esta Sala Superior, a las </w:t>
      </w:r>
      <w:r w:rsidR="0046407C" w:rsidRPr="00343FBE">
        <w:rPr>
          <w:rFonts w:ascii="Century Gothic" w:eastAsia="Times New Roman" w:hAnsi="Century Gothic" w:cs="Arial"/>
          <w:sz w:val="28"/>
          <w:szCs w:val="28"/>
          <w:lang w:eastAsia="es-ES"/>
        </w:rPr>
        <w:t xml:space="preserve">dieciséis </w:t>
      </w:r>
      <w:r w:rsidRPr="00343FBE">
        <w:rPr>
          <w:rFonts w:ascii="Century Gothic" w:eastAsia="Times New Roman" w:hAnsi="Century Gothic" w:cs="Arial"/>
          <w:sz w:val="28"/>
          <w:szCs w:val="28"/>
          <w:lang w:eastAsia="es-ES"/>
        </w:rPr>
        <w:t xml:space="preserve">horas con </w:t>
      </w:r>
      <w:r w:rsidR="0046407C" w:rsidRPr="00343FBE">
        <w:rPr>
          <w:rFonts w:ascii="Century Gothic" w:eastAsia="Times New Roman" w:hAnsi="Century Gothic" w:cs="Arial"/>
          <w:sz w:val="28"/>
          <w:szCs w:val="28"/>
          <w:lang w:eastAsia="es-ES"/>
        </w:rPr>
        <w:t xml:space="preserve">cincuenta y seis </w:t>
      </w:r>
      <w:r w:rsidRPr="00343FBE">
        <w:rPr>
          <w:rFonts w:ascii="Century Gothic" w:eastAsia="Times New Roman" w:hAnsi="Century Gothic" w:cs="Arial"/>
          <w:sz w:val="28"/>
          <w:szCs w:val="28"/>
          <w:lang w:eastAsia="es-ES"/>
        </w:rPr>
        <w:t xml:space="preserve">minutos del </w:t>
      </w:r>
      <w:r w:rsidR="0046407C" w:rsidRPr="00343FBE">
        <w:rPr>
          <w:rFonts w:ascii="Century Gothic" w:eastAsia="Times New Roman" w:hAnsi="Century Gothic" w:cs="Arial"/>
          <w:sz w:val="28"/>
          <w:szCs w:val="28"/>
          <w:lang w:eastAsia="es-ES"/>
        </w:rPr>
        <w:t xml:space="preserve">primero </w:t>
      </w:r>
      <w:r w:rsidRPr="00343FBE">
        <w:rPr>
          <w:rFonts w:ascii="Century Gothic" w:eastAsia="Times New Roman" w:hAnsi="Century Gothic" w:cs="Arial"/>
          <w:sz w:val="28"/>
          <w:szCs w:val="28"/>
          <w:lang w:eastAsia="es-ES"/>
        </w:rPr>
        <w:t xml:space="preserve">de </w:t>
      </w:r>
      <w:r w:rsidR="0046407C" w:rsidRPr="00343FBE">
        <w:rPr>
          <w:rFonts w:ascii="Century Gothic" w:eastAsia="Times New Roman" w:hAnsi="Century Gothic" w:cs="Arial"/>
          <w:sz w:val="28"/>
          <w:szCs w:val="28"/>
          <w:lang w:eastAsia="es-ES"/>
        </w:rPr>
        <w:t>junio</w:t>
      </w:r>
      <w:r w:rsidRPr="00343FBE">
        <w:rPr>
          <w:rFonts w:ascii="Century Gothic" w:eastAsia="Times New Roman" w:hAnsi="Century Gothic" w:cs="Arial"/>
          <w:sz w:val="28"/>
          <w:szCs w:val="28"/>
          <w:lang w:eastAsia="es-ES"/>
        </w:rPr>
        <w:t xml:space="preserve"> de dos mil diecis</w:t>
      </w:r>
      <w:r w:rsidR="0046407C" w:rsidRPr="00343FBE">
        <w:rPr>
          <w:rFonts w:ascii="Century Gothic" w:eastAsia="Times New Roman" w:hAnsi="Century Gothic" w:cs="Arial"/>
          <w:sz w:val="28"/>
          <w:szCs w:val="28"/>
          <w:lang w:eastAsia="es-ES"/>
        </w:rPr>
        <w:t>iete</w:t>
      </w:r>
      <w:r w:rsidRPr="00343FBE">
        <w:rPr>
          <w:rFonts w:ascii="Century Gothic" w:eastAsia="Times New Roman" w:hAnsi="Century Gothic" w:cs="Arial"/>
          <w:sz w:val="28"/>
          <w:szCs w:val="28"/>
          <w:lang w:eastAsia="es-ES"/>
        </w:rPr>
        <w:t xml:space="preserve">, ante la Oficialía de Partes de esta Sala Superior. El referido escrito dio origen al expediente identificado con la clave </w:t>
      </w:r>
      <w:r w:rsidRPr="00343FBE">
        <w:rPr>
          <w:rFonts w:ascii="Century Gothic" w:eastAsia="Times New Roman" w:hAnsi="Century Gothic" w:cs="Arial"/>
          <w:b/>
          <w:sz w:val="28"/>
          <w:szCs w:val="28"/>
          <w:lang w:eastAsia="es-ES"/>
        </w:rPr>
        <w:t>SUP-JDC-</w:t>
      </w:r>
      <w:r w:rsidR="00347D2C" w:rsidRPr="00343FBE">
        <w:rPr>
          <w:rFonts w:ascii="Century Gothic" w:eastAsia="Times New Roman" w:hAnsi="Century Gothic" w:cs="Arial"/>
          <w:b/>
          <w:sz w:val="28"/>
          <w:szCs w:val="28"/>
          <w:lang w:eastAsia="es-ES"/>
        </w:rPr>
        <w:t>399</w:t>
      </w:r>
      <w:r w:rsidRPr="00343FBE">
        <w:rPr>
          <w:rFonts w:ascii="Century Gothic" w:eastAsia="Times New Roman" w:hAnsi="Century Gothic" w:cs="Arial"/>
          <w:b/>
          <w:sz w:val="28"/>
          <w:szCs w:val="28"/>
          <w:lang w:eastAsia="es-ES"/>
        </w:rPr>
        <w:t>/201</w:t>
      </w:r>
      <w:r w:rsidR="00782055" w:rsidRPr="00343FBE">
        <w:rPr>
          <w:rFonts w:ascii="Century Gothic" w:eastAsia="Times New Roman" w:hAnsi="Century Gothic" w:cs="Arial"/>
          <w:b/>
          <w:sz w:val="28"/>
          <w:szCs w:val="28"/>
          <w:lang w:eastAsia="es-ES"/>
        </w:rPr>
        <w:t>7</w:t>
      </w:r>
      <w:r w:rsidRPr="00343FBE">
        <w:rPr>
          <w:rFonts w:ascii="Century Gothic" w:eastAsia="Times New Roman" w:hAnsi="Century Gothic" w:cs="Arial"/>
          <w:sz w:val="28"/>
          <w:szCs w:val="28"/>
          <w:lang w:eastAsia="es-ES"/>
        </w:rPr>
        <w:t xml:space="preserve">, el cual se mandó a tramitar mediante requerimiento de la referida fecha. </w:t>
      </w:r>
    </w:p>
    <w:p w:rsidR="004D51C9" w:rsidRPr="00343FBE" w:rsidRDefault="004D51C9" w:rsidP="004D51C9">
      <w:pPr>
        <w:tabs>
          <w:tab w:val="left" w:pos="6660"/>
        </w:tabs>
        <w:spacing w:before="100" w:beforeAutospacing="1" w:after="100" w:afterAutospacing="1" w:line="360" w:lineRule="auto"/>
        <w:jc w:val="both"/>
        <w:rPr>
          <w:rFonts w:ascii="Century Gothic" w:eastAsia="Times New Roman" w:hAnsi="Century Gothic" w:cs="Arial"/>
          <w:sz w:val="28"/>
          <w:szCs w:val="28"/>
          <w:lang w:eastAsia="es-ES"/>
        </w:rPr>
      </w:pPr>
      <w:r w:rsidRPr="00343FBE">
        <w:rPr>
          <w:rFonts w:ascii="Century Gothic" w:eastAsia="Times New Roman" w:hAnsi="Century Gothic" w:cs="Arial"/>
          <w:sz w:val="28"/>
          <w:szCs w:val="28"/>
          <w:lang w:eastAsia="es-ES"/>
        </w:rPr>
        <w:t xml:space="preserve">En cambio, el segundo de los escritos fue presentado a las </w:t>
      </w:r>
      <w:r w:rsidR="00826AAD" w:rsidRPr="00343FBE">
        <w:rPr>
          <w:rFonts w:ascii="Century Gothic" w:eastAsia="Times New Roman" w:hAnsi="Century Gothic" w:cs="Arial"/>
          <w:sz w:val="28"/>
          <w:szCs w:val="28"/>
          <w:lang w:eastAsia="es-ES"/>
        </w:rPr>
        <w:t xml:space="preserve">dieciséis </w:t>
      </w:r>
      <w:r w:rsidRPr="00343FBE">
        <w:rPr>
          <w:rFonts w:ascii="Century Gothic" w:eastAsia="Times New Roman" w:hAnsi="Century Gothic" w:cs="Arial"/>
          <w:sz w:val="28"/>
          <w:szCs w:val="28"/>
          <w:lang w:eastAsia="es-ES"/>
        </w:rPr>
        <w:t xml:space="preserve">horas con </w:t>
      </w:r>
      <w:r w:rsidR="00826AAD" w:rsidRPr="00343FBE">
        <w:rPr>
          <w:rFonts w:ascii="Century Gothic" w:eastAsia="Times New Roman" w:hAnsi="Century Gothic" w:cs="Arial"/>
          <w:sz w:val="28"/>
          <w:szCs w:val="28"/>
          <w:lang w:eastAsia="es-ES"/>
        </w:rPr>
        <w:t xml:space="preserve">dieciséis </w:t>
      </w:r>
      <w:r w:rsidRPr="00343FBE">
        <w:rPr>
          <w:rFonts w:ascii="Century Gothic" w:eastAsia="Times New Roman" w:hAnsi="Century Gothic" w:cs="Arial"/>
          <w:sz w:val="28"/>
          <w:szCs w:val="28"/>
          <w:lang w:eastAsia="es-ES"/>
        </w:rPr>
        <w:t>minuto</w:t>
      </w:r>
      <w:r w:rsidR="00826AAD" w:rsidRPr="00343FBE">
        <w:rPr>
          <w:rFonts w:ascii="Century Gothic" w:eastAsia="Times New Roman" w:hAnsi="Century Gothic" w:cs="Arial"/>
          <w:sz w:val="28"/>
          <w:szCs w:val="28"/>
          <w:lang w:eastAsia="es-ES"/>
        </w:rPr>
        <w:t>s</w:t>
      </w:r>
      <w:r w:rsidRPr="00343FBE">
        <w:rPr>
          <w:rFonts w:ascii="Century Gothic" w:eastAsia="Times New Roman" w:hAnsi="Century Gothic" w:cs="Arial"/>
          <w:sz w:val="28"/>
          <w:szCs w:val="28"/>
          <w:lang w:eastAsia="es-ES"/>
        </w:rPr>
        <w:t xml:space="preserve">, el </w:t>
      </w:r>
      <w:r w:rsidR="00C55016" w:rsidRPr="00343FBE">
        <w:rPr>
          <w:rFonts w:ascii="Century Gothic" w:eastAsia="Times New Roman" w:hAnsi="Century Gothic" w:cs="Arial"/>
          <w:sz w:val="28"/>
          <w:szCs w:val="28"/>
          <w:lang w:eastAsia="es-ES"/>
        </w:rPr>
        <w:t xml:space="preserve">doce </w:t>
      </w:r>
      <w:r w:rsidRPr="00343FBE">
        <w:rPr>
          <w:rFonts w:ascii="Century Gothic" w:eastAsia="Times New Roman" w:hAnsi="Century Gothic" w:cs="Arial"/>
          <w:sz w:val="28"/>
          <w:szCs w:val="28"/>
          <w:lang w:eastAsia="es-ES"/>
        </w:rPr>
        <w:t xml:space="preserve">de </w:t>
      </w:r>
      <w:r w:rsidR="00C55016" w:rsidRPr="00343FBE">
        <w:rPr>
          <w:rFonts w:ascii="Century Gothic" w:eastAsia="Times New Roman" w:hAnsi="Century Gothic" w:cs="Arial"/>
          <w:sz w:val="28"/>
          <w:szCs w:val="28"/>
          <w:lang w:eastAsia="es-ES"/>
        </w:rPr>
        <w:t xml:space="preserve">junio </w:t>
      </w:r>
      <w:r w:rsidRPr="00343FBE">
        <w:rPr>
          <w:rFonts w:ascii="Century Gothic" w:eastAsia="Times New Roman" w:hAnsi="Century Gothic" w:cs="Arial"/>
          <w:sz w:val="28"/>
          <w:szCs w:val="28"/>
          <w:lang w:eastAsia="es-ES"/>
        </w:rPr>
        <w:t xml:space="preserve">del año en curso, ante la </w:t>
      </w:r>
      <w:r w:rsidR="00C55016" w:rsidRPr="00343FBE">
        <w:rPr>
          <w:rFonts w:ascii="Century Gothic" w:eastAsia="Times New Roman" w:hAnsi="Century Gothic" w:cs="Arial"/>
          <w:sz w:val="28"/>
          <w:szCs w:val="28"/>
          <w:lang w:eastAsia="es-ES"/>
        </w:rPr>
        <w:t xml:space="preserve">propia </w:t>
      </w:r>
      <w:r w:rsidRPr="00343FBE">
        <w:rPr>
          <w:rFonts w:ascii="Century Gothic" w:eastAsia="Times New Roman" w:hAnsi="Century Gothic" w:cs="Arial"/>
          <w:sz w:val="28"/>
          <w:szCs w:val="28"/>
          <w:lang w:eastAsia="es-ES"/>
        </w:rPr>
        <w:t xml:space="preserve">Sala </w:t>
      </w:r>
      <w:r w:rsidR="00C55016" w:rsidRPr="00343FBE">
        <w:rPr>
          <w:rFonts w:ascii="Century Gothic" w:eastAsia="Times New Roman" w:hAnsi="Century Gothic" w:cs="Arial"/>
          <w:sz w:val="28"/>
          <w:szCs w:val="28"/>
          <w:lang w:eastAsia="es-ES"/>
        </w:rPr>
        <w:t xml:space="preserve">Superior, el cual </w:t>
      </w:r>
      <w:r w:rsidRPr="00343FBE">
        <w:rPr>
          <w:rFonts w:ascii="Century Gothic" w:eastAsia="Times New Roman" w:hAnsi="Century Gothic" w:cs="Arial"/>
          <w:sz w:val="28"/>
          <w:szCs w:val="28"/>
          <w:lang w:eastAsia="es-ES"/>
        </w:rPr>
        <w:t xml:space="preserve">dio lugar </w:t>
      </w:r>
      <w:r w:rsidRPr="00343FBE">
        <w:rPr>
          <w:rFonts w:ascii="Century Gothic" w:eastAsia="Times New Roman" w:hAnsi="Century Gothic" w:cs="Arial"/>
          <w:sz w:val="28"/>
          <w:szCs w:val="28"/>
          <w:lang w:eastAsia="es-ES"/>
        </w:rPr>
        <w:lastRenderedPageBreak/>
        <w:t xml:space="preserve">a la integración del expediente identificado con la clave </w:t>
      </w:r>
      <w:r w:rsidRPr="00343FBE">
        <w:rPr>
          <w:rFonts w:ascii="Century Gothic" w:eastAsia="Times New Roman" w:hAnsi="Century Gothic" w:cs="Arial"/>
          <w:b/>
          <w:sz w:val="28"/>
          <w:szCs w:val="28"/>
          <w:lang w:eastAsia="es-ES"/>
        </w:rPr>
        <w:t>SUP-JDC-</w:t>
      </w:r>
      <w:r w:rsidR="00856A5C" w:rsidRPr="00343FBE">
        <w:rPr>
          <w:rFonts w:ascii="Century Gothic" w:eastAsia="Times New Roman" w:hAnsi="Century Gothic" w:cs="Arial"/>
          <w:b/>
          <w:sz w:val="28"/>
          <w:szCs w:val="28"/>
          <w:lang w:eastAsia="es-ES"/>
        </w:rPr>
        <w:t>445</w:t>
      </w:r>
      <w:r w:rsidR="00782055" w:rsidRPr="00343FBE">
        <w:rPr>
          <w:rFonts w:ascii="Century Gothic" w:eastAsia="Times New Roman" w:hAnsi="Century Gothic" w:cs="Arial"/>
          <w:b/>
          <w:sz w:val="28"/>
          <w:szCs w:val="28"/>
          <w:lang w:eastAsia="es-ES"/>
        </w:rPr>
        <w:t>/2017</w:t>
      </w:r>
      <w:r w:rsidRPr="00343FBE">
        <w:rPr>
          <w:rFonts w:ascii="Century Gothic" w:eastAsia="Times New Roman" w:hAnsi="Century Gothic" w:cs="Arial"/>
          <w:sz w:val="28"/>
          <w:szCs w:val="28"/>
          <w:lang w:eastAsia="es-ES"/>
        </w:rPr>
        <w:t>.</w:t>
      </w:r>
    </w:p>
    <w:p w:rsidR="004D51C9" w:rsidRPr="00343FBE" w:rsidRDefault="004D51C9" w:rsidP="004D51C9">
      <w:pPr>
        <w:tabs>
          <w:tab w:val="left" w:pos="6660"/>
        </w:tabs>
        <w:spacing w:before="100" w:beforeAutospacing="1" w:after="100" w:afterAutospacing="1" w:line="360" w:lineRule="auto"/>
        <w:jc w:val="both"/>
        <w:rPr>
          <w:rFonts w:ascii="Century Gothic" w:eastAsia="Times New Roman" w:hAnsi="Century Gothic" w:cs="Arial"/>
          <w:sz w:val="28"/>
          <w:szCs w:val="28"/>
          <w:lang w:eastAsia="es-ES"/>
        </w:rPr>
      </w:pPr>
      <w:r w:rsidRPr="00343FBE">
        <w:rPr>
          <w:rFonts w:ascii="Century Gothic" w:eastAsia="Times New Roman" w:hAnsi="Century Gothic" w:cs="Arial"/>
          <w:sz w:val="28"/>
          <w:szCs w:val="28"/>
          <w:lang w:eastAsia="es-ES"/>
        </w:rPr>
        <w:t xml:space="preserve">Ahora bien, del análisis de los escritos atinentes, es posible concluir que los mismos son </w:t>
      </w:r>
      <w:r w:rsidR="00856A5C" w:rsidRPr="00343FBE">
        <w:rPr>
          <w:rFonts w:ascii="Century Gothic" w:eastAsia="Times New Roman" w:hAnsi="Century Gothic" w:cs="Arial"/>
          <w:sz w:val="28"/>
          <w:szCs w:val="28"/>
          <w:lang w:eastAsia="es-ES"/>
        </w:rPr>
        <w:t xml:space="preserve">similares </w:t>
      </w:r>
      <w:r w:rsidR="006462E3" w:rsidRPr="00343FBE">
        <w:rPr>
          <w:rFonts w:ascii="Century Gothic" w:eastAsia="Times New Roman" w:hAnsi="Century Gothic" w:cs="Arial"/>
          <w:sz w:val="28"/>
          <w:szCs w:val="28"/>
          <w:lang w:eastAsia="es-ES"/>
        </w:rPr>
        <w:t>en cuanto a las omisiones reclamadas,</w:t>
      </w:r>
      <w:r w:rsidR="005055FD" w:rsidRPr="00343FBE">
        <w:rPr>
          <w:rFonts w:ascii="Century Gothic" w:eastAsia="Times New Roman" w:hAnsi="Century Gothic" w:cs="Arial"/>
          <w:sz w:val="28"/>
          <w:szCs w:val="28"/>
          <w:lang w:eastAsia="es-ES"/>
        </w:rPr>
        <w:t xml:space="preserve"> </w:t>
      </w:r>
      <w:r w:rsidRPr="00343FBE">
        <w:rPr>
          <w:rFonts w:ascii="Century Gothic" w:eastAsia="Times New Roman" w:hAnsi="Century Gothic" w:cs="Arial"/>
          <w:sz w:val="28"/>
          <w:szCs w:val="28"/>
          <w:lang w:eastAsia="es-ES"/>
        </w:rPr>
        <w:t xml:space="preserve">pues, en ellos, se hacen valer una serie de alegaciones dirigidas a controvertir las </w:t>
      </w:r>
      <w:r w:rsidR="00856A5C" w:rsidRPr="00343FBE">
        <w:rPr>
          <w:rFonts w:ascii="Century Gothic" w:eastAsia="Times New Roman" w:hAnsi="Century Gothic" w:cs="Arial"/>
          <w:sz w:val="28"/>
          <w:szCs w:val="28"/>
          <w:lang w:eastAsia="es-ES"/>
        </w:rPr>
        <w:t>referidas omisiones</w:t>
      </w:r>
      <w:r w:rsidRPr="00343FBE">
        <w:rPr>
          <w:rFonts w:ascii="Century Gothic" w:eastAsia="Times New Roman" w:hAnsi="Century Gothic" w:cs="Arial"/>
          <w:sz w:val="28"/>
          <w:szCs w:val="28"/>
          <w:lang w:eastAsia="es-ES"/>
        </w:rPr>
        <w:t>.</w:t>
      </w:r>
    </w:p>
    <w:p w:rsidR="004D51C9" w:rsidRPr="00343FBE" w:rsidRDefault="004D51C9" w:rsidP="004D51C9">
      <w:pPr>
        <w:tabs>
          <w:tab w:val="left" w:pos="6660"/>
        </w:tabs>
        <w:spacing w:before="100" w:beforeAutospacing="1" w:after="100" w:afterAutospacing="1" w:line="360" w:lineRule="auto"/>
        <w:jc w:val="both"/>
        <w:rPr>
          <w:rFonts w:ascii="Century Gothic" w:eastAsia="Times New Roman" w:hAnsi="Century Gothic" w:cs="Arial"/>
          <w:sz w:val="28"/>
          <w:szCs w:val="28"/>
          <w:lang w:eastAsia="es-ES"/>
        </w:rPr>
      </w:pPr>
      <w:r w:rsidRPr="00343FBE">
        <w:rPr>
          <w:rFonts w:ascii="Century Gothic" w:eastAsia="Times New Roman" w:hAnsi="Century Gothic" w:cs="Arial"/>
          <w:sz w:val="28"/>
          <w:szCs w:val="28"/>
          <w:lang w:eastAsia="es-ES"/>
        </w:rPr>
        <w:t xml:space="preserve">De hecho, ambos escritos fueron presentados por </w:t>
      </w:r>
      <w:r w:rsidR="00856A5C" w:rsidRPr="00343FBE">
        <w:rPr>
          <w:rFonts w:ascii="Century Gothic" w:eastAsia="Times New Roman" w:hAnsi="Century Gothic" w:cs="Arial"/>
          <w:sz w:val="28"/>
          <w:szCs w:val="28"/>
          <w:lang w:eastAsia="es-ES"/>
        </w:rPr>
        <w:t>e</w:t>
      </w:r>
      <w:r w:rsidRPr="00343FBE">
        <w:rPr>
          <w:rFonts w:ascii="Century Gothic" w:eastAsia="Times New Roman" w:hAnsi="Century Gothic" w:cs="Arial"/>
          <w:sz w:val="28"/>
          <w:szCs w:val="28"/>
          <w:lang w:eastAsia="es-ES"/>
        </w:rPr>
        <w:t>l</w:t>
      </w:r>
      <w:r w:rsidR="00856A5C" w:rsidRPr="00343FBE">
        <w:rPr>
          <w:rFonts w:ascii="Century Gothic" w:eastAsia="Times New Roman" w:hAnsi="Century Gothic" w:cs="Arial"/>
          <w:sz w:val="28"/>
          <w:szCs w:val="28"/>
          <w:lang w:eastAsia="es-ES"/>
        </w:rPr>
        <w:t xml:space="preserve"> </w:t>
      </w:r>
      <w:r w:rsidRPr="00343FBE">
        <w:rPr>
          <w:rFonts w:ascii="Century Gothic" w:eastAsia="Times New Roman" w:hAnsi="Century Gothic" w:cs="Arial"/>
          <w:sz w:val="28"/>
          <w:szCs w:val="28"/>
          <w:lang w:eastAsia="es-ES"/>
        </w:rPr>
        <w:t>mism</w:t>
      </w:r>
      <w:r w:rsidR="00856A5C" w:rsidRPr="00343FBE">
        <w:rPr>
          <w:rFonts w:ascii="Century Gothic" w:eastAsia="Times New Roman" w:hAnsi="Century Gothic" w:cs="Arial"/>
          <w:sz w:val="28"/>
          <w:szCs w:val="28"/>
          <w:lang w:eastAsia="es-ES"/>
        </w:rPr>
        <w:t>o</w:t>
      </w:r>
      <w:r w:rsidRPr="00343FBE">
        <w:rPr>
          <w:rFonts w:ascii="Century Gothic" w:eastAsia="Times New Roman" w:hAnsi="Century Gothic" w:cs="Arial"/>
          <w:sz w:val="28"/>
          <w:szCs w:val="28"/>
          <w:lang w:eastAsia="es-ES"/>
        </w:rPr>
        <w:t xml:space="preserve"> actor. </w:t>
      </w:r>
    </w:p>
    <w:p w:rsidR="004D51C9" w:rsidRPr="00343FBE" w:rsidRDefault="004D51C9" w:rsidP="004D51C9">
      <w:pPr>
        <w:tabs>
          <w:tab w:val="left" w:pos="6660"/>
        </w:tabs>
        <w:spacing w:before="100" w:beforeAutospacing="1" w:after="100" w:afterAutospacing="1" w:line="360" w:lineRule="auto"/>
        <w:jc w:val="both"/>
        <w:rPr>
          <w:rFonts w:ascii="Century Gothic" w:eastAsia="Times New Roman" w:hAnsi="Century Gothic" w:cs="Arial"/>
          <w:sz w:val="28"/>
          <w:szCs w:val="28"/>
          <w:lang w:eastAsia="es-ES"/>
        </w:rPr>
      </w:pPr>
      <w:r w:rsidRPr="00343FBE">
        <w:rPr>
          <w:rFonts w:ascii="Century Gothic" w:eastAsia="Times New Roman" w:hAnsi="Century Gothic" w:cs="Arial"/>
          <w:sz w:val="28"/>
          <w:szCs w:val="28"/>
          <w:lang w:eastAsia="es-ES"/>
        </w:rPr>
        <w:t xml:space="preserve">En esas condiciones, si </w:t>
      </w:r>
      <w:r w:rsidR="00E10504" w:rsidRPr="00343FBE">
        <w:rPr>
          <w:rFonts w:ascii="Century Gothic" w:eastAsia="Times New Roman" w:hAnsi="Century Gothic" w:cs="Arial"/>
          <w:sz w:val="28"/>
          <w:szCs w:val="28"/>
          <w:lang w:eastAsia="es-ES"/>
        </w:rPr>
        <w:t xml:space="preserve">el </w:t>
      </w:r>
      <w:r w:rsidRPr="00343FBE">
        <w:rPr>
          <w:rFonts w:ascii="Century Gothic" w:eastAsia="Times New Roman" w:hAnsi="Century Gothic" w:cs="Arial"/>
          <w:sz w:val="28"/>
          <w:szCs w:val="28"/>
          <w:lang w:eastAsia="es-ES"/>
        </w:rPr>
        <w:t>mism</w:t>
      </w:r>
      <w:r w:rsidR="00E10504" w:rsidRPr="00343FBE">
        <w:rPr>
          <w:rFonts w:ascii="Century Gothic" w:eastAsia="Times New Roman" w:hAnsi="Century Gothic" w:cs="Arial"/>
          <w:sz w:val="28"/>
          <w:szCs w:val="28"/>
          <w:lang w:eastAsia="es-ES"/>
        </w:rPr>
        <w:t>o</w:t>
      </w:r>
      <w:r w:rsidRPr="00343FBE">
        <w:rPr>
          <w:rFonts w:ascii="Century Gothic" w:eastAsia="Times New Roman" w:hAnsi="Century Gothic" w:cs="Arial"/>
          <w:sz w:val="28"/>
          <w:szCs w:val="28"/>
          <w:lang w:eastAsia="es-ES"/>
        </w:rPr>
        <w:t xml:space="preserve"> enjuiciante presenta dos escritos de demanda, mediante los cuales controvierte, </w:t>
      </w:r>
      <w:r w:rsidR="00E10504" w:rsidRPr="00343FBE">
        <w:rPr>
          <w:rFonts w:ascii="Century Gothic" w:eastAsia="Times New Roman" w:hAnsi="Century Gothic" w:cs="Arial"/>
          <w:sz w:val="28"/>
          <w:szCs w:val="28"/>
          <w:lang w:eastAsia="es-ES"/>
        </w:rPr>
        <w:t>las indicadas omisiones</w:t>
      </w:r>
      <w:r w:rsidRPr="00343FBE">
        <w:rPr>
          <w:rFonts w:ascii="Century Gothic" w:eastAsia="Times New Roman" w:hAnsi="Century Gothic" w:cs="Arial"/>
          <w:sz w:val="28"/>
          <w:szCs w:val="28"/>
          <w:lang w:eastAsia="es-ES"/>
        </w:rPr>
        <w:t xml:space="preserve">, esta instancia jurisdiccional estima que debe sobreseerse </w:t>
      </w:r>
      <w:r w:rsidR="005055FD" w:rsidRPr="00343FBE">
        <w:rPr>
          <w:rFonts w:ascii="Century Gothic" w:eastAsia="Times New Roman" w:hAnsi="Century Gothic" w:cs="Arial"/>
          <w:sz w:val="28"/>
          <w:szCs w:val="28"/>
          <w:lang w:eastAsia="es-ES"/>
        </w:rPr>
        <w:t xml:space="preserve">respecto de las referidas omisiones impugnadas </w:t>
      </w:r>
      <w:r w:rsidR="0064233F" w:rsidRPr="00343FBE">
        <w:rPr>
          <w:rFonts w:ascii="Century Gothic" w:eastAsia="Times New Roman" w:hAnsi="Century Gothic" w:cs="Arial"/>
          <w:sz w:val="28"/>
          <w:szCs w:val="28"/>
          <w:lang w:eastAsia="es-ES"/>
        </w:rPr>
        <w:t xml:space="preserve">en </w:t>
      </w:r>
      <w:r w:rsidRPr="00343FBE">
        <w:rPr>
          <w:rFonts w:ascii="Century Gothic" w:eastAsia="Times New Roman" w:hAnsi="Century Gothic" w:cs="Arial"/>
          <w:sz w:val="28"/>
          <w:szCs w:val="28"/>
          <w:lang w:eastAsia="es-ES"/>
        </w:rPr>
        <w:t>el juicio ciudadano identificado con la clave SUP-JDC-</w:t>
      </w:r>
      <w:r w:rsidR="00E10504" w:rsidRPr="00343FBE">
        <w:rPr>
          <w:rFonts w:ascii="Century Gothic" w:eastAsia="Times New Roman" w:hAnsi="Century Gothic" w:cs="Arial"/>
          <w:sz w:val="28"/>
          <w:szCs w:val="28"/>
          <w:lang w:eastAsia="es-ES"/>
        </w:rPr>
        <w:t>445</w:t>
      </w:r>
      <w:r w:rsidRPr="00343FBE">
        <w:rPr>
          <w:rFonts w:ascii="Century Gothic" w:eastAsia="Times New Roman" w:hAnsi="Century Gothic" w:cs="Arial"/>
          <w:sz w:val="28"/>
          <w:szCs w:val="28"/>
          <w:lang w:eastAsia="es-ES"/>
        </w:rPr>
        <w:t>/201</w:t>
      </w:r>
      <w:r w:rsidR="00E10504" w:rsidRPr="00343FBE">
        <w:rPr>
          <w:rFonts w:ascii="Century Gothic" w:eastAsia="Times New Roman" w:hAnsi="Century Gothic" w:cs="Arial"/>
          <w:sz w:val="28"/>
          <w:szCs w:val="28"/>
          <w:lang w:eastAsia="es-ES"/>
        </w:rPr>
        <w:t>7</w:t>
      </w:r>
      <w:r w:rsidRPr="00343FBE">
        <w:rPr>
          <w:rFonts w:ascii="Century Gothic" w:eastAsia="Times New Roman" w:hAnsi="Century Gothic" w:cs="Arial"/>
          <w:sz w:val="28"/>
          <w:szCs w:val="28"/>
          <w:lang w:eastAsia="es-ES"/>
        </w:rPr>
        <w:t xml:space="preserve">, pues </w:t>
      </w:r>
      <w:r w:rsidR="008816CA" w:rsidRPr="00343FBE">
        <w:rPr>
          <w:rFonts w:ascii="Century Gothic" w:eastAsia="Times New Roman" w:hAnsi="Century Gothic" w:cs="Arial"/>
          <w:sz w:val="28"/>
          <w:szCs w:val="28"/>
          <w:lang w:eastAsia="es-ES"/>
        </w:rPr>
        <w:t xml:space="preserve">Florencio Torres Romero </w:t>
      </w:r>
      <w:r w:rsidRPr="00343FBE">
        <w:rPr>
          <w:rFonts w:ascii="Century Gothic" w:eastAsia="Times New Roman" w:hAnsi="Century Gothic" w:cs="Arial"/>
          <w:sz w:val="28"/>
          <w:szCs w:val="28"/>
          <w:lang w:eastAsia="es-ES"/>
        </w:rPr>
        <w:t>agotó su derecho a impugnar al haber presentado la demanda del juicio SUP-JDC-</w:t>
      </w:r>
      <w:r w:rsidR="008816CA" w:rsidRPr="00343FBE">
        <w:rPr>
          <w:rFonts w:ascii="Century Gothic" w:eastAsia="Times New Roman" w:hAnsi="Century Gothic" w:cs="Arial"/>
          <w:sz w:val="28"/>
          <w:szCs w:val="28"/>
          <w:lang w:eastAsia="es-ES"/>
        </w:rPr>
        <w:t>399</w:t>
      </w:r>
      <w:r w:rsidRPr="00343FBE">
        <w:rPr>
          <w:rFonts w:ascii="Century Gothic" w:eastAsia="Times New Roman" w:hAnsi="Century Gothic" w:cs="Arial"/>
          <w:sz w:val="28"/>
          <w:szCs w:val="28"/>
          <w:lang w:eastAsia="es-ES"/>
        </w:rPr>
        <w:t>/201</w:t>
      </w:r>
      <w:r w:rsidR="008816CA" w:rsidRPr="00343FBE">
        <w:rPr>
          <w:rFonts w:ascii="Century Gothic" w:eastAsia="Times New Roman" w:hAnsi="Century Gothic" w:cs="Arial"/>
          <w:sz w:val="28"/>
          <w:szCs w:val="28"/>
          <w:lang w:eastAsia="es-ES"/>
        </w:rPr>
        <w:t>7</w:t>
      </w:r>
      <w:r w:rsidRPr="00343FBE">
        <w:rPr>
          <w:rFonts w:ascii="Century Gothic" w:eastAsia="Times New Roman" w:hAnsi="Century Gothic" w:cs="Arial"/>
          <w:sz w:val="28"/>
          <w:szCs w:val="28"/>
          <w:lang w:eastAsia="es-ES"/>
        </w:rPr>
        <w:t xml:space="preserve"> directamente ante este órgano jurisdiccional.</w:t>
      </w:r>
    </w:p>
    <w:p w:rsidR="004D51C9" w:rsidRPr="00343FBE" w:rsidRDefault="004D51C9" w:rsidP="004D51C9">
      <w:pPr>
        <w:tabs>
          <w:tab w:val="left" w:pos="6660"/>
        </w:tabs>
        <w:spacing w:before="100" w:beforeAutospacing="1" w:after="100" w:afterAutospacing="1" w:line="360" w:lineRule="auto"/>
        <w:jc w:val="both"/>
        <w:rPr>
          <w:rFonts w:ascii="Century Gothic" w:eastAsia="Times New Roman" w:hAnsi="Century Gothic" w:cs="Arial"/>
          <w:sz w:val="28"/>
          <w:szCs w:val="28"/>
          <w:lang w:eastAsia="es-ES"/>
        </w:rPr>
      </w:pPr>
      <w:r w:rsidRPr="00343FBE">
        <w:rPr>
          <w:rFonts w:ascii="Century Gothic" w:eastAsia="Times New Roman" w:hAnsi="Century Gothic" w:cs="Arial"/>
          <w:sz w:val="28"/>
          <w:szCs w:val="28"/>
          <w:lang w:eastAsia="es-ES"/>
        </w:rPr>
        <w:t xml:space="preserve">Así las cosas, de conformidad con lo previsto en los artículos 9, apartado 3, y 11, apartado 1, inciso c) de la Ley General del Sistema de Medios de Impugnación en Materia Electoral, se estima que lo conducente es sobreseer la demanda correspondiente al juicio ciudadano en comento, </w:t>
      </w:r>
      <w:r w:rsidR="008816CA" w:rsidRPr="00343FBE">
        <w:rPr>
          <w:rFonts w:ascii="Century Gothic" w:eastAsia="Times New Roman" w:hAnsi="Century Gothic" w:cs="Arial"/>
          <w:sz w:val="28"/>
          <w:szCs w:val="28"/>
          <w:lang w:eastAsia="es-ES"/>
        </w:rPr>
        <w:t xml:space="preserve">respecto de las aludidas </w:t>
      </w:r>
      <w:r w:rsidR="00210653" w:rsidRPr="00343FBE">
        <w:rPr>
          <w:rFonts w:ascii="Century Gothic" w:eastAsia="Times New Roman" w:hAnsi="Century Gothic" w:cs="Arial"/>
          <w:sz w:val="28"/>
          <w:szCs w:val="28"/>
          <w:lang w:eastAsia="es-ES"/>
        </w:rPr>
        <w:t>o</w:t>
      </w:r>
      <w:r w:rsidR="008816CA" w:rsidRPr="00343FBE">
        <w:rPr>
          <w:rFonts w:ascii="Century Gothic" w:eastAsia="Times New Roman" w:hAnsi="Century Gothic" w:cs="Arial"/>
          <w:sz w:val="28"/>
          <w:szCs w:val="28"/>
          <w:lang w:eastAsia="es-ES"/>
        </w:rPr>
        <w:t xml:space="preserve">misiones, </w:t>
      </w:r>
      <w:r w:rsidRPr="00343FBE">
        <w:rPr>
          <w:rFonts w:ascii="Century Gothic" w:eastAsia="Times New Roman" w:hAnsi="Century Gothic" w:cs="Arial"/>
          <w:sz w:val="28"/>
          <w:szCs w:val="28"/>
          <w:lang w:eastAsia="es-ES"/>
        </w:rPr>
        <w:t>al haberse admitido la misma</w:t>
      </w:r>
      <w:r w:rsidR="00210653" w:rsidRPr="00343FBE">
        <w:rPr>
          <w:rFonts w:ascii="Century Gothic" w:eastAsia="Times New Roman" w:hAnsi="Century Gothic" w:cs="Arial"/>
          <w:sz w:val="28"/>
          <w:szCs w:val="28"/>
          <w:lang w:eastAsia="es-ES"/>
        </w:rPr>
        <w:t>.</w:t>
      </w:r>
      <w:r w:rsidRPr="00343FBE">
        <w:rPr>
          <w:rFonts w:ascii="Century Gothic" w:eastAsia="Times New Roman" w:hAnsi="Century Gothic" w:cs="Arial"/>
          <w:sz w:val="28"/>
          <w:szCs w:val="28"/>
          <w:lang w:eastAsia="es-ES"/>
        </w:rPr>
        <w:t xml:space="preserve"> </w:t>
      </w:r>
    </w:p>
    <w:p w:rsidR="004226DF" w:rsidRPr="00343FBE" w:rsidRDefault="00FC06C0" w:rsidP="00FC06C0">
      <w:pPr>
        <w:spacing w:before="120" w:after="240" w:line="348" w:lineRule="auto"/>
        <w:jc w:val="both"/>
        <w:rPr>
          <w:rFonts w:ascii="Century Gothic" w:hAnsi="Century Gothic" w:cs="Arial"/>
          <w:bCs/>
          <w:sz w:val="28"/>
          <w:szCs w:val="28"/>
          <w:lang w:eastAsia="en-US"/>
        </w:rPr>
      </w:pPr>
      <w:r w:rsidRPr="00343FBE">
        <w:rPr>
          <w:rFonts w:ascii="Century Gothic" w:hAnsi="Century Gothic" w:cs="Arial"/>
          <w:b/>
          <w:sz w:val="28"/>
          <w:szCs w:val="28"/>
        </w:rPr>
        <w:lastRenderedPageBreak/>
        <w:t xml:space="preserve">SEXTO. </w:t>
      </w:r>
      <w:r w:rsidR="00F350CE" w:rsidRPr="00343FBE">
        <w:rPr>
          <w:rFonts w:ascii="Century Gothic" w:hAnsi="Century Gothic" w:cs="Arial"/>
          <w:b/>
          <w:bCs/>
          <w:sz w:val="28"/>
          <w:szCs w:val="28"/>
          <w:lang w:eastAsia="en-US"/>
        </w:rPr>
        <w:t>R</w:t>
      </w:r>
      <w:r w:rsidR="00055DFA" w:rsidRPr="00343FBE">
        <w:rPr>
          <w:rFonts w:ascii="Century Gothic" w:hAnsi="Century Gothic" w:cs="Arial"/>
          <w:b/>
          <w:bCs/>
          <w:sz w:val="28"/>
          <w:szCs w:val="28"/>
          <w:lang w:eastAsia="en-US"/>
        </w:rPr>
        <w:t xml:space="preserve">equisitos de </w:t>
      </w:r>
      <w:proofErr w:type="spellStart"/>
      <w:r w:rsidR="00055DFA" w:rsidRPr="00343FBE">
        <w:rPr>
          <w:rFonts w:ascii="Century Gothic" w:hAnsi="Century Gothic" w:cs="Arial"/>
          <w:b/>
          <w:bCs/>
          <w:sz w:val="28"/>
          <w:szCs w:val="28"/>
          <w:lang w:eastAsia="en-US"/>
        </w:rPr>
        <w:t>procedibilidad</w:t>
      </w:r>
      <w:proofErr w:type="spellEnd"/>
      <w:r w:rsidR="00F350CE" w:rsidRPr="00343FBE">
        <w:rPr>
          <w:rFonts w:ascii="Century Gothic" w:hAnsi="Century Gothic" w:cs="Arial"/>
          <w:bCs/>
          <w:sz w:val="28"/>
          <w:szCs w:val="28"/>
          <w:lang w:eastAsia="en-US"/>
        </w:rPr>
        <w:t xml:space="preserve">. </w:t>
      </w:r>
      <w:r w:rsidR="004226DF" w:rsidRPr="00343FBE">
        <w:rPr>
          <w:rFonts w:ascii="Century Gothic" w:hAnsi="Century Gothic" w:cs="Arial"/>
          <w:b/>
          <w:bCs/>
          <w:sz w:val="28"/>
          <w:szCs w:val="28"/>
          <w:lang w:eastAsia="en-US"/>
        </w:rPr>
        <w:t>Forma</w:t>
      </w:r>
      <w:r w:rsidR="00540B66" w:rsidRPr="00343FBE">
        <w:rPr>
          <w:rFonts w:ascii="Century Gothic" w:hAnsi="Century Gothic" w:cs="Arial"/>
          <w:bCs/>
          <w:sz w:val="28"/>
          <w:szCs w:val="28"/>
          <w:lang w:eastAsia="en-US"/>
        </w:rPr>
        <w:t>. Los</w:t>
      </w:r>
      <w:r w:rsidR="004226DF" w:rsidRPr="00343FBE">
        <w:rPr>
          <w:rFonts w:ascii="Century Gothic" w:hAnsi="Century Gothic" w:cs="Arial"/>
          <w:bCs/>
          <w:sz w:val="28"/>
          <w:szCs w:val="28"/>
          <w:lang w:eastAsia="en-US"/>
        </w:rPr>
        <w:t xml:space="preserve"> medio</w:t>
      </w:r>
      <w:r w:rsidR="00540B66" w:rsidRPr="00343FBE">
        <w:rPr>
          <w:rFonts w:ascii="Century Gothic" w:hAnsi="Century Gothic" w:cs="Arial"/>
          <w:bCs/>
          <w:sz w:val="28"/>
          <w:szCs w:val="28"/>
          <w:lang w:eastAsia="en-US"/>
        </w:rPr>
        <w:t>s</w:t>
      </w:r>
      <w:r w:rsidR="004226DF" w:rsidRPr="00343FBE">
        <w:rPr>
          <w:rFonts w:ascii="Century Gothic" w:hAnsi="Century Gothic" w:cs="Arial"/>
          <w:bCs/>
          <w:sz w:val="28"/>
          <w:szCs w:val="28"/>
          <w:lang w:eastAsia="en-US"/>
        </w:rPr>
        <w:t xml:space="preserve"> de impugnación se present</w:t>
      </w:r>
      <w:r w:rsidR="00540B66" w:rsidRPr="00343FBE">
        <w:rPr>
          <w:rFonts w:ascii="Century Gothic" w:hAnsi="Century Gothic" w:cs="Arial"/>
          <w:bCs/>
          <w:sz w:val="28"/>
          <w:szCs w:val="28"/>
          <w:lang w:eastAsia="en-US"/>
        </w:rPr>
        <w:t>aron</w:t>
      </w:r>
      <w:r w:rsidR="004226DF" w:rsidRPr="00343FBE">
        <w:rPr>
          <w:rFonts w:ascii="Century Gothic" w:hAnsi="Century Gothic" w:cs="Arial"/>
          <w:bCs/>
          <w:sz w:val="28"/>
          <w:szCs w:val="28"/>
          <w:lang w:eastAsia="en-US"/>
        </w:rPr>
        <w:t xml:space="preserve"> por escrito ante esta Sala Superior, y en </w:t>
      </w:r>
      <w:r w:rsidR="003E7433" w:rsidRPr="00343FBE">
        <w:rPr>
          <w:rFonts w:ascii="Century Gothic" w:hAnsi="Century Gothic" w:cs="Arial"/>
          <w:bCs/>
          <w:sz w:val="28"/>
          <w:szCs w:val="28"/>
          <w:lang w:eastAsia="en-US"/>
        </w:rPr>
        <w:t>ellos</w:t>
      </w:r>
      <w:r w:rsidR="004226DF" w:rsidRPr="00343FBE">
        <w:rPr>
          <w:rFonts w:ascii="Century Gothic" w:hAnsi="Century Gothic" w:cs="Arial"/>
          <w:bCs/>
          <w:sz w:val="28"/>
          <w:szCs w:val="28"/>
          <w:lang w:eastAsia="en-US"/>
        </w:rPr>
        <w:t xml:space="preserve"> se hacen constar tanto el nombre como la firma autógrafa de</w:t>
      </w:r>
      <w:r w:rsidR="00540B66" w:rsidRPr="00343FBE">
        <w:rPr>
          <w:rFonts w:ascii="Century Gothic" w:hAnsi="Century Gothic" w:cs="Arial"/>
          <w:bCs/>
          <w:sz w:val="28"/>
          <w:szCs w:val="28"/>
          <w:lang w:eastAsia="en-US"/>
        </w:rPr>
        <w:t xml:space="preserve"> </w:t>
      </w:r>
      <w:r w:rsidR="004226DF" w:rsidRPr="00343FBE">
        <w:rPr>
          <w:rFonts w:ascii="Century Gothic" w:hAnsi="Century Gothic" w:cs="Arial"/>
          <w:bCs/>
          <w:sz w:val="28"/>
          <w:szCs w:val="28"/>
          <w:lang w:eastAsia="en-US"/>
        </w:rPr>
        <w:t>l</w:t>
      </w:r>
      <w:r w:rsidR="00540B66" w:rsidRPr="00343FBE">
        <w:rPr>
          <w:rFonts w:ascii="Century Gothic" w:hAnsi="Century Gothic" w:cs="Arial"/>
          <w:bCs/>
          <w:sz w:val="28"/>
          <w:szCs w:val="28"/>
          <w:lang w:eastAsia="en-US"/>
        </w:rPr>
        <w:t>os</w:t>
      </w:r>
      <w:r w:rsidR="004226DF" w:rsidRPr="00343FBE">
        <w:rPr>
          <w:rFonts w:ascii="Century Gothic" w:hAnsi="Century Gothic" w:cs="Arial"/>
          <w:bCs/>
          <w:sz w:val="28"/>
          <w:szCs w:val="28"/>
          <w:lang w:eastAsia="en-US"/>
        </w:rPr>
        <w:t xml:space="preserve"> </w:t>
      </w:r>
      <w:proofErr w:type="spellStart"/>
      <w:r w:rsidR="004226DF" w:rsidRPr="00343FBE">
        <w:rPr>
          <w:rFonts w:ascii="Century Gothic" w:hAnsi="Century Gothic" w:cs="Arial"/>
          <w:bCs/>
          <w:sz w:val="28"/>
          <w:szCs w:val="28"/>
          <w:lang w:eastAsia="en-US"/>
        </w:rPr>
        <w:t>promovente</w:t>
      </w:r>
      <w:r w:rsidR="00540B66" w:rsidRPr="00343FBE">
        <w:rPr>
          <w:rFonts w:ascii="Century Gothic" w:hAnsi="Century Gothic" w:cs="Arial"/>
          <w:bCs/>
          <w:sz w:val="28"/>
          <w:szCs w:val="28"/>
          <w:lang w:eastAsia="en-US"/>
        </w:rPr>
        <w:t>s</w:t>
      </w:r>
      <w:proofErr w:type="spellEnd"/>
      <w:r w:rsidR="004226DF" w:rsidRPr="00343FBE">
        <w:rPr>
          <w:rFonts w:ascii="Century Gothic" w:hAnsi="Century Gothic" w:cs="Arial"/>
          <w:bCs/>
          <w:sz w:val="28"/>
          <w:szCs w:val="28"/>
          <w:lang w:eastAsia="en-US"/>
        </w:rPr>
        <w:t>, así como la identificación de lo que impugna</w:t>
      </w:r>
      <w:r w:rsidR="00540B66" w:rsidRPr="00343FBE">
        <w:rPr>
          <w:rFonts w:ascii="Century Gothic" w:hAnsi="Century Gothic" w:cs="Arial"/>
          <w:bCs/>
          <w:sz w:val="28"/>
          <w:szCs w:val="28"/>
          <w:lang w:eastAsia="en-US"/>
        </w:rPr>
        <w:t>n</w:t>
      </w:r>
      <w:r w:rsidR="004226DF" w:rsidRPr="00343FBE">
        <w:rPr>
          <w:rFonts w:ascii="Century Gothic" w:hAnsi="Century Gothic" w:cs="Arial"/>
          <w:bCs/>
          <w:sz w:val="28"/>
          <w:szCs w:val="28"/>
          <w:lang w:eastAsia="en-US"/>
        </w:rPr>
        <w:t>, los hechos en que se basa</w:t>
      </w:r>
      <w:r w:rsidR="00540B66" w:rsidRPr="00343FBE">
        <w:rPr>
          <w:rFonts w:ascii="Century Gothic" w:hAnsi="Century Gothic" w:cs="Arial"/>
          <w:bCs/>
          <w:sz w:val="28"/>
          <w:szCs w:val="28"/>
          <w:lang w:eastAsia="en-US"/>
        </w:rPr>
        <w:t>n</w:t>
      </w:r>
      <w:r w:rsidR="004226DF" w:rsidRPr="00343FBE">
        <w:rPr>
          <w:rFonts w:ascii="Century Gothic" w:hAnsi="Century Gothic" w:cs="Arial"/>
          <w:bCs/>
          <w:sz w:val="28"/>
          <w:szCs w:val="28"/>
          <w:lang w:eastAsia="en-US"/>
        </w:rPr>
        <w:t xml:space="preserve"> y los agravios que</w:t>
      </w:r>
      <w:r w:rsidR="00540B66" w:rsidRPr="00343FBE">
        <w:rPr>
          <w:rFonts w:ascii="Century Gothic" w:hAnsi="Century Gothic" w:cs="Arial"/>
          <w:bCs/>
          <w:sz w:val="28"/>
          <w:szCs w:val="28"/>
          <w:lang w:eastAsia="en-US"/>
        </w:rPr>
        <w:t xml:space="preserve"> se</w:t>
      </w:r>
      <w:r w:rsidR="004226DF" w:rsidRPr="00343FBE">
        <w:rPr>
          <w:rFonts w:ascii="Century Gothic" w:hAnsi="Century Gothic" w:cs="Arial"/>
          <w:bCs/>
          <w:sz w:val="28"/>
          <w:szCs w:val="28"/>
          <w:lang w:eastAsia="en-US"/>
        </w:rPr>
        <w:t xml:space="preserve"> alega causa</w:t>
      </w:r>
      <w:r w:rsidR="00540B66" w:rsidRPr="00343FBE">
        <w:rPr>
          <w:rFonts w:ascii="Century Gothic" w:hAnsi="Century Gothic" w:cs="Arial"/>
          <w:bCs/>
          <w:sz w:val="28"/>
          <w:szCs w:val="28"/>
          <w:lang w:eastAsia="en-US"/>
        </w:rPr>
        <w:t>n</w:t>
      </w:r>
      <w:r w:rsidR="004226DF" w:rsidRPr="00343FBE">
        <w:rPr>
          <w:rFonts w:ascii="Century Gothic" w:hAnsi="Century Gothic" w:cs="Arial"/>
          <w:bCs/>
          <w:sz w:val="28"/>
          <w:szCs w:val="28"/>
          <w:lang w:eastAsia="en-US"/>
        </w:rPr>
        <w:t xml:space="preserve"> perjuicio.</w:t>
      </w:r>
    </w:p>
    <w:p w:rsidR="00D46EC7" w:rsidRPr="00343FBE" w:rsidRDefault="00D46EC7" w:rsidP="00D46EC7">
      <w:pPr>
        <w:spacing w:before="120" w:after="240" w:line="348" w:lineRule="auto"/>
        <w:jc w:val="both"/>
        <w:rPr>
          <w:rFonts w:ascii="Century Gothic" w:hAnsi="Century Gothic" w:cs="Arial"/>
          <w:bCs/>
          <w:sz w:val="28"/>
          <w:szCs w:val="28"/>
          <w:lang w:val="es-ES" w:eastAsia="en-US"/>
        </w:rPr>
      </w:pPr>
      <w:r w:rsidRPr="00343FBE">
        <w:rPr>
          <w:rFonts w:ascii="Century Gothic" w:hAnsi="Century Gothic" w:cs="Arial"/>
          <w:bCs/>
          <w:sz w:val="28"/>
          <w:szCs w:val="28"/>
          <w:lang w:val="es-ES" w:eastAsia="en-US"/>
        </w:rPr>
        <w:t xml:space="preserve">No pasa inadvertido que al rendir el informe circunstanciado del juicio ciudadano SUP-JDC-468/2017, la Comisión Nacional de </w:t>
      </w:r>
      <w:r w:rsidR="003F038A" w:rsidRPr="00343FBE">
        <w:rPr>
          <w:rFonts w:ascii="Century Gothic" w:hAnsi="Century Gothic" w:cs="Arial"/>
          <w:bCs/>
          <w:sz w:val="28"/>
          <w:szCs w:val="28"/>
          <w:lang w:val="es-ES" w:eastAsia="en-US"/>
        </w:rPr>
        <w:t xml:space="preserve">Elecciones y Procedimientos Internos </w:t>
      </w:r>
      <w:r w:rsidRPr="00343FBE">
        <w:rPr>
          <w:rFonts w:ascii="Century Gothic" w:hAnsi="Century Gothic" w:cs="Arial"/>
          <w:bCs/>
          <w:sz w:val="28"/>
          <w:szCs w:val="28"/>
          <w:lang w:val="es-ES" w:eastAsia="en-US"/>
        </w:rPr>
        <w:t xml:space="preserve">del </w:t>
      </w:r>
      <w:r w:rsidR="00A8764A" w:rsidRPr="00343FBE">
        <w:rPr>
          <w:rFonts w:ascii="Century Gothic" w:hAnsi="Century Gothic" w:cs="Arial"/>
          <w:bCs/>
          <w:sz w:val="28"/>
          <w:szCs w:val="28"/>
          <w:lang w:val="es-ES" w:eastAsia="en-US"/>
        </w:rPr>
        <w:t>PT</w:t>
      </w:r>
      <w:r w:rsidR="003F038A" w:rsidRPr="00343FBE">
        <w:rPr>
          <w:rFonts w:ascii="Century Gothic" w:hAnsi="Century Gothic" w:cs="Arial"/>
          <w:bCs/>
          <w:sz w:val="28"/>
          <w:szCs w:val="28"/>
          <w:lang w:val="es-ES" w:eastAsia="en-US"/>
        </w:rPr>
        <w:t xml:space="preserve"> </w:t>
      </w:r>
      <w:r w:rsidRPr="00343FBE">
        <w:rPr>
          <w:rFonts w:ascii="Century Gothic" w:hAnsi="Century Gothic" w:cs="Arial"/>
          <w:bCs/>
          <w:sz w:val="28"/>
          <w:szCs w:val="28"/>
          <w:lang w:val="es-ES" w:eastAsia="en-US"/>
        </w:rPr>
        <w:t xml:space="preserve">hace valer como causa de improcedencia la prevista en el artículo 9, apartado 1, inciso g), de la Ley General del Sistema de Medios de Impugnación en Materia Electoral, relativa a la falta de firma autógrafa en </w:t>
      </w:r>
      <w:r w:rsidR="003F038A" w:rsidRPr="00343FBE">
        <w:rPr>
          <w:rFonts w:ascii="Century Gothic" w:hAnsi="Century Gothic" w:cs="Arial"/>
          <w:bCs/>
          <w:sz w:val="28"/>
          <w:szCs w:val="28"/>
          <w:lang w:val="es-ES" w:eastAsia="en-US"/>
        </w:rPr>
        <w:t xml:space="preserve">el </w:t>
      </w:r>
      <w:r w:rsidRPr="00343FBE">
        <w:rPr>
          <w:rFonts w:ascii="Century Gothic" w:hAnsi="Century Gothic" w:cs="Arial"/>
          <w:bCs/>
          <w:sz w:val="28"/>
          <w:szCs w:val="28"/>
          <w:lang w:val="es-ES" w:eastAsia="en-US"/>
        </w:rPr>
        <w:t xml:space="preserve">escrito de demanda, porque la firma </w:t>
      </w:r>
      <w:r w:rsidR="00A76DAC" w:rsidRPr="00343FBE">
        <w:rPr>
          <w:rFonts w:ascii="Century Gothic" w:hAnsi="Century Gothic" w:cs="Arial"/>
          <w:bCs/>
          <w:sz w:val="28"/>
          <w:szCs w:val="28"/>
          <w:lang w:val="es-ES" w:eastAsia="en-US"/>
        </w:rPr>
        <w:t xml:space="preserve">de Florencio Torres Romero no coincide con la que aparece en la copia de su credencial </w:t>
      </w:r>
      <w:r w:rsidR="00401070" w:rsidRPr="00343FBE">
        <w:rPr>
          <w:rFonts w:ascii="Century Gothic" w:hAnsi="Century Gothic" w:cs="Arial"/>
          <w:bCs/>
          <w:sz w:val="28"/>
          <w:szCs w:val="28"/>
          <w:lang w:val="es-ES" w:eastAsia="en-US"/>
        </w:rPr>
        <w:t>para votar y con la asentada en las demandas que dieron lugar a la integración de los diversos juicios para la protección de los derechos político-electorales del ciudadano</w:t>
      </w:r>
      <w:r w:rsidR="00360224" w:rsidRPr="00343FBE">
        <w:rPr>
          <w:rFonts w:ascii="Century Gothic" w:hAnsi="Century Gothic" w:cs="Arial"/>
          <w:bCs/>
          <w:sz w:val="28"/>
          <w:szCs w:val="28"/>
          <w:lang w:val="es-ES" w:eastAsia="en-US"/>
        </w:rPr>
        <w:t>:</w:t>
      </w:r>
      <w:r w:rsidR="00401070" w:rsidRPr="00343FBE">
        <w:rPr>
          <w:rFonts w:ascii="Century Gothic" w:hAnsi="Century Gothic" w:cs="Arial"/>
          <w:bCs/>
          <w:sz w:val="28"/>
          <w:szCs w:val="28"/>
          <w:lang w:val="es-ES" w:eastAsia="en-US"/>
        </w:rPr>
        <w:t xml:space="preserve"> </w:t>
      </w:r>
      <w:r w:rsidR="00360224" w:rsidRPr="00343FBE">
        <w:rPr>
          <w:rFonts w:ascii="Century Gothic" w:hAnsi="Century Gothic" w:cs="Arial"/>
          <w:bCs/>
          <w:sz w:val="28"/>
          <w:szCs w:val="28"/>
          <w:lang w:val="es-ES" w:eastAsia="en-US"/>
        </w:rPr>
        <w:t xml:space="preserve">SUP-JDC-399/2017; </w:t>
      </w:r>
      <w:r w:rsidR="00401070" w:rsidRPr="00343FBE">
        <w:rPr>
          <w:rFonts w:ascii="Century Gothic" w:hAnsi="Century Gothic" w:cs="Arial"/>
          <w:bCs/>
          <w:sz w:val="28"/>
          <w:szCs w:val="28"/>
          <w:lang w:val="es-ES" w:eastAsia="en-US"/>
        </w:rPr>
        <w:t>SUP-JDC-</w:t>
      </w:r>
      <w:r w:rsidR="00360224" w:rsidRPr="00343FBE">
        <w:rPr>
          <w:rFonts w:ascii="Century Gothic" w:hAnsi="Century Gothic" w:cs="Arial"/>
          <w:bCs/>
          <w:sz w:val="28"/>
          <w:szCs w:val="28"/>
          <w:lang w:val="es-ES" w:eastAsia="en-US"/>
        </w:rPr>
        <w:t>445/2017; y, SUP-JDC-446/2017</w:t>
      </w:r>
      <w:r w:rsidR="00C27F75" w:rsidRPr="00343FBE">
        <w:rPr>
          <w:rFonts w:ascii="Century Gothic" w:hAnsi="Century Gothic" w:cs="Arial"/>
          <w:bCs/>
          <w:sz w:val="28"/>
          <w:szCs w:val="28"/>
          <w:lang w:val="es-ES" w:eastAsia="en-US"/>
        </w:rPr>
        <w:t>, motivo por el cual la firma</w:t>
      </w:r>
      <w:r w:rsidR="00360224" w:rsidRPr="00343FBE">
        <w:rPr>
          <w:rFonts w:ascii="Century Gothic" w:hAnsi="Century Gothic" w:cs="Arial"/>
          <w:bCs/>
          <w:sz w:val="28"/>
          <w:szCs w:val="28"/>
          <w:lang w:val="es-ES" w:eastAsia="en-US"/>
        </w:rPr>
        <w:t xml:space="preserve"> </w:t>
      </w:r>
      <w:r w:rsidRPr="00343FBE">
        <w:rPr>
          <w:rFonts w:ascii="Century Gothic" w:hAnsi="Century Gothic" w:cs="Arial"/>
          <w:bCs/>
          <w:sz w:val="28"/>
          <w:szCs w:val="28"/>
          <w:lang w:val="es-ES" w:eastAsia="en-US"/>
        </w:rPr>
        <w:t>no proviene del puño y letra del demandante</w:t>
      </w:r>
      <w:r w:rsidR="0072617E" w:rsidRPr="00343FBE">
        <w:rPr>
          <w:rFonts w:ascii="Century Gothic" w:hAnsi="Century Gothic" w:cs="Arial"/>
          <w:bCs/>
          <w:sz w:val="28"/>
          <w:szCs w:val="28"/>
          <w:lang w:val="es-ES" w:eastAsia="en-US"/>
        </w:rPr>
        <w:t xml:space="preserve"> y, por ende, debe desecharse el medio de impugnación.</w:t>
      </w:r>
    </w:p>
    <w:p w:rsidR="00D46EC7" w:rsidRPr="00343FBE" w:rsidRDefault="00D46EC7" w:rsidP="00D46EC7">
      <w:pPr>
        <w:spacing w:before="120" w:after="240" w:line="348" w:lineRule="auto"/>
        <w:jc w:val="both"/>
        <w:rPr>
          <w:rFonts w:ascii="Century Gothic" w:hAnsi="Century Gothic" w:cs="Arial"/>
          <w:bCs/>
          <w:sz w:val="28"/>
          <w:szCs w:val="28"/>
          <w:lang w:val="es-ES" w:eastAsia="en-US"/>
        </w:rPr>
      </w:pPr>
      <w:r w:rsidRPr="00343FBE">
        <w:rPr>
          <w:rFonts w:ascii="Century Gothic" w:hAnsi="Century Gothic" w:cs="Arial"/>
          <w:bCs/>
          <w:sz w:val="28"/>
          <w:szCs w:val="28"/>
          <w:lang w:val="es-ES" w:eastAsia="en-US"/>
        </w:rPr>
        <w:t xml:space="preserve">Por ello, </w:t>
      </w:r>
      <w:r w:rsidR="00D665A1" w:rsidRPr="00343FBE">
        <w:rPr>
          <w:rFonts w:ascii="Century Gothic" w:hAnsi="Century Gothic" w:cs="Arial"/>
          <w:bCs/>
          <w:sz w:val="28"/>
          <w:szCs w:val="28"/>
          <w:lang w:val="es-ES" w:eastAsia="en-US"/>
        </w:rPr>
        <w:t xml:space="preserve">la referida Comisión Nacional </w:t>
      </w:r>
      <w:r w:rsidR="0072617E" w:rsidRPr="00343FBE">
        <w:rPr>
          <w:rFonts w:ascii="Century Gothic" w:hAnsi="Century Gothic" w:cs="Arial"/>
          <w:bCs/>
          <w:sz w:val="28"/>
          <w:szCs w:val="28"/>
          <w:lang w:val="es-ES" w:eastAsia="en-US"/>
        </w:rPr>
        <w:t xml:space="preserve">ofrece la prueba pericial </w:t>
      </w:r>
      <w:r w:rsidR="00D665A1" w:rsidRPr="00343FBE">
        <w:rPr>
          <w:rFonts w:ascii="Century Gothic" w:hAnsi="Century Gothic" w:cs="Arial"/>
          <w:bCs/>
          <w:sz w:val="28"/>
          <w:szCs w:val="28"/>
          <w:lang w:val="es-ES" w:eastAsia="en-US"/>
        </w:rPr>
        <w:t xml:space="preserve">respecto a la firma del </w:t>
      </w:r>
      <w:proofErr w:type="spellStart"/>
      <w:r w:rsidR="00D665A1" w:rsidRPr="00343FBE">
        <w:rPr>
          <w:rFonts w:ascii="Century Gothic" w:hAnsi="Century Gothic" w:cs="Arial"/>
          <w:bCs/>
          <w:sz w:val="28"/>
          <w:szCs w:val="28"/>
          <w:lang w:val="es-ES" w:eastAsia="en-US"/>
        </w:rPr>
        <w:t>promovente</w:t>
      </w:r>
      <w:proofErr w:type="spellEnd"/>
      <w:r w:rsidRPr="00343FBE">
        <w:rPr>
          <w:rFonts w:ascii="Century Gothic" w:hAnsi="Century Gothic" w:cs="Arial"/>
          <w:bCs/>
          <w:sz w:val="28"/>
          <w:szCs w:val="28"/>
          <w:lang w:val="es-ES" w:eastAsia="en-US"/>
        </w:rPr>
        <w:t>.</w:t>
      </w:r>
    </w:p>
    <w:p w:rsidR="00D46EC7" w:rsidRPr="00343FBE" w:rsidRDefault="00D46EC7" w:rsidP="00D46EC7">
      <w:pPr>
        <w:spacing w:before="120" w:after="240" w:line="348" w:lineRule="auto"/>
        <w:jc w:val="both"/>
        <w:rPr>
          <w:rFonts w:ascii="Century Gothic" w:hAnsi="Century Gothic" w:cs="Arial"/>
          <w:bCs/>
          <w:sz w:val="28"/>
          <w:szCs w:val="28"/>
          <w:lang w:val="es-ES" w:eastAsia="en-US"/>
        </w:rPr>
      </w:pPr>
      <w:r w:rsidRPr="00343FBE">
        <w:rPr>
          <w:rFonts w:ascii="Century Gothic" w:hAnsi="Century Gothic" w:cs="Arial"/>
          <w:bCs/>
          <w:sz w:val="28"/>
          <w:szCs w:val="28"/>
          <w:lang w:val="es-ES" w:eastAsia="en-US"/>
        </w:rPr>
        <w:t xml:space="preserve">Al respecto, esta Sala Superior considera que la causa de improcedencia es </w:t>
      </w:r>
      <w:r w:rsidRPr="00343FBE">
        <w:rPr>
          <w:rFonts w:ascii="Century Gothic" w:hAnsi="Century Gothic" w:cs="Arial"/>
          <w:b/>
          <w:bCs/>
          <w:sz w:val="28"/>
          <w:szCs w:val="28"/>
          <w:lang w:val="es-ES" w:eastAsia="en-US"/>
        </w:rPr>
        <w:t xml:space="preserve">infundada, </w:t>
      </w:r>
      <w:r w:rsidRPr="00343FBE">
        <w:rPr>
          <w:rFonts w:ascii="Century Gothic" w:hAnsi="Century Gothic" w:cs="Arial"/>
          <w:bCs/>
          <w:sz w:val="28"/>
          <w:szCs w:val="28"/>
          <w:lang w:val="es-ES" w:eastAsia="en-US"/>
        </w:rPr>
        <w:t xml:space="preserve">debido a que si el órgano </w:t>
      </w:r>
      <w:r w:rsidRPr="00343FBE">
        <w:rPr>
          <w:rFonts w:ascii="Century Gothic" w:hAnsi="Century Gothic" w:cs="Arial"/>
          <w:bCs/>
          <w:sz w:val="28"/>
          <w:szCs w:val="28"/>
          <w:lang w:val="es-ES" w:eastAsia="en-US"/>
        </w:rPr>
        <w:lastRenderedPageBreak/>
        <w:t xml:space="preserve">partidista responsable considera que las firmas contenidas en las demandas de los presentes juicios ciudadanos no habían sido estampadas de puño y letra de </w:t>
      </w:r>
      <w:r w:rsidR="008768AF" w:rsidRPr="00343FBE">
        <w:rPr>
          <w:rFonts w:ascii="Century Gothic" w:hAnsi="Century Gothic" w:cs="Arial"/>
          <w:bCs/>
          <w:sz w:val="28"/>
          <w:szCs w:val="28"/>
          <w:lang w:val="es-ES" w:eastAsia="en-US"/>
        </w:rPr>
        <w:t xml:space="preserve">Florencio Torres Romero </w:t>
      </w:r>
      <w:r w:rsidRPr="00343FBE">
        <w:rPr>
          <w:rFonts w:ascii="Century Gothic" w:hAnsi="Century Gothic" w:cs="Arial"/>
          <w:bCs/>
          <w:sz w:val="28"/>
          <w:szCs w:val="28"/>
          <w:lang w:val="es-ES" w:eastAsia="en-US"/>
        </w:rPr>
        <w:t>debió haber ofrecido el medio de prueba idóneo para acreditar tal situación.</w:t>
      </w:r>
    </w:p>
    <w:p w:rsidR="00D46EC7" w:rsidRPr="00343FBE" w:rsidRDefault="00D46EC7" w:rsidP="00D46EC7">
      <w:pPr>
        <w:spacing w:before="120" w:after="240" w:line="348" w:lineRule="auto"/>
        <w:jc w:val="both"/>
        <w:rPr>
          <w:rFonts w:ascii="Century Gothic" w:hAnsi="Century Gothic" w:cs="Arial"/>
          <w:bCs/>
          <w:sz w:val="28"/>
          <w:szCs w:val="28"/>
          <w:lang w:val="es-ES" w:eastAsia="en-US"/>
        </w:rPr>
      </w:pPr>
      <w:r w:rsidRPr="00343FBE">
        <w:rPr>
          <w:rFonts w:ascii="Century Gothic" w:hAnsi="Century Gothic" w:cs="Arial"/>
          <w:bCs/>
          <w:sz w:val="28"/>
          <w:szCs w:val="28"/>
          <w:lang w:val="es-ES" w:eastAsia="en-US"/>
        </w:rPr>
        <w:t>En efecto, de conformidad con lo dispuesto en el artículo 15, párrafo 2, de la Ley General del Sistema de Medios de Impugnación en Materia Electoral, el órgano responsable se encontraba obligado a probar ante éste órgano jurisdiccional la no autenticidad de la firma impugnada.</w:t>
      </w:r>
    </w:p>
    <w:p w:rsidR="00D46EC7" w:rsidRPr="00343FBE" w:rsidRDefault="00D46EC7" w:rsidP="00D46EC7">
      <w:pPr>
        <w:spacing w:before="120" w:after="240" w:line="348" w:lineRule="auto"/>
        <w:jc w:val="both"/>
        <w:rPr>
          <w:rFonts w:ascii="Century Gothic" w:hAnsi="Century Gothic" w:cs="Arial"/>
          <w:bCs/>
          <w:sz w:val="28"/>
          <w:szCs w:val="28"/>
          <w:lang w:val="es-ES" w:eastAsia="en-US"/>
        </w:rPr>
      </w:pPr>
      <w:r w:rsidRPr="00343FBE">
        <w:rPr>
          <w:rFonts w:ascii="Century Gothic" w:hAnsi="Century Gothic" w:cs="Arial"/>
          <w:bCs/>
          <w:sz w:val="28"/>
          <w:szCs w:val="28"/>
          <w:lang w:val="es-ES" w:eastAsia="en-US"/>
        </w:rPr>
        <w:t xml:space="preserve">Para demostrar los extremos de su afirmación, el órgano partidista responsable debió ofrecer la prueba pericial en </w:t>
      </w:r>
      <w:proofErr w:type="spellStart"/>
      <w:r w:rsidRPr="00343FBE">
        <w:rPr>
          <w:rFonts w:ascii="Century Gothic" w:hAnsi="Century Gothic" w:cs="Arial"/>
          <w:bCs/>
          <w:sz w:val="28"/>
          <w:szCs w:val="28"/>
          <w:lang w:val="es-ES" w:eastAsia="en-US"/>
        </w:rPr>
        <w:t>grafoscopía</w:t>
      </w:r>
      <w:proofErr w:type="spellEnd"/>
      <w:r w:rsidRPr="00343FBE">
        <w:rPr>
          <w:rFonts w:ascii="Century Gothic" w:hAnsi="Century Gothic" w:cs="Arial"/>
          <w:bCs/>
          <w:sz w:val="28"/>
          <w:szCs w:val="28"/>
          <w:lang w:val="es-ES" w:eastAsia="en-US"/>
        </w:rPr>
        <w:t xml:space="preserve"> cumpliendo con los requisitos previstos en el artículo 14, párrafo 7, incisos a), b), c) y d), de la Ley General del Sistema de Medios de Impugnación, sin embargo, est</w:t>
      </w:r>
      <w:r w:rsidR="00FA672C" w:rsidRPr="00343FBE">
        <w:rPr>
          <w:rFonts w:ascii="Century Gothic" w:hAnsi="Century Gothic" w:cs="Arial"/>
          <w:bCs/>
          <w:sz w:val="28"/>
          <w:szCs w:val="28"/>
          <w:lang w:val="es-ES" w:eastAsia="en-US"/>
        </w:rPr>
        <w:t xml:space="preserve">a Sala Superior </w:t>
      </w:r>
      <w:r w:rsidRPr="00343FBE">
        <w:rPr>
          <w:rFonts w:ascii="Century Gothic" w:hAnsi="Century Gothic" w:cs="Arial"/>
          <w:bCs/>
          <w:sz w:val="28"/>
          <w:szCs w:val="28"/>
          <w:lang w:val="es-ES" w:eastAsia="en-US"/>
        </w:rPr>
        <w:t>estima que el órgano responsable no satisface los requisitos previstos en los incisos b) y d) del referido artículo, consistentes en señalar la materia sobre la que versará la prueba, exhibiendo el cuestionario respectivo con copia para cada una de las partes y señalar el nombre del perito que se proponga, exhibiendo su acreditación técnica.</w:t>
      </w:r>
    </w:p>
    <w:p w:rsidR="00D46EC7" w:rsidRPr="00343FBE" w:rsidRDefault="00D46EC7" w:rsidP="00D46EC7">
      <w:pPr>
        <w:spacing w:before="120" w:after="240" w:line="348" w:lineRule="auto"/>
        <w:jc w:val="both"/>
        <w:rPr>
          <w:rFonts w:ascii="Century Gothic" w:hAnsi="Century Gothic" w:cs="Arial"/>
          <w:bCs/>
          <w:sz w:val="28"/>
          <w:szCs w:val="28"/>
          <w:lang w:val="es-ES" w:eastAsia="en-US"/>
        </w:rPr>
      </w:pPr>
      <w:r w:rsidRPr="00343FBE">
        <w:rPr>
          <w:rFonts w:ascii="Century Gothic" w:hAnsi="Century Gothic" w:cs="Arial"/>
          <w:bCs/>
          <w:sz w:val="28"/>
          <w:szCs w:val="28"/>
          <w:lang w:val="es-ES" w:eastAsia="en-US"/>
        </w:rPr>
        <w:t xml:space="preserve">Similar criterio se sostuvo al resolver los juicios ciudadanos </w:t>
      </w:r>
      <w:r w:rsidR="00FE671D" w:rsidRPr="00343FBE">
        <w:rPr>
          <w:rFonts w:ascii="Century Gothic" w:hAnsi="Century Gothic" w:cs="Arial"/>
          <w:bCs/>
          <w:sz w:val="28"/>
          <w:szCs w:val="28"/>
          <w:lang w:val="es-ES" w:eastAsia="en-US"/>
        </w:rPr>
        <w:t xml:space="preserve">SUP-JDC-1783/2012, </w:t>
      </w:r>
      <w:r w:rsidRPr="00343FBE">
        <w:rPr>
          <w:rFonts w:ascii="Century Gothic" w:hAnsi="Century Gothic" w:cs="Arial"/>
          <w:bCs/>
          <w:sz w:val="28"/>
          <w:szCs w:val="28"/>
          <w:lang w:val="es-ES" w:eastAsia="en-US"/>
        </w:rPr>
        <w:t>SUP-JDC-17/2011</w:t>
      </w:r>
      <w:r w:rsidR="00FE671D" w:rsidRPr="00343FBE">
        <w:rPr>
          <w:rFonts w:ascii="Century Gothic" w:hAnsi="Century Gothic" w:cs="Arial"/>
          <w:bCs/>
          <w:sz w:val="28"/>
          <w:szCs w:val="28"/>
          <w:lang w:val="es-ES" w:eastAsia="en-US"/>
        </w:rPr>
        <w:t xml:space="preserve"> y,</w:t>
      </w:r>
      <w:r w:rsidRPr="00343FBE">
        <w:rPr>
          <w:rFonts w:ascii="Century Gothic" w:hAnsi="Century Gothic" w:cs="Arial"/>
          <w:bCs/>
          <w:sz w:val="28"/>
          <w:szCs w:val="28"/>
          <w:lang w:val="es-ES" w:eastAsia="en-US"/>
        </w:rPr>
        <w:t xml:space="preserve"> SUP-JDC-2730/2008.</w:t>
      </w:r>
      <w:r w:rsidR="00EB51AD" w:rsidRPr="00343FBE">
        <w:rPr>
          <w:rFonts w:ascii="Century Gothic" w:hAnsi="Century Gothic" w:cs="Arial"/>
          <w:bCs/>
          <w:sz w:val="28"/>
          <w:szCs w:val="28"/>
          <w:lang w:val="es-ES" w:eastAsia="en-US"/>
        </w:rPr>
        <w:t>-</w:t>
      </w:r>
    </w:p>
    <w:p w:rsidR="00815807" w:rsidRPr="00343FBE" w:rsidRDefault="00D46EC7" w:rsidP="00FC06C0">
      <w:pPr>
        <w:spacing w:before="120" w:after="240" w:line="348" w:lineRule="auto"/>
        <w:jc w:val="both"/>
        <w:rPr>
          <w:rFonts w:ascii="Century Gothic" w:hAnsi="Century Gothic" w:cs="Arial"/>
          <w:bCs/>
          <w:sz w:val="28"/>
          <w:szCs w:val="28"/>
          <w:lang w:val="es-ES" w:eastAsia="en-US"/>
        </w:rPr>
      </w:pPr>
      <w:r w:rsidRPr="00343FBE">
        <w:rPr>
          <w:rFonts w:ascii="Century Gothic" w:hAnsi="Century Gothic" w:cs="Arial"/>
          <w:bCs/>
          <w:sz w:val="28"/>
          <w:szCs w:val="28"/>
          <w:lang w:val="es-ES" w:eastAsia="en-US"/>
        </w:rPr>
        <w:lastRenderedPageBreak/>
        <w:t>En es</w:t>
      </w:r>
      <w:r w:rsidR="00FE671D" w:rsidRPr="00343FBE">
        <w:rPr>
          <w:rFonts w:ascii="Century Gothic" w:hAnsi="Century Gothic" w:cs="Arial"/>
          <w:bCs/>
          <w:sz w:val="28"/>
          <w:szCs w:val="28"/>
          <w:lang w:val="es-ES" w:eastAsia="en-US"/>
        </w:rPr>
        <w:t>e orden de ideas</w:t>
      </w:r>
      <w:r w:rsidRPr="00343FBE">
        <w:rPr>
          <w:rFonts w:ascii="Century Gothic" w:hAnsi="Century Gothic" w:cs="Arial"/>
          <w:bCs/>
          <w:sz w:val="28"/>
          <w:szCs w:val="28"/>
          <w:lang w:val="es-ES" w:eastAsia="en-US"/>
        </w:rPr>
        <w:t>, toda vez que el órgano partidista responsable no cumplió con los requisitos señalados por la ley electoral adjetiva relacionados con el ofrecimiento de la prueba pericial y mediante una interpretación que resulte favorable para la protección más amplia de los derechos humanos (</w:t>
      </w:r>
      <w:r w:rsidRPr="00343FBE">
        <w:rPr>
          <w:rFonts w:ascii="Century Gothic" w:hAnsi="Century Gothic" w:cs="Arial"/>
          <w:bCs/>
          <w:i/>
          <w:sz w:val="28"/>
          <w:szCs w:val="28"/>
          <w:lang w:val="es-ES" w:eastAsia="en-US"/>
        </w:rPr>
        <w:t xml:space="preserve">pro </w:t>
      </w:r>
      <w:proofErr w:type="spellStart"/>
      <w:r w:rsidRPr="00343FBE">
        <w:rPr>
          <w:rFonts w:ascii="Century Gothic" w:hAnsi="Century Gothic" w:cs="Arial"/>
          <w:bCs/>
          <w:i/>
          <w:sz w:val="28"/>
          <w:szCs w:val="28"/>
          <w:lang w:val="es-ES" w:eastAsia="en-US"/>
        </w:rPr>
        <w:t>homine</w:t>
      </w:r>
      <w:proofErr w:type="spellEnd"/>
      <w:r w:rsidRPr="00343FBE">
        <w:rPr>
          <w:rFonts w:ascii="Century Gothic" w:hAnsi="Century Gothic" w:cs="Arial"/>
          <w:bCs/>
          <w:sz w:val="28"/>
          <w:szCs w:val="28"/>
          <w:lang w:val="es-ES" w:eastAsia="en-US"/>
        </w:rPr>
        <w:t>) y a favor de la procedencia de la acción (</w:t>
      </w:r>
      <w:r w:rsidRPr="00343FBE">
        <w:rPr>
          <w:rFonts w:ascii="Century Gothic" w:hAnsi="Century Gothic" w:cs="Arial"/>
          <w:bCs/>
          <w:i/>
          <w:sz w:val="28"/>
          <w:szCs w:val="28"/>
          <w:lang w:val="es-ES" w:eastAsia="en-US"/>
        </w:rPr>
        <w:t xml:space="preserve">pro </w:t>
      </w:r>
      <w:proofErr w:type="spellStart"/>
      <w:r w:rsidRPr="00343FBE">
        <w:rPr>
          <w:rFonts w:ascii="Century Gothic" w:hAnsi="Century Gothic" w:cs="Arial"/>
          <w:bCs/>
          <w:i/>
          <w:sz w:val="28"/>
          <w:szCs w:val="28"/>
          <w:lang w:val="es-ES" w:eastAsia="en-US"/>
        </w:rPr>
        <w:t>actione</w:t>
      </w:r>
      <w:proofErr w:type="spellEnd"/>
      <w:r w:rsidRPr="00343FBE">
        <w:rPr>
          <w:rFonts w:ascii="Century Gothic" w:hAnsi="Century Gothic" w:cs="Arial"/>
          <w:bCs/>
          <w:sz w:val="28"/>
          <w:szCs w:val="28"/>
          <w:lang w:val="es-ES" w:eastAsia="en-US"/>
        </w:rPr>
        <w:t xml:space="preserve">), en términos de lo dispuesto en los párrafos segundo y tercero del artículo 1° de la Constitución federal, se estima que es </w:t>
      </w:r>
      <w:r w:rsidRPr="00343FBE">
        <w:rPr>
          <w:rFonts w:ascii="Century Gothic" w:hAnsi="Century Gothic" w:cs="Arial"/>
          <w:b/>
          <w:bCs/>
          <w:sz w:val="28"/>
          <w:szCs w:val="28"/>
          <w:lang w:val="es-ES" w:eastAsia="en-US"/>
        </w:rPr>
        <w:t>infundada</w:t>
      </w:r>
      <w:r w:rsidRPr="00343FBE">
        <w:rPr>
          <w:rFonts w:ascii="Century Gothic" w:hAnsi="Century Gothic" w:cs="Arial"/>
          <w:bCs/>
          <w:sz w:val="28"/>
          <w:szCs w:val="28"/>
          <w:lang w:val="es-ES" w:eastAsia="en-US"/>
        </w:rPr>
        <w:t xml:space="preserve"> la causa de improcedencia que expone la responsable.</w:t>
      </w:r>
    </w:p>
    <w:p w:rsidR="00A556E0" w:rsidRPr="00343FBE" w:rsidRDefault="00A556E0" w:rsidP="00A556E0">
      <w:pPr>
        <w:spacing w:before="120" w:after="240" w:line="348" w:lineRule="auto"/>
        <w:jc w:val="both"/>
        <w:rPr>
          <w:rFonts w:ascii="Century Gothic" w:hAnsi="Century Gothic" w:cs="Arial"/>
          <w:bCs/>
          <w:sz w:val="28"/>
          <w:szCs w:val="28"/>
          <w:lang w:val="es-ES" w:eastAsia="en-US"/>
        </w:rPr>
      </w:pPr>
      <w:r w:rsidRPr="00343FBE">
        <w:rPr>
          <w:rFonts w:ascii="Century Gothic" w:hAnsi="Century Gothic" w:cs="Arial"/>
          <w:bCs/>
          <w:sz w:val="28"/>
          <w:szCs w:val="28"/>
          <w:lang w:val="es-ES" w:eastAsia="en-US"/>
        </w:rPr>
        <w:t>Máxime que, el veintidós de junio de dos mil diecisiete, Florencio Torres Romero compareció ante esta Sala Superior para efecto de ratificar su escrito de demanda del juicio para la protección de los derecho político-electorales del ciudadano presentada el diecisiete de junio del año en curso, ante la Oficialía de Partes de este órgano jurisdiccional electoral federal y, que dio lugar a la integración del expediente identificado con la clave SUP-JDC-468/2017.</w:t>
      </w:r>
    </w:p>
    <w:p w:rsidR="003B5AC8" w:rsidRPr="00343FBE" w:rsidRDefault="00830862" w:rsidP="004226DF">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Oportunidad</w:t>
      </w:r>
      <w:r w:rsidRPr="00343FBE">
        <w:rPr>
          <w:rFonts w:ascii="Century Gothic" w:hAnsi="Century Gothic" w:cs="Arial"/>
          <w:bCs/>
          <w:sz w:val="28"/>
          <w:szCs w:val="28"/>
          <w:lang w:eastAsia="en-US"/>
        </w:rPr>
        <w:t>.</w:t>
      </w:r>
      <w:r w:rsidR="00C4622E" w:rsidRPr="00343FBE">
        <w:rPr>
          <w:rFonts w:ascii="Century Gothic" w:hAnsi="Century Gothic" w:cs="Arial"/>
          <w:bCs/>
          <w:sz w:val="28"/>
          <w:szCs w:val="28"/>
          <w:lang w:eastAsia="en-US"/>
        </w:rPr>
        <w:t xml:space="preserve"> </w:t>
      </w:r>
      <w:r w:rsidR="00B34380" w:rsidRPr="00343FBE">
        <w:rPr>
          <w:rFonts w:ascii="Century Gothic" w:hAnsi="Century Gothic" w:cs="Arial"/>
          <w:bCs/>
          <w:sz w:val="28"/>
          <w:szCs w:val="28"/>
          <w:lang w:eastAsia="en-US"/>
        </w:rPr>
        <w:t>Tocante a</w:t>
      </w:r>
      <w:r w:rsidR="003B5AC8" w:rsidRPr="00343FBE">
        <w:rPr>
          <w:rFonts w:ascii="Century Gothic" w:hAnsi="Century Gothic" w:cs="Arial"/>
          <w:bCs/>
          <w:sz w:val="28"/>
          <w:szCs w:val="28"/>
          <w:lang w:eastAsia="en-US"/>
        </w:rPr>
        <w:t xml:space="preserve"> este requisito,</w:t>
      </w:r>
      <w:r w:rsidR="008A7E20" w:rsidRPr="00343FBE">
        <w:rPr>
          <w:rFonts w:ascii="Century Gothic" w:hAnsi="Century Gothic" w:cs="Arial"/>
          <w:bCs/>
          <w:sz w:val="28"/>
          <w:szCs w:val="28"/>
          <w:lang w:eastAsia="en-US"/>
        </w:rPr>
        <w:t xml:space="preserve"> respecto del juicio SUP-JDC-369/2017,</w:t>
      </w:r>
      <w:r w:rsidR="003B5AC8" w:rsidRPr="00343FBE">
        <w:rPr>
          <w:rFonts w:ascii="Century Gothic" w:hAnsi="Century Gothic" w:cs="Arial"/>
          <w:bCs/>
          <w:sz w:val="28"/>
          <w:szCs w:val="28"/>
          <w:lang w:eastAsia="en-US"/>
        </w:rPr>
        <w:t xml:space="preserve"> se determinará lo conducente en un apartado posterior, porque</w:t>
      </w:r>
      <w:r w:rsidR="00B34380" w:rsidRPr="00343FBE">
        <w:rPr>
          <w:rFonts w:ascii="Century Gothic" w:hAnsi="Century Gothic" w:cs="Arial"/>
          <w:bCs/>
          <w:sz w:val="28"/>
          <w:szCs w:val="28"/>
          <w:lang w:eastAsia="en-US"/>
        </w:rPr>
        <w:t xml:space="preserve"> se reclaman diversos actos (una resolución y una notificación) y una omisión, </w:t>
      </w:r>
      <w:r w:rsidR="00897DFE" w:rsidRPr="00343FBE">
        <w:rPr>
          <w:rFonts w:ascii="Century Gothic" w:hAnsi="Century Gothic" w:cs="Arial"/>
          <w:bCs/>
          <w:sz w:val="28"/>
          <w:szCs w:val="28"/>
          <w:lang w:eastAsia="en-US"/>
        </w:rPr>
        <w:t>cuyo cómputo del plazo es diferente, e incluso la oportunidad de impugnar la resolución, depende que le asista la razón al actor en cuanto a la notificación que impugna.</w:t>
      </w:r>
      <w:r w:rsidR="003B5AC8" w:rsidRPr="00343FBE">
        <w:rPr>
          <w:rFonts w:ascii="Century Gothic" w:hAnsi="Century Gothic" w:cs="Arial"/>
          <w:bCs/>
          <w:sz w:val="28"/>
          <w:szCs w:val="28"/>
          <w:lang w:eastAsia="en-US"/>
        </w:rPr>
        <w:t xml:space="preserve"> </w:t>
      </w:r>
    </w:p>
    <w:p w:rsidR="003E7433" w:rsidRPr="00343FBE" w:rsidRDefault="003E7433" w:rsidP="004226DF">
      <w:pPr>
        <w:spacing w:line="360" w:lineRule="auto"/>
        <w:jc w:val="both"/>
        <w:rPr>
          <w:rFonts w:ascii="Century Gothic" w:hAnsi="Century Gothic" w:cs="Arial"/>
          <w:bCs/>
          <w:sz w:val="28"/>
          <w:szCs w:val="28"/>
          <w:lang w:eastAsia="en-US"/>
        </w:rPr>
      </w:pPr>
    </w:p>
    <w:p w:rsidR="008A7E20" w:rsidRPr="00343FBE" w:rsidRDefault="008A7E20"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lastRenderedPageBreak/>
        <w:t>En l</w:t>
      </w:r>
      <w:r w:rsidR="00E7381F" w:rsidRPr="00343FBE">
        <w:rPr>
          <w:rFonts w:ascii="Century Gothic" w:hAnsi="Century Gothic" w:cs="Arial"/>
          <w:bCs/>
          <w:sz w:val="28"/>
          <w:szCs w:val="28"/>
          <w:lang w:eastAsia="en-US"/>
        </w:rPr>
        <w:t>os</w:t>
      </w:r>
      <w:r w:rsidRPr="00343FBE">
        <w:rPr>
          <w:rFonts w:ascii="Century Gothic" w:hAnsi="Century Gothic" w:cs="Arial"/>
          <w:bCs/>
          <w:sz w:val="28"/>
          <w:szCs w:val="28"/>
          <w:lang w:eastAsia="en-US"/>
        </w:rPr>
        <w:t xml:space="preserve"> juicio</w:t>
      </w:r>
      <w:r w:rsidR="00E7381F" w:rsidRPr="00343FBE">
        <w:rPr>
          <w:rFonts w:ascii="Century Gothic" w:hAnsi="Century Gothic" w:cs="Arial"/>
          <w:bCs/>
          <w:sz w:val="28"/>
          <w:szCs w:val="28"/>
          <w:lang w:eastAsia="en-US"/>
        </w:rPr>
        <w:t>s</w:t>
      </w:r>
      <w:r w:rsidRPr="00343FBE">
        <w:rPr>
          <w:rFonts w:ascii="Century Gothic" w:hAnsi="Century Gothic" w:cs="Arial"/>
          <w:bCs/>
          <w:sz w:val="28"/>
          <w:szCs w:val="28"/>
          <w:lang w:eastAsia="en-US"/>
        </w:rPr>
        <w:t xml:space="preserve"> SUP-JDC-399/2017</w:t>
      </w:r>
      <w:r w:rsidR="00E7381F" w:rsidRPr="00343FBE">
        <w:rPr>
          <w:rFonts w:ascii="Century Gothic" w:hAnsi="Century Gothic" w:cs="Arial"/>
          <w:bCs/>
          <w:sz w:val="28"/>
          <w:szCs w:val="28"/>
          <w:lang w:eastAsia="en-US"/>
        </w:rPr>
        <w:t xml:space="preserve"> y SUP-JDC-468/2017</w:t>
      </w:r>
      <w:r w:rsidRPr="00343FBE">
        <w:rPr>
          <w:rFonts w:ascii="Century Gothic" w:hAnsi="Century Gothic" w:cs="Arial"/>
          <w:bCs/>
          <w:sz w:val="28"/>
          <w:szCs w:val="28"/>
          <w:lang w:eastAsia="en-US"/>
        </w:rPr>
        <w:t xml:space="preserve">, </w:t>
      </w:r>
      <w:r w:rsidR="00DD057B" w:rsidRPr="00343FBE">
        <w:rPr>
          <w:rFonts w:ascii="Century Gothic" w:hAnsi="Century Gothic" w:cs="Arial"/>
          <w:bCs/>
          <w:sz w:val="28"/>
          <w:szCs w:val="28"/>
          <w:lang w:eastAsia="en-US"/>
        </w:rPr>
        <w:t>el actor reclama diversas omisiones</w:t>
      </w:r>
      <w:r w:rsidR="00A91FC8" w:rsidRPr="00343FBE">
        <w:rPr>
          <w:rFonts w:ascii="Century Gothic" w:hAnsi="Century Gothic" w:cs="Arial"/>
          <w:bCs/>
          <w:sz w:val="28"/>
          <w:szCs w:val="28"/>
          <w:lang w:eastAsia="en-US"/>
        </w:rPr>
        <w:t xml:space="preserve"> </w:t>
      </w:r>
      <w:proofErr w:type="gramStart"/>
      <w:r w:rsidR="00A91FC8" w:rsidRPr="00343FBE">
        <w:rPr>
          <w:rFonts w:ascii="Century Gothic" w:hAnsi="Century Gothic" w:cs="Arial"/>
          <w:bCs/>
          <w:sz w:val="28"/>
          <w:szCs w:val="28"/>
          <w:lang w:eastAsia="en-US"/>
        </w:rPr>
        <w:t>que</w:t>
      </w:r>
      <w:proofErr w:type="gramEnd"/>
      <w:r w:rsidR="00A91FC8" w:rsidRPr="00343FBE">
        <w:rPr>
          <w:rFonts w:ascii="Century Gothic" w:hAnsi="Century Gothic" w:cs="Arial"/>
          <w:bCs/>
          <w:sz w:val="28"/>
          <w:szCs w:val="28"/>
          <w:lang w:eastAsia="en-US"/>
        </w:rPr>
        <w:t xml:space="preserve"> </w:t>
      </w:r>
      <w:r w:rsidR="00D1287D" w:rsidRPr="00343FBE">
        <w:rPr>
          <w:rFonts w:ascii="Century Gothic" w:hAnsi="Century Gothic" w:cs="Arial"/>
          <w:bCs/>
          <w:sz w:val="28"/>
          <w:szCs w:val="28"/>
          <w:lang w:eastAsia="en-US"/>
        </w:rPr>
        <w:t xml:space="preserve">dada su naturaleza, </w:t>
      </w:r>
      <w:r w:rsidR="00A91FC8" w:rsidRPr="00343FBE">
        <w:rPr>
          <w:rFonts w:ascii="Century Gothic" w:hAnsi="Century Gothic" w:cs="Arial"/>
          <w:bCs/>
          <w:sz w:val="28"/>
          <w:szCs w:val="28"/>
          <w:lang w:eastAsia="en-US"/>
        </w:rPr>
        <w:t xml:space="preserve">se </w:t>
      </w:r>
      <w:r w:rsidR="00D1287D" w:rsidRPr="00343FBE">
        <w:rPr>
          <w:rFonts w:ascii="Century Gothic" w:hAnsi="Century Gothic" w:cs="Arial"/>
          <w:bCs/>
          <w:sz w:val="28"/>
          <w:szCs w:val="28"/>
          <w:lang w:eastAsia="en-US"/>
        </w:rPr>
        <w:t>actualizan</w:t>
      </w:r>
      <w:r w:rsidR="00A91FC8" w:rsidRPr="00343FBE">
        <w:rPr>
          <w:rFonts w:ascii="Century Gothic" w:hAnsi="Century Gothic" w:cs="Arial"/>
          <w:bCs/>
          <w:sz w:val="28"/>
          <w:szCs w:val="28"/>
          <w:lang w:eastAsia="en-US"/>
        </w:rPr>
        <w:t xml:space="preserve"> cada día que transcurre,</w:t>
      </w:r>
      <w:r w:rsidR="00DD057B" w:rsidRPr="00343FBE">
        <w:rPr>
          <w:rFonts w:ascii="Century Gothic" w:hAnsi="Century Gothic" w:cs="Arial"/>
          <w:bCs/>
          <w:sz w:val="28"/>
          <w:szCs w:val="28"/>
          <w:lang w:eastAsia="en-US"/>
        </w:rPr>
        <w:t xml:space="preserve"> por ser de tracto sucesivo</w:t>
      </w:r>
      <w:r w:rsidR="00D1287D" w:rsidRPr="00343FBE">
        <w:rPr>
          <w:rFonts w:ascii="Century Gothic" w:hAnsi="Century Gothic" w:cs="Arial"/>
          <w:bCs/>
          <w:sz w:val="28"/>
          <w:szCs w:val="28"/>
          <w:lang w:eastAsia="en-US"/>
        </w:rPr>
        <w:t>, razón por la cual debe tener por presentada la demanda en forma oportuna, mientras subsista la obligación a cargo de la responsable de convocar a elecciones y ésta no demuestre que ha cumplido con dicha obligación.</w:t>
      </w:r>
    </w:p>
    <w:p w:rsidR="00E7381F" w:rsidRPr="00343FBE" w:rsidRDefault="00E7381F" w:rsidP="004226DF">
      <w:pPr>
        <w:spacing w:line="360" w:lineRule="auto"/>
        <w:jc w:val="both"/>
        <w:rPr>
          <w:rFonts w:ascii="Century Gothic" w:hAnsi="Century Gothic" w:cs="Arial"/>
          <w:bCs/>
          <w:sz w:val="28"/>
          <w:szCs w:val="28"/>
          <w:lang w:eastAsia="en-US"/>
        </w:rPr>
      </w:pPr>
    </w:p>
    <w:p w:rsidR="00D1287D" w:rsidRPr="00343FBE" w:rsidRDefault="00D1287D"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Es aplicable al respecto, la jurisprudencia de esta Sala Superior, de rubro: PLAZO PARA PRESENTAR UN MEDIO DE IMPUGNACIÓN, TRATÁNDOSE DE OMISIONES. </w:t>
      </w:r>
    </w:p>
    <w:p w:rsidR="003E7433" w:rsidRPr="00343FBE" w:rsidRDefault="003E7433" w:rsidP="004226DF">
      <w:pPr>
        <w:spacing w:line="360" w:lineRule="auto"/>
        <w:jc w:val="both"/>
        <w:rPr>
          <w:rFonts w:ascii="Century Gothic" w:hAnsi="Century Gothic" w:cs="Arial"/>
          <w:bCs/>
          <w:sz w:val="28"/>
          <w:szCs w:val="28"/>
          <w:lang w:eastAsia="en-US"/>
        </w:rPr>
      </w:pPr>
    </w:p>
    <w:p w:rsidR="00A91FC8" w:rsidRPr="00343FBE" w:rsidRDefault="003E7433"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Por tanto, </w:t>
      </w:r>
      <w:r w:rsidRPr="00343FBE">
        <w:rPr>
          <w:rFonts w:ascii="Century Gothic" w:hAnsi="Century Gothic" w:cs="Arial"/>
          <w:b/>
          <w:bCs/>
          <w:sz w:val="28"/>
          <w:szCs w:val="28"/>
          <w:lang w:eastAsia="en-US"/>
        </w:rPr>
        <w:t xml:space="preserve">se desestima </w:t>
      </w:r>
      <w:r w:rsidRPr="00343FBE">
        <w:rPr>
          <w:rFonts w:ascii="Century Gothic" w:hAnsi="Century Gothic" w:cs="Arial"/>
          <w:bCs/>
          <w:sz w:val="28"/>
          <w:szCs w:val="28"/>
          <w:lang w:eastAsia="en-US"/>
        </w:rPr>
        <w:t xml:space="preserve">la causa de improcedencia hecha valer por </w:t>
      </w:r>
      <w:r w:rsidR="00916555" w:rsidRPr="00343FBE">
        <w:rPr>
          <w:rFonts w:ascii="Century Gothic" w:hAnsi="Century Gothic" w:cs="Arial"/>
          <w:bCs/>
          <w:sz w:val="28"/>
          <w:szCs w:val="28"/>
          <w:lang w:eastAsia="en-US"/>
        </w:rPr>
        <w:t>la Comisión Coordinadora N</w:t>
      </w:r>
      <w:r w:rsidR="00E872D7" w:rsidRPr="00343FBE">
        <w:rPr>
          <w:rFonts w:ascii="Century Gothic" w:hAnsi="Century Gothic" w:cs="Arial"/>
          <w:bCs/>
          <w:sz w:val="28"/>
          <w:szCs w:val="28"/>
          <w:lang w:eastAsia="en-US"/>
        </w:rPr>
        <w:t>acional del P</w:t>
      </w:r>
      <w:r w:rsidR="00F35F0F" w:rsidRPr="00343FBE">
        <w:rPr>
          <w:rFonts w:ascii="Century Gothic" w:hAnsi="Century Gothic" w:cs="Arial"/>
          <w:bCs/>
          <w:sz w:val="28"/>
          <w:szCs w:val="28"/>
          <w:lang w:eastAsia="en-US"/>
        </w:rPr>
        <w:t>T</w:t>
      </w:r>
      <w:r w:rsidR="00E872D7" w:rsidRPr="00343FBE">
        <w:rPr>
          <w:rFonts w:ascii="Century Gothic" w:hAnsi="Century Gothic" w:cs="Arial"/>
          <w:bCs/>
          <w:sz w:val="28"/>
          <w:szCs w:val="28"/>
          <w:lang w:eastAsia="en-US"/>
        </w:rPr>
        <w:t>, consistente en la inexistencia de las o</w:t>
      </w:r>
      <w:r w:rsidR="004008D3" w:rsidRPr="00343FBE">
        <w:rPr>
          <w:rFonts w:ascii="Century Gothic" w:hAnsi="Century Gothic" w:cs="Arial"/>
          <w:bCs/>
          <w:sz w:val="28"/>
          <w:szCs w:val="28"/>
          <w:lang w:eastAsia="en-US"/>
        </w:rPr>
        <w:t xml:space="preserve">misiones reclamadas, puesto que, en su concepto, las convocatorias y acuerdos fueron debidamente publicados en los estrados del aludido partido político y </w:t>
      </w:r>
      <w:proofErr w:type="spellStart"/>
      <w:r w:rsidR="004008D3" w:rsidRPr="00343FBE">
        <w:rPr>
          <w:rFonts w:ascii="Century Gothic" w:hAnsi="Century Gothic" w:cs="Arial"/>
          <w:bCs/>
          <w:sz w:val="28"/>
          <w:szCs w:val="28"/>
          <w:lang w:eastAsia="en-US"/>
        </w:rPr>
        <w:t>y</w:t>
      </w:r>
      <w:proofErr w:type="spellEnd"/>
      <w:r w:rsidR="004008D3" w:rsidRPr="00343FBE">
        <w:rPr>
          <w:rFonts w:ascii="Century Gothic" w:hAnsi="Century Gothic" w:cs="Arial"/>
          <w:bCs/>
          <w:sz w:val="28"/>
          <w:szCs w:val="28"/>
          <w:lang w:eastAsia="en-US"/>
        </w:rPr>
        <w:t xml:space="preserve"> notificadas a los integrantes de los órganos colegiados, de ahí que haya fenecido el plazo para impugnarlos</w:t>
      </w:r>
      <w:r w:rsidR="00725029" w:rsidRPr="00343FBE">
        <w:rPr>
          <w:rFonts w:ascii="Century Gothic" w:hAnsi="Century Gothic" w:cs="Arial"/>
          <w:bCs/>
          <w:sz w:val="28"/>
          <w:szCs w:val="28"/>
          <w:lang w:eastAsia="en-US"/>
        </w:rPr>
        <w:t xml:space="preserve"> y, se denote la extemporaneidad de la demanda de</w:t>
      </w:r>
      <w:r w:rsidR="00392906" w:rsidRPr="00343FBE">
        <w:rPr>
          <w:rFonts w:ascii="Century Gothic" w:hAnsi="Century Gothic" w:cs="Arial"/>
          <w:bCs/>
          <w:sz w:val="28"/>
          <w:szCs w:val="28"/>
          <w:lang w:eastAsia="en-US"/>
        </w:rPr>
        <w:t xml:space="preserve"> </w:t>
      </w:r>
      <w:r w:rsidR="00725029" w:rsidRPr="00343FBE">
        <w:rPr>
          <w:rFonts w:ascii="Century Gothic" w:hAnsi="Century Gothic" w:cs="Arial"/>
          <w:bCs/>
          <w:sz w:val="28"/>
          <w:szCs w:val="28"/>
          <w:lang w:eastAsia="en-US"/>
        </w:rPr>
        <w:t>l</w:t>
      </w:r>
      <w:r w:rsidR="00392906" w:rsidRPr="00343FBE">
        <w:rPr>
          <w:rFonts w:ascii="Century Gothic" w:hAnsi="Century Gothic" w:cs="Arial"/>
          <w:bCs/>
          <w:sz w:val="28"/>
          <w:szCs w:val="28"/>
          <w:lang w:eastAsia="en-US"/>
        </w:rPr>
        <w:t>os</w:t>
      </w:r>
      <w:r w:rsidR="00725029" w:rsidRPr="00343FBE">
        <w:rPr>
          <w:rFonts w:ascii="Century Gothic" w:hAnsi="Century Gothic" w:cs="Arial"/>
          <w:bCs/>
          <w:sz w:val="28"/>
          <w:szCs w:val="28"/>
          <w:lang w:eastAsia="en-US"/>
        </w:rPr>
        <w:t xml:space="preserve"> juicio</w:t>
      </w:r>
      <w:r w:rsidR="00392906" w:rsidRPr="00343FBE">
        <w:rPr>
          <w:rFonts w:ascii="Century Gothic" w:hAnsi="Century Gothic" w:cs="Arial"/>
          <w:bCs/>
          <w:sz w:val="28"/>
          <w:szCs w:val="28"/>
          <w:lang w:eastAsia="en-US"/>
        </w:rPr>
        <w:t>s</w:t>
      </w:r>
      <w:r w:rsidR="00725029" w:rsidRPr="00343FBE">
        <w:rPr>
          <w:rFonts w:ascii="Century Gothic" w:hAnsi="Century Gothic" w:cs="Arial"/>
          <w:bCs/>
          <w:sz w:val="28"/>
          <w:szCs w:val="28"/>
          <w:lang w:eastAsia="en-US"/>
        </w:rPr>
        <w:t xml:space="preserve"> ciudadano</w:t>
      </w:r>
      <w:r w:rsidR="00392906" w:rsidRPr="00343FBE">
        <w:rPr>
          <w:rFonts w:ascii="Century Gothic" w:hAnsi="Century Gothic" w:cs="Arial"/>
          <w:bCs/>
          <w:sz w:val="28"/>
          <w:szCs w:val="28"/>
          <w:lang w:eastAsia="en-US"/>
        </w:rPr>
        <w:t>s</w:t>
      </w:r>
      <w:r w:rsidR="00725029" w:rsidRPr="00343FBE">
        <w:rPr>
          <w:rFonts w:ascii="Century Gothic" w:hAnsi="Century Gothic" w:cs="Arial"/>
          <w:bCs/>
          <w:sz w:val="28"/>
          <w:szCs w:val="28"/>
          <w:lang w:eastAsia="en-US"/>
        </w:rPr>
        <w:t xml:space="preserve"> SUP-JDC-399/2017</w:t>
      </w:r>
      <w:r w:rsidR="00392906" w:rsidRPr="00343FBE">
        <w:rPr>
          <w:rFonts w:ascii="Century Gothic" w:hAnsi="Century Gothic" w:cs="Arial"/>
          <w:bCs/>
          <w:sz w:val="28"/>
          <w:szCs w:val="28"/>
          <w:lang w:eastAsia="en-US"/>
        </w:rPr>
        <w:t xml:space="preserve"> y SUP-JDC-445/2017</w:t>
      </w:r>
      <w:r w:rsidR="00725029" w:rsidRPr="00343FBE">
        <w:rPr>
          <w:rFonts w:ascii="Century Gothic" w:hAnsi="Century Gothic" w:cs="Arial"/>
          <w:bCs/>
          <w:sz w:val="28"/>
          <w:szCs w:val="28"/>
          <w:lang w:eastAsia="en-US"/>
        </w:rPr>
        <w:t>.</w:t>
      </w:r>
    </w:p>
    <w:p w:rsidR="004008D3" w:rsidRPr="00343FBE" w:rsidRDefault="004008D3" w:rsidP="004226DF">
      <w:pPr>
        <w:spacing w:line="360" w:lineRule="auto"/>
        <w:jc w:val="both"/>
        <w:rPr>
          <w:rFonts w:ascii="Century Gothic" w:hAnsi="Century Gothic" w:cs="Arial"/>
          <w:bCs/>
          <w:sz w:val="28"/>
          <w:szCs w:val="28"/>
          <w:lang w:eastAsia="en-US"/>
        </w:rPr>
      </w:pPr>
    </w:p>
    <w:p w:rsidR="003E7433" w:rsidRPr="00343FBE" w:rsidRDefault="00DF48E1"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Lo anterior es así, porque en el referido </w:t>
      </w:r>
      <w:r w:rsidR="00D25F78" w:rsidRPr="00343FBE">
        <w:rPr>
          <w:rFonts w:ascii="Century Gothic" w:hAnsi="Century Gothic" w:cs="Arial"/>
          <w:bCs/>
          <w:sz w:val="28"/>
          <w:szCs w:val="28"/>
          <w:lang w:eastAsia="en-US"/>
        </w:rPr>
        <w:t>medio de impugnación</w:t>
      </w:r>
      <w:r w:rsidRPr="00343FBE">
        <w:rPr>
          <w:rFonts w:ascii="Century Gothic" w:hAnsi="Century Gothic" w:cs="Arial"/>
          <w:bCs/>
          <w:sz w:val="28"/>
          <w:szCs w:val="28"/>
          <w:lang w:eastAsia="en-US"/>
        </w:rPr>
        <w:t>, se impugnan diversas omisiones</w:t>
      </w:r>
      <w:r w:rsidR="00D25F78" w:rsidRPr="00343FBE">
        <w:rPr>
          <w:rFonts w:ascii="Century Gothic" w:hAnsi="Century Gothic" w:cs="Arial"/>
          <w:bCs/>
          <w:sz w:val="28"/>
          <w:szCs w:val="28"/>
          <w:lang w:eastAsia="en-US"/>
        </w:rPr>
        <w:t xml:space="preserve">, motivo por el </w:t>
      </w:r>
      <w:proofErr w:type="gramStart"/>
      <w:r w:rsidR="00D25F78" w:rsidRPr="00343FBE">
        <w:rPr>
          <w:rFonts w:ascii="Century Gothic" w:hAnsi="Century Gothic" w:cs="Arial"/>
          <w:bCs/>
          <w:sz w:val="28"/>
          <w:szCs w:val="28"/>
          <w:lang w:eastAsia="en-US"/>
        </w:rPr>
        <w:t>cual</w:t>
      </w:r>
      <w:proofErr w:type="gramEnd"/>
      <w:r w:rsidR="00D25F78" w:rsidRPr="00343FBE">
        <w:rPr>
          <w:rFonts w:ascii="Century Gothic" w:hAnsi="Century Gothic" w:cs="Arial"/>
          <w:bCs/>
          <w:sz w:val="28"/>
          <w:szCs w:val="28"/>
          <w:lang w:eastAsia="en-US"/>
        </w:rPr>
        <w:t xml:space="preserve"> a efecto de no incurrir en el vicio lógico de petición </w:t>
      </w:r>
      <w:r w:rsidR="00D25F78" w:rsidRPr="00343FBE">
        <w:rPr>
          <w:rFonts w:ascii="Century Gothic" w:hAnsi="Century Gothic" w:cs="Arial"/>
          <w:bCs/>
          <w:sz w:val="28"/>
          <w:szCs w:val="28"/>
          <w:lang w:eastAsia="en-US"/>
        </w:rPr>
        <w:lastRenderedPageBreak/>
        <w:t xml:space="preserve">de principio, no es posible realizar un pronunciamiento previo respecto </w:t>
      </w:r>
      <w:r w:rsidR="009907E7" w:rsidRPr="00343FBE">
        <w:rPr>
          <w:rFonts w:ascii="Century Gothic" w:hAnsi="Century Gothic" w:cs="Arial"/>
          <w:bCs/>
          <w:sz w:val="28"/>
          <w:szCs w:val="28"/>
          <w:lang w:eastAsia="en-US"/>
        </w:rPr>
        <w:t xml:space="preserve">de la existencia o no de las mismas, cuando ello se debe determinar en el correspondiente estudio de fondo. </w:t>
      </w:r>
    </w:p>
    <w:p w:rsidR="00126EFD" w:rsidRPr="00343FBE" w:rsidRDefault="00126EFD" w:rsidP="004226DF">
      <w:pPr>
        <w:spacing w:line="360" w:lineRule="auto"/>
        <w:jc w:val="both"/>
        <w:rPr>
          <w:rFonts w:ascii="Century Gothic" w:hAnsi="Century Gothic" w:cs="Arial"/>
          <w:bCs/>
          <w:sz w:val="28"/>
          <w:szCs w:val="28"/>
          <w:lang w:eastAsia="en-US"/>
        </w:rPr>
      </w:pPr>
    </w:p>
    <w:p w:rsidR="00126EFD" w:rsidRPr="00343FBE" w:rsidRDefault="00126EFD"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Por lo que hace, a la Convocatoria al 10° Congreso Nacional Ordinario del </w:t>
      </w:r>
      <w:r w:rsidR="00A8764A" w:rsidRPr="00343FBE">
        <w:rPr>
          <w:rFonts w:ascii="Century Gothic" w:hAnsi="Century Gothic" w:cs="Arial"/>
          <w:bCs/>
          <w:sz w:val="28"/>
          <w:szCs w:val="28"/>
          <w:lang w:eastAsia="en-US"/>
        </w:rPr>
        <w:t>PT</w:t>
      </w:r>
      <w:r w:rsidRPr="00343FBE">
        <w:rPr>
          <w:rFonts w:ascii="Century Gothic" w:hAnsi="Century Gothic" w:cs="Arial"/>
          <w:bCs/>
          <w:sz w:val="28"/>
          <w:szCs w:val="28"/>
          <w:lang w:eastAsia="en-US"/>
        </w:rPr>
        <w:t xml:space="preserve"> se tiene que, </w:t>
      </w:r>
      <w:r w:rsidR="006C10B5" w:rsidRPr="00343FBE">
        <w:rPr>
          <w:rFonts w:ascii="Century Gothic" w:hAnsi="Century Gothic" w:cs="Arial"/>
          <w:bCs/>
          <w:sz w:val="28"/>
          <w:szCs w:val="28"/>
          <w:lang w:eastAsia="en-US"/>
        </w:rPr>
        <w:t>en el diverso SUP-JDC-445/2017, Florencio Torres Romero refiere que tuvo conocimiento de la misma, el diez de junio del año en curso, a través de la página de Internet del aludido instituto político</w:t>
      </w:r>
      <w:r w:rsidR="009D3F6F" w:rsidRPr="00343FBE">
        <w:rPr>
          <w:rFonts w:ascii="Century Gothic" w:hAnsi="Century Gothic" w:cs="Arial"/>
          <w:bCs/>
          <w:sz w:val="28"/>
          <w:szCs w:val="28"/>
          <w:lang w:eastAsia="en-US"/>
        </w:rPr>
        <w:t>, mientras que la demanda del juicio ciudadano se presentó el inmediato doce de junio, es decir, dentro del plazo legalmente previsto para tal efecto</w:t>
      </w:r>
      <w:r w:rsidR="00356EBE" w:rsidRPr="00343FBE">
        <w:rPr>
          <w:rFonts w:ascii="Century Gothic" w:hAnsi="Century Gothic" w:cs="Arial"/>
          <w:bCs/>
          <w:sz w:val="28"/>
          <w:szCs w:val="28"/>
          <w:lang w:eastAsia="en-US"/>
        </w:rPr>
        <w:t xml:space="preserve">, </w:t>
      </w:r>
      <w:r w:rsidR="004B0982" w:rsidRPr="00343FBE">
        <w:rPr>
          <w:rFonts w:ascii="Century Gothic" w:hAnsi="Century Gothic" w:cs="Arial"/>
          <w:bCs/>
          <w:sz w:val="28"/>
          <w:szCs w:val="28"/>
          <w:lang w:eastAsia="en-US"/>
        </w:rPr>
        <w:t>sin que exista algún elemento en autos que refute la afirmación del enjuiciante.</w:t>
      </w:r>
    </w:p>
    <w:p w:rsidR="003E7433" w:rsidRPr="00343FBE" w:rsidRDefault="003E7433" w:rsidP="004226DF">
      <w:pPr>
        <w:spacing w:line="360" w:lineRule="auto"/>
        <w:jc w:val="both"/>
        <w:rPr>
          <w:rFonts w:ascii="Century Gothic" w:hAnsi="Century Gothic" w:cs="Arial"/>
          <w:bCs/>
          <w:sz w:val="28"/>
          <w:szCs w:val="28"/>
          <w:lang w:eastAsia="en-US"/>
        </w:rPr>
      </w:pPr>
    </w:p>
    <w:p w:rsidR="004226DF" w:rsidRPr="00343FBE" w:rsidRDefault="004226DF" w:rsidP="00B011FE">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Legitimación y personería</w:t>
      </w:r>
      <w:r w:rsidRPr="00343FBE">
        <w:rPr>
          <w:rFonts w:ascii="Century Gothic" w:hAnsi="Century Gothic" w:cs="Arial"/>
          <w:bCs/>
          <w:sz w:val="28"/>
          <w:szCs w:val="28"/>
          <w:lang w:eastAsia="en-US"/>
        </w:rPr>
        <w:t xml:space="preserve">. </w:t>
      </w:r>
      <w:r w:rsidR="00D1287D" w:rsidRPr="00343FBE">
        <w:rPr>
          <w:rFonts w:ascii="Century Gothic" w:hAnsi="Century Gothic" w:cs="Arial"/>
          <w:bCs/>
          <w:sz w:val="28"/>
          <w:szCs w:val="28"/>
          <w:lang w:eastAsia="en-US"/>
        </w:rPr>
        <w:t>Los</w:t>
      </w:r>
      <w:r w:rsidR="00B011FE" w:rsidRPr="00343FBE">
        <w:rPr>
          <w:rFonts w:ascii="Century Gothic" w:hAnsi="Century Gothic" w:cs="Arial"/>
          <w:bCs/>
          <w:sz w:val="28"/>
          <w:szCs w:val="28"/>
          <w:lang w:eastAsia="en-US"/>
        </w:rPr>
        <w:t xml:space="preserve"> actor</w:t>
      </w:r>
      <w:r w:rsidR="00D1287D" w:rsidRPr="00343FBE">
        <w:rPr>
          <w:rFonts w:ascii="Century Gothic" w:hAnsi="Century Gothic" w:cs="Arial"/>
          <w:bCs/>
          <w:sz w:val="28"/>
          <w:szCs w:val="28"/>
          <w:lang w:eastAsia="en-US"/>
        </w:rPr>
        <w:t>es</w:t>
      </w:r>
      <w:r w:rsidR="00B011FE" w:rsidRPr="00343FBE">
        <w:rPr>
          <w:rFonts w:ascii="Century Gothic" w:hAnsi="Century Gothic" w:cs="Arial"/>
          <w:bCs/>
          <w:sz w:val="28"/>
          <w:szCs w:val="28"/>
          <w:lang w:eastAsia="en-US"/>
        </w:rPr>
        <w:t xml:space="preserve"> está</w:t>
      </w:r>
      <w:r w:rsidR="00D1287D" w:rsidRPr="00343FBE">
        <w:rPr>
          <w:rFonts w:ascii="Century Gothic" w:hAnsi="Century Gothic" w:cs="Arial"/>
          <w:bCs/>
          <w:sz w:val="28"/>
          <w:szCs w:val="28"/>
          <w:lang w:eastAsia="en-US"/>
        </w:rPr>
        <w:t>n</w:t>
      </w:r>
      <w:r w:rsidR="00B011FE" w:rsidRPr="00343FBE">
        <w:rPr>
          <w:rFonts w:ascii="Century Gothic" w:hAnsi="Century Gothic" w:cs="Arial"/>
          <w:bCs/>
          <w:sz w:val="28"/>
          <w:szCs w:val="28"/>
          <w:lang w:eastAsia="en-US"/>
        </w:rPr>
        <w:t xml:space="preserve"> legitimado</w:t>
      </w:r>
      <w:r w:rsidR="00D1287D" w:rsidRPr="00343FBE">
        <w:rPr>
          <w:rFonts w:ascii="Century Gothic" w:hAnsi="Century Gothic" w:cs="Arial"/>
          <w:bCs/>
          <w:sz w:val="28"/>
          <w:szCs w:val="28"/>
          <w:lang w:eastAsia="en-US"/>
        </w:rPr>
        <w:t>s</w:t>
      </w:r>
      <w:r w:rsidR="00B011FE" w:rsidRPr="00343FBE">
        <w:rPr>
          <w:rFonts w:ascii="Century Gothic" w:hAnsi="Century Gothic" w:cs="Arial"/>
          <w:bCs/>
          <w:sz w:val="28"/>
          <w:szCs w:val="28"/>
          <w:lang w:eastAsia="en-US"/>
        </w:rPr>
        <w:t xml:space="preserve"> para </w:t>
      </w:r>
      <w:r w:rsidR="00D1287D" w:rsidRPr="00343FBE">
        <w:rPr>
          <w:rFonts w:ascii="Century Gothic" w:hAnsi="Century Gothic" w:cs="Arial"/>
          <w:bCs/>
          <w:sz w:val="28"/>
          <w:szCs w:val="28"/>
          <w:lang w:eastAsia="en-US"/>
        </w:rPr>
        <w:t xml:space="preserve">promover </w:t>
      </w:r>
      <w:r w:rsidR="00B011FE" w:rsidRPr="00343FBE">
        <w:rPr>
          <w:rFonts w:ascii="Century Gothic" w:hAnsi="Century Gothic" w:cs="Arial"/>
          <w:bCs/>
          <w:sz w:val="28"/>
          <w:szCs w:val="28"/>
          <w:lang w:eastAsia="en-US"/>
        </w:rPr>
        <w:t>l</w:t>
      </w:r>
      <w:r w:rsidR="00D1287D" w:rsidRPr="00343FBE">
        <w:rPr>
          <w:rFonts w:ascii="Century Gothic" w:hAnsi="Century Gothic" w:cs="Arial"/>
          <w:bCs/>
          <w:sz w:val="28"/>
          <w:szCs w:val="28"/>
          <w:lang w:eastAsia="en-US"/>
        </w:rPr>
        <w:t>os</w:t>
      </w:r>
      <w:r w:rsidR="00B011FE" w:rsidRPr="00343FBE">
        <w:rPr>
          <w:rFonts w:ascii="Century Gothic" w:hAnsi="Century Gothic" w:cs="Arial"/>
          <w:bCs/>
          <w:sz w:val="28"/>
          <w:szCs w:val="28"/>
          <w:lang w:eastAsia="en-US"/>
        </w:rPr>
        <w:t xml:space="preserve"> presente</w:t>
      </w:r>
      <w:r w:rsidR="00D1287D" w:rsidRPr="00343FBE">
        <w:rPr>
          <w:rFonts w:ascii="Century Gothic" w:hAnsi="Century Gothic" w:cs="Arial"/>
          <w:bCs/>
          <w:sz w:val="28"/>
          <w:szCs w:val="28"/>
          <w:lang w:eastAsia="en-US"/>
        </w:rPr>
        <w:t>s</w:t>
      </w:r>
      <w:r w:rsidR="00B011FE" w:rsidRPr="00343FBE">
        <w:rPr>
          <w:rFonts w:ascii="Century Gothic" w:hAnsi="Century Gothic" w:cs="Arial"/>
          <w:bCs/>
          <w:sz w:val="28"/>
          <w:szCs w:val="28"/>
          <w:lang w:eastAsia="en-US"/>
        </w:rPr>
        <w:t xml:space="preserve"> juicio</w:t>
      </w:r>
      <w:r w:rsidR="00D1287D" w:rsidRPr="00343FBE">
        <w:rPr>
          <w:rFonts w:ascii="Century Gothic" w:hAnsi="Century Gothic" w:cs="Arial"/>
          <w:bCs/>
          <w:sz w:val="28"/>
          <w:szCs w:val="28"/>
          <w:lang w:eastAsia="en-US"/>
        </w:rPr>
        <w:t>s</w:t>
      </w:r>
      <w:r w:rsidR="00B011FE" w:rsidRPr="00343FBE">
        <w:rPr>
          <w:rFonts w:ascii="Century Gothic" w:hAnsi="Century Gothic" w:cs="Arial"/>
          <w:bCs/>
          <w:sz w:val="28"/>
          <w:szCs w:val="28"/>
          <w:lang w:eastAsia="en-US"/>
        </w:rPr>
        <w:t>, en virtud de que r</w:t>
      </w:r>
      <w:r w:rsidRPr="00343FBE">
        <w:rPr>
          <w:rFonts w:ascii="Century Gothic" w:hAnsi="Century Gothic" w:cs="Arial"/>
          <w:bCs/>
          <w:sz w:val="28"/>
          <w:szCs w:val="28"/>
          <w:lang w:eastAsia="en-US"/>
        </w:rPr>
        <w:t>eclama</w:t>
      </w:r>
      <w:r w:rsidR="00D1287D" w:rsidRPr="00343FBE">
        <w:rPr>
          <w:rFonts w:ascii="Century Gothic" w:hAnsi="Century Gothic" w:cs="Arial"/>
          <w:bCs/>
          <w:sz w:val="28"/>
          <w:szCs w:val="28"/>
          <w:lang w:eastAsia="en-US"/>
        </w:rPr>
        <w:t>n</w:t>
      </w:r>
      <w:r w:rsidRPr="00343FBE">
        <w:rPr>
          <w:rFonts w:ascii="Century Gothic" w:hAnsi="Century Gothic" w:cs="Arial"/>
          <w:bCs/>
          <w:sz w:val="28"/>
          <w:szCs w:val="28"/>
          <w:lang w:eastAsia="en-US"/>
        </w:rPr>
        <w:t xml:space="preserve"> actos </w:t>
      </w:r>
      <w:r w:rsidR="00295094" w:rsidRPr="00343FBE">
        <w:rPr>
          <w:rFonts w:ascii="Century Gothic" w:hAnsi="Century Gothic" w:cs="Arial"/>
          <w:bCs/>
          <w:sz w:val="28"/>
          <w:szCs w:val="28"/>
          <w:lang w:eastAsia="en-US"/>
        </w:rPr>
        <w:t xml:space="preserve">y </w:t>
      </w:r>
      <w:r w:rsidRPr="00343FBE">
        <w:rPr>
          <w:rFonts w:ascii="Century Gothic" w:hAnsi="Century Gothic" w:cs="Arial"/>
          <w:bCs/>
          <w:sz w:val="28"/>
          <w:szCs w:val="28"/>
          <w:lang w:eastAsia="en-US"/>
        </w:rPr>
        <w:t>omisi</w:t>
      </w:r>
      <w:r w:rsidR="00D1287D" w:rsidRPr="00343FBE">
        <w:rPr>
          <w:rFonts w:ascii="Century Gothic" w:hAnsi="Century Gothic" w:cs="Arial"/>
          <w:bCs/>
          <w:sz w:val="28"/>
          <w:szCs w:val="28"/>
          <w:lang w:eastAsia="en-US"/>
        </w:rPr>
        <w:t>o</w:t>
      </w:r>
      <w:r w:rsidRPr="00343FBE">
        <w:rPr>
          <w:rFonts w:ascii="Century Gothic" w:hAnsi="Century Gothic" w:cs="Arial"/>
          <w:bCs/>
          <w:sz w:val="28"/>
          <w:szCs w:val="28"/>
          <w:lang w:eastAsia="en-US"/>
        </w:rPr>
        <w:t>n</w:t>
      </w:r>
      <w:r w:rsidR="00D1287D" w:rsidRPr="00343FBE">
        <w:rPr>
          <w:rFonts w:ascii="Century Gothic" w:hAnsi="Century Gothic" w:cs="Arial"/>
          <w:bCs/>
          <w:sz w:val="28"/>
          <w:szCs w:val="28"/>
          <w:lang w:eastAsia="en-US"/>
        </w:rPr>
        <w:t>es</w:t>
      </w:r>
      <w:r w:rsidR="00B011FE" w:rsidRPr="00343FBE">
        <w:rPr>
          <w:rFonts w:ascii="Century Gothic" w:hAnsi="Century Gothic" w:cs="Arial"/>
          <w:bCs/>
          <w:sz w:val="28"/>
          <w:szCs w:val="28"/>
          <w:lang w:eastAsia="en-US"/>
        </w:rPr>
        <w:t>,</w:t>
      </w:r>
      <w:r w:rsidRPr="00343FBE">
        <w:rPr>
          <w:rFonts w:ascii="Century Gothic" w:hAnsi="Century Gothic" w:cs="Arial"/>
          <w:bCs/>
          <w:sz w:val="28"/>
          <w:szCs w:val="28"/>
          <w:lang w:eastAsia="en-US"/>
        </w:rPr>
        <w:t xml:space="preserve"> que se relaciona</w:t>
      </w:r>
      <w:r w:rsidR="00B36575" w:rsidRPr="00343FBE">
        <w:rPr>
          <w:rFonts w:ascii="Century Gothic" w:hAnsi="Century Gothic" w:cs="Arial"/>
          <w:bCs/>
          <w:sz w:val="28"/>
          <w:szCs w:val="28"/>
          <w:lang w:eastAsia="en-US"/>
        </w:rPr>
        <w:t>n</w:t>
      </w:r>
      <w:r w:rsidRPr="00343FBE">
        <w:rPr>
          <w:rFonts w:ascii="Century Gothic" w:hAnsi="Century Gothic" w:cs="Arial"/>
          <w:bCs/>
          <w:sz w:val="28"/>
          <w:szCs w:val="28"/>
          <w:lang w:eastAsia="en-US"/>
        </w:rPr>
        <w:t xml:space="preserve"> </w:t>
      </w:r>
      <w:r w:rsidR="00B011FE" w:rsidRPr="00343FBE">
        <w:rPr>
          <w:rFonts w:ascii="Century Gothic" w:hAnsi="Century Gothic" w:cs="Arial"/>
          <w:bCs/>
          <w:sz w:val="28"/>
          <w:szCs w:val="28"/>
          <w:lang w:eastAsia="en-US"/>
        </w:rPr>
        <w:t>con la elección de los integrantes de un órgano de dirección nacional del partido en el que milita</w:t>
      </w:r>
      <w:r w:rsidR="00D1287D" w:rsidRPr="00343FBE">
        <w:rPr>
          <w:rFonts w:ascii="Century Gothic" w:hAnsi="Century Gothic" w:cs="Arial"/>
          <w:bCs/>
          <w:sz w:val="28"/>
          <w:szCs w:val="28"/>
          <w:lang w:eastAsia="en-US"/>
        </w:rPr>
        <w:t xml:space="preserve">n </w:t>
      </w:r>
      <w:r w:rsidR="00B011FE" w:rsidRPr="00343FBE">
        <w:rPr>
          <w:rFonts w:ascii="Century Gothic" w:hAnsi="Century Gothic" w:cs="Arial"/>
          <w:bCs/>
          <w:sz w:val="28"/>
          <w:szCs w:val="28"/>
          <w:lang w:eastAsia="en-US"/>
        </w:rPr>
        <w:t>l</w:t>
      </w:r>
      <w:r w:rsidR="00D1287D" w:rsidRPr="00343FBE">
        <w:rPr>
          <w:rFonts w:ascii="Century Gothic" w:hAnsi="Century Gothic" w:cs="Arial"/>
          <w:bCs/>
          <w:sz w:val="28"/>
          <w:szCs w:val="28"/>
          <w:lang w:eastAsia="en-US"/>
        </w:rPr>
        <w:t>os</w:t>
      </w:r>
      <w:r w:rsidR="00B011FE" w:rsidRPr="00343FBE">
        <w:rPr>
          <w:rFonts w:ascii="Century Gothic" w:hAnsi="Century Gothic" w:cs="Arial"/>
          <w:bCs/>
          <w:sz w:val="28"/>
          <w:szCs w:val="28"/>
          <w:lang w:eastAsia="en-US"/>
        </w:rPr>
        <w:t xml:space="preserve"> actor</w:t>
      </w:r>
      <w:r w:rsidR="00D1287D" w:rsidRPr="00343FBE">
        <w:rPr>
          <w:rFonts w:ascii="Century Gothic" w:hAnsi="Century Gothic" w:cs="Arial"/>
          <w:bCs/>
          <w:sz w:val="28"/>
          <w:szCs w:val="28"/>
          <w:lang w:eastAsia="en-US"/>
        </w:rPr>
        <w:t>es</w:t>
      </w:r>
      <w:r w:rsidR="00B011FE" w:rsidRPr="00343FBE">
        <w:rPr>
          <w:rFonts w:ascii="Century Gothic" w:hAnsi="Century Gothic" w:cs="Arial"/>
          <w:bCs/>
          <w:sz w:val="28"/>
          <w:szCs w:val="28"/>
          <w:lang w:eastAsia="en-US"/>
        </w:rPr>
        <w:t>, lo cual aduce</w:t>
      </w:r>
      <w:r w:rsidR="00D1287D" w:rsidRPr="00343FBE">
        <w:rPr>
          <w:rFonts w:ascii="Century Gothic" w:hAnsi="Century Gothic" w:cs="Arial"/>
          <w:bCs/>
          <w:sz w:val="28"/>
          <w:szCs w:val="28"/>
          <w:lang w:eastAsia="en-US"/>
        </w:rPr>
        <w:t>n,</w:t>
      </w:r>
      <w:r w:rsidR="00B011FE" w:rsidRPr="00343FBE">
        <w:rPr>
          <w:rFonts w:ascii="Century Gothic" w:hAnsi="Century Gothic" w:cs="Arial"/>
          <w:bCs/>
          <w:sz w:val="28"/>
          <w:szCs w:val="28"/>
          <w:lang w:eastAsia="en-US"/>
        </w:rPr>
        <w:t xml:space="preserve"> viola sus derechos político electorales.</w:t>
      </w:r>
    </w:p>
    <w:p w:rsidR="004226DF" w:rsidRPr="00343FBE" w:rsidRDefault="004226DF" w:rsidP="004226DF">
      <w:pPr>
        <w:spacing w:line="360" w:lineRule="auto"/>
        <w:jc w:val="both"/>
        <w:rPr>
          <w:rFonts w:ascii="Century Gothic" w:hAnsi="Century Gothic" w:cs="Arial"/>
          <w:bCs/>
          <w:sz w:val="28"/>
          <w:szCs w:val="28"/>
          <w:lang w:eastAsia="en-US"/>
        </w:rPr>
      </w:pPr>
    </w:p>
    <w:p w:rsidR="004226DF" w:rsidRPr="00343FBE" w:rsidRDefault="004226DF"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Asimismo, l</w:t>
      </w:r>
      <w:r w:rsidR="00D1287D" w:rsidRPr="00343FBE">
        <w:rPr>
          <w:rFonts w:ascii="Century Gothic" w:hAnsi="Century Gothic" w:cs="Arial"/>
          <w:bCs/>
          <w:sz w:val="28"/>
          <w:szCs w:val="28"/>
          <w:lang w:eastAsia="en-US"/>
        </w:rPr>
        <w:t>os</w:t>
      </w:r>
      <w:r w:rsidRPr="00343FBE">
        <w:rPr>
          <w:rFonts w:ascii="Century Gothic" w:hAnsi="Century Gothic" w:cs="Arial"/>
          <w:bCs/>
          <w:sz w:val="28"/>
          <w:szCs w:val="28"/>
          <w:lang w:eastAsia="en-US"/>
        </w:rPr>
        <w:t xml:space="preserve"> juicio</w:t>
      </w:r>
      <w:r w:rsidR="00D1287D" w:rsidRPr="00343FBE">
        <w:rPr>
          <w:rFonts w:ascii="Century Gothic" w:hAnsi="Century Gothic" w:cs="Arial"/>
          <w:bCs/>
          <w:sz w:val="28"/>
          <w:szCs w:val="28"/>
          <w:lang w:eastAsia="en-US"/>
        </w:rPr>
        <w:t>s</w:t>
      </w:r>
      <w:r w:rsidRPr="00343FBE">
        <w:rPr>
          <w:rFonts w:ascii="Century Gothic" w:hAnsi="Century Gothic" w:cs="Arial"/>
          <w:bCs/>
          <w:sz w:val="28"/>
          <w:szCs w:val="28"/>
          <w:lang w:eastAsia="en-US"/>
        </w:rPr>
        <w:t xml:space="preserve"> s</w:t>
      </w:r>
      <w:r w:rsidR="00D1287D" w:rsidRPr="00343FBE">
        <w:rPr>
          <w:rFonts w:ascii="Century Gothic" w:hAnsi="Century Gothic" w:cs="Arial"/>
          <w:bCs/>
          <w:sz w:val="28"/>
          <w:szCs w:val="28"/>
          <w:lang w:eastAsia="en-US"/>
        </w:rPr>
        <w:t>on</w:t>
      </w:r>
      <w:r w:rsidRPr="00343FBE">
        <w:rPr>
          <w:rFonts w:ascii="Century Gothic" w:hAnsi="Century Gothic" w:cs="Arial"/>
          <w:bCs/>
          <w:sz w:val="28"/>
          <w:szCs w:val="28"/>
          <w:lang w:eastAsia="en-US"/>
        </w:rPr>
        <w:t xml:space="preserve"> promovido</w:t>
      </w:r>
      <w:r w:rsidR="00D1287D" w:rsidRPr="00343FBE">
        <w:rPr>
          <w:rFonts w:ascii="Century Gothic" w:hAnsi="Century Gothic" w:cs="Arial"/>
          <w:bCs/>
          <w:sz w:val="28"/>
          <w:szCs w:val="28"/>
          <w:lang w:eastAsia="en-US"/>
        </w:rPr>
        <w:t>s</w:t>
      </w:r>
      <w:r w:rsidRPr="00343FBE">
        <w:rPr>
          <w:rFonts w:ascii="Century Gothic" w:hAnsi="Century Gothic" w:cs="Arial"/>
          <w:bCs/>
          <w:sz w:val="28"/>
          <w:szCs w:val="28"/>
          <w:lang w:eastAsia="en-US"/>
        </w:rPr>
        <w:t xml:space="preserve"> </w:t>
      </w:r>
      <w:r w:rsidR="00D1287D" w:rsidRPr="00343FBE">
        <w:rPr>
          <w:rFonts w:ascii="Century Gothic" w:hAnsi="Century Gothic" w:cs="Arial"/>
          <w:bCs/>
          <w:sz w:val="28"/>
          <w:szCs w:val="28"/>
          <w:lang w:eastAsia="en-US"/>
        </w:rPr>
        <w:t xml:space="preserve">en </w:t>
      </w:r>
      <w:r w:rsidRPr="00343FBE">
        <w:rPr>
          <w:rFonts w:ascii="Century Gothic" w:hAnsi="Century Gothic" w:cs="Arial"/>
          <w:bCs/>
          <w:sz w:val="28"/>
          <w:szCs w:val="28"/>
          <w:lang w:eastAsia="en-US"/>
        </w:rPr>
        <w:t xml:space="preserve">forma personal por </w:t>
      </w:r>
      <w:r w:rsidR="00B011FE" w:rsidRPr="00343FBE">
        <w:rPr>
          <w:rFonts w:ascii="Century Gothic" w:hAnsi="Century Gothic" w:cs="Arial"/>
          <w:bCs/>
          <w:sz w:val="28"/>
          <w:szCs w:val="28"/>
          <w:lang w:eastAsia="en-US"/>
        </w:rPr>
        <w:t>l</w:t>
      </w:r>
      <w:r w:rsidR="00D1287D" w:rsidRPr="00343FBE">
        <w:rPr>
          <w:rFonts w:ascii="Century Gothic" w:hAnsi="Century Gothic" w:cs="Arial"/>
          <w:bCs/>
          <w:sz w:val="28"/>
          <w:szCs w:val="28"/>
          <w:lang w:eastAsia="en-US"/>
        </w:rPr>
        <w:t>os</w:t>
      </w:r>
      <w:r w:rsidR="00B011FE" w:rsidRPr="00343FBE">
        <w:rPr>
          <w:rFonts w:ascii="Century Gothic" w:hAnsi="Century Gothic" w:cs="Arial"/>
          <w:bCs/>
          <w:sz w:val="28"/>
          <w:szCs w:val="28"/>
          <w:lang w:eastAsia="en-US"/>
        </w:rPr>
        <w:t xml:space="preserve"> actor</w:t>
      </w:r>
      <w:r w:rsidR="00D1287D" w:rsidRPr="00343FBE">
        <w:rPr>
          <w:rFonts w:ascii="Century Gothic" w:hAnsi="Century Gothic" w:cs="Arial"/>
          <w:bCs/>
          <w:sz w:val="28"/>
          <w:szCs w:val="28"/>
          <w:lang w:eastAsia="en-US"/>
        </w:rPr>
        <w:t>es</w:t>
      </w:r>
      <w:r w:rsidR="00B011FE" w:rsidRPr="00343FBE">
        <w:rPr>
          <w:rFonts w:ascii="Century Gothic" w:hAnsi="Century Gothic" w:cs="Arial"/>
          <w:bCs/>
          <w:sz w:val="28"/>
          <w:szCs w:val="28"/>
          <w:lang w:eastAsia="en-US"/>
        </w:rPr>
        <w:t>, razón por la cual</w:t>
      </w:r>
      <w:r w:rsidRPr="00343FBE">
        <w:rPr>
          <w:rFonts w:ascii="Century Gothic" w:hAnsi="Century Gothic" w:cs="Arial"/>
          <w:bCs/>
          <w:sz w:val="28"/>
          <w:szCs w:val="28"/>
          <w:lang w:eastAsia="en-US"/>
        </w:rPr>
        <w:t xml:space="preserve"> se surte el segundo de los requisitos.</w:t>
      </w:r>
    </w:p>
    <w:p w:rsidR="00065116" w:rsidRPr="00343FBE" w:rsidRDefault="00065116" w:rsidP="004226DF">
      <w:pPr>
        <w:spacing w:line="360" w:lineRule="auto"/>
        <w:jc w:val="both"/>
        <w:rPr>
          <w:rFonts w:ascii="Century Gothic" w:hAnsi="Century Gothic" w:cs="Arial"/>
          <w:bCs/>
          <w:sz w:val="28"/>
          <w:szCs w:val="28"/>
          <w:lang w:eastAsia="en-US"/>
        </w:rPr>
      </w:pPr>
    </w:p>
    <w:p w:rsidR="00EE45A6" w:rsidRPr="00343FBE" w:rsidRDefault="00A44406"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lastRenderedPageBreak/>
        <w:t xml:space="preserve">No pasa inadvertido que en el diverso juicio ciudadano SUP-JDC-468/2017, la Comisión Nacional de Elecciones y Procedimientos Internos del </w:t>
      </w:r>
      <w:r w:rsidR="00A8764A" w:rsidRPr="00343FBE">
        <w:rPr>
          <w:rFonts w:ascii="Century Gothic" w:hAnsi="Century Gothic" w:cs="Arial"/>
          <w:bCs/>
          <w:sz w:val="28"/>
          <w:szCs w:val="28"/>
          <w:lang w:eastAsia="en-US"/>
        </w:rPr>
        <w:t>PT</w:t>
      </w:r>
      <w:r w:rsidRPr="00343FBE">
        <w:rPr>
          <w:rFonts w:ascii="Century Gothic" w:hAnsi="Century Gothic" w:cs="Arial"/>
          <w:bCs/>
          <w:sz w:val="28"/>
          <w:szCs w:val="28"/>
          <w:lang w:eastAsia="en-US"/>
        </w:rPr>
        <w:t xml:space="preserve"> aduce como causa de improcedencia, la relativa a la falta de personería de Florencio Torres Romero, en razón de que </w:t>
      </w:r>
      <w:r w:rsidR="00685132" w:rsidRPr="00343FBE">
        <w:rPr>
          <w:rFonts w:ascii="Century Gothic" w:hAnsi="Century Gothic" w:cs="Arial"/>
          <w:bCs/>
          <w:sz w:val="28"/>
          <w:szCs w:val="28"/>
          <w:lang w:eastAsia="en-US"/>
        </w:rPr>
        <w:t>exhibe una copia simple de su credencial de militante</w:t>
      </w:r>
      <w:r w:rsidR="00EE45A6" w:rsidRPr="00343FBE">
        <w:rPr>
          <w:rFonts w:ascii="Century Gothic" w:hAnsi="Century Gothic" w:cs="Arial"/>
          <w:bCs/>
          <w:sz w:val="28"/>
          <w:szCs w:val="28"/>
          <w:lang w:eastAsia="en-US"/>
        </w:rPr>
        <w:t>, la cual se encuentra ilegible y borrosa.</w:t>
      </w:r>
    </w:p>
    <w:p w:rsidR="00EE45A6" w:rsidRPr="00343FBE" w:rsidRDefault="00EE45A6" w:rsidP="004226DF">
      <w:pPr>
        <w:spacing w:line="360" w:lineRule="auto"/>
        <w:jc w:val="both"/>
        <w:rPr>
          <w:rFonts w:ascii="Century Gothic" w:hAnsi="Century Gothic" w:cs="Arial"/>
          <w:bCs/>
          <w:sz w:val="28"/>
          <w:szCs w:val="28"/>
          <w:lang w:eastAsia="en-US"/>
        </w:rPr>
      </w:pPr>
    </w:p>
    <w:p w:rsidR="00065116" w:rsidRPr="00343FBE" w:rsidRDefault="00EE45A6"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Al efecto, </w:t>
      </w:r>
      <w:r w:rsidRPr="00343FBE">
        <w:rPr>
          <w:rFonts w:ascii="Century Gothic" w:hAnsi="Century Gothic" w:cs="Arial"/>
          <w:b/>
          <w:bCs/>
          <w:sz w:val="28"/>
          <w:szCs w:val="28"/>
          <w:lang w:eastAsia="en-US"/>
        </w:rPr>
        <w:t>se desestima</w:t>
      </w:r>
      <w:r w:rsidR="00685132" w:rsidRPr="00343FBE">
        <w:rPr>
          <w:rFonts w:ascii="Century Gothic" w:hAnsi="Century Gothic" w:cs="Arial"/>
          <w:bCs/>
          <w:sz w:val="28"/>
          <w:szCs w:val="28"/>
          <w:lang w:eastAsia="en-US"/>
        </w:rPr>
        <w:t xml:space="preserve"> </w:t>
      </w:r>
      <w:r w:rsidRPr="00343FBE">
        <w:rPr>
          <w:rFonts w:ascii="Century Gothic" w:hAnsi="Century Gothic" w:cs="Arial"/>
          <w:bCs/>
          <w:sz w:val="28"/>
          <w:szCs w:val="28"/>
          <w:lang w:eastAsia="en-US"/>
        </w:rPr>
        <w:t>la causal de improcedencia formulada por la referida Comisión, toda vez que en el diverso juicio ciudadano SUP-JDC-399/201</w:t>
      </w:r>
      <w:r w:rsidR="0041369B" w:rsidRPr="00343FBE">
        <w:rPr>
          <w:rFonts w:ascii="Century Gothic" w:hAnsi="Century Gothic" w:cs="Arial"/>
          <w:bCs/>
          <w:sz w:val="28"/>
          <w:szCs w:val="28"/>
          <w:lang w:eastAsia="en-US"/>
        </w:rPr>
        <w:t xml:space="preserve">7, aparece copia de la credencial de militante del </w:t>
      </w:r>
      <w:r w:rsidR="00A8764A" w:rsidRPr="00343FBE">
        <w:rPr>
          <w:rFonts w:ascii="Century Gothic" w:hAnsi="Century Gothic" w:cs="Arial"/>
          <w:bCs/>
          <w:sz w:val="28"/>
          <w:szCs w:val="28"/>
          <w:lang w:eastAsia="en-US"/>
        </w:rPr>
        <w:t>PT</w:t>
      </w:r>
      <w:r w:rsidR="0041369B" w:rsidRPr="00343FBE">
        <w:rPr>
          <w:rFonts w:ascii="Century Gothic" w:hAnsi="Century Gothic" w:cs="Arial"/>
          <w:bCs/>
          <w:sz w:val="28"/>
          <w:szCs w:val="28"/>
          <w:lang w:eastAsia="en-US"/>
        </w:rPr>
        <w:t xml:space="preserve"> a no</w:t>
      </w:r>
      <w:r w:rsidR="005E2785" w:rsidRPr="00343FBE">
        <w:rPr>
          <w:rFonts w:ascii="Century Gothic" w:hAnsi="Century Gothic" w:cs="Arial"/>
          <w:bCs/>
          <w:sz w:val="28"/>
          <w:szCs w:val="28"/>
          <w:lang w:eastAsia="en-US"/>
        </w:rPr>
        <w:t xml:space="preserve">mbre de Florencio Torres Romero, de la cual se advierte el número de folio, la sección, clave de elector y la fecha </w:t>
      </w:r>
      <w:r w:rsidR="00776975" w:rsidRPr="00343FBE">
        <w:rPr>
          <w:rFonts w:ascii="Century Gothic" w:hAnsi="Century Gothic" w:cs="Arial"/>
          <w:bCs/>
          <w:sz w:val="28"/>
          <w:szCs w:val="28"/>
          <w:lang w:eastAsia="en-US"/>
        </w:rPr>
        <w:t xml:space="preserve">de su membresía. Es decir, aparecen los datos relativos a la militancia del actor en </w:t>
      </w:r>
      <w:r w:rsidR="00F35550" w:rsidRPr="00343FBE">
        <w:rPr>
          <w:rFonts w:ascii="Century Gothic" w:hAnsi="Century Gothic" w:cs="Arial"/>
          <w:bCs/>
          <w:sz w:val="28"/>
          <w:szCs w:val="28"/>
          <w:lang w:eastAsia="en-US"/>
        </w:rPr>
        <w:t xml:space="preserve">el </w:t>
      </w:r>
      <w:r w:rsidR="00A8764A" w:rsidRPr="00343FBE">
        <w:rPr>
          <w:rFonts w:ascii="Century Gothic" w:hAnsi="Century Gothic" w:cs="Arial"/>
          <w:bCs/>
          <w:sz w:val="28"/>
          <w:szCs w:val="28"/>
          <w:lang w:eastAsia="en-US"/>
        </w:rPr>
        <w:t>PT</w:t>
      </w:r>
      <w:r w:rsidR="00F35550" w:rsidRPr="00343FBE">
        <w:rPr>
          <w:rFonts w:ascii="Century Gothic" w:hAnsi="Century Gothic" w:cs="Arial"/>
          <w:bCs/>
          <w:sz w:val="28"/>
          <w:szCs w:val="28"/>
          <w:lang w:eastAsia="en-US"/>
        </w:rPr>
        <w:t xml:space="preserve">. </w:t>
      </w:r>
    </w:p>
    <w:p w:rsidR="00F35550" w:rsidRPr="00343FBE" w:rsidRDefault="00F35550" w:rsidP="004226DF">
      <w:pPr>
        <w:spacing w:line="360" w:lineRule="auto"/>
        <w:jc w:val="both"/>
        <w:rPr>
          <w:rFonts w:ascii="Century Gothic" w:hAnsi="Century Gothic" w:cs="Arial"/>
          <w:bCs/>
          <w:sz w:val="28"/>
          <w:szCs w:val="28"/>
          <w:lang w:eastAsia="en-US"/>
        </w:rPr>
      </w:pPr>
    </w:p>
    <w:p w:rsidR="00F35550" w:rsidRPr="00343FBE" w:rsidRDefault="00F35550"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Además de que, la aludida Comisión </w:t>
      </w:r>
      <w:r w:rsidR="00881F32" w:rsidRPr="00343FBE">
        <w:rPr>
          <w:rFonts w:ascii="Century Gothic" w:hAnsi="Century Gothic" w:cs="Arial"/>
          <w:bCs/>
          <w:sz w:val="28"/>
          <w:szCs w:val="28"/>
          <w:lang w:eastAsia="en-US"/>
        </w:rPr>
        <w:t xml:space="preserve">responsable </w:t>
      </w:r>
      <w:r w:rsidRPr="00343FBE">
        <w:rPr>
          <w:rFonts w:ascii="Century Gothic" w:hAnsi="Century Gothic" w:cs="Arial"/>
          <w:bCs/>
          <w:sz w:val="28"/>
          <w:szCs w:val="28"/>
          <w:lang w:eastAsia="en-US"/>
        </w:rPr>
        <w:t xml:space="preserve">no refiere que el </w:t>
      </w:r>
      <w:proofErr w:type="spellStart"/>
      <w:r w:rsidRPr="00343FBE">
        <w:rPr>
          <w:rFonts w:ascii="Century Gothic" w:hAnsi="Century Gothic" w:cs="Arial"/>
          <w:bCs/>
          <w:sz w:val="28"/>
          <w:szCs w:val="28"/>
          <w:lang w:eastAsia="en-US"/>
        </w:rPr>
        <w:t>enjuiciante</w:t>
      </w:r>
      <w:proofErr w:type="spellEnd"/>
      <w:r w:rsidRPr="00343FBE">
        <w:rPr>
          <w:rFonts w:ascii="Century Gothic" w:hAnsi="Century Gothic" w:cs="Arial"/>
          <w:bCs/>
          <w:sz w:val="28"/>
          <w:szCs w:val="28"/>
          <w:lang w:eastAsia="en-US"/>
        </w:rPr>
        <w:t xml:space="preserve"> no aparezca en sus registros, o bien, que se encuentre afiliado a otro partido político</w:t>
      </w:r>
      <w:r w:rsidR="00881F32" w:rsidRPr="00343FBE">
        <w:rPr>
          <w:rFonts w:ascii="Century Gothic" w:hAnsi="Century Gothic" w:cs="Arial"/>
          <w:bCs/>
          <w:sz w:val="28"/>
          <w:szCs w:val="28"/>
          <w:lang w:eastAsia="en-US"/>
        </w:rPr>
        <w:t xml:space="preserve">, para efecto de demostrar que no es militante del </w:t>
      </w:r>
      <w:r w:rsidR="00A8764A" w:rsidRPr="00343FBE">
        <w:rPr>
          <w:rFonts w:ascii="Century Gothic" w:hAnsi="Century Gothic" w:cs="Arial"/>
          <w:bCs/>
          <w:sz w:val="28"/>
          <w:szCs w:val="28"/>
          <w:lang w:eastAsia="en-US"/>
        </w:rPr>
        <w:t>PT</w:t>
      </w:r>
      <w:r w:rsidR="00881F32" w:rsidRPr="00343FBE">
        <w:rPr>
          <w:rFonts w:ascii="Century Gothic" w:hAnsi="Century Gothic" w:cs="Arial"/>
          <w:bCs/>
          <w:sz w:val="28"/>
          <w:szCs w:val="28"/>
          <w:lang w:eastAsia="en-US"/>
        </w:rPr>
        <w:t>.</w:t>
      </w:r>
    </w:p>
    <w:p w:rsidR="004226DF" w:rsidRPr="00343FBE" w:rsidRDefault="004226DF" w:rsidP="004226DF">
      <w:pPr>
        <w:spacing w:line="360" w:lineRule="auto"/>
        <w:jc w:val="both"/>
        <w:rPr>
          <w:rFonts w:ascii="Century Gothic" w:hAnsi="Century Gothic" w:cs="Arial"/>
          <w:bCs/>
          <w:sz w:val="28"/>
          <w:szCs w:val="28"/>
          <w:lang w:eastAsia="en-US"/>
        </w:rPr>
      </w:pPr>
    </w:p>
    <w:p w:rsidR="004226DF" w:rsidRPr="00343FBE" w:rsidRDefault="004226DF" w:rsidP="004226DF">
      <w:pPr>
        <w:spacing w:line="360" w:lineRule="auto"/>
        <w:jc w:val="both"/>
        <w:rPr>
          <w:rFonts w:ascii="Century Gothic" w:hAnsi="Century Gothic" w:cs="Arial"/>
          <w:bCs/>
          <w:sz w:val="28"/>
          <w:szCs w:val="28"/>
          <w:lang w:eastAsia="en-US"/>
        </w:rPr>
      </w:pPr>
      <w:proofErr w:type="spellStart"/>
      <w:r w:rsidRPr="00343FBE">
        <w:rPr>
          <w:rFonts w:ascii="Century Gothic" w:hAnsi="Century Gothic" w:cs="Arial"/>
          <w:b/>
          <w:bCs/>
          <w:sz w:val="28"/>
          <w:szCs w:val="28"/>
          <w:lang w:eastAsia="en-US"/>
        </w:rPr>
        <w:t>Definitividad</w:t>
      </w:r>
      <w:proofErr w:type="spellEnd"/>
      <w:r w:rsidRPr="00343FBE">
        <w:rPr>
          <w:rFonts w:ascii="Century Gothic" w:hAnsi="Century Gothic" w:cs="Arial"/>
          <w:bCs/>
          <w:sz w:val="28"/>
          <w:szCs w:val="28"/>
          <w:lang w:eastAsia="en-US"/>
        </w:rPr>
        <w:t>. Se satisface el requisito de mérito, porque no existe algún medio de impugnación por el cual resulte posible combatir la resolución que se reclama ante esta instancia</w:t>
      </w:r>
      <w:r w:rsidR="003E410F" w:rsidRPr="00343FBE">
        <w:rPr>
          <w:rFonts w:ascii="Century Gothic" w:hAnsi="Century Gothic" w:cs="Arial"/>
          <w:bCs/>
          <w:sz w:val="28"/>
          <w:szCs w:val="28"/>
          <w:lang w:eastAsia="en-US"/>
        </w:rPr>
        <w:t>, por lo que hace al juicio ciudadano SUP-JDC-369/2017</w:t>
      </w:r>
      <w:r w:rsidRPr="00343FBE">
        <w:rPr>
          <w:rFonts w:ascii="Century Gothic" w:hAnsi="Century Gothic" w:cs="Arial"/>
          <w:bCs/>
          <w:sz w:val="28"/>
          <w:szCs w:val="28"/>
          <w:lang w:eastAsia="en-US"/>
        </w:rPr>
        <w:t>.</w:t>
      </w:r>
    </w:p>
    <w:p w:rsidR="003E410F" w:rsidRPr="00343FBE" w:rsidRDefault="003E410F" w:rsidP="004226DF">
      <w:pPr>
        <w:spacing w:line="360" w:lineRule="auto"/>
        <w:jc w:val="both"/>
        <w:rPr>
          <w:rFonts w:ascii="Century Gothic" w:hAnsi="Century Gothic" w:cs="Arial"/>
          <w:bCs/>
          <w:sz w:val="28"/>
          <w:szCs w:val="28"/>
          <w:lang w:eastAsia="en-US"/>
        </w:rPr>
      </w:pPr>
    </w:p>
    <w:p w:rsidR="00C06635" w:rsidRPr="00343FBE" w:rsidRDefault="003E410F"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Mientras que, en los diversos SUP-JDC-399/2017</w:t>
      </w:r>
      <w:r w:rsidR="00584BD2" w:rsidRPr="00343FBE">
        <w:rPr>
          <w:rFonts w:ascii="Century Gothic" w:hAnsi="Century Gothic" w:cs="Arial"/>
          <w:bCs/>
          <w:sz w:val="28"/>
          <w:szCs w:val="28"/>
          <w:lang w:eastAsia="en-US"/>
        </w:rPr>
        <w:t xml:space="preserve">, </w:t>
      </w:r>
      <w:r w:rsidRPr="00343FBE">
        <w:rPr>
          <w:rFonts w:ascii="Century Gothic" w:hAnsi="Century Gothic" w:cs="Arial"/>
          <w:bCs/>
          <w:sz w:val="28"/>
          <w:szCs w:val="28"/>
          <w:lang w:eastAsia="en-US"/>
        </w:rPr>
        <w:t>SUP-JDC-445/2017</w:t>
      </w:r>
      <w:r w:rsidR="00584BD2" w:rsidRPr="00343FBE">
        <w:rPr>
          <w:rFonts w:ascii="Century Gothic" w:hAnsi="Century Gothic" w:cs="Arial"/>
          <w:bCs/>
          <w:sz w:val="28"/>
          <w:szCs w:val="28"/>
          <w:lang w:eastAsia="en-US"/>
        </w:rPr>
        <w:t xml:space="preserve"> y SUP-JDC-468/2017</w:t>
      </w:r>
      <w:r w:rsidRPr="00343FBE">
        <w:rPr>
          <w:rFonts w:ascii="Century Gothic" w:hAnsi="Century Gothic" w:cs="Arial"/>
          <w:bCs/>
          <w:sz w:val="28"/>
          <w:szCs w:val="28"/>
          <w:lang w:eastAsia="en-US"/>
        </w:rPr>
        <w:t xml:space="preserve">, se encuentra debidamente justificado el </w:t>
      </w:r>
      <w:r w:rsidRPr="00343FBE">
        <w:rPr>
          <w:rFonts w:ascii="Century Gothic" w:hAnsi="Century Gothic" w:cs="Arial"/>
          <w:bCs/>
          <w:i/>
          <w:sz w:val="28"/>
          <w:szCs w:val="28"/>
          <w:lang w:eastAsia="en-US"/>
        </w:rPr>
        <w:t xml:space="preserve">per </w:t>
      </w:r>
      <w:proofErr w:type="spellStart"/>
      <w:r w:rsidRPr="00343FBE">
        <w:rPr>
          <w:rFonts w:ascii="Century Gothic" w:hAnsi="Century Gothic" w:cs="Arial"/>
          <w:bCs/>
          <w:i/>
          <w:sz w:val="28"/>
          <w:szCs w:val="28"/>
          <w:lang w:eastAsia="en-US"/>
        </w:rPr>
        <w:t>saltum</w:t>
      </w:r>
      <w:proofErr w:type="spellEnd"/>
      <w:r w:rsidRPr="00343FBE">
        <w:rPr>
          <w:rFonts w:ascii="Century Gothic" w:hAnsi="Century Gothic" w:cs="Arial"/>
          <w:bCs/>
          <w:sz w:val="28"/>
          <w:szCs w:val="28"/>
          <w:lang w:eastAsia="en-US"/>
        </w:rPr>
        <w:t xml:space="preserve"> invocado por Florencio Torres Romero, en términos</w:t>
      </w:r>
      <w:r w:rsidR="009D2C4C" w:rsidRPr="00343FBE">
        <w:rPr>
          <w:rFonts w:ascii="Century Gothic" w:hAnsi="Century Gothic" w:cs="Arial"/>
          <w:bCs/>
          <w:sz w:val="28"/>
          <w:szCs w:val="28"/>
          <w:lang w:eastAsia="en-US"/>
        </w:rPr>
        <w:t xml:space="preserve"> </w:t>
      </w:r>
      <w:r w:rsidRPr="00343FBE">
        <w:rPr>
          <w:rFonts w:ascii="Century Gothic" w:hAnsi="Century Gothic" w:cs="Arial"/>
          <w:bCs/>
          <w:sz w:val="28"/>
          <w:szCs w:val="28"/>
          <w:lang w:eastAsia="en-US"/>
        </w:rPr>
        <w:t>de</w:t>
      </w:r>
      <w:r w:rsidR="009D2C4C" w:rsidRPr="00343FBE">
        <w:rPr>
          <w:rFonts w:ascii="Century Gothic" w:hAnsi="Century Gothic" w:cs="Arial"/>
          <w:bCs/>
          <w:sz w:val="28"/>
          <w:szCs w:val="28"/>
          <w:lang w:eastAsia="en-US"/>
        </w:rPr>
        <w:t xml:space="preserve"> lo expuesto anteriormente</w:t>
      </w:r>
      <w:r w:rsidR="00F91907" w:rsidRPr="00343FBE">
        <w:rPr>
          <w:rFonts w:ascii="Century Gothic" w:hAnsi="Century Gothic" w:cs="Arial"/>
          <w:bCs/>
          <w:sz w:val="28"/>
          <w:szCs w:val="28"/>
          <w:lang w:eastAsia="en-US"/>
        </w:rPr>
        <w:t xml:space="preserve">. </w:t>
      </w:r>
    </w:p>
    <w:p w:rsidR="00C06635" w:rsidRPr="00343FBE" w:rsidRDefault="00C06635" w:rsidP="004226DF">
      <w:pPr>
        <w:spacing w:line="360" w:lineRule="auto"/>
        <w:jc w:val="both"/>
        <w:rPr>
          <w:rFonts w:ascii="Century Gothic" w:hAnsi="Century Gothic" w:cs="Arial"/>
          <w:bCs/>
          <w:sz w:val="28"/>
          <w:szCs w:val="28"/>
          <w:lang w:eastAsia="en-US"/>
        </w:rPr>
      </w:pPr>
    </w:p>
    <w:p w:rsidR="001F2B48" w:rsidRPr="00343FBE" w:rsidRDefault="00B011FE" w:rsidP="001F2B48">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Interés jurídico</w:t>
      </w:r>
      <w:r w:rsidRPr="00343FBE">
        <w:rPr>
          <w:rFonts w:ascii="Century Gothic" w:hAnsi="Century Gothic" w:cs="Arial"/>
          <w:bCs/>
          <w:sz w:val="28"/>
          <w:szCs w:val="28"/>
          <w:lang w:eastAsia="en-US"/>
        </w:rPr>
        <w:t xml:space="preserve">. </w:t>
      </w:r>
      <w:r w:rsidR="00D1287D" w:rsidRPr="00343FBE">
        <w:rPr>
          <w:rFonts w:ascii="Century Gothic" w:hAnsi="Century Gothic" w:cs="Arial"/>
          <w:bCs/>
          <w:sz w:val="28"/>
          <w:szCs w:val="28"/>
          <w:lang w:eastAsia="en-US"/>
        </w:rPr>
        <w:t>Los</w:t>
      </w:r>
      <w:r w:rsidR="002334DF" w:rsidRPr="00343FBE">
        <w:rPr>
          <w:rFonts w:ascii="Century Gothic" w:hAnsi="Century Gothic" w:cs="Arial"/>
          <w:bCs/>
          <w:sz w:val="28"/>
          <w:szCs w:val="28"/>
          <w:lang w:eastAsia="en-US"/>
        </w:rPr>
        <w:t xml:space="preserve"> actor</w:t>
      </w:r>
      <w:r w:rsidR="00D1287D" w:rsidRPr="00343FBE">
        <w:rPr>
          <w:rFonts w:ascii="Century Gothic" w:hAnsi="Century Gothic" w:cs="Arial"/>
          <w:bCs/>
          <w:sz w:val="28"/>
          <w:szCs w:val="28"/>
          <w:lang w:eastAsia="en-US"/>
        </w:rPr>
        <w:t>es</w:t>
      </w:r>
      <w:r w:rsidR="002334DF" w:rsidRPr="00343FBE">
        <w:rPr>
          <w:rFonts w:ascii="Century Gothic" w:hAnsi="Century Gothic" w:cs="Arial"/>
          <w:bCs/>
          <w:sz w:val="28"/>
          <w:szCs w:val="28"/>
          <w:lang w:eastAsia="en-US"/>
        </w:rPr>
        <w:t xml:space="preserve"> tiene</w:t>
      </w:r>
      <w:r w:rsidR="00C047A3" w:rsidRPr="00343FBE">
        <w:rPr>
          <w:rFonts w:ascii="Century Gothic" w:hAnsi="Century Gothic" w:cs="Arial"/>
          <w:bCs/>
          <w:sz w:val="28"/>
          <w:szCs w:val="28"/>
          <w:lang w:eastAsia="en-US"/>
        </w:rPr>
        <w:t>n</w:t>
      </w:r>
      <w:r w:rsidR="002334DF" w:rsidRPr="00343FBE">
        <w:rPr>
          <w:rFonts w:ascii="Century Gothic" w:hAnsi="Century Gothic" w:cs="Arial"/>
          <w:bCs/>
          <w:sz w:val="28"/>
          <w:szCs w:val="28"/>
          <w:lang w:eastAsia="en-US"/>
        </w:rPr>
        <w:t xml:space="preserve"> interés jurídico para promover l</w:t>
      </w:r>
      <w:r w:rsidR="00C047A3" w:rsidRPr="00343FBE">
        <w:rPr>
          <w:rFonts w:ascii="Century Gothic" w:hAnsi="Century Gothic" w:cs="Arial"/>
          <w:bCs/>
          <w:sz w:val="28"/>
          <w:szCs w:val="28"/>
          <w:lang w:eastAsia="en-US"/>
        </w:rPr>
        <w:t>os</w:t>
      </w:r>
      <w:r w:rsidR="002334DF" w:rsidRPr="00343FBE">
        <w:rPr>
          <w:rFonts w:ascii="Century Gothic" w:hAnsi="Century Gothic" w:cs="Arial"/>
          <w:bCs/>
          <w:sz w:val="28"/>
          <w:szCs w:val="28"/>
          <w:lang w:eastAsia="en-US"/>
        </w:rPr>
        <w:t xml:space="preserve"> presente</w:t>
      </w:r>
      <w:r w:rsidR="00C047A3" w:rsidRPr="00343FBE">
        <w:rPr>
          <w:rFonts w:ascii="Century Gothic" w:hAnsi="Century Gothic" w:cs="Arial"/>
          <w:bCs/>
          <w:sz w:val="28"/>
          <w:szCs w:val="28"/>
          <w:lang w:eastAsia="en-US"/>
        </w:rPr>
        <w:t>s</w:t>
      </w:r>
      <w:r w:rsidR="002334DF" w:rsidRPr="00343FBE">
        <w:rPr>
          <w:rFonts w:ascii="Century Gothic" w:hAnsi="Century Gothic" w:cs="Arial"/>
          <w:bCs/>
          <w:sz w:val="28"/>
          <w:szCs w:val="28"/>
          <w:lang w:eastAsia="en-US"/>
        </w:rPr>
        <w:t xml:space="preserve"> juicio</w:t>
      </w:r>
      <w:r w:rsidR="00C047A3" w:rsidRPr="00343FBE">
        <w:rPr>
          <w:rFonts w:ascii="Century Gothic" w:hAnsi="Century Gothic" w:cs="Arial"/>
          <w:bCs/>
          <w:sz w:val="28"/>
          <w:szCs w:val="28"/>
          <w:lang w:eastAsia="en-US"/>
        </w:rPr>
        <w:t>s</w:t>
      </w:r>
      <w:r w:rsidR="002334DF" w:rsidRPr="00343FBE">
        <w:rPr>
          <w:rFonts w:ascii="Century Gothic" w:hAnsi="Century Gothic" w:cs="Arial"/>
          <w:bCs/>
          <w:sz w:val="28"/>
          <w:szCs w:val="28"/>
          <w:lang w:eastAsia="en-US"/>
        </w:rPr>
        <w:t>,</w:t>
      </w:r>
      <w:r w:rsidR="00C047A3" w:rsidRPr="00343FBE">
        <w:rPr>
          <w:rFonts w:ascii="Century Gothic" w:hAnsi="Century Gothic" w:cs="Arial"/>
          <w:bCs/>
          <w:sz w:val="28"/>
          <w:szCs w:val="28"/>
          <w:lang w:eastAsia="en-US"/>
        </w:rPr>
        <w:t xml:space="preserve"> ya que en el SUP-JDC-</w:t>
      </w:r>
      <w:r w:rsidR="005D2D73" w:rsidRPr="00343FBE">
        <w:rPr>
          <w:rFonts w:ascii="Century Gothic" w:hAnsi="Century Gothic" w:cs="Arial"/>
          <w:bCs/>
          <w:sz w:val="28"/>
          <w:szCs w:val="28"/>
          <w:lang w:eastAsia="en-US"/>
        </w:rPr>
        <w:t>3</w:t>
      </w:r>
      <w:r w:rsidR="00C047A3" w:rsidRPr="00343FBE">
        <w:rPr>
          <w:rFonts w:ascii="Century Gothic" w:hAnsi="Century Gothic" w:cs="Arial"/>
          <w:bCs/>
          <w:sz w:val="28"/>
          <w:szCs w:val="28"/>
          <w:lang w:eastAsia="en-US"/>
        </w:rPr>
        <w:t>69/2017,</w:t>
      </w:r>
      <w:r w:rsidR="002334DF" w:rsidRPr="00343FBE">
        <w:rPr>
          <w:rFonts w:ascii="Century Gothic" w:hAnsi="Century Gothic" w:cs="Arial"/>
          <w:bCs/>
          <w:sz w:val="28"/>
          <w:szCs w:val="28"/>
          <w:lang w:eastAsia="en-US"/>
        </w:rPr>
        <w:t xml:space="preserve"> </w:t>
      </w:r>
      <w:r w:rsidR="001F2B48" w:rsidRPr="00343FBE">
        <w:rPr>
          <w:rFonts w:ascii="Century Gothic" w:hAnsi="Century Gothic" w:cs="Arial"/>
          <w:bCs/>
          <w:sz w:val="28"/>
          <w:szCs w:val="28"/>
          <w:lang w:eastAsia="en-US"/>
        </w:rPr>
        <w:t>el actor reclama, fundamentalmente, la resolución a un medio de impugnación, así como su notificación, en el que tuvo la calidad de recurrente, por lo que al haber sido él quien lo interpuso, tiene interés jurídico para impugnarlas, porque estima que son ilegales.</w:t>
      </w:r>
    </w:p>
    <w:p w:rsidR="00B011FE" w:rsidRPr="00343FBE" w:rsidRDefault="00B011FE" w:rsidP="004226DF">
      <w:pPr>
        <w:spacing w:line="360" w:lineRule="auto"/>
        <w:jc w:val="both"/>
        <w:rPr>
          <w:rFonts w:ascii="Century Gothic" w:hAnsi="Century Gothic" w:cs="Arial"/>
          <w:bCs/>
          <w:sz w:val="28"/>
          <w:szCs w:val="28"/>
          <w:lang w:eastAsia="en-US"/>
        </w:rPr>
      </w:pPr>
    </w:p>
    <w:p w:rsidR="001F2B48" w:rsidRPr="00343FBE" w:rsidRDefault="001F2B48"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A su vez, en l</w:t>
      </w:r>
      <w:r w:rsidR="00786B85" w:rsidRPr="00343FBE">
        <w:rPr>
          <w:rFonts w:ascii="Century Gothic" w:hAnsi="Century Gothic" w:cs="Arial"/>
          <w:bCs/>
          <w:sz w:val="28"/>
          <w:szCs w:val="28"/>
          <w:lang w:eastAsia="en-US"/>
        </w:rPr>
        <w:t>os</w:t>
      </w:r>
      <w:r w:rsidRPr="00343FBE">
        <w:rPr>
          <w:rFonts w:ascii="Century Gothic" w:hAnsi="Century Gothic" w:cs="Arial"/>
          <w:bCs/>
          <w:sz w:val="28"/>
          <w:szCs w:val="28"/>
          <w:lang w:eastAsia="en-US"/>
        </w:rPr>
        <w:t xml:space="preserve"> juicio</w:t>
      </w:r>
      <w:r w:rsidR="00786B85" w:rsidRPr="00343FBE">
        <w:rPr>
          <w:rFonts w:ascii="Century Gothic" w:hAnsi="Century Gothic" w:cs="Arial"/>
          <w:bCs/>
          <w:sz w:val="28"/>
          <w:szCs w:val="28"/>
          <w:lang w:eastAsia="en-US"/>
        </w:rPr>
        <w:t>s</w:t>
      </w:r>
      <w:r w:rsidRPr="00343FBE">
        <w:rPr>
          <w:rFonts w:ascii="Century Gothic" w:hAnsi="Century Gothic" w:cs="Arial"/>
          <w:bCs/>
          <w:sz w:val="28"/>
          <w:szCs w:val="28"/>
          <w:lang w:eastAsia="en-US"/>
        </w:rPr>
        <w:t xml:space="preserve"> SUP-JDC-399/2017</w:t>
      </w:r>
      <w:r w:rsidR="00786B85" w:rsidRPr="00343FBE">
        <w:rPr>
          <w:rFonts w:ascii="Century Gothic" w:hAnsi="Century Gothic" w:cs="Arial"/>
          <w:bCs/>
          <w:sz w:val="28"/>
          <w:szCs w:val="28"/>
          <w:lang w:eastAsia="en-US"/>
        </w:rPr>
        <w:t xml:space="preserve"> y SUP-JDC-468/2017</w:t>
      </w:r>
      <w:r w:rsidRPr="00343FBE">
        <w:rPr>
          <w:rFonts w:ascii="Century Gothic" w:hAnsi="Century Gothic" w:cs="Arial"/>
          <w:bCs/>
          <w:sz w:val="28"/>
          <w:szCs w:val="28"/>
          <w:lang w:eastAsia="en-US"/>
        </w:rPr>
        <w:t>, reclama diversas omisiones que alega violan sus derechos político electorales, en tanto que, pretende participar como candidato a un cargo de dirección nacional, y tales omisiones le impiden hacerlo, razón por la cual cuenta con interés jurídico para impugnarlas.</w:t>
      </w:r>
    </w:p>
    <w:p w:rsidR="004265B8" w:rsidRPr="00343FBE" w:rsidRDefault="004265B8" w:rsidP="004226DF">
      <w:pPr>
        <w:spacing w:line="360" w:lineRule="auto"/>
        <w:jc w:val="both"/>
        <w:rPr>
          <w:rFonts w:ascii="Century Gothic" w:hAnsi="Century Gothic" w:cs="Arial"/>
          <w:bCs/>
          <w:sz w:val="28"/>
          <w:szCs w:val="28"/>
          <w:lang w:eastAsia="en-US"/>
        </w:rPr>
      </w:pPr>
    </w:p>
    <w:p w:rsidR="004265B8" w:rsidRPr="00343FBE" w:rsidRDefault="004265B8"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Además de que, contrariamente a lo que aduce la Comisión Coordinadora Nacional</w:t>
      </w:r>
      <w:r w:rsidR="00F9697A" w:rsidRPr="00343FBE">
        <w:rPr>
          <w:rFonts w:ascii="Century Gothic" w:hAnsi="Century Gothic" w:cs="Arial"/>
          <w:bCs/>
          <w:sz w:val="28"/>
          <w:szCs w:val="28"/>
          <w:lang w:eastAsia="en-US"/>
        </w:rPr>
        <w:t xml:space="preserve"> del </w:t>
      </w:r>
      <w:r w:rsidR="00A8764A" w:rsidRPr="00343FBE">
        <w:rPr>
          <w:rFonts w:ascii="Century Gothic" w:hAnsi="Century Gothic" w:cs="Arial"/>
          <w:bCs/>
          <w:sz w:val="28"/>
          <w:szCs w:val="28"/>
          <w:lang w:eastAsia="en-US"/>
        </w:rPr>
        <w:t>PT</w:t>
      </w:r>
      <w:r w:rsidRPr="00343FBE">
        <w:rPr>
          <w:rFonts w:ascii="Century Gothic" w:hAnsi="Century Gothic" w:cs="Arial"/>
          <w:bCs/>
          <w:sz w:val="28"/>
          <w:szCs w:val="28"/>
          <w:lang w:eastAsia="en-US"/>
        </w:rPr>
        <w:t xml:space="preserve">, Florencio Torres Romero tiene interés jurídico para controvertir la falta de normas o reglas de paridad en la normativa partidaria para que </w:t>
      </w:r>
      <w:r w:rsidR="00F9697A" w:rsidRPr="00343FBE">
        <w:rPr>
          <w:rFonts w:ascii="Century Gothic" w:hAnsi="Century Gothic" w:cs="Arial"/>
          <w:bCs/>
          <w:sz w:val="28"/>
          <w:szCs w:val="28"/>
          <w:lang w:eastAsia="en-US"/>
        </w:rPr>
        <w:t>las mujeres puedan participar en los órganos de dirección.</w:t>
      </w:r>
    </w:p>
    <w:p w:rsidR="00256E5B" w:rsidRPr="00343FBE" w:rsidRDefault="00256E5B" w:rsidP="004226DF">
      <w:pPr>
        <w:spacing w:line="360" w:lineRule="auto"/>
        <w:jc w:val="both"/>
        <w:rPr>
          <w:rFonts w:ascii="Century Gothic" w:hAnsi="Century Gothic" w:cs="Arial"/>
          <w:bCs/>
          <w:sz w:val="28"/>
          <w:szCs w:val="28"/>
          <w:lang w:eastAsia="en-US"/>
        </w:rPr>
      </w:pPr>
    </w:p>
    <w:p w:rsidR="00195C17" w:rsidRPr="00343FBE" w:rsidRDefault="00195C17"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Asimismo, en oposición a lo sostenido por la citada Comisión y, por la </w:t>
      </w:r>
      <w:r w:rsidR="002C141A" w:rsidRPr="00343FBE">
        <w:rPr>
          <w:rFonts w:ascii="Century Gothic" w:hAnsi="Century Gothic" w:cs="Arial"/>
          <w:bCs/>
          <w:sz w:val="28"/>
          <w:szCs w:val="28"/>
          <w:lang w:eastAsia="en-US"/>
        </w:rPr>
        <w:t xml:space="preserve">Comisión Nacional de Elecciones y Procedimientos Internos del </w:t>
      </w:r>
      <w:r w:rsidR="00A8764A" w:rsidRPr="00343FBE">
        <w:rPr>
          <w:rFonts w:ascii="Century Gothic" w:hAnsi="Century Gothic" w:cs="Arial"/>
          <w:bCs/>
          <w:sz w:val="28"/>
          <w:szCs w:val="28"/>
          <w:lang w:eastAsia="en-US"/>
        </w:rPr>
        <w:t>PT</w:t>
      </w:r>
      <w:r w:rsidR="002C141A" w:rsidRPr="00343FBE">
        <w:rPr>
          <w:rFonts w:ascii="Century Gothic" w:hAnsi="Century Gothic" w:cs="Arial"/>
          <w:bCs/>
          <w:sz w:val="28"/>
          <w:szCs w:val="28"/>
          <w:lang w:eastAsia="en-US"/>
        </w:rPr>
        <w:t xml:space="preserve">, Florencio Torres Romero cuenta con interés jurídico para cuestionar </w:t>
      </w:r>
      <w:r w:rsidR="000F6D23" w:rsidRPr="00343FBE">
        <w:rPr>
          <w:rFonts w:ascii="Century Gothic" w:hAnsi="Century Gothic" w:cs="Arial"/>
          <w:bCs/>
          <w:sz w:val="28"/>
          <w:szCs w:val="28"/>
          <w:lang w:eastAsia="en-US"/>
        </w:rPr>
        <w:t xml:space="preserve">actos que sucedieron con antelación a su afiliación al </w:t>
      </w:r>
      <w:r w:rsidR="00A8764A" w:rsidRPr="00343FBE">
        <w:rPr>
          <w:rFonts w:ascii="Century Gothic" w:hAnsi="Century Gothic" w:cs="Arial"/>
          <w:bCs/>
          <w:sz w:val="28"/>
          <w:szCs w:val="28"/>
          <w:lang w:eastAsia="en-US"/>
        </w:rPr>
        <w:t>PT</w:t>
      </w:r>
      <w:r w:rsidR="00094E2C" w:rsidRPr="00343FBE">
        <w:rPr>
          <w:rFonts w:ascii="Century Gothic" w:hAnsi="Century Gothic" w:cs="Arial"/>
          <w:bCs/>
          <w:sz w:val="28"/>
          <w:szCs w:val="28"/>
          <w:lang w:eastAsia="en-US"/>
        </w:rPr>
        <w:t xml:space="preserve"> (dieciocho de mayo de dos mil diecisiete).</w:t>
      </w:r>
    </w:p>
    <w:p w:rsidR="00195C17" w:rsidRPr="00343FBE" w:rsidRDefault="00195C17" w:rsidP="004226DF">
      <w:pPr>
        <w:spacing w:line="360" w:lineRule="auto"/>
        <w:jc w:val="both"/>
        <w:rPr>
          <w:rFonts w:ascii="Century Gothic" w:hAnsi="Century Gothic" w:cs="Arial"/>
          <w:bCs/>
          <w:sz w:val="28"/>
          <w:szCs w:val="28"/>
          <w:lang w:eastAsia="en-US"/>
        </w:rPr>
      </w:pPr>
    </w:p>
    <w:p w:rsidR="00F9697A" w:rsidRPr="00343FBE" w:rsidRDefault="00F9697A"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Lo anterior, pues se trata de un militante </w:t>
      </w:r>
      <w:r w:rsidR="00AF7CB2" w:rsidRPr="00343FBE">
        <w:rPr>
          <w:rFonts w:ascii="Century Gothic" w:hAnsi="Century Gothic" w:cs="Arial"/>
          <w:bCs/>
          <w:sz w:val="28"/>
          <w:szCs w:val="28"/>
          <w:lang w:eastAsia="en-US"/>
        </w:rPr>
        <w:t xml:space="preserve">que, en términos del artículo 15, </w:t>
      </w:r>
      <w:r w:rsidR="00BC4D5E" w:rsidRPr="00343FBE">
        <w:rPr>
          <w:rFonts w:ascii="Century Gothic" w:hAnsi="Century Gothic" w:cs="Arial"/>
          <w:bCs/>
          <w:sz w:val="28"/>
          <w:szCs w:val="28"/>
          <w:lang w:eastAsia="en-US"/>
        </w:rPr>
        <w:t xml:space="preserve">incisos a), </w:t>
      </w:r>
      <w:r w:rsidR="00AF7CB2" w:rsidRPr="00343FBE">
        <w:rPr>
          <w:rFonts w:ascii="Century Gothic" w:hAnsi="Century Gothic" w:cs="Arial"/>
          <w:bCs/>
          <w:sz w:val="28"/>
          <w:szCs w:val="28"/>
          <w:lang w:eastAsia="en-US"/>
        </w:rPr>
        <w:t xml:space="preserve">de los Estatutos del </w:t>
      </w:r>
      <w:r w:rsidR="00A8764A" w:rsidRPr="00343FBE">
        <w:rPr>
          <w:rFonts w:ascii="Century Gothic" w:hAnsi="Century Gothic" w:cs="Arial"/>
          <w:bCs/>
          <w:sz w:val="28"/>
          <w:szCs w:val="28"/>
          <w:lang w:eastAsia="en-US"/>
        </w:rPr>
        <w:t>PT</w:t>
      </w:r>
      <w:r w:rsidR="00AF7CB2" w:rsidRPr="00343FBE">
        <w:rPr>
          <w:rFonts w:ascii="Century Gothic" w:hAnsi="Century Gothic" w:cs="Arial"/>
          <w:bCs/>
          <w:sz w:val="28"/>
          <w:szCs w:val="28"/>
          <w:lang w:eastAsia="en-US"/>
        </w:rPr>
        <w:t xml:space="preserve"> tiene entre otros derechos </w:t>
      </w:r>
      <w:r w:rsidR="00BC4D5E" w:rsidRPr="00343FBE">
        <w:rPr>
          <w:rFonts w:ascii="Century Gothic" w:hAnsi="Century Gothic" w:cs="Arial"/>
          <w:bCs/>
          <w:sz w:val="28"/>
          <w:szCs w:val="28"/>
          <w:lang w:eastAsia="en-US"/>
        </w:rPr>
        <w:t>el de postularse dentro de los procesos de selección de dirigentes</w:t>
      </w:r>
      <w:r w:rsidR="00C83F6C" w:rsidRPr="00343FBE">
        <w:rPr>
          <w:rFonts w:ascii="Century Gothic" w:hAnsi="Century Gothic" w:cs="Arial"/>
          <w:bCs/>
          <w:sz w:val="28"/>
          <w:szCs w:val="28"/>
          <w:lang w:eastAsia="en-US"/>
        </w:rPr>
        <w:t>,</w:t>
      </w:r>
      <w:r w:rsidR="00BC4D5E" w:rsidRPr="00343FBE">
        <w:rPr>
          <w:rFonts w:ascii="Century Gothic" w:hAnsi="Century Gothic" w:cs="Arial"/>
          <w:bCs/>
          <w:sz w:val="28"/>
          <w:szCs w:val="28"/>
          <w:lang w:eastAsia="en-US"/>
        </w:rPr>
        <w:t xml:space="preserve"> así como votar y ser votados y, </w:t>
      </w:r>
      <w:r w:rsidR="00C83F6C" w:rsidRPr="00343FBE">
        <w:rPr>
          <w:rFonts w:ascii="Century Gothic" w:hAnsi="Century Gothic" w:cs="Arial"/>
          <w:bCs/>
          <w:sz w:val="28"/>
          <w:szCs w:val="28"/>
          <w:lang w:eastAsia="en-US"/>
        </w:rPr>
        <w:t>exigir el cumplimiento de los documentos básicos del partido.</w:t>
      </w:r>
    </w:p>
    <w:p w:rsidR="003F354F" w:rsidRPr="00343FBE" w:rsidRDefault="003F354F" w:rsidP="004226DF">
      <w:pPr>
        <w:spacing w:line="360" w:lineRule="auto"/>
        <w:jc w:val="both"/>
        <w:rPr>
          <w:rFonts w:ascii="Century Gothic" w:hAnsi="Century Gothic" w:cs="Arial"/>
          <w:bCs/>
          <w:sz w:val="28"/>
          <w:szCs w:val="28"/>
          <w:lang w:eastAsia="en-US"/>
        </w:rPr>
      </w:pPr>
    </w:p>
    <w:p w:rsidR="00C83F6C" w:rsidRPr="00343FBE" w:rsidRDefault="00C83F6C"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Esto es, </w:t>
      </w:r>
      <w:r w:rsidR="003E7604" w:rsidRPr="00343FBE">
        <w:rPr>
          <w:rFonts w:ascii="Century Gothic" w:hAnsi="Century Gothic" w:cs="Arial"/>
          <w:bCs/>
          <w:sz w:val="28"/>
          <w:szCs w:val="28"/>
          <w:lang w:eastAsia="en-US"/>
        </w:rPr>
        <w:t xml:space="preserve">el actor, </w:t>
      </w:r>
      <w:r w:rsidRPr="00343FBE">
        <w:rPr>
          <w:rFonts w:ascii="Century Gothic" w:hAnsi="Century Gothic" w:cs="Arial"/>
          <w:bCs/>
          <w:sz w:val="28"/>
          <w:szCs w:val="28"/>
          <w:lang w:eastAsia="en-US"/>
        </w:rPr>
        <w:t xml:space="preserve">en su calidad de militante </w:t>
      </w:r>
      <w:r w:rsidR="00D00AEA" w:rsidRPr="00343FBE">
        <w:rPr>
          <w:rFonts w:ascii="Century Gothic" w:hAnsi="Century Gothic" w:cs="Arial"/>
          <w:bCs/>
          <w:sz w:val="28"/>
          <w:szCs w:val="28"/>
          <w:lang w:eastAsia="en-US"/>
        </w:rPr>
        <w:t xml:space="preserve">se encuentra en aptitud de hacer valer que los actos y resoluciones de los órganos partidistas derivados de un procedimiento de selección interna, se ajusten a los principios de constitucionalidad y legalidad en materia electoral, entre los cuales se encuentra el de paridad de género, </w:t>
      </w:r>
      <w:r w:rsidR="003E7604" w:rsidRPr="00343FBE">
        <w:rPr>
          <w:rFonts w:ascii="Century Gothic" w:hAnsi="Century Gothic" w:cs="Arial"/>
          <w:bCs/>
          <w:sz w:val="28"/>
          <w:szCs w:val="28"/>
          <w:lang w:eastAsia="en-US"/>
        </w:rPr>
        <w:t xml:space="preserve">sin que se advierta alguna disposición que le impida hacer valer la </w:t>
      </w:r>
      <w:r w:rsidR="00690CB3" w:rsidRPr="00343FBE">
        <w:rPr>
          <w:rFonts w:ascii="Century Gothic" w:hAnsi="Century Gothic" w:cs="Arial"/>
          <w:bCs/>
          <w:sz w:val="28"/>
          <w:szCs w:val="28"/>
          <w:lang w:eastAsia="en-US"/>
        </w:rPr>
        <w:t xml:space="preserve">presunta </w:t>
      </w:r>
      <w:r w:rsidR="003E7604" w:rsidRPr="00343FBE">
        <w:rPr>
          <w:rFonts w:ascii="Century Gothic" w:hAnsi="Century Gothic" w:cs="Arial"/>
          <w:bCs/>
          <w:sz w:val="28"/>
          <w:szCs w:val="28"/>
          <w:lang w:eastAsia="en-US"/>
        </w:rPr>
        <w:t>exclusión de las mujeres en la integración de los órganos de dirección partidistas</w:t>
      </w:r>
      <w:r w:rsidR="00094E2C" w:rsidRPr="00343FBE">
        <w:rPr>
          <w:rFonts w:ascii="Century Gothic" w:hAnsi="Century Gothic" w:cs="Arial"/>
          <w:bCs/>
          <w:sz w:val="28"/>
          <w:szCs w:val="28"/>
          <w:lang w:eastAsia="en-US"/>
        </w:rPr>
        <w:t xml:space="preserve">, así como </w:t>
      </w:r>
      <w:r w:rsidR="00B84776" w:rsidRPr="00343FBE">
        <w:rPr>
          <w:rFonts w:ascii="Century Gothic" w:hAnsi="Century Gothic" w:cs="Arial"/>
          <w:bCs/>
          <w:sz w:val="28"/>
          <w:szCs w:val="28"/>
          <w:lang w:eastAsia="en-US"/>
        </w:rPr>
        <w:t>que requiera de alguna temporalidad como militante para cuestionar actos previos a su afiliación</w:t>
      </w:r>
      <w:r w:rsidR="00011C2F" w:rsidRPr="00343FBE">
        <w:rPr>
          <w:rFonts w:ascii="Century Gothic" w:hAnsi="Century Gothic" w:cs="Arial"/>
          <w:bCs/>
          <w:sz w:val="28"/>
          <w:szCs w:val="28"/>
          <w:lang w:eastAsia="en-US"/>
        </w:rPr>
        <w:t xml:space="preserve">, máxime que se encuentran relacionados con un proceso de renovación de órganos </w:t>
      </w:r>
      <w:r w:rsidR="00011C2F" w:rsidRPr="00343FBE">
        <w:rPr>
          <w:rFonts w:ascii="Century Gothic" w:hAnsi="Century Gothic" w:cs="Arial"/>
          <w:bCs/>
          <w:sz w:val="28"/>
          <w:szCs w:val="28"/>
          <w:lang w:eastAsia="en-US"/>
        </w:rPr>
        <w:lastRenderedPageBreak/>
        <w:t xml:space="preserve">de dirección partidista a nivel nacional </w:t>
      </w:r>
      <w:r w:rsidR="008436D8" w:rsidRPr="00343FBE">
        <w:rPr>
          <w:rFonts w:ascii="Century Gothic" w:hAnsi="Century Gothic" w:cs="Arial"/>
          <w:bCs/>
          <w:sz w:val="28"/>
          <w:szCs w:val="28"/>
          <w:lang w:eastAsia="en-US"/>
        </w:rPr>
        <w:t xml:space="preserve">y, </w:t>
      </w:r>
      <w:r w:rsidR="00011C2F" w:rsidRPr="00343FBE">
        <w:rPr>
          <w:rFonts w:ascii="Century Gothic" w:hAnsi="Century Gothic" w:cs="Arial"/>
          <w:bCs/>
          <w:sz w:val="28"/>
          <w:szCs w:val="28"/>
          <w:lang w:eastAsia="en-US"/>
        </w:rPr>
        <w:t xml:space="preserve">en el cual </w:t>
      </w:r>
      <w:r w:rsidR="008436D8" w:rsidRPr="00343FBE">
        <w:rPr>
          <w:rFonts w:ascii="Century Gothic" w:hAnsi="Century Gothic" w:cs="Arial"/>
          <w:bCs/>
          <w:sz w:val="28"/>
          <w:szCs w:val="28"/>
          <w:lang w:eastAsia="en-US"/>
        </w:rPr>
        <w:t xml:space="preserve">aspira a </w:t>
      </w:r>
      <w:r w:rsidR="00011C2F" w:rsidRPr="00343FBE">
        <w:rPr>
          <w:rFonts w:ascii="Century Gothic" w:hAnsi="Century Gothic" w:cs="Arial"/>
          <w:bCs/>
          <w:sz w:val="28"/>
          <w:szCs w:val="28"/>
          <w:lang w:eastAsia="en-US"/>
        </w:rPr>
        <w:t>participar</w:t>
      </w:r>
      <w:r w:rsidR="003E7604" w:rsidRPr="00343FBE">
        <w:rPr>
          <w:rFonts w:ascii="Century Gothic" w:hAnsi="Century Gothic" w:cs="Arial"/>
          <w:bCs/>
          <w:sz w:val="28"/>
          <w:szCs w:val="28"/>
          <w:lang w:eastAsia="en-US"/>
        </w:rPr>
        <w:t>.</w:t>
      </w:r>
    </w:p>
    <w:p w:rsidR="00AF7CB2" w:rsidRPr="00343FBE" w:rsidRDefault="00AF7CB2" w:rsidP="004226DF">
      <w:pPr>
        <w:spacing w:line="360" w:lineRule="auto"/>
        <w:jc w:val="both"/>
        <w:rPr>
          <w:rFonts w:ascii="Century Gothic" w:hAnsi="Century Gothic" w:cs="Arial"/>
          <w:bCs/>
          <w:sz w:val="28"/>
          <w:szCs w:val="28"/>
          <w:lang w:eastAsia="en-US"/>
        </w:rPr>
      </w:pPr>
    </w:p>
    <w:p w:rsidR="00256E5B" w:rsidRPr="00343FBE" w:rsidRDefault="00256E5B" w:rsidP="004226D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Mientras que, en el diverso SUP-JDC-445/2017, Florencio Torres Romero controvierte la Convocatoria al 10° Congreso Nacional Or</w:t>
      </w:r>
      <w:r w:rsidR="00653D5F" w:rsidRPr="00343FBE">
        <w:rPr>
          <w:rFonts w:ascii="Century Gothic" w:hAnsi="Century Gothic" w:cs="Arial"/>
          <w:bCs/>
          <w:sz w:val="28"/>
          <w:szCs w:val="28"/>
          <w:lang w:eastAsia="en-US"/>
        </w:rPr>
        <w:t xml:space="preserve">dinario del </w:t>
      </w:r>
      <w:r w:rsidR="00A8764A" w:rsidRPr="00343FBE">
        <w:rPr>
          <w:rFonts w:ascii="Century Gothic" w:hAnsi="Century Gothic" w:cs="Arial"/>
          <w:bCs/>
          <w:sz w:val="28"/>
          <w:szCs w:val="28"/>
          <w:lang w:eastAsia="en-US"/>
        </w:rPr>
        <w:t>PT</w:t>
      </w:r>
      <w:r w:rsidR="00653D5F" w:rsidRPr="00343FBE">
        <w:rPr>
          <w:rFonts w:ascii="Century Gothic" w:hAnsi="Century Gothic" w:cs="Arial"/>
          <w:bCs/>
          <w:sz w:val="28"/>
          <w:szCs w:val="28"/>
          <w:lang w:eastAsia="en-US"/>
        </w:rPr>
        <w:t xml:space="preserve">, sobre la base de que resulta ilegal </w:t>
      </w:r>
      <w:r w:rsidR="00781E2E" w:rsidRPr="00343FBE">
        <w:rPr>
          <w:rFonts w:ascii="Century Gothic" w:hAnsi="Century Gothic" w:cs="Arial"/>
          <w:bCs/>
          <w:sz w:val="28"/>
          <w:szCs w:val="28"/>
          <w:lang w:eastAsia="en-US"/>
        </w:rPr>
        <w:t>y le impide el ejercicio de sus derechos de votar y ser votado en el proceso de renovación de los órganos directivos partidistas a nivel nacional.</w:t>
      </w:r>
    </w:p>
    <w:p w:rsidR="003F354F" w:rsidRPr="00343FBE" w:rsidRDefault="003F354F" w:rsidP="004226DF">
      <w:pPr>
        <w:spacing w:line="360" w:lineRule="auto"/>
        <w:jc w:val="both"/>
        <w:rPr>
          <w:rFonts w:ascii="Century Gothic" w:hAnsi="Century Gothic" w:cs="Arial"/>
          <w:bCs/>
          <w:sz w:val="28"/>
          <w:szCs w:val="28"/>
          <w:lang w:eastAsia="en-US"/>
        </w:rPr>
      </w:pPr>
    </w:p>
    <w:p w:rsidR="0010005A" w:rsidRPr="00343FBE" w:rsidRDefault="00A04074" w:rsidP="0010005A">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SÉPTIMO</w:t>
      </w:r>
      <w:r w:rsidR="00941CB0" w:rsidRPr="00343FBE">
        <w:rPr>
          <w:rFonts w:ascii="Century Gothic" w:hAnsi="Century Gothic" w:cs="Arial"/>
          <w:b/>
          <w:bCs/>
          <w:sz w:val="28"/>
          <w:szCs w:val="28"/>
          <w:lang w:eastAsia="en-US"/>
        </w:rPr>
        <w:t xml:space="preserve">. </w:t>
      </w:r>
      <w:r w:rsidR="00F31519" w:rsidRPr="00343FBE">
        <w:rPr>
          <w:rFonts w:ascii="Century Gothic" w:hAnsi="Century Gothic" w:cs="Arial"/>
          <w:b/>
          <w:bCs/>
          <w:sz w:val="28"/>
          <w:szCs w:val="28"/>
          <w:lang w:eastAsia="en-US"/>
        </w:rPr>
        <w:t>P</w:t>
      </w:r>
      <w:r w:rsidR="00055DFA" w:rsidRPr="00343FBE">
        <w:rPr>
          <w:rFonts w:ascii="Century Gothic" w:hAnsi="Century Gothic" w:cs="Arial"/>
          <w:b/>
          <w:bCs/>
          <w:sz w:val="28"/>
          <w:szCs w:val="28"/>
          <w:lang w:eastAsia="en-US"/>
        </w:rPr>
        <w:t>recisión de los actos y omisi</w:t>
      </w:r>
      <w:r w:rsidR="00941CB0" w:rsidRPr="00343FBE">
        <w:rPr>
          <w:rFonts w:ascii="Century Gothic" w:hAnsi="Century Gothic" w:cs="Arial"/>
          <w:b/>
          <w:bCs/>
          <w:sz w:val="28"/>
          <w:szCs w:val="28"/>
          <w:lang w:eastAsia="en-US"/>
        </w:rPr>
        <w:t>ones</w:t>
      </w:r>
      <w:r w:rsidR="00055DFA" w:rsidRPr="00343FBE">
        <w:rPr>
          <w:rFonts w:ascii="Century Gothic" w:hAnsi="Century Gothic" w:cs="Arial"/>
          <w:b/>
          <w:bCs/>
          <w:sz w:val="28"/>
          <w:szCs w:val="28"/>
          <w:lang w:eastAsia="en-US"/>
        </w:rPr>
        <w:t xml:space="preserve"> que se impugnan</w:t>
      </w:r>
      <w:r w:rsidR="0010005A" w:rsidRPr="00343FBE">
        <w:rPr>
          <w:rFonts w:ascii="Century Gothic" w:hAnsi="Century Gothic" w:cs="Arial"/>
          <w:bCs/>
          <w:sz w:val="28"/>
          <w:szCs w:val="28"/>
          <w:lang w:eastAsia="en-US"/>
        </w:rPr>
        <w:t xml:space="preserve">. </w:t>
      </w:r>
      <w:r w:rsidR="00941CB0" w:rsidRPr="00343FBE">
        <w:rPr>
          <w:rFonts w:ascii="Century Gothic" w:hAnsi="Century Gothic" w:cs="Arial"/>
          <w:bCs/>
          <w:sz w:val="28"/>
          <w:szCs w:val="28"/>
          <w:lang w:eastAsia="en-US"/>
        </w:rPr>
        <w:t xml:space="preserve">En el juicio </w:t>
      </w:r>
      <w:r w:rsidR="00941CB0" w:rsidRPr="00343FBE">
        <w:rPr>
          <w:rFonts w:ascii="Century Gothic" w:hAnsi="Century Gothic" w:cs="Arial"/>
          <w:b/>
          <w:bCs/>
          <w:sz w:val="28"/>
          <w:szCs w:val="28"/>
          <w:lang w:eastAsia="en-US"/>
        </w:rPr>
        <w:t>SUP-JDC-369/2017</w:t>
      </w:r>
      <w:r w:rsidR="00941CB0" w:rsidRPr="00343FBE">
        <w:rPr>
          <w:rFonts w:ascii="Century Gothic" w:hAnsi="Century Gothic" w:cs="Arial"/>
          <w:bCs/>
          <w:sz w:val="28"/>
          <w:szCs w:val="28"/>
          <w:lang w:eastAsia="en-US"/>
        </w:rPr>
        <w:t xml:space="preserve">, el </w:t>
      </w:r>
      <w:r w:rsidR="0010005A" w:rsidRPr="00343FBE">
        <w:rPr>
          <w:rFonts w:ascii="Century Gothic" w:hAnsi="Century Gothic" w:cs="Arial"/>
          <w:bCs/>
          <w:sz w:val="28"/>
          <w:szCs w:val="28"/>
          <w:lang w:eastAsia="en-US"/>
        </w:rPr>
        <w:t>actor impugna:</w:t>
      </w:r>
      <w:r w:rsidR="003A3788" w:rsidRPr="00343FBE">
        <w:rPr>
          <w:rFonts w:ascii="Century Gothic" w:hAnsi="Century Gothic" w:cs="Arial"/>
          <w:bCs/>
          <w:sz w:val="28"/>
          <w:szCs w:val="28"/>
          <w:lang w:eastAsia="en-US"/>
        </w:rPr>
        <w:t xml:space="preserve"> </w:t>
      </w:r>
    </w:p>
    <w:p w:rsidR="0010005A" w:rsidRPr="00343FBE" w:rsidRDefault="0010005A" w:rsidP="0010005A">
      <w:pPr>
        <w:spacing w:line="360" w:lineRule="auto"/>
        <w:jc w:val="both"/>
        <w:rPr>
          <w:rFonts w:ascii="Century Gothic" w:hAnsi="Century Gothic" w:cs="Arial"/>
          <w:bCs/>
          <w:sz w:val="28"/>
          <w:szCs w:val="28"/>
          <w:lang w:eastAsia="en-US"/>
        </w:rPr>
      </w:pPr>
    </w:p>
    <w:p w:rsidR="0010005A" w:rsidRPr="00343FBE" w:rsidRDefault="0010005A" w:rsidP="0010005A">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a) La resolución del recurso de queja </w:t>
      </w:r>
      <w:proofErr w:type="spellStart"/>
      <w:r w:rsidRPr="00343FBE">
        <w:rPr>
          <w:rFonts w:ascii="Century Gothic" w:hAnsi="Century Gothic" w:cs="Arial"/>
          <w:bCs/>
          <w:sz w:val="28"/>
          <w:szCs w:val="28"/>
          <w:lang w:eastAsia="en-US"/>
        </w:rPr>
        <w:t>intrapartidista</w:t>
      </w:r>
      <w:proofErr w:type="spellEnd"/>
      <w:r w:rsidRPr="00343FBE">
        <w:rPr>
          <w:rFonts w:ascii="Century Gothic" w:hAnsi="Century Gothic" w:cs="Arial"/>
          <w:bCs/>
          <w:sz w:val="28"/>
          <w:szCs w:val="28"/>
          <w:lang w:eastAsia="en-US"/>
        </w:rPr>
        <w:t xml:space="preserve"> identificado con la clave CNCGJYC/01/NAL/17, emitida por la Comisión el veintiocho de abril pasado. </w:t>
      </w:r>
    </w:p>
    <w:p w:rsidR="0010005A" w:rsidRPr="00343FBE" w:rsidRDefault="0010005A" w:rsidP="0010005A">
      <w:pPr>
        <w:spacing w:line="360" w:lineRule="auto"/>
        <w:jc w:val="both"/>
        <w:rPr>
          <w:rFonts w:ascii="Century Gothic" w:hAnsi="Century Gothic" w:cs="Arial"/>
          <w:bCs/>
          <w:sz w:val="28"/>
          <w:szCs w:val="28"/>
          <w:lang w:eastAsia="en-US"/>
        </w:rPr>
      </w:pPr>
    </w:p>
    <w:p w:rsidR="0010005A" w:rsidRPr="00343FBE" w:rsidRDefault="0010005A" w:rsidP="0010005A">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b) La notificación de dicha resolución que le hizo el órgano partidista. </w:t>
      </w:r>
    </w:p>
    <w:p w:rsidR="007C4397" w:rsidRPr="00343FBE" w:rsidRDefault="007C4397" w:rsidP="0010005A">
      <w:pPr>
        <w:spacing w:line="360" w:lineRule="auto"/>
        <w:jc w:val="both"/>
        <w:rPr>
          <w:rFonts w:ascii="Century Gothic" w:hAnsi="Century Gothic" w:cs="Arial"/>
          <w:bCs/>
          <w:sz w:val="28"/>
          <w:szCs w:val="28"/>
          <w:lang w:eastAsia="en-US"/>
        </w:rPr>
      </w:pPr>
    </w:p>
    <w:p w:rsidR="007C4397" w:rsidRPr="00343FBE" w:rsidRDefault="007C4397" w:rsidP="007C4397">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La notificación impugnada es del tres de mayo pasado; el actor aduce que es ilegal y expone los motivos con base en los cuales solicita se declare nula; afirma que se enteró de la resolución partidista el doce de mayo de dos mil diecisiete, cuando se le notificó la resolución del juicio ciudadano SUP-JDC-272/2017, por lo que promovió el </w:t>
      </w:r>
      <w:r w:rsidRPr="00343FBE">
        <w:rPr>
          <w:rFonts w:ascii="Century Gothic" w:hAnsi="Century Gothic" w:cs="Arial"/>
          <w:bCs/>
          <w:sz w:val="28"/>
          <w:szCs w:val="28"/>
          <w:lang w:eastAsia="en-US"/>
        </w:rPr>
        <w:lastRenderedPageBreak/>
        <w:t xml:space="preserve">presente medio de impugnación hasta el doce de dicho mes. </w:t>
      </w:r>
    </w:p>
    <w:p w:rsidR="0010005A" w:rsidRPr="00343FBE" w:rsidRDefault="0010005A" w:rsidP="0010005A">
      <w:pPr>
        <w:spacing w:line="360" w:lineRule="auto"/>
        <w:jc w:val="both"/>
        <w:rPr>
          <w:rFonts w:ascii="Century Gothic" w:hAnsi="Century Gothic" w:cs="Arial"/>
          <w:bCs/>
          <w:sz w:val="28"/>
          <w:szCs w:val="28"/>
          <w:lang w:eastAsia="en-US"/>
        </w:rPr>
      </w:pPr>
    </w:p>
    <w:p w:rsidR="0010005A" w:rsidRPr="00343FBE" w:rsidRDefault="0010005A" w:rsidP="0010005A">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c) La omisión de la Comisión Coordinadora Nacional del PT, de expedir la convocatoria “</w:t>
      </w:r>
      <w:r w:rsidRPr="00343FBE">
        <w:rPr>
          <w:rFonts w:ascii="Century Gothic" w:hAnsi="Century Gothic" w:cs="Arial"/>
          <w:bCs/>
          <w:i/>
          <w:sz w:val="28"/>
          <w:szCs w:val="28"/>
          <w:lang w:eastAsia="en-US"/>
        </w:rPr>
        <w:t xml:space="preserve">para las sesiones de la Comisión Ejecutiva Nacional del </w:t>
      </w:r>
      <w:r w:rsidR="00A8764A" w:rsidRPr="00343FBE">
        <w:rPr>
          <w:rFonts w:ascii="Century Gothic" w:hAnsi="Century Gothic" w:cs="Arial"/>
          <w:bCs/>
          <w:i/>
          <w:sz w:val="28"/>
          <w:szCs w:val="28"/>
          <w:lang w:eastAsia="en-US"/>
        </w:rPr>
        <w:t>PT</w:t>
      </w:r>
      <w:r w:rsidRPr="00343FBE">
        <w:rPr>
          <w:rFonts w:ascii="Century Gothic" w:hAnsi="Century Gothic" w:cs="Arial"/>
          <w:bCs/>
          <w:i/>
          <w:sz w:val="28"/>
          <w:szCs w:val="28"/>
          <w:lang w:eastAsia="en-US"/>
        </w:rPr>
        <w:t xml:space="preserve"> en fechas 14 de diciembre de 2016 y 22 de febrero de 2017, así como los acuerdos respectivos e inexistencia de los mismos</w:t>
      </w:r>
      <w:r w:rsidRPr="00343FBE">
        <w:rPr>
          <w:rFonts w:ascii="Century Gothic" w:hAnsi="Century Gothic" w:cs="Arial"/>
          <w:bCs/>
          <w:sz w:val="28"/>
          <w:szCs w:val="28"/>
          <w:lang w:eastAsia="en-US"/>
        </w:rPr>
        <w:t>”.</w:t>
      </w:r>
    </w:p>
    <w:p w:rsidR="0010005A" w:rsidRPr="00343FBE" w:rsidRDefault="0010005A" w:rsidP="0010005A">
      <w:pPr>
        <w:spacing w:line="360" w:lineRule="auto"/>
        <w:jc w:val="both"/>
        <w:rPr>
          <w:rFonts w:ascii="Century Gothic" w:hAnsi="Century Gothic" w:cs="Arial"/>
          <w:bCs/>
          <w:sz w:val="28"/>
          <w:szCs w:val="28"/>
          <w:lang w:eastAsia="en-US"/>
        </w:rPr>
      </w:pPr>
    </w:p>
    <w:p w:rsidR="00941CB0" w:rsidRPr="00343FBE" w:rsidRDefault="00941CB0" w:rsidP="0010005A">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En el juicio </w:t>
      </w:r>
      <w:r w:rsidRPr="00343FBE">
        <w:rPr>
          <w:rFonts w:ascii="Century Gothic" w:hAnsi="Century Gothic" w:cs="Arial"/>
          <w:b/>
          <w:bCs/>
          <w:sz w:val="28"/>
          <w:szCs w:val="28"/>
          <w:lang w:eastAsia="en-US"/>
        </w:rPr>
        <w:t>SUP-JDC-399/2017</w:t>
      </w:r>
      <w:r w:rsidRPr="00343FBE">
        <w:rPr>
          <w:rFonts w:ascii="Century Gothic" w:hAnsi="Century Gothic" w:cs="Arial"/>
          <w:bCs/>
          <w:sz w:val="28"/>
          <w:szCs w:val="28"/>
          <w:lang w:eastAsia="en-US"/>
        </w:rPr>
        <w:t xml:space="preserve">, </w:t>
      </w:r>
      <w:r w:rsidR="0053103D" w:rsidRPr="00343FBE">
        <w:rPr>
          <w:rFonts w:ascii="Century Gothic" w:hAnsi="Century Gothic" w:cs="Arial"/>
          <w:bCs/>
          <w:sz w:val="28"/>
          <w:szCs w:val="28"/>
          <w:lang w:eastAsia="en-US"/>
        </w:rPr>
        <w:t xml:space="preserve">el actor </w:t>
      </w:r>
      <w:r w:rsidR="000D2665" w:rsidRPr="00343FBE">
        <w:rPr>
          <w:rFonts w:ascii="Century Gothic" w:hAnsi="Century Gothic" w:cs="Arial"/>
          <w:bCs/>
          <w:sz w:val="28"/>
          <w:szCs w:val="28"/>
          <w:lang w:eastAsia="en-US"/>
        </w:rPr>
        <w:t>reclama la omisión:</w:t>
      </w:r>
    </w:p>
    <w:p w:rsidR="000D2665" w:rsidRPr="00343FBE" w:rsidRDefault="000D2665" w:rsidP="0010005A">
      <w:pPr>
        <w:spacing w:line="360" w:lineRule="auto"/>
        <w:jc w:val="both"/>
        <w:rPr>
          <w:rFonts w:ascii="Century Gothic" w:hAnsi="Century Gothic" w:cs="Arial"/>
          <w:bCs/>
          <w:sz w:val="28"/>
          <w:szCs w:val="28"/>
          <w:lang w:eastAsia="en-US"/>
        </w:rPr>
      </w:pPr>
    </w:p>
    <w:p w:rsidR="000D2665" w:rsidRPr="00343FBE" w:rsidRDefault="009040B0" w:rsidP="0010005A">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a) </w:t>
      </w:r>
      <w:r w:rsidR="000D2665" w:rsidRPr="00343FBE">
        <w:rPr>
          <w:rFonts w:ascii="Century Gothic" w:hAnsi="Century Gothic" w:cs="Arial"/>
          <w:bCs/>
          <w:sz w:val="28"/>
          <w:szCs w:val="28"/>
          <w:lang w:eastAsia="en-US"/>
        </w:rPr>
        <w:t>De la Comisión Coordinadora Nacional, de expedir la convocatoria para las sesiones de la Comisión Ejecutiva Nacional del PT, del catorce de diciembre de dos mil dieciséis y veintidós de febrero de dos mil diecisiete.</w:t>
      </w:r>
    </w:p>
    <w:p w:rsidR="000D2665" w:rsidRPr="00343FBE" w:rsidRDefault="000D2665" w:rsidP="0010005A">
      <w:pPr>
        <w:spacing w:line="360" w:lineRule="auto"/>
        <w:jc w:val="both"/>
        <w:rPr>
          <w:rFonts w:ascii="Century Gothic" w:hAnsi="Century Gothic" w:cs="Arial"/>
          <w:bCs/>
          <w:sz w:val="28"/>
          <w:szCs w:val="28"/>
          <w:lang w:eastAsia="en-US"/>
        </w:rPr>
      </w:pPr>
    </w:p>
    <w:p w:rsidR="000D2665" w:rsidRPr="00343FBE" w:rsidRDefault="009040B0" w:rsidP="0010005A">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b) </w:t>
      </w:r>
      <w:r w:rsidR="000D2665" w:rsidRPr="00343FBE">
        <w:rPr>
          <w:rFonts w:ascii="Century Gothic" w:hAnsi="Century Gothic" w:cs="Arial"/>
          <w:bCs/>
          <w:sz w:val="28"/>
          <w:szCs w:val="28"/>
          <w:lang w:eastAsia="en-US"/>
        </w:rPr>
        <w:t>De aprobar y publicar</w:t>
      </w:r>
      <w:r w:rsidRPr="00343FBE">
        <w:rPr>
          <w:rFonts w:ascii="Century Gothic" w:hAnsi="Century Gothic" w:cs="Arial"/>
          <w:bCs/>
          <w:sz w:val="28"/>
          <w:szCs w:val="28"/>
          <w:lang w:eastAsia="en-US"/>
        </w:rPr>
        <w:t xml:space="preserve"> las listas de asistencia y </w:t>
      </w:r>
      <w:r w:rsidR="000D2665" w:rsidRPr="00343FBE">
        <w:rPr>
          <w:rFonts w:ascii="Century Gothic" w:hAnsi="Century Gothic" w:cs="Arial"/>
          <w:bCs/>
          <w:sz w:val="28"/>
          <w:szCs w:val="28"/>
          <w:lang w:eastAsia="en-US"/>
        </w:rPr>
        <w:t>los acuerdos de las sesiones de la Comisión Ejecutiva Nacional, celebradas en esas fechas.</w:t>
      </w:r>
    </w:p>
    <w:p w:rsidR="009040B0" w:rsidRPr="00343FBE" w:rsidRDefault="009040B0" w:rsidP="0010005A">
      <w:pPr>
        <w:spacing w:line="360" w:lineRule="auto"/>
        <w:jc w:val="both"/>
        <w:rPr>
          <w:rFonts w:ascii="Century Gothic" w:hAnsi="Century Gothic" w:cs="Arial"/>
          <w:bCs/>
          <w:sz w:val="28"/>
          <w:szCs w:val="28"/>
          <w:lang w:eastAsia="en-US"/>
        </w:rPr>
      </w:pPr>
    </w:p>
    <w:p w:rsidR="00801DBF" w:rsidRPr="00343FBE" w:rsidRDefault="00801DBF" w:rsidP="0010005A">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Ambas omisiones están relacionadas con la celebración del Congreso Nacional en que se elegirán a los órganos directivos del PT.</w:t>
      </w:r>
    </w:p>
    <w:p w:rsidR="00801DBF" w:rsidRPr="00343FBE" w:rsidRDefault="00801DBF" w:rsidP="0010005A">
      <w:pPr>
        <w:spacing w:line="360" w:lineRule="auto"/>
        <w:jc w:val="both"/>
        <w:rPr>
          <w:rFonts w:ascii="Century Gothic" w:hAnsi="Century Gothic" w:cs="Arial"/>
          <w:bCs/>
          <w:sz w:val="28"/>
          <w:szCs w:val="28"/>
          <w:lang w:eastAsia="en-US"/>
        </w:rPr>
      </w:pPr>
    </w:p>
    <w:p w:rsidR="00A04074" w:rsidRPr="00343FBE" w:rsidRDefault="00A04074" w:rsidP="0010005A">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Respecto del diverso juicio ciudadano</w:t>
      </w:r>
      <w:r w:rsidR="00B8515F" w:rsidRPr="00343FBE">
        <w:rPr>
          <w:rFonts w:ascii="Century Gothic" w:hAnsi="Century Gothic" w:cs="Arial"/>
          <w:bCs/>
          <w:sz w:val="28"/>
          <w:szCs w:val="28"/>
          <w:lang w:eastAsia="en-US"/>
        </w:rPr>
        <w:t xml:space="preserve"> </w:t>
      </w:r>
      <w:r w:rsidR="00B8515F" w:rsidRPr="00343FBE">
        <w:rPr>
          <w:rFonts w:ascii="Century Gothic" w:hAnsi="Century Gothic" w:cs="Arial"/>
          <w:b/>
          <w:bCs/>
          <w:sz w:val="28"/>
          <w:szCs w:val="28"/>
          <w:lang w:eastAsia="en-US"/>
        </w:rPr>
        <w:t>SUP-JDC-445/2017</w:t>
      </w:r>
      <w:r w:rsidR="00B8515F" w:rsidRPr="00343FBE">
        <w:rPr>
          <w:rFonts w:ascii="Century Gothic" w:hAnsi="Century Gothic" w:cs="Arial"/>
          <w:bCs/>
          <w:sz w:val="28"/>
          <w:szCs w:val="28"/>
          <w:lang w:eastAsia="en-US"/>
        </w:rPr>
        <w:t xml:space="preserve">, Florencio Torres Romero controvierte: </w:t>
      </w:r>
    </w:p>
    <w:p w:rsidR="00B8515F" w:rsidRPr="00343FBE" w:rsidRDefault="00B8515F" w:rsidP="0010005A">
      <w:pPr>
        <w:spacing w:line="360" w:lineRule="auto"/>
        <w:jc w:val="both"/>
        <w:rPr>
          <w:rFonts w:ascii="Century Gothic" w:hAnsi="Century Gothic" w:cs="Arial"/>
          <w:bCs/>
          <w:sz w:val="28"/>
          <w:szCs w:val="28"/>
          <w:lang w:eastAsia="en-US"/>
        </w:rPr>
      </w:pPr>
    </w:p>
    <w:p w:rsidR="008C6BCA" w:rsidRPr="00343FBE" w:rsidRDefault="00B8515F" w:rsidP="0044466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lastRenderedPageBreak/>
        <w:t xml:space="preserve">La Convocatoria al 10° Congreso Nacional </w:t>
      </w:r>
      <w:r w:rsidR="008A74B9" w:rsidRPr="00343FBE">
        <w:rPr>
          <w:rFonts w:ascii="Century Gothic" w:hAnsi="Century Gothic" w:cs="Arial"/>
          <w:bCs/>
          <w:sz w:val="28"/>
          <w:szCs w:val="28"/>
          <w:lang w:eastAsia="en-US"/>
        </w:rPr>
        <w:t xml:space="preserve">Ordinario </w:t>
      </w:r>
      <w:r w:rsidRPr="00343FBE">
        <w:rPr>
          <w:rFonts w:ascii="Century Gothic" w:hAnsi="Century Gothic" w:cs="Arial"/>
          <w:bCs/>
          <w:sz w:val="28"/>
          <w:szCs w:val="28"/>
          <w:lang w:eastAsia="en-US"/>
        </w:rPr>
        <w:t xml:space="preserve">del </w:t>
      </w:r>
      <w:r w:rsidR="00A8764A" w:rsidRPr="00343FBE">
        <w:rPr>
          <w:rFonts w:ascii="Century Gothic" w:hAnsi="Century Gothic" w:cs="Arial"/>
          <w:bCs/>
          <w:sz w:val="28"/>
          <w:szCs w:val="28"/>
          <w:lang w:eastAsia="en-US"/>
        </w:rPr>
        <w:t>PT</w:t>
      </w:r>
      <w:r w:rsidRPr="00343FBE">
        <w:rPr>
          <w:rFonts w:ascii="Century Gothic" w:hAnsi="Century Gothic" w:cs="Arial"/>
          <w:bCs/>
          <w:sz w:val="28"/>
          <w:szCs w:val="28"/>
          <w:lang w:eastAsia="en-US"/>
        </w:rPr>
        <w:t>.</w:t>
      </w:r>
    </w:p>
    <w:p w:rsidR="00824ED8" w:rsidRPr="00343FBE" w:rsidRDefault="00824ED8" w:rsidP="00824ED8">
      <w:pPr>
        <w:pStyle w:val="Prrafodelista"/>
        <w:spacing w:line="360" w:lineRule="auto"/>
        <w:ind w:left="750"/>
        <w:jc w:val="both"/>
        <w:rPr>
          <w:rFonts w:ascii="Century Gothic" w:hAnsi="Century Gothic" w:cs="Arial"/>
          <w:bCs/>
          <w:sz w:val="28"/>
          <w:szCs w:val="28"/>
          <w:lang w:eastAsia="en-US"/>
        </w:rPr>
      </w:pPr>
    </w:p>
    <w:p w:rsidR="00F86734" w:rsidRPr="00343FBE" w:rsidRDefault="00F86734" w:rsidP="0010005A">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En el juicio </w:t>
      </w:r>
      <w:r w:rsidRPr="00343FBE">
        <w:rPr>
          <w:rFonts w:ascii="Century Gothic" w:hAnsi="Century Gothic" w:cs="Arial"/>
          <w:b/>
          <w:bCs/>
          <w:sz w:val="28"/>
          <w:szCs w:val="28"/>
          <w:lang w:eastAsia="en-US"/>
        </w:rPr>
        <w:t>SUP-JDC-468/2017</w:t>
      </w:r>
      <w:r w:rsidRPr="00343FBE">
        <w:rPr>
          <w:rFonts w:ascii="Century Gothic" w:hAnsi="Century Gothic" w:cs="Arial"/>
          <w:bCs/>
          <w:sz w:val="28"/>
          <w:szCs w:val="28"/>
          <w:lang w:eastAsia="en-US"/>
        </w:rPr>
        <w:t>, el actor reclama la omisión de la Comisión Nacional de Elecciones y Procedimientos Internos del PT, de emitir la convocatoria para renovar a los órganos de dirección nacional del partido, en el Congreso que se realizará el veinticuatro de junio de dos mil diecisiete.</w:t>
      </w:r>
    </w:p>
    <w:p w:rsidR="00F86734" w:rsidRPr="00343FBE" w:rsidRDefault="00F86734" w:rsidP="0010005A">
      <w:pPr>
        <w:spacing w:line="360" w:lineRule="auto"/>
        <w:jc w:val="both"/>
        <w:rPr>
          <w:rFonts w:ascii="Century Gothic" w:hAnsi="Century Gothic" w:cs="Arial"/>
          <w:bCs/>
          <w:sz w:val="28"/>
          <w:szCs w:val="28"/>
          <w:lang w:eastAsia="en-US"/>
        </w:rPr>
      </w:pPr>
    </w:p>
    <w:p w:rsidR="0010005A" w:rsidRPr="00343FBE" w:rsidRDefault="0010005A" w:rsidP="0010005A">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Planteada así la controversia, en principio se analizará lo concerniente a la notificación reclamada</w:t>
      </w:r>
      <w:r w:rsidR="00B63146" w:rsidRPr="00343FBE">
        <w:rPr>
          <w:rFonts w:ascii="Century Gothic" w:hAnsi="Century Gothic" w:cs="Arial"/>
          <w:bCs/>
          <w:sz w:val="28"/>
          <w:szCs w:val="28"/>
          <w:lang w:eastAsia="en-US"/>
        </w:rPr>
        <w:t xml:space="preserve"> en el SUP-JDC-369/2017</w:t>
      </w:r>
      <w:r w:rsidRPr="00343FBE">
        <w:rPr>
          <w:rFonts w:ascii="Century Gothic" w:hAnsi="Century Gothic" w:cs="Arial"/>
          <w:bCs/>
          <w:sz w:val="28"/>
          <w:szCs w:val="28"/>
          <w:lang w:eastAsia="en-US"/>
        </w:rPr>
        <w:t>, posteriormente se determinará lo concerniente a la resolución partidista y omisi</w:t>
      </w:r>
      <w:r w:rsidR="00B63146" w:rsidRPr="00343FBE">
        <w:rPr>
          <w:rFonts w:ascii="Century Gothic" w:hAnsi="Century Gothic" w:cs="Arial"/>
          <w:bCs/>
          <w:sz w:val="28"/>
          <w:szCs w:val="28"/>
          <w:lang w:eastAsia="en-US"/>
        </w:rPr>
        <w:t>ones</w:t>
      </w:r>
      <w:r w:rsidRPr="00343FBE">
        <w:rPr>
          <w:rFonts w:ascii="Century Gothic" w:hAnsi="Century Gothic" w:cs="Arial"/>
          <w:bCs/>
          <w:sz w:val="28"/>
          <w:szCs w:val="28"/>
          <w:lang w:eastAsia="en-US"/>
        </w:rPr>
        <w:t xml:space="preserve"> que se impugnan</w:t>
      </w:r>
      <w:r w:rsidR="00597A16" w:rsidRPr="00343FBE">
        <w:rPr>
          <w:rFonts w:ascii="Century Gothic" w:hAnsi="Century Gothic" w:cs="Arial"/>
          <w:bCs/>
          <w:sz w:val="28"/>
          <w:szCs w:val="28"/>
          <w:lang w:eastAsia="en-US"/>
        </w:rPr>
        <w:t xml:space="preserve">. A continuación, </w:t>
      </w:r>
      <w:r w:rsidR="007F21F5" w:rsidRPr="00343FBE">
        <w:rPr>
          <w:rFonts w:ascii="Century Gothic" w:hAnsi="Century Gothic" w:cs="Arial"/>
          <w:bCs/>
          <w:sz w:val="28"/>
          <w:szCs w:val="28"/>
          <w:lang w:eastAsia="en-US"/>
        </w:rPr>
        <w:t xml:space="preserve">se abordará lo relativo a la Convocatoria del 10° Congreso Nacional </w:t>
      </w:r>
      <w:r w:rsidR="008A74B9" w:rsidRPr="00343FBE">
        <w:rPr>
          <w:rFonts w:ascii="Century Gothic" w:hAnsi="Century Gothic" w:cs="Arial"/>
          <w:bCs/>
          <w:sz w:val="28"/>
          <w:szCs w:val="28"/>
          <w:lang w:eastAsia="en-US"/>
        </w:rPr>
        <w:t xml:space="preserve">Ordinario del </w:t>
      </w:r>
      <w:r w:rsidR="00A8764A" w:rsidRPr="00343FBE">
        <w:rPr>
          <w:rFonts w:ascii="Century Gothic" w:hAnsi="Century Gothic" w:cs="Arial"/>
          <w:bCs/>
          <w:sz w:val="28"/>
          <w:szCs w:val="28"/>
          <w:lang w:eastAsia="en-US"/>
        </w:rPr>
        <w:t>PT</w:t>
      </w:r>
      <w:r w:rsidR="00375029" w:rsidRPr="00343FBE">
        <w:rPr>
          <w:rFonts w:ascii="Century Gothic" w:hAnsi="Century Gothic" w:cs="Arial"/>
          <w:bCs/>
          <w:sz w:val="28"/>
          <w:szCs w:val="28"/>
          <w:lang w:eastAsia="en-US"/>
        </w:rPr>
        <w:t xml:space="preserve">, y a la supuesta omisión de emitir la convocatoria para renovar en dicho Congreso, órganos nacionales de dirección; </w:t>
      </w:r>
      <w:r w:rsidR="00597A16" w:rsidRPr="00343FBE">
        <w:rPr>
          <w:rFonts w:ascii="Century Gothic" w:hAnsi="Century Gothic" w:cs="Arial"/>
          <w:bCs/>
          <w:sz w:val="28"/>
          <w:szCs w:val="28"/>
          <w:lang w:eastAsia="en-US"/>
        </w:rPr>
        <w:t>y, por último, lo atinente a la presunta exclusión del principio de paridad de género en la normativa estatutaria.</w:t>
      </w:r>
      <w:r w:rsidR="008A74B9" w:rsidRPr="00343FBE">
        <w:rPr>
          <w:rFonts w:ascii="Century Gothic" w:hAnsi="Century Gothic" w:cs="Arial"/>
          <w:bCs/>
          <w:sz w:val="28"/>
          <w:szCs w:val="28"/>
          <w:lang w:eastAsia="en-US"/>
        </w:rPr>
        <w:t xml:space="preserve"> </w:t>
      </w:r>
    </w:p>
    <w:p w:rsidR="008A74B9" w:rsidRPr="00343FBE" w:rsidRDefault="008A74B9" w:rsidP="0010005A">
      <w:pPr>
        <w:spacing w:line="360" w:lineRule="auto"/>
        <w:jc w:val="both"/>
        <w:rPr>
          <w:rFonts w:ascii="Century Gothic" w:hAnsi="Century Gothic" w:cs="Arial"/>
          <w:bCs/>
          <w:sz w:val="28"/>
          <w:szCs w:val="28"/>
          <w:lang w:eastAsia="en-US"/>
        </w:rPr>
      </w:pPr>
    </w:p>
    <w:p w:rsidR="00897DFE" w:rsidRPr="00343FBE" w:rsidRDefault="00B12072" w:rsidP="0010005A">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En cuanto a la oportunidad para impugnar dicha notificación, cabe efectuar las siguientes consideraciones jurídicas. </w:t>
      </w:r>
    </w:p>
    <w:p w:rsidR="00897DFE" w:rsidRPr="00343FBE" w:rsidRDefault="00897DFE" w:rsidP="00897DFE">
      <w:pPr>
        <w:spacing w:line="360" w:lineRule="auto"/>
        <w:jc w:val="both"/>
        <w:rPr>
          <w:rFonts w:ascii="Century Gothic" w:hAnsi="Century Gothic" w:cs="Arial"/>
          <w:bCs/>
          <w:sz w:val="28"/>
          <w:szCs w:val="28"/>
          <w:lang w:eastAsia="en-US"/>
        </w:rPr>
      </w:pPr>
    </w:p>
    <w:p w:rsidR="00897DFE" w:rsidRPr="00343FBE" w:rsidRDefault="00897DFE" w:rsidP="00897DFE">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Lo que se cuestiona en el presente asunto, no se relaciona con algún proceso electoral, por lo que</w:t>
      </w:r>
      <w:r w:rsidR="008A74B9" w:rsidRPr="00343FBE">
        <w:rPr>
          <w:rFonts w:ascii="Century Gothic" w:hAnsi="Century Gothic" w:cs="Arial"/>
          <w:bCs/>
          <w:sz w:val="28"/>
          <w:szCs w:val="28"/>
          <w:lang w:eastAsia="en-US"/>
        </w:rPr>
        <w:t>,</w:t>
      </w:r>
      <w:r w:rsidRPr="00343FBE">
        <w:rPr>
          <w:rFonts w:ascii="Century Gothic" w:hAnsi="Century Gothic" w:cs="Arial"/>
          <w:bCs/>
          <w:sz w:val="28"/>
          <w:szCs w:val="28"/>
          <w:lang w:eastAsia="en-US"/>
        </w:rPr>
        <w:t xml:space="preserve"> para el cómputo del plazo, sólo deben tomarse en cuenta los días hábiles, </w:t>
      </w:r>
      <w:r w:rsidRPr="00343FBE">
        <w:rPr>
          <w:rFonts w:ascii="Century Gothic" w:hAnsi="Century Gothic" w:cs="Arial"/>
          <w:bCs/>
          <w:sz w:val="28"/>
          <w:szCs w:val="28"/>
          <w:lang w:eastAsia="en-US"/>
        </w:rPr>
        <w:lastRenderedPageBreak/>
        <w:t>descontando sábados, domingos e inhábiles en términos de la normativa aplicable, de conformidad con el artículo 7, párrafo 2, de la Ley General del Sistema de Medios de Impugnación en Materia Electoral.</w:t>
      </w:r>
    </w:p>
    <w:p w:rsidR="00897DFE" w:rsidRPr="00343FBE" w:rsidRDefault="00897DFE" w:rsidP="00897DFE">
      <w:pPr>
        <w:spacing w:line="360" w:lineRule="auto"/>
        <w:jc w:val="both"/>
        <w:rPr>
          <w:rFonts w:ascii="Century Gothic" w:hAnsi="Century Gothic" w:cs="Arial"/>
          <w:bCs/>
          <w:sz w:val="28"/>
          <w:szCs w:val="28"/>
          <w:lang w:eastAsia="en-US"/>
        </w:rPr>
      </w:pPr>
    </w:p>
    <w:p w:rsidR="00897DFE" w:rsidRPr="00343FBE" w:rsidRDefault="00897DFE" w:rsidP="00897DFE">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El actor afirma que se enteró de la notificación reclamada el doce de mayo de dos mil diecisiete; por tanto, el plazo para impugnarla corrió del quince al dieciocho de ese mes, sin contar los días catorce y quince, por haber correspondido a sábado y domingo, respectivamente.</w:t>
      </w:r>
    </w:p>
    <w:p w:rsidR="00897DFE" w:rsidRPr="00343FBE" w:rsidRDefault="00897DFE" w:rsidP="00897DFE">
      <w:pPr>
        <w:spacing w:line="360" w:lineRule="auto"/>
        <w:jc w:val="both"/>
        <w:rPr>
          <w:rFonts w:ascii="Century Gothic" w:hAnsi="Century Gothic" w:cs="Arial"/>
          <w:bCs/>
          <w:sz w:val="28"/>
          <w:szCs w:val="28"/>
          <w:lang w:eastAsia="en-US"/>
        </w:rPr>
      </w:pPr>
    </w:p>
    <w:p w:rsidR="00897DFE" w:rsidRPr="00343FBE" w:rsidRDefault="00897DFE" w:rsidP="00897DFE">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La demanda se presentó el dieciocho de mayo de dos mil diecisiete, por lo que es oportuna su presentación.</w:t>
      </w:r>
    </w:p>
    <w:p w:rsidR="00897DFE" w:rsidRPr="00343FBE" w:rsidRDefault="00897DFE" w:rsidP="00897DFE">
      <w:pPr>
        <w:spacing w:line="360" w:lineRule="auto"/>
        <w:jc w:val="both"/>
        <w:rPr>
          <w:rFonts w:ascii="Century Gothic" w:hAnsi="Century Gothic" w:cs="Arial"/>
          <w:bCs/>
          <w:sz w:val="28"/>
          <w:szCs w:val="28"/>
          <w:lang w:eastAsia="en-US"/>
        </w:rPr>
      </w:pPr>
    </w:p>
    <w:p w:rsidR="00897DFE" w:rsidRPr="00343FBE" w:rsidRDefault="00055DFA" w:rsidP="00897DFE">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No pasa desapercibido,</w:t>
      </w:r>
      <w:r w:rsidR="00897DFE" w:rsidRPr="00343FBE">
        <w:rPr>
          <w:rFonts w:ascii="Century Gothic" w:hAnsi="Century Gothic" w:cs="Arial"/>
          <w:bCs/>
          <w:sz w:val="28"/>
          <w:szCs w:val="28"/>
          <w:lang w:eastAsia="en-US"/>
        </w:rPr>
        <w:t xml:space="preserve"> qu</w:t>
      </w:r>
      <w:r w:rsidRPr="00343FBE">
        <w:rPr>
          <w:rFonts w:ascii="Century Gothic" w:hAnsi="Century Gothic" w:cs="Arial"/>
          <w:bCs/>
          <w:sz w:val="28"/>
          <w:szCs w:val="28"/>
          <w:lang w:eastAsia="en-US"/>
        </w:rPr>
        <w:t>e en el informe circunstanciado</w:t>
      </w:r>
      <w:r w:rsidR="00897DFE" w:rsidRPr="00343FBE">
        <w:rPr>
          <w:rFonts w:ascii="Century Gothic" w:hAnsi="Century Gothic" w:cs="Arial"/>
          <w:bCs/>
          <w:sz w:val="28"/>
          <w:szCs w:val="28"/>
          <w:lang w:eastAsia="en-US"/>
        </w:rPr>
        <w:t xml:space="preserve"> se aduce que debe desecharse la demanda, porque se presentó extemporáneamente, toda vez que la resolución partidista impugnada se le notificó al actor el tres de mayo de dos mil diecisiete, por lo que el plazo para impugnar corrió del cuatro al nueve de dicho mes, y la demanda se presentó hasta el dieciocho siguiente.</w:t>
      </w:r>
    </w:p>
    <w:p w:rsidR="00897DFE" w:rsidRPr="00343FBE" w:rsidRDefault="00897DFE" w:rsidP="00897DFE">
      <w:pPr>
        <w:spacing w:line="360" w:lineRule="auto"/>
        <w:jc w:val="both"/>
        <w:rPr>
          <w:rFonts w:ascii="Century Gothic" w:hAnsi="Century Gothic" w:cs="Arial"/>
          <w:bCs/>
          <w:sz w:val="28"/>
          <w:szCs w:val="28"/>
          <w:lang w:eastAsia="en-US"/>
        </w:rPr>
      </w:pPr>
    </w:p>
    <w:p w:rsidR="00897DFE" w:rsidRPr="00343FBE" w:rsidRDefault="00897DFE" w:rsidP="00897DFE">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Es infundada la causa de improcedencia, toda vez que</w:t>
      </w:r>
      <w:r w:rsidR="003F76B0" w:rsidRPr="00343FBE">
        <w:rPr>
          <w:rFonts w:ascii="Century Gothic" w:hAnsi="Century Gothic" w:cs="Arial"/>
          <w:bCs/>
          <w:sz w:val="28"/>
          <w:szCs w:val="28"/>
          <w:lang w:eastAsia="en-US"/>
        </w:rPr>
        <w:t>,</w:t>
      </w:r>
      <w:r w:rsidRPr="00343FBE">
        <w:rPr>
          <w:rFonts w:ascii="Century Gothic" w:hAnsi="Century Gothic" w:cs="Arial"/>
          <w:bCs/>
          <w:sz w:val="28"/>
          <w:szCs w:val="28"/>
          <w:lang w:eastAsia="en-US"/>
        </w:rPr>
        <w:t xml:space="preserve"> si bien el actor reclama la resolución partidista, también cuestiona la validez de su notificación, por lo que ésta no puede tomarse en cuenta para hacer el cómputo del plazo para impugnar, pues de hacerlo se incurriría en el </w:t>
      </w:r>
      <w:r w:rsidRPr="00343FBE">
        <w:rPr>
          <w:rFonts w:ascii="Century Gothic" w:hAnsi="Century Gothic" w:cs="Arial"/>
          <w:bCs/>
          <w:sz w:val="28"/>
          <w:szCs w:val="28"/>
          <w:lang w:eastAsia="en-US"/>
        </w:rPr>
        <w:lastRenderedPageBreak/>
        <w:t>vicio lógico de petición de principio, porque precisamente el enjuiciante alega que</w:t>
      </w:r>
      <w:r w:rsidR="00C849C9" w:rsidRPr="00343FBE">
        <w:rPr>
          <w:rFonts w:ascii="Century Gothic" w:hAnsi="Century Gothic" w:cs="Arial"/>
          <w:bCs/>
          <w:sz w:val="28"/>
          <w:szCs w:val="28"/>
          <w:lang w:eastAsia="en-US"/>
        </w:rPr>
        <w:t>,</w:t>
      </w:r>
      <w:r w:rsidRPr="00343FBE">
        <w:rPr>
          <w:rFonts w:ascii="Century Gothic" w:hAnsi="Century Gothic" w:cs="Arial"/>
          <w:bCs/>
          <w:sz w:val="28"/>
          <w:szCs w:val="28"/>
          <w:lang w:eastAsia="en-US"/>
        </w:rPr>
        <w:t xml:space="preserve"> con dicha notificación, no conoció tal resolución partidista.</w:t>
      </w:r>
    </w:p>
    <w:p w:rsidR="00897DFE" w:rsidRPr="00343FBE" w:rsidRDefault="00897DFE" w:rsidP="00897DFE">
      <w:pPr>
        <w:spacing w:line="360" w:lineRule="auto"/>
        <w:jc w:val="both"/>
        <w:rPr>
          <w:rFonts w:ascii="Century Gothic" w:hAnsi="Century Gothic" w:cs="Arial"/>
          <w:bCs/>
          <w:sz w:val="28"/>
          <w:szCs w:val="28"/>
          <w:lang w:eastAsia="en-US"/>
        </w:rPr>
      </w:pPr>
    </w:p>
    <w:p w:rsidR="00897DFE" w:rsidRPr="00343FBE" w:rsidRDefault="00897DFE" w:rsidP="00897DFE">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Por tanto, para realizar el cómputo del plazo para la presentación de la demanda, debe tomarse en cuenta el momento en el que el actor afirma que conoció la notificación de la resolución partidista, y de resultar oportuno el medio de impugnación, como sucede en el caso, estudiar la validez de dicha notificación y de ahí determinar lo conducente respecto de la oportunidad para impugnar la resolución partidista.</w:t>
      </w:r>
    </w:p>
    <w:p w:rsidR="00897DFE" w:rsidRPr="00343FBE" w:rsidRDefault="00897DFE" w:rsidP="00897DFE">
      <w:pPr>
        <w:spacing w:line="360" w:lineRule="auto"/>
        <w:jc w:val="both"/>
        <w:rPr>
          <w:rFonts w:ascii="Century Gothic" w:hAnsi="Century Gothic" w:cs="Arial"/>
          <w:bCs/>
          <w:sz w:val="28"/>
          <w:szCs w:val="28"/>
          <w:lang w:eastAsia="en-US"/>
        </w:rPr>
      </w:pPr>
    </w:p>
    <w:p w:rsidR="00FE762A" w:rsidRPr="00343FBE" w:rsidRDefault="00FC06C0" w:rsidP="00D3247D">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OCTAVO</w:t>
      </w:r>
      <w:r w:rsidR="00055DFA" w:rsidRPr="00343FBE">
        <w:rPr>
          <w:rFonts w:ascii="Century Gothic" w:hAnsi="Century Gothic" w:cs="Arial"/>
          <w:b/>
          <w:bCs/>
          <w:sz w:val="28"/>
          <w:szCs w:val="28"/>
          <w:lang w:eastAsia="en-US"/>
        </w:rPr>
        <w:t xml:space="preserve">. </w:t>
      </w:r>
      <w:r w:rsidR="00B011FE" w:rsidRPr="00343FBE">
        <w:rPr>
          <w:rFonts w:ascii="Century Gothic" w:hAnsi="Century Gothic" w:cs="Arial"/>
          <w:b/>
          <w:bCs/>
          <w:sz w:val="28"/>
          <w:szCs w:val="28"/>
          <w:lang w:eastAsia="en-US"/>
        </w:rPr>
        <w:t>Estudio del fondo del asunto</w:t>
      </w:r>
      <w:r w:rsidR="00B011FE" w:rsidRPr="00343FBE">
        <w:rPr>
          <w:rFonts w:ascii="Century Gothic" w:hAnsi="Century Gothic" w:cs="Arial"/>
          <w:bCs/>
          <w:sz w:val="28"/>
          <w:szCs w:val="28"/>
          <w:lang w:eastAsia="en-US"/>
        </w:rPr>
        <w:t>.</w:t>
      </w:r>
    </w:p>
    <w:p w:rsidR="00FE762A" w:rsidRPr="00343FBE" w:rsidRDefault="00FE762A" w:rsidP="00D3247D">
      <w:pPr>
        <w:spacing w:line="360" w:lineRule="auto"/>
        <w:jc w:val="both"/>
        <w:rPr>
          <w:rFonts w:ascii="Century Gothic" w:hAnsi="Century Gothic" w:cs="Arial"/>
          <w:b/>
          <w:bCs/>
          <w:sz w:val="28"/>
          <w:szCs w:val="28"/>
          <w:lang w:eastAsia="en-US"/>
        </w:rPr>
      </w:pPr>
    </w:p>
    <w:p w:rsidR="00086FFF" w:rsidRPr="00343FBE" w:rsidRDefault="00086FFF" w:rsidP="00D3247D">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Análisis de lo concerniente a la notificación reclamada</w:t>
      </w:r>
      <w:r w:rsidR="005E3ED2" w:rsidRPr="00343FBE">
        <w:rPr>
          <w:rFonts w:ascii="Century Gothic" w:hAnsi="Century Gothic" w:cs="Arial"/>
          <w:b/>
          <w:bCs/>
          <w:sz w:val="28"/>
          <w:szCs w:val="28"/>
          <w:lang w:eastAsia="en-US"/>
        </w:rPr>
        <w:t xml:space="preserve"> en el SUP-JDC-369/2017</w:t>
      </w:r>
      <w:r w:rsidRPr="00343FBE">
        <w:rPr>
          <w:rFonts w:ascii="Century Gothic" w:hAnsi="Century Gothic" w:cs="Arial"/>
          <w:bCs/>
          <w:sz w:val="28"/>
          <w:szCs w:val="28"/>
          <w:lang w:eastAsia="en-US"/>
        </w:rPr>
        <w:t>.</w:t>
      </w:r>
      <w:r w:rsidR="005E3ED2" w:rsidRPr="00343FBE">
        <w:rPr>
          <w:rFonts w:ascii="Century Gothic" w:hAnsi="Century Gothic" w:cs="Arial"/>
          <w:bCs/>
          <w:sz w:val="28"/>
          <w:szCs w:val="28"/>
          <w:lang w:eastAsia="en-US"/>
        </w:rPr>
        <w:t xml:space="preserve"> </w:t>
      </w:r>
    </w:p>
    <w:p w:rsidR="00086FFF" w:rsidRPr="00343FBE" w:rsidRDefault="00086FFF" w:rsidP="00D3247D">
      <w:pPr>
        <w:spacing w:line="360" w:lineRule="auto"/>
        <w:jc w:val="both"/>
        <w:rPr>
          <w:rFonts w:ascii="Century Gothic" w:hAnsi="Century Gothic" w:cs="Arial"/>
          <w:bCs/>
          <w:sz w:val="28"/>
          <w:szCs w:val="28"/>
          <w:lang w:eastAsia="en-US"/>
        </w:rPr>
      </w:pPr>
    </w:p>
    <w:p w:rsidR="002E6642" w:rsidRPr="00343FBE" w:rsidRDefault="008825F3" w:rsidP="00D3247D">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Síntesis de agravios hechos valer en contra de la notificación impugnada</w:t>
      </w:r>
      <w:r w:rsidRPr="00343FBE">
        <w:rPr>
          <w:rFonts w:ascii="Century Gothic" w:hAnsi="Century Gothic" w:cs="Arial"/>
          <w:bCs/>
          <w:sz w:val="28"/>
          <w:szCs w:val="28"/>
          <w:lang w:eastAsia="en-US"/>
        </w:rPr>
        <w:t>.</w:t>
      </w:r>
    </w:p>
    <w:p w:rsidR="008825F3" w:rsidRPr="00343FBE" w:rsidRDefault="008825F3" w:rsidP="00D3247D">
      <w:pPr>
        <w:spacing w:line="360" w:lineRule="auto"/>
        <w:jc w:val="both"/>
        <w:rPr>
          <w:rFonts w:ascii="Century Gothic" w:hAnsi="Century Gothic" w:cs="Arial"/>
          <w:bCs/>
          <w:sz w:val="28"/>
          <w:szCs w:val="28"/>
          <w:lang w:eastAsia="en-US"/>
        </w:rPr>
      </w:pPr>
    </w:p>
    <w:p w:rsidR="00FE762A" w:rsidRPr="00343FBE" w:rsidRDefault="00C37A69"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El actor aduce que</w:t>
      </w:r>
      <w:r w:rsidR="00FE762A" w:rsidRPr="00343FBE">
        <w:rPr>
          <w:rFonts w:ascii="Century Gothic" w:hAnsi="Century Gothic" w:cs="Arial"/>
          <w:bCs/>
          <w:sz w:val="28"/>
          <w:szCs w:val="28"/>
          <w:lang w:eastAsia="en-US"/>
        </w:rPr>
        <w:t>:</w:t>
      </w:r>
    </w:p>
    <w:p w:rsidR="00FE762A" w:rsidRPr="00343FBE" w:rsidRDefault="00FE762A" w:rsidP="00D3247D">
      <w:pPr>
        <w:spacing w:line="360" w:lineRule="auto"/>
        <w:jc w:val="both"/>
        <w:rPr>
          <w:rFonts w:ascii="Century Gothic" w:hAnsi="Century Gothic" w:cs="Arial"/>
          <w:bCs/>
          <w:sz w:val="28"/>
          <w:szCs w:val="28"/>
          <w:lang w:eastAsia="en-US"/>
        </w:rPr>
      </w:pPr>
    </w:p>
    <w:p w:rsidR="008825F3" w:rsidRPr="00343FBE" w:rsidRDefault="009605CB"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FE762A" w:rsidRPr="00343FBE">
        <w:rPr>
          <w:rFonts w:ascii="Century Gothic" w:hAnsi="Century Gothic" w:cs="Arial"/>
          <w:bCs/>
          <w:sz w:val="28"/>
          <w:szCs w:val="28"/>
          <w:lang w:eastAsia="en-US"/>
        </w:rPr>
        <w:t>L</w:t>
      </w:r>
      <w:r w:rsidR="00C37A69" w:rsidRPr="00343FBE">
        <w:rPr>
          <w:rFonts w:ascii="Century Gothic" w:hAnsi="Century Gothic" w:cs="Arial"/>
          <w:bCs/>
          <w:sz w:val="28"/>
          <w:szCs w:val="28"/>
          <w:lang w:eastAsia="en-US"/>
        </w:rPr>
        <w:t>os Estatutos del PT establecen en forma genérica, que las resoluciones deberán ser notificadas a las partes</w:t>
      </w:r>
      <w:r w:rsidR="00453756" w:rsidRPr="00343FBE">
        <w:rPr>
          <w:rFonts w:ascii="Century Gothic" w:hAnsi="Century Gothic" w:cs="Arial"/>
          <w:bCs/>
          <w:sz w:val="28"/>
          <w:szCs w:val="28"/>
          <w:lang w:eastAsia="en-US"/>
        </w:rPr>
        <w:t xml:space="preserve"> en el domicilio que hayan manif</w:t>
      </w:r>
      <w:r w:rsidR="00A56994" w:rsidRPr="00343FBE">
        <w:rPr>
          <w:rFonts w:ascii="Century Gothic" w:hAnsi="Century Gothic" w:cs="Arial"/>
          <w:bCs/>
          <w:sz w:val="28"/>
          <w:szCs w:val="28"/>
          <w:lang w:eastAsia="en-US"/>
        </w:rPr>
        <w:t>estado en su escrito inicial, por lo</w:t>
      </w:r>
      <w:r w:rsidR="00453756" w:rsidRPr="00343FBE">
        <w:rPr>
          <w:rFonts w:ascii="Century Gothic" w:hAnsi="Century Gothic" w:cs="Arial"/>
          <w:bCs/>
          <w:sz w:val="28"/>
          <w:szCs w:val="28"/>
          <w:lang w:eastAsia="en-US"/>
        </w:rPr>
        <w:t xml:space="preserve"> que a falta de mayor regulación, debe aplicarse la Ley </w:t>
      </w:r>
      <w:r w:rsidR="00453756" w:rsidRPr="00343FBE">
        <w:rPr>
          <w:rFonts w:ascii="Century Gothic" w:hAnsi="Century Gothic" w:cs="Arial"/>
          <w:bCs/>
          <w:sz w:val="28"/>
          <w:szCs w:val="28"/>
          <w:lang w:eastAsia="en-US"/>
        </w:rPr>
        <w:lastRenderedPageBreak/>
        <w:t>General del Sistema de Medios de Impugnación en Materia Electoral, que en el artículo 27, relativo a las notificaciones personales, prevé que en el supuesto de que</w:t>
      </w:r>
      <w:r w:rsidR="00A56994" w:rsidRPr="00343FBE">
        <w:rPr>
          <w:rFonts w:ascii="Century Gothic" w:hAnsi="Century Gothic" w:cs="Arial"/>
          <w:bCs/>
          <w:sz w:val="28"/>
          <w:szCs w:val="28"/>
          <w:lang w:eastAsia="en-US"/>
        </w:rPr>
        <w:t xml:space="preserve"> la persona con la que se entiende la diligencia se niegue a recibir la cédula, el funcionario responsable de la notificación la fijará junto con copia de la resolución a notificar, en un lugar visible del local, asentará la razón correspondiente en autos y procederá a fijar la notificación en estrados.</w:t>
      </w:r>
    </w:p>
    <w:p w:rsidR="002E6642" w:rsidRPr="00343FBE" w:rsidRDefault="002E6642" w:rsidP="00D3247D">
      <w:pPr>
        <w:spacing w:line="360" w:lineRule="auto"/>
        <w:jc w:val="both"/>
        <w:rPr>
          <w:rFonts w:ascii="Century Gothic" w:hAnsi="Century Gothic" w:cs="Arial"/>
          <w:bCs/>
          <w:sz w:val="28"/>
          <w:szCs w:val="28"/>
          <w:lang w:eastAsia="en-US"/>
        </w:rPr>
      </w:pPr>
    </w:p>
    <w:p w:rsidR="00902EE7" w:rsidRPr="00343FBE" w:rsidRDefault="009605CB"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8F4B79" w:rsidRPr="00343FBE">
        <w:rPr>
          <w:rFonts w:ascii="Century Gothic" w:hAnsi="Century Gothic" w:cs="Arial"/>
          <w:bCs/>
          <w:sz w:val="28"/>
          <w:szCs w:val="28"/>
          <w:lang w:eastAsia="en-US"/>
        </w:rPr>
        <w:t>En el caso, la notificación que se le practicó incumple dichos requisitos, ya que de las constancias que la responsable alleg</w:t>
      </w:r>
      <w:r w:rsidR="001F72F4" w:rsidRPr="00343FBE">
        <w:rPr>
          <w:rFonts w:ascii="Century Gothic" w:hAnsi="Century Gothic" w:cs="Arial"/>
          <w:bCs/>
          <w:sz w:val="28"/>
          <w:szCs w:val="28"/>
          <w:lang w:eastAsia="en-US"/>
        </w:rPr>
        <w:t xml:space="preserve">ó al juicio ciudadano SUP-JDC-198/2017, </w:t>
      </w:r>
      <w:r w:rsidR="00D7230D" w:rsidRPr="00343FBE">
        <w:rPr>
          <w:rFonts w:ascii="Century Gothic" w:hAnsi="Century Gothic" w:cs="Arial"/>
          <w:bCs/>
          <w:sz w:val="28"/>
          <w:szCs w:val="28"/>
          <w:lang w:eastAsia="en-US"/>
        </w:rPr>
        <w:t>se advierte que la persona que atendió la diligencia, se negó a identificarse y a recibir la cédula de notificación, por lo que de conformidad con la normativa citada, la persona que practicó la notificación debió fijar la cédula de notificación, junto con copia de la resolución que se notificaba, en un lugar visible</w:t>
      </w:r>
      <w:r w:rsidR="00902EE7" w:rsidRPr="00343FBE">
        <w:rPr>
          <w:rFonts w:ascii="Century Gothic" w:hAnsi="Century Gothic" w:cs="Arial"/>
          <w:bCs/>
          <w:sz w:val="28"/>
          <w:szCs w:val="28"/>
          <w:lang w:eastAsia="en-US"/>
        </w:rPr>
        <w:t xml:space="preserve">, </w:t>
      </w:r>
      <w:r w:rsidR="00D7230D" w:rsidRPr="00343FBE">
        <w:rPr>
          <w:rFonts w:ascii="Century Gothic" w:hAnsi="Century Gothic" w:cs="Arial"/>
          <w:bCs/>
          <w:sz w:val="28"/>
          <w:szCs w:val="28"/>
          <w:lang w:eastAsia="en-US"/>
        </w:rPr>
        <w:t>lo que no sucedi</w:t>
      </w:r>
      <w:r w:rsidR="00902EE7" w:rsidRPr="00343FBE">
        <w:rPr>
          <w:rFonts w:ascii="Century Gothic" w:hAnsi="Century Gothic" w:cs="Arial"/>
          <w:bCs/>
          <w:sz w:val="28"/>
          <w:szCs w:val="28"/>
          <w:lang w:eastAsia="en-US"/>
        </w:rPr>
        <w:t>ó.</w:t>
      </w:r>
    </w:p>
    <w:p w:rsidR="00902EE7" w:rsidRPr="00343FBE" w:rsidRDefault="00902EE7" w:rsidP="00D3247D">
      <w:pPr>
        <w:spacing w:line="360" w:lineRule="auto"/>
        <w:jc w:val="both"/>
        <w:rPr>
          <w:rFonts w:ascii="Century Gothic" w:hAnsi="Century Gothic" w:cs="Arial"/>
          <w:bCs/>
          <w:sz w:val="28"/>
          <w:szCs w:val="28"/>
          <w:lang w:eastAsia="en-US"/>
        </w:rPr>
      </w:pPr>
    </w:p>
    <w:p w:rsidR="008F4B79" w:rsidRPr="00343FBE" w:rsidRDefault="009605CB"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A61070" w:rsidRPr="00343FBE">
        <w:rPr>
          <w:rFonts w:ascii="Century Gothic" w:hAnsi="Century Gothic" w:cs="Arial"/>
          <w:bCs/>
          <w:sz w:val="28"/>
          <w:szCs w:val="28"/>
          <w:lang w:eastAsia="en-US"/>
        </w:rPr>
        <w:t>L</w:t>
      </w:r>
      <w:r w:rsidR="00902EE7" w:rsidRPr="00343FBE">
        <w:rPr>
          <w:rFonts w:ascii="Century Gothic" w:hAnsi="Century Gothic" w:cs="Arial"/>
          <w:bCs/>
          <w:sz w:val="28"/>
          <w:szCs w:val="28"/>
          <w:lang w:eastAsia="en-US"/>
        </w:rPr>
        <w:t xml:space="preserve">a notificación impugnada no se practicó con las formalidades de ley, máxime que nadie se identificó en el domicilio al que se acudió, como es que el notificador Braulio Báez Vázquez, consiguió otra credencial </w:t>
      </w:r>
      <w:r w:rsidR="00A0154A" w:rsidRPr="00343FBE">
        <w:rPr>
          <w:rFonts w:ascii="Century Gothic" w:hAnsi="Century Gothic" w:cs="Arial"/>
          <w:bCs/>
          <w:sz w:val="28"/>
          <w:szCs w:val="28"/>
          <w:lang w:eastAsia="en-US"/>
        </w:rPr>
        <w:t xml:space="preserve">de elector diferente a la suya, lo que genera que la cédula de notificación carezca de certeza, toda vez que no se tiene conocimiento cierto si Braulio Báez Vázquez fue la persona </w:t>
      </w:r>
      <w:r w:rsidR="00A0154A" w:rsidRPr="00343FBE">
        <w:rPr>
          <w:rFonts w:ascii="Century Gothic" w:hAnsi="Century Gothic" w:cs="Arial"/>
          <w:bCs/>
          <w:sz w:val="28"/>
          <w:szCs w:val="28"/>
          <w:lang w:eastAsia="en-US"/>
        </w:rPr>
        <w:lastRenderedPageBreak/>
        <w:t xml:space="preserve">con fe pública que realizó la notificación, o fue Ulises Alejandro Mejía Olvera quien la practicó. </w:t>
      </w:r>
    </w:p>
    <w:p w:rsidR="00FE4AA6" w:rsidRPr="00343FBE" w:rsidRDefault="00FE4AA6" w:rsidP="00D3247D">
      <w:pPr>
        <w:spacing w:line="360" w:lineRule="auto"/>
        <w:jc w:val="both"/>
        <w:rPr>
          <w:rFonts w:ascii="Century Gothic" w:hAnsi="Century Gothic" w:cs="Arial"/>
          <w:bCs/>
          <w:sz w:val="28"/>
          <w:szCs w:val="28"/>
          <w:lang w:eastAsia="en-US"/>
        </w:rPr>
      </w:pPr>
    </w:p>
    <w:p w:rsidR="00FE4AA6" w:rsidRPr="00343FBE" w:rsidRDefault="009605CB"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A61070" w:rsidRPr="00343FBE">
        <w:rPr>
          <w:rFonts w:ascii="Century Gothic" w:hAnsi="Century Gothic" w:cs="Arial"/>
          <w:bCs/>
          <w:sz w:val="28"/>
          <w:szCs w:val="28"/>
          <w:lang w:eastAsia="en-US"/>
        </w:rPr>
        <w:t>N</w:t>
      </w:r>
      <w:r w:rsidR="00FE4AA6" w:rsidRPr="00343FBE">
        <w:rPr>
          <w:rFonts w:ascii="Century Gothic" w:hAnsi="Century Gothic" w:cs="Arial"/>
          <w:bCs/>
          <w:sz w:val="28"/>
          <w:szCs w:val="28"/>
          <w:lang w:eastAsia="en-US"/>
        </w:rPr>
        <w:t xml:space="preserve">o se hace constar el número de fojas de la resolución que se notifica, pues si bien no es un elemento indispensable de una cédula de notificación, concatenado con las demás inconsistencias, genera más falta de certeza de la realización de la notificación. </w:t>
      </w:r>
    </w:p>
    <w:p w:rsidR="00C008D4" w:rsidRPr="00343FBE" w:rsidRDefault="00C008D4" w:rsidP="00C008D4">
      <w:pPr>
        <w:spacing w:line="360" w:lineRule="auto"/>
        <w:jc w:val="both"/>
        <w:rPr>
          <w:rFonts w:ascii="Century Gothic" w:hAnsi="Century Gothic" w:cs="Arial"/>
          <w:b/>
          <w:bCs/>
          <w:sz w:val="28"/>
          <w:szCs w:val="28"/>
          <w:lang w:eastAsia="en-US"/>
        </w:rPr>
      </w:pPr>
    </w:p>
    <w:p w:rsidR="00C008D4" w:rsidRPr="00343FBE" w:rsidRDefault="00C008D4" w:rsidP="00C008D4">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Consideraciones de esta Sala Superior</w:t>
      </w:r>
      <w:r w:rsidRPr="00343FBE">
        <w:rPr>
          <w:rFonts w:ascii="Century Gothic" w:hAnsi="Century Gothic" w:cs="Arial"/>
          <w:bCs/>
          <w:sz w:val="28"/>
          <w:szCs w:val="28"/>
          <w:lang w:eastAsia="en-US"/>
        </w:rPr>
        <w:t>. Son fundados los agravios en los que aduce que no se hace constar el número de fojas de la resolución que se notifica, lo que genera falta de certeza.</w:t>
      </w:r>
    </w:p>
    <w:p w:rsidR="00C008D4" w:rsidRPr="00343FBE" w:rsidRDefault="00C008D4" w:rsidP="00C008D4">
      <w:pPr>
        <w:spacing w:line="360" w:lineRule="auto"/>
        <w:jc w:val="both"/>
        <w:rPr>
          <w:rFonts w:ascii="Century Gothic" w:hAnsi="Century Gothic" w:cs="Arial"/>
          <w:bCs/>
          <w:sz w:val="28"/>
          <w:szCs w:val="28"/>
          <w:lang w:eastAsia="en-US"/>
        </w:rPr>
      </w:pPr>
    </w:p>
    <w:p w:rsidR="00C008D4" w:rsidRPr="00343FBE" w:rsidRDefault="00C008D4" w:rsidP="00C008D4">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Al respecto, cabe mencionar que la</w:t>
      </w:r>
      <w:r w:rsidRPr="00343FBE">
        <w:t xml:space="preserve"> </w:t>
      </w:r>
      <w:r w:rsidRPr="00343FBE">
        <w:rPr>
          <w:rFonts w:ascii="Century Gothic" w:hAnsi="Century Gothic" w:cs="Arial"/>
          <w:bCs/>
          <w:sz w:val="28"/>
          <w:szCs w:val="28"/>
          <w:lang w:eastAsia="en-US"/>
        </w:rPr>
        <w:t>cédula de notificación respectiva y el instrumento notarial sesenta y nueve mil cuatrocientos cuarenta y dos, que se allegaron a los autos del juicio ciudadano SUP-JDC-198/2017, que se encuentra en el archivo de este Tribunal, por lo que la información que se desprenda de sus constancias, constituye un hecho notorio para este órgano jurisdiccional.</w:t>
      </w:r>
    </w:p>
    <w:p w:rsidR="00C008D4" w:rsidRPr="00343FBE" w:rsidRDefault="00C008D4" w:rsidP="00C008D4">
      <w:pPr>
        <w:spacing w:line="360" w:lineRule="auto"/>
        <w:jc w:val="both"/>
        <w:rPr>
          <w:rFonts w:ascii="Century Gothic" w:hAnsi="Century Gothic" w:cs="Arial"/>
          <w:bCs/>
          <w:sz w:val="28"/>
          <w:szCs w:val="28"/>
          <w:lang w:eastAsia="en-US"/>
        </w:rPr>
      </w:pPr>
    </w:p>
    <w:p w:rsidR="00C008D4" w:rsidRPr="00343FBE" w:rsidRDefault="00C008D4" w:rsidP="00C008D4">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Para mayor claridad, a continuación, se reproducirán las constancias que interesan en el justiciable.</w:t>
      </w:r>
    </w:p>
    <w:p w:rsidR="00C008D4" w:rsidRPr="00343FBE" w:rsidRDefault="00C008D4" w:rsidP="00C008D4">
      <w:pPr>
        <w:spacing w:line="360" w:lineRule="auto"/>
        <w:jc w:val="both"/>
        <w:rPr>
          <w:rFonts w:ascii="Century Gothic" w:hAnsi="Century Gothic" w:cs="Arial"/>
          <w:bCs/>
          <w:sz w:val="28"/>
          <w:szCs w:val="28"/>
          <w:lang w:eastAsia="en-US"/>
        </w:rPr>
      </w:pPr>
    </w:p>
    <w:p w:rsidR="00C008D4" w:rsidRPr="00343FBE" w:rsidRDefault="00C008D4" w:rsidP="00C008D4">
      <w:pPr>
        <w:spacing w:line="360" w:lineRule="auto"/>
        <w:jc w:val="center"/>
        <w:rPr>
          <w:rFonts w:ascii="Century Gothic" w:hAnsi="Century Gothic" w:cs="Arial"/>
          <w:bCs/>
          <w:sz w:val="28"/>
          <w:szCs w:val="28"/>
          <w:lang w:eastAsia="en-US"/>
        </w:rPr>
      </w:pPr>
      <w:r w:rsidRPr="00343FBE">
        <w:rPr>
          <w:noProof/>
        </w:rPr>
        <w:lastRenderedPageBreak/>
        <w:drawing>
          <wp:inline distT="0" distB="0" distL="0" distR="0" wp14:anchorId="0348D530" wp14:editId="1C2744A4">
            <wp:extent cx="4829616" cy="656173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362" t="13303" r="70245" b="4332"/>
                    <a:stretch/>
                  </pic:blipFill>
                  <pic:spPr bwMode="auto">
                    <a:xfrm>
                      <a:off x="0" y="0"/>
                      <a:ext cx="4902768" cy="6661122"/>
                    </a:xfrm>
                    <a:prstGeom prst="rect">
                      <a:avLst/>
                    </a:prstGeom>
                    <a:ln>
                      <a:noFill/>
                    </a:ln>
                    <a:extLst>
                      <a:ext uri="{53640926-AAD7-44D8-BBD7-CCE9431645EC}">
                        <a14:shadowObscured xmlns:a14="http://schemas.microsoft.com/office/drawing/2010/main"/>
                      </a:ext>
                    </a:extLst>
                  </pic:spPr>
                </pic:pic>
              </a:graphicData>
            </a:graphic>
          </wp:inline>
        </w:drawing>
      </w:r>
    </w:p>
    <w:p w:rsidR="00C008D4" w:rsidRPr="00343FBE" w:rsidRDefault="00C008D4" w:rsidP="00C008D4">
      <w:pPr>
        <w:spacing w:line="360" w:lineRule="auto"/>
        <w:jc w:val="center"/>
        <w:rPr>
          <w:rFonts w:ascii="Century Gothic" w:hAnsi="Century Gothic" w:cs="Arial"/>
          <w:bCs/>
          <w:sz w:val="28"/>
          <w:szCs w:val="28"/>
          <w:lang w:eastAsia="en-US"/>
        </w:rPr>
      </w:pPr>
    </w:p>
    <w:p w:rsidR="00C008D4" w:rsidRPr="00343FBE" w:rsidRDefault="00C008D4" w:rsidP="00C008D4">
      <w:pPr>
        <w:spacing w:line="360" w:lineRule="auto"/>
        <w:jc w:val="center"/>
        <w:rPr>
          <w:rFonts w:ascii="Century Gothic" w:hAnsi="Century Gothic" w:cs="Arial"/>
          <w:bCs/>
          <w:sz w:val="28"/>
          <w:szCs w:val="28"/>
          <w:lang w:eastAsia="en-US"/>
        </w:rPr>
      </w:pPr>
      <w:r w:rsidRPr="00343FBE">
        <w:rPr>
          <w:noProof/>
        </w:rPr>
        <w:lastRenderedPageBreak/>
        <w:drawing>
          <wp:inline distT="0" distB="0" distL="0" distR="0" wp14:anchorId="298115E2" wp14:editId="58314276">
            <wp:extent cx="5025086" cy="8259059"/>
            <wp:effectExtent l="0" t="0" r="444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434" t="12811" r="65463" b="5376"/>
                    <a:stretch/>
                  </pic:blipFill>
                  <pic:spPr bwMode="auto">
                    <a:xfrm>
                      <a:off x="0" y="0"/>
                      <a:ext cx="5059037" cy="8314860"/>
                    </a:xfrm>
                    <a:prstGeom prst="rect">
                      <a:avLst/>
                    </a:prstGeom>
                    <a:ln>
                      <a:noFill/>
                    </a:ln>
                    <a:extLst>
                      <a:ext uri="{53640926-AAD7-44D8-BBD7-CCE9431645EC}">
                        <a14:shadowObscured xmlns:a14="http://schemas.microsoft.com/office/drawing/2010/main"/>
                      </a:ext>
                    </a:extLst>
                  </pic:spPr>
                </pic:pic>
              </a:graphicData>
            </a:graphic>
          </wp:inline>
        </w:drawing>
      </w:r>
    </w:p>
    <w:p w:rsidR="00C008D4" w:rsidRPr="00343FBE" w:rsidRDefault="00C008D4" w:rsidP="00C008D4">
      <w:pPr>
        <w:spacing w:line="360" w:lineRule="auto"/>
        <w:jc w:val="center"/>
        <w:rPr>
          <w:rFonts w:ascii="Century Gothic" w:hAnsi="Century Gothic" w:cs="Arial"/>
          <w:bCs/>
          <w:sz w:val="28"/>
          <w:szCs w:val="28"/>
          <w:lang w:eastAsia="en-US"/>
        </w:rPr>
      </w:pPr>
      <w:r w:rsidRPr="00343FBE">
        <w:rPr>
          <w:noProof/>
        </w:rPr>
        <w:lastRenderedPageBreak/>
        <w:drawing>
          <wp:inline distT="0" distB="0" distL="0" distR="0" wp14:anchorId="74CF8E04" wp14:editId="598837E5">
            <wp:extent cx="5369357" cy="884365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135" t="13305" r="65610" b="3878"/>
                    <a:stretch/>
                  </pic:blipFill>
                  <pic:spPr bwMode="auto">
                    <a:xfrm>
                      <a:off x="0" y="0"/>
                      <a:ext cx="5431399" cy="8945842"/>
                    </a:xfrm>
                    <a:prstGeom prst="rect">
                      <a:avLst/>
                    </a:prstGeom>
                    <a:ln>
                      <a:noFill/>
                    </a:ln>
                    <a:extLst>
                      <a:ext uri="{53640926-AAD7-44D8-BBD7-CCE9431645EC}">
                        <a14:shadowObscured xmlns:a14="http://schemas.microsoft.com/office/drawing/2010/main"/>
                      </a:ext>
                    </a:extLst>
                  </pic:spPr>
                </pic:pic>
              </a:graphicData>
            </a:graphic>
          </wp:inline>
        </w:drawing>
      </w:r>
    </w:p>
    <w:p w:rsidR="00C008D4" w:rsidRPr="00343FBE" w:rsidRDefault="00C008D4" w:rsidP="00C008D4">
      <w:pPr>
        <w:spacing w:line="360" w:lineRule="auto"/>
        <w:jc w:val="center"/>
        <w:rPr>
          <w:rFonts w:ascii="Century Gothic" w:hAnsi="Century Gothic" w:cs="Arial"/>
          <w:bCs/>
          <w:sz w:val="28"/>
          <w:szCs w:val="28"/>
          <w:lang w:eastAsia="en-US"/>
        </w:rPr>
      </w:pPr>
      <w:r w:rsidRPr="00343FBE">
        <w:rPr>
          <w:noProof/>
        </w:rPr>
        <w:lastRenderedPageBreak/>
        <w:drawing>
          <wp:inline distT="0" distB="0" distL="0" distR="0" wp14:anchorId="59D5438D" wp14:editId="658D5F9F">
            <wp:extent cx="4865816" cy="814181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34" t="13305" r="65460" b="3386"/>
                    <a:stretch/>
                  </pic:blipFill>
                  <pic:spPr bwMode="auto">
                    <a:xfrm>
                      <a:off x="0" y="0"/>
                      <a:ext cx="4905340" cy="8207952"/>
                    </a:xfrm>
                    <a:prstGeom prst="rect">
                      <a:avLst/>
                    </a:prstGeom>
                    <a:ln>
                      <a:noFill/>
                    </a:ln>
                    <a:extLst>
                      <a:ext uri="{53640926-AAD7-44D8-BBD7-CCE9431645EC}">
                        <a14:shadowObscured xmlns:a14="http://schemas.microsoft.com/office/drawing/2010/main"/>
                      </a:ext>
                    </a:extLst>
                  </pic:spPr>
                </pic:pic>
              </a:graphicData>
            </a:graphic>
          </wp:inline>
        </w:drawing>
      </w:r>
    </w:p>
    <w:p w:rsidR="00C008D4" w:rsidRPr="00343FBE" w:rsidRDefault="00C008D4" w:rsidP="00C008D4">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p>
    <w:p w:rsidR="00C008D4" w:rsidRPr="00343FBE" w:rsidRDefault="00C008D4" w:rsidP="00C008D4">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lastRenderedPageBreak/>
        <w:t>De la cédula de notificación, se observa que no se precisa el número de páginas que integran la resolución que se notifica, lo cual es necesario que contenga, para tener</w:t>
      </w:r>
      <w:r w:rsidRPr="00343FBE">
        <w:t xml:space="preserve"> </w:t>
      </w:r>
      <w:r w:rsidRPr="00343FBE">
        <w:rPr>
          <w:rFonts w:ascii="Century Gothic" w:hAnsi="Century Gothic" w:cs="Arial"/>
          <w:bCs/>
          <w:sz w:val="28"/>
          <w:szCs w:val="28"/>
          <w:lang w:eastAsia="en-US"/>
        </w:rPr>
        <w:t>certeza de que el acto se comunicó al justiciable de manera correcta, con la finalidad de garantizarle la posibilidad de conocer fehacientemente los razonamientos jurídicos que sustentan el acto que se le notifica y, por ende, que esté en aptitud de ejercer su derecho de acción.</w:t>
      </w:r>
    </w:p>
    <w:p w:rsidR="00C008D4" w:rsidRPr="00343FBE" w:rsidRDefault="00C008D4" w:rsidP="00C008D4">
      <w:pPr>
        <w:spacing w:line="360" w:lineRule="auto"/>
        <w:jc w:val="both"/>
        <w:rPr>
          <w:rFonts w:ascii="Century Gothic" w:hAnsi="Century Gothic" w:cs="Arial"/>
          <w:bCs/>
          <w:sz w:val="32"/>
          <w:szCs w:val="32"/>
          <w:lang w:eastAsia="en-US"/>
        </w:rPr>
      </w:pPr>
    </w:p>
    <w:p w:rsidR="00C008D4" w:rsidRPr="00343FBE" w:rsidRDefault="00C008D4" w:rsidP="00C008D4">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Lo expuesto encuentra apoyo en la tesis sustentada por este Tribunal, que dice:</w:t>
      </w:r>
    </w:p>
    <w:p w:rsidR="00C008D4" w:rsidRPr="00343FBE" w:rsidRDefault="00C008D4" w:rsidP="00C008D4">
      <w:pPr>
        <w:spacing w:line="360" w:lineRule="auto"/>
        <w:jc w:val="both"/>
        <w:rPr>
          <w:rFonts w:ascii="Century Gothic" w:hAnsi="Century Gothic" w:cs="Arial"/>
          <w:bCs/>
          <w:sz w:val="32"/>
          <w:szCs w:val="32"/>
          <w:lang w:eastAsia="en-US"/>
        </w:rPr>
      </w:pPr>
    </w:p>
    <w:p w:rsidR="00C008D4" w:rsidRPr="00343FBE" w:rsidRDefault="00C008D4" w:rsidP="00C008D4">
      <w:pPr>
        <w:ind w:left="567" w:right="567"/>
        <w:jc w:val="both"/>
        <w:rPr>
          <w:rFonts w:ascii="Century Gothic" w:hAnsi="Century Gothic" w:cs="Arial"/>
          <w:bCs/>
          <w:i/>
          <w:sz w:val="24"/>
          <w:szCs w:val="24"/>
          <w:lang w:eastAsia="en-US"/>
        </w:rPr>
      </w:pPr>
      <w:r w:rsidRPr="00343FBE">
        <w:rPr>
          <w:rFonts w:ascii="Century Gothic" w:hAnsi="Century Gothic" w:cs="Arial"/>
          <w:bCs/>
          <w:i/>
          <w:sz w:val="24"/>
          <w:szCs w:val="24"/>
          <w:lang w:eastAsia="en-US"/>
        </w:rPr>
        <w:t xml:space="preserve">CÉDULA DE NOTIFICACIÓN. DEBE CONTENER EL NÚMERO DE PÁGINAS DE LA RESOLUCIÓN QUE SE COMUNICA.- De la interpretación sistemática y funcional de lo dispuesto en los artículos 14, párrafo segundo, 16, párrafo primero y 17, párrafo segundo, de la Constitución Política de los Estados Unidos Mexicanos, en relación con los diversos 26 y 27, de la Ley General del Sistema de Medios de Impugnación en Materia Electoral, se concluye que las cédulas de notificación de las resoluciones deben consignar, además de los requisitos legales exigidos, el dato correspondiente al número de páginas que integran la resolución y si cada una contiene información por el anverso y/o reverso, pues sólo de esa manera se tiene certeza que el acto se comunicó al justiciable de manera correcta. Lo anterior, con la finalidad de garantizar al </w:t>
      </w:r>
      <w:proofErr w:type="spellStart"/>
      <w:r w:rsidRPr="00343FBE">
        <w:rPr>
          <w:rFonts w:ascii="Century Gothic" w:hAnsi="Century Gothic" w:cs="Arial"/>
          <w:bCs/>
          <w:i/>
          <w:sz w:val="24"/>
          <w:szCs w:val="24"/>
          <w:lang w:eastAsia="en-US"/>
        </w:rPr>
        <w:t>enjuiciante</w:t>
      </w:r>
      <w:proofErr w:type="spellEnd"/>
      <w:r w:rsidRPr="00343FBE">
        <w:rPr>
          <w:rFonts w:ascii="Century Gothic" w:hAnsi="Century Gothic" w:cs="Arial"/>
          <w:bCs/>
          <w:i/>
          <w:sz w:val="24"/>
          <w:szCs w:val="24"/>
          <w:lang w:eastAsia="en-US"/>
        </w:rPr>
        <w:t xml:space="preserve"> la posibilidad de conocer fehacientemente los razonamientos jurídicos que sustentan los actos que se les notifican, para estar en aptitud de ejercer su derecho de acción.</w:t>
      </w:r>
    </w:p>
    <w:p w:rsidR="00C008D4" w:rsidRPr="00343FBE" w:rsidRDefault="00C008D4" w:rsidP="00C008D4">
      <w:pPr>
        <w:spacing w:line="360" w:lineRule="auto"/>
        <w:jc w:val="both"/>
        <w:rPr>
          <w:rFonts w:ascii="Century Gothic" w:hAnsi="Century Gothic" w:cs="Arial"/>
          <w:bCs/>
          <w:sz w:val="32"/>
          <w:szCs w:val="32"/>
          <w:lang w:eastAsia="en-US"/>
        </w:rPr>
      </w:pPr>
    </w:p>
    <w:p w:rsidR="00C008D4" w:rsidRPr="00343FBE" w:rsidRDefault="00C008D4" w:rsidP="00C008D4">
      <w:pPr>
        <w:spacing w:line="360" w:lineRule="auto"/>
        <w:jc w:val="both"/>
        <w:rPr>
          <w:rFonts w:ascii="Century Gothic" w:hAnsi="Century Gothic" w:cs="Arial"/>
          <w:bCs/>
          <w:sz w:val="28"/>
          <w:szCs w:val="28"/>
          <w:lang w:eastAsia="en-US"/>
        </w:rPr>
      </w:pPr>
      <w:proofErr w:type="gramStart"/>
      <w:r w:rsidRPr="00343FBE">
        <w:rPr>
          <w:rFonts w:ascii="Century Gothic" w:hAnsi="Century Gothic" w:cs="Arial"/>
          <w:bCs/>
          <w:sz w:val="28"/>
          <w:szCs w:val="28"/>
          <w:lang w:eastAsia="en-US"/>
        </w:rPr>
        <w:t>Pero</w:t>
      </w:r>
      <w:proofErr w:type="gramEnd"/>
      <w:r w:rsidRPr="00343FBE">
        <w:rPr>
          <w:rFonts w:ascii="Century Gothic" w:hAnsi="Century Gothic" w:cs="Arial"/>
          <w:bCs/>
          <w:sz w:val="28"/>
          <w:szCs w:val="28"/>
          <w:lang w:eastAsia="en-US"/>
        </w:rPr>
        <w:t xml:space="preserve"> además, ambos documentos hacen constar hechos diferentes, lo que no genera certeza de que </w:t>
      </w:r>
      <w:r w:rsidRPr="00343FBE">
        <w:rPr>
          <w:rFonts w:ascii="Century Gothic" w:hAnsi="Century Gothic" w:cs="Arial"/>
          <w:bCs/>
          <w:sz w:val="28"/>
          <w:szCs w:val="28"/>
          <w:lang w:eastAsia="en-US"/>
        </w:rPr>
        <w:lastRenderedPageBreak/>
        <w:t>efectivamente se hubiere realizado la notificación impugnada.</w:t>
      </w:r>
    </w:p>
    <w:p w:rsidR="00C008D4" w:rsidRPr="00343FBE" w:rsidRDefault="00C008D4" w:rsidP="00C008D4">
      <w:pPr>
        <w:spacing w:line="360" w:lineRule="auto"/>
        <w:jc w:val="both"/>
        <w:rPr>
          <w:rFonts w:ascii="Century Gothic" w:hAnsi="Century Gothic" w:cs="Arial"/>
          <w:bCs/>
          <w:sz w:val="32"/>
          <w:szCs w:val="32"/>
          <w:lang w:eastAsia="en-US"/>
        </w:rPr>
      </w:pPr>
    </w:p>
    <w:p w:rsidR="00C008D4" w:rsidRPr="00343FBE" w:rsidRDefault="00C008D4" w:rsidP="00C008D4">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En efecto, en la cédula de notificación, el notificador hace constar, en lo conducente, que lo recibió una persona que dijo llamarse </w:t>
      </w:r>
      <w:proofErr w:type="spellStart"/>
      <w:r w:rsidRPr="00343FBE">
        <w:rPr>
          <w:rFonts w:ascii="Century Gothic" w:hAnsi="Century Gothic" w:cs="Arial"/>
          <w:bCs/>
          <w:sz w:val="28"/>
          <w:szCs w:val="28"/>
          <w:lang w:eastAsia="en-US"/>
        </w:rPr>
        <w:t>Yamanti</w:t>
      </w:r>
      <w:proofErr w:type="spellEnd"/>
      <w:r w:rsidRPr="00343FBE">
        <w:rPr>
          <w:rFonts w:ascii="Century Gothic" w:hAnsi="Century Gothic" w:cs="Arial"/>
          <w:bCs/>
          <w:sz w:val="28"/>
          <w:szCs w:val="28"/>
          <w:lang w:eastAsia="en-US"/>
        </w:rPr>
        <w:t xml:space="preserve"> Hernández López, pero que se negó a identificarse, y que recibía, a nombre de Santiago Vargas Hernández, el original de la resolución que se le notificaba, aunque no firmó de conformidad la cédula.</w:t>
      </w:r>
    </w:p>
    <w:p w:rsidR="00C008D4" w:rsidRPr="00343FBE" w:rsidRDefault="00C008D4" w:rsidP="00C008D4">
      <w:pPr>
        <w:spacing w:line="360" w:lineRule="auto"/>
        <w:jc w:val="both"/>
        <w:rPr>
          <w:rFonts w:ascii="Century Gothic" w:hAnsi="Century Gothic" w:cs="Arial"/>
          <w:bCs/>
          <w:sz w:val="32"/>
          <w:szCs w:val="32"/>
          <w:lang w:eastAsia="en-US"/>
        </w:rPr>
      </w:pPr>
    </w:p>
    <w:p w:rsidR="00C008D4" w:rsidRPr="00343FBE" w:rsidRDefault="00C008D4" w:rsidP="00C008D4">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Por su parte, respecto del instrumento notarial, se advierte que el notario precisa que acudió al inmueble ubicado en la calle Bosques de Duraznos número sesenta y uno (61), interior lobby “F”, colonia Bosques de las Lomas, Delegación Miguel Hidalgo, en la Ciudad de México.</w:t>
      </w:r>
    </w:p>
    <w:p w:rsidR="00C008D4" w:rsidRPr="00343FBE" w:rsidRDefault="00C008D4" w:rsidP="00C008D4">
      <w:pPr>
        <w:spacing w:line="360" w:lineRule="auto"/>
        <w:jc w:val="both"/>
        <w:rPr>
          <w:rFonts w:ascii="Century Gothic" w:hAnsi="Century Gothic" w:cs="Arial"/>
          <w:bCs/>
          <w:sz w:val="32"/>
          <w:szCs w:val="32"/>
          <w:lang w:eastAsia="en-US"/>
        </w:rPr>
      </w:pPr>
    </w:p>
    <w:p w:rsidR="00C008D4" w:rsidRPr="00343FBE" w:rsidRDefault="00C008D4" w:rsidP="00C008D4">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El notario acudió a ese sitio a dar fe de la entrega de la notificación que se realizaría a Santiago Vargas Hernández, de la resolución que recayó en el expediente CNCGJYC/01/NAL/17, y hace constar, en lo conducente, que en el lugar se encontraba una señorita que dijo llamarse </w:t>
      </w:r>
      <w:proofErr w:type="spellStart"/>
      <w:r w:rsidRPr="00343FBE">
        <w:rPr>
          <w:rFonts w:ascii="Century Gothic" w:hAnsi="Century Gothic" w:cs="Arial"/>
          <w:bCs/>
          <w:sz w:val="28"/>
          <w:szCs w:val="28"/>
          <w:lang w:eastAsia="en-US"/>
        </w:rPr>
        <w:t>Yamanti</w:t>
      </w:r>
      <w:proofErr w:type="spellEnd"/>
      <w:r w:rsidRPr="00343FBE">
        <w:rPr>
          <w:rFonts w:ascii="Century Gothic" w:hAnsi="Century Gothic" w:cs="Arial"/>
          <w:bCs/>
          <w:sz w:val="28"/>
          <w:szCs w:val="28"/>
          <w:lang w:eastAsia="en-US"/>
        </w:rPr>
        <w:t xml:space="preserve"> Hernández López, con quien Braulio Báez Vázquez (quien es el notificador de acuerdo con la cédula de notificación), se identificó y explicó el motivo de su presencia, “</w:t>
      </w:r>
      <w:r w:rsidRPr="00343FBE">
        <w:rPr>
          <w:rFonts w:ascii="Century Gothic" w:hAnsi="Century Gothic" w:cs="Arial"/>
          <w:bCs/>
          <w:i/>
          <w:sz w:val="28"/>
          <w:szCs w:val="28"/>
          <w:lang w:eastAsia="en-US"/>
        </w:rPr>
        <w:t>el cual era cumplimentar el citatorio que con fecha dos de mayo del presente año</w:t>
      </w:r>
      <w:r w:rsidRPr="00343FBE">
        <w:rPr>
          <w:rFonts w:ascii="Century Gothic" w:hAnsi="Century Gothic" w:cs="Arial"/>
          <w:bCs/>
          <w:sz w:val="28"/>
          <w:szCs w:val="28"/>
          <w:lang w:eastAsia="en-US"/>
        </w:rPr>
        <w:t xml:space="preserve">”, había dejado en </w:t>
      </w:r>
      <w:r w:rsidRPr="00343FBE">
        <w:rPr>
          <w:rFonts w:ascii="Century Gothic" w:hAnsi="Century Gothic" w:cs="Arial"/>
          <w:bCs/>
          <w:sz w:val="28"/>
          <w:szCs w:val="28"/>
          <w:lang w:eastAsia="en-US"/>
        </w:rPr>
        <w:lastRenderedPageBreak/>
        <w:t xml:space="preserve">recepción, a lo que </w:t>
      </w:r>
      <w:proofErr w:type="spellStart"/>
      <w:r w:rsidRPr="00343FBE">
        <w:rPr>
          <w:rFonts w:ascii="Century Gothic" w:hAnsi="Century Gothic" w:cs="Arial"/>
          <w:bCs/>
          <w:sz w:val="28"/>
          <w:szCs w:val="28"/>
          <w:lang w:eastAsia="en-US"/>
        </w:rPr>
        <w:t>Yamanti</w:t>
      </w:r>
      <w:proofErr w:type="spellEnd"/>
      <w:r w:rsidRPr="00343FBE">
        <w:rPr>
          <w:rFonts w:ascii="Century Gothic" w:hAnsi="Century Gothic" w:cs="Arial"/>
          <w:bCs/>
          <w:sz w:val="28"/>
          <w:szCs w:val="28"/>
          <w:lang w:eastAsia="en-US"/>
        </w:rPr>
        <w:t xml:space="preserve"> Hernández López respondió que “</w:t>
      </w:r>
      <w:r w:rsidRPr="00343FBE">
        <w:rPr>
          <w:rFonts w:ascii="Century Gothic" w:hAnsi="Century Gothic" w:cs="Arial"/>
          <w:bCs/>
          <w:i/>
          <w:sz w:val="28"/>
          <w:szCs w:val="28"/>
          <w:lang w:eastAsia="en-US"/>
        </w:rPr>
        <w:t>no conocen y no tienen trato con persona alguna con ese nombre, por lo que no recibe y en consecuencia no firma la notificación que se pretendía entregar</w:t>
      </w:r>
      <w:r w:rsidRPr="00343FBE">
        <w:rPr>
          <w:rFonts w:ascii="Century Gothic" w:hAnsi="Century Gothic" w:cs="Arial"/>
          <w:bCs/>
          <w:sz w:val="28"/>
          <w:szCs w:val="28"/>
          <w:lang w:eastAsia="en-US"/>
        </w:rPr>
        <w:t>”.</w:t>
      </w:r>
    </w:p>
    <w:p w:rsidR="00C008D4" w:rsidRPr="00343FBE" w:rsidRDefault="00C008D4" w:rsidP="00C008D4">
      <w:pPr>
        <w:spacing w:line="360" w:lineRule="auto"/>
        <w:jc w:val="both"/>
        <w:rPr>
          <w:rFonts w:ascii="Century Gothic" w:hAnsi="Century Gothic" w:cs="Arial"/>
          <w:bCs/>
          <w:sz w:val="28"/>
          <w:szCs w:val="28"/>
          <w:lang w:eastAsia="en-US"/>
        </w:rPr>
      </w:pPr>
    </w:p>
    <w:p w:rsidR="00C008D4" w:rsidRPr="00343FBE" w:rsidRDefault="00C008D4" w:rsidP="00C008D4">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De lo expuesto se advierte que ambos documentos hacen constar hechos diferentes, lo que no genera certeza de que efectivamente se hubiere realizado la notificación impugnada.</w:t>
      </w:r>
    </w:p>
    <w:p w:rsidR="00C008D4" w:rsidRPr="00343FBE" w:rsidRDefault="00C008D4" w:rsidP="00C008D4">
      <w:pPr>
        <w:spacing w:line="360" w:lineRule="auto"/>
        <w:jc w:val="both"/>
        <w:rPr>
          <w:rFonts w:ascii="Century Gothic" w:hAnsi="Century Gothic" w:cs="Arial"/>
          <w:bCs/>
          <w:sz w:val="28"/>
          <w:szCs w:val="28"/>
          <w:lang w:eastAsia="en-US"/>
        </w:rPr>
      </w:pPr>
    </w:p>
    <w:p w:rsidR="00636C78" w:rsidRPr="00343FBE" w:rsidRDefault="00636C78"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Por tanto, debe declararse la nulidad de la citada notificación.</w:t>
      </w:r>
    </w:p>
    <w:p w:rsidR="00636C78" w:rsidRPr="00343FBE" w:rsidRDefault="00636C78" w:rsidP="00D3247D">
      <w:pPr>
        <w:spacing w:line="360" w:lineRule="auto"/>
        <w:jc w:val="both"/>
        <w:rPr>
          <w:rFonts w:ascii="Century Gothic" w:hAnsi="Century Gothic" w:cs="Arial"/>
          <w:bCs/>
          <w:sz w:val="28"/>
          <w:szCs w:val="28"/>
          <w:lang w:eastAsia="en-US"/>
        </w:rPr>
      </w:pPr>
    </w:p>
    <w:p w:rsidR="00EA34EE" w:rsidRPr="00343FBE" w:rsidRDefault="003A3788"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Al resultar fundados lo anteriores agravios y suficientes para anular la notificación impugnada, resulta innecesario el estudio de los restantes motivos de inconformidad relacionados con dicha notificación.</w:t>
      </w:r>
      <w:r w:rsidR="00DB3FE8" w:rsidRPr="00343FBE">
        <w:rPr>
          <w:rFonts w:ascii="Century Gothic" w:hAnsi="Century Gothic" w:cs="Arial"/>
          <w:bCs/>
          <w:sz w:val="28"/>
          <w:szCs w:val="28"/>
          <w:lang w:eastAsia="en-US"/>
        </w:rPr>
        <w:t xml:space="preserve"> </w:t>
      </w:r>
    </w:p>
    <w:p w:rsidR="00181656" w:rsidRPr="00343FBE" w:rsidRDefault="00181656" w:rsidP="00D3247D">
      <w:pPr>
        <w:spacing w:line="360" w:lineRule="auto"/>
        <w:jc w:val="both"/>
        <w:rPr>
          <w:rFonts w:ascii="Century Gothic" w:hAnsi="Century Gothic" w:cs="Arial"/>
          <w:bCs/>
          <w:sz w:val="28"/>
          <w:szCs w:val="28"/>
          <w:lang w:eastAsia="en-US"/>
        </w:rPr>
      </w:pPr>
    </w:p>
    <w:p w:rsidR="00BC70A7" w:rsidRPr="00343FBE" w:rsidRDefault="000F18F3" w:rsidP="00BC70A7">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En consecuencia, debe tenerse como fecha del conocimiento de la resolución partidista combatida</w:t>
      </w:r>
      <w:r w:rsidR="00BF189B" w:rsidRPr="00343FBE">
        <w:rPr>
          <w:rFonts w:ascii="Century Gothic" w:hAnsi="Century Gothic" w:cs="Arial"/>
          <w:bCs/>
          <w:sz w:val="28"/>
          <w:szCs w:val="28"/>
          <w:lang w:eastAsia="en-US"/>
        </w:rPr>
        <w:t xml:space="preserve"> en el SUP-JDC-369/2017</w:t>
      </w:r>
      <w:r w:rsidRPr="00343FBE">
        <w:rPr>
          <w:rFonts w:ascii="Century Gothic" w:hAnsi="Century Gothic" w:cs="Arial"/>
          <w:bCs/>
          <w:sz w:val="28"/>
          <w:szCs w:val="28"/>
          <w:lang w:eastAsia="en-US"/>
        </w:rPr>
        <w:t>, la que señala el actor, esto es,</w:t>
      </w:r>
      <w:r w:rsidR="00BC70A7" w:rsidRPr="00343FBE">
        <w:rPr>
          <w:rFonts w:ascii="Century Gothic" w:hAnsi="Century Gothic" w:cs="Arial"/>
          <w:bCs/>
          <w:sz w:val="28"/>
          <w:szCs w:val="28"/>
          <w:lang w:eastAsia="en-US"/>
        </w:rPr>
        <w:t xml:space="preserve"> el doce de mayo de dos mil diecisiete; por tanto, el plazo para impugnarla corrió del quince al dieciocho de ese mes, sin contar los días catorce y quince, por haber correspondido a sábado y domingo, respectivamente.</w:t>
      </w:r>
    </w:p>
    <w:p w:rsidR="00BC70A7" w:rsidRPr="00343FBE" w:rsidRDefault="00BC70A7" w:rsidP="00BC70A7">
      <w:pPr>
        <w:spacing w:line="360" w:lineRule="auto"/>
        <w:jc w:val="both"/>
        <w:rPr>
          <w:rFonts w:ascii="Century Gothic" w:hAnsi="Century Gothic" w:cs="Arial"/>
          <w:bCs/>
          <w:sz w:val="28"/>
          <w:szCs w:val="28"/>
          <w:lang w:eastAsia="en-US"/>
        </w:rPr>
      </w:pPr>
    </w:p>
    <w:p w:rsidR="003309EA" w:rsidRPr="00343FBE" w:rsidRDefault="00BC70A7" w:rsidP="00BC70A7">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lastRenderedPageBreak/>
        <w:t>La demanda se presentó el dieciocho de mayo de dos mil diecisiete, por lo que es oportuna su presentación.</w:t>
      </w:r>
      <w:r w:rsidR="00086FFF" w:rsidRPr="00343FBE">
        <w:rPr>
          <w:rFonts w:ascii="Century Gothic" w:hAnsi="Century Gothic" w:cs="Arial"/>
          <w:bCs/>
          <w:sz w:val="28"/>
          <w:szCs w:val="28"/>
          <w:lang w:eastAsia="en-US"/>
        </w:rPr>
        <w:t xml:space="preserve"> </w:t>
      </w:r>
    </w:p>
    <w:p w:rsidR="00DB3136" w:rsidRPr="00343FBE" w:rsidRDefault="00DB3136" w:rsidP="00D3247D">
      <w:pPr>
        <w:spacing w:line="360" w:lineRule="auto"/>
        <w:jc w:val="both"/>
        <w:rPr>
          <w:rFonts w:ascii="Century Gothic" w:hAnsi="Century Gothic" w:cs="Arial"/>
          <w:bCs/>
          <w:sz w:val="28"/>
          <w:szCs w:val="28"/>
          <w:lang w:eastAsia="en-US"/>
        </w:rPr>
      </w:pPr>
    </w:p>
    <w:p w:rsidR="006D069B" w:rsidRPr="00343FBE" w:rsidRDefault="00B07DF8" w:rsidP="00D3247D">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 xml:space="preserve">Estudio de fondo, </w:t>
      </w:r>
      <w:r w:rsidR="006D069B" w:rsidRPr="00343FBE">
        <w:rPr>
          <w:rFonts w:ascii="Century Gothic" w:hAnsi="Century Gothic" w:cs="Arial"/>
          <w:b/>
          <w:bCs/>
          <w:sz w:val="28"/>
          <w:szCs w:val="28"/>
          <w:lang w:eastAsia="en-US"/>
        </w:rPr>
        <w:t>respecto de l</w:t>
      </w:r>
      <w:r w:rsidR="000878B5" w:rsidRPr="00343FBE">
        <w:rPr>
          <w:rFonts w:ascii="Century Gothic" w:hAnsi="Century Gothic" w:cs="Arial"/>
          <w:b/>
          <w:bCs/>
          <w:sz w:val="28"/>
          <w:szCs w:val="28"/>
          <w:lang w:eastAsia="en-US"/>
        </w:rPr>
        <w:t>a resolución partidista</w:t>
      </w:r>
      <w:r w:rsidR="006D069B" w:rsidRPr="00343FBE">
        <w:rPr>
          <w:rFonts w:ascii="Century Gothic" w:hAnsi="Century Gothic" w:cs="Arial"/>
          <w:b/>
          <w:bCs/>
          <w:sz w:val="28"/>
          <w:szCs w:val="28"/>
          <w:lang w:eastAsia="en-US"/>
        </w:rPr>
        <w:t xml:space="preserve"> y omisi</w:t>
      </w:r>
      <w:r w:rsidR="00BF189B" w:rsidRPr="00343FBE">
        <w:rPr>
          <w:rFonts w:ascii="Century Gothic" w:hAnsi="Century Gothic" w:cs="Arial"/>
          <w:b/>
          <w:bCs/>
          <w:sz w:val="28"/>
          <w:szCs w:val="28"/>
          <w:lang w:eastAsia="en-US"/>
        </w:rPr>
        <w:t>o</w:t>
      </w:r>
      <w:r w:rsidR="006D069B" w:rsidRPr="00343FBE">
        <w:rPr>
          <w:rFonts w:ascii="Century Gothic" w:hAnsi="Century Gothic" w:cs="Arial"/>
          <w:b/>
          <w:bCs/>
          <w:sz w:val="28"/>
          <w:szCs w:val="28"/>
          <w:lang w:eastAsia="en-US"/>
        </w:rPr>
        <w:t>n</w:t>
      </w:r>
      <w:r w:rsidR="00BF189B" w:rsidRPr="00343FBE">
        <w:rPr>
          <w:rFonts w:ascii="Century Gothic" w:hAnsi="Century Gothic" w:cs="Arial"/>
          <w:b/>
          <w:bCs/>
          <w:sz w:val="28"/>
          <w:szCs w:val="28"/>
          <w:lang w:eastAsia="en-US"/>
        </w:rPr>
        <w:t>es</w:t>
      </w:r>
      <w:r w:rsidR="006D069B" w:rsidRPr="00343FBE">
        <w:rPr>
          <w:rFonts w:ascii="Century Gothic" w:hAnsi="Century Gothic" w:cs="Arial"/>
          <w:b/>
          <w:bCs/>
          <w:sz w:val="28"/>
          <w:szCs w:val="28"/>
          <w:lang w:eastAsia="en-US"/>
        </w:rPr>
        <w:t xml:space="preserve"> reclamada</w:t>
      </w:r>
      <w:r w:rsidR="00BF189B" w:rsidRPr="00343FBE">
        <w:rPr>
          <w:rFonts w:ascii="Century Gothic" w:hAnsi="Century Gothic" w:cs="Arial"/>
          <w:b/>
          <w:bCs/>
          <w:sz w:val="28"/>
          <w:szCs w:val="28"/>
          <w:lang w:eastAsia="en-US"/>
        </w:rPr>
        <w:t>s</w:t>
      </w:r>
      <w:r w:rsidR="000878B5" w:rsidRPr="00343FBE">
        <w:rPr>
          <w:rFonts w:ascii="Century Gothic" w:hAnsi="Century Gothic" w:cs="Arial"/>
          <w:b/>
          <w:bCs/>
          <w:sz w:val="28"/>
          <w:szCs w:val="28"/>
          <w:lang w:eastAsia="en-US"/>
        </w:rPr>
        <w:t>, así como del supuesto incumplimiento de la ejecutoria dictada por esta Sala Superior en el SUP-JDC-2638/2008</w:t>
      </w:r>
      <w:r w:rsidR="006D069B" w:rsidRPr="00343FBE">
        <w:rPr>
          <w:rFonts w:ascii="Century Gothic" w:hAnsi="Century Gothic" w:cs="Arial"/>
          <w:bCs/>
          <w:sz w:val="28"/>
          <w:szCs w:val="28"/>
          <w:lang w:eastAsia="en-US"/>
        </w:rPr>
        <w:t>.</w:t>
      </w:r>
    </w:p>
    <w:p w:rsidR="006D069B" w:rsidRPr="00343FBE" w:rsidRDefault="006D069B" w:rsidP="00D3247D">
      <w:pPr>
        <w:spacing w:line="360" w:lineRule="auto"/>
        <w:jc w:val="both"/>
        <w:rPr>
          <w:rFonts w:ascii="Century Gothic" w:hAnsi="Century Gothic" w:cs="Arial"/>
          <w:bCs/>
          <w:sz w:val="28"/>
          <w:szCs w:val="28"/>
          <w:lang w:eastAsia="en-US"/>
        </w:rPr>
      </w:pPr>
    </w:p>
    <w:p w:rsidR="000878B5" w:rsidRPr="00343FBE" w:rsidRDefault="000878B5" w:rsidP="00BF5F6E">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Cuestión preliminar. Justificación del estudio conjunto de la resolución partidista y omisión reclamada, así como del supuesto incumplimiento de la ejecutoria dictada por esta Sala Superior en el SUP-JDC-2638/2008</w:t>
      </w:r>
      <w:r w:rsidRPr="00343FBE">
        <w:rPr>
          <w:rFonts w:ascii="Century Gothic" w:hAnsi="Century Gothic" w:cs="Arial"/>
          <w:bCs/>
          <w:sz w:val="28"/>
          <w:szCs w:val="28"/>
          <w:lang w:eastAsia="en-US"/>
        </w:rPr>
        <w:t xml:space="preserve">.  </w:t>
      </w:r>
    </w:p>
    <w:p w:rsidR="000878B5" w:rsidRPr="00343FBE" w:rsidRDefault="000878B5" w:rsidP="00BF5F6E">
      <w:pPr>
        <w:spacing w:line="360" w:lineRule="auto"/>
        <w:jc w:val="both"/>
        <w:rPr>
          <w:rFonts w:ascii="Century Gothic" w:hAnsi="Century Gothic" w:cs="Arial"/>
          <w:bCs/>
          <w:sz w:val="28"/>
          <w:szCs w:val="28"/>
          <w:lang w:eastAsia="en-US"/>
        </w:rPr>
      </w:pPr>
    </w:p>
    <w:p w:rsidR="006D069B" w:rsidRPr="00343FBE" w:rsidRDefault="00193947" w:rsidP="00BF5F6E">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En el SUP-JDC-369/2017 se</w:t>
      </w:r>
      <w:r w:rsidR="006D069B" w:rsidRPr="00343FBE">
        <w:rPr>
          <w:rFonts w:ascii="Century Gothic" w:hAnsi="Century Gothic" w:cs="Arial"/>
          <w:bCs/>
          <w:sz w:val="28"/>
          <w:szCs w:val="28"/>
          <w:lang w:eastAsia="en-US"/>
        </w:rPr>
        <w:t xml:space="preserve"> reclama la resolución que decidió el medio de impugnación </w:t>
      </w:r>
      <w:proofErr w:type="spellStart"/>
      <w:r w:rsidR="006D069B" w:rsidRPr="00343FBE">
        <w:rPr>
          <w:rFonts w:ascii="Century Gothic" w:hAnsi="Century Gothic" w:cs="Arial"/>
          <w:bCs/>
          <w:sz w:val="28"/>
          <w:szCs w:val="28"/>
          <w:lang w:eastAsia="en-US"/>
        </w:rPr>
        <w:t>intrapartidista</w:t>
      </w:r>
      <w:proofErr w:type="spellEnd"/>
      <w:r w:rsidR="006D069B" w:rsidRPr="00343FBE">
        <w:rPr>
          <w:rFonts w:ascii="Century Gothic" w:hAnsi="Century Gothic" w:cs="Arial"/>
          <w:bCs/>
          <w:sz w:val="28"/>
          <w:szCs w:val="28"/>
          <w:lang w:eastAsia="en-US"/>
        </w:rPr>
        <w:t xml:space="preserve"> </w:t>
      </w:r>
      <w:r w:rsidR="00BF5F6E" w:rsidRPr="00343FBE">
        <w:rPr>
          <w:rFonts w:ascii="Century Gothic" w:hAnsi="Century Gothic" w:cs="Arial"/>
          <w:bCs/>
          <w:sz w:val="28"/>
          <w:szCs w:val="28"/>
          <w:lang w:eastAsia="en-US"/>
        </w:rPr>
        <w:t>registrado con la clave CNCGJYC/01/NAL/17, así como la o</w:t>
      </w:r>
      <w:r w:rsidR="006D069B" w:rsidRPr="00343FBE">
        <w:rPr>
          <w:rFonts w:ascii="Century Gothic" w:hAnsi="Century Gothic" w:cs="Arial"/>
          <w:bCs/>
          <w:sz w:val="28"/>
          <w:szCs w:val="28"/>
          <w:lang w:eastAsia="en-US"/>
        </w:rPr>
        <w:t>misión de la Comisión Coordinadora Nacional del PT, de expedir la convocatoria “</w:t>
      </w:r>
      <w:r w:rsidR="006D069B" w:rsidRPr="00343FBE">
        <w:rPr>
          <w:rFonts w:ascii="Century Gothic" w:hAnsi="Century Gothic" w:cs="Arial"/>
          <w:bCs/>
          <w:i/>
          <w:sz w:val="28"/>
          <w:szCs w:val="28"/>
          <w:lang w:eastAsia="en-US"/>
        </w:rPr>
        <w:t xml:space="preserve">para las sesiones de la Comisión Ejecutiva Nacional del </w:t>
      </w:r>
      <w:r w:rsidR="00A8764A" w:rsidRPr="00343FBE">
        <w:rPr>
          <w:rFonts w:ascii="Century Gothic" w:hAnsi="Century Gothic" w:cs="Arial"/>
          <w:bCs/>
          <w:i/>
          <w:sz w:val="28"/>
          <w:szCs w:val="28"/>
          <w:lang w:eastAsia="en-US"/>
        </w:rPr>
        <w:t>PT</w:t>
      </w:r>
      <w:r w:rsidR="006D069B" w:rsidRPr="00343FBE">
        <w:rPr>
          <w:rFonts w:ascii="Century Gothic" w:hAnsi="Century Gothic" w:cs="Arial"/>
          <w:bCs/>
          <w:i/>
          <w:sz w:val="28"/>
          <w:szCs w:val="28"/>
          <w:lang w:eastAsia="en-US"/>
        </w:rPr>
        <w:t xml:space="preserve"> en fechas 14 de diciembre de 2016 y 22 de febrero de 2017, así como los acuerdos respectivos e inexistencia de los mismos</w:t>
      </w:r>
      <w:r w:rsidR="006D069B" w:rsidRPr="00343FBE">
        <w:rPr>
          <w:rFonts w:ascii="Century Gothic" w:hAnsi="Century Gothic" w:cs="Arial"/>
          <w:bCs/>
          <w:sz w:val="28"/>
          <w:szCs w:val="28"/>
          <w:lang w:eastAsia="en-US"/>
        </w:rPr>
        <w:t>”</w:t>
      </w:r>
      <w:r w:rsidR="00824514" w:rsidRPr="00343FBE">
        <w:rPr>
          <w:rFonts w:ascii="Century Gothic" w:hAnsi="Century Gothic" w:cs="Arial"/>
          <w:bCs/>
          <w:sz w:val="28"/>
          <w:szCs w:val="28"/>
          <w:lang w:eastAsia="en-US"/>
        </w:rPr>
        <w:t>.</w:t>
      </w:r>
    </w:p>
    <w:p w:rsidR="00273C8B" w:rsidRPr="00343FBE" w:rsidRDefault="00273C8B" w:rsidP="00BF5F6E">
      <w:pPr>
        <w:spacing w:line="360" w:lineRule="auto"/>
        <w:jc w:val="both"/>
        <w:rPr>
          <w:rFonts w:ascii="Century Gothic" w:hAnsi="Century Gothic" w:cs="Arial"/>
          <w:bCs/>
          <w:sz w:val="28"/>
          <w:szCs w:val="28"/>
          <w:lang w:eastAsia="en-US"/>
        </w:rPr>
      </w:pPr>
    </w:p>
    <w:p w:rsidR="00641C97" w:rsidRPr="00343FBE" w:rsidRDefault="0052393C" w:rsidP="00BF5F6E">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Ambas cuestiones se analizarán en forma conjunta</w:t>
      </w:r>
      <w:r w:rsidR="00CE5144" w:rsidRPr="00343FBE">
        <w:rPr>
          <w:rFonts w:ascii="Century Gothic" w:hAnsi="Century Gothic" w:cs="Arial"/>
          <w:bCs/>
          <w:sz w:val="28"/>
          <w:szCs w:val="28"/>
          <w:lang w:eastAsia="en-US"/>
        </w:rPr>
        <w:t>,</w:t>
      </w:r>
      <w:r w:rsidRPr="00343FBE">
        <w:rPr>
          <w:rFonts w:ascii="Century Gothic" w:hAnsi="Century Gothic" w:cs="Arial"/>
          <w:bCs/>
          <w:sz w:val="28"/>
          <w:szCs w:val="28"/>
          <w:lang w:eastAsia="en-US"/>
        </w:rPr>
        <w:t xml:space="preserve"> por la estrecha relación que guardan entre sí</w:t>
      </w:r>
      <w:r w:rsidR="00641C97" w:rsidRPr="00343FBE">
        <w:rPr>
          <w:rFonts w:ascii="Century Gothic" w:hAnsi="Century Gothic" w:cs="Arial"/>
          <w:bCs/>
          <w:sz w:val="28"/>
          <w:szCs w:val="28"/>
          <w:lang w:eastAsia="en-US"/>
        </w:rPr>
        <w:t>.</w:t>
      </w:r>
    </w:p>
    <w:p w:rsidR="00641C97" w:rsidRPr="00343FBE" w:rsidRDefault="00641C97" w:rsidP="00BF5F6E">
      <w:pPr>
        <w:spacing w:line="360" w:lineRule="auto"/>
        <w:jc w:val="both"/>
        <w:rPr>
          <w:rFonts w:ascii="Century Gothic" w:hAnsi="Century Gothic" w:cs="Arial"/>
          <w:bCs/>
          <w:sz w:val="28"/>
          <w:szCs w:val="28"/>
          <w:lang w:eastAsia="en-US"/>
        </w:rPr>
      </w:pPr>
    </w:p>
    <w:p w:rsidR="00641C97" w:rsidRPr="00343FBE" w:rsidRDefault="00641C97" w:rsidP="00BF5F6E">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En efecto, el actor, en su demanda primigenia</w:t>
      </w:r>
      <w:r w:rsidR="009C05EA" w:rsidRPr="00343FBE">
        <w:rPr>
          <w:rFonts w:ascii="Century Gothic" w:hAnsi="Century Gothic" w:cs="Arial"/>
          <w:bCs/>
          <w:sz w:val="28"/>
          <w:szCs w:val="28"/>
          <w:lang w:eastAsia="en-US"/>
        </w:rPr>
        <w:t>, reclamó</w:t>
      </w:r>
      <w:r w:rsidRPr="00343FBE">
        <w:rPr>
          <w:rFonts w:ascii="Century Gothic" w:hAnsi="Century Gothic" w:cs="Arial"/>
          <w:bCs/>
          <w:sz w:val="28"/>
          <w:szCs w:val="28"/>
          <w:lang w:eastAsia="en-US"/>
        </w:rPr>
        <w:t xml:space="preserve">, entre otras cosas, la omisión de aprobar, emitir y publicar la </w:t>
      </w:r>
      <w:r w:rsidRPr="00343FBE">
        <w:rPr>
          <w:rFonts w:ascii="Century Gothic" w:hAnsi="Century Gothic" w:cs="Arial"/>
          <w:bCs/>
          <w:sz w:val="28"/>
          <w:szCs w:val="28"/>
          <w:lang w:eastAsia="en-US"/>
        </w:rPr>
        <w:lastRenderedPageBreak/>
        <w:t>convocatoria para celebrar el congreso nacional ordinario, en el que se debe renovar los órganos directivos del partido.</w:t>
      </w:r>
    </w:p>
    <w:p w:rsidR="00641C97" w:rsidRPr="00343FBE" w:rsidRDefault="00641C97" w:rsidP="00BF5F6E">
      <w:pPr>
        <w:spacing w:line="360" w:lineRule="auto"/>
        <w:jc w:val="both"/>
        <w:rPr>
          <w:rFonts w:ascii="Century Gothic" w:hAnsi="Century Gothic" w:cs="Arial"/>
          <w:bCs/>
          <w:sz w:val="28"/>
          <w:szCs w:val="28"/>
          <w:lang w:eastAsia="en-US"/>
        </w:rPr>
      </w:pPr>
    </w:p>
    <w:p w:rsidR="00273C8B" w:rsidRPr="00343FBE" w:rsidRDefault="00641C97" w:rsidP="00BF5F6E">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Los agravios atinentes se desestimaron por el órgano responsable, </w:t>
      </w:r>
      <w:r w:rsidR="00CC68CB" w:rsidRPr="00343FBE">
        <w:rPr>
          <w:rFonts w:ascii="Century Gothic" w:hAnsi="Century Gothic" w:cs="Arial"/>
          <w:bCs/>
          <w:sz w:val="28"/>
          <w:szCs w:val="28"/>
          <w:lang w:eastAsia="en-US"/>
        </w:rPr>
        <w:t xml:space="preserve">en razón de que </w:t>
      </w:r>
      <w:r w:rsidR="001D453C" w:rsidRPr="00343FBE">
        <w:rPr>
          <w:rFonts w:ascii="Century Gothic" w:hAnsi="Century Gothic" w:cs="Arial"/>
          <w:bCs/>
          <w:sz w:val="28"/>
          <w:szCs w:val="28"/>
          <w:lang w:eastAsia="en-US"/>
        </w:rPr>
        <w:t xml:space="preserve">la Comisión Ejecutiva Nacional </w:t>
      </w:r>
      <w:r w:rsidR="008A12B9" w:rsidRPr="00343FBE">
        <w:rPr>
          <w:rFonts w:ascii="Century Gothic" w:hAnsi="Century Gothic" w:cs="Arial"/>
          <w:bCs/>
          <w:sz w:val="28"/>
          <w:szCs w:val="28"/>
          <w:lang w:eastAsia="en-US"/>
        </w:rPr>
        <w:t>prorrogó por cuatro meses la celebración de dicho Congreso</w:t>
      </w:r>
      <w:r w:rsidR="00177F40" w:rsidRPr="00343FBE">
        <w:rPr>
          <w:rFonts w:ascii="Century Gothic" w:hAnsi="Century Gothic" w:cs="Arial"/>
          <w:bCs/>
          <w:sz w:val="28"/>
          <w:szCs w:val="28"/>
          <w:lang w:eastAsia="en-US"/>
        </w:rPr>
        <w:t xml:space="preserve">, mismo que tendrá lugar el próximo veinticuatro de junio, lo cual acordó en sesiones que tuvieron lugar en esas fechas, mismas que, según el actor, </w:t>
      </w:r>
      <w:r w:rsidR="00080221" w:rsidRPr="00343FBE">
        <w:rPr>
          <w:rFonts w:ascii="Century Gothic" w:hAnsi="Century Gothic" w:cs="Arial"/>
          <w:bCs/>
          <w:sz w:val="28"/>
          <w:szCs w:val="28"/>
          <w:lang w:eastAsia="en-US"/>
        </w:rPr>
        <w:t xml:space="preserve">se omitió emitir </w:t>
      </w:r>
      <w:r w:rsidR="00C05FBF" w:rsidRPr="00343FBE">
        <w:rPr>
          <w:rFonts w:ascii="Century Gothic" w:hAnsi="Century Gothic" w:cs="Arial"/>
          <w:bCs/>
          <w:sz w:val="28"/>
          <w:szCs w:val="28"/>
          <w:lang w:eastAsia="en-US"/>
        </w:rPr>
        <w:t xml:space="preserve">la </w:t>
      </w:r>
      <w:r w:rsidR="00177F40" w:rsidRPr="00343FBE">
        <w:rPr>
          <w:rFonts w:ascii="Century Gothic" w:hAnsi="Century Gothic" w:cs="Arial"/>
          <w:bCs/>
          <w:sz w:val="28"/>
          <w:szCs w:val="28"/>
          <w:lang w:eastAsia="en-US"/>
        </w:rPr>
        <w:t>convocatoria</w:t>
      </w:r>
      <w:r w:rsidR="00C05FBF" w:rsidRPr="00343FBE">
        <w:rPr>
          <w:rFonts w:ascii="Century Gothic" w:hAnsi="Century Gothic" w:cs="Arial"/>
          <w:bCs/>
          <w:sz w:val="28"/>
          <w:szCs w:val="28"/>
          <w:lang w:eastAsia="en-US"/>
        </w:rPr>
        <w:t xml:space="preserve"> respectiva</w:t>
      </w:r>
      <w:r w:rsidR="00080221" w:rsidRPr="00343FBE">
        <w:rPr>
          <w:rFonts w:ascii="Century Gothic" w:hAnsi="Century Gothic" w:cs="Arial"/>
          <w:bCs/>
          <w:sz w:val="28"/>
          <w:szCs w:val="28"/>
          <w:lang w:eastAsia="en-US"/>
        </w:rPr>
        <w:t>.</w:t>
      </w:r>
      <w:r w:rsidR="00FF7266" w:rsidRPr="00343FBE">
        <w:rPr>
          <w:rFonts w:ascii="Century Gothic" w:hAnsi="Century Gothic" w:cs="Arial"/>
          <w:bCs/>
          <w:sz w:val="28"/>
          <w:szCs w:val="28"/>
          <w:lang w:eastAsia="en-US"/>
        </w:rPr>
        <w:t xml:space="preserve"> </w:t>
      </w:r>
    </w:p>
    <w:p w:rsidR="001D453C" w:rsidRPr="00343FBE" w:rsidRDefault="001D453C" w:rsidP="00BF5F6E">
      <w:pPr>
        <w:spacing w:line="360" w:lineRule="auto"/>
        <w:jc w:val="both"/>
        <w:rPr>
          <w:rFonts w:ascii="Century Gothic" w:hAnsi="Century Gothic" w:cs="Arial"/>
          <w:bCs/>
          <w:sz w:val="28"/>
          <w:szCs w:val="28"/>
          <w:lang w:eastAsia="en-US"/>
        </w:rPr>
      </w:pPr>
    </w:p>
    <w:p w:rsidR="00080221" w:rsidRPr="00343FBE" w:rsidRDefault="00080221" w:rsidP="00BF5F6E">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En consecuencia, lo que se decida respecto </w:t>
      </w:r>
      <w:r w:rsidR="003E2C99" w:rsidRPr="00343FBE">
        <w:rPr>
          <w:rFonts w:ascii="Century Gothic" w:hAnsi="Century Gothic" w:cs="Arial"/>
          <w:bCs/>
          <w:sz w:val="28"/>
          <w:szCs w:val="28"/>
          <w:lang w:eastAsia="en-US"/>
        </w:rPr>
        <w:t xml:space="preserve">de tal omisión, podría incidir en lo que se considere </w:t>
      </w:r>
      <w:r w:rsidR="00285EEA" w:rsidRPr="00343FBE">
        <w:rPr>
          <w:rFonts w:ascii="Century Gothic" w:hAnsi="Century Gothic" w:cs="Arial"/>
          <w:bCs/>
          <w:sz w:val="28"/>
          <w:szCs w:val="28"/>
          <w:lang w:eastAsia="en-US"/>
        </w:rPr>
        <w:t>en torno a</w:t>
      </w:r>
      <w:r w:rsidR="003E2C99" w:rsidRPr="00343FBE">
        <w:rPr>
          <w:rFonts w:ascii="Century Gothic" w:hAnsi="Century Gothic" w:cs="Arial"/>
          <w:bCs/>
          <w:sz w:val="28"/>
          <w:szCs w:val="28"/>
          <w:lang w:eastAsia="en-US"/>
        </w:rPr>
        <w:t xml:space="preserve"> la resolución controvertida, de ahí que sea ne</w:t>
      </w:r>
      <w:r w:rsidR="001A31F3" w:rsidRPr="00343FBE">
        <w:rPr>
          <w:rFonts w:ascii="Century Gothic" w:hAnsi="Century Gothic" w:cs="Arial"/>
          <w:bCs/>
          <w:sz w:val="28"/>
          <w:szCs w:val="28"/>
          <w:lang w:eastAsia="en-US"/>
        </w:rPr>
        <w:t>cesario estudiarlas en conjunto, habida cuenta que, el juicio SUP-JDC-399/2017 se reclaman las mismas omisiones.</w:t>
      </w:r>
    </w:p>
    <w:p w:rsidR="003E2C99" w:rsidRPr="002E49D8" w:rsidRDefault="003E2C99" w:rsidP="00BF5F6E">
      <w:pPr>
        <w:spacing w:line="360" w:lineRule="auto"/>
        <w:jc w:val="both"/>
        <w:rPr>
          <w:rFonts w:ascii="Century Gothic" w:hAnsi="Century Gothic" w:cs="Arial"/>
          <w:bCs/>
          <w:sz w:val="24"/>
          <w:szCs w:val="24"/>
          <w:lang w:eastAsia="en-US"/>
        </w:rPr>
      </w:pPr>
    </w:p>
    <w:p w:rsidR="00B227C7" w:rsidRPr="00343FBE" w:rsidRDefault="00B227C7" w:rsidP="00BF5F6E">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No pasa desapercibido que </w:t>
      </w:r>
      <w:r w:rsidR="00B57472" w:rsidRPr="00343FBE">
        <w:rPr>
          <w:rFonts w:ascii="Century Gothic" w:hAnsi="Century Gothic" w:cs="Arial"/>
          <w:bCs/>
          <w:sz w:val="28"/>
          <w:szCs w:val="28"/>
          <w:lang w:eastAsia="en-US"/>
        </w:rPr>
        <w:t>en ambos juicios se</w:t>
      </w:r>
      <w:r w:rsidRPr="00343FBE">
        <w:rPr>
          <w:rFonts w:ascii="Century Gothic" w:hAnsi="Century Gothic" w:cs="Arial"/>
          <w:bCs/>
          <w:sz w:val="28"/>
          <w:szCs w:val="28"/>
          <w:lang w:eastAsia="en-US"/>
        </w:rPr>
        <w:t xml:space="preserve"> alude a un supuesto incumplimiento de la ejecutoria dictada por esta Sala Superior</w:t>
      </w:r>
      <w:r w:rsidR="006F594C" w:rsidRPr="00343FBE">
        <w:rPr>
          <w:rFonts w:ascii="Century Gothic" w:hAnsi="Century Gothic" w:cs="Arial"/>
          <w:bCs/>
          <w:sz w:val="28"/>
          <w:szCs w:val="28"/>
          <w:lang w:eastAsia="en-US"/>
        </w:rPr>
        <w:t>,</w:t>
      </w:r>
      <w:r w:rsidRPr="00343FBE">
        <w:rPr>
          <w:rFonts w:ascii="Century Gothic" w:hAnsi="Century Gothic" w:cs="Arial"/>
          <w:bCs/>
          <w:sz w:val="28"/>
          <w:szCs w:val="28"/>
          <w:lang w:eastAsia="en-US"/>
        </w:rPr>
        <w:t xml:space="preserve"> en el SUP-JDC-2638/2008, sin embargo, tal supuesto incumplimiento, también está estrechamente vinculado con la </w:t>
      </w:r>
      <w:r w:rsidR="00B57472" w:rsidRPr="00343FBE">
        <w:rPr>
          <w:rFonts w:ascii="Century Gothic" w:hAnsi="Century Gothic" w:cs="Arial"/>
          <w:bCs/>
          <w:sz w:val="28"/>
          <w:szCs w:val="28"/>
          <w:lang w:eastAsia="en-US"/>
        </w:rPr>
        <w:t>resolución partidista reclamada y con la convocatoria al Congreso Nacional,</w:t>
      </w:r>
      <w:r w:rsidRPr="00343FBE">
        <w:rPr>
          <w:rFonts w:ascii="Century Gothic" w:hAnsi="Century Gothic" w:cs="Arial"/>
          <w:bCs/>
          <w:sz w:val="28"/>
          <w:szCs w:val="28"/>
          <w:lang w:eastAsia="en-US"/>
        </w:rPr>
        <w:t xml:space="preserve"> por lo que también los agravios atinentes se estudiarán en forma conjunta</w:t>
      </w:r>
      <w:r w:rsidR="00B57472" w:rsidRPr="00343FBE">
        <w:rPr>
          <w:rFonts w:ascii="Century Gothic" w:hAnsi="Century Gothic" w:cs="Arial"/>
          <w:bCs/>
          <w:sz w:val="28"/>
          <w:szCs w:val="28"/>
          <w:lang w:eastAsia="en-US"/>
        </w:rPr>
        <w:t>, sin escindirlos a incidente de incumplimiento de sentencia</w:t>
      </w:r>
      <w:r w:rsidRPr="00343FBE">
        <w:rPr>
          <w:rFonts w:ascii="Century Gothic" w:hAnsi="Century Gothic" w:cs="Arial"/>
          <w:bCs/>
          <w:sz w:val="28"/>
          <w:szCs w:val="28"/>
          <w:lang w:eastAsia="en-US"/>
        </w:rPr>
        <w:t>.</w:t>
      </w:r>
    </w:p>
    <w:p w:rsidR="00B227C7" w:rsidRPr="002E49D8" w:rsidRDefault="00B227C7" w:rsidP="00BF5F6E">
      <w:pPr>
        <w:spacing w:line="360" w:lineRule="auto"/>
        <w:jc w:val="both"/>
        <w:rPr>
          <w:rFonts w:ascii="Century Gothic" w:hAnsi="Century Gothic" w:cs="Arial"/>
          <w:bCs/>
          <w:sz w:val="24"/>
          <w:szCs w:val="24"/>
          <w:lang w:eastAsia="en-US"/>
        </w:rPr>
      </w:pPr>
    </w:p>
    <w:p w:rsidR="003E2C99" w:rsidRPr="00343FBE" w:rsidRDefault="00B227C7" w:rsidP="00BF5F6E">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lastRenderedPageBreak/>
        <w:t xml:space="preserve">Así es, </w:t>
      </w:r>
      <w:r w:rsidR="005A2364" w:rsidRPr="00343FBE">
        <w:rPr>
          <w:rFonts w:ascii="Century Gothic" w:hAnsi="Century Gothic" w:cs="Arial"/>
          <w:bCs/>
          <w:sz w:val="28"/>
          <w:szCs w:val="28"/>
          <w:lang w:eastAsia="en-US"/>
        </w:rPr>
        <w:t>en su demanda primigenia, el actor aludió a la sentencia dictada por esta Sala Superior, el veintisiet</w:t>
      </w:r>
      <w:r w:rsidR="00335B88" w:rsidRPr="00343FBE">
        <w:rPr>
          <w:rFonts w:ascii="Century Gothic" w:hAnsi="Century Gothic" w:cs="Arial"/>
          <w:bCs/>
          <w:sz w:val="28"/>
          <w:szCs w:val="28"/>
          <w:lang w:eastAsia="en-US"/>
        </w:rPr>
        <w:t>e de enero de dos mil diez</w:t>
      </w:r>
      <w:r w:rsidR="005A2364" w:rsidRPr="00343FBE">
        <w:rPr>
          <w:rFonts w:ascii="Century Gothic" w:hAnsi="Century Gothic" w:cs="Arial"/>
          <w:bCs/>
          <w:sz w:val="28"/>
          <w:szCs w:val="28"/>
          <w:lang w:eastAsia="en-US"/>
        </w:rPr>
        <w:t>, en el citado juicio ciudadano</w:t>
      </w:r>
      <w:r w:rsidR="001648BE" w:rsidRPr="00343FBE">
        <w:rPr>
          <w:rFonts w:ascii="Century Gothic" w:hAnsi="Century Gothic" w:cs="Arial"/>
          <w:bCs/>
          <w:sz w:val="28"/>
          <w:szCs w:val="28"/>
          <w:lang w:eastAsia="en-US"/>
        </w:rPr>
        <w:t>, para después, refiriéndose a las incompatibilidades entre los cargos partidistas y los de elección popular</w:t>
      </w:r>
      <w:r w:rsidR="00747258" w:rsidRPr="00343FBE">
        <w:rPr>
          <w:rFonts w:ascii="Century Gothic" w:hAnsi="Century Gothic" w:cs="Arial"/>
          <w:bCs/>
          <w:sz w:val="28"/>
          <w:szCs w:val="28"/>
          <w:lang w:eastAsia="en-US"/>
        </w:rPr>
        <w:t>, así como a la reelección, afirmó</w:t>
      </w:r>
      <w:r w:rsidR="001648BE" w:rsidRPr="00343FBE">
        <w:rPr>
          <w:rFonts w:ascii="Century Gothic" w:hAnsi="Century Gothic" w:cs="Arial"/>
          <w:bCs/>
          <w:sz w:val="28"/>
          <w:szCs w:val="28"/>
          <w:lang w:eastAsia="en-US"/>
        </w:rPr>
        <w:t xml:space="preserve"> que las adecuaciones estatutarias (refiriéndose a las ordenadas por este Tribunal),</w:t>
      </w:r>
      <w:r w:rsidR="00747258" w:rsidRPr="00343FBE">
        <w:rPr>
          <w:rFonts w:ascii="Century Gothic" w:hAnsi="Century Gothic" w:cs="Arial"/>
          <w:bCs/>
          <w:sz w:val="28"/>
          <w:szCs w:val="28"/>
          <w:lang w:eastAsia="en-US"/>
        </w:rPr>
        <w:t xml:space="preserve"> tocante a las incompatibilidades</w:t>
      </w:r>
      <w:r w:rsidR="001648BE" w:rsidRPr="00343FBE">
        <w:rPr>
          <w:rFonts w:ascii="Century Gothic" w:hAnsi="Century Gothic" w:cs="Arial"/>
          <w:bCs/>
          <w:sz w:val="28"/>
          <w:szCs w:val="28"/>
          <w:lang w:eastAsia="en-US"/>
        </w:rPr>
        <w:t xml:space="preserve"> </w:t>
      </w:r>
      <w:r w:rsidR="00747258" w:rsidRPr="00343FBE">
        <w:rPr>
          <w:rFonts w:ascii="Century Gothic" w:hAnsi="Century Gothic" w:cs="Arial"/>
          <w:bCs/>
          <w:sz w:val="28"/>
          <w:szCs w:val="28"/>
          <w:lang w:eastAsia="en-US"/>
        </w:rPr>
        <w:t>“</w:t>
      </w:r>
      <w:r w:rsidR="00747258" w:rsidRPr="00343FBE">
        <w:rPr>
          <w:rFonts w:ascii="Century Gothic" w:hAnsi="Century Gothic" w:cs="Arial"/>
          <w:bCs/>
          <w:i/>
          <w:sz w:val="28"/>
          <w:szCs w:val="28"/>
          <w:lang w:eastAsia="en-US"/>
        </w:rPr>
        <w:t>no sucedieron</w:t>
      </w:r>
      <w:r w:rsidR="00747258" w:rsidRPr="00343FBE">
        <w:rPr>
          <w:rFonts w:ascii="Century Gothic" w:hAnsi="Century Gothic" w:cs="Arial"/>
          <w:bCs/>
          <w:sz w:val="28"/>
          <w:szCs w:val="28"/>
          <w:lang w:eastAsia="en-US"/>
        </w:rPr>
        <w:t>”, y respecto a la reelección, aseguró que “</w:t>
      </w:r>
      <w:r w:rsidR="00747258" w:rsidRPr="00343FBE">
        <w:rPr>
          <w:rFonts w:ascii="Century Gothic" w:hAnsi="Century Gothic" w:cs="Arial"/>
          <w:bCs/>
          <w:i/>
          <w:sz w:val="28"/>
          <w:szCs w:val="28"/>
          <w:lang w:eastAsia="en-US"/>
        </w:rPr>
        <w:t>donde no se establecieron límites fue en relación con los cargos legislativos. Y ahí también existe conflicto de intereses</w:t>
      </w:r>
      <w:r w:rsidR="00BA491F" w:rsidRPr="00343FBE">
        <w:rPr>
          <w:rFonts w:ascii="Century Gothic" w:hAnsi="Century Gothic" w:cs="Arial"/>
          <w:bCs/>
          <w:i/>
          <w:sz w:val="28"/>
          <w:szCs w:val="28"/>
          <w:lang w:eastAsia="en-US"/>
        </w:rPr>
        <w:t>, porque, dado que la reelección es posible, y sólo puede darse si el partido al cual pertenece el representante popular que aspira a ser reelecto le otorga la candidatura, es inconcuso que no pueden ser miembros de la dirigencia quienes sean también representantes populares, porque existiría conflicto de interés</w:t>
      </w:r>
      <w:r w:rsidR="00BA491F" w:rsidRPr="00343FBE">
        <w:rPr>
          <w:rFonts w:ascii="Century Gothic" w:hAnsi="Century Gothic" w:cs="Arial"/>
          <w:bCs/>
          <w:sz w:val="28"/>
          <w:szCs w:val="28"/>
          <w:lang w:eastAsia="en-US"/>
        </w:rPr>
        <w:t xml:space="preserve">”. </w:t>
      </w:r>
    </w:p>
    <w:p w:rsidR="001D453C" w:rsidRPr="002E49D8" w:rsidRDefault="001D453C" w:rsidP="00BF5F6E">
      <w:pPr>
        <w:spacing w:line="360" w:lineRule="auto"/>
        <w:jc w:val="both"/>
        <w:rPr>
          <w:rFonts w:ascii="Century Gothic" w:hAnsi="Century Gothic" w:cs="Arial"/>
          <w:bCs/>
          <w:sz w:val="24"/>
          <w:szCs w:val="24"/>
          <w:lang w:eastAsia="en-US"/>
        </w:rPr>
      </w:pPr>
    </w:p>
    <w:p w:rsidR="009E58D3" w:rsidRPr="00343FBE" w:rsidRDefault="00AF0AE0" w:rsidP="00BF5F6E">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La responsable</w:t>
      </w:r>
      <w:r w:rsidR="004670B2" w:rsidRPr="00343FBE">
        <w:rPr>
          <w:rFonts w:ascii="Century Gothic" w:hAnsi="Century Gothic" w:cs="Arial"/>
          <w:bCs/>
          <w:sz w:val="28"/>
          <w:szCs w:val="28"/>
          <w:lang w:eastAsia="en-US"/>
        </w:rPr>
        <w:t xml:space="preserve"> </w:t>
      </w:r>
      <w:r w:rsidR="00430DB2" w:rsidRPr="00343FBE">
        <w:rPr>
          <w:rFonts w:ascii="Century Gothic" w:hAnsi="Century Gothic" w:cs="Arial"/>
          <w:bCs/>
          <w:sz w:val="28"/>
          <w:szCs w:val="28"/>
          <w:lang w:eastAsia="en-US"/>
        </w:rPr>
        <w:t>consideró que el impugnante aludía a un presunto incumplimiento a la ejecutoria dictada en el citado juicio ciudadano, así lo estudió en la resoluci</w:t>
      </w:r>
      <w:r w:rsidR="009E58D3" w:rsidRPr="00343FBE">
        <w:rPr>
          <w:rFonts w:ascii="Century Gothic" w:hAnsi="Century Gothic" w:cs="Arial"/>
          <w:bCs/>
          <w:sz w:val="28"/>
          <w:szCs w:val="28"/>
          <w:lang w:eastAsia="en-US"/>
        </w:rPr>
        <w:t>ón reclamada</w:t>
      </w:r>
      <w:r w:rsidR="00430DB2" w:rsidRPr="00343FBE">
        <w:rPr>
          <w:rFonts w:ascii="Century Gothic" w:hAnsi="Century Gothic" w:cs="Arial"/>
          <w:bCs/>
          <w:sz w:val="28"/>
          <w:szCs w:val="28"/>
          <w:lang w:eastAsia="en-US"/>
        </w:rPr>
        <w:t>,</w:t>
      </w:r>
      <w:r w:rsidR="009E58D3" w:rsidRPr="00343FBE">
        <w:rPr>
          <w:rFonts w:ascii="Century Gothic" w:hAnsi="Century Gothic" w:cs="Arial"/>
          <w:bCs/>
          <w:sz w:val="28"/>
          <w:szCs w:val="28"/>
          <w:lang w:eastAsia="en-US"/>
        </w:rPr>
        <w:t xml:space="preserve"> desestimando la inconformidad relativa.</w:t>
      </w:r>
    </w:p>
    <w:p w:rsidR="009E58D3" w:rsidRPr="002E49D8" w:rsidRDefault="009E58D3" w:rsidP="00BF5F6E">
      <w:pPr>
        <w:spacing w:line="360" w:lineRule="auto"/>
        <w:jc w:val="both"/>
        <w:rPr>
          <w:rFonts w:ascii="Century Gothic" w:hAnsi="Century Gothic" w:cs="Arial"/>
          <w:bCs/>
          <w:sz w:val="24"/>
          <w:szCs w:val="24"/>
          <w:lang w:eastAsia="en-US"/>
        </w:rPr>
      </w:pPr>
    </w:p>
    <w:p w:rsidR="00F76EBC" w:rsidRPr="00343FBE" w:rsidRDefault="009E58D3" w:rsidP="00F76EBC">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En consecuencia,</w:t>
      </w:r>
      <w:r w:rsidR="00F76EBC" w:rsidRPr="00343FBE">
        <w:rPr>
          <w:rFonts w:ascii="Century Gothic" w:hAnsi="Century Gothic" w:cs="Arial"/>
          <w:bCs/>
          <w:sz w:val="28"/>
          <w:szCs w:val="28"/>
          <w:lang w:eastAsia="en-US"/>
        </w:rPr>
        <w:t xml:space="preserve"> la inconformidad que ahora alega el accionante, es menester que se analice en el presente juicio, sin que se escinda a incidente de incumplimiento de sentencia</w:t>
      </w:r>
      <w:r w:rsidR="001F44FC" w:rsidRPr="00343FBE">
        <w:rPr>
          <w:rFonts w:ascii="Century Gothic" w:hAnsi="Century Gothic" w:cs="Arial"/>
          <w:bCs/>
          <w:sz w:val="28"/>
          <w:szCs w:val="28"/>
          <w:lang w:eastAsia="en-US"/>
        </w:rPr>
        <w:t xml:space="preserve">, habida cuenta que, se insiste, tal inconformidad </w:t>
      </w:r>
      <w:r w:rsidR="001F44FC" w:rsidRPr="00343FBE">
        <w:rPr>
          <w:rFonts w:ascii="Century Gothic" w:hAnsi="Century Gothic" w:cs="Arial"/>
          <w:bCs/>
          <w:sz w:val="28"/>
          <w:szCs w:val="28"/>
          <w:lang w:eastAsia="en-US"/>
        </w:rPr>
        <w:lastRenderedPageBreak/>
        <w:t>en la especie está más bien relacionada con la convocatoria al Congreso Nacional</w:t>
      </w:r>
      <w:r w:rsidR="00F76EBC" w:rsidRPr="00343FBE">
        <w:rPr>
          <w:rFonts w:ascii="Century Gothic" w:hAnsi="Century Gothic" w:cs="Arial"/>
          <w:bCs/>
          <w:sz w:val="28"/>
          <w:szCs w:val="28"/>
          <w:lang w:eastAsia="en-US"/>
        </w:rPr>
        <w:t>.</w:t>
      </w:r>
    </w:p>
    <w:p w:rsidR="00864DEA" w:rsidRPr="002E49D8" w:rsidRDefault="00864DEA" w:rsidP="00F76EBC">
      <w:pPr>
        <w:spacing w:line="360" w:lineRule="auto"/>
        <w:jc w:val="both"/>
        <w:rPr>
          <w:rFonts w:ascii="Century Gothic" w:hAnsi="Century Gothic" w:cs="Arial"/>
          <w:bCs/>
          <w:sz w:val="24"/>
          <w:szCs w:val="24"/>
          <w:lang w:eastAsia="en-US"/>
        </w:rPr>
      </w:pPr>
    </w:p>
    <w:p w:rsidR="00117726" w:rsidRPr="00343FBE" w:rsidRDefault="00864DEA" w:rsidP="006752E9">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Antecedentes que interesan en el justiciable</w:t>
      </w:r>
      <w:r w:rsidR="00152531" w:rsidRPr="00343FBE">
        <w:rPr>
          <w:rFonts w:ascii="Century Gothic" w:hAnsi="Century Gothic" w:cs="Arial"/>
          <w:b/>
          <w:bCs/>
          <w:sz w:val="28"/>
          <w:szCs w:val="28"/>
          <w:lang w:eastAsia="en-US"/>
        </w:rPr>
        <w:t xml:space="preserve"> en el SUP-JDC-369/2017</w:t>
      </w:r>
      <w:r w:rsidRPr="00343FBE">
        <w:rPr>
          <w:rFonts w:ascii="Century Gothic" w:hAnsi="Century Gothic" w:cs="Arial"/>
          <w:bCs/>
          <w:sz w:val="28"/>
          <w:szCs w:val="28"/>
          <w:lang w:eastAsia="en-US"/>
        </w:rPr>
        <w:t>.</w:t>
      </w:r>
      <w:r w:rsidR="006752E9" w:rsidRPr="00343FBE">
        <w:rPr>
          <w:rFonts w:ascii="Century Gothic" w:hAnsi="Century Gothic" w:cs="Arial"/>
          <w:bCs/>
          <w:sz w:val="28"/>
          <w:szCs w:val="28"/>
          <w:lang w:eastAsia="en-US"/>
        </w:rPr>
        <w:t xml:space="preserve"> </w:t>
      </w:r>
    </w:p>
    <w:p w:rsidR="00963FE8" w:rsidRPr="002E49D8" w:rsidRDefault="00963FE8" w:rsidP="006752E9">
      <w:pPr>
        <w:spacing w:line="360" w:lineRule="auto"/>
        <w:jc w:val="both"/>
        <w:rPr>
          <w:rFonts w:ascii="Century Gothic" w:hAnsi="Century Gothic" w:cs="Arial"/>
          <w:bCs/>
          <w:sz w:val="24"/>
          <w:szCs w:val="24"/>
          <w:lang w:eastAsia="en-US"/>
        </w:rPr>
      </w:pPr>
    </w:p>
    <w:p w:rsidR="006752E9" w:rsidRPr="00343FBE" w:rsidRDefault="00117726" w:rsidP="006752E9">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a) Demanda</w:t>
      </w:r>
      <w:r w:rsidRPr="00343FBE">
        <w:rPr>
          <w:rFonts w:ascii="Century Gothic" w:hAnsi="Century Gothic" w:cs="Arial"/>
          <w:bCs/>
          <w:sz w:val="28"/>
          <w:szCs w:val="28"/>
          <w:lang w:eastAsia="en-US"/>
        </w:rPr>
        <w:t xml:space="preserve">. </w:t>
      </w:r>
      <w:r w:rsidR="006752E9" w:rsidRPr="00343FBE">
        <w:rPr>
          <w:rFonts w:ascii="Century Gothic" w:hAnsi="Century Gothic" w:cs="Arial"/>
          <w:bCs/>
          <w:sz w:val="28"/>
          <w:szCs w:val="28"/>
          <w:lang w:eastAsia="en-US"/>
        </w:rPr>
        <w:t xml:space="preserve">El treinta y uno de marzo pasado, </w:t>
      </w:r>
      <w:r w:rsidR="00963FE8" w:rsidRPr="00343FBE">
        <w:rPr>
          <w:rFonts w:ascii="Century Gothic" w:hAnsi="Century Gothic" w:cs="Arial"/>
          <w:bCs/>
          <w:sz w:val="28"/>
          <w:szCs w:val="28"/>
          <w:lang w:eastAsia="en-US"/>
        </w:rPr>
        <w:t>Santiago Vargas Hernández (</w:t>
      </w:r>
      <w:r w:rsidR="006752E9" w:rsidRPr="00343FBE">
        <w:rPr>
          <w:rFonts w:ascii="Century Gothic" w:hAnsi="Century Gothic" w:cs="Arial"/>
          <w:bCs/>
          <w:sz w:val="28"/>
          <w:szCs w:val="28"/>
          <w:lang w:eastAsia="en-US"/>
        </w:rPr>
        <w:t>actor</w:t>
      </w:r>
      <w:r w:rsidR="00963FE8" w:rsidRPr="00343FBE">
        <w:rPr>
          <w:rFonts w:ascii="Century Gothic" w:hAnsi="Century Gothic" w:cs="Arial"/>
          <w:bCs/>
          <w:sz w:val="28"/>
          <w:szCs w:val="28"/>
          <w:lang w:eastAsia="en-US"/>
        </w:rPr>
        <w:t xml:space="preserve"> en el SUP-JDC-369/2017),</w:t>
      </w:r>
      <w:r w:rsidR="006752E9" w:rsidRPr="00343FBE">
        <w:rPr>
          <w:rFonts w:ascii="Century Gothic" w:hAnsi="Century Gothic" w:cs="Arial"/>
          <w:bCs/>
          <w:sz w:val="28"/>
          <w:szCs w:val="28"/>
          <w:lang w:eastAsia="en-US"/>
        </w:rPr>
        <w:t xml:space="preserve"> promovió juicio ciudadano</w:t>
      </w:r>
      <w:r w:rsidR="00D260B8" w:rsidRPr="00343FBE">
        <w:rPr>
          <w:rFonts w:ascii="Century Gothic" w:hAnsi="Century Gothic" w:cs="Arial"/>
          <w:bCs/>
          <w:sz w:val="28"/>
          <w:szCs w:val="28"/>
          <w:lang w:eastAsia="en-US"/>
        </w:rPr>
        <w:t>, el cual fue registrado con la clave SUP-JDC-198/2017.</w:t>
      </w:r>
    </w:p>
    <w:p w:rsidR="00D260B8" w:rsidRPr="002E49D8" w:rsidRDefault="00D260B8" w:rsidP="006752E9">
      <w:pPr>
        <w:spacing w:line="360" w:lineRule="auto"/>
        <w:jc w:val="both"/>
        <w:rPr>
          <w:rFonts w:ascii="Century Gothic" w:hAnsi="Century Gothic" w:cs="Arial"/>
          <w:bCs/>
          <w:sz w:val="24"/>
          <w:szCs w:val="24"/>
          <w:lang w:eastAsia="en-US"/>
        </w:rPr>
      </w:pPr>
    </w:p>
    <w:p w:rsidR="00F95760" w:rsidRPr="00343FBE" w:rsidRDefault="00D260B8" w:rsidP="00117726">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En su demanda, el impugnante </w:t>
      </w:r>
      <w:r w:rsidR="00117726" w:rsidRPr="00343FBE">
        <w:rPr>
          <w:rFonts w:ascii="Century Gothic" w:hAnsi="Century Gothic" w:cs="Arial"/>
          <w:bCs/>
          <w:sz w:val="28"/>
          <w:szCs w:val="28"/>
          <w:lang w:eastAsia="en-US"/>
        </w:rPr>
        <w:t>reclamó</w:t>
      </w:r>
      <w:r w:rsidR="00F95760" w:rsidRPr="00343FBE">
        <w:rPr>
          <w:rFonts w:ascii="Century Gothic" w:hAnsi="Century Gothic" w:cs="Arial"/>
          <w:bCs/>
          <w:sz w:val="28"/>
          <w:szCs w:val="28"/>
          <w:lang w:eastAsia="en-US"/>
        </w:rPr>
        <w:t>,</w:t>
      </w:r>
      <w:r w:rsidR="00117726" w:rsidRPr="00343FBE">
        <w:rPr>
          <w:rFonts w:ascii="Century Gothic" w:hAnsi="Century Gothic" w:cs="Arial"/>
          <w:bCs/>
          <w:sz w:val="28"/>
          <w:szCs w:val="28"/>
          <w:lang w:eastAsia="en-US"/>
        </w:rPr>
        <w:t xml:space="preserve"> fundamentalmente</w:t>
      </w:r>
      <w:r w:rsidR="00F95760" w:rsidRPr="00343FBE">
        <w:rPr>
          <w:rFonts w:ascii="Century Gothic" w:hAnsi="Century Gothic" w:cs="Arial"/>
          <w:bCs/>
          <w:sz w:val="28"/>
          <w:szCs w:val="28"/>
          <w:lang w:eastAsia="en-US"/>
        </w:rPr>
        <w:t>:</w:t>
      </w:r>
    </w:p>
    <w:p w:rsidR="00F95760" w:rsidRPr="002E49D8" w:rsidRDefault="00F95760" w:rsidP="00117726">
      <w:pPr>
        <w:spacing w:line="360" w:lineRule="auto"/>
        <w:jc w:val="both"/>
        <w:rPr>
          <w:rFonts w:ascii="Century Gothic" w:hAnsi="Century Gothic" w:cs="Arial"/>
          <w:bCs/>
          <w:sz w:val="24"/>
          <w:szCs w:val="24"/>
          <w:lang w:eastAsia="en-US"/>
        </w:rPr>
      </w:pPr>
    </w:p>
    <w:p w:rsidR="0055612D" w:rsidRPr="00343FBE" w:rsidRDefault="00F95760" w:rsidP="00117726">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I. L</w:t>
      </w:r>
      <w:r w:rsidR="00117726" w:rsidRPr="00343FBE">
        <w:rPr>
          <w:rFonts w:ascii="Century Gothic" w:hAnsi="Century Gothic" w:cs="Arial"/>
          <w:bCs/>
          <w:sz w:val="28"/>
          <w:szCs w:val="28"/>
          <w:lang w:eastAsia="en-US"/>
        </w:rPr>
        <w:t>a falta de renovación de los citados órganos directivos</w:t>
      </w:r>
      <w:r w:rsidRPr="00343FBE">
        <w:rPr>
          <w:rFonts w:ascii="Century Gothic" w:hAnsi="Century Gothic" w:cs="Arial"/>
          <w:bCs/>
          <w:sz w:val="28"/>
          <w:szCs w:val="28"/>
          <w:lang w:eastAsia="en-US"/>
        </w:rPr>
        <w:t>.</w:t>
      </w:r>
    </w:p>
    <w:p w:rsidR="0055612D" w:rsidRPr="002E49D8" w:rsidRDefault="0055612D" w:rsidP="00117726">
      <w:pPr>
        <w:spacing w:line="360" w:lineRule="auto"/>
        <w:jc w:val="both"/>
        <w:rPr>
          <w:rFonts w:ascii="Century Gothic" w:hAnsi="Century Gothic" w:cs="Arial"/>
          <w:bCs/>
          <w:sz w:val="24"/>
          <w:szCs w:val="24"/>
          <w:lang w:eastAsia="en-US"/>
        </w:rPr>
      </w:pPr>
    </w:p>
    <w:p w:rsidR="00117726" w:rsidRPr="00343FBE" w:rsidRDefault="00F95760" w:rsidP="00117726">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Afirmó que el diecinueve de febrero de dos mil once, se celebró el Congreso Nacional Ordinario, en el que se renovaron todos los órganos directivos del </w:t>
      </w:r>
      <w:r w:rsidR="00A8764A" w:rsidRPr="00343FBE">
        <w:rPr>
          <w:rFonts w:ascii="Century Gothic" w:hAnsi="Century Gothic" w:cs="Arial"/>
          <w:bCs/>
          <w:sz w:val="28"/>
          <w:szCs w:val="28"/>
          <w:lang w:eastAsia="en-US"/>
        </w:rPr>
        <w:t>PT</w:t>
      </w:r>
      <w:r w:rsidRPr="00343FBE">
        <w:rPr>
          <w:rFonts w:ascii="Century Gothic" w:hAnsi="Century Gothic" w:cs="Arial"/>
          <w:bCs/>
          <w:sz w:val="28"/>
          <w:szCs w:val="28"/>
          <w:lang w:eastAsia="en-US"/>
        </w:rPr>
        <w:t>, por lo que al tomar en cuenta que tales órganos se deben renovar cada seis años, a más tardar el diecinueve de febrero del año en curso, se deberían elegir a los nuevos integrantes de dichos órganos</w:t>
      </w:r>
      <w:r w:rsidR="0055612D" w:rsidRPr="00343FBE">
        <w:rPr>
          <w:rFonts w:ascii="Century Gothic" w:hAnsi="Century Gothic" w:cs="Arial"/>
          <w:bCs/>
          <w:sz w:val="28"/>
          <w:szCs w:val="28"/>
          <w:lang w:eastAsia="en-US"/>
        </w:rPr>
        <w:t>, sin que ello haya sucedido</w:t>
      </w:r>
      <w:r w:rsidRPr="00343FBE">
        <w:rPr>
          <w:rFonts w:ascii="Century Gothic" w:hAnsi="Century Gothic" w:cs="Arial"/>
          <w:bCs/>
          <w:sz w:val="28"/>
          <w:szCs w:val="28"/>
          <w:lang w:eastAsia="en-US"/>
        </w:rPr>
        <w:t>.</w:t>
      </w:r>
    </w:p>
    <w:p w:rsidR="003E6D3D" w:rsidRPr="002E49D8" w:rsidRDefault="003E6D3D" w:rsidP="00117726">
      <w:pPr>
        <w:spacing w:line="360" w:lineRule="auto"/>
        <w:jc w:val="both"/>
        <w:rPr>
          <w:rFonts w:ascii="Century Gothic" w:hAnsi="Century Gothic" w:cs="Arial"/>
          <w:bCs/>
          <w:sz w:val="24"/>
          <w:szCs w:val="24"/>
          <w:lang w:eastAsia="en-US"/>
        </w:rPr>
      </w:pPr>
    </w:p>
    <w:p w:rsidR="0023260F" w:rsidRPr="00343FBE" w:rsidRDefault="00F95760" w:rsidP="00117726">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II.</w:t>
      </w:r>
      <w:r w:rsidR="00A924B7" w:rsidRPr="00343FBE">
        <w:rPr>
          <w:rFonts w:ascii="Century Gothic" w:hAnsi="Century Gothic" w:cs="Arial"/>
          <w:bCs/>
          <w:sz w:val="28"/>
          <w:szCs w:val="28"/>
          <w:lang w:eastAsia="en-US"/>
        </w:rPr>
        <w:t xml:space="preserve"> </w:t>
      </w:r>
      <w:r w:rsidR="0023260F" w:rsidRPr="00343FBE">
        <w:rPr>
          <w:rFonts w:ascii="Century Gothic" w:hAnsi="Century Gothic" w:cs="Arial"/>
          <w:bCs/>
          <w:sz w:val="28"/>
          <w:szCs w:val="28"/>
          <w:lang w:eastAsia="en-US"/>
        </w:rPr>
        <w:t>Ad cautelam,</w:t>
      </w:r>
      <w:r w:rsidR="005F73EA" w:rsidRPr="00343FBE">
        <w:rPr>
          <w:rFonts w:ascii="Century Gothic" w:hAnsi="Century Gothic" w:cs="Arial"/>
          <w:bCs/>
          <w:sz w:val="28"/>
          <w:szCs w:val="28"/>
          <w:lang w:eastAsia="en-US"/>
        </w:rPr>
        <w:t xml:space="preserve"> </w:t>
      </w:r>
      <w:r w:rsidR="003E6D3D" w:rsidRPr="00343FBE">
        <w:rPr>
          <w:rFonts w:ascii="Century Gothic" w:hAnsi="Century Gothic" w:cs="Arial"/>
          <w:bCs/>
          <w:sz w:val="28"/>
          <w:szCs w:val="28"/>
          <w:lang w:eastAsia="en-US"/>
        </w:rPr>
        <w:t>pidió que se tuviera en cuenta la</w:t>
      </w:r>
      <w:r w:rsidR="0023260F" w:rsidRPr="00343FBE">
        <w:rPr>
          <w:rFonts w:ascii="Century Gothic" w:hAnsi="Century Gothic" w:cs="Arial"/>
          <w:bCs/>
          <w:sz w:val="28"/>
          <w:szCs w:val="28"/>
          <w:lang w:eastAsia="en-US"/>
        </w:rPr>
        <w:t xml:space="preserve"> i</w:t>
      </w:r>
      <w:r w:rsidR="00F35B53" w:rsidRPr="00343FBE">
        <w:rPr>
          <w:rFonts w:ascii="Century Gothic" w:hAnsi="Century Gothic" w:cs="Arial"/>
          <w:bCs/>
          <w:sz w:val="28"/>
          <w:szCs w:val="28"/>
          <w:lang w:eastAsia="en-US"/>
        </w:rPr>
        <w:t>mposibilidad estatutaria de diversas personas que</w:t>
      </w:r>
      <w:r w:rsidR="0023260F" w:rsidRPr="00343FBE">
        <w:rPr>
          <w:rFonts w:ascii="Century Gothic" w:hAnsi="Century Gothic" w:cs="Arial"/>
          <w:bCs/>
          <w:sz w:val="28"/>
          <w:szCs w:val="28"/>
          <w:lang w:eastAsia="en-US"/>
        </w:rPr>
        <w:t xml:space="preserve"> el actor</w:t>
      </w:r>
      <w:r w:rsidR="00F35B53" w:rsidRPr="00343FBE">
        <w:rPr>
          <w:rFonts w:ascii="Century Gothic" w:hAnsi="Century Gothic" w:cs="Arial"/>
          <w:bCs/>
          <w:sz w:val="28"/>
          <w:szCs w:val="28"/>
          <w:lang w:eastAsia="en-US"/>
        </w:rPr>
        <w:t xml:space="preserve"> </w:t>
      </w:r>
      <w:r w:rsidR="00F35B53" w:rsidRPr="00343FBE">
        <w:rPr>
          <w:rFonts w:ascii="Century Gothic" w:hAnsi="Century Gothic" w:cs="Arial"/>
          <w:bCs/>
          <w:sz w:val="28"/>
          <w:szCs w:val="28"/>
          <w:lang w:eastAsia="en-US"/>
        </w:rPr>
        <w:lastRenderedPageBreak/>
        <w:t>precisó,</w:t>
      </w:r>
      <w:r w:rsidR="0023260F" w:rsidRPr="00343FBE">
        <w:rPr>
          <w:rFonts w:ascii="Century Gothic" w:hAnsi="Century Gothic" w:cs="Arial"/>
          <w:bCs/>
          <w:sz w:val="28"/>
          <w:szCs w:val="28"/>
          <w:lang w:eastAsia="en-US"/>
        </w:rPr>
        <w:t xml:space="preserve"> para volver a postularse y ser elegidos como dirigentes partidistas.</w:t>
      </w:r>
    </w:p>
    <w:p w:rsidR="00F95760" w:rsidRPr="002E49D8" w:rsidRDefault="00F95760" w:rsidP="00117726">
      <w:pPr>
        <w:spacing w:line="360" w:lineRule="auto"/>
        <w:jc w:val="both"/>
        <w:rPr>
          <w:rFonts w:ascii="Century Gothic" w:hAnsi="Century Gothic" w:cs="Arial"/>
          <w:bCs/>
          <w:sz w:val="24"/>
          <w:szCs w:val="24"/>
          <w:lang w:eastAsia="en-US"/>
        </w:rPr>
      </w:pPr>
    </w:p>
    <w:p w:rsidR="00A640CB" w:rsidRPr="00343FBE" w:rsidRDefault="00A640CB" w:rsidP="00117726">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El actor aludió a la sentencia dictada por esta Sala Superior, el veintisiete de enero de dos mil </w:t>
      </w:r>
      <w:r w:rsidR="00335B88" w:rsidRPr="00343FBE">
        <w:rPr>
          <w:rFonts w:ascii="Century Gothic" w:hAnsi="Century Gothic" w:cs="Arial"/>
          <w:bCs/>
          <w:sz w:val="28"/>
          <w:szCs w:val="28"/>
          <w:lang w:eastAsia="en-US"/>
        </w:rPr>
        <w:t>diez</w:t>
      </w:r>
      <w:r w:rsidRPr="00343FBE">
        <w:rPr>
          <w:rFonts w:ascii="Century Gothic" w:hAnsi="Century Gothic" w:cs="Arial"/>
          <w:bCs/>
          <w:sz w:val="28"/>
          <w:szCs w:val="28"/>
          <w:lang w:eastAsia="en-US"/>
        </w:rPr>
        <w:t xml:space="preserve">, en el citado juicio ciudadano SUP-JDC-2638/2008, y a las incompatibilidades entre los cargos partidistas y los de elección popular, así como a la reelección; afirmó que era probable </w:t>
      </w:r>
      <w:proofErr w:type="gramStart"/>
      <w:r w:rsidRPr="00343FBE">
        <w:rPr>
          <w:rFonts w:ascii="Century Gothic" w:hAnsi="Century Gothic" w:cs="Arial"/>
          <w:bCs/>
          <w:sz w:val="28"/>
          <w:szCs w:val="28"/>
          <w:lang w:eastAsia="en-US"/>
        </w:rPr>
        <w:t>que</w:t>
      </w:r>
      <w:proofErr w:type="gramEnd"/>
      <w:r w:rsidRPr="00343FBE">
        <w:rPr>
          <w:rFonts w:ascii="Century Gothic" w:hAnsi="Century Gothic" w:cs="Arial"/>
          <w:bCs/>
          <w:sz w:val="28"/>
          <w:szCs w:val="28"/>
          <w:lang w:eastAsia="en-US"/>
        </w:rPr>
        <w:t xml:space="preserve"> durante la sustanciación del juicio, “</w:t>
      </w:r>
      <w:r w:rsidRPr="00343FBE">
        <w:rPr>
          <w:rFonts w:ascii="Century Gothic" w:hAnsi="Century Gothic" w:cs="Arial"/>
          <w:bCs/>
          <w:i/>
          <w:sz w:val="28"/>
          <w:szCs w:val="28"/>
          <w:lang w:eastAsia="en-US"/>
        </w:rPr>
        <w:t>la dirigencia omisa</w:t>
      </w:r>
      <w:r w:rsidRPr="00343FBE">
        <w:rPr>
          <w:rFonts w:ascii="Century Gothic" w:hAnsi="Century Gothic" w:cs="Arial"/>
          <w:bCs/>
          <w:sz w:val="28"/>
          <w:szCs w:val="28"/>
          <w:lang w:eastAsia="en-US"/>
        </w:rPr>
        <w:t xml:space="preserve">” realizara actos encaminados a elegir nueva dirigencia. </w:t>
      </w:r>
    </w:p>
    <w:p w:rsidR="00A640CB" w:rsidRPr="002E49D8" w:rsidRDefault="00A640CB" w:rsidP="00117726">
      <w:pPr>
        <w:spacing w:line="360" w:lineRule="auto"/>
        <w:jc w:val="both"/>
        <w:rPr>
          <w:rFonts w:ascii="Century Gothic" w:hAnsi="Century Gothic" w:cs="Arial"/>
          <w:bCs/>
          <w:sz w:val="24"/>
          <w:szCs w:val="24"/>
          <w:lang w:eastAsia="en-US"/>
        </w:rPr>
      </w:pPr>
    </w:p>
    <w:p w:rsidR="007B50C0" w:rsidRPr="00343FBE" w:rsidRDefault="00A640CB" w:rsidP="00117726">
      <w:pPr>
        <w:spacing w:line="360" w:lineRule="auto"/>
        <w:jc w:val="both"/>
        <w:rPr>
          <w:rFonts w:ascii="Century Gothic" w:hAnsi="Century Gothic" w:cs="Arial"/>
          <w:bCs/>
          <w:i/>
          <w:sz w:val="28"/>
          <w:szCs w:val="28"/>
          <w:lang w:eastAsia="en-US"/>
        </w:rPr>
      </w:pPr>
      <w:r w:rsidRPr="00343FBE">
        <w:rPr>
          <w:rFonts w:ascii="Century Gothic" w:hAnsi="Century Gothic" w:cs="Arial"/>
          <w:bCs/>
          <w:sz w:val="28"/>
          <w:szCs w:val="28"/>
          <w:lang w:eastAsia="en-US"/>
        </w:rPr>
        <w:t>En ese supuesto, “</w:t>
      </w:r>
      <w:r w:rsidRPr="00343FBE">
        <w:rPr>
          <w:rFonts w:ascii="Century Gothic" w:hAnsi="Century Gothic" w:cs="Arial"/>
          <w:bCs/>
          <w:i/>
          <w:sz w:val="28"/>
          <w:szCs w:val="28"/>
          <w:lang w:eastAsia="en-US"/>
        </w:rPr>
        <w:t>ad cautelam, para el caso de que esa H. autoridad llegare a validar tales actos</w:t>
      </w:r>
      <w:r w:rsidR="007B50C0" w:rsidRPr="00343FBE">
        <w:rPr>
          <w:rFonts w:ascii="Century Gothic" w:hAnsi="Century Gothic" w:cs="Arial"/>
          <w:bCs/>
          <w:i/>
          <w:sz w:val="28"/>
          <w:szCs w:val="28"/>
          <w:lang w:eastAsia="en-US"/>
        </w:rPr>
        <w:t>, es importante que se tenga en cuenta que los siguientes militantes están impedidos para volver a postularse y ser elegidos, puesto que se han perpetuado en la dirigencia …</w:t>
      </w:r>
    </w:p>
    <w:p w:rsidR="00A640CB" w:rsidRPr="00343FBE" w:rsidRDefault="007B50C0" w:rsidP="00117726">
      <w:pPr>
        <w:spacing w:line="360" w:lineRule="auto"/>
        <w:jc w:val="both"/>
        <w:rPr>
          <w:rFonts w:ascii="Century Gothic" w:hAnsi="Century Gothic" w:cs="Arial"/>
          <w:bCs/>
          <w:i/>
          <w:sz w:val="28"/>
          <w:szCs w:val="28"/>
          <w:lang w:eastAsia="en-US"/>
        </w:rPr>
      </w:pPr>
      <w:r w:rsidRPr="00343FBE">
        <w:rPr>
          <w:rFonts w:ascii="Century Gothic" w:hAnsi="Century Gothic" w:cs="Arial"/>
          <w:bCs/>
          <w:i/>
          <w:sz w:val="28"/>
          <w:szCs w:val="28"/>
          <w:lang w:eastAsia="en-US"/>
        </w:rPr>
        <w:t xml:space="preserve">1. Alberto Anaya Gutiérrez. </w:t>
      </w:r>
    </w:p>
    <w:p w:rsidR="007B50C0" w:rsidRPr="00343FBE" w:rsidRDefault="007B50C0" w:rsidP="00117726">
      <w:pPr>
        <w:spacing w:line="360" w:lineRule="auto"/>
        <w:jc w:val="both"/>
        <w:rPr>
          <w:rFonts w:ascii="Century Gothic" w:hAnsi="Century Gothic" w:cs="Arial"/>
          <w:bCs/>
          <w:i/>
          <w:sz w:val="28"/>
          <w:szCs w:val="28"/>
          <w:lang w:eastAsia="en-US"/>
        </w:rPr>
      </w:pPr>
      <w:r w:rsidRPr="00343FBE">
        <w:rPr>
          <w:rFonts w:ascii="Century Gothic" w:hAnsi="Century Gothic" w:cs="Arial"/>
          <w:bCs/>
          <w:i/>
          <w:sz w:val="28"/>
          <w:szCs w:val="28"/>
          <w:lang w:eastAsia="en-US"/>
        </w:rPr>
        <w:t>2. Ricardo Cantú Garza.</w:t>
      </w:r>
    </w:p>
    <w:p w:rsidR="007B50C0" w:rsidRPr="00343FBE" w:rsidRDefault="007B50C0" w:rsidP="00117726">
      <w:pPr>
        <w:spacing w:line="360" w:lineRule="auto"/>
        <w:jc w:val="both"/>
        <w:rPr>
          <w:rFonts w:ascii="Century Gothic" w:hAnsi="Century Gothic" w:cs="Arial"/>
          <w:bCs/>
          <w:i/>
          <w:sz w:val="28"/>
          <w:szCs w:val="28"/>
          <w:lang w:eastAsia="en-US"/>
        </w:rPr>
      </w:pPr>
      <w:r w:rsidRPr="00343FBE">
        <w:rPr>
          <w:rFonts w:ascii="Century Gothic" w:hAnsi="Century Gothic" w:cs="Arial"/>
          <w:bCs/>
          <w:i/>
          <w:sz w:val="28"/>
          <w:szCs w:val="28"/>
          <w:lang w:eastAsia="en-US"/>
        </w:rPr>
        <w:t>3. Alejandro González Yáñez.</w:t>
      </w:r>
    </w:p>
    <w:p w:rsidR="007B50C0" w:rsidRPr="00343FBE" w:rsidRDefault="007B50C0" w:rsidP="00117726">
      <w:pPr>
        <w:spacing w:line="360" w:lineRule="auto"/>
        <w:jc w:val="both"/>
        <w:rPr>
          <w:rFonts w:ascii="Century Gothic" w:hAnsi="Century Gothic" w:cs="Arial"/>
          <w:bCs/>
          <w:sz w:val="28"/>
          <w:szCs w:val="28"/>
          <w:lang w:eastAsia="en-US"/>
        </w:rPr>
      </w:pPr>
      <w:r w:rsidRPr="00343FBE">
        <w:rPr>
          <w:rFonts w:ascii="Century Gothic" w:hAnsi="Century Gothic" w:cs="Arial"/>
          <w:bCs/>
          <w:i/>
          <w:sz w:val="28"/>
          <w:szCs w:val="28"/>
          <w:lang w:eastAsia="en-US"/>
        </w:rPr>
        <w:t>4. Rubén Aguilar Jiménez</w:t>
      </w:r>
      <w:r w:rsidRPr="00343FBE">
        <w:rPr>
          <w:rFonts w:ascii="Century Gothic" w:hAnsi="Century Gothic" w:cs="Arial"/>
          <w:bCs/>
          <w:sz w:val="28"/>
          <w:szCs w:val="28"/>
          <w:lang w:eastAsia="en-US"/>
        </w:rPr>
        <w:t xml:space="preserve">”. </w:t>
      </w:r>
    </w:p>
    <w:p w:rsidR="00952D87" w:rsidRPr="002E49D8" w:rsidRDefault="00952D87" w:rsidP="00117726">
      <w:pPr>
        <w:spacing w:line="360" w:lineRule="auto"/>
        <w:jc w:val="both"/>
        <w:rPr>
          <w:rFonts w:ascii="Century Gothic" w:hAnsi="Century Gothic" w:cs="Arial"/>
          <w:bCs/>
          <w:sz w:val="24"/>
          <w:szCs w:val="24"/>
          <w:lang w:eastAsia="en-US"/>
        </w:rPr>
      </w:pPr>
    </w:p>
    <w:p w:rsidR="00952D87" w:rsidRPr="00343FBE" w:rsidRDefault="00952D87" w:rsidP="00117726">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Además, el impugnante manifestó que el Tribunal debería tomar en cuenta</w:t>
      </w:r>
      <w:r w:rsidR="00336E73" w:rsidRPr="00343FBE">
        <w:rPr>
          <w:rFonts w:ascii="Century Gothic" w:hAnsi="Century Gothic" w:cs="Arial"/>
          <w:bCs/>
          <w:sz w:val="28"/>
          <w:szCs w:val="28"/>
          <w:lang w:eastAsia="en-US"/>
        </w:rPr>
        <w:t>,</w:t>
      </w:r>
      <w:r w:rsidRPr="00343FBE">
        <w:rPr>
          <w:rFonts w:ascii="Century Gothic" w:hAnsi="Century Gothic" w:cs="Arial"/>
          <w:bCs/>
          <w:sz w:val="28"/>
          <w:szCs w:val="28"/>
          <w:lang w:eastAsia="en-US"/>
        </w:rPr>
        <w:t xml:space="preserve"> </w:t>
      </w:r>
      <w:proofErr w:type="gramStart"/>
      <w:r w:rsidRPr="00343FBE">
        <w:rPr>
          <w:rFonts w:ascii="Century Gothic" w:hAnsi="Century Gothic" w:cs="Arial"/>
          <w:bCs/>
          <w:sz w:val="28"/>
          <w:szCs w:val="28"/>
          <w:lang w:eastAsia="en-US"/>
        </w:rPr>
        <w:t>que</w:t>
      </w:r>
      <w:proofErr w:type="gramEnd"/>
      <w:r w:rsidRPr="00343FBE">
        <w:rPr>
          <w:rFonts w:ascii="Century Gothic" w:hAnsi="Century Gothic" w:cs="Arial"/>
          <w:bCs/>
          <w:sz w:val="28"/>
          <w:szCs w:val="28"/>
          <w:lang w:eastAsia="en-US"/>
        </w:rPr>
        <w:t xml:space="preserve"> por así establecerlo los estatutos, no podría ser reelectos quienes practiquen el nepotismo, entre quienes se encontraban Alberto Anaya Gutiérrez, María Guadalupe Rodríguez Martínez, Oscar González Yáñez y </w:t>
      </w:r>
      <w:r w:rsidRPr="00343FBE">
        <w:rPr>
          <w:rFonts w:ascii="Century Gothic" w:hAnsi="Century Gothic" w:cs="Arial"/>
          <w:bCs/>
          <w:sz w:val="28"/>
          <w:szCs w:val="28"/>
          <w:lang w:eastAsia="en-US"/>
        </w:rPr>
        <w:lastRenderedPageBreak/>
        <w:t xml:space="preserve">Alejandro González Yánez, </w:t>
      </w:r>
      <w:r w:rsidR="00487CC0" w:rsidRPr="00343FBE">
        <w:rPr>
          <w:rFonts w:ascii="Century Gothic" w:hAnsi="Century Gothic" w:cs="Arial"/>
          <w:bCs/>
          <w:sz w:val="28"/>
          <w:szCs w:val="28"/>
          <w:lang w:eastAsia="en-US"/>
        </w:rPr>
        <w:t xml:space="preserve">ya que entre los dos primeros existía una relación conyugal, y los últimos eran hermanos, por lo que no podían ser reelectos. </w:t>
      </w:r>
    </w:p>
    <w:p w:rsidR="00117726" w:rsidRPr="002E49D8" w:rsidRDefault="00117726" w:rsidP="00117726">
      <w:pPr>
        <w:spacing w:line="360" w:lineRule="auto"/>
        <w:jc w:val="both"/>
        <w:rPr>
          <w:rFonts w:ascii="Century Gothic" w:hAnsi="Century Gothic" w:cs="Arial"/>
          <w:bCs/>
          <w:sz w:val="24"/>
          <w:szCs w:val="24"/>
          <w:lang w:eastAsia="en-US"/>
        </w:rPr>
      </w:pPr>
    </w:p>
    <w:p w:rsidR="00D260B8" w:rsidRPr="00343FBE" w:rsidRDefault="00117726" w:rsidP="00117726">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El accionante solicitó que se conociera </w:t>
      </w:r>
      <w:r w:rsidRPr="00343FBE">
        <w:rPr>
          <w:rFonts w:ascii="Century Gothic" w:hAnsi="Century Gothic" w:cs="Arial"/>
          <w:bCs/>
          <w:i/>
          <w:sz w:val="28"/>
          <w:szCs w:val="28"/>
          <w:lang w:eastAsia="en-US"/>
        </w:rPr>
        <w:t xml:space="preserve">per </w:t>
      </w:r>
      <w:proofErr w:type="spellStart"/>
      <w:r w:rsidRPr="00343FBE">
        <w:rPr>
          <w:rFonts w:ascii="Century Gothic" w:hAnsi="Century Gothic" w:cs="Arial"/>
          <w:bCs/>
          <w:i/>
          <w:sz w:val="28"/>
          <w:szCs w:val="28"/>
          <w:lang w:eastAsia="en-US"/>
        </w:rPr>
        <w:t>saltum</w:t>
      </w:r>
      <w:proofErr w:type="spellEnd"/>
      <w:r w:rsidRPr="00343FBE">
        <w:rPr>
          <w:rFonts w:ascii="Century Gothic" w:hAnsi="Century Gothic" w:cs="Arial"/>
          <w:bCs/>
          <w:sz w:val="28"/>
          <w:szCs w:val="28"/>
          <w:lang w:eastAsia="en-US"/>
        </w:rPr>
        <w:t xml:space="preserve"> su impugnación.</w:t>
      </w:r>
    </w:p>
    <w:p w:rsidR="006752E9" w:rsidRPr="002E49D8" w:rsidRDefault="006752E9" w:rsidP="006752E9">
      <w:pPr>
        <w:spacing w:line="360" w:lineRule="auto"/>
        <w:jc w:val="both"/>
        <w:rPr>
          <w:rFonts w:ascii="Century Gothic" w:hAnsi="Century Gothic" w:cs="Arial"/>
          <w:bCs/>
          <w:sz w:val="24"/>
          <w:szCs w:val="24"/>
          <w:lang w:eastAsia="en-US"/>
        </w:rPr>
      </w:pPr>
    </w:p>
    <w:p w:rsidR="006752E9" w:rsidRPr="00343FBE" w:rsidRDefault="00117726" w:rsidP="006752E9">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b) reencauzamiento</w:t>
      </w:r>
      <w:r w:rsidRPr="00343FBE">
        <w:rPr>
          <w:rFonts w:ascii="Century Gothic" w:hAnsi="Century Gothic" w:cs="Arial"/>
          <w:bCs/>
          <w:sz w:val="28"/>
          <w:szCs w:val="28"/>
          <w:lang w:eastAsia="en-US"/>
        </w:rPr>
        <w:t xml:space="preserve">. </w:t>
      </w:r>
      <w:r w:rsidR="00880D47" w:rsidRPr="00343FBE">
        <w:rPr>
          <w:rFonts w:ascii="Century Gothic" w:hAnsi="Century Gothic" w:cs="Arial"/>
          <w:bCs/>
          <w:sz w:val="28"/>
          <w:szCs w:val="28"/>
          <w:lang w:eastAsia="en-US"/>
        </w:rPr>
        <w:t>Este Tribunal determinó que el juicio era improcedente y ordenó reencauzarlo a recurso de queja, competencia de la Comisión, en donde se registró con la clave CNCGJYC/01/NAL/17.</w:t>
      </w:r>
    </w:p>
    <w:p w:rsidR="00117726" w:rsidRPr="002E49D8" w:rsidRDefault="00117726" w:rsidP="006752E9">
      <w:pPr>
        <w:spacing w:line="360" w:lineRule="auto"/>
        <w:jc w:val="both"/>
        <w:rPr>
          <w:rFonts w:ascii="Century Gothic" w:hAnsi="Century Gothic" w:cs="Arial"/>
          <w:bCs/>
          <w:sz w:val="24"/>
          <w:szCs w:val="24"/>
          <w:lang w:eastAsia="en-US"/>
        </w:rPr>
      </w:pPr>
    </w:p>
    <w:p w:rsidR="00117726" w:rsidRPr="00343FBE" w:rsidRDefault="00117726" w:rsidP="006752E9">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 xml:space="preserve">c) Resolución del medio de impugnación </w:t>
      </w:r>
      <w:proofErr w:type="spellStart"/>
      <w:r w:rsidRPr="00343FBE">
        <w:rPr>
          <w:rFonts w:ascii="Century Gothic" w:hAnsi="Century Gothic" w:cs="Arial"/>
          <w:b/>
          <w:bCs/>
          <w:sz w:val="28"/>
          <w:szCs w:val="28"/>
          <w:lang w:eastAsia="en-US"/>
        </w:rPr>
        <w:t>intrapartidista</w:t>
      </w:r>
      <w:proofErr w:type="spellEnd"/>
      <w:r w:rsidRPr="00343FBE">
        <w:rPr>
          <w:rFonts w:ascii="Century Gothic" w:hAnsi="Century Gothic" w:cs="Arial"/>
          <w:bCs/>
          <w:sz w:val="28"/>
          <w:szCs w:val="28"/>
          <w:lang w:eastAsia="en-US"/>
        </w:rPr>
        <w:t xml:space="preserve">. </w:t>
      </w:r>
      <w:r w:rsidR="00B142A3" w:rsidRPr="00343FBE">
        <w:rPr>
          <w:rFonts w:ascii="Century Gothic" w:hAnsi="Century Gothic" w:cs="Arial"/>
          <w:bCs/>
          <w:sz w:val="28"/>
          <w:szCs w:val="28"/>
          <w:lang w:eastAsia="en-US"/>
        </w:rPr>
        <w:t>El órgano partidista declar</w:t>
      </w:r>
      <w:r w:rsidR="009C7A54" w:rsidRPr="00343FBE">
        <w:rPr>
          <w:rFonts w:ascii="Century Gothic" w:hAnsi="Century Gothic" w:cs="Arial"/>
          <w:bCs/>
          <w:sz w:val="28"/>
          <w:szCs w:val="28"/>
          <w:lang w:eastAsia="en-US"/>
        </w:rPr>
        <w:t>ó infundado el recurso de queja,</w:t>
      </w:r>
      <w:r w:rsidR="00B142A3" w:rsidRPr="00343FBE">
        <w:rPr>
          <w:rFonts w:ascii="Century Gothic" w:hAnsi="Century Gothic" w:cs="Arial"/>
          <w:bCs/>
          <w:sz w:val="28"/>
          <w:szCs w:val="28"/>
          <w:lang w:eastAsia="en-US"/>
        </w:rPr>
        <w:t xml:space="preserve"> desestim</w:t>
      </w:r>
      <w:r w:rsidR="009C7A54" w:rsidRPr="00343FBE">
        <w:rPr>
          <w:rFonts w:ascii="Century Gothic" w:hAnsi="Century Gothic" w:cs="Arial"/>
          <w:bCs/>
          <w:sz w:val="28"/>
          <w:szCs w:val="28"/>
          <w:lang w:eastAsia="en-US"/>
        </w:rPr>
        <w:t>ando</w:t>
      </w:r>
      <w:r w:rsidR="00B142A3" w:rsidRPr="00343FBE">
        <w:rPr>
          <w:rFonts w:ascii="Century Gothic" w:hAnsi="Century Gothic" w:cs="Arial"/>
          <w:bCs/>
          <w:sz w:val="28"/>
          <w:szCs w:val="28"/>
          <w:lang w:eastAsia="en-US"/>
        </w:rPr>
        <w:t xml:space="preserve"> los motivos de inconformidad del actor, </w:t>
      </w:r>
      <w:r w:rsidR="00363259" w:rsidRPr="00343FBE">
        <w:rPr>
          <w:rFonts w:ascii="Century Gothic" w:hAnsi="Century Gothic" w:cs="Arial"/>
          <w:bCs/>
          <w:sz w:val="28"/>
          <w:szCs w:val="28"/>
          <w:lang w:eastAsia="en-US"/>
        </w:rPr>
        <w:t xml:space="preserve">al considerar, </w:t>
      </w:r>
      <w:r w:rsidR="00B142A3" w:rsidRPr="00343FBE">
        <w:rPr>
          <w:rFonts w:ascii="Century Gothic" w:hAnsi="Century Gothic" w:cs="Arial"/>
          <w:bCs/>
          <w:sz w:val="28"/>
          <w:szCs w:val="28"/>
          <w:lang w:eastAsia="en-US"/>
        </w:rPr>
        <w:t>esencialmente</w:t>
      </w:r>
      <w:r w:rsidR="00363259" w:rsidRPr="00343FBE">
        <w:rPr>
          <w:rFonts w:ascii="Century Gothic" w:hAnsi="Century Gothic" w:cs="Arial"/>
          <w:bCs/>
          <w:sz w:val="28"/>
          <w:szCs w:val="28"/>
          <w:lang w:eastAsia="en-US"/>
        </w:rPr>
        <w:t>,</w:t>
      </w:r>
      <w:r w:rsidR="00B142A3" w:rsidRPr="00343FBE">
        <w:rPr>
          <w:rFonts w:ascii="Century Gothic" w:hAnsi="Century Gothic" w:cs="Arial"/>
          <w:bCs/>
          <w:sz w:val="28"/>
          <w:szCs w:val="28"/>
          <w:lang w:eastAsia="en-US"/>
        </w:rPr>
        <w:t xml:space="preserve"> lo siguiente:</w:t>
      </w:r>
    </w:p>
    <w:p w:rsidR="00B142A3" w:rsidRPr="002E49D8" w:rsidRDefault="00B142A3" w:rsidP="006752E9">
      <w:pPr>
        <w:spacing w:line="360" w:lineRule="auto"/>
        <w:jc w:val="both"/>
        <w:rPr>
          <w:rFonts w:ascii="Century Gothic" w:hAnsi="Century Gothic" w:cs="Arial"/>
          <w:bCs/>
          <w:sz w:val="24"/>
          <w:szCs w:val="24"/>
          <w:lang w:eastAsia="en-US"/>
        </w:rPr>
      </w:pPr>
    </w:p>
    <w:p w:rsidR="00363259" w:rsidRPr="00343FBE" w:rsidRDefault="00F86E5B" w:rsidP="006752E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313735" w:rsidRPr="00343FBE">
        <w:rPr>
          <w:rFonts w:ascii="Century Gothic" w:hAnsi="Century Gothic" w:cs="Arial"/>
          <w:bCs/>
          <w:sz w:val="28"/>
          <w:szCs w:val="28"/>
          <w:lang w:eastAsia="en-US"/>
        </w:rPr>
        <w:t xml:space="preserve">Tocante a la omisión de emitir convocatoria para la celebración </w:t>
      </w:r>
      <w:r w:rsidR="00841839" w:rsidRPr="00343FBE">
        <w:rPr>
          <w:rFonts w:ascii="Century Gothic" w:hAnsi="Century Gothic" w:cs="Arial"/>
          <w:bCs/>
          <w:sz w:val="28"/>
          <w:szCs w:val="28"/>
          <w:lang w:eastAsia="en-US"/>
        </w:rPr>
        <w:t xml:space="preserve">del Congreso Nacional Ordinario en que se </w:t>
      </w:r>
      <w:r w:rsidR="00313735" w:rsidRPr="00343FBE">
        <w:rPr>
          <w:rFonts w:ascii="Century Gothic" w:hAnsi="Century Gothic" w:cs="Arial"/>
          <w:bCs/>
          <w:sz w:val="28"/>
          <w:szCs w:val="28"/>
          <w:lang w:eastAsia="en-US"/>
        </w:rPr>
        <w:t>renova</w:t>
      </w:r>
      <w:r w:rsidR="00841839" w:rsidRPr="00343FBE">
        <w:rPr>
          <w:rFonts w:ascii="Century Gothic" w:hAnsi="Century Gothic" w:cs="Arial"/>
          <w:bCs/>
          <w:sz w:val="28"/>
          <w:szCs w:val="28"/>
          <w:lang w:eastAsia="en-US"/>
        </w:rPr>
        <w:t>ra</w:t>
      </w:r>
      <w:r w:rsidR="00313735" w:rsidRPr="00343FBE">
        <w:rPr>
          <w:rFonts w:ascii="Century Gothic" w:hAnsi="Century Gothic" w:cs="Arial"/>
          <w:bCs/>
          <w:sz w:val="28"/>
          <w:szCs w:val="28"/>
          <w:lang w:eastAsia="en-US"/>
        </w:rPr>
        <w:t xml:space="preserve"> la dirigencia</w:t>
      </w:r>
      <w:r w:rsidR="00841839" w:rsidRPr="00343FBE">
        <w:rPr>
          <w:rFonts w:ascii="Century Gothic" w:hAnsi="Century Gothic" w:cs="Arial"/>
          <w:bCs/>
          <w:sz w:val="28"/>
          <w:szCs w:val="28"/>
          <w:lang w:eastAsia="en-US"/>
        </w:rPr>
        <w:t xml:space="preserve"> partidista</w:t>
      </w:r>
      <w:r w:rsidR="00313735" w:rsidRPr="00343FBE">
        <w:rPr>
          <w:rFonts w:ascii="Century Gothic" w:hAnsi="Century Gothic" w:cs="Arial"/>
          <w:bCs/>
          <w:sz w:val="28"/>
          <w:szCs w:val="28"/>
          <w:lang w:eastAsia="en-US"/>
        </w:rPr>
        <w:t>,</w:t>
      </w:r>
      <w:r w:rsidR="00841839" w:rsidRPr="00343FBE">
        <w:rPr>
          <w:rFonts w:ascii="Century Gothic" w:hAnsi="Century Gothic" w:cs="Arial"/>
          <w:bCs/>
          <w:sz w:val="28"/>
          <w:szCs w:val="28"/>
          <w:lang w:eastAsia="en-US"/>
        </w:rPr>
        <w:t xml:space="preserve"> </w:t>
      </w:r>
      <w:r w:rsidR="005619B4" w:rsidRPr="00343FBE">
        <w:rPr>
          <w:rFonts w:ascii="Century Gothic" w:hAnsi="Century Gothic" w:cs="Arial"/>
          <w:bCs/>
          <w:sz w:val="28"/>
          <w:szCs w:val="28"/>
          <w:lang w:eastAsia="en-US"/>
        </w:rPr>
        <w:t>el agravio era infundado, en virtud de que</w:t>
      </w:r>
      <w:r w:rsidR="00363259" w:rsidRPr="00343FBE">
        <w:rPr>
          <w:rFonts w:ascii="Century Gothic" w:hAnsi="Century Gothic" w:cs="Arial"/>
          <w:bCs/>
          <w:sz w:val="28"/>
          <w:szCs w:val="28"/>
          <w:lang w:eastAsia="en-US"/>
        </w:rPr>
        <w:t xml:space="preserve"> la Comisión Ejecutiva Nacional determinó prorrogar la realización del Congreso Nacional Ordinario</w:t>
      </w:r>
      <w:r w:rsidR="001D4699" w:rsidRPr="00343FBE">
        <w:rPr>
          <w:rFonts w:ascii="Century Gothic" w:hAnsi="Century Gothic" w:cs="Arial"/>
          <w:bCs/>
          <w:sz w:val="28"/>
          <w:szCs w:val="28"/>
          <w:lang w:eastAsia="en-US"/>
        </w:rPr>
        <w:t>.</w:t>
      </w:r>
    </w:p>
    <w:p w:rsidR="001D4699" w:rsidRPr="002E49D8" w:rsidRDefault="001D4699" w:rsidP="006752E9">
      <w:pPr>
        <w:spacing w:line="360" w:lineRule="auto"/>
        <w:jc w:val="both"/>
        <w:rPr>
          <w:rFonts w:ascii="Century Gothic" w:hAnsi="Century Gothic" w:cs="Arial"/>
          <w:bCs/>
          <w:sz w:val="24"/>
          <w:szCs w:val="24"/>
          <w:lang w:eastAsia="en-US"/>
        </w:rPr>
      </w:pPr>
    </w:p>
    <w:p w:rsidR="001D4699" w:rsidRPr="00343FBE" w:rsidRDefault="001D4699" w:rsidP="006752E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Para arribar a tal conclusión, el órgano partidista responsable tuvo en cuenta que </w:t>
      </w:r>
      <w:r w:rsidR="00362276" w:rsidRPr="00343FBE">
        <w:rPr>
          <w:rFonts w:ascii="Century Gothic" w:hAnsi="Century Gothic" w:cs="Arial"/>
          <w:bCs/>
          <w:sz w:val="28"/>
          <w:szCs w:val="28"/>
          <w:lang w:eastAsia="en-US"/>
        </w:rPr>
        <w:t>obraba en autos</w:t>
      </w:r>
      <w:r w:rsidRPr="00343FBE">
        <w:rPr>
          <w:rFonts w:ascii="Century Gothic" w:hAnsi="Century Gothic" w:cs="Arial"/>
          <w:bCs/>
          <w:sz w:val="28"/>
          <w:szCs w:val="28"/>
          <w:lang w:eastAsia="en-US"/>
        </w:rPr>
        <w:t>:</w:t>
      </w:r>
    </w:p>
    <w:p w:rsidR="001D4699" w:rsidRPr="002E49D8" w:rsidRDefault="001D4699" w:rsidP="006752E9">
      <w:pPr>
        <w:spacing w:line="360" w:lineRule="auto"/>
        <w:jc w:val="both"/>
        <w:rPr>
          <w:rFonts w:ascii="Century Gothic" w:hAnsi="Century Gothic" w:cs="Arial"/>
          <w:bCs/>
          <w:sz w:val="24"/>
          <w:szCs w:val="24"/>
          <w:lang w:eastAsia="en-US"/>
        </w:rPr>
      </w:pPr>
    </w:p>
    <w:p w:rsidR="003A64A9" w:rsidRPr="00343FBE" w:rsidRDefault="00442F4E" w:rsidP="006752E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lastRenderedPageBreak/>
        <w:t xml:space="preserve">▪ </w:t>
      </w:r>
      <w:r w:rsidR="001D4699" w:rsidRPr="00343FBE">
        <w:rPr>
          <w:rFonts w:ascii="Century Gothic" w:hAnsi="Century Gothic" w:cs="Arial"/>
          <w:bCs/>
          <w:sz w:val="28"/>
          <w:szCs w:val="28"/>
          <w:lang w:eastAsia="en-US"/>
        </w:rPr>
        <w:t>C</w:t>
      </w:r>
      <w:r w:rsidR="003A64A9" w:rsidRPr="00343FBE">
        <w:rPr>
          <w:rFonts w:ascii="Century Gothic" w:hAnsi="Century Gothic" w:cs="Arial"/>
          <w:bCs/>
          <w:sz w:val="28"/>
          <w:szCs w:val="28"/>
          <w:lang w:eastAsia="en-US"/>
        </w:rPr>
        <w:t xml:space="preserve">opia certificada del acta de la sesión ordinaria de la Comisión Ejecutiva Nacional, del catorce de diciembre de dos mil dieciséis, de la que se advertía que dicha Comisión, de conformidad con el artículo 39, inciso c), de los Estatutos, </w:t>
      </w:r>
      <w:r w:rsidR="004C332B" w:rsidRPr="00343FBE">
        <w:rPr>
          <w:rFonts w:ascii="Century Gothic" w:hAnsi="Century Gothic" w:cs="Arial"/>
          <w:bCs/>
          <w:sz w:val="28"/>
          <w:szCs w:val="28"/>
          <w:lang w:eastAsia="en-US"/>
        </w:rPr>
        <w:t xml:space="preserve">aprobó prorrogar por cuatro meses la realización del Congreso Nacional Ordinario. </w:t>
      </w:r>
    </w:p>
    <w:p w:rsidR="001D4699" w:rsidRPr="00343FBE" w:rsidRDefault="001D4699" w:rsidP="006752E9">
      <w:pPr>
        <w:spacing w:line="360" w:lineRule="auto"/>
        <w:jc w:val="both"/>
        <w:rPr>
          <w:rFonts w:ascii="Century Gothic" w:hAnsi="Century Gothic" w:cs="Arial"/>
          <w:bCs/>
          <w:sz w:val="32"/>
          <w:szCs w:val="32"/>
          <w:lang w:eastAsia="en-US"/>
        </w:rPr>
      </w:pPr>
    </w:p>
    <w:p w:rsidR="00F86E5B" w:rsidRPr="00343FBE" w:rsidRDefault="00F86E5B" w:rsidP="006752E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Los motivos que se tuvieron en cuenta para prorrogar la celebración del Congreso, fueron:</w:t>
      </w:r>
    </w:p>
    <w:p w:rsidR="00F86E5B" w:rsidRPr="00343FBE" w:rsidRDefault="00F86E5B" w:rsidP="006752E9">
      <w:pPr>
        <w:spacing w:line="360" w:lineRule="auto"/>
        <w:jc w:val="both"/>
        <w:rPr>
          <w:rFonts w:ascii="Century Gothic" w:hAnsi="Century Gothic" w:cs="Arial"/>
          <w:bCs/>
          <w:sz w:val="32"/>
          <w:szCs w:val="32"/>
          <w:lang w:eastAsia="en-US"/>
        </w:rPr>
      </w:pPr>
    </w:p>
    <w:p w:rsidR="00F86E5B" w:rsidRPr="00343FBE" w:rsidRDefault="00F86E5B" w:rsidP="006752E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La celebración de cuatro procesos electorales locales, lo que ameritaba dar prioridad a la realización de actos preparatorios internos, para estar en aptitud de hacer frente a dichos procesos.</w:t>
      </w:r>
    </w:p>
    <w:p w:rsidR="00F86E5B" w:rsidRPr="00343FBE" w:rsidRDefault="00F86E5B" w:rsidP="006752E9">
      <w:pPr>
        <w:spacing w:line="360" w:lineRule="auto"/>
        <w:jc w:val="both"/>
        <w:rPr>
          <w:rFonts w:ascii="Century Gothic" w:hAnsi="Century Gothic" w:cs="Arial"/>
          <w:bCs/>
          <w:sz w:val="32"/>
          <w:szCs w:val="32"/>
          <w:lang w:eastAsia="en-US"/>
        </w:rPr>
      </w:pPr>
    </w:p>
    <w:p w:rsidR="00F86E5B" w:rsidRPr="00343FBE" w:rsidRDefault="00F86E5B" w:rsidP="006752E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La realización de una campaña nacional de afiliación, a efecto de cumplir con la obligación del partido, de acreditar el número de afiliados previsto legalmente, para mantener su registro, máxime que se “</w:t>
      </w:r>
      <w:r w:rsidRPr="00343FBE">
        <w:rPr>
          <w:rFonts w:ascii="Century Gothic" w:hAnsi="Century Gothic" w:cs="Arial"/>
          <w:bCs/>
          <w:i/>
          <w:sz w:val="28"/>
          <w:szCs w:val="28"/>
          <w:lang w:eastAsia="en-US"/>
        </w:rPr>
        <w:t>había atravesado por la compleja dinámica de pérdida del registro</w:t>
      </w:r>
      <w:r w:rsidRPr="00343FBE">
        <w:rPr>
          <w:rFonts w:ascii="Century Gothic" w:hAnsi="Century Gothic" w:cs="Arial"/>
          <w:bCs/>
          <w:sz w:val="28"/>
          <w:szCs w:val="28"/>
          <w:lang w:eastAsia="en-US"/>
        </w:rPr>
        <w:t>”.</w:t>
      </w:r>
    </w:p>
    <w:p w:rsidR="003A64A9" w:rsidRPr="00343FBE" w:rsidRDefault="003A64A9" w:rsidP="006752E9">
      <w:pPr>
        <w:spacing w:line="360" w:lineRule="auto"/>
        <w:jc w:val="both"/>
        <w:rPr>
          <w:rFonts w:ascii="Century Gothic" w:hAnsi="Century Gothic" w:cs="Arial"/>
          <w:bCs/>
          <w:sz w:val="32"/>
          <w:szCs w:val="32"/>
          <w:lang w:eastAsia="en-US"/>
        </w:rPr>
      </w:pPr>
    </w:p>
    <w:p w:rsidR="00B142A3" w:rsidRPr="00343FBE" w:rsidRDefault="00442F4E" w:rsidP="006752E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w:t>
      </w:r>
      <w:r w:rsidR="001D4699" w:rsidRPr="00343FBE">
        <w:rPr>
          <w:rFonts w:ascii="Century Gothic" w:hAnsi="Century Gothic" w:cs="Arial"/>
          <w:bCs/>
          <w:sz w:val="28"/>
          <w:szCs w:val="28"/>
          <w:lang w:eastAsia="en-US"/>
        </w:rPr>
        <w:t xml:space="preserve"> E</w:t>
      </w:r>
      <w:r w:rsidR="00885E7A" w:rsidRPr="00343FBE">
        <w:rPr>
          <w:rFonts w:ascii="Century Gothic" w:hAnsi="Century Gothic" w:cs="Arial"/>
          <w:bCs/>
          <w:sz w:val="28"/>
          <w:szCs w:val="28"/>
          <w:lang w:eastAsia="en-US"/>
        </w:rPr>
        <w:t>l original del oficio REP-PT-INE-PVG-049/2017, a través del cual, el representante del P</w:t>
      </w:r>
      <w:r w:rsidR="003A64A9" w:rsidRPr="00343FBE">
        <w:rPr>
          <w:rFonts w:ascii="Century Gothic" w:hAnsi="Century Gothic" w:cs="Arial"/>
          <w:bCs/>
          <w:sz w:val="28"/>
          <w:szCs w:val="28"/>
          <w:lang w:eastAsia="en-US"/>
        </w:rPr>
        <w:t>T</w:t>
      </w:r>
      <w:r w:rsidR="00885E7A" w:rsidRPr="00343FBE">
        <w:rPr>
          <w:rFonts w:ascii="Century Gothic" w:hAnsi="Century Gothic" w:cs="Arial"/>
          <w:bCs/>
          <w:sz w:val="28"/>
          <w:szCs w:val="28"/>
          <w:lang w:eastAsia="en-US"/>
        </w:rPr>
        <w:t xml:space="preserve"> ante el Consejo General del Instituto Nacional Electoral, informó a la Dirección Ejecutiva de Prerrogativas y Partidos Políticos, que se prorrogó la celebración del Congreso Nacional Ordinario en el que se </w:t>
      </w:r>
      <w:r w:rsidR="00885E7A" w:rsidRPr="00343FBE">
        <w:rPr>
          <w:rFonts w:ascii="Century Gothic" w:hAnsi="Century Gothic" w:cs="Arial"/>
          <w:bCs/>
          <w:sz w:val="28"/>
          <w:szCs w:val="28"/>
          <w:lang w:eastAsia="en-US"/>
        </w:rPr>
        <w:lastRenderedPageBreak/>
        <w:t>renovarían los órganos directivos del partido</w:t>
      </w:r>
      <w:r w:rsidR="003A64A9" w:rsidRPr="00343FBE">
        <w:rPr>
          <w:rFonts w:ascii="Century Gothic" w:hAnsi="Century Gothic" w:cs="Arial"/>
          <w:bCs/>
          <w:sz w:val="28"/>
          <w:szCs w:val="28"/>
          <w:lang w:eastAsia="en-US"/>
        </w:rPr>
        <w:t>, en términos del artículo 39, inciso c), de los Estatutos</w:t>
      </w:r>
      <w:r w:rsidRPr="00343FBE">
        <w:rPr>
          <w:rFonts w:ascii="Century Gothic" w:hAnsi="Century Gothic" w:cs="Arial"/>
          <w:bCs/>
          <w:sz w:val="28"/>
          <w:szCs w:val="28"/>
          <w:lang w:eastAsia="en-US"/>
        </w:rPr>
        <w:t>.</w:t>
      </w:r>
    </w:p>
    <w:p w:rsidR="00117726" w:rsidRPr="00343FBE" w:rsidRDefault="00117726" w:rsidP="006752E9">
      <w:pPr>
        <w:spacing w:line="360" w:lineRule="auto"/>
        <w:jc w:val="both"/>
        <w:rPr>
          <w:rFonts w:ascii="Century Gothic" w:hAnsi="Century Gothic" w:cs="Arial"/>
          <w:bCs/>
          <w:sz w:val="32"/>
          <w:szCs w:val="32"/>
          <w:lang w:eastAsia="en-US"/>
        </w:rPr>
      </w:pPr>
    </w:p>
    <w:p w:rsidR="0028452F" w:rsidRPr="00343FBE" w:rsidRDefault="005758BB" w:rsidP="006752E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Respecto </w:t>
      </w:r>
      <w:r w:rsidR="007A327C" w:rsidRPr="00343FBE">
        <w:rPr>
          <w:rFonts w:ascii="Century Gothic" w:hAnsi="Century Gothic" w:cs="Arial"/>
          <w:bCs/>
          <w:sz w:val="28"/>
          <w:szCs w:val="28"/>
          <w:lang w:eastAsia="en-US"/>
        </w:rPr>
        <w:t xml:space="preserve">la vulneración a su derecho de votar y ser votado alegado por el actor, el órgano responsable estimó que </w:t>
      </w:r>
      <w:r w:rsidR="001B0D4A" w:rsidRPr="00343FBE">
        <w:rPr>
          <w:rFonts w:ascii="Century Gothic" w:hAnsi="Century Gothic" w:cs="Arial"/>
          <w:bCs/>
          <w:sz w:val="28"/>
          <w:szCs w:val="28"/>
          <w:lang w:eastAsia="en-US"/>
        </w:rPr>
        <w:t>tal derecho lo podría ejercitar cuando se lleve a cabo el Congreso Nacional,</w:t>
      </w:r>
      <w:r w:rsidR="0028452F" w:rsidRPr="00343FBE">
        <w:rPr>
          <w:rFonts w:ascii="Century Gothic" w:hAnsi="Century Gothic" w:cs="Arial"/>
          <w:bCs/>
          <w:sz w:val="28"/>
          <w:szCs w:val="28"/>
          <w:lang w:eastAsia="en-US"/>
        </w:rPr>
        <w:t xml:space="preserve"> que será el próximo veinticuatro de junio, de conformidad a lo acordado por la Comisión Ejecutiva Nacional el pasado veintidós de febrero, habida cuenta que, la convocatoria puede ser publicada a más tardar diez días antes de que se lleve a cabo el congreso, por lo que al no haber fenecido el plazo para emitirla, el actor no puede alegar vulneración a su derecho a ser votado.</w:t>
      </w:r>
    </w:p>
    <w:p w:rsidR="0028452F" w:rsidRPr="00343FBE" w:rsidRDefault="0028452F" w:rsidP="006752E9">
      <w:pPr>
        <w:spacing w:line="360" w:lineRule="auto"/>
        <w:jc w:val="both"/>
        <w:rPr>
          <w:rFonts w:ascii="Century Gothic" w:hAnsi="Century Gothic" w:cs="Arial"/>
          <w:bCs/>
          <w:sz w:val="32"/>
          <w:szCs w:val="32"/>
          <w:lang w:eastAsia="en-US"/>
        </w:rPr>
      </w:pPr>
    </w:p>
    <w:p w:rsidR="0028452F" w:rsidRPr="00343FBE" w:rsidRDefault="0028452F" w:rsidP="006752E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En relación con el incumplimiento a la sentencia emitida en el juicio ciudadano SUP-JDC- 2638/20</w:t>
      </w:r>
      <w:r w:rsidR="001E1801" w:rsidRPr="00343FBE">
        <w:rPr>
          <w:rFonts w:ascii="Century Gothic" w:hAnsi="Century Gothic" w:cs="Arial"/>
          <w:bCs/>
          <w:sz w:val="28"/>
          <w:szCs w:val="28"/>
          <w:lang w:eastAsia="en-US"/>
        </w:rPr>
        <w:t>08</w:t>
      </w:r>
      <w:r w:rsidRPr="00343FBE">
        <w:rPr>
          <w:rFonts w:ascii="Century Gothic" w:hAnsi="Century Gothic" w:cs="Arial"/>
          <w:bCs/>
          <w:sz w:val="28"/>
          <w:szCs w:val="28"/>
          <w:lang w:eastAsia="en-US"/>
        </w:rPr>
        <w:t xml:space="preserve"> y acumulados, </w:t>
      </w:r>
      <w:r w:rsidR="00653BFE" w:rsidRPr="00343FBE">
        <w:rPr>
          <w:rFonts w:ascii="Century Gothic" w:hAnsi="Century Gothic" w:cs="Arial"/>
          <w:bCs/>
          <w:sz w:val="28"/>
          <w:szCs w:val="28"/>
          <w:lang w:eastAsia="en-US"/>
        </w:rPr>
        <w:t xml:space="preserve">los agravios son extemporáneos, en virtud de que </w:t>
      </w:r>
      <w:r w:rsidR="00F51195" w:rsidRPr="00343FBE">
        <w:rPr>
          <w:rFonts w:ascii="Century Gothic" w:hAnsi="Century Gothic" w:cs="Arial"/>
          <w:bCs/>
          <w:sz w:val="28"/>
          <w:szCs w:val="28"/>
          <w:lang w:eastAsia="en-US"/>
        </w:rPr>
        <w:t xml:space="preserve">el PT acató el diecinueve de febrero de dos mil once, lo ordenado en esa ejecutoria, ya que en esa fecha realizó el Octavo Congreso Nacional Ordinario, en el cual realizó las adecuaciones estatutarias ordenadas por la Sala Superior, mismas que fueron declaradas legales y constitucionales, en el Acuerdo CG171/2011, emitido por el entonces Instituto Federal </w:t>
      </w:r>
      <w:r w:rsidR="0030165D" w:rsidRPr="00343FBE">
        <w:rPr>
          <w:rFonts w:ascii="Century Gothic" w:hAnsi="Century Gothic" w:cs="Arial"/>
          <w:bCs/>
          <w:sz w:val="28"/>
          <w:szCs w:val="28"/>
          <w:lang w:eastAsia="en-US"/>
        </w:rPr>
        <w:t>Electoral.</w:t>
      </w:r>
    </w:p>
    <w:p w:rsidR="0030165D" w:rsidRPr="00343FBE" w:rsidRDefault="0030165D" w:rsidP="006752E9">
      <w:pPr>
        <w:spacing w:line="360" w:lineRule="auto"/>
        <w:jc w:val="both"/>
        <w:rPr>
          <w:rFonts w:ascii="Century Gothic" w:hAnsi="Century Gothic" w:cs="Arial"/>
          <w:bCs/>
          <w:sz w:val="32"/>
          <w:szCs w:val="32"/>
          <w:lang w:eastAsia="en-US"/>
        </w:rPr>
      </w:pPr>
    </w:p>
    <w:p w:rsidR="0030165D" w:rsidRPr="00343FBE" w:rsidRDefault="0030165D" w:rsidP="006752E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lastRenderedPageBreak/>
        <w:t xml:space="preserve">► </w:t>
      </w:r>
      <w:r w:rsidR="00EE1035" w:rsidRPr="00343FBE">
        <w:rPr>
          <w:rFonts w:ascii="Century Gothic" w:hAnsi="Century Gothic" w:cs="Arial"/>
          <w:bCs/>
          <w:sz w:val="28"/>
          <w:szCs w:val="28"/>
          <w:lang w:eastAsia="en-US"/>
        </w:rPr>
        <w:t>En cuanto a la i</w:t>
      </w:r>
      <w:r w:rsidRPr="00343FBE">
        <w:rPr>
          <w:rFonts w:ascii="Century Gothic" w:hAnsi="Century Gothic" w:cs="Arial"/>
          <w:bCs/>
          <w:sz w:val="28"/>
          <w:szCs w:val="28"/>
          <w:lang w:eastAsia="en-US"/>
        </w:rPr>
        <w:t>mposibilidad de reelegirse de diversas personas integrantes de la Comisión Coordinadora Nacional,</w:t>
      </w:r>
      <w:r w:rsidR="00EE1035" w:rsidRPr="00343FBE">
        <w:rPr>
          <w:rFonts w:ascii="Century Gothic" w:hAnsi="Century Gothic" w:cs="Arial"/>
          <w:bCs/>
          <w:sz w:val="28"/>
          <w:szCs w:val="28"/>
          <w:lang w:eastAsia="en-US"/>
        </w:rPr>
        <w:t xml:space="preserve"> el órgano responsable desestimó el agravio, en virtud de que el Congreso Nacional tendrá lugar en fecha posterior, por lo que, al tratarse de un acontecimiento futuro, por lo que no puede prejuzgarse “respecto a su contenido”, </w:t>
      </w:r>
      <w:r w:rsidR="00883F77" w:rsidRPr="00343FBE">
        <w:rPr>
          <w:rFonts w:ascii="Century Gothic" w:hAnsi="Century Gothic" w:cs="Arial"/>
          <w:bCs/>
          <w:sz w:val="28"/>
          <w:szCs w:val="28"/>
          <w:lang w:eastAsia="en-US"/>
        </w:rPr>
        <w:t xml:space="preserve">ni pueden alegarse derechos adquiridos. </w:t>
      </w:r>
    </w:p>
    <w:p w:rsidR="00883F77" w:rsidRPr="00343FBE" w:rsidRDefault="00883F77" w:rsidP="006752E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Asimismo, ninguno de los militantes que indica el actor, puede ser privado de sus derechos de votar y ser votado, sino mediante juicio en el que se les garantice su derecho de audiencia</w:t>
      </w:r>
      <w:r w:rsidR="004353C9" w:rsidRPr="00343FBE">
        <w:rPr>
          <w:rFonts w:ascii="Century Gothic" w:hAnsi="Century Gothic" w:cs="Arial"/>
          <w:bCs/>
          <w:sz w:val="28"/>
          <w:szCs w:val="28"/>
          <w:lang w:eastAsia="en-US"/>
        </w:rPr>
        <w:t>.</w:t>
      </w:r>
    </w:p>
    <w:p w:rsidR="004353C9" w:rsidRPr="00343FBE" w:rsidRDefault="004353C9" w:rsidP="006752E9">
      <w:pPr>
        <w:spacing w:line="360" w:lineRule="auto"/>
        <w:jc w:val="both"/>
        <w:rPr>
          <w:rFonts w:ascii="Century Gothic" w:hAnsi="Century Gothic" w:cs="Arial"/>
          <w:bCs/>
          <w:sz w:val="32"/>
          <w:szCs w:val="32"/>
          <w:lang w:eastAsia="en-US"/>
        </w:rPr>
      </w:pPr>
    </w:p>
    <w:p w:rsidR="004353C9" w:rsidRPr="00343FBE" w:rsidRDefault="004353C9" w:rsidP="006752E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Respecto a “</w:t>
      </w:r>
      <w:r w:rsidRPr="00343FBE">
        <w:rPr>
          <w:rFonts w:ascii="Century Gothic" w:hAnsi="Century Gothic" w:cs="Arial"/>
          <w:bCs/>
          <w:i/>
          <w:sz w:val="28"/>
          <w:szCs w:val="28"/>
          <w:lang w:eastAsia="en-US"/>
        </w:rPr>
        <w:t>la declaratoria de impedimento de reelección</w:t>
      </w:r>
      <w:r w:rsidRPr="00343FBE">
        <w:rPr>
          <w:rFonts w:ascii="Century Gothic" w:hAnsi="Century Gothic" w:cs="Arial"/>
          <w:bCs/>
          <w:sz w:val="28"/>
          <w:szCs w:val="28"/>
          <w:lang w:eastAsia="en-US"/>
        </w:rPr>
        <w:t xml:space="preserve">”, </w:t>
      </w:r>
      <w:r w:rsidR="00B95FB4" w:rsidRPr="00343FBE">
        <w:rPr>
          <w:rFonts w:ascii="Century Gothic" w:hAnsi="Century Gothic" w:cs="Arial"/>
          <w:bCs/>
          <w:sz w:val="28"/>
          <w:szCs w:val="28"/>
          <w:lang w:eastAsia="en-US"/>
        </w:rPr>
        <w:t>en relación a las personas que en concepto del actor se actualiza “</w:t>
      </w:r>
      <w:r w:rsidR="00B95FB4" w:rsidRPr="00343FBE">
        <w:rPr>
          <w:rFonts w:ascii="Century Gothic" w:hAnsi="Century Gothic" w:cs="Arial"/>
          <w:bCs/>
          <w:i/>
          <w:sz w:val="28"/>
          <w:szCs w:val="28"/>
          <w:lang w:eastAsia="en-US"/>
        </w:rPr>
        <w:t>la causal de nepotismo</w:t>
      </w:r>
      <w:r w:rsidR="00B95FB4" w:rsidRPr="00343FBE">
        <w:rPr>
          <w:rFonts w:ascii="Century Gothic" w:hAnsi="Century Gothic" w:cs="Arial"/>
          <w:bCs/>
          <w:sz w:val="28"/>
          <w:szCs w:val="28"/>
          <w:lang w:eastAsia="en-US"/>
        </w:rPr>
        <w:t>”,</w:t>
      </w:r>
      <w:r w:rsidR="00DC6047" w:rsidRPr="00343FBE">
        <w:rPr>
          <w:rFonts w:ascii="Century Gothic" w:hAnsi="Century Gothic" w:cs="Arial"/>
          <w:bCs/>
          <w:sz w:val="28"/>
          <w:szCs w:val="28"/>
          <w:lang w:eastAsia="en-US"/>
        </w:rPr>
        <w:t xml:space="preserve"> </w:t>
      </w:r>
      <w:r w:rsidR="00E3473E" w:rsidRPr="00343FBE">
        <w:rPr>
          <w:rFonts w:ascii="Century Gothic" w:hAnsi="Century Gothic" w:cs="Arial"/>
          <w:bCs/>
          <w:sz w:val="28"/>
          <w:szCs w:val="28"/>
          <w:lang w:eastAsia="en-US"/>
        </w:rPr>
        <w:t>es infundado en razón de que tales personas fueron nombradas por el Congreso Nacional, que se integra por más de doscientos militantes, no por un familiar.</w:t>
      </w:r>
      <w:r w:rsidR="00B95FB4" w:rsidRPr="00343FBE">
        <w:rPr>
          <w:rFonts w:ascii="Century Gothic" w:hAnsi="Century Gothic" w:cs="Arial"/>
          <w:bCs/>
          <w:sz w:val="28"/>
          <w:szCs w:val="28"/>
          <w:lang w:eastAsia="en-US"/>
        </w:rPr>
        <w:t xml:space="preserve"> </w:t>
      </w:r>
    </w:p>
    <w:p w:rsidR="00E3473E" w:rsidRPr="00343FBE" w:rsidRDefault="00E3473E" w:rsidP="006752E9">
      <w:pPr>
        <w:spacing w:line="360" w:lineRule="auto"/>
        <w:jc w:val="both"/>
        <w:rPr>
          <w:rFonts w:ascii="Century Gothic" w:hAnsi="Century Gothic" w:cs="Arial"/>
          <w:bCs/>
          <w:sz w:val="32"/>
          <w:szCs w:val="32"/>
          <w:lang w:eastAsia="en-US"/>
        </w:rPr>
      </w:pPr>
    </w:p>
    <w:p w:rsidR="00E3473E" w:rsidRPr="00343FBE" w:rsidRDefault="00E3473E" w:rsidP="006752E9">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Asimismo, el actor parte de la falsa premisa de que los integrantes de la Comisión Coordinadora Nacional a quienes acusa por tener un parentesco, nombraron </w:t>
      </w:r>
      <w:r w:rsidR="00C16F3F" w:rsidRPr="00343FBE">
        <w:rPr>
          <w:rFonts w:ascii="Century Gothic" w:hAnsi="Century Gothic" w:cs="Arial"/>
          <w:bCs/>
          <w:sz w:val="28"/>
          <w:szCs w:val="28"/>
          <w:lang w:eastAsia="en-US"/>
        </w:rPr>
        <w:t xml:space="preserve">de manera directa a su familiar en el cargo de dirección partidista, lo cual es incorrecto, pues las personas que indica el actor, son militantes fundadores del partido, “cuya militancia se realizó de manera simultánea”, y como militantes en lo individual, tienen a salvo </w:t>
      </w:r>
      <w:r w:rsidR="00BB7512" w:rsidRPr="00343FBE">
        <w:rPr>
          <w:rFonts w:ascii="Century Gothic" w:hAnsi="Century Gothic" w:cs="Arial"/>
          <w:bCs/>
          <w:sz w:val="28"/>
          <w:szCs w:val="28"/>
          <w:lang w:eastAsia="en-US"/>
        </w:rPr>
        <w:t xml:space="preserve">sus derechos </w:t>
      </w:r>
      <w:r w:rsidR="00BB7512" w:rsidRPr="00343FBE">
        <w:rPr>
          <w:rFonts w:ascii="Century Gothic" w:hAnsi="Century Gothic" w:cs="Arial"/>
          <w:bCs/>
          <w:sz w:val="28"/>
          <w:szCs w:val="28"/>
          <w:lang w:eastAsia="en-US"/>
        </w:rPr>
        <w:lastRenderedPageBreak/>
        <w:t>político electorales, los cuales no pueden limitarse por un parentesco.</w:t>
      </w:r>
    </w:p>
    <w:p w:rsidR="0028452F" w:rsidRPr="00343FBE" w:rsidRDefault="0028452F" w:rsidP="006752E9">
      <w:pPr>
        <w:spacing w:line="360" w:lineRule="auto"/>
        <w:jc w:val="both"/>
        <w:rPr>
          <w:rFonts w:ascii="Century Gothic" w:hAnsi="Century Gothic" w:cs="Arial"/>
          <w:bCs/>
          <w:sz w:val="32"/>
          <w:szCs w:val="32"/>
          <w:lang w:eastAsia="en-US"/>
        </w:rPr>
      </w:pPr>
    </w:p>
    <w:p w:rsidR="00B92953" w:rsidRPr="00343FBE" w:rsidRDefault="009F13AA" w:rsidP="00D3247D">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A</w:t>
      </w:r>
      <w:r w:rsidR="00B07DF8" w:rsidRPr="00343FBE">
        <w:rPr>
          <w:rFonts w:ascii="Century Gothic" w:hAnsi="Century Gothic" w:cs="Arial"/>
          <w:b/>
          <w:bCs/>
          <w:sz w:val="28"/>
          <w:szCs w:val="28"/>
          <w:lang w:eastAsia="en-US"/>
        </w:rPr>
        <w:t>gravios</w:t>
      </w:r>
      <w:r w:rsidR="00B07DF8" w:rsidRPr="00343FBE">
        <w:rPr>
          <w:rFonts w:ascii="Century Gothic" w:hAnsi="Century Gothic" w:cs="Arial"/>
          <w:bCs/>
          <w:sz w:val="28"/>
          <w:szCs w:val="28"/>
          <w:lang w:eastAsia="en-US"/>
        </w:rPr>
        <w:t>.</w:t>
      </w:r>
      <w:r w:rsidR="007C257B" w:rsidRPr="00343FBE">
        <w:rPr>
          <w:rFonts w:ascii="Century Gothic" w:hAnsi="Century Gothic" w:cs="Arial"/>
          <w:bCs/>
          <w:sz w:val="28"/>
          <w:szCs w:val="28"/>
          <w:lang w:eastAsia="en-US"/>
        </w:rPr>
        <w:t xml:space="preserve"> </w:t>
      </w:r>
      <w:r w:rsidR="009D494F" w:rsidRPr="00343FBE">
        <w:rPr>
          <w:rFonts w:ascii="Century Gothic" w:hAnsi="Century Gothic" w:cs="Arial"/>
          <w:bCs/>
          <w:sz w:val="28"/>
          <w:szCs w:val="28"/>
          <w:lang w:eastAsia="en-US"/>
        </w:rPr>
        <w:t>Se</w:t>
      </w:r>
      <w:r w:rsidR="007F68B7" w:rsidRPr="00343FBE">
        <w:rPr>
          <w:rFonts w:ascii="Century Gothic" w:hAnsi="Century Gothic" w:cs="Arial"/>
          <w:bCs/>
          <w:sz w:val="28"/>
          <w:szCs w:val="28"/>
          <w:lang w:eastAsia="en-US"/>
        </w:rPr>
        <w:t xml:space="preserve"> hace</w:t>
      </w:r>
      <w:r w:rsidR="009D494F" w:rsidRPr="00343FBE">
        <w:rPr>
          <w:rFonts w:ascii="Century Gothic" w:hAnsi="Century Gothic" w:cs="Arial"/>
          <w:bCs/>
          <w:sz w:val="28"/>
          <w:szCs w:val="28"/>
          <w:lang w:eastAsia="en-US"/>
        </w:rPr>
        <w:t>n</w:t>
      </w:r>
      <w:r w:rsidR="007F68B7" w:rsidRPr="00343FBE">
        <w:rPr>
          <w:rFonts w:ascii="Century Gothic" w:hAnsi="Century Gothic" w:cs="Arial"/>
          <w:bCs/>
          <w:sz w:val="28"/>
          <w:szCs w:val="28"/>
          <w:lang w:eastAsia="en-US"/>
        </w:rPr>
        <w:t xml:space="preserve"> valer motivos de inconformidad que se</w:t>
      </w:r>
      <w:r w:rsidR="00B92953" w:rsidRPr="00343FBE">
        <w:rPr>
          <w:rFonts w:ascii="Century Gothic" w:hAnsi="Century Gothic" w:cs="Arial"/>
          <w:bCs/>
          <w:sz w:val="28"/>
          <w:szCs w:val="28"/>
          <w:lang w:eastAsia="en-US"/>
        </w:rPr>
        <w:t xml:space="preserve"> </w:t>
      </w:r>
      <w:r w:rsidR="00D50139" w:rsidRPr="00343FBE">
        <w:rPr>
          <w:rFonts w:ascii="Century Gothic" w:hAnsi="Century Gothic" w:cs="Arial"/>
          <w:bCs/>
          <w:sz w:val="28"/>
          <w:szCs w:val="28"/>
          <w:lang w:eastAsia="en-US"/>
        </w:rPr>
        <w:t>relacionan con los temas siguientes:</w:t>
      </w:r>
    </w:p>
    <w:p w:rsidR="00D50139" w:rsidRPr="00343FBE" w:rsidRDefault="00D50139" w:rsidP="00D3247D">
      <w:pPr>
        <w:spacing w:line="360" w:lineRule="auto"/>
        <w:jc w:val="both"/>
        <w:rPr>
          <w:rFonts w:ascii="Century Gothic" w:hAnsi="Century Gothic" w:cs="Arial"/>
          <w:bCs/>
          <w:sz w:val="32"/>
          <w:szCs w:val="32"/>
          <w:lang w:eastAsia="en-US"/>
        </w:rPr>
      </w:pPr>
    </w:p>
    <w:p w:rsidR="00D50139" w:rsidRPr="00343FBE" w:rsidRDefault="003B28BB"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D50139" w:rsidRPr="00343FBE">
        <w:rPr>
          <w:rFonts w:ascii="Century Gothic" w:hAnsi="Century Gothic" w:cs="Arial"/>
          <w:bCs/>
          <w:sz w:val="28"/>
          <w:szCs w:val="28"/>
          <w:lang w:eastAsia="en-US"/>
        </w:rPr>
        <w:t>Invalidez de la</w:t>
      </w:r>
      <w:r w:rsidRPr="00343FBE">
        <w:rPr>
          <w:rFonts w:ascii="Century Gothic" w:hAnsi="Century Gothic" w:cs="Arial"/>
          <w:bCs/>
          <w:sz w:val="28"/>
          <w:szCs w:val="28"/>
          <w:lang w:eastAsia="en-US"/>
        </w:rPr>
        <w:t>s</w:t>
      </w:r>
      <w:r w:rsidR="00D50139" w:rsidRPr="00343FBE">
        <w:rPr>
          <w:rFonts w:ascii="Century Gothic" w:hAnsi="Century Gothic" w:cs="Arial"/>
          <w:bCs/>
          <w:sz w:val="28"/>
          <w:szCs w:val="28"/>
          <w:lang w:eastAsia="en-US"/>
        </w:rPr>
        <w:t xml:space="preserve"> s</w:t>
      </w:r>
      <w:r w:rsidRPr="00343FBE">
        <w:rPr>
          <w:rFonts w:ascii="Century Gothic" w:hAnsi="Century Gothic" w:cs="Arial"/>
          <w:bCs/>
          <w:sz w:val="28"/>
          <w:szCs w:val="28"/>
          <w:lang w:eastAsia="en-US"/>
        </w:rPr>
        <w:t>esiones de</w:t>
      </w:r>
      <w:r w:rsidR="00D76C36" w:rsidRPr="00343FBE">
        <w:rPr>
          <w:rFonts w:ascii="Century Gothic" w:hAnsi="Century Gothic" w:cs="Arial"/>
          <w:bCs/>
          <w:sz w:val="28"/>
          <w:szCs w:val="28"/>
          <w:lang w:eastAsia="en-US"/>
        </w:rPr>
        <w:t xml:space="preserve"> la Comisión Coordinadora Nacional de</w:t>
      </w:r>
      <w:r w:rsidRPr="00343FBE">
        <w:rPr>
          <w:rFonts w:ascii="Century Gothic" w:hAnsi="Century Gothic" w:cs="Arial"/>
          <w:bCs/>
          <w:sz w:val="28"/>
          <w:szCs w:val="28"/>
          <w:lang w:eastAsia="en-US"/>
        </w:rPr>
        <w:t xml:space="preserve"> catorce de diciembre de dos mil dieciséis y veintidós de </w:t>
      </w:r>
      <w:r w:rsidR="001E1801" w:rsidRPr="00343FBE">
        <w:rPr>
          <w:rFonts w:ascii="Century Gothic" w:hAnsi="Century Gothic" w:cs="Arial"/>
          <w:bCs/>
          <w:sz w:val="28"/>
          <w:szCs w:val="28"/>
          <w:lang w:eastAsia="en-US"/>
        </w:rPr>
        <w:t xml:space="preserve">febrero </w:t>
      </w:r>
      <w:r w:rsidRPr="00343FBE">
        <w:rPr>
          <w:rFonts w:ascii="Century Gothic" w:hAnsi="Century Gothic" w:cs="Arial"/>
          <w:bCs/>
          <w:sz w:val="28"/>
          <w:szCs w:val="28"/>
          <w:lang w:eastAsia="en-US"/>
        </w:rPr>
        <w:t>de dos mil diecisiete.</w:t>
      </w:r>
      <w:r w:rsidR="00D76C36" w:rsidRPr="00343FBE">
        <w:rPr>
          <w:rFonts w:ascii="Century Gothic" w:hAnsi="Century Gothic" w:cs="Arial"/>
          <w:bCs/>
          <w:sz w:val="28"/>
          <w:szCs w:val="28"/>
          <w:lang w:eastAsia="en-US"/>
        </w:rPr>
        <w:t xml:space="preserve"> </w:t>
      </w:r>
    </w:p>
    <w:p w:rsidR="00D76C36" w:rsidRPr="00343FBE" w:rsidRDefault="00D76C36" w:rsidP="00D3247D">
      <w:pPr>
        <w:spacing w:line="360" w:lineRule="auto"/>
        <w:jc w:val="both"/>
        <w:rPr>
          <w:rFonts w:ascii="Century Gothic" w:hAnsi="Century Gothic" w:cs="Arial"/>
          <w:bCs/>
          <w:sz w:val="32"/>
          <w:szCs w:val="32"/>
          <w:lang w:eastAsia="en-US"/>
        </w:rPr>
      </w:pPr>
    </w:p>
    <w:p w:rsidR="00D76C36" w:rsidRPr="00343FBE" w:rsidRDefault="00D76C36"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Facultad de la Comisión Ejecutiva Nacional, de prorrogar o anticipar hasta por cuatro meses la realización del Congreso Nacional Ordinario, prevista por el artículo 39, inciso c), de los Estatutos del </w:t>
      </w:r>
      <w:r w:rsidR="00A8764A" w:rsidRPr="00343FBE">
        <w:rPr>
          <w:rFonts w:ascii="Century Gothic" w:hAnsi="Century Gothic" w:cs="Arial"/>
          <w:bCs/>
          <w:sz w:val="28"/>
          <w:szCs w:val="28"/>
          <w:lang w:eastAsia="en-US"/>
        </w:rPr>
        <w:t>PT</w:t>
      </w:r>
      <w:r w:rsidRPr="00343FBE">
        <w:rPr>
          <w:rFonts w:ascii="Century Gothic" w:hAnsi="Century Gothic" w:cs="Arial"/>
          <w:bCs/>
          <w:sz w:val="28"/>
          <w:szCs w:val="28"/>
          <w:lang w:eastAsia="en-US"/>
        </w:rPr>
        <w:t>.</w:t>
      </w:r>
    </w:p>
    <w:p w:rsidR="00B90061" w:rsidRPr="00343FBE" w:rsidRDefault="00B90061" w:rsidP="00D3247D">
      <w:pPr>
        <w:spacing w:line="360" w:lineRule="auto"/>
        <w:jc w:val="both"/>
        <w:rPr>
          <w:rFonts w:ascii="Century Gothic" w:hAnsi="Century Gothic" w:cs="Arial"/>
          <w:bCs/>
          <w:sz w:val="32"/>
          <w:szCs w:val="32"/>
          <w:lang w:eastAsia="en-US"/>
        </w:rPr>
      </w:pPr>
    </w:p>
    <w:p w:rsidR="00C90369" w:rsidRPr="00343FBE" w:rsidRDefault="00B90061"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C90369" w:rsidRPr="00343FBE">
        <w:rPr>
          <w:rFonts w:ascii="Century Gothic" w:hAnsi="Century Gothic" w:cs="Arial"/>
          <w:bCs/>
          <w:sz w:val="28"/>
          <w:szCs w:val="28"/>
          <w:lang w:eastAsia="en-US"/>
        </w:rPr>
        <w:t>Reelección e incumplimiento de los “fines” de la sentencia dictada en el juicio ciudadano SUP-JDC-2638/2008.</w:t>
      </w:r>
    </w:p>
    <w:p w:rsidR="00C90369" w:rsidRPr="00343FBE" w:rsidRDefault="00C90369" w:rsidP="00D3247D">
      <w:pPr>
        <w:spacing w:line="360" w:lineRule="auto"/>
        <w:jc w:val="both"/>
        <w:rPr>
          <w:rFonts w:ascii="Century Gothic" w:hAnsi="Century Gothic" w:cs="Arial"/>
          <w:bCs/>
          <w:sz w:val="28"/>
          <w:szCs w:val="28"/>
          <w:lang w:eastAsia="en-US"/>
        </w:rPr>
      </w:pPr>
    </w:p>
    <w:p w:rsidR="00CF10A0" w:rsidRPr="00343FBE" w:rsidRDefault="008723A8"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9F13AA" w:rsidRPr="00343FBE">
        <w:rPr>
          <w:rFonts w:ascii="Century Gothic" w:hAnsi="Century Gothic" w:cs="Arial"/>
          <w:bCs/>
          <w:sz w:val="28"/>
          <w:szCs w:val="28"/>
          <w:lang w:eastAsia="en-US"/>
        </w:rPr>
        <w:t xml:space="preserve">Nepotismo y reelección en el </w:t>
      </w:r>
      <w:r w:rsidR="00A8764A" w:rsidRPr="00343FBE">
        <w:rPr>
          <w:rFonts w:ascii="Century Gothic" w:hAnsi="Century Gothic" w:cs="Arial"/>
          <w:bCs/>
          <w:sz w:val="28"/>
          <w:szCs w:val="28"/>
          <w:lang w:eastAsia="en-US"/>
        </w:rPr>
        <w:t>PT</w:t>
      </w:r>
      <w:r w:rsidR="009F13AA" w:rsidRPr="00343FBE">
        <w:rPr>
          <w:rFonts w:ascii="Century Gothic" w:hAnsi="Century Gothic" w:cs="Arial"/>
          <w:bCs/>
          <w:sz w:val="28"/>
          <w:szCs w:val="28"/>
          <w:lang w:eastAsia="en-US"/>
        </w:rPr>
        <w:t>.</w:t>
      </w:r>
    </w:p>
    <w:p w:rsidR="008F3FF1" w:rsidRPr="00343FBE" w:rsidRDefault="008F3FF1" w:rsidP="00D3247D">
      <w:pPr>
        <w:spacing w:line="360" w:lineRule="auto"/>
        <w:jc w:val="both"/>
        <w:rPr>
          <w:rFonts w:ascii="Century Gothic" w:hAnsi="Century Gothic" w:cs="Arial"/>
          <w:bCs/>
          <w:sz w:val="28"/>
          <w:szCs w:val="28"/>
          <w:lang w:eastAsia="en-US"/>
        </w:rPr>
      </w:pPr>
    </w:p>
    <w:p w:rsidR="008F3FF1" w:rsidRPr="00343FBE" w:rsidRDefault="008F3FF1"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644145" w:rsidRPr="00343FBE">
        <w:rPr>
          <w:rFonts w:ascii="Century Gothic" w:hAnsi="Century Gothic" w:cs="Arial"/>
          <w:bCs/>
          <w:sz w:val="28"/>
          <w:szCs w:val="28"/>
          <w:lang w:eastAsia="en-US"/>
        </w:rPr>
        <w:t xml:space="preserve">Los Estatutos del PT, no prevén requisitos mínimos que garanticen </w:t>
      </w:r>
      <w:r w:rsidR="008D06E2" w:rsidRPr="00343FBE">
        <w:rPr>
          <w:rFonts w:ascii="Century Gothic" w:hAnsi="Century Gothic" w:cs="Arial"/>
          <w:bCs/>
          <w:sz w:val="28"/>
          <w:szCs w:val="28"/>
          <w:lang w:eastAsia="en-US"/>
        </w:rPr>
        <w:t xml:space="preserve">paridad </w:t>
      </w:r>
      <w:r w:rsidR="00644145" w:rsidRPr="00343FBE">
        <w:rPr>
          <w:rFonts w:ascii="Century Gothic" w:hAnsi="Century Gothic" w:cs="Arial"/>
          <w:bCs/>
          <w:sz w:val="28"/>
          <w:szCs w:val="28"/>
          <w:lang w:eastAsia="en-US"/>
        </w:rPr>
        <w:t>de género en sus órganos directivos.</w:t>
      </w:r>
    </w:p>
    <w:p w:rsidR="00C210BB" w:rsidRPr="00343FBE" w:rsidRDefault="00C210BB" w:rsidP="00D3247D">
      <w:pPr>
        <w:spacing w:line="360" w:lineRule="auto"/>
        <w:jc w:val="both"/>
        <w:rPr>
          <w:rFonts w:ascii="Century Gothic" w:hAnsi="Century Gothic" w:cs="Arial"/>
          <w:bCs/>
          <w:sz w:val="28"/>
          <w:szCs w:val="28"/>
          <w:lang w:eastAsia="en-US"/>
        </w:rPr>
      </w:pPr>
    </w:p>
    <w:p w:rsidR="00C210BB" w:rsidRPr="00343FBE" w:rsidRDefault="00C210BB"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La realización del Décimo Congreso Nacional Ordinario.</w:t>
      </w:r>
    </w:p>
    <w:p w:rsidR="00B90061" w:rsidRPr="00343FBE" w:rsidRDefault="00C90369"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p>
    <w:p w:rsidR="00D9399A" w:rsidRPr="00343FBE" w:rsidRDefault="007B7E8C" w:rsidP="00D3247D">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lastRenderedPageBreak/>
        <w:t>Síntesis y estudio de los agravios hechos valer</w:t>
      </w:r>
      <w:r w:rsidRPr="00343FBE">
        <w:rPr>
          <w:rFonts w:ascii="Century Gothic" w:hAnsi="Century Gothic" w:cs="Arial"/>
          <w:bCs/>
          <w:sz w:val="28"/>
          <w:szCs w:val="28"/>
          <w:lang w:eastAsia="en-US"/>
        </w:rPr>
        <w:t xml:space="preserve">. El estudio de los motivos de inconformidad, se </w:t>
      </w:r>
      <w:r w:rsidR="009C747C" w:rsidRPr="00343FBE">
        <w:rPr>
          <w:rFonts w:ascii="Century Gothic" w:hAnsi="Century Gothic" w:cs="Arial"/>
          <w:bCs/>
          <w:sz w:val="28"/>
          <w:szCs w:val="28"/>
          <w:lang w:eastAsia="en-US"/>
        </w:rPr>
        <w:t xml:space="preserve">hará conforme a los temas con los que se relacionan. </w:t>
      </w:r>
    </w:p>
    <w:p w:rsidR="00D9399A" w:rsidRPr="00343FBE" w:rsidRDefault="00D9399A" w:rsidP="00D3247D">
      <w:pPr>
        <w:spacing w:line="360" w:lineRule="auto"/>
        <w:jc w:val="both"/>
        <w:rPr>
          <w:rFonts w:ascii="Century Gothic" w:hAnsi="Century Gothic" w:cs="Arial"/>
          <w:bCs/>
          <w:sz w:val="28"/>
          <w:szCs w:val="28"/>
          <w:lang w:eastAsia="en-US"/>
        </w:rPr>
      </w:pPr>
    </w:p>
    <w:p w:rsidR="00D76C36" w:rsidRPr="00343FBE" w:rsidRDefault="009C747C" w:rsidP="009C747C">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4A1BF7" w:rsidRPr="00343FBE">
        <w:rPr>
          <w:rFonts w:ascii="Century Gothic" w:hAnsi="Century Gothic" w:cs="Arial"/>
          <w:b/>
          <w:bCs/>
          <w:sz w:val="28"/>
          <w:szCs w:val="28"/>
          <w:lang w:eastAsia="en-US"/>
        </w:rPr>
        <w:t>Agravios relacionados con la i</w:t>
      </w:r>
      <w:r w:rsidRPr="00343FBE">
        <w:rPr>
          <w:rFonts w:ascii="Century Gothic" w:hAnsi="Century Gothic" w:cs="Arial"/>
          <w:b/>
          <w:bCs/>
          <w:sz w:val="28"/>
          <w:szCs w:val="28"/>
          <w:lang w:eastAsia="en-US"/>
        </w:rPr>
        <w:t xml:space="preserve">nvalidez de las sesiones de la Comisión Coordinadora Nacional de catorce de diciembre de dos mil dieciséis y veintidós de </w:t>
      </w:r>
      <w:r w:rsidR="001E1801" w:rsidRPr="00343FBE">
        <w:rPr>
          <w:rFonts w:ascii="Century Gothic" w:hAnsi="Century Gothic" w:cs="Arial"/>
          <w:b/>
          <w:bCs/>
          <w:sz w:val="28"/>
          <w:szCs w:val="28"/>
          <w:lang w:eastAsia="en-US"/>
        </w:rPr>
        <w:t>febrero</w:t>
      </w:r>
      <w:r w:rsidRPr="00343FBE">
        <w:rPr>
          <w:rFonts w:ascii="Century Gothic" w:hAnsi="Century Gothic" w:cs="Arial"/>
          <w:b/>
          <w:bCs/>
          <w:sz w:val="28"/>
          <w:szCs w:val="28"/>
          <w:lang w:eastAsia="en-US"/>
        </w:rPr>
        <w:t xml:space="preserve"> de dos mil diecisiete</w:t>
      </w:r>
      <w:r w:rsidRPr="00343FBE">
        <w:rPr>
          <w:rFonts w:ascii="Century Gothic" w:hAnsi="Century Gothic" w:cs="Arial"/>
          <w:bCs/>
          <w:sz w:val="28"/>
          <w:szCs w:val="28"/>
          <w:lang w:eastAsia="en-US"/>
        </w:rPr>
        <w:t>.</w:t>
      </w:r>
      <w:r w:rsidR="00325356" w:rsidRPr="00343FBE">
        <w:rPr>
          <w:rFonts w:ascii="Century Gothic" w:hAnsi="Century Gothic" w:cs="Arial"/>
          <w:bCs/>
          <w:sz w:val="28"/>
          <w:szCs w:val="28"/>
          <w:lang w:eastAsia="en-US"/>
        </w:rPr>
        <w:t xml:space="preserve"> </w:t>
      </w:r>
    </w:p>
    <w:p w:rsidR="00D76C36" w:rsidRPr="00343FBE" w:rsidRDefault="00D76C36" w:rsidP="00D3247D">
      <w:pPr>
        <w:spacing w:line="360" w:lineRule="auto"/>
        <w:jc w:val="both"/>
        <w:rPr>
          <w:rFonts w:ascii="Century Gothic" w:hAnsi="Century Gothic" w:cs="Arial"/>
          <w:bCs/>
          <w:sz w:val="28"/>
          <w:szCs w:val="28"/>
          <w:lang w:eastAsia="en-US"/>
        </w:rPr>
      </w:pPr>
    </w:p>
    <w:p w:rsidR="00177D4F" w:rsidRPr="00343FBE" w:rsidRDefault="00177D4F"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Tocante a esta temática, </w:t>
      </w:r>
      <w:r w:rsidR="005D7954" w:rsidRPr="00343FBE">
        <w:rPr>
          <w:rFonts w:ascii="Century Gothic" w:hAnsi="Century Gothic" w:cs="Arial"/>
          <w:bCs/>
          <w:sz w:val="28"/>
          <w:szCs w:val="28"/>
          <w:lang w:eastAsia="en-US"/>
        </w:rPr>
        <w:t>se</w:t>
      </w:r>
      <w:r w:rsidRPr="00343FBE">
        <w:rPr>
          <w:rFonts w:ascii="Century Gothic" w:hAnsi="Century Gothic" w:cs="Arial"/>
          <w:bCs/>
          <w:sz w:val="28"/>
          <w:szCs w:val="28"/>
          <w:lang w:eastAsia="en-US"/>
        </w:rPr>
        <w:t xml:space="preserve"> solicita que sean requeridas al P</w:t>
      </w:r>
      <w:r w:rsidR="00891E2C" w:rsidRPr="00343FBE">
        <w:rPr>
          <w:rFonts w:ascii="Century Gothic" w:hAnsi="Century Gothic" w:cs="Arial"/>
          <w:bCs/>
          <w:sz w:val="28"/>
          <w:szCs w:val="28"/>
          <w:lang w:eastAsia="en-US"/>
        </w:rPr>
        <w:t>T</w:t>
      </w:r>
      <w:r w:rsidRPr="00343FBE">
        <w:rPr>
          <w:rFonts w:ascii="Century Gothic" w:hAnsi="Century Gothic" w:cs="Arial"/>
          <w:bCs/>
          <w:sz w:val="28"/>
          <w:szCs w:val="28"/>
          <w:lang w:eastAsia="en-US"/>
        </w:rPr>
        <w:t>, la convocatoria, las listas y las actas de dichas Asambleas.</w:t>
      </w:r>
    </w:p>
    <w:p w:rsidR="00177D4F" w:rsidRPr="00343FBE" w:rsidRDefault="00177D4F" w:rsidP="00D3247D">
      <w:pPr>
        <w:spacing w:line="360" w:lineRule="auto"/>
        <w:jc w:val="both"/>
        <w:rPr>
          <w:rFonts w:ascii="Century Gothic" w:hAnsi="Century Gothic" w:cs="Arial"/>
          <w:bCs/>
          <w:sz w:val="28"/>
          <w:szCs w:val="28"/>
          <w:lang w:eastAsia="en-US"/>
        </w:rPr>
      </w:pPr>
    </w:p>
    <w:p w:rsidR="009C747C" w:rsidRPr="00343FBE" w:rsidRDefault="00177D4F"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Resulta improcedente </w:t>
      </w:r>
      <w:r w:rsidR="005D7954" w:rsidRPr="00343FBE">
        <w:rPr>
          <w:rFonts w:ascii="Century Gothic" w:hAnsi="Century Gothic" w:cs="Arial"/>
          <w:bCs/>
          <w:sz w:val="28"/>
          <w:szCs w:val="28"/>
          <w:lang w:eastAsia="en-US"/>
        </w:rPr>
        <w:t>la</w:t>
      </w:r>
      <w:r w:rsidRPr="00343FBE">
        <w:rPr>
          <w:rFonts w:ascii="Century Gothic" w:hAnsi="Century Gothic" w:cs="Arial"/>
          <w:bCs/>
          <w:sz w:val="28"/>
          <w:szCs w:val="28"/>
          <w:lang w:eastAsia="en-US"/>
        </w:rPr>
        <w:t xml:space="preserve"> petición, en virtud de que dichos documentos se acompañaron</w:t>
      </w:r>
      <w:r w:rsidR="00DC59B8" w:rsidRPr="00343FBE">
        <w:rPr>
          <w:rFonts w:ascii="Century Gothic" w:hAnsi="Century Gothic" w:cs="Arial"/>
          <w:bCs/>
          <w:sz w:val="28"/>
          <w:szCs w:val="28"/>
          <w:lang w:eastAsia="en-US"/>
        </w:rPr>
        <w:t xml:space="preserve"> en copia certificada</w:t>
      </w:r>
      <w:r w:rsidRPr="00343FBE">
        <w:rPr>
          <w:rFonts w:ascii="Century Gothic" w:hAnsi="Century Gothic" w:cs="Arial"/>
          <w:bCs/>
          <w:sz w:val="28"/>
          <w:szCs w:val="28"/>
          <w:lang w:eastAsia="en-US"/>
        </w:rPr>
        <w:t xml:space="preserve"> al informe circunstanciado</w:t>
      </w:r>
      <w:r w:rsidR="00192A81" w:rsidRPr="00343FBE">
        <w:rPr>
          <w:rFonts w:ascii="Century Gothic" w:hAnsi="Century Gothic" w:cs="Arial"/>
          <w:bCs/>
          <w:sz w:val="28"/>
          <w:szCs w:val="28"/>
          <w:lang w:eastAsia="en-US"/>
        </w:rPr>
        <w:t>, por lo que obran en autos</w:t>
      </w:r>
      <w:r w:rsidR="00DC59B8" w:rsidRPr="00343FBE">
        <w:rPr>
          <w:rFonts w:ascii="Century Gothic" w:hAnsi="Century Gothic" w:cs="Arial"/>
          <w:bCs/>
          <w:sz w:val="28"/>
          <w:szCs w:val="28"/>
          <w:lang w:eastAsia="en-US"/>
        </w:rPr>
        <w:t>; además, también</w:t>
      </w:r>
      <w:r w:rsidR="009C747C" w:rsidRPr="00343FBE">
        <w:rPr>
          <w:rFonts w:ascii="Century Gothic" w:hAnsi="Century Gothic" w:cs="Arial"/>
          <w:bCs/>
          <w:sz w:val="28"/>
          <w:szCs w:val="28"/>
          <w:lang w:eastAsia="en-US"/>
        </w:rPr>
        <w:t xml:space="preserve"> </w:t>
      </w:r>
      <w:r w:rsidR="00192A81" w:rsidRPr="00343FBE">
        <w:rPr>
          <w:rFonts w:ascii="Century Gothic" w:hAnsi="Century Gothic" w:cs="Arial"/>
          <w:bCs/>
          <w:sz w:val="28"/>
          <w:szCs w:val="28"/>
          <w:lang w:eastAsia="en-US"/>
        </w:rPr>
        <w:t xml:space="preserve">obran en el expediente del juicio ciudadano SUP-JDC-198/2017, pues se allegaron, junto con la resolución dictada en el procedimiento </w:t>
      </w:r>
      <w:proofErr w:type="spellStart"/>
      <w:r w:rsidR="00192A81" w:rsidRPr="00343FBE">
        <w:rPr>
          <w:rFonts w:ascii="Century Gothic" w:hAnsi="Century Gothic" w:cs="Arial"/>
          <w:bCs/>
          <w:sz w:val="28"/>
          <w:szCs w:val="28"/>
          <w:lang w:eastAsia="en-US"/>
        </w:rPr>
        <w:t>intrapartidista</w:t>
      </w:r>
      <w:proofErr w:type="spellEnd"/>
      <w:r w:rsidR="00192A81" w:rsidRPr="00343FBE">
        <w:rPr>
          <w:rFonts w:ascii="Century Gothic" w:hAnsi="Century Gothic" w:cs="Arial"/>
          <w:bCs/>
          <w:sz w:val="28"/>
          <w:szCs w:val="28"/>
          <w:lang w:eastAsia="en-US"/>
        </w:rPr>
        <w:t>, para informar el cumplimiento de la ejecutoria dictada en di</w:t>
      </w:r>
      <w:r w:rsidR="00FA0FFC" w:rsidRPr="00343FBE">
        <w:rPr>
          <w:rFonts w:ascii="Century Gothic" w:hAnsi="Century Gothic" w:cs="Arial"/>
          <w:bCs/>
          <w:sz w:val="28"/>
          <w:szCs w:val="28"/>
          <w:lang w:eastAsia="en-US"/>
        </w:rPr>
        <w:t xml:space="preserve">cho expediente, </w:t>
      </w:r>
      <w:r w:rsidR="003B47C3" w:rsidRPr="00343FBE">
        <w:rPr>
          <w:rFonts w:ascii="Century Gothic" w:hAnsi="Century Gothic" w:cs="Arial"/>
          <w:bCs/>
          <w:sz w:val="28"/>
          <w:szCs w:val="28"/>
          <w:lang w:eastAsia="en-US"/>
        </w:rPr>
        <w:t xml:space="preserve">el cual, por cierto, </w:t>
      </w:r>
      <w:r w:rsidR="00FA0FFC" w:rsidRPr="00343FBE">
        <w:rPr>
          <w:rFonts w:ascii="Century Gothic" w:hAnsi="Century Gothic" w:cs="Arial"/>
          <w:bCs/>
          <w:sz w:val="28"/>
          <w:szCs w:val="28"/>
          <w:lang w:eastAsia="en-US"/>
        </w:rPr>
        <w:t xml:space="preserve">el actor </w:t>
      </w:r>
      <w:r w:rsidR="005D7954" w:rsidRPr="00343FBE">
        <w:rPr>
          <w:rFonts w:ascii="Century Gothic" w:hAnsi="Century Gothic" w:cs="Arial"/>
          <w:bCs/>
          <w:sz w:val="28"/>
          <w:szCs w:val="28"/>
          <w:lang w:eastAsia="en-US"/>
        </w:rPr>
        <w:t xml:space="preserve">en el juicio SUP-JDC-369/2017, </w:t>
      </w:r>
      <w:r w:rsidR="00FA0FFC" w:rsidRPr="00343FBE">
        <w:rPr>
          <w:rFonts w:ascii="Century Gothic" w:hAnsi="Century Gothic" w:cs="Arial"/>
          <w:bCs/>
          <w:sz w:val="28"/>
          <w:szCs w:val="28"/>
          <w:lang w:eastAsia="en-US"/>
        </w:rPr>
        <w:t xml:space="preserve">reconoce </w:t>
      </w:r>
      <w:r w:rsidR="00192A81" w:rsidRPr="00343FBE">
        <w:rPr>
          <w:rFonts w:ascii="Century Gothic" w:hAnsi="Century Gothic" w:cs="Arial"/>
          <w:bCs/>
          <w:sz w:val="28"/>
          <w:szCs w:val="28"/>
          <w:lang w:eastAsia="en-US"/>
        </w:rPr>
        <w:t xml:space="preserve">que </w:t>
      </w:r>
      <w:r w:rsidR="00FA0FFC" w:rsidRPr="00343FBE">
        <w:rPr>
          <w:rFonts w:ascii="Century Gothic" w:hAnsi="Century Gothic" w:cs="Arial"/>
          <w:bCs/>
          <w:sz w:val="28"/>
          <w:szCs w:val="28"/>
          <w:lang w:eastAsia="en-US"/>
        </w:rPr>
        <w:t xml:space="preserve">revisó </w:t>
      </w:r>
      <w:r w:rsidR="000F3E83" w:rsidRPr="00343FBE">
        <w:rPr>
          <w:rFonts w:ascii="Century Gothic" w:hAnsi="Century Gothic" w:cs="Arial"/>
          <w:bCs/>
          <w:sz w:val="28"/>
          <w:szCs w:val="28"/>
          <w:lang w:eastAsia="en-US"/>
        </w:rPr>
        <w:t>cuando se le notificó la resolución recaída en el diverso juicio SUP-JDC-272/2017, y que incluso entonces conoció la sentencia partidista que ahora combate.</w:t>
      </w:r>
    </w:p>
    <w:p w:rsidR="004F0D22" w:rsidRPr="00343FBE" w:rsidRDefault="004F0D22" w:rsidP="00D3247D">
      <w:pPr>
        <w:spacing w:line="360" w:lineRule="auto"/>
        <w:jc w:val="both"/>
        <w:rPr>
          <w:rFonts w:ascii="Century Gothic" w:hAnsi="Century Gothic" w:cs="Arial"/>
          <w:bCs/>
          <w:sz w:val="28"/>
          <w:szCs w:val="28"/>
          <w:lang w:eastAsia="en-US"/>
        </w:rPr>
      </w:pPr>
    </w:p>
    <w:p w:rsidR="00C547D6" w:rsidRPr="00343FBE" w:rsidRDefault="00351BE5"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lastRenderedPageBreak/>
        <w:t xml:space="preserve">Precisado lo anterior, se advierte que </w:t>
      </w:r>
      <w:r w:rsidR="005D7954" w:rsidRPr="00343FBE">
        <w:rPr>
          <w:rFonts w:ascii="Century Gothic" w:hAnsi="Century Gothic" w:cs="Arial"/>
          <w:bCs/>
          <w:sz w:val="28"/>
          <w:szCs w:val="28"/>
          <w:lang w:eastAsia="en-US"/>
        </w:rPr>
        <w:t>se</w:t>
      </w:r>
      <w:r w:rsidRPr="00343FBE">
        <w:rPr>
          <w:rFonts w:ascii="Century Gothic" w:hAnsi="Century Gothic" w:cs="Arial"/>
          <w:bCs/>
          <w:sz w:val="28"/>
          <w:szCs w:val="28"/>
          <w:lang w:eastAsia="en-US"/>
        </w:rPr>
        <w:t xml:space="preserve"> alega, en resumen, que</w:t>
      </w:r>
      <w:r w:rsidR="00864DEA" w:rsidRPr="00343FBE">
        <w:rPr>
          <w:rFonts w:ascii="Century Gothic" w:hAnsi="Century Gothic" w:cs="Arial"/>
          <w:bCs/>
          <w:sz w:val="28"/>
          <w:szCs w:val="28"/>
          <w:lang w:eastAsia="en-US"/>
        </w:rPr>
        <w:t xml:space="preserve"> las </w:t>
      </w:r>
      <w:r w:rsidR="00C547D6" w:rsidRPr="00343FBE">
        <w:rPr>
          <w:rFonts w:ascii="Century Gothic" w:hAnsi="Century Gothic" w:cs="Arial"/>
          <w:bCs/>
          <w:sz w:val="28"/>
          <w:szCs w:val="28"/>
          <w:lang w:eastAsia="en-US"/>
        </w:rPr>
        <w:t>aludidas sesiones de la Comisión Coordinadora Nacional, son contrarias a la normativa estatutaria y debe declararse de nulidad, en virtud de que no existe prueba de:</w:t>
      </w:r>
    </w:p>
    <w:p w:rsidR="00C547D6" w:rsidRPr="00343FBE" w:rsidRDefault="00C547D6" w:rsidP="00D3247D">
      <w:pPr>
        <w:spacing w:line="360" w:lineRule="auto"/>
        <w:jc w:val="both"/>
        <w:rPr>
          <w:rFonts w:ascii="Century Gothic" w:hAnsi="Century Gothic" w:cs="Arial"/>
          <w:bCs/>
          <w:sz w:val="28"/>
          <w:szCs w:val="28"/>
          <w:lang w:eastAsia="en-US"/>
        </w:rPr>
      </w:pPr>
    </w:p>
    <w:p w:rsidR="00C547D6" w:rsidRPr="00343FBE" w:rsidRDefault="00864DEA"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C547D6" w:rsidRPr="00343FBE">
        <w:rPr>
          <w:rFonts w:ascii="Century Gothic" w:hAnsi="Century Gothic" w:cs="Arial"/>
          <w:bCs/>
          <w:sz w:val="28"/>
          <w:szCs w:val="28"/>
          <w:lang w:eastAsia="en-US"/>
        </w:rPr>
        <w:t>La convocatoria</w:t>
      </w:r>
      <w:r w:rsidR="008E5C36" w:rsidRPr="00343FBE">
        <w:rPr>
          <w:rFonts w:ascii="Century Gothic" w:hAnsi="Century Gothic" w:cs="Arial"/>
          <w:bCs/>
          <w:sz w:val="28"/>
          <w:szCs w:val="28"/>
          <w:lang w:eastAsia="en-US"/>
        </w:rPr>
        <w:t xml:space="preserve"> de la Comisión Coordinadora Nacional, emitida con tres días de anticipación a la celebración de dichas sesiones.</w:t>
      </w:r>
    </w:p>
    <w:p w:rsidR="008E5C36" w:rsidRPr="00343FBE" w:rsidRDefault="008E5C36" w:rsidP="00D3247D">
      <w:pPr>
        <w:spacing w:line="360" w:lineRule="auto"/>
        <w:jc w:val="both"/>
        <w:rPr>
          <w:rFonts w:ascii="Century Gothic" w:hAnsi="Century Gothic" w:cs="Arial"/>
          <w:bCs/>
          <w:sz w:val="28"/>
          <w:szCs w:val="28"/>
          <w:lang w:eastAsia="en-US"/>
        </w:rPr>
      </w:pPr>
    </w:p>
    <w:p w:rsidR="008E5C36" w:rsidRPr="00343FBE" w:rsidRDefault="00864DEA"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8E5C36" w:rsidRPr="00343FBE">
        <w:rPr>
          <w:rFonts w:ascii="Century Gothic" w:hAnsi="Century Gothic" w:cs="Arial"/>
          <w:bCs/>
          <w:sz w:val="28"/>
          <w:szCs w:val="28"/>
          <w:lang w:eastAsia="en-US"/>
        </w:rPr>
        <w:t xml:space="preserve">Actas y listas de asistencia relativas a tales sesiones. </w:t>
      </w:r>
    </w:p>
    <w:p w:rsidR="008E5C36" w:rsidRPr="00343FBE" w:rsidRDefault="008E5C36" w:rsidP="00D3247D">
      <w:pPr>
        <w:spacing w:line="360" w:lineRule="auto"/>
        <w:jc w:val="both"/>
        <w:rPr>
          <w:rFonts w:ascii="Century Gothic" w:hAnsi="Century Gothic" w:cs="Arial"/>
          <w:bCs/>
          <w:sz w:val="28"/>
          <w:szCs w:val="28"/>
          <w:lang w:eastAsia="en-US"/>
        </w:rPr>
      </w:pPr>
    </w:p>
    <w:p w:rsidR="008E5C36" w:rsidRPr="00343FBE" w:rsidRDefault="00864DEA"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8E5C36" w:rsidRPr="00343FBE">
        <w:rPr>
          <w:rFonts w:ascii="Century Gothic" w:hAnsi="Century Gothic" w:cs="Arial"/>
          <w:bCs/>
          <w:sz w:val="28"/>
          <w:szCs w:val="28"/>
          <w:lang w:eastAsia="en-US"/>
        </w:rPr>
        <w:t>Difusión de los acuerdos a la militancia.</w:t>
      </w:r>
    </w:p>
    <w:p w:rsidR="002D0EE2" w:rsidRPr="00343FBE" w:rsidRDefault="002D0EE2" w:rsidP="00D3247D">
      <w:pPr>
        <w:spacing w:line="360" w:lineRule="auto"/>
        <w:jc w:val="both"/>
        <w:rPr>
          <w:rFonts w:ascii="Century Gothic" w:hAnsi="Century Gothic" w:cs="Arial"/>
          <w:bCs/>
          <w:sz w:val="28"/>
          <w:szCs w:val="28"/>
          <w:lang w:eastAsia="en-US"/>
        </w:rPr>
      </w:pPr>
    </w:p>
    <w:p w:rsidR="002D0EE2" w:rsidRPr="00343FBE" w:rsidRDefault="00864DEA"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6D4DA5" w:rsidRPr="00343FBE">
        <w:rPr>
          <w:rFonts w:ascii="Century Gothic" w:hAnsi="Century Gothic" w:cs="Arial"/>
          <w:bCs/>
          <w:sz w:val="28"/>
          <w:szCs w:val="28"/>
          <w:lang w:eastAsia="en-US"/>
        </w:rPr>
        <w:t>No se cuenta con la notificación de las convocatorias a los integrantes de la Comisión Ejecutiva Nacional</w:t>
      </w:r>
      <w:r w:rsidR="00696C44" w:rsidRPr="00343FBE">
        <w:rPr>
          <w:rFonts w:ascii="Century Gothic" w:hAnsi="Century Gothic" w:cs="Arial"/>
          <w:bCs/>
          <w:sz w:val="28"/>
          <w:szCs w:val="28"/>
          <w:lang w:eastAsia="en-US"/>
        </w:rPr>
        <w:t xml:space="preserve">, por alguno de los medios previstos en los Estatutos. </w:t>
      </w:r>
    </w:p>
    <w:p w:rsidR="004848F0" w:rsidRPr="00343FBE" w:rsidRDefault="004848F0" w:rsidP="00D3247D">
      <w:pPr>
        <w:spacing w:line="360" w:lineRule="auto"/>
        <w:jc w:val="both"/>
        <w:rPr>
          <w:rFonts w:ascii="Century Gothic" w:hAnsi="Century Gothic" w:cs="Arial"/>
          <w:bCs/>
          <w:sz w:val="28"/>
          <w:szCs w:val="28"/>
          <w:lang w:eastAsia="en-US"/>
        </w:rPr>
      </w:pPr>
    </w:p>
    <w:p w:rsidR="004848F0" w:rsidRPr="00343FBE" w:rsidRDefault="007B4EC1"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T</w:t>
      </w:r>
      <w:r w:rsidR="00727622" w:rsidRPr="00343FBE">
        <w:rPr>
          <w:rFonts w:ascii="Century Gothic" w:hAnsi="Century Gothic" w:cs="Arial"/>
          <w:bCs/>
          <w:sz w:val="28"/>
          <w:szCs w:val="28"/>
          <w:lang w:eastAsia="en-US"/>
        </w:rPr>
        <w:t>ambién</w:t>
      </w:r>
      <w:r w:rsidRPr="00343FBE">
        <w:rPr>
          <w:rFonts w:ascii="Century Gothic" w:hAnsi="Century Gothic" w:cs="Arial"/>
          <w:bCs/>
          <w:sz w:val="28"/>
          <w:szCs w:val="28"/>
          <w:lang w:eastAsia="en-US"/>
        </w:rPr>
        <w:t xml:space="preserve"> se</w:t>
      </w:r>
      <w:r w:rsidR="00727622" w:rsidRPr="00343FBE">
        <w:rPr>
          <w:rFonts w:ascii="Century Gothic" w:hAnsi="Century Gothic" w:cs="Arial"/>
          <w:bCs/>
          <w:sz w:val="28"/>
          <w:szCs w:val="28"/>
          <w:lang w:eastAsia="en-US"/>
        </w:rPr>
        <w:t xml:space="preserve"> alega que s</w:t>
      </w:r>
      <w:r w:rsidR="004848F0" w:rsidRPr="00343FBE">
        <w:rPr>
          <w:rFonts w:ascii="Century Gothic" w:hAnsi="Century Gothic" w:cs="Arial"/>
          <w:bCs/>
          <w:sz w:val="28"/>
          <w:szCs w:val="28"/>
          <w:lang w:eastAsia="en-US"/>
        </w:rPr>
        <w:t xml:space="preserve">e le impidió a </w:t>
      </w:r>
      <w:r w:rsidRPr="00343FBE">
        <w:rPr>
          <w:rFonts w:ascii="Century Gothic" w:hAnsi="Century Gothic" w:cs="Arial"/>
          <w:bCs/>
          <w:sz w:val="28"/>
          <w:szCs w:val="28"/>
          <w:lang w:eastAsia="en-US"/>
        </w:rPr>
        <w:t>los actores</w:t>
      </w:r>
      <w:r w:rsidR="004848F0" w:rsidRPr="00343FBE">
        <w:rPr>
          <w:rFonts w:ascii="Century Gothic" w:hAnsi="Century Gothic" w:cs="Arial"/>
          <w:bCs/>
          <w:sz w:val="28"/>
          <w:szCs w:val="28"/>
          <w:lang w:eastAsia="en-US"/>
        </w:rPr>
        <w:t xml:space="preserve"> y a la militancia, así como a quienes simpatizan por el partido, tener conocimiento de tales convocatorias, y de los acuerdos tomados en las asambleas</w:t>
      </w:r>
      <w:r w:rsidR="00E51E23" w:rsidRPr="00343FBE">
        <w:rPr>
          <w:rFonts w:ascii="Century Gothic" w:hAnsi="Century Gothic" w:cs="Arial"/>
          <w:bCs/>
          <w:sz w:val="28"/>
          <w:szCs w:val="28"/>
          <w:lang w:eastAsia="en-US"/>
        </w:rPr>
        <w:t>.</w:t>
      </w:r>
    </w:p>
    <w:p w:rsidR="008E5C36" w:rsidRPr="00343FBE" w:rsidRDefault="008E5C36" w:rsidP="00D3247D">
      <w:pPr>
        <w:spacing w:line="360" w:lineRule="auto"/>
        <w:jc w:val="both"/>
        <w:rPr>
          <w:rFonts w:ascii="Century Gothic" w:hAnsi="Century Gothic" w:cs="Arial"/>
          <w:bCs/>
          <w:sz w:val="28"/>
          <w:szCs w:val="28"/>
          <w:lang w:eastAsia="en-US"/>
        </w:rPr>
      </w:pPr>
    </w:p>
    <w:p w:rsidR="00461BD7" w:rsidRPr="00343FBE" w:rsidRDefault="00C965D0"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Ante tales irregularidades, </w:t>
      </w:r>
      <w:r w:rsidR="007B4EC1" w:rsidRPr="00343FBE">
        <w:rPr>
          <w:rFonts w:ascii="Century Gothic" w:hAnsi="Century Gothic" w:cs="Arial"/>
          <w:bCs/>
          <w:sz w:val="28"/>
          <w:szCs w:val="28"/>
          <w:lang w:eastAsia="en-US"/>
        </w:rPr>
        <w:t xml:space="preserve">se </w:t>
      </w:r>
      <w:r w:rsidRPr="00343FBE">
        <w:rPr>
          <w:rFonts w:ascii="Century Gothic" w:hAnsi="Century Gothic" w:cs="Arial"/>
          <w:bCs/>
          <w:sz w:val="28"/>
          <w:szCs w:val="28"/>
          <w:lang w:eastAsia="en-US"/>
        </w:rPr>
        <w:t xml:space="preserve">asegura que </w:t>
      </w:r>
      <w:r w:rsidR="00864DEA" w:rsidRPr="00343FBE">
        <w:rPr>
          <w:rFonts w:ascii="Century Gothic" w:hAnsi="Century Gothic" w:cs="Arial"/>
          <w:bCs/>
          <w:sz w:val="28"/>
          <w:szCs w:val="28"/>
          <w:lang w:eastAsia="en-US"/>
        </w:rPr>
        <w:t xml:space="preserve">es </w:t>
      </w:r>
      <w:r w:rsidRPr="00343FBE">
        <w:rPr>
          <w:rFonts w:ascii="Century Gothic" w:hAnsi="Century Gothic" w:cs="Arial"/>
          <w:bCs/>
          <w:sz w:val="28"/>
          <w:szCs w:val="28"/>
          <w:lang w:eastAsia="en-US"/>
        </w:rPr>
        <w:t xml:space="preserve">ilegal el </w:t>
      </w:r>
      <w:r w:rsidR="003D6DBE" w:rsidRPr="00343FBE">
        <w:rPr>
          <w:rFonts w:ascii="Century Gothic" w:hAnsi="Century Gothic" w:cs="Arial"/>
          <w:bCs/>
          <w:sz w:val="28"/>
          <w:szCs w:val="28"/>
          <w:lang w:eastAsia="en-US"/>
        </w:rPr>
        <w:t xml:space="preserve">oficio REP-PT-INE-PVG-049/2017, </w:t>
      </w:r>
      <w:r w:rsidR="00261313" w:rsidRPr="00343FBE">
        <w:rPr>
          <w:rFonts w:ascii="Century Gothic" w:hAnsi="Century Gothic" w:cs="Arial"/>
          <w:bCs/>
          <w:sz w:val="28"/>
          <w:szCs w:val="28"/>
          <w:lang w:eastAsia="en-US"/>
        </w:rPr>
        <w:t>a través del cual, el representante del P</w:t>
      </w:r>
      <w:r w:rsidR="00891E2C" w:rsidRPr="00343FBE">
        <w:rPr>
          <w:rFonts w:ascii="Century Gothic" w:hAnsi="Century Gothic" w:cs="Arial"/>
          <w:bCs/>
          <w:sz w:val="28"/>
          <w:szCs w:val="28"/>
          <w:lang w:eastAsia="en-US"/>
        </w:rPr>
        <w:t>T</w:t>
      </w:r>
      <w:r w:rsidR="00261313" w:rsidRPr="00343FBE">
        <w:rPr>
          <w:rFonts w:ascii="Century Gothic" w:hAnsi="Century Gothic" w:cs="Arial"/>
          <w:bCs/>
          <w:sz w:val="28"/>
          <w:szCs w:val="28"/>
          <w:lang w:eastAsia="en-US"/>
        </w:rPr>
        <w:t xml:space="preserve"> ante el Consejo General del Instituto Nacional Electoral, </w:t>
      </w:r>
      <w:r w:rsidR="00571E01" w:rsidRPr="00343FBE">
        <w:rPr>
          <w:rFonts w:ascii="Century Gothic" w:hAnsi="Century Gothic" w:cs="Arial"/>
          <w:bCs/>
          <w:sz w:val="28"/>
          <w:szCs w:val="28"/>
          <w:lang w:eastAsia="en-US"/>
        </w:rPr>
        <w:t xml:space="preserve">informó a la Dirección Ejecutiva de </w:t>
      </w:r>
      <w:r w:rsidR="00571E01" w:rsidRPr="00343FBE">
        <w:rPr>
          <w:rFonts w:ascii="Century Gothic" w:hAnsi="Century Gothic" w:cs="Arial"/>
          <w:bCs/>
          <w:sz w:val="28"/>
          <w:szCs w:val="28"/>
          <w:lang w:eastAsia="en-US"/>
        </w:rPr>
        <w:lastRenderedPageBreak/>
        <w:t>Prerrogativas y Partidos Políti</w:t>
      </w:r>
      <w:r w:rsidR="00864DEA" w:rsidRPr="00343FBE">
        <w:rPr>
          <w:rFonts w:ascii="Century Gothic" w:hAnsi="Century Gothic" w:cs="Arial"/>
          <w:bCs/>
          <w:sz w:val="28"/>
          <w:szCs w:val="28"/>
          <w:lang w:eastAsia="en-US"/>
        </w:rPr>
        <w:t>c</w:t>
      </w:r>
      <w:r w:rsidR="00571E01" w:rsidRPr="00343FBE">
        <w:rPr>
          <w:rFonts w:ascii="Century Gothic" w:hAnsi="Century Gothic" w:cs="Arial"/>
          <w:bCs/>
          <w:sz w:val="28"/>
          <w:szCs w:val="28"/>
          <w:lang w:eastAsia="en-US"/>
        </w:rPr>
        <w:t>os,</w:t>
      </w:r>
      <w:r w:rsidR="00196B3A" w:rsidRPr="00343FBE">
        <w:rPr>
          <w:rFonts w:ascii="Century Gothic" w:hAnsi="Century Gothic" w:cs="Arial"/>
          <w:bCs/>
          <w:sz w:val="28"/>
          <w:szCs w:val="28"/>
          <w:lang w:eastAsia="en-US"/>
        </w:rPr>
        <w:t xml:space="preserve"> que</w:t>
      </w:r>
      <w:r w:rsidR="00461BD7" w:rsidRPr="00343FBE">
        <w:rPr>
          <w:rFonts w:ascii="Century Gothic" w:hAnsi="Century Gothic" w:cs="Arial"/>
          <w:bCs/>
          <w:sz w:val="28"/>
          <w:szCs w:val="28"/>
          <w:lang w:eastAsia="en-US"/>
        </w:rPr>
        <w:t xml:space="preserve"> se prorrogó</w:t>
      </w:r>
      <w:r w:rsidR="00196B3A" w:rsidRPr="00343FBE">
        <w:rPr>
          <w:rFonts w:ascii="Century Gothic" w:hAnsi="Century Gothic" w:cs="Arial"/>
          <w:bCs/>
          <w:sz w:val="28"/>
          <w:szCs w:val="28"/>
          <w:lang w:eastAsia="en-US"/>
        </w:rPr>
        <w:t xml:space="preserve"> la celebración del Congreso Nacional Ordinario en el que se </w:t>
      </w:r>
      <w:r w:rsidR="00461BD7" w:rsidRPr="00343FBE">
        <w:rPr>
          <w:rFonts w:ascii="Century Gothic" w:hAnsi="Century Gothic" w:cs="Arial"/>
          <w:bCs/>
          <w:sz w:val="28"/>
          <w:szCs w:val="28"/>
          <w:lang w:eastAsia="en-US"/>
        </w:rPr>
        <w:t>renovarían los órganos directivos del partido.</w:t>
      </w:r>
    </w:p>
    <w:p w:rsidR="00461BD7" w:rsidRPr="00343FBE" w:rsidRDefault="00461BD7" w:rsidP="00D3247D">
      <w:pPr>
        <w:spacing w:line="360" w:lineRule="auto"/>
        <w:jc w:val="both"/>
        <w:rPr>
          <w:rFonts w:ascii="Century Gothic" w:hAnsi="Century Gothic" w:cs="Arial"/>
          <w:bCs/>
          <w:sz w:val="28"/>
          <w:szCs w:val="28"/>
          <w:lang w:eastAsia="en-US"/>
        </w:rPr>
      </w:pPr>
    </w:p>
    <w:p w:rsidR="002D2FED" w:rsidRPr="00343FBE" w:rsidRDefault="00E51E23" w:rsidP="00D3247D">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Consideraciones de esta Sala Superior</w:t>
      </w:r>
      <w:r w:rsidRPr="00343FBE">
        <w:rPr>
          <w:rFonts w:ascii="Century Gothic" w:hAnsi="Century Gothic" w:cs="Arial"/>
          <w:bCs/>
          <w:sz w:val="28"/>
          <w:szCs w:val="28"/>
          <w:lang w:eastAsia="en-US"/>
        </w:rPr>
        <w:t xml:space="preserve">. </w:t>
      </w:r>
    </w:p>
    <w:p w:rsidR="002D2FED" w:rsidRPr="00343FBE" w:rsidRDefault="002D2FED" w:rsidP="00D3247D">
      <w:pPr>
        <w:spacing w:line="360" w:lineRule="auto"/>
        <w:jc w:val="both"/>
        <w:rPr>
          <w:rFonts w:ascii="Century Gothic" w:hAnsi="Century Gothic" w:cs="Arial"/>
          <w:bCs/>
          <w:sz w:val="28"/>
          <w:szCs w:val="28"/>
          <w:lang w:eastAsia="en-US"/>
        </w:rPr>
      </w:pPr>
    </w:p>
    <w:p w:rsidR="00E60C44" w:rsidRPr="00343FBE" w:rsidRDefault="002D35A5"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Son infundados los agravios, </w:t>
      </w:r>
      <w:r w:rsidR="00E60C44" w:rsidRPr="00343FBE">
        <w:rPr>
          <w:rFonts w:ascii="Century Gothic" w:hAnsi="Century Gothic" w:cs="Arial"/>
          <w:bCs/>
          <w:sz w:val="28"/>
          <w:szCs w:val="28"/>
          <w:lang w:eastAsia="en-US"/>
        </w:rPr>
        <w:t xml:space="preserve">porque es inexacto que las citadas asambleas adolezcan de las irregularidades que </w:t>
      </w:r>
      <w:r w:rsidRPr="00343FBE">
        <w:rPr>
          <w:rFonts w:ascii="Century Gothic" w:hAnsi="Century Gothic" w:cs="Arial"/>
          <w:bCs/>
          <w:sz w:val="28"/>
          <w:szCs w:val="28"/>
          <w:lang w:eastAsia="en-US"/>
        </w:rPr>
        <w:t xml:space="preserve">se </w:t>
      </w:r>
      <w:r w:rsidR="00E60C44" w:rsidRPr="00343FBE">
        <w:rPr>
          <w:rFonts w:ascii="Century Gothic" w:hAnsi="Century Gothic" w:cs="Arial"/>
          <w:bCs/>
          <w:sz w:val="28"/>
          <w:szCs w:val="28"/>
          <w:lang w:eastAsia="en-US"/>
        </w:rPr>
        <w:t>alega</w:t>
      </w:r>
      <w:r w:rsidRPr="00343FBE">
        <w:rPr>
          <w:rFonts w:ascii="Century Gothic" w:hAnsi="Century Gothic" w:cs="Arial"/>
          <w:bCs/>
          <w:sz w:val="28"/>
          <w:szCs w:val="28"/>
          <w:lang w:eastAsia="en-US"/>
        </w:rPr>
        <w:t>n</w:t>
      </w:r>
      <w:r w:rsidR="00E60C44" w:rsidRPr="00343FBE">
        <w:rPr>
          <w:rFonts w:ascii="Century Gothic" w:hAnsi="Century Gothic" w:cs="Arial"/>
          <w:bCs/>
          <w:sz w:val="28"/>
          <w:szCs w:val="28"/>
          <w:lang w:eastAsia="en-US"/>
        </w:rPr>
        <w:t>.</w:t>
      </w:r>
    </w:p>
    <w:p w:rsidR="00E60C44" w:rsidRPr="00343FBE" w:rsidRDefault="00E60C44" w:rsidP="00D3247D">
      <w:pPr>
        <w:spacing w:line="360" w:lineRule="auto"/>
        <w:jc w:val="both"/>
        <w:rPr>
          <w:rFonts w:ascii="Century Gothic" w:hAnsi="Century Gothic" w:cs="Arial"/>
          <w:bCs/>
          <w:sz w:val="28"/>
          <w:szCs w:val="28"/>
          <w:lang w:eastAsia="en-US"/>
        </w:rPr>
      </w:pPr>
    </w:p>
    <w:p w:rsidR="006945BD" w:rsidRPr="00343FBE" w:rsidRDefault="00E60C44"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En efecto,</w:t>
      </w:r>
      <w:r w:rsidR="006945BD" w:rsidRPr="00343FBE">
        <w:rPr>
          <w:rFonts w:ascii="Century Gothic" w:hAnsi="Century Gothic" w:cs="Arial"/>
          <w:bCs/>
          <w:sz w:val="28"/>
          <w:szCs w:val="28"/>
          <w:lang w:eastAsia="en-US"/>
        </w:rPr>
        <w:t xml:space="preserve"> tocante a la sesión del catorce de diciembre de dos mil dieciséis, </w:t>
      </w:r>
      <w:r w:rsidRPr="00343FBE">
        <w:rPr>
          <w:rFonts w:ascii="Century Gothic" w:hAnsi="Century Gothic" w:cs="Arial"/>
          <w:bCs/>
          <w:sz w:val="28"/>
          <w:szCs w:val="28"/>
          <w:lang w:eastAsia="en-US"/>
        </w:rPr>
        <w:t xml:space="preserve">en autos </w:t>
      </w:r>
      <w:r w:rsidR="002D35A5" w:rsidRPr="00343FBE">
        <w:rPr>
          <w:rFonts w:ascii="Century Gothic" w:hAnsi="Century Gothic" w:cs="Arial"/>
          <w:bCs/>
          <w:sz w:val="28"/>
          <w:szCs w:val="28"/>
          <w:lang w:eastAsia="en-US"/>
        </w:rPr>
        <w:t xml:space="preserve">del SUP-JDC-369/2017, </w:t>
      </w:r>
      <w:r w:rsidRPr="00343FBE">
        <w:rPr>
          <w:rFonts w:ascii="Century Gothic" w:hAnsi="Century Gothic" w:cs="Arial"/>
          <w:bCs/>
          <w:sz w:val="28"/>
          <w:szCs w:val="28"/>
          <w:lang w:eastAsia="en-US"/>
        </w:rPr>
        <w:t>se encuentra</w:t>
      </w:r>
      <w:r w:rsidR="006945BD" w:rsidRPr="00343FBE">
        <w:rPr>
          <w:rFonts w:ascii="Century Gothic" w:hAnsi="Century Gothic" w:cs="Arial"/>
          <w:bCs/>
          <w:sz w:val="28"/>
          <w:szCs w:val="28"/>
          <w:lang w:eastAsia="en-US"/>
        </w:rPr>
        <w:t>n</w:t>
      </w:r>
      <w:r w:rsidR="00D84649" w:rsidRPr="00343FBE">
        <w:rPr>
          <w:rFonts w:ascii="Century Gothic" w:hAnsi="Century Gothic" w:cs="Arial"/>
          <w:bCs/>
          <w:sz w:val="28"/>
          <w:szCs w:val="28"/>
          <w:lang w:eastAsia="en-US"/>
        </w:rPr>
        <w:t xml:space="preserve"> copias certificadas de</w:t>
      </w:r>
      <w:r w:rsidR="006945BD" w:rsidRPr="00343FBE">
        <w:rPr>
          <w:rFonts w:ascii="Century Gothic" w:hAnsi="Century Gothic" w:cs="Arial"/>
          <w:bCs/>
          <w:sz w:val="28"/>
          <w:szCs w:val="28"/>
          <w:lang w:eastAsia="en-US"/>
        </w:rPr>
        <w:t>:</w:t>
      </w:r>
      <w:r w:rsidR="00603C8D" w:rsidRPr="00343FBE">
        <w:rPr>
          <w:rFonts w:ascii="Century Gothic" w:hAnsi="Century Gothic" w:cs="Arial"/>
          <w:bCs/>
          <w:sz w:val="28"/>
          <w:szCs w:val="28"/>
          <w:lang w:eastAsia="en-US"/>
        </w:rPr>
        <w:t xml:space="preserve"> </w:t>
      </w:r>
    </w:p>
    <w:p w:rsidR="006945BD" w:rsidRPr="00343FBE" w:rsidRDefault="006945BD" w:rsidP="00D3247D">
      <w:pPr>
        <w:spacing w:line="360" w:lineRule="auto"/>
        <w:jc w:val="both"/>
        <w:rPr>
          <w:rFonts w:ascii="Century Gothic" w:hAnsi="Century Gothic" w:cs="Arial"/>
          <w:bCs/>
          <w:sz w:val="28"/>
          <w:szCs w:val="28"/>
          <w:lang w:eastAsia="en-US"/>
        </w:rPr>
      </w:pPr>
    </w:p>
    <w:p w:rsidR="006945BD" w:rsidRPr="00343FBE" w:rsidRDefault="006945BD"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w:t>
      </w:r>
      <w:r w:rsidR="00E60C44" w:rsidRPr="00343FBE">
        <w:rPr>
          <w:rFonts w:ascii="Century Gothic" w:hAnsi="Century Gothic" w:cs="Arial"/>
          <w:bCs/>
          <w:sz w:val="28"/>
          <w:szCs w:val="28"/>
          <w:lang w:eastAsia="en-US"/>
        </w:rPr>
        <w:t xml:space="preserve"> </w:t>
      </w:r>
      <w:r w:rsidR="00D84649" w:rsidRPr="00343FBE">
        <w:rPr>
          <w:rFonts w:ascii="Century Gothic" w:hAnsi="Century Gothic" w:cs="Arial"/>
          <w:bCs/>
          <w:sz w:val="28"/>
          <w:szCs w:val="28"/>
          <w:lang w:eastAsia="en-US"/>
        </w:rPr>
        <w:t>L</w:t>
      </w:r>
      <w:r w:rsidRPr="00343FBE">
        <w:rPr>
          <w:rFonts w:ascii="Century Gothic" w:hAnsi="Century Gothic" w:cs="Arial"/>
          <w:bCs/>
          <w:sz w:val="28"/>
          <w:szCs w:val="28"/>
          <w:lang w:eastAsia="en-US"/>
        </w:rPr>
        <w:t>a convocatoria a dicha sesión, emitida el</w:t>
      </w:r>
      <w:r w:rsidR="00941BF8" w:rsidRPr="00343FBE">
        <w:rPr>
          <w:rFonts w:ascii="Century Gothic" w:hAnsi="Century Gothic" w:cs="Arial"/>
          <w:bCs/>
          <w:sz w:val="28"/>
          <w:szCs w:val="28"/>
          <w:lang w:eastAsia="en-US"/>
        </w:rPr>
        <w:t xml:space="preserve"> ocho del mismo mes y año (foja</w:t>
      </w:r>
      <w:r w:rsidRPr="00343FBE">
        <w:rPr>
          <w:rFonts w:ascii="Century Gothic" w:hAnsi="Century Gothic" w:cs="Arial"/>
          <w:bCs/>
          <w:sz w:val="28"/>
          <w:szCs w:val="28"/>
          <w:lang w:eastAsia="en-US"/>
        </w:rPr>
        <w:t xml:space="preserve"> </w:t>
      </w:r>
      <w:r w:rsidR="008416FC" w:rsidRPr="00343FBE">
        <w:rPr>
          <w:rFonts w:ascii="Century Gothic" w:hAnsi="Century Gothic" w:cs="Arial"/>
          <w:bCs/>
          <w:sz w:val="28"/>
          <w:szCs w:val="28"/>
          <w:lang w:eastAsia="en-US"/>
        </w:rPr>
        <w:t>175</w:t>
      </w:r>
      <w:r w:rsidRPr="00343FBE">
        <w:rPr>
          <w:rFonts w:ascii="Century Gothic" w:hAnsi="Century Gothic" w:cs="Arial"/>
          <w:bCs/>
          <w:sz w:val="28"/>
          <w:szCs w:val="28"/>
          <w:lang w:eastAsia="en-US"/>
        </w:rPr>
        <w:t>).</w:t>
      </w:r>
      <w:r w:rsidR="008416FC" w:rsidRPr="00343FBE">
        <w:rPr>
          <w:rFonts w:ascii="Century Gothic" w:hAnsi="Century Gothic" w:cs="Arial"/>
          <w:bCs/>
          <w:sz w:val="28"/>
          <w:szCs w:val="28"/>
          <w:lang w:eastAsia="en-US"/>
        </w:rPr>
        <w:t xml:space="preserve"> </w:t>
      </w:r>
    </w:p>
    <w:p w:rsidR="006945BD" w:rsidRPr="00343FBE" w:rsidRDefault="006945BD" w:rsidP="00D3247D">
      <w:pPr>
        <w:spacing w:line="360" w:lineRule="auto"/>
        <w:jc w:val="both"/>
        <w:rPr>
          <w:rFonts w:ascii="Century Gothic" w:hAnsi="Century Gothic" w:cs="Arial"/>
          <w:bCs/>
          <w:sz w:val="28"/>
          <w:szCs w:val="28"/>
          <w:lang w:eastAsia="en-US"/>
        </w:rPr>
      </w:pPr>
    </w:p>
    <w:p w:rsidR="006945BD" w:rsidRPr="00343FBE" w:rsidRDefault="006945BD"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54381F" w:rsidRPr="00343FBE">
        <w:rPr>
          <w:rFonts w:ascii="Century Gothic" w:hAnsi="Century Gothic" w:cs="Arial"/>
          <w:bCs/>
          <w:sz w:val="28"/>
          <w:szCs w:val="28"/>
          <w:lang w:eastAsia="en-US"/>
        </w:rPr>
        <w:t>Cinco ac</w:t>
      </w:r>
      <w:r w:rsidRPr="00343FBE">
        <w:rPr>
          <w:rFonts w:ascii="Century Gothic" w:hAnsi="Century Gothic" w:cs="Arial"/>
          <w:bCs/>
          <w:sz w:val="28"/>
          <w:szCs w:val="28"/>
          <w:lang w:eastAsia="en-US"/>
        </w:rPr>
        <w:t xml:space="preserve">uses de recibo de dicha convocatoria (fojas </w:t>
      </w:r>
      <w:r w:rsidR="00E9366E" w:rsidRPr="00343FBE">
        <w:rPr>
          <w:rFonts w:ascii="Century Gothic" w:hAnsi="Century Gothic" w:cs="Arial"/>
          <w:bCs/>
          <w:sz w:val="28"/>
          <w:szCs w:val="28"/>
          <w:lang w:eastAsia="en-US"/>
        </w:rPr>
        <w:t>176-180</w:t>
      </w:r>
      <w:r w:rsidRPr="00343FBE">
        <w:rPr>
          <w:rFonts w:ascii="Century Gothic" w:hAnsi="Century Gothic" w:cs="Arial"/>
          <w:bCs/>
          <w:sz w:val="28"/>
          <w:szCs w:val="28"/>
          <w:lang w:eastAsia="en-US"/>
        </w:rPr>
        <w:t>)</w:t>
      </w:r>
      <w:r w:rsidR="00E9366E" w:rsidRPr="00343FBE">
        <w:rPr>
          <w:rFonts w:ascii="Century Gothic" w:hAnsi="Century Gothic" w:cs="Arial"/>
          <w:bCs/>
          <w:sz w:val="28"/>
          <w:szCs w:val="28"/>
          <w:lang w:eastAsia="en-US"/>
        </w:rPr>
        <w:t>, así como la impresión de un correo electrónico</w:t>
      </w:r>
      <w:r w:rsidR="00F04A8D" w:rsidRPr="00343FBE">
        <w:rPr>
          <w:rFonts w:ascii="Century Gothic" w:hAnsi="Century Gothic" w:cs="Arial"/>
          <w:bCs/>
          <w:sz w:val="28"/>
          <w:szCs w:val="28"/>
          <w:lang w:eastAsia="en-US"/>
        </w:rPr>
        <w:t xml:space="preserve"> dirigido a una persona, en el que se dice que se convoca a los integrantes de la Comisión Ejecutiva Nacional y Comisionados Políticos Nacionales, a la citada sesión</w:t>
      </w:r>
      <w:r w:rsidR="00941BF8" w:rsidRPr="00343FBE">
        <w:rPr>
          <w:rFonts w:ascii="Century Gothic" w:hAnsi="Century Gothic" w:cs="Arial"/>
          <w:bCs/>
          <w:sz w:val="28"/>
          <w:szCs w:val="28"/>
          <w:lang w:eastAsia="en-US"/>
        </w:rPr>
        <w:t xml:space="preserve"> (foja 181)</w:t>
      </w:r>
      <w:r w:rsidR="00F04A8D" w:rsidRPr="00343FBE">
        <w:rPr>
          <w:rFonts w:ascii="Century Gothic" w:hAnsi="Century Gothic" w:cs="Arial"/>
          <w:bCs/>
          <w:sz w:val="28"/>
          <w:szCs w:val="28"/>
          <w:lang w:eastAsia="en-US"/>
        </w:rPr>
        <w:t>.</w:t>
      </w:r>
    </w:p>
    <w:p w:rsidR="00F04A8D" w:rsidRPr="00343FBE" w:rsidRDefault="00F04A8D" w:rsidP="00D3247D">
      <w:pPr>
        <w:spacing w:line="360" w:lineRule="auto"/>
        <w:jc w:val="both"/>
        <w:rPr>
          <w:rFonts w:ascii="Century Gothic" w:hAnsi="Century Gothic" w:cs="Arial"/>
          <w:bCs/>
          <w:sz w:val="28"/>
          <w:szCs w:val="28"/>
          <w:lang w:eastAsia="en-US"/>
        </w:rPr>
      </w:pPr>
    </w:p>
    <w:p w:rsidR="00721D77" w:rsidRPr="00343FBE" w:rsidRDefault="006945BD"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Listas de asistencia </w:t>
      </w:r>
      <w:r w:rsidR="00B37C58" w:rsidRPr="00343FBE">
        <w:rPr>
          <w:rFonts w:ascii="Century Gothic" w:hAnsi="Century Gothic" w:cs="Arial"/>
          <w:bCs/>
          <w:sz w:val="28"/>
          <w:szCs w:val="28"/>
          <w:lang w:eastAsia="en-US"/>
        </w:rPr>
        <w:t xml:space="preserve">a la sesión del catorce de diciembre de dos mil dieciséis (fojas </w:t>
      </w:r>
      <w:r w:rsidR="00512940" w:rsidRPr="00343FBE">
        <w:rPr>
          <w:rFonts w:ascii="Century Gothic" w:hAnsi="Century Gothic" w:cs="Arial"/>
          <w:bCs/>
          <w:sz w:val="28"/>
          <w:szCs w:val="28"/>
          <w:lang w:eastAsia="en-US"/>
        </w:rPr>
        <w:t>184-201</w:t>
      </w:r>
      <w:r w:rsidR="00B37C58" w:rsidRPr="00343FBE">
        <w:rPr>
          <w:rFonts w:ascii="Century Gothic" w:hAnsi="Century Gothic" w:cs="Arial"/>
          <w:bCs/>
          <w:sz w:val="28"/>
          <w:szCs w:val="28"/>
          <w:lang w:eastAsia="en-US"/>
        </w:rPr>
        <w:t>).</w:t>
      </w:r>
      <w:r w:rsidR="00512940" w:rsidRPr="00343FBE">
        <w:rPr>
          <w:rFonts w:ascii="Century Gothic" w:hAnsi="Century Gothic" w:cs="Arial"/>
          <w:bCs/>
          <w:sz w:val="28"/>
          <w:szCs w:val="28"/>
          <w:lang w:eastAsia="en-US"/>
        </w:rPr>
        <w:t xml:space="preserve"> </w:t>
      </w:r>
    </w:p>
    <w:p w:rsidR="00721D77" w:rsidRPr="00343FBE" w:rsidRDefault="00721D77" w:rsidP="00D3247D">
      <w:pPr>
        <w:spacing w:line="360" w:lineRule="auto"/>
        <w:jc w:val="both"/>
        <w:rPr>
          <w:rFonts w:ascii="Century Gothic" w:hAnsi="Century Gothic" w:cs="Arial"/>
          <w:bCs/>
          <w:sz w:val="28"/>
          <w:szCs w:val="28"/>
          <w:lang w:eastAsia="en-US"/>
        </w:rPr>
      </w:pPr>
    </w:p>
    <w:p w:rsidR="007D26F1" w:rsidRPr="00343FBE" w:rsidRDefault="00721D77"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lastRenderedPageBreak/>
        <w:t xml:space="preserve">- Acta de la sesión ordinaria de la Comisión Ejecutiva Nacional del catorce de diciembre de dos mil dieciséis (fojas </w:t>
      </w:r>
      <w:r w:rsidR="00343FE8" w:rsidRPr="00343FBE">
        <w:rPr>
          <w:rFonts w:ascii="Century Gothic" w:hAnsi="Century Gothic" w:cs="Arial"/>
          <w:bCs/>
          <w:sz w:val="28"/>
          <w:szCs w:val="28"/>
          <w:lang w:eastAsia="en-US"/>
        </w:rPr>
        <w:t>202-210).</w:t>
      </w:r>
      <w:r w:rsidR="00B37C58" w:rsidRPr="00343FBE">
        <w:rPr>
          <w:rFonts w:ascii="Century Gothic" w:hAnsi="Century Gothic" w:cs="Arial"/>
          <w:bCs/>
          <w:sz w:val="28"/>
          <w:szCs w:val="28"/>
          <w:lang w:eastAsia="en-US"/>
        </w:rPr>
        <w:t xml:space="preserve"> </w:t>
      </w:r>
    </w:p>
    <w:p w:rsidR="007D26F1" w:rsidRPr="00343FBE" w:rsidRDefault="007D26F1" w:rsidP="00D3247D">
      <w:pPr>
        <w:spacing w:line="360" w:lineRule="auto"/>
        <w:jc w:val="both"/>
        <w:rPr>
          <w:rFonts w:ascii="Century Gothic" w:hAnsi="Century Gothic" w:cs="Arial"/>
          <w:bCs/>
          <w:sz w:val="28"/>
          <w:szCs w:val="28"/>
          <w:lang w:eastAsia="en-US"/>
        </w:rPr>
      </w:pPr>
    </w:p>
    <w:p w:rsidR="007D26F1" w:rsidRPr="00343FBE" w:rsidRDefault="007D26F1" w:rsidP="007D26F1">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Respecto a la sesión del veintidós de febrero de dos mil diecisiete, en autos se encuentran</w:t>
      </w:r>
      <w:r w:rsidR="00D84649" w:rsidRPr="00343FBE">
        <w:rPr>
          <w:rFonts w:ascii="Century Gothic" w:hAnsi="Century Gothic" w:cs="Arial"/>
          <w:bCs/>
          <w:sz w:val="28"/>
          <w:szCs w:val="28"/>
          <w:lang w:eastAsia="en-US"/>
        </w:rPr>
        <w:t xml:space="preserve"> copias certificadas de</w:t>
      </w:r>
      <w:r w:rsidRPr="00343FBE">
        <w:rPr>
          <w:rFonts w:ascii="Century Gothic" w:hAnsi="Century Gothic" w:cs="Arial"/>
          <w:bCs/>
          <w:sz w:val="28"/>
          <w:szCs w:val="28"/>
          <w:lang w:eastAsia="en-US"/>
        </w:rPr>
        <w:t>:</w:t>
      </w:r>
    </w:p>
    <w:p w:rsidR="007D26F1" w:rsidRPr="00343FBE" w:rsidRDefault="007D26F1" w:rsidP="007D26F1">
      <w:pPr>
        <w:spacing w:line="360" w:lineRule="auto"/>
        <w:jc w:val="both"/>
        <w:rPr>
          <w:rFonts w:ascii="Century Gothic" w:hAnsi="Century Gothic" w:cs="Arial"/>
          <w:bCs/>
          <w:sz w:val="28"/>
          <w:szCs w:val="28"/>
          <w:lang w:eastAsia="en-US"/>
        </w:rPr>
      </w:pPr>
    </w:p>
    <w:p w:rsidR="007D26F1" w:rsidRPr="00343FBE" w:rsidRDefault="007D26F1" w:rsidP="007D26F1">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D84649" w:rsidRPr="00343FBE">
        <w:rPr>
          <w:rFonts w:ascii="Century Gothic" w:hAnsi="Century Gothic" w:cs="Arial"/>
          <w:bCs/>
          <w:sz w:val="28"/>
          <w:szCs w:val="28"/>
          <w:lang w:eastAsia="en-US"/>
        </w:rPr>
        <w:t>L</w:t>
      </w:r>
      <w:r w:rsidRPr="00343FBE">
        <w:rPr>
          <w:rFonts w:ascii="Century Gothic" w:hAnsi="Century Gothic" w:cs="Arial"/>
          <w:bCs/>
          <w:sz w:val="28"/>
          <w:szCs w:val="28"/>
          <w:lang w:eastAsia="en-US"/>
        </w:rPr>
        <w:t>a convocatoria a dicha sesión, emitida el dieciséis</w:t>
      </w:r>
      <w:r w:rsidR="00C43DDA" w:rsidRPr="00343FBE">
        <w:rPr>
          <w:rFonts w:ascii="Century Gothic" w:hAnsi="Century Gothic" w:cs="Arial"/>
          <w:bCs/>
          <w:sz w:val="28"/>
          <w:szCs w:val="28"/>
          <w:lang w:eastAsia="en-US"/>
        </w:rPr>
        <w:t xml:space="preserve"> del mismo mes y año (foja</w:t>
      </w:r>
      <w:r w:rsidRPr="00343FBE">
        <w:rPr>
          <w:rFonts w:ascii="Century Gothic" w:hAnsi="Century Gothic" w:cs="Arial"/>
          <w:bCs/>
          <w:sz w:val="28"/>
          <w:szCs w:val="28"/>
          <w:lang w:eastAsia="en-US"/>
        </w:rPr>
        <w:t xml:space="preserve"> </w:t>
      </w:r>
      <w:r w:rsidR="00C43DDA" w:rsidRPr="00343FBE">
        <w:rPr>
          <w:rFonts w:ascii="Century Gothic" w:hAnsi="Century Gothic" w:cs="Arial"/>
          <w:bCs/>
          <w:sz w:val="28"/>
          <w:szCs w:val="28"/>
          <w:lang w:eastAsia="en-US"/>
        </w:rPr>
        <w:t>227</w:t>
      </w:r>
      <w:r w:rsidRPr="00343FBE">
        <w:rPr>
          <w:rFonts w:ascii="Century Gothic" w:hAnsi="Century Gothic" w:cs="Arial"/>
          <w:bCs/>
          <w:sz w:val="28"/>
          <w:szCs w:val="28"/>
          <w:lang w:eastAsia="en-US"/>
        </w:rPr>
        <w:t>).</w:t>
      </w:r>
    </w:p>
    <w:p w:rsidR="007D26F1" w:rsidRPr="00343FBE" w:rsidRDefault="007D26F1" w:rsidP="007D26F1">
      <w:pPr>
        <w:spacing w:line="360" w:lineRule="auto"/>
        <w:jc w:val="both"/>
        <w:rPr>
          <w:rFonts w:ascii="Century Gothic" w:hAnsi="Century Gothic" w:cs="Arial"/>
          <w:bCs/>
          <w:sz w:val="28"/>
          <w:szCs w:val="28"/>
          <w:lang w:eastAsia="en-US"/>
        </w:rPr>
      </w:pPr>
    </w:p>
    <w:p w:rsidR="007D26F1" w:rsidRPr="00343FBE" w:rsidRDefault="007D26F1" w:rsidP="007D26F1">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54381F" w:rsidRPr="00343FBE">
        <w:rPr>
          <w:rFonts w:ascii="Century Gothic" w:hAnsi="Century Gothic" w:cs="Arial"/>
          <w:bCs/>
          <w:sz w:val="28"/>
          <w:szCs w:val="28"/>
          <w:lang w:eastAsia="en-US"/>
        </w:rPr>
        <w:t>Cinco a</w:t>
      </w:r>
      <w:r w:rsidRPr="00343FBE">
        <w:rPr>
          <w:rFonts w:ascii="Century Gothic" w:hAnsi="Century Gothic" w:cs="Arial"/>
          <w:bCs/>
          <w:sz w:val="28"/>
          <w:szCs w:val="28"/>
          <w:lang w:eastAsia="en-US"/>
        </w:rPr>
        <w:t xml:space="preserve">cuses de recibo de dicha convocatoria (fojas </w:t>
      </w:r>
      <w:r w:rsidR="00C43DDA" w:rsidRPr="00343FBE">
        <w:rPr>
          <w:rFonts w:ascii="Century Gothic" w:hAnsi="Century Gothic" w:cs="Arial"/>
          <w:bCs/>
          <w:sz w:val="28"/>
          <w:szCs w:val="28"/>
          <w:lang w:eastAsia="en-US"/>
        </w:rPr>
        <w:t>228-232</w:t>
      </w:r>
      <w:r w:rsidRPr="00343FBE">
        <w:rPr>
          <w:rFonts w:ascii="Century Gothic" w:hAnsi="Century Gothic" w:cs="Arial"/>
          <w:bCs/>
          <w:sz w:val="28"/>
          <w:szCs w:val="28"/>
          <w:lang w:eastAsia="en-US"/>
        </w:rPr>
        <w:t>)</w:t>
      </w:r>
      <w:r w:rsidR="00C43DDA" w:rsidRPr="00343FBE">
        <w:rPr>
          <w:rFonts w:ascii="Century Gothic" w:hAnsi="Century Gothic" w:cs="Arial"/>
          <w:bCs/>
          <w:sz w:val="28"/>
          <w:szCs w:val="28"/>
          <w:lang w:eastAsia="en-US"/>
        </w:rPr>
        <w:t>, así como la impresión de un correo electrónico dirigido a una persona, en el que se dice que se convoca a los integrantes de la Comisión Ejecutiva Nacional y Comisionados Políticos Nacionales, a la citada sesión (foja 233)</w:t>
      </w:r>
      <w:r w:rsidRPr="00343FBE">
        <w:rPr>
          <w:rFonts w:ascii="Century Gothic" w:hAnsi="Century Gothic" w:cs="Arial"/>
          <w:bCs/>
          <w:sz w:val="28"/>
          <w:szCs w:val="28"/>
          <w:lang w:eastAsia="en-US"/>
        </w:rPr>
        <w:t>.</w:t>
      </w:r>
    </w:p>
    <w:p w:rsidR="007D26F1" w:rsidRPr="00343FBE" w:rsidRDefault="007D26F1" w:rsidP="007D26F1">
      <w:pPr>
        <w:spacing w:line="360" w:lineRule="auto"/>
        <w:jc w:val="both"/>
        <w:rPr>
          <w:rFonts w:ascii="Century Gothic" w:hAnsi="Century Gothic" w:cs="Arial"/>
          <w:bCs/>
          <w:sz w:val="28"/>
          <w:szCs w:val="28"/>
          <w:lang w:eastAsia="en-US"/>
        </w:rPr>
      </w:pPr>
    </w:p>
    <w:p w:rsidR="00C43DDA" w:rsidRPr="00343FBE" w:rsidRDefault="007D26F1" w:rsidP="007D26F1">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Listas de asistencia a la sesión del veintidós de febrero de dos mil diecisiete (fojas </w:t>
      </w:r>
      <w:r w:rsidR="00C43DDA" w:rsidRPr="00343FBE">
        <w:rPr>
          <w:rFonts w:ascii="Century Gothic" w:hAnsi="Century Gothic" w:cs="Arial"/>
          <w:bCs/>
          <w:sz w:val="28"/>
          <w:szCs w:val="28"/>
          <w:lang w:eastAsia="en-US"/>
        </w:rPr>
        <w:t>235-252</w:t>
      </w:r>
      <w:r w:rsidRPr="00343FBE">
        <w:rPr>
          <w:rFonts w:ascii="Century Gothic" w:hAnsi="Century Gothic" w:cs="Arial"/>
          <w:bCs/>
          <w:sz w:val="28"/>
          <w:szCs w:val="28"/>
          <w:lang w:eastAsia="en-US"/>
        </w:rPr>
        <w:t>).</w:t>
      </w:r>
    </w:p>
    <w:p w:rsidR="00C43DDA" w:rsidRPr="00343FBE" w:rsidRDefault="00C43DDA" w:rsidP="007D26F1">
      <w:pPr>
        <w:spacing w:line="360" w:lineRule="auto"/>
        <w:jc w:val="both"/>
        <w:rPr>
          <w:rFonts w:ascii="Century Gothic" w:hAnsi="Century Gothic" w:cs="Arial"/>
          <w:bCs/>
          <w:sz w:val="28"/>
          <w:szCs w:val="28"/>
          <w:lang w:eastAsia="en-US"/>
        </w:rPr>
      </w:pPr>
    </w:p>
    <w:p w:rsidR="00C43DDA" w:rsidRPr="00343FBE" w:rsidRDefault="00C43DDA" w:rsidP="007D26F1">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Acta de la sesión ordinaria de la Comisión Ejecutiva Nacional del veintidós de febrero de dos mil diecisiete (fojas 202-210).</w:t>
      </w:r>
    </w:p>
    <w:p w:rsidR="00C43DDA" w:rsidRPr="00343FBE" w:rsidRDefault="00C43DDA" w:rsidP="007D26F1">
      <w:pPr>
        <w:spacing w:line="360" w:lineRule="auto"/>
        <w:jc w:val="both"/>
        <w:rPr>
          <w:rFonts w:ascii="Century Gothic" w:hAnsi="Century Gothic" w:cs="Arial"/>
          <w:bCs/>
          <w:sz w:val="28"/>
          <w:szCs w:val="28"/>
          <w:lang w:eastAsia="en-US"/>
        </w:rPr>
      </w:pPr>
    </w:p>
    <w:p w:rsidR="00E60C44" w:rsidRPr="00343FBE" w:rsidRDefault="000827BD" w:rsidP="007D26F1">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Dichas pruebas ponen de relieve que opuestamente a lo alegado, la Comisión Coordinadora Nacional emitió convocatoria a dichas sesiones, con cuando menos tres </w:t>
      </w:r>
      <w:r w:rsidRPr="00343FBE">
        <w:rPr>
          <w:rFonts w:ascii="Century Gothic" w:hAnsi="Century Gothic" w:cs="Arial"/>
          <w:bCs/>
          <w:sz w:val="28"/>
          <w:szCs w:val="28"/>
          <w:lang w:eastAsia="en-US"/>
        </w:rPr>
        <w:lastRenderedPageBreak/>
        <w:t xml:space="preserve">días de anticipación, en tanto que, la convocatoria </w:t>
      </w:r>
      <w:r w:rsidR="00235C14" w:rsidRPr="00343FBE">
        <w:rPr>
          <w:rFonts w:ascii="Century Gothic" w:hAnsi="Century Gothic" w:cs="Arial"/>
          <w:bCs/>
          <w:sz w:val="28"/>
          <w:szCs w:val="28"/>
          <w:lang w:eastAsia="en-US"/>
        </w:rPr>
        <w:t>a la sesión del catorce de diciembre del año pasado, se emitió el ocho de ese mismo mes, mientras que</w:t>
      </w:r>
      <w:r w:rsidR="00C24CB7" w:rsidRPr="00343FBE">
        <w:rPr>
          <w:rFonts w:ascii="Century Gothic" w:hAnsi="Century Gothic" w:cs="Arial"/>
          <w:bCs/>
          <w:sz w:val="28"/>
          <w:szCs w:val="28"/>
          <w:lang w:eastAsia="en-US"/>
        </w:rPr>
        <w:t xml:space="preserve"> la</w:t>
      </w:r>
      <w:r w:rsidR="00235C14" w:rsidRPr="00343FBE">
        <w:rPr>
          <w:rFonts w:ascii="Century Gothic" w:hAnsi="Century Gothic" w:cs="Arial"/>
          <w:bCs/>
          <w:sz w:val="28"/>
          <w:szCs w:val="28"/>
          <w:lang w:eastAsia="en-US"/>
        </w:rPr>
        <w:t xml:space="preserve"> relativa a la sesión del veintidós de febrero del año en curso, se expidió el </w:t>
      </w:r>
      <w:r w:rsidR="003D528A" w:rsidRPr="00343FBE">
        <w:rPr>
          <w:rFonts w:ascii="Century Gothic" w:hAnsi="Century Gothic" w:cs="Arial"/>
          <w:bCs/>
          <w:sz w:val="28"/>
          <w:szCs w:val="28"/>
          <w:lang w:eastAsia="en-US"/>
        </w:rPr>
        <w:t>dieciséis de ese mes.</w:t>
      </w:r>
    </w:p>
    <w:p w:rsidR="003D528A" w:rsidRPr="00343FBE" w:rsidRDefault="003D528A" w:rsidP="007D26F1">
      <w:pPr>
        <w:spacing w:line="360" w:lineRule="auto"/>
        <w:jc w:val="both"/>
        <w:rPr>
          <w:rFonts w:ascii="Century Gothic" w:hAnsi="Century Gothic" w:cs="Arial"/>
          <w:bCs/>
          <w:sz w:val="28"/>
          <w:szCs w:val="28"/>
          <w:lang w:eastAsia="en-US"/>
        </w:rPr>
      </w:pPr>
    </w:p>
    <w:p w:rsidR="006E3AB4" w:rsidRPr="00343FBE" w:rsidRDefault="006E3AB4" w:rsidP="007D26F1">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También demuestran la notificación de las convocatorias a algunos de los integrantes</w:t>
      </w:r>
      <w:r w:rsidR="00C210BB" w:rsidRPr="00343FBE">
        <w:rPr>
          <w:rFonts w:ascii="Century Gothic" w:hAnsi="Century Gothic" w:cs="Arial"/>
          <w:bCs/>
          <w:sz w:val="28"/>
          <w:szCs w:val="28"/>
          <w:lang w:eastAsia="en-US"/>
        </w:rPr>
        <w:t xml:space="preserve"> de</w:t>
      </w:r>
      <w:r w:rsidRPr="00343FBE">
        <w:rPr>
          <w:rFonts w:ascii="Century Gothic" w:hAnsi="Century Gothic" w:cs="Arial"/>
          <w:bCs/>
          <w:sz w:val="28"/>
          <w:szCs w:val="28"/>
          <w:lang w:eastAsia="en-US"/>
        </w:rPr>
        <w:t xml:space="preserve"> la Comisión Ejecutiva Nacional</w:t>
      </w:r>
      <w:r w:rsidR="00DA092F" w:rsidRPr="00343FBE">
        <w:rPr>
          <w:rFonts w:ascii="Century Gothic" w:hAnsi="Century Gothic" w:cs="Arial"/>
          <w:bCs/>
          <w:sz w:val="28"/>
          <w:szCs w:val="28"/>
          <w:lang w:eastAsia="en-US"/>
        </w:rPr>
        <w:t>;</w:t>
      </w:r>
      <w:r w:rsidRPr="00343FBE">
        <w:rPr>
          <w:rFonts w:ascii="Century Gothic" w:hAnsi="Century Gothic" w:cs="Arial"/>
          <w:bCs/>
          <w:sz w:val="28"/>
          <w:szCs w:val="28"/>
          <w:lang w:eastAsia="en-US"/>
        </w:rPr>
        <w:t xml:space="preserve"> y si bien </w:t>
      </w:r>
      <w:r w:rsidR="00A82B09" w:rsidRPr="00343FBE">
        <w:rPr>
          <w:rFonts w:ascii="Century Gothic" w:hAnsi="Century Gothic" w:cs="Arial"/>
          <w:bCs/>
          <w:sz w:val="28"/>
          <w:szCs w:val="28"/>
          <w:lang w:eastAsia="en-US"/>
        </w:rPr>
        <w:t xml:space="preserve">no existe la prueba de la notificación a todos los miembros de dicha Comisión, </w:t>
      </w:r>
      <w:r w:rsidR="0054381F" w:rsidRPr="00343FBE">
        <w:rPr>
          <w:rFonts w:ascii="Century Gothic" w:hAnsi="Century Gothic" w:cs="Arial"/>
          <w:bCs/>
          <w:sz w:val="28"/>
          <w:szCs w:val="28"/>
          <w:lang w:eastAsia="en-US"/>
        </w:rPr>
        <w:t>ello no implica que se hubiera om</w:t>
      </w:r>
      <w:r w:rsidR="0064663E" w:rsidRPr="00343FBE">
        <w:rPr>
          <w:rFonts w:ascii="Century Gothic" w:hAnsi="Century Gothic" w:cs="Arial"/>
          <w:bCs/>
          <w:sz w:val="28"/>
          <w:szCs w:val="28"/>
          <w:lang w:eastAsia="en-US"/>
        </w:rPr>
        <w:t>itido notificarles, dado que asistieron ochenta y cuatro personas a ambas asambleas</w:t>
      </w:r>
      <w:r w:rsidR="00B85A16" w:rsidRPr="00343FBE">
        <w:rPr>
          <w:rStyle w:val="Refdenotaalpie"/>
          <w:rFonts w:ascii="Century Gothic" w:hAnsi="Century Gothic" w:cs="Arial"/>
          <w:bCs/>
          <w:sz w:val="28"/>
          <w:szCs w:val="28"/>
          <w:lang w:eastAsia="en-US"/>
        </w:rPr>
        <w:footnoteReference w:id="3"/>
      </w:r>
      <w:r w:rsidR="0064663E" w:rsidRPr="00343FBE">
        <w:rPr>
          <w:rFonts w:ascii="Century Gothic" w:hAnsi="Century Gothic" w:cs="Arial"/>
          <w:bCs/>
          <w:sz w:val="28"/>
          <w:szCs w:val="28"/>
          <w:lang w:eastAsia="en-US"/>
        </w:rPr>
        <w:t>, lo que</w:t>
      </w:r>
      <w:r w:rsidR="00B85A16" w:rsidRPr="00343FBE">
        <w:rPr>
          <w:rFonts w:ascii="Century Gothic" w:hAnsi="Century Gothic" w:cs="Arial"/>
          <w:bCs/>
          <w:sz w:val="28"/>
          <w:szCs w:val="28"/>
          <w:lang w:eastAsia="en-US"/>
        </w:rPr>
        <w:t xml:space="preserve"> implica que</w:t>
      </w:r>
      <w:r w:rsidR="0064663E" w:rsidRPr="00343FBE">
        <w:rPr>
          <w:rFonts w:ascii="Century Gothic" w:hAnsi="Century Gothic" w:cs="Arial"/>
          <w:bCs/>
          <w:sz w:val="28"/>
          <w:szCs w:val="28"/>
          <w:lang w:eastAsia="en-US"/>
        </w:rPr>
        <w:t xml:space="preserve"> se enteraron de su celebración</w:t>
      </w:r>
      <w:r w:rsidR="00B85A16" w:rsidRPr="00343FBE">
        <w:rPr>
          <w:rFonts w:ascii="Century Gothic" w:hAnsi="Century Gothic" w:cs="Arial"/>
          <w:bCs/>
          <w:sz w:val="28"/>
          <w:szCs w:val="28"/>
          <w:lang w:eastAsia="en-US"/>
        </w:rPr>
        <w:t xml:space="preserve">. </w:t>
      </w:r>
    </w:p>
    <w:p w:rsidR="0054381F" w:rsidRPr="00343FBE" w:rsidRDefault="0054381F" w:rsidP="007D26F1">
      <w:pPr>
        <w:spacing w:line="360" w:lineRule="auto"/>
        <w:jc w:val="both"/>
        <w:rPr>
          <w:rFonts w:ascii="Century Gothic" w:hAnsi="Century Gothic" w:cs="Arial"/>
          <w:bCs/>
          <w:sz w:val="28"/>
          <w:szCs w:val="28"/>
          <w:lang w:eastAsia="en-US"/>
        </w:rPr>
      </w:pPr>
    </w:p>
    <w:p w:rsidR="006A4BDD" w:rsidRPr="00343FBE" w:rsidRDefault="00C03B9C"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Igualmente, </w:t>
      </w:r>
      <w:r w:rsidR="00A53427" w:rsidRPr="00343FBE">
        <w:rPr>
          <w:rFonts w:ascii="Century Gothic" w:hAnsi="Century Gothic" w:cs="Arial"/>
          <w:bCs/>
          <w:sz w:val="28"/>
          <w:szCs w:val="28"/>
          <w:lang w:eastAsia="en-US"/>
        </w:rPr>
        <w:t xml:space="preserve">ponen de relieve que se levantó acta con motivo de la celebración de dichas sesiones, y </w:t>
      </w:r>
      <w:r w:rsidR="000D3C74" w:rsidRPr="00343FBE">
        <w:rPr>
          <w:rFonts w:ascii="Century Gothic" w:hAnsi="Century Gothic" w:cs="Arial"/>
          <w:bCs/>
          <w:sz w:val="28"/>
          <w:szCs w:val="28"/>
          <w:lang w:eastAsia="en-US"/>
        </w:rPr>
        <w:t xml:space="preserve">que se tomó asistencia a quienes acudieron a las mismas. </w:t>
      </w:r>
    </w:p>
    <w:p w:rsidR="006A4BDD" w:rsidRPr="00343FBE" w:rsidRDefault="006A4BDD" w:rsidP="00D3247D">
      <w:pPr>
        <w:spacing w:line="360" w:lineRule="auto"/>
        <w:jc w:val="both"/>
        <w:rPr>
          <w:rFonts w:ascii="Century Gothic" w:hAnsi="Century Gothic" w:cs="Arial"/>
          <w:bCs/>
          <w:sz w:val="28"/>
          <w:szCs w:val="28"/>
          <w:lang w:eastAsia="en-US"/>
        </w:rPr>
      </w:pPr>
    </w:p>
    <w:p w:rsidR="00727622" w:rsidRPr="00343FBE" w:rsidRDefault="00727622" w:rsidP="002D35A5">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Por otra parte, no hay prueba de que se le haya notificado a</w:t>
      </w:r>
      <w:r w:rsidR="002D35A5" w:rsidRPr="00343FBE">
        <w:rPr>
          <w:rFonts w:ascii="Century Gothic" w:hAnsi="Century Gothic" w:cs="Arial"/>
          <w:bCs/>
          <w:sz w:val="28"/>
          <w:szCs w:val="28"/>
          <w:lang w:eastAsia="en-US"/>
        </w:rPr>
        <w:t xml:space="preserve"> </w:t>
      </w:r>
      <w:r w:rsidRPr="00343FBE">
        <w:rPr>
          <w:rFonts w:ascii="Century Gothic" w:hAnsi="Century Gothic" w:cs="Arial"/>
          <w:bCs/>
          <w:sz w:val="28"/>
          <w:szCs w:val="28"/>
          <w:lang w:eastAsia="en-US"/>
        </w:rPr>
        <w:t>l</w:t>
      </w:r>
      <w:r w:rsidR="002D35A5" w:rsidRPr="00343FBE">
        <w:rPr>
          <w:rFonts w:ascii="Century Gothic" w:hAnsi="Century Gothic" w:cs="Arial"/>
          <w:bCs/>
          <w:sz w:val="28"/>
          <w:szCs w:val="28"/>
          <w:lang w:eastAsia="en-US"/>
        </w:rPr>
        <w:t>os</w:t>
      </w:r>
      <w:r w:rsidRPr="00343FBE">
        <w:rPr>
          <w:rFonts w:ascii="Century Gothic" w:hAnsi="Century Gothic" w:cs="Arial"/>
          <w:bCs/>
          <w:sz w:val="28"/>
          <w:szCs w:val="28"/>
          <w:lang w:eastAsia="en-US"/>
        </w:rPr>
        <w:t xml:space="preserve"> actor</w:t>
      </w:r>
      <w:r w:rsidR="002D35A5" w:rsidRPr="00343FBE">
        <w:rPr>
          <w:rFonts w:ascii="Century Gothic" w:hAnsi="Century Gothic" w:cs="Arial"/>
          <w:bCs/>
          <w:sz w:val="28"/>
          <w:szCs w:val="28"/>
          <w:lang w:eastAsia="en-US"/>
        </w:rPr>
        <w:t>es</w:t>
      </w:r>
      <w:r w:rsidRPr="00343FBE">
        <w:rPr>
          <w:rFonts w:ascii="Century Gothic" w:hAnsi="Century Gothic" w:cs="Arial"/>
          <w:bCs/>
          <w:sz w:val="28"/>
          <w:szCs w:val="28"/>
          <w:lang w:eastAsia="en-US"/>
        </w:rPr>
        <w:t xml:space="preserve"> y a </w:t>
      </w:r>
      <w:r w:rsidR="00980B93" w:rsidRPr="00343FBE">
        <w:rPr>
          <w:rFonts w:ascii="Century Gothic" w:hAnsi="Century Gothic" w:cs="Arial"/>
          <w:bCs/>
          <w:sz w:val="28"/>
          <w:szCs w:val="28"/>
          <w:lang w:eastAsia="en-US"/>
        </w:rPr>
        <w:t xml:space="preserve">las demás personas que </w:t>
      </w:r>
      <w:r w:rsidRPr="00343FBE">
        <w:rPr>
          <w:rFonts w:ascii="Century Gothic" w:hAnsi="Century Gothic" w:cs="Arial"/>
          <w:bCs/>
          <w:sz w:val="28"/>
          <w:szCs w:val="28"/>
          <w:lang w:eastAsia="en-US"/>
        </w:rPr>
        <w:t>militan o simpatizan</w:t>
      </w:r>
      <w:r w:rsidR="00980B93" w:rsidRPr="00343FBE">
        <w:rPr>
          <w:rFonts w:ascii="Century Gothic" w:hAnsi="Century Gothic" w:cs="Arial"/>
          <w:bCs/>
          <w:sz w:val="28"/>
          <w:szCs w:val="28"/>
          <w:lang w:eastAsia="en-US"/>
        </w:rPr>
        <w:t xml:space="preserve"> con el partido</w:t>
      </w:r>
      <w:r w:rsidRPr="00343FBE">
        <w:rPr>
          <w:rFonts w:ascii="Century Gothic" w:hAnsi="Century Gothic" w:cs="Arial"/>
          <w:bCs/>
          <w:sz w:val="28"/>
          <w:szCs w:val="28"/>
          <w:lang w:eastAsia="en-US"/>
        </w:rPr>
        <w:t>, las convocatorias y los acuerdos tomados en las sesiones; sin embargo, ello no le</w:t>
      </w:r>
      <w:r w:rsidR="002D35A5" w:rsidRPr="00343FBE">
        <w:rPr>
          <w:rFonts w:ascii="Century Gothic" w:hAnsi="Century Gothic" w:cs="Arial"/>
          <w:bCs/>
          <w:sz w:val="28"/>
          <w:szCs w:val="28"/>
          <w:lang w:eastAsia="en-US"/>
        </w:rPr>
        <w:t>s</w:t>
      </w:r>
      <w:r w:rsidRPr="00343FBE">
        <w:rPr>
          <w:rFonts w:ascii="Century Gothic" w:hAnsi="Century Gothic" w:cs="Arial"/>
          <w:bCs/>
          <w:sz w:val="28"/>
          <w:szCs w:val="28"/>
          <w:lang w:eastAsia="en-US"/>
        </w:rPr>
        <w:t xml:space="preserve"> causa perjuicio, en virtud de que </w:t>
      </w:r>
      <w:r w:rsidR="00980B93" w:rsidRPr="00343FBE">
        <w:rPr>
          <w:rFonts w:ascii="Century Gothic" w:hAnsi="Century Gothic" w:cs="Arial"/>
          <w:bCs/>
          <w:sz w:val="28"/>
          <w:szCs w:val="28"/>
          <w:lang w:eastAsia="en-US"/>
        </w:rPr>
        <w:t xml:space="preserve">no se advierte alguna norma que disponga </w:t>
      </w:r>
      <w:r w:rsidR="002D35A5" w:rsidRPr="00343FBE">
        <w:rPr>
          <w:rFonts w:ascii="Century Gothic" w:hAnsi="Century Gothic" w:cs="Arial"/>
          <w:bCs/>
          <w:sz w:val="28"/>
          <w:szCs w:val="28"/>
          <w:lang w:eastAsia="en-US"/>
        </w:rPr>
        <w:t xml:space="preserve">la obligación de notificar las convocatorias, las listas de asistencia y los acuerdos tomados en las </w:t>
      </w:r>
      <w:r w:rsidR="002D35A5" w:rsidRPr="00343FBE">
        <w:rPr>
          <w:rFonts w:ascii="Century Gothic" w:hAnsi="Century Gothic" w:cs="Arial"/>
          <w:bCs/>
          <w:sz w:val="28"/>
          <w:szCs w:val="28"/>
          <w:lang w:eastAsia="en-US"/>
        </w:rPr>
        <w:lastRenderedPageBreak/>
        <w:t xml:space="preserve">sesiones, a toda la militancia del partido, </w:t>
      </w:r>
      <w:r w:rsidR="00980B93" w:rsidRPr="00343FBE">
        <w:rPr>
          <w:rFonts w:ascii="Century Gothic" w:hAnsi="Century Gothic" w:cs="Arial"/>
          <w:bCs/>
          <w:sz w:val="28"/>
          <w:szCs w:val="28"/>
          <w:lang w:eastAsia="en-US"/>
        </w:rPr>
        <w:t>en tanto que, el artículo 37 Bis de los Estatutos</w:t>
      </w:r>
      <w:r w:rsidR="00980B93" w:rsidRPr="00343FBE">
        <w:rPr>
          <w:rStyle w:val="Refdenotaalpie"/>
          <w:rFonts w:ascii="Century Gothic" w:hAnsi="Century Gothic" w:cs="Arial"/>
          <w:bCs/>
          <w:sz w:val="28"/>
          <w:szCs w:val="28"/>
          <w:lang w:eastAsia="en-US"/>
        </w:rPr>
        <w:footnoteReference w:id="4"/>
      </w:r>
      <w:r w:rsidR="00980B93" w:rsidRPr="00343FBE">
        <w:rPr>
          <w:rFonts w:ascii="Century Gothic" w:hAnsi="Century Gothic" w:cs="Arial"/>
          <w:bCs/>
          <w:sz w:val="28"/>
          <w:szCs w:val="28"/>
          <w:lang w:eastAsia="en-US"/>
        </w:rPr>
        <w:t>, lo que ordena que notifique de las reuniones, a los integrantes de la Comisión Ejecutiva Nacional, sin que l</w:t>
      </w:r>
      <w:r w:rsidR="002D35A5" w:rsidRPr="00343FBE">
        <w:rPr>
          <w:rFonts w:ascii="Century Gothic" w:hAnsi="Century Gothic" w:cs="Arial"/>
          <w:bCs/>
          <w:sz w:val="28"/>
          <w:szCs w:val="28"/>
          <w:lang w:eastAsia="en-US"/>
        </w:rPr>
        <w:t>os</w:t>
      </w:r>
      <w:r w:rsidR="00980B93" w:rsidRPr="00343FBE">
        <w:rPr>
          <w:rFonts w:ascii="Century Gothic" w:hAnsi="Century Gothic" w:cs="Arial"/>
          <w:bCs/>
          <w:sz w:val="28"/>
          <w:szCs w:val="28"/>
          <w:lang w:eastAsia="en-US"/>
        </w:rPr>
        <w:t xml:space="preserve"> impugnante</w:t>
      </w:r>
      <w:r w:rsidR="002D35A5" w:rsidRPr="00343FBE">
        <w:rPr>
          <w:rFonts w:ascii="Century Gothic" w:hAnsi="Century Gothic" w:cs="Arial"/>
          <w:bCs/>
          <w:sz w:val="28"/>
          <w:szCs w:val="28"/>
          <w:lang w:eastAsia="en-US"/>
        </w:rPr>
        <w:t>s</w:t>
      </w:r>
      <w:r w:rsidR="00980B93" w:rsidRPr="00343FBE">
        <w:rPr>
          <w:rFonts w:ascii="Century Gothic" w:hAnsi="Century Gothic" w:cs="Arial"/>
          <w:bCs/>
          <w:sz w:val="28"/>
          <w:szCs w:val="28"/>
          <w:lang w:eastAsia="en-US"/>
        </w:rPr>
        <w:t xml:space="preserve"> alegue</w:t>
      </w:r>
      <w:r w:rsidR="002D35A5" w:rsidRPr="00343FBE">
        <w:rPr>
          <w:rFonts w:ascii="Century Gothic" w:hAnsi="Century Gothic" w:cs="Arial"/>
          <w:bCs/>
          <w:sz w:val="28"/>
          <w:szCs w:val="28"/>
          <w:lang w:eastAsia="en-US"/>
        </w:rPr>
        <w:t>n</w:t>
      </w:r>
      <w:r w:rsidR="00980B93" w:rsidRPr="00343FBE">
        <w:rPr>
          <w:rFonts w:ascii="Century Gothic" w:hAnsi="Century Gothic" w:cs="Arial"/>
          <w:bCs/>
          <w:sz w:val="28"/>
          <w:szCs w:val="28"/>
          <w:lang w:eastAsia="en-US"/>
        </w:rPr>
        <w:t>, menos demuestre</w:t>
      </w:r>
      <w:r w:rsidR="002D35A5" w:rsidRPr="00343FBE">
        <w:rPr>
          <w:rFonts w:ascii="Century Gothic" w:hAnsi="Century Gothic" w:cs="Arial"/>
          <w:bCs/>
          <w:sz w:val="28"/>
          <w:szCs w:val="28"/>
          <w:lang w:eastAsia="en-US"/>
        </w:rPr>
        <w:t>n</w:t>
      </w:r>
      <w:r w:rsidR="00980B93" w:rsidRPr="00343FBE">
        <w:rPr>
          <w:rFonts w:ascii="Century Gothic" w:hAnsi="Century Gothic" w:cs="Arial"/>
          <w:bCs/>
          <w:sz w:val="28"/>
          <w:szCs w:val="28"/>
          <w:lang w:eastAsia="en-US"/>
        </w:rPr>
        <w:t>, que s</w:t>
      </w:r>
      <w:r w:rsidR="002D35A5" w:rsidRPr="00343FBE">
        <w:rPr>
          <w:rFonts w:ascii="Century Gothic" w:hAnsi="Century Gothic" w:cs="Arial"/>
          <w:bCs/>
          <w:sz w:val="28"/>
          <w:szCs w:val="28"/>
          <w:lang w:eastAsia="en-US"/>
        </w:rPr>
        <w:t>on</w:t>
      </w:r>
      <w:r w:rsidR="00980B93" w:rsidRPr="00343FBE">
        <w:rPr>
          <w:rFonts w:ascii="Century Gothic" w:hAnsi="Century Gothic" w:cs="Arial"/>
          <w:bCs/>
          <w:sz w:val="28"/>
          <w:szCs w:val="28"/>
          <w:lang w:eastAsia="en-US"/>
        </w:rPr>
        <w:t xml:space="preserve"> integrante</w:t>
      </w:r>
      <w:r w:rsidR="002D35A5" w:rsidRPr="00343FBE">
        <w:rPr>
          <w:rFonts w:ascii="Century Gothic" w:hAnsi="Century Gothic" w:cs="Arial"/>
          <w:bCs/>
          <w:sz w:val="28"/>
          <w:szCs w:val="28"/>
          <w:lang w:eastAsia="en-US"/>
        </w:rPr>
        <w:t>s</w:t>
      </w:r>
      <w:r w:rsidR="00980B93" w:rsidRPr="00343FBE">
        <w:rPr>
          <w:rFonts w:ascii="Century Gothic" w:hAnsi="Century Gothic" w:cs="Arial"/>
          <w:bCs/>
          <w:sz w:val="28"/>
          <w:szCs w:val="28"/>
          <w:lang w:eastAsia="en-US"/>
        </w:rPr>
        <w:t xml:space="preserve"> de dicha Comisión.</w:t>
      </w:r>
    </w:p>
    <w:p w:rsidR="00727622" w:rsidRPr="00343FBE" w:rsidRDefault="00727622" w:rsidP="00727622">
      <w:pPr>
        <w:spacing w:line="360" w:lineRule="auto"/>
        <w:jc w:val="both"/>
        <w:rPr>
          <w:rFonts w:ascii="Century Gothic" w:hAnsi="Century Gothic" w:cs="Arial"/>
          <w:bCs/>
          <w:sz w:val="28"/>
          <w:szCs w:val="28"/>
          <w:lang w:eastAsia="en-US"/>
        </w:rPr>
      </w:pPr>
    </w:p>
    <w:p w:rsidR="00980B93" w:rsidRPr="00343FBE" w:rsidRDefault="00980B93" w:rsidP="00FD7131">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En consecuencia, al no actualizarse </w:t>
      </w:r>
      <w:r w:rsidR="00FD7131" w:rsidRPr="00343FBE">
        <w:rPr>
          <w:rFonts w:ascii="Century Gothic" w:hAnsi="Century Gothic" w:cs="Arial"/>
          <w:bCs/>
          <w:sz w:val="28"/>
          <w:szCs w:val="28"/>
          <w:lang w:eastAsia="en-US"/>
        </w:rPr>
        <w:t xml:space="preserve">las irregularidades que </w:t>
      </w:r>
      <w:r w:rsidR="00F5511A" w:rsidRPr="00343FBE">
        <w:rPr>
          <w:rFonts w:ascii="Century Gothic" w:hAnsi="Century Gothic" w:cs="Arial"/>
          <w:bCs/>
          <w:sz w:val="28"/>
          <w:szCs w:val="28"/>
          <w:lang w:eastAsia="en-US"/>
        </w:rPr>
        <w:t xml:space="preserve">se </w:t>
      </w:r>
      <w:r w:rsidR="00FD7131" w:rsidRPr="00343FBE">
        <w:rPr>
          <w:rFonts w:ascii="Century Gothic" w:hAnsi="Century Gothic" w:cs="Arial"/>
          <w:bCs/>
          <w:sz w:val="28"/>
          <w:szCs w:val="28"/>
          <w:lang w:eastAsia="en-US"/>
        </w:rPr>
        <w:t>alega</w:t>
      </w:r>
      <w:r w:rsidR="00F5511A" w:rsidRPr="00343FBE">
        <w:rPr>
          <w:rFonts w:ascii="Century Gothic" w:hAnsi="Century Gothic" w:cs="Arial"/>
          <w:bCs/>
          <w:sz w:val="28"/>
          <w:szCs w:val="28"/>
          <w:lang w:eastAsia="en-US"/>
        </w:rPr>
        <w:t>n</w:t>
      </w:r>
      <w:r w:rsidR="00FD7131" w:rsidRPr="00343FBE">
        <w:rPr>
          <w:rFonts w:ascii="Century Gothic" w:hAnsi="Century Gothic" w:cs="Arial"/>
          <w:bCs/>
          <w:sz w:val="28"/>
          <w:szCs w:val="28"/>
          <w:lang w:eastAsia="en-US"/>
        </w:rPr>
        <w:t xml:space="preserve"> respecto de las referidas asambleas, no es posible que se declaren ilegales y, por ende, tampoco el oficio mediante el cual </w:t>
      </w:r>
      <w:r w:rsidRPr="00343FBE">
        <w:rPr>
          <w:rFonts w:ascii="Century Gothic" w:hAnsi="Century Gothic" w:cs="Arial"/>
          <w:bCs/>
          <w:sz w:val="28"/>
          <w:szCs w:val="28"/>
          <w:lang w:eastAsia="en-US"/>
        </w:rPr>
        <w:t>el representante del P</w:t>
      </w:r>
      <w:r w:rsidR="00FD7131" w:rsidRPr="00343FBE">
        <w:rPr>
          <w:rFonts w:ascii="Century Gothic" w:hAnsi="Century Gothic" w:cs="Arial"/>
          <w:bCs/>
          <w:sz w:val="28"/>
          <w:szCs w:val="28"/>
          <w:lang w:eastAsia="en-US"/>
        </w:rPr>
        <w:t>T</w:t>
      </w:r>
      <w:r w:rsidRPr="00343FBE">
        <w:rPr>
          <w:rFonts w:ascii="Century Gothic" w:hAnsi="Century Gothic" w:cs="Arial"/>
          <w:bCs/>
          <w:sz w:val="28"/>
          <w:szCs w:val="28"/>
          <w:lang w:eastAsia="en-US"/>
        </w:rPr>
        <w:t xml:space="preserve"> </w:t>
      </w:r>
      <w:r w:rsidR="00FD7131" w:rsidRPr="00343FBE">
        <w:rPr>
          <w:rFonts w:ascii="Century Gothic" w:hAnsi="Century Gothic" w:cs="Arial"/>
          <w:bCs/>
          <w:sz w:val="28"/>
          <w:szCs w:val="28"/>
          <w:lang w:eastAsia="en-US"/>
        </w:rPr>
        <w:t xml:space="preserve">ante la autoridad electoral administrativa, informó a ésta, </w:t>
      </w:r>
      <w:r w:rsidRPr="00343FBE">
        <w:rPr>
          <w:rFonts w:ascii="Century Gothic" w:hAnsi="Century Gothic" w:cs="Arial"/>
          <w:bCs/>
          <w:sz w:val="28"/>
          <w:szCs w:val="28"/>
          <w:lang w:eastAsia="en-US"/>
        </w:rPr>
        <w:t>que se prorrogó la celebración del Congreso Nacional Ordinario en el que se renovarían los órganos directivos del partido.</w:t>
      </w:r>
    </w:p>
    <w:p w:rsidR="00980B93" w:rsidRPr="00343FBE" w:rsidRDefault="00980B93" w:rsidP="00D3247D">
      <w:pPr>
        <w:spacing w:line="360" w:lineRule="auto"/>
        <w:jc w:val="both"/>
        <w:rPr>
          <w:rFonts w:ascii="Century Gothic" w:hAnsi="Century Gothic" w:cs="Arial"/>
          <w:bCs/>
          <w:sz w:val="28"/>
          <w:szCs w:val="28"/>
          <w:lang w:eastAsia="en-US"/>
        </w:rPr>
      </w:pPr>
    </w:p>
    <w:p w:rsidR="00E86B03" w:rsidRPr="00343FBE" w:rsidRDefault="00E86B03" w:rsidP="00D3247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004A1BF7" w:rsidRPr="00343FBE">
        <w:rPr>
          <w:rFonts w:ascii="Century Gothic" w:hAnsi="Century Gothic" w:cs="Arial"/>
          <w:b/>
          <w:bCs/>
          <w:sz w:val="28"/>
          <w:szCs w:val="28"/>
          <w:lang w:eastAsia="en-US"/>
        </w:rPr>
        <w:t>Agravios relacionados con la f</w:t>
      </w:r>
      <w:r w:rsidRPr="00343FBE">
        <w:rPr>
          <w:rFonts w:ascii="Century Gothic" w:hAnsi="Century Gothic" w:cs="Arial"/>
          <w:b/>
          <w:bCs/>
          <w:sz w:val="28"/>
          <w:szCs w:val="28"/>
          <w:lang w:eastAsia="en-US"/>
        </w:rPr>
        <w:t xml:space="preserve">acultad de la Comisión Ejecutiva Nacional, de prorrogar o anticipar hasta por cuatro meses la realización del Congreso Nacional Ordinario, prevista por el artículo 39, inciso c), de los Estatutos del </w:t>
      </w:r>
      <w:r w:rsidR="00A8764A" w:rsidRPr="00343FBE">
        <w:rPr>
          <w:rFonts w:ascii="Century Gothic" w:hAnsi="Century Gothic" w:cs="Arial"/>
          <w:b/>
          <w:bCs/>
          <w:sz w:val="28"/>
          <w:szCs w:val="28"/>
          <w:lang w:eastAsia="en-US"/>
        </w:rPr>
        <w:t>PT</w:t>
      </w:r>
      <w:r w:rsidR="004301F5" w:rsidRPr="00343FBE">
        <w:rPr>
          <w:rStyle w:val="Refdenotaalpie"/>
          <w:rFonts w:ascii="Century Gothic" w:hAnsi="Century Gothic" w:cs="Arial"/>
          <w:b/>
          <w:bCs/>
          <w:sz w:val="28"/>
          <w:szCs w:val="28"/>
          <w:lang w:eastAsia="en-US"/>
        </w:rPr>
        <w:footnoteReference w:id="5"/>
      </w:r>
      <w:r w:rsidRPr="00343FBE">
        <w:rPr>
          <w:rFonts w:ascii="Century Gothic" w:hAnsi="Century Gothic" w:cs="Arial"/>
          <w:bCs/>
          <w:sz w:val="28"/>
          <w:szCs w:val="28"/>
          <w:lang w:eastAsia="en-US"/>
        </w:rPr>
        <w:t xml:space="preserve">. </w:t>
      </w:r>
    </w:p>
    <w:p w:rsidR="00E86B03" w:rsidRPr="00343FBE" w:rsidRDefault="00E86B03" w:rsidP="00D3247D">
      <w:pPr>
        <w:spacing w:line="360" w:lineRule="auto"/>
        <w:jc w:val="both"/>
        <w:rPr>
          <w:rFonts w:ascii="Century Gothic" w:hAnsi="Century Gothic" w:cs="Arial"/>
          <w:bCs/>
          <w:sz w:val="28"/>
          <w:szCs w:val="28"/>
          <w:lang w:eastAsia="en-US"/>
        </w:rPr>
      </w:pPr>
    </w:p>
    <w:p w:rsidR="002D6619" w:rsidRPr="00343FBE" w:rsidRDefault="00995763" w:rsidP="00D3247D">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Consideraciones de esta Sala Superior</w:t>
      </w:r>
      <w:r w:rsidR="0083253B" w:rsidRPr="00343FBE">
        <w:rPr>
          <w:rFonts w:ascii="Century Gothic" w:hAnsi="Century Gothic" w:cs="Arial"/>
          <w:bCs/>
          <w:sz w:val="28"/>
          <w:szCs w:val="28"/>
          <w:lang w:eastAsia="en-US"/>
        </w:rPr>
        <w:t>.</w:t>
      </w:r>
      <w:r w:rsidR="002D2FED" w:rsidRPr="00343FBE">
        <w:rPr>
          <w:rFonts w:ascii="Century Gothic" w:hAnsi="Century Gothic" w:cs="Arial"/>
          <w:bCs/>
          <w:sz w:val="28"/>
          <w:szCs w:val="28"/>
          <w:lang w:eastAsia="en-US"/>
        </w:rPr>
        <w:t xml:space="preserve"> </w:t>
      </w:r>
    </w:p>
    <w:p w:rsidR="002D2FED" w:rsidRPr="00343FBE" w:rsidRDefault="002D2FED" w:rsidP="00D3247D">
      <w:pPr>
        <w:spacing w:line="360" w:lineRule="auto"/>
        <w:jc w:val="both"/>
        <w:rPr>
          <w:rFonts w:ascii="Century Gothic" w:hAnsi="Century Gothic" w:cs="Arial"/>
          <w:bCs/>
          <w:sz w:val="28"/>
          <w:szCs w:val="28"/>
          <w:lang w:eastAsia="en-US"/>
        </w:rPr>
      </w:pPr>
    </w:p>
    <w:p w:rsidR="001B0B88" w:rsidRPr="00343FBE" w:rsidRDefault="001B0B88" w:rsidP="001B0B88">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Son ineficaces los agravios, en virtud de que aun si le asistiera la razón al actor </w:t>
      </w:r>
      <w:r w:rsidR="007C36BD" w:rsidRPr="00343FBE">
        <w:rPr>
          <w:rFonts w:ascii="Century Gothic" w:hAnsi="Century Gothic" w:cs="Arial"/>
          <w:bCs/>
          <w:sz w:val="28"/>
          <w:szCs w:val="28"/>
          <w:lang w:eastAsia="en-US"/>
        </w:rPr>
        <w:t>d</w:t>
      </w:r>
      <w:r w:rsidRPr="00343FBE">
        <w:rPr>
          <w:rFonts w:ascii="Century Gothic" w:hAnsi="Century Gothic" w:cs="Arial"/>
          <w:bCs/>
          <w:sz w:val="28"/>
          <w:szCs w:val="28"/>
          <w:lang w:eastAsia="en-US"/>
        </w:rPr>
        <w:t>el SUP-JDC-369/2017, no podría alcanzar su pretensión, de que el Congreso Nacional Ordinario se celebre el veinticuatro de junio próximo.</w:t>
      </w:r>
    </w:p>
    <w:p w:rsidR="001B0B88" w:rsidRPr="00343FBE" w:rsidRDefault="001B0B88" w:rsidP="001B0B88">
      <w:pPr>
        <w:spacing w:line="360" w:lineRule="auto"/>
        <w:jc w:val="both"/>
        <w:rPr>
          <w:rFonts w:ascii="Century Gothic" w:hAnsi="Century Gothic" w:cs="Arial"/>
          <w:bCs/>
          <w:sz w:val="28"/>
          <w:szCs w:val="28"/>
          <w:lang w:eastAsia="en-US"/>
        </w:rPr>
      </w:pPr>
    </w:p>
    <w:p w:rsidR="001B0B88" w:rsidRPr="00343FBE" w:rsidRDefault="001B0B88" w:rsidP="001B0B88">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Para arribar a la anotada conclusión, se tiene presente que el actor </w:t>
      </w:r>
      <w:r w:rsidR="00B91011" w:rsidRPr="00343FBE">
        <w:rPr>
          <w:rFonts w:ascii="Century Gothic" w:hAnsi="Century Gothic" w:cs="Arial"/>
          <w:bCs/>
          <w:sz w:val="28"/>
          <w:szCs w:val="28"/>
          <w:lang w:eastAsia="en-US"/>
        </w:rPr>
        <w:t>en el</w:t>
      </w:r>
      <w:r w:rsidRPr="00343FBE">
        <w:rPr>
          <w:rFonts w:ascii="Century Gothic" w:hAnsi="Century Gothic" w:cs="Arial"/>
          <w:bCs/>
          <w:sz w:val="28"/>
          <w:szCs w:val="28"/>
          <w:lang w:eastAsia="en-US"/>
        </w:rPr>
        <w:t xml:space="preserve"> </w:t>
      </w:r>
      <w:r w:rsidR="00B91011" w:rsidRPr="00343FBE">
        <w:rPr>
          <w:rFonts w:ascii="Century Gothic" w:hAnsi="Century Gothic" w:cs="Arial"/>
          <w:bCs/>
          <w:sz w:val="28"/>
          <w:szCs w:val="28"/>
          <w:lang w:eastAsia="en-US"/>
        </w:rPr>
        <w:t>SUP-JDC</w:t>
      </w:r>
      <w:r w:rsidRPr="00343FBE">
        <w:rPr>
          <w:rFonts w:ascii="Century Gothic" w:hAnsi="Century Gothic" w:cs="Arial"/>
          <w:bCs/>
          <w:sz w:val="28"/>
          <w:szCs w:val="28"/>
          <w:lang w:eastAsia="en-US"/>
        </w:rPr>
        <w:t>-360/2017, respecto de su pretensión, manifestó lo siguiente: “</w:t>
      </w:r>
      <w:r w:rsidRPr="00343FBE">
        <w:rPr>
          <w:rFonts w:ascii="Century Gothic" w:hAnsi="Century Gothic" w:cs="Arial"/>
          <w:bCs/>
          <w:i/>
          <w:sz w:val="28"/>
          <w:szCs w:val="28"/>
          <w:lang w:eastAsia="en-US"/>
        </w:rPr>
        <w:t xml:space="preserve">Pretensión última. La revocación del acto reclamado y declaración de indebida notificación del acto reclamado, así como la remoción de todos los obstáculos y omisiones a efecto de salvaguardar nuestro derecho de votar y ser votados en la renovación de los órganos de dirección del </w:t>
      </w:r>
      <w:r w:rsidR="00A8764A" w:rsidRPr="00343FBE">
        <w:rPr>
          <w:rFonts w:ascii="Century Gothic" w:hAnsi="Century Gothic" w:cs="Arial"/>
          <w:bCs/>
          <w:i/>
          <w:sz w:val="28"/>
          <w:szCs w:val="28"/>
          <w:lang w:eastAsia="en-US"/>
        </w:rPr>
        <w:t>PT</w:t>
      </w:r>
      <w:r w:rsidRPr="00343FBE">
        <w:rPr>
          <w:rFonts w:ascii="Century Gothic" w:hAnsi="Century Gothic" w:cs="Arial"/>
          <w:bCs/>
          <w:i/>
          <w:sz w:val="28"/>
          <w:szCs w:val="28"/>
          <w:lang w:eastAsia="en-US"/>
        </w:rPr>
        <w:t xml:space="preserve">, para lo cual se deberá expedir y difundir la convocatoria respectiva a través de los medios idóneos a fin de que se realice el 24 de junio del presente año el Congreso Nacional Ordinario del </w:t>
      </w:r>
      <w:r w:rsidR="00A8764A" w:rsidRPr="00343FBE">
        <w:rPr>
          <w:rFonts w:ascii="Century Gothic" w:hAnsi="Century Gothic" w:cs="Arial"/>
          <w:bCs/>
          <w:i/>
          <w:sz w:val="28"/>
          <w:szCs w:val="28"/>
          <w:lang w:eastAsia="en-US"/>
        </w:rPr>
        <w:t>PT</w:t>
      </w:r>
      <w:r w:rsidRPr="00343FBE">
        <w:rPr>
          <w:rFonts w:ascii="Century Gothic" w:hAnsi="Century Gothic" w:cs="Arial"/>
          <w:bCs/>
          <w:sz w:val="28"/>
          <w:szCs w:val="28"/>
          <w:lang w:eastAsia="en-US"/>
        </w:rPr>
        <w:t>”.</w:t>
      </w:r>
    </w:p>
    <w:p w:rsidR="001B0B88" w:rsidRPr="00343FBE" w:rsidRDefault="001B0B88" w:rsidP="001B0B88">
      <w:pPr>
        <w:spacing w:line="360" w:lineRule="auto"/>
        <w:jc w:val="both"/>
        <w:rPr>
          <w:rFonts w:ascii="Century Gothic" w:hAnsi="Century Gothic" w:cs="Arial"/>
          <w:bCs/>
          <w:sz w:val="28"/>
          <w:szCs w:val="28"/>
          <w:lang w:eastAsia="en-US"/>
        </w:rPr>
      </w:pPr>
    </w:p>
    <w:p w:rsidR="001B0B88" w:rsidRPr="00343FBE" w:rsidRDefault="001B0B88" w:rsidP="001B0B88">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De lo reproducido se desprende que la pretensión del inconforme es que se lleve a cabo el Congreso Nacional Ordinario del PT, el veinticuatro de junio de dos mil diecisiete.</w:t>
      </w:r>
    </w:p>
    <w:p w:rsidR="001B0B88" w:rsidRPr="00343FBE" w:rsidRDefault="001B0B88" w:rsidP="001B0B88">
      <w:pPr>
        <w:spacing w:line="360" w:lineRule="auto"/>
        <w:jc w:val="both"/>
        <w:rPr>
          <w:rFonts w:ascii="Century Gothic" w:hAnsi="Century Gothic" w:cs="Arial"/>
          <w:bCs/>
          <w:sz w:val="32"/>
          <w:szCs w:val="32"/>
          <w:lang w:eastAsia="en-US"/>
        </w:rPr>
      </w:pPr>
    </w:p>
    <w:p w:rsidR="002D2FED" w:rsidRPr="00343FBE" w:rsidRDefault="004201D6" w:rsidP="002D2FED">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En esta tesitura, </w:t>
      </w:r>
      <w:r w:rsidR="00164D3A" w:rsidRPr="00343FBE">
        <w:rPr>
          <w:rFonts w:ascii="Century Gothic" w:hAnsi="Century Gothic" w:cs="Arial"/>
          <w:bCs/>
          <w:sz w:val="28"/>
          <w:szCs w:val="28"/>
          <w:lang w:eastAsia="en-US"/>
        </w:rPr>
        <w:t>si la pretensión del actor</w:t>
      </w:r>
      <w:r w:rsidR="001B0F40" w:rsidRPr="00343FBE">
        <w:rPr>
          <w:rFonts w:ascii="Century Gothic" w:hAnsi="Century Gothic" w:cs="Arial"/>
          <w:bCs/>
          <w:sz w:val="28"/>
          <w:szCs w:val="28"/>
          <w:lang w:eastAsia="en-US"/>
        </w:rPr>
        <w:t xml:space="preserve"> en el SUP-JDC-369</w:t>
      </w:r>
      <w:r w:rsidR="00D50E3C" w:rsidRPr="00343FBE">
        <w:rPr>
          <w:rFonts w:ascii="Century Gothic" w:hAnsi="Century Gothic" w:cs="Arial"/>
          <w:bCs/>
          <w:sz w:val="28"/>
          <w:szCs w:val="28"/>
          <w:lang w:eastAsia="en-US"/>
        </w:rPr>
        <w:t>/2017</w:t>
      </w:r>
      <w:r w:rsidR="001B0F40" w:rsidRPr="00343FBE">
        <w:rPr>
          <w:rFonts w:ascii="Century Gothic" w:hAnsi="Century Gothic" w:cs="Arial"/>
          <w:bCs/>
          <w:sz w:val="28"/>
          <w:szCs w:val="28"/>
          <w:lang w:eastAsia="en-US"/>
        </w:rPr>
        <w:t xml:space="preserve">, </w:t>
      </w:r>
      <w:r w:rsidR="00164D3A" w:rsidRPr="00343FBE">
        <w:rPr>
          <w:rFonts w:ascii="Century Gothic" w:hAnsi="Century Gothic" w:cs="Arial"/>
          <w:bCs/>
          <w:sz w:val="28"/>
          <w:szCs w:val="28"/>
          <w:lang w:eastAsia="en-US"/>
        </w:rPr>
        <w:t xml:space="preserve">es que el Congreso Nacional Ordinario se </w:t>
      </w:r>
      <w:r w:rsidR="00164D3A" w:rsidRPr="00343FBE">
        <w:rPr>
          <w:rFonts w:ascii="Century Gothic" w:hAnsi="Century Gothic" w:cs="Arial"/>
          <w:bCs/>
          <w:sz w:val="28"/>
          <w:szCs w:val="28"/>
          <w:lang w:eastAsia="en-US"/>
        </w:rPr>
        <w:lastRenderedPageBreak/>
        <w:t xml:space="preserve">celebre el veinticuatro de junio próximo, </w:t>
      </w:r>
      <w:r w:rsidR="003D55B1" w:rsidRPr="00343FBE">
        <w:rPr>
          <w:rFonts w:ascii="Century Gothic" w:hAnsi="Century Gothic" w:cs="Arial"/>
          <w:bCs/>
          <w:sz w:val="28"/>
          <w:szCs w:val="28"/>
          <w:lang w:eastAsia="en-US"/>
        </w:rPr>
        <w:t xml:space="preserve">actualmente no le causa algún agravio el que se haya determinado la prórroga, </w:t>
      </w:r>
      <w:r w:rsidR="00DE5EE9" w:rsidRPr="00343FBE">
        <w:rPr>
          <w:rFonts w:ascii="Century Gothic" w:hAnsi="Century Gothic" w:cs="Arial"/>
          <w:bCs/>
          <w:sz w:val="28"/>
          <w:szCs w:val="28"/>
          <w:lang w:eastAsia="en-US"/>
        </w:rPr>
        <w:t xml:space="preserve">porque finalmente ya se determinó que en esa fecha se celebrará el referido Congreso, así que </w:t>
      </w:r>
      <w:r w:rsidR="002D2FED" w:rsidRPr="00343FBE">
        <w:rPr>
          <w:rFonts w:ascii="Century Gothic" w:hAnsi="Century Gothic" w:cs="Arial"/>
          <w:bCs/>
          <w:sz w:val="28"/>
          <w:szCs w:val="28"/>
          <w:lang w:eastAsia="en-US"/>
        </w:rPr>
        <w:t xml:space="preserve">aun </w:t>
      </w:r>
      <w:r w:rsidR="002374AD" w:rsidRPr="00343FBE">
        <w:rPr>
          <w:rFonts w:ascii="Century Gothic" w:hAnsi="Century Gothic" w:cs="Arial"/>
          <w:bCs/>
          <w:sz w:val="28"/>
          <w:szCs w:val="28"/>
          <w:lang w:eastAsia="en-US"/>
        </w:rPr>
        <w:t>si</w:t>
      </w:r>
      <w:r w:rsidR="002D2FED" w:rsidRPr="00343FBE">
        <w:rPr>
          <w:rFonts w:ascii="Century Gothic" w:hAnsi="Century Gothic" w:cs="Arial"/>
          <w:bCs/>
          <w:sz w:val="28"/>
          <w:szCs w:val="28"/>
          <w:lang w:eastAsia="en-US"/>
        </w:rPr>
        <w:t xml:space="preserve"> le asistiera la razón al actor, </w:t>
      </w:r>
      <w:r w:rsidR="00276FAE" w:rsidRPr="00343FBE">
        <w:rPr>
          <w:rFonts w:ascii="Century Gothic" w:hAnsi="Century Gothic" w:cs="Arial"/>
          <w:bCs/>
          <w:sz w:val="28"/>
          <w:szCs w:val="28"/>
          <w:lang w:eastAsia="en-US"/>
        </w:rPr>
        <w:t>en cuanto</w:t>
      </w:r>
      <w:r w:rsidR="008866C3" w:rsidRPr="00343FBE">
        <w:rPr>
          <w:rFonts w:ascii="Century Gothic" w:hAnsi="Century Gothic" w:cs="Arial"/>
          <w:bCs/>
          <w:sz w:val="28"/>
          <w:szCs w:val="28"/>
          <w:lang w:eastAsia="en-US"/>
        </w:rPr>
        <w:t xml:space="preserve"> a</w:t>
      </w:r>
      <w:r w:rsidR="00276FAE" w:rsidRPr="00343FBE">
        <w:rPr>
          <w:rFonts w:ascii="Century Gothic" w:hAnsi="Century Gothic" w:cs="Arial"/>
          <w:bCs/>
          <w:sz w:val="28"/>
          <w:szCs w:val="28"/>
          <w:lang w:eastAsia="en-US"/>
        </w:rPr>
        <w:t xml:space="preserve"> que incorrect</w:t>
      </w:r>
      <w:r w:rsidR="002374AD" w:rsidRPr="00343FBE">
        <w:rPr>
          <w:rFonts w:ascii="Century Gothic" w:hAnsi="Century Gothic" w:cs="Arial"/>
          <w:bCs/>
          <w:sz w:val="28"/>
          <w:szCs w:val="28"/>
          <w:lang w:eastAsia="en-US"/>
        </w:rPr>
        <w:t>amente</w:t>
      </w:r>
      <w:r w:rsidR="00276FAE" w:rsidRPr="00343FBE">
        <w:rPr>
          <w:rFonts w:ascii="Century Gothic" w:hAnsi="Century Gothic" w:cs="Arial"/>
          <w:bCs/>
          <w:sz w:val="28"/>
          <w:szCs w:val="28"/>
          <w:lang w:eastAsia="en-US"/>
        </w:rPr>
        <w:t xml:space="preserve"> la Comisión E</w:t>
      </w:r>
      <w:r w:rsidR="002374AD" w:rsidRPr="00343FBE">
        <w:rPr>
          <w:rFonts w:ascii="Century Gothic" w:hAnsi="Century Gothic" w:cs="Arial"/>
          <w:bCs/>
          <w:sz w:val="28"/>
          <w:szCs w:val="28"/>
          <w:lang w:eastAsia="en-US"/>
        </w:rPr>
        <w:t xml:space="preserve">jecutiva Nacional, por las razones que expuso, haya prorrogado la celebración </w:t>
      </w:r>
      <w:r w:rsidR="008866C3" w:rsidRPr="00343FBE">
        <w:rPr>
          <w:rFonts w:ascii="Century Gothic" w:hAnsi="Century Gothic" w:cs="Arial"/>
          <w:bCs/>
          <w:sz w:val="28"/>
          <w:szCs w:val="28"/>
          <w:lang w:eastAsia="en-US"/>
        </w:rPr>
        <w:t>el Congreso Nacional Ordinario,</w:t>
      </w:r>
      <w:r w:rsidR="00786E7E" w:rsidRPr="00343FBE">
        <w:rPr>
          <w:rFonts w:ascii="Century Gothic" w:hAnsi="Century Gothic" w:cs="Arial"/>
          <w:bCs/>
          <w:sz w:val="28"/>
          <w:szCs w:val="28"/>
          <w:lang w:eastAsia="en-US"/>
        </w:rPr>
        <w:t xml:space="preserve"> ello en nada influiría en</w:t>
      </w:r>
      <w:r w:rsidR="002D2FED" w:rsidRPr="00343FBE">
        <w:rPr>
          <w:rFonts w:ascii="Century Gothic" w:hAnsi="Century Gothic" w:cs="Arial"/>
          <w:bCs/>
          <w:sz w:val="28"/>
          <w:szCs w:val="28"/>
          <w:lang w:eastAsia="en-US"/>
        </w:rPr>
        <w:t xml:space="preserve"> alcanzar su pretensión, de que </w:t>
      </w:r>
      <w:r w:rsidR="008866C3" w:rsidRPr="00343FBE">
        <w:rPr>
          <w:rFonts w:ascii="Century Gothic" w:hAnsi="Century Gothic" w:cs="Arial"/>
          <w:bCs/>
          <w:sz w:val="28"/>
          <w:szCs w:val="28"/>
          <w:lang w:eastAsia="en-US"/>
        </w:rPr>
        <w:t>dicho</w:t>
      </w:r>
      <w:r w:rsidR="002D2FED" w:rsidRPr="00343FBE">
        <w:rPr>
          <w:rFonts w:ascii="Century Gothic" w:hAnsi="Century Gothic" w:cs="Arial"/>
          <w:bCs/>
          <w:sz w:val="28"/>
          <w:szCs w:val="28"/>
          <w:lang w:eastAsia="en-US"/>
        </w:rPr>
        <w:t xml:space="preserve"> Congreso se celebre el veinticuatro de junio próximo.</w:t>
      </w:r>
    </w:p>
    <w:p w:rsidR="00B9348C" w:rsidRPr="00343FBE" w:rsidRDefault="00B9348C" w:rsidP="002D2FED">
      <w:pPr>
        <w:spacing w:line="360" w:lineRule="auto"/>
        <w:jc w:val="both"/>
        <w:rPr>
          <w:rFonts w:ascii="Century Gothic" w:hAnsi="Century Gothic" w:cs="Arial"/>
          <w:bCs/>
          <w:sz w:val="28"/>
          <w:szCs w:val="28"/>
          <w:lang w:eastAsia="en-US"/>
        </w:rPr>
      </w:pPr>
    </w:p>
    <w:p w:rsidR="00C77B38" w:rsidRPr="00343FBE" w:rsidRDefault="00C77B38" w:rsidP="00C77B38">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En última instancia, están dirigidos a evidenciar la falta de </w:t>
      </w:r>
      <w:r w:rsidR="00AB3F08" w:rsidRPr="00343FBE">
        <w:rPr>
          <w:rFonts w:ascii="Century Gothic" w:hAnsi="Century Gothic" w:cs="Arial"/>
          <w:bCs/>
          <w:sz w:val="28"/>
          <w:szCs w:val="28"/>
          <w:lang w:eastAsia="en-US"/>
        </w:rPr>
        <w:t xml:space="preserve">justificación </w:t>
      </w:r>
      <w:r w:rsidRPr="00343FBE">
        <w:rPr>
          <w:rFonts w:ascii="Century Gothic" w:hAnsi="Century Gothic" w:cs="Arial"/>
          <w:bCs/>
          <w:sz w:val="28"/>
          <w:szCs w:val="28"/>
          <w:lang w:eastAsia="en-US"/>
        </w:rPr>
        <w:t>en la decisión de que se prorrogara la fecha prevista para la renovación de los órganos directivos del partido.</w:t>
      </w:r>
    </w:p>
    <w:p w:rsidR="00C77B38" w:rsidRPr="00343FBE" w:rsidRDefault="00C77B38" w:rsidP="00C77B38">
      <w:pPr>
        <w:spacing w:line="360" w:lineRule="auto"/>
        <w:jc w:val="both"/>
        <w:rPr>
          <w:rFonts w:ascii="Century Gothic" w:hAnsi="Century Gothic" w:cs="Arial"/>
          <w:bCs/>
          <w:sz w:val="28"/>
          <w:szCs w:val="28"/>
          <w:lang w:eastAsia="en-US"/>
        </w:rPr>
      </w:pPr>
    </w:p>
    <w:p w:rsidR="00C77B38" w:rsidRPr="00343FBE" w:rsidRDefault="00C77B38" w:rsidP="00C77B38">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Siendo así, a ningún fin práctico conduce el análisis de tales planteamientos, porque de asistirle la razón, lo conducente sería revocar dicha determinación y ordenar que, a la brevedad, se llevara a cabo el proceso de renovación, lo cual ya está acordado.</w:t>
      </w:r>
    </w:p>
    <w:p w:rsidR="00C77B38" w:rsidRPr="00343FBE" w:rsidRDefault="00C77B38" w:rsidP="00C77B38">
      <w:pPr>
        <w:spacing w:line="360" w:lineRule="auto"/>
        <w:jc w:val="both"/>
        <w:rPr>
          <w:rFonts w:ascii="Century Gothic" w:hAnsi="Century Gothic" w:cs="Arial"/>
          <w:bCs/>
          <w:sz w:val="28"/>
          <w:szCs w:val="28"/>
          <w:lang w:eastAsia="en-US"/>
        </w:rPr>
      </w:pPr>
    </w:p>
    <w:p w:rsidR="00C77B38" w:rsidRPr="00343FBE" w:rsidRDefault="00C77B38" w:rsidP="00C77B38">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Como ha sido indicado, el Congreso Nacional Ordinario del P</w:t>
      </w:r>
      <w:r w:rsidR="00AB3F08" w:rsidRPr="00343FBE">
        <w:rPr>
          <w:rFonts w:ascii="Century Gothic" w:hAnsi="Century Gothic" w:cs="Arial"/>
          <w:bCs/>
          <w:sz w:val="28"/>
          <w:szCs w:val="28"/>
          <w:lang w:eastAsia="en-US"/>
        </w:rPr>
        <w:t>T</w:t>
      </w:r>
      <w:r w:rsidRPr="00343FBE">
        <w:rPr>
          <w:rFonts w:ascii="Century Gothic" w:hAnsi="Century Gothic" w:cs="Arial"/>
          <w:bCs/>
          <w:sz w:val="28"/>
          <w:szCs w:val="28"/>
          <w:lang w:eastAsia="en-US"/>
        </w:rPr>
        <w:t xml:space="preserve"> se celebrará el próximo veinticuatro de junio, por lo que a ningún fin práctico conduciría analizar si su celebración fue retrasada con justificación o, por el contrario, carecía de sustento estatutario.</w:t>
      </w:r>
    </w:p>
    <w:p w:rsidR="00C77B38" w:rsidRPr="00343FBE" w:rsidRDefault="00C77B38" w:rsidP="00C77B38">
      <w:pPr>
        <w:spacing w:line="360" w:lineRule="auto"/>
        <w:jc w:val="both"/>
        <w:rPr>
          <w:rFonts w:ascii="Century Gothic" w:hAnsi="Century Gothic" w:cs="Arial"/>
          <w:bCs/>
          <w:sz w:val="28"/>
          <w:szCs w:val="28"/>
          <w:lang w:eastAsia="en-US"/>
        </w:rPr>
      </w:pPr>
    </w:p>
    <w:p w:rsidR="00C77B38" w:rsidRPr="00343FBE" w:rsidRDefault="00C77B38" w:rsidP="00C77B38">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Cualquier análisis al respecto seria inconducente, pues la pretensión esencial del actor es, precisamente, que cuanto antes se lleve a cabo la renovación de los órganos directivos del partido, y eso acontecerá el próximo veinticuatro de junio.</w:t>
      </w:r>
    </w:p>
    <w:p w:rsidR="00544CC7" w:rsidRPr="00343FBE" w:rsidRDefault="00544CC7" w:rsidP="00B9348C">
      <w:pPr>
        <w:spacing w:line="360" w:lineRule="auto"/>
        <w:jc w:val="both"/>
        <w:rPr>
          <w:rFonts w:ascii="Century Gothic" w:hAnsi="Century Gothic" w:cs="Arial"/>
          <w:bCs/>
          <w:sz w:val="28"/>
          <w:szCs w:val="28"/>
          <w:lang w:eastAsia="en-US"/>
        </w:rPr>
      </w:pPr>
    </w:p>
    <w:p w:rsidR="00B850D9" w:rsidRPr="00343FBE" w:rsidRDefault="00325356" w:rsidP="004A1BF7">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 xml:space="preserve">• </w:t>
      </w:r>
      <w:r w:rsidRPr="00343FBE">
        <w:rPr>
          <w:rFonts w:ascii="Century Gothic" w:hAnsi="Century Gothic" w:cs="Arial"/>
          <w:b/>
          <w:bCs/>
          <w:sz w:val="28"/>
          <w:szCs w:val="28"/>
          <w:lang w:eastAsia="en-US"/>
        </w:rPr>
        <w:t>Agravios relacionados con la r</w:t>
      </w:r>
      <w:r w:rsidR="004A1BF7" w:rsidRPr="00343FBE">
        <w:rPr>
          <w:rFonts w:ascii="Century Gothic" w:hAnsi="Century Gothic" w:cs="Arial"/>
          <w:b/>
          <w:bCs/>
          <w:sz w:val="28"/>
          <w:szCs w:val="28"/>
          <w:lang w:eastAsia="en-US"/>
        </w:rPr>
        <w:t>eelección e incumplimiento de los “fines” de la sentencia dictada en el jui</w:t>
      </w:r>
      <w:r w:rsidRPr="00343FBE">
        <w:rPr>
          <w:rFonts w:ascii="Century Gothic" w:hAnsi="Century Gothic" w:cs="Arial"/>
          <w:b/>
          <w:bCs/>
          <w:sz w:val="28"/>
          <w:szCs w:val="28"/>
          <w:lang w:eastAsia="en-US"/>
        </w:rPr>
        <w:t xml:space="preserve">cio ciudadano SUP-JDC-2638/2008, así </w:t>
      </w:r>
      <w:r w:rsidR="00FD4CA4" w:rsidRPr="00343FBE">
        <w:rPr>
          <w:rFonts w:ascii="Century Gothic" w:hAnsi="Century Gothic" w:cs="Arial"/>
          <w:b/>
          <w:bCs/>
          <w:sz w:val="28"/>
          <w:szCs w:val="28"/>
          <w:lang w:eastAsia="en-US"/>
        </w:rPr>
        <w:t xml:space="preserve">como </w:t>
      </w:r>
      <w:r w:rsidRPr="00343FBE">
        <w:rPr>
          <w:rFonts w:ascii="Century Gothic" w:hAnsi="Century Gothic" w:cs="Arial"/>
          <w:b/>
          <w:bCs/>
          <w:sz w:val="28"/>
          <w:szCs w:val="28"/>
          <w:lang w:eastAsia="en-US"/>
        </w:rPr>
        <w:t>con el n</w:t>
      </w:r>
      <w:r w:rsidR="004A1BF7" w:rsidRPr="00343FBE">
        <w:rPr>
          <w:rFonts w:ascii="Century Gothic" w:hAnsi="Century Gothic" w:cs="Arial"/>
          <w:b/>
          <w:bCs/>
          <w:sz w:val="28"/>
          <w:szCs w:val="28"/>
          <w:lang w:eastAsia="en-US"/>
        </w:rPr>
        <w:t>epotismo y reelección en el P</w:t>
      </w:r>
      <w:r w:rsidRPr="00343FBE">
        <w:rPr>
          <w:rFonts w:ascii="Century Gothic" w:hAnsi="Century Gothic" w:cs="Arial"/>
          <w:b/>
          <w:bCs/>
          <w:sz w:val="28"/>
          <w:szCs w:val="28"/>
          <w:lang w:eastAsia="en-US"/>
        </w:rPr>
        <w:t>T</w:t>
      </w:r>
      <w:r w:rsidR="004A1BF7" w:rsidRPr="00343FBE">
        <w:rPr>
          <w:rFonts w:ascii="Century Gothic" w:hAnsi="Century Gothic" w:cs="Arial"/>
          <w:bCs/>
          <w:sz w:val="28"/>
          <w:szCs w:val="28"/>
          <w:lang w:eastAsia="en-US"/>
        </w:rPr>
        <w:t>.</w:t>
      </w:r>
      <w:r w:rsidR="00C210BB" w:rsidRPr="00343FBE">
        <w:rPr>
          <w:rFonts w:ascii="Century Gothic" w:hAnsi="Century Gothic" w:cs="Arial"/>
          <w:bCs/>
          <w:sz w:val="28"/>
          <w:szCs w:val="28"/>
          <w:lang w:eastAsia="en-US"/>
        </w:rPr>
        <w:t xml:space="preserve"> </w:t>
      </w:r>
    </w:p>
    <w:p w:rsidR="00325356" w:rsidRPr="00343FBE" w:rsidRDefault="00325356" w:rsidP="004A1BF7">
      <w:pPr>
        <w:spacing w:line="360" w:lineRule="auto"/>
        <w:jc w:val="both"/>
        <w:rPr>
          <w:rFonts w:ascii="Century Gothic" w:hAnsi="Century Gothic" w:cs="Arial"/>
          <w:bCs/>
          <w:sz w:val="28"/>
          <w:szCs w:val="28"/>
          <w:lang w:eastAsia="en-US"/>
        </w:rPr>
      </w:pPr>
    </w:p>
    <w:p w:rsidR="00FA4E1F" w:rsidRPr="00343FBE" w:rsidRDefault="00983FB7" w:rsidP="00FA4E1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Los agravios relacionados con dicha temática son in</w:t>
      </w:r>
      <w:r w:rsidR="00757E17" w:rsidRPr="00343FBE">
        <w:rPr>
          <w:rFonts w:ascii="Century Gothic" w:hAnsi="Century Gothic" w:cs="Arial"/>
          <w:bCs/>
          <w:sz w:val="28"/>
          <w:szCs w:val="28"/>
          <w:lang w:eastAsia="en-US"/>
        </w:rPr>
        <w:t>operantes</w:t>
      </w:r>
      <w:r w:rsidR="00FA4E1F" w:rsidRPr="00343FBE">
        <w:rPr>
          <w:rFonts w:ascii="Century Gothic" w:hAnsi="Century Gothic" w:cs="Arial"/>
          <w:bCs/>
          <w:sz w:val="28"/>
          <w:szCs w:val="28"/>
          <w:lang w:eastAsia="en-US"/>
        </w:rPr>
        <w:t xml:space="preserve">, en virtud de que parten de la base de que la convocatoria al referido Congreso no se había emitido, y la pretensión es que este Tribunal ordene al órgano partidista competente </w:t>
      </w:r>
      <w:proofErr w:type="gramStart"/>
      <w:r w:rsidR="00FA4E1F" w:rsidRPr="00343FBE">
        <w:rPr>
          <w:rFonts w:ascii="Century Gothic" w:hAnsi="Century Gothic" w:cs="Arial"/>
          <w:bCs/>
          <w:sz w:val="28"/>
          <w:szCs w:val="28"/>
          <w:lang w:eastAsia="en-US"/>
        </w:rPr>
        <w:t>que</w:t>
      </w:r>
      <w:proofErr w:type="gramEnd"/>
      <w:r w:rsidR="00FA4E1F" w:rsidRPr="00343FBE">
        <w:rPr>
          <w:rFonts w:ascii="Century Gothic" w:hAnsi="Century Gothic" w:cs="Arial"/>
          <w:bCs/>
          <w:sz w:val="28"/>
          <w:szCs w:val="28"/>
          <w:lang w:eastAsia="en-US"/>
        </w:rPr>
        <w:t xml:space="preserve"> al emitirla, prevea determinadas cuestiones.</w:t>
      </w:r>
    </w:p>
    <w:p w:rsidR="00FA4E1F" w:rsidRPr="00343FBE" w:rsidRDefault="00FA4E1F" w:rsidP="00FA4E1F">
      <w:pPr>
        <w:spacing w:line="360" w:lineRule="auto"/>
        <w:jc w:val="both"/>
        <w:rPr>
          <w:rFonts w:ascii="Century Gothic" w:hAnsi="Century Gothic" w:cs="Arial"/>
          <w:bCs/>
          <w:sz w:val="28"/>
          <w:szCs w:val="28"/>
          <w:lang w:eastAsia="en-US"/>
        </w:rPr>
      </w:pPr>
    </w:p>
    <w:p w:rsidR="00FA4E1F" w:rsidRPr="00343FBE" w:rsidRDefault="00FA4E1F" w:rsidP="00FA4E1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Sin embargo, tal convocatoria ya se emitió y en el apartado</w:t>
      </w:r>
      <w:r w:rsidR="00DF4002" w:rsidRPr="00343FBE">
        <w:rPr>
          <w:rFonts w:ascii="Century Gothic" w:hAnsi="Century Gothic" w:cs="Arial"/>
          <w:bCs/>
          <w:sz w:val="28"/>
          <w:szCs w:val="28"/>
          <w:lang w:eastAsia="en-US"/>
        </w:rPr>
        <w:t xml:space="preserve"> correspondiente</w:t>
      </w:r>
      <w:r w:rsidRPr="00343FBE">
        <w:rPr>
          <w:rFonts w:ascii="Century Gothic" w:hAnsi="Century Gothic" w:cs="Arial"/>
          <w:bCs/>
          <w:sz w:val="28"/>
          <w:szCs w:val="28"/>
          <w:lang w:eastAsia="en-US"/>
        </w:rPr>
        <w:t xml:space="preserve"> esta Sala Superior </w:t>
      </w:r>
      <w:r w:rsidR="00DF4002" w:rsidRPr="00343FBE">
        <w:rPr>
          <w:rFonts w:ascii="Century Gothic" w:hAnsi="Century Gothic" w:cs="Arial"/>
          <w:bCs/>
          <w:sz w:val="28"/>
          <w:szCs w:val="28"/>
          <w:lang w:eastAsia="en-US"/>
        </w:rPr>
        <w:t xml:space="preserve">determinará </w:t>
      </w:r>
      <w:r w:rsidRPr="00343FBE">
        <w:rPr>
          <w:rFonts w:ascii="Century Gothic" w:hAnsi="Century Gothic" w:cs="Arial"/>
          <w:bCs/>
          <w:sz w:val="28"/>
          <w:szCs w:val="28"/>
          <w:lang w:eastAsia="en-US"/>
        </w:rPr>
        <w:t>lo conducente respecto de la referida convocatoria, lo que torna inoperantes los agravios de que se trata.</w:t>
      </w:r>
    </w:p>
    <w:p w:rsidR="00FA4E1F" w:rsidRPr="00343FBE" w:rsidRDefault="00FA4E1F" w:rsidP="00FA4E1F">
      <w:pPr>
        <w:spacing w:line="360" w:lineRule="auto"/>
        <w:jc w:val="both"/>
        <w:rPr>
          <w:rFonts w:ascii="Century Gothic" w:hAnsi="Century Gothic" w:cs="Arial"/>
          <w:bCs/>
          <w:sz w:val="28"/>
          <w:szCs w:val="28"/>
          <w:lang w:eastAsia="en-US"/>
        </w:rPr>
      </w:pPr>
    </w:p>
    <w:p w:rsidR="0004616D" w:rsidRPr="00343FBE" w:rsidRDefault="00AC476F"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b/>
          <w:sz w:val="28"/>
          <w:szCs w:val="28"/>
          <w:lang w:eastAsia="en-US"/>
        </w:rPr>
        <w:t xml:space="preserve">• </w:t>
      </w:r>
      <w:r w:rsidR="0004616D" w:rsidRPr="00343FBE">
        <w:rPr>
          <w:rFonts w:ascii="Century Gothic" w:eastAsiaTheme="minorHAnsi" w:hAnsi="Century Gothic" w:cstheme="minorBidi"/>
          <w:b/>
          <w:sz w:val="28"/>
          <w:szCs w:val="28"/>
          <w:lang w:eastAsia="en-US"/>
        </w:rPr>
        <w:t>Agravios relacionados con el Décimo Congreso Nacional Ordinario (SUP-JDC-445/2017)</w:t>
      </w:r>
      <w:r w:rsidR="0004616D" w:rsidRPr="00343FBE">
        <w:rPr>
          <w:rFonts w:ascii="Century Gothic" w:eastAsiaTheme="minorHAnsi" w:hAnsi="Century Gothic" w:cstheme="minorBidi"/>
          <w:sz w:val="28"/>
          <w:szCs w:val="28"/>
          <w:lang w:eastAsia="en-US"/>
        </w:rPr>
        <w:t>.</w:t>
      </w:r>
    </w:p>
    <w:p w:rsidR="00AC476F" w:rsidRPr="00343FBE" w:rsidRDefault="00AC476F" w:rsidP="0004616D">
      <w:pPr>
        <w:spacing w:line="360" w:lineRule="auto"/>
        <w:jc w:val="both"/>
        <w:rPr>
          <w:rFonts w:ascii="Century Gothic" w:eastAsiaTheme="minorHAnsi" w:hAnsi="Century Gothic" w:cstheme="minorBidi"/>
          <w:sz w:val="28"/>
          <w:szCs w:val="28"/>
          <w:lang w:eastAsia="en-US"/>
        </w:rPr>
      </w:pPr>
    </w:p>
    <w:p w:rsidR="00AC476F" w:rsidRPr="00343FBE" w:rsidRDefault="00AC476F"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lastRenderedPageBreak/>
        <w:t>Se alega que:</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 xml:space="preserve">• </w:t>
      </w:r>
      <w:r w:rsidR="00AC476F" w:rsidRPr="00343FBE">
        <w:rPr>
          <w:rFonts w:ascii="Century Gothic" w:eastAsiaTheme="minorHAnsi" w:hAnsi="Century Gothic" w:cstheme="minorBidi"/>
          <w:sz w:val="28"/>
          <w:szCs w:val="28"/>
          <w:lang w:eastAsia="en-US"/>
        </w:rPr>
        <w:t>E</w:t>
      </w:r>
      <w:r w:rsidRPr="00343FBE">
        <w:rPr>
          <w:rFonts w:ascii="Century Gothic" w:eastAsiaTheme="minorHAnsi" w:hAnsi="Century Gothic" w:cstheme="minorBidi"/>
          <w:sz w:val="28"/>
          <w:szCs w:val="28"/>
          <w:lang w:eastAsia="en-US"/>
        </w:rPr>
        <w:t>s indebida la publicidad de la Convocatoria, porque de conformidad con el artículo 26, párrafo 5, de los Estatutos del PT, tiene que publicarse en un periódico de circulación nacional, al menos quince días antes del día del Congreso, por lo que si éste tendrá lugar el veinticuatro de junio del año en curso, la convocatoria tuvo que haberse publicado a más tardar el nueve de dicho mes, sin que hasta la fecha se hubiera hecho, habida cuenta que, la norma estatutaria no prevé que tuviera que publicarse en la página de internet del partido, además de que no se difundió en forma amplia en todas las instancias estatales, “</w:t>
      </w:r>
      <w:r w:rsidRPr="00343FBE">
        <w:rPr>
          <w:rFonts w:ascii="Century Gothic" w:eastAsiaTheme="minorHAnsi" w:hAnsi="Century Gothic" w:cstheme="minorBidi"/>
          <w:i/>
          <w:sz w:val="28"/>
          <w:szCs w:val="28"/>
          <w:lang w:eastAsia="en-US"/>
        </w:rPr>
        <w:t>por lo que nos deja en estado de indefensión</w:t>
      </w:r>
      <w:r w:rsidRPr="00343FBE">
        <w:rPr>
          <w:rFonts w:ascii="Century Gothic" w:eastAsiaTheme="minorHAnsi" w:hAnsi="Century Gothic" w:cstheme="minorBidi"/>
          <w:sz w:val="28"/>
          <w:szCs w:val="28"/>
          <w:lang w:eastAsia="en-US"/>
        </w:rPr>
        <w:t>”.</w:t>
      </w:r>
    </w:p>
    <w:p w:rsidR="001807B4" w:rsidRPr="00343FBE" w:rsidRDefault="001807B4" w:rsidP="0004616D">
      <w:pPr>
        <w:spacing w:line="360" w:lineRule="auto"/>
        <w:jc w:val="both"/>
        <w:rPr>
          <w:rFonts w:ascii="Century Gothic" w:eastAsiaTheme="minorHAnsi" w:hAnsi="Century Gothic" w:cstheme="minorBidi"/>
          <w:sz w:val="28"/>
          <w:szCs w:val="28"/>
          <w:lang w:eastAsia="en-US"/>
        </w:rPr>
      </w:pPr>
    </w:p>
    <w:p w:rsidR="001807B4" w:rsidRPr="00343FBE" w:rsidRDefault="001807B4"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 xml:space="preserve">• </w:t>
      </w:r>
      <w:r w:rsidR="008647BC" w:rsidRPr="00343FBE">
        <w:rPr>
          <w:rFonts w:ascii="Century Gothic" w:eastAsiaTheme="minorHAnsi" w:hAnsi="Century Gothic" w:cstheme="minorBidi"/>
          <w:sz w:val="28"/>
          <w:szCs w:val="28"/>
          <w:lang w:eastAsia="en-US"/>
        </w:rPr>
        <w:t>La Comisión Nacional de Elecciones y Procedimientos Internos del PT, ha omitido expedir la convocatoria para renovar los órganos de dirección nacional del partido, en el Congreso Nacional Ordinario que se celebrará el veinticuatro de junio de dos mil diecisiete.</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b/>
          <w:sz w:val="28"/>
          <w:szCs w:val="28"/>
          <w:lang w:eastAsia="en-US"/>
        </w:rPr>
        <w:t>Consideraciones de esta Sala Superior</w:t>
      </w:r>
      <w:r w:rsidRPr="00343FBE">
        <w:rPr>
          <w:rFonts w:ascii="Century Gothic" w:eastAsiaTheme="minorHAnsi" w:hAnsi="Century Gothic" w:cstheme="minorBidi"/>
          <w:sz w:val="28"/>
          <w:szCs w:val="28"/>
          <w:lang w:eastAsia="en-US"/>
        </w:rPr>
        <w:t>.</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 xml:space="preserve">Contrario a lo que se alega, la convocatoria al Décimo Congreso Nacional sí fue publicada en un periódico de circulación nacional, al menos quince días antes de la </w:t>
      </w:r>
      <w:r w:rsidRPr="00343FBE">
        <w:rPr>
          <w:rFonts w:ascii="Century Gothic" w:eastAsiaTheme="minorHAnsi" w:hAnsi="Century Gothic" w:cstheme="minorBidi"/>
          <w:sz w:val="28"/>
          <w:szCs w:val="28"/>
          <w:lang w:eastAsia="en-US"/>
        </w:rPr>
        <w:lastRenderedPageBreak/>
        <w:t>fecha del Décimo Congreso Nacional, ya que se publicó el siete de junio de dos mil diecisiete, en el Sol de México.</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En efecto, al rendirse el informe circunstanciado, se acompañó un ejemplar del periódico El Sol de México, de siete de junio del año en curso (es decir, dos días antes de la fecha límite para publicarla), observándose publicada la referida convocatoria, en la página “11 A”, de la sección “Nacional”, lo que demuestra que es inexacto que la misma no se hubiera publicado en un periódico de circulación nacional.</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Por otro lado, el actor deja de explicar por qué le deja en estado de indefensión el que, en su caso, la convocatoria no se hubiera difundido en todas las instancias estatales, más aún que particularmente él sí la conoce, lo que se desprende de su demanda, en la que insertó dicha convocatoria; así, tal omisión torna inoperantes el agravio de que se trata.</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7D77C0"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Asimismo, se</w:t>
      </w:r>
      <w:r w:rsidR="0004616D" w:rsidRPr="00343FBE">
        <w:rPr>
          <w:rFonts w:ascii="Century Gothic" w:eastAsiaTheme="minorHAnsi" w:hAnsi="Century Gothic" w:cstheme="minorBidi"/>
          <w:sz w:val="28"/>
          <w:szCs w:val="28"/>
          <w:lang w:eastAsia="en-US"/>
        </w:rPr>
        <w:t xml:space="preserve"> alega que la convocatoria debería tener como mínimo requisitos de elegibilidad, tanto negativos como positivos, para que la militancia tenga certeza de quienes cumplen con los mismos, a fin de formar parte de la nueva integración de la Comisión Coordinadora Nacional, lo que no contiene la Convocatoria al Congreso Nacional, por lo que debe tenerse en cuenta que Alberto </w:t>
      </w:r>
      <w:r w:rsidR="0004616D" w:rsidRPr="00343FBE">
        <w:rPr>
          <w:rFonts w:ascii="Century Gothic" w:eastAsiaTheme="minorHAnsi" w:hAnsi="Century Gothic" w:cstheme="minorBidi"/>
          <w:sz w:val="28"/>
          <w:szCs w:val="28"/>
          <w:lang w:eastAsia="en-US"/>
        </w:rPr>
        <w:lastRenderedPageBreak/>
        <w:t>Anaya Gutiérrez, Alejandro González Yáñez, Rubén Aguilar Jiménez y Ricardo Cantú Garza, se encuentran impedidos para volver a postularse y ser elegidos, lo que recae de la ejecutoria dictada por este Tribunal, al resolver los juicios ciudadanos SUP-JDC-2638/2008 y sus acumulados, en consecuencia, al haber estimado la Sala Superior “</w:t>
      </w:r>
      <w:r w:rsidR="0004616D" w:rsidRPr="00343FBE">
        <w:rPr>
          <w:rFonts w:ascii="Century Gothic" w:eastAsiaTheme="minorHAnsi" w:hAnsi="Century Gothic" w:cstheme="minorBidi"/>
          <w:i/>
          <w:sz w:val="28"/>
          <w:szCs w:val="28"/>
          <w:lang w:eastAsia="en-US"/>
        </w:rPr>
        <w:t>que los militantes Alberto Anaya Gutiérrez, Alejandro González Yáñez, Rubén Aguilar Jiménez y Ricardo Cantú Garza, están impedidos para volver a postularse  y ser elegidos como miembros de la Comisión Coordinadora Nacional, en virtud de que se han perpetuado en la dirigencia y se han reelegido una y otra vez, se deberá ordenar a la autoridad responsable emita a la brevedad, y cuidando que no se vulneren los derechos de índole electoral y asociación del universo de militantes del partido, la convocatoria respectiva con los requisitos mínimos de elegibilidad</w:t>
      </w:r>
      <w:r w:rsidR="0004616D" w:rsidRPr="00343FBE">
        <w:rPr>
          <w:rFonts w:ascii="Century Gothic" w:eastAsiaTheme="minorHAnsi" w:hAnsi="Century Gothic" w:cstheme="minorBidi"/>
          <w:sz w:val="28"/>
          <w:szCs w:val="28"/>
          <w:lang w:eastAsia="en-US"/>
        </w:rPr>
        <w:t xml:space="preserve">”. </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b/>
          <w:sz w:val="28"/>
          <w:szCs w:val="28"/>
          <w:lang w:eastAsia="en-US"/>
        </w:rPr>
        <w:t>Consideraciones de esta Sala Superior</w:t>
      </w:r>
      <w:r w:rsidRPr="00343FBE">
        <w:rPr>
          <w:rFonts w:ascii="Century Gothic" w:eastAsiaTheme="minorHAnsi" w:hAnsi="Century Gothic" w:cstheme="minorBidi"/>
          <w:sz w:val="28"/>
          <w:szCs w:val="28"/>
          <w:lang w:eastAsia="en-US"/>
        </w:rPr>
        <w:t xml:space="preserve">. </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Son in</w:t>
      </w:r>
      <w:r w:rsidR="003A0065" w:rsidRPr="00343FBE">
        <w:rPr>
          <w:rFonts w:ascii="Century Gothic" w:eastAsiaTheme="minorHAnsi" w:hAnsi="Century Gothic" w:cstheme="minorBidi"/>
          <w:sz w:val="28"/>
          <w:szCs w:val="28"/>
          <w:lang w:eastAsia="en-US"/>
        </w:rPr>
        <w:t xml:space="preserve">fundado </w:t>
      </w:r>
      <w:r w:rsidRPr="00343FBE">
        <w:rPr>
          <w:rFonts w:ascii="Century Gothic" w:eastAsiaTheme="minorHAnsi" w:hAnsi="Century Gothic" w:cstheme="minorBidi"/>
          <w:sz w:val="28"/>
          <w:szCs w:val="28"/>
          <w:lang w:eastAsia="en-US"/>
        </w:rPr>
        <w:t>los agravios, porque no es verdad que exista la omisión que se alega.</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 xml:space="preserve">Para mayor claridad, a </w:t>
      </w:r>
      <w:proofErr w:type="gramStart"/>
      <w:r w:rsidRPr="00343FBE">
        <w:rPr>
          <w:rFonts w:ascii="Century Gothic" w:eastAsiaTheme="minorHAnsi" w:hAnsi="Century Gothic" w:cstheme="minorBidi"/>
          <w:sz w:val="28"/>
          <w:szCs w:val="28"/>
          <w:lang w:eastAsia="en-US"/>
        </w:rPr>
        <w:t>continuación</w:t>
      </w:r>
      <w:proofErr w:type="gramEnd"/>
      <w:r w:rsidRPr="00343FBE">
        <w:rPr>
          <w:rFonts w:ascii="Century Gothic" w:eastAsiaTheme="minorHAnsi" w:hAnsi="Century Gothic" w:cstheme="minorBidi"/>
          <w:sz w:val="28"/>
          <w:szCs w:val="28"/>
          <w:lang w:eastAsia="en-US"/>
        </w:rPr>
        <w:t xml:space="preserve"> se reproducirá la convocatoria al citado Congreso Nacional.</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FA4E1F" w:rsidRPr="00343FBE" w:rsidRDefault="00A20C4B" w:rsidP="0004616D">
      <w:pPr>
        <w:spacing w:line="360" w:lineRule="auto"/>
        <w:jc w:val="both"/>
        <w:rPr>
          <w:rFonts w:ascii="Century Gothic" w:eastAsiaTheme="minorHAnsi" w:hAnsi="Century Gothic" w:cstheme="minorBidi"/>
          <w:sz w:val="28"/>
          <w:szCs w:val="28"/>
          <w:lang w:eastAsia="en-US"/>
        </w:rPr>
      </w:pPr>
      <w:r w:rsidRPr="00343FBE">
        <w:rPr>
          <w:noProof/>
        </w:rPr>
        <w:lastRenderedPageBreak/>
        <w:drawing>
          <wp:inline distT="0" distB="0" distL="0" distR="0" wp14:anchorId="04ACA1E0" wp14:editId="793268B0">
            <wp:extent cx="4428877" cy="3871153"/>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2"/>
                    <a:srcRect l="64601" t="7604" r="11167" b="19081"/>
                    <a:stretch/>
                  </pic:blipFill>
                  <pic:spPr bwMode="auto">
                    <a:xfrm>
                      <a:off x="0" y="0"/>
                      <a:ext cx="4433128" cy="3874869"/>
                    </a:xfrm>
                    <a:prstGeom prst="rect">
                      <a:avLst/>
                    </a:prstGeom>
                    <a:ln>
                      <a:noFill/>
                    </a:ln>
                    <a:extLst>
                      <a:ext uri="{53640926-AAD7-44D8-BBD7-CCE9431645EC}">
                        <a14:shadowObscured xmlns:a14="http://schemas.microsoft.com/office/drawing/2010/main"/>
                      </a:ext>
                    </a:extLst>
                  </pic:spPr>
                </pic:pic>
              </a:graphicData>
            </a:graphic>
          </wp:inline>
        </w:drawing>
      </w:r>
    </w:p>
    <w:p w:rsidR="00D93EF7" w:rsidRPr="00343FBE" w:rsidRDefault="00D93EF7"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De lo reproducido se desprende que en dicho Congreso tendrán lugar diversas actividades, entre ellas, la elección de las personas que integrarán diversos órganos nacionales del partido.</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Para tal elección,</w:t>
      </w:r>
      <w:r w:rsidR="001E39C8" w:rsidRPr="00343FBE">
        <w:rPr>
          <w:rFonts w:ascii="Century Gothic" w:eastAsiaTheme="minorHAnsi" w:hAnsi="Century Gothic" w:cstheme="minorBidi"/>
          <w:sz w:val="28"/>
          <w:szCs w:val="28"/>
          <w:lang w:eastAsia="en-US"/>
        </w:rPr>
        <w:t xml:space="preserve"> opuestamente a lo que se arguye, la Comisión Nacional de Elecciones y Procedimientos Internos </w:t>
      </w:r>
      <w:r w:rsidRPr="00343FBE">
        <w:rPr>
          <w:rFonts w:ascii="Century Gothic" w:eastAsiaTheme="minorHAnsi" w:hAnsi="Century Gothic" w:cstheme="minorBidi"/>
          <w:sz w:val="28"/>
          <w:szCs w:val="28"/>
          <w:lang w:eastAsia="en-US"/>
        </w:rPr>
        <w:t>emitió otra convocatoria que fue publicada previamente, esto es, el treinta de mayo de dos mil diecisiete, en el periódico El Sol de México, lo que se acredita con un ejemplar de mismo que se acompañó al informe circunstanciado.</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Enseguida se reproducirá dicha convocatoria.</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FA4E1F" w:rsidP="0004616D">
      <w:pPr>
        <w:spacing w:line="360" w:lineRule="auto"/>
        <w:jc w:val="both"/>
        <w:rPr>
          <w:rFonts w:ascii="Century Gothic" w:eastAsiaTheme="minorHAnsi" w:hAnsi="Century Gothic" w:cstheme="minorBidi"/>
          <w:sz w:val="28"/>
          <w:szCs w:val="28"/>
          <w:lang w:eastAsia="en-US"/>
        </w:rPr>
      </w:pPr>
      <w:r w:rsidRPr="00343FBE">
        <w:rPr>
          <w:noProof/>
        </w:rPr>
        <w:drawing>
          <wp:inline distT="0" distB="0" distL="0" distR="0" wp14:anchorId="609A3180" wp14:editId="1669F57C">
            <wp:extent cx="3753015" cy="65343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137" t="12356" r="56016" b="8193"/>
                    <a:stretch/>
                  </pic:blipFill>
                  <pic:spPr bwMode="auto">
                    <a:xfrm>
                      <a:off x="0" y="0"/>
                      <a:ext cx="3753015" cy="6534331"/>
                    </a:xfrm>
                    <a:prstGeom prst="rect">
                      <a:avLst/>
                    </a:prstGeom>
                    <a:ln>
                      <a:noFill/>
                    </a:ln>
                    <a:extLst>
                      <a:ext uri="{53640926-AAD7-44D8-BBD7-CCE9431645EC}">
                        <a14:shadowObscured xmlns:a14="http://schemas.microsoft.com/office/drawing/2010/main"/>
                      </a:ext>
                    </a:extLst>
                  </pic:spPr>
                </pic:pic>
              </a:graphicData>
            </a:graphic>
          </wp:inline>
        </w:drawing>
      </w:r>
    </w:p>
    <w:p w:rsidR="00FA4E1F" w:rsidRPr="00343FBE" w:rsidRDefault="00FA4E1F" w:rsidP="0004616D">
      <w:pPr>
        <w:spacing w:line="360" w:lineRule="auto"/>
        <w:jc w:val="both"/>
        <w:rPr>
          <w:rFonts w:ascii="Century Gothic" w:eastAsiaTheme="minorHAnsi" w:hAnsi="Century Gothic" w:cstheme="minorBidi"/>
          <w:sz w:val="28"/>
          <w:szCs w:val="28"/>
          <w:lang w:eastAsia="en-US"/>
        </w:rPr>
      </w:pPr>
    </w:p>
    <w:p w:rsidR="00FA4E1F" w:rsidRPr="00343FBE" w:rsidRDefault="00FA4E1F" w:rsidP="0004616D">
      <w:pPr>
        <w:spacing w:line="360" w:lineRule="auto"/>
        <w:jc w:val="both"/>
        <w:rPr>
          <w:rFonts w:ascii="Century Gothic" w:eastAsiaTheme="minorHAnsi" w:hAnsi="Century Gothic" w:cstheme="minorBidi"/>
          <w:sz w:val="32"/>
          <w:szCs w:val="32"/>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 xml:space="preserve">De lo reproducido se desprende que dicha convocatoria establece que las personas interesadas en ser postuladas a algún cargo de dirección nacional, deberán reunir los </w:t>
      </w:r>
      <w:r w:rsidRPr="00343FBE">
        <w:rPr>
          <w:rFonts w:ascii="Century Gothic" w:eastAsiaTheme="minorHAnsi" w:hAnsi="Century Gothic" w:cstheme="minorBidi"/>
          <w:sz w:val="28"/>
          <w:szCs w:val="28"/>
          <w:lang w:eastAsia="en-US"/>
        </w:rPr>
        <w:lastRenderedPageBreak/>
        <w:t xml:space="preserve">requisitos de elegibilidad previstos en los artículos 15 Bis, </w:t>
      </w:r>
      <w:r w:rsidR="00AA073F" w:rsidRPr="00343FBE">
        <w:rPr>
          <w:rFonts w:ascii="Century Gothic" w:eastAsiaTheme="minorHAnsi" w:hAnsi="Century Gothic" w:cstheme="minorBidi"/>
          <w:sz w:val="28"/>
          <w:szCs w:val="28"/>
          <w:lang w:eastAsia="en-US"/>
        </w:rPr>
        <w:t xml:space="preserve">15 Bis 1, </w:t>
      </w:r>
      <w:r w:rsidRPr="00343FBE">
        <w:rPr>
          <w:rFonts w:ascii="Century Gothic" w:eastAsiaTheme="minorHAnsi" w:hAnsi="Century Gothic" w:cstheme="minorBidi"/>
          <w:sz w:val="28"/>
          <w:szCs w:val="28"/>
          <w:lang w:eastAsia="en-US"/>
        </w:rPr>
        <w:t>15 Bis 2, 16, 18 y 1</w:t>
      </w:r>
      <w:r w:rsidR="00AA073F" w:rsidRPr="00343FBE">
        <w:rPr>
          <w:rFonts w:ascii="Century Gothic" w:eastAsiaTheme="minorHAnsi" w:hAnsi="Century Gothic" w:cstheme="minorBidi"/>
          <w:sz w:val="28"/>
          <w:szCs w:val="28"/>
          <w:lang w:eastAsia="en-US"/>
        </w:rPr>
        <w:t>1</w:t>
      </w:r>
      <w:r w:rsidRPr="00343FBE">
        <w:rPr>
          <w:rFonts w:ascii="Century Gothic" w:eastAsiaTheme="minorHAnsi" w:hAnsi="Century Gothic" w:cstheme="minorBidi"/>
          <w:sz w:val="28"/>
          <w:szCs w:val="28"/>
          <w:lang w:eastAsia="en-US"/>
        </w:rPr>
        <w:t>9 de los Estatutos.</w:t>
      </w:r>
    </w:p>
    <w:p w:rsidR="0004616D" w:rsidRPr="00343FBE" w:rsidRDefault="0004616D" w:rsidP="0004616D">
      <w:pPr>
        <w:spacing w:line="360" w:lineRule="auto"/>
        <w:jc w:val="both"/>
        <w:rPr>
          <w:rFonts w:ascii="Century Gothic" w:eastAsiaTheme="minorHAnsi" w:hAnsi="Century Gothic" w:cstheme="minorBidi"/>
          <w:sz w:val="32"/>
          <w:szCs w:val="32"/>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Así el artículo 15 Bis estatuye que serán elegibles para ocupar los distintos cargos de dirección y demás órganos del partido, las personas que, entre otras cosas, sean mayores de edad, militen o estén afiliadas al PT, no tengan antecedentes de corrupción, y estén comprometidos con las luchas sociales y con el desarrollo del partido.</w:t>
      </w:r>
    </w:p>
    <w:p w:rsidR="0004616D" w:rsidRPr="00343FBE" w:rsidRDefault="0004616D" w:rsidP="0004616D">
      <w:pPr>
        <w:spacing w:line="360" w:lineRule="auto"/>
        <w:jc w:val="both"/>
        <w:rPr>
          <w:rFonts w:ascii="Century Gothic" w:eastAsiaTheme="minorHAnsi" w:hAnsi="Century Gothic" w:cstheme="minorBidi"/>
          <w:sz w:val="32"/>
          <w:szCs w:val="32"/>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Por su parte, el artículo 15 Bis 1, determina que no podrán ser reelectas, aquellas personas que, entre otras cosas, hayan realizado actos de corrupción, incumplan los acuerdos tomados en los distintos cargos de dirección y demás órganos del partido, practiquen una línea teórico-ideológica y una línea política diferente a la aprobada por el PT, no presenten, teniendo obligación de hacerlo, la declaración patrimonial, practiquen el nepotismo, hagan uso inadecuado del patrimonio del partido, entre otros.</w:t>
      </w:r>
    </w:p>
    <w:p w:rsidR="0004616D" w:rsidRPr="00343FBE" w:rsidRDefault="0004616D" w:rsidP="0004616D">
      <w:pPr>
        <w:spacing w:line="360" w:lineRule="auto"/>
        <w:jc w:val="both"/>
        <w:rPr>
          <w:rFonts w:ascii="Century Gothic" w:eastAsiaTheme="minorHAnsi" w:hAnsi="Century Gothic" w:cstheme="minorBidi"/>
          <w:sz w:val="32"/>
          <w:szCs w:val="32"/>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En este orden de ideas, si la convocatoria establece que quien tenga interés en ocupar un cargo de dirección partido deberá reunir los requisitos previstos en dichos preceptos estatutarios, los cuales prevén los requisitos de elegibilidad (positivos y negativos), es claro que los está determinando.</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Asimismo, una convocatoria no particulariza, es decir, no indica los nombres de las personas que son inelegibles, únicamente establece las bases para participar en la contienda, y con base en ello, en su oportunidad, el órgano decisor determina quienes son o no elegibles, por lo que no es posible que dicha convocatoria determinara de antemano las personas que son inelegibles.</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1B10C2" w:rsidRPr="00343FBE" w:rsidRDefault="001B10C2"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Aunado a lo anterior, es importante precisar que</w:t>
      </w:r>
      <w:r w:rsidR="005E752A" w:rsidRPr="00343FBE">
        <w:rPr>
          <w:rFonts w:ascii="Century Gothic" w:eastAsiaTheme="minorHAnsi" w:hAnsi="Century Gothic" w:cstheme="minorBidi"/>
          <w:sz w:val="28"/>
          <w:szCs w:val="28"/>
          <w:lang w:eastAsia="en-US"/>
        </w:rPr>
        <w:t>,</w:t>
      </w:r>
      <w:r w:rsidRPr="00343FBE">
        <w:rPr>
          <w:rFonts w:ascii="Century Gothic" w:eastAsiaTheme="minorHAnsi" w:hAnsi="Century Gothic" w:cstheme="minorBidi"/>
          <w:sz w:val="28"/>
          <w:szCs w:val="28"/>
          <w:lang w:eastAsia="en-US"/>
        </w:rPr>
        <w:t xml:space="preserve"> en opos</w:t>
      </w:r>
      <w:r w:rsidR="00F74A58" w:rsidRPr="00343FBE">
        <w:rPr>
          <w:rFonts w:ascii="Century Gothic" w:eastAsiaTheme="minorHAnsi" w:hAnsi="Century Gothic" w:cstheme="minorBidi"/>
          <w:sz w:val="28"/>
          <w:szCs w:val="28"/>
          <w:lang w:eastAsia="en-US"/>
        </w:rPr>
        <w:t>ición</w:t>
      </w:r>
      <w:r w:rsidR="00A631BC" w:rsidRPr="00343FBE">
        <w:rPr>
          <w:rFonts w:ascii="Century Gothic" w:eastAsiaTheme="minorHAnsi" w:hAnsi="Century Gothic" w:cstheme="minorBidi"/>
          <w:sz w:val="28"/>
          <w:szCs w:val="28"/>
          <w:lang w:eastAsia="en-US"/>
        </w:rPr>
        <w:t>,</w:t>
      </w:r>
      <w:r w:rsidR="00F74A58" w:rsidRPr="00343FBE">
        <w:rPr>
          <w:rFonts w:ascii="Century Gothic" w:eastAsiaTheme="minorHAnsi" w:hAnsi="Century Gothic" w:cstheme="minorBidi"/>
          <w:sz w:val="28"/>
          <w:szCs w:val="28"/>
          <w:lang w:eastAsia="en-US"/>
        </w:rPr>
        <w:t xml:space="preserve"> a lo aducido por </w:t>
      </w:r>
      <w:r w:rsidR="009A7138" w:rsidRPr="00343FBE">
        <w:rPr>
          <w:rFonts w:ascii="Century Gothic" w:eastAsiaTheme="minorHAnsi" w:hAnsi="Century Gothic" w:cstheme="minorBidi"/>
          <w:sz w:val="28"/>
          <w:szCs w:val="28"/>
          <w:lang w:eastAsia="en-US"/>
        </w:rPr>
        <w:t>Florencio Torres Romero</w:t>
      </w:r>
      <w:r w:rsidR="00F74A58" w:rsidRPr="00343FBE">
        <w:rPr>
          <w:rFonts w:ascii="Century Gothic" w:eastAsiaTheme="minorHAnsi" w:hAnsi="Century Gothic" w:cstheme="minorBidi"/>
          <w:sz w:val="28"/>
          <w:szCs w:val="28"/>
          <w:lang w:eastAsia="en-US"/>
        </w:rPr>
        <w:t xml:space="preserve">, la Comisión Nacional de Elecciones y Procedimientos Internos </w:t>
      </w:r>
      <w:r w:rsidR="005E752A" w:rsidRPr="00343FBE">
        <w:rPr>
          <w:rFonts w:ascii="Century Gothic" w:eastAsiaTheme="minorHAnsi" w:hAnsi="Century Gothic" w:cstheme="minorBidi"/>
          <w:sz w:val="28"/>
          <w:szCs w:val="28"/>
          <w:lang w:eastAsia="en-US"/>
        </w:rPr>
        <w:t>se instaló el doce de mayo de dos mil diecisiete</w:t>
      </w:r>
      <w:r w:rsidR="008C3AA2" w:rsidRPr="00343FBE">
        <w:rPr>
          <w:rFonts w:ascii="Century Gothic" w:eastAsiaTheme="minorHAnsi" w:hAnsi="Century Gothic" w:cstheme="minorBidi"/>
          <w:sz w:val="28"/>
          <w:szCs w:val="28"/>
          <w:lang w:eastAsia="en-US"/>
        </w:rPr>
        <w:t xml:space="preserve">, en términos de la copia certificada del Acta de Instalación respectiva y de la cual se advierte </w:t>
      </w:r>
      <w:r w:rsidR="009D1BAC" w:rsidRPr="00343FBE">
        <w:rPr>
          <w:rFonts w:ascii="Century Gothic" w:eastAsiaTheme="minorHAnsi" w:hAnsi="Century Gothic" w:cstheme="minorBidi"/>
          <w:sz w:val="28"/>
          <w:szCs w:val="28"/>
          <w:lang w:eastAsia="en-US"/>
        </w:rPr>
        <w:t>que se instaló y nombró tanto un consejo directivo, un coordinador y un secretario técnico.</w:t>
      </w:r>
    </w:p>
    <w:p w:rsidR="00217F1F" w:rsidRPr="00343FBE" w:rsidRDefault="00217F1F" w:rsidP="0004616D">
      <w:pPr>
        <w:spacing w:line="360" w:lineRule="auto"/>
        <w:jc w:val="both"/>
        <w:rPr>
          <w:rFonts w:ascii="Century Gothic" w:eastAsiaTheme="minorHAnsi" w:hAnsi="Century Gothic" w:cstheme="minorBidi"/>
          <w:sz w:val="28"/>
          <w:szCs w:val="28"/>
          <w:lang w:eastAsia="en-US"/>
        </w:rPr>
      </w:pPr>
    </w:p>
    <w:p w:rsidR="00217F1F" w:rsidRPr="00343FBE" w:rsidRDefault="00255500"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Esto es, la instalación de la Comisión Nacional de Elecciones y Procedimientos I</w:t>
      </w:r>
      <w:r w:rsidR="009A7138" w:rsidRPr="00343FBE">
        <w:rPr>
          <w:rFonts w:ascii="Century Gothic" w:eastAsiaTheme="minorHAnsi" w:hAnsi="Century Gothic" w:cstheme="minorBidi"/>
          <w:sz w:val="28"/>
          <w:szCs w:val="28"/>
          <w:lang w:eastAsia="en-US"/>
        </w:rPr>
        <w:t xml:space="preserve">nternos se hizo </w:t>
      </w:r>
      <w:r w:rsidR="00EB2771" w:rsidRPr="00343FBE">
        <w:rPr>
          <w:rFonts w:ascii="Century Gothic" w:eastAsiaTheme="minorHAnsi" w:hAnsi="Century Gothic" w:cstheme="minorBidi"/>
          <w:sz w:val="28"/>
          <w:szCs w:val="28"/>
          <w:lang w:eastAsia="en-US"/>
        </w:rPr>
        <w:t>en términos del artículo 50 Bis</w:t>
      </w:r>
      <w:r w:rsidR="004E2FFA" w:rsidRPr="00343FBE">
        <w:rPr>
          <w:rFonts w:ascii="Century Gothic" w:eastAsiaTheme="minorHAnsi" w:hAnsi="Century Gothic" w:cstheme="minorBidi"/>
          <w:sz w:val="28"/>
          <w:szCs w:val="28"/>
          <w:lang w:eastAsia="en-US"/>
        </w:rPr>
        <w:t xml:space="preserve"> 1</w:t>
      </w:r>
      <w:r w:rsidR="00EB2771" w:rsidRPr="00343FBE">
        <w:rPr>
          <w:rFonts w:ascii="Century Gothic" w:eastAsiaTheme="minorHAnsi" w:hAnsi="Century Gothic" w:cstheme="minorBidi"/>
          <w:sz w:val="28"/>
          <w:szCs w:val="28"/>
          <w:lang w:eastAsia="en-US"/>
        </w:rPr>
        <w:t xml:space="preserve">, párrafo séptimo, de los Estatutos, en el cual se prevé que </w:t>
      </w:r>
      <w:r w:rsidR="00DF728D" w:rsidRPr="00343FBE">
        <w:rPr>
          <w:rFonts w:ascii="Century Gothic" w:eastAsiaTheme="minorHAnsi" w:hAnsi="Century Gothic" w:cstheme="minorBidi"/>
          <w:sz w:val="28"/>
          <w:szCs w:val="28"/>
          <w:lang w:eastAsia="en-US"/>
        </w:rPr>
        <w:t>aquella se instalará una vez que la Comisión Ejecutiva haya acordado convocar al Congreso para renovar, elegir, reelegir o sus</w:t>
      </w:r>
      <w:r w:rsidR="00C2017D" w:rsidRPr="00343FBE">
        <w:rPr>
          <w:rFonts w:ascii="Century Gothic" w:eastAsiaTheme="minorHAnsi" w:hAnsi="Century Gothic" w:cstheme="minorBidi"/>
          <w:sz w:val="28"/>
          <w:szCs w:val="28"/>
          <w:lang w:eastAsia="en-US"/>
        </w:rPr>
        <w:t xml:space="preserve">tituir </w:t>
      </w:r>
      <w:r w:rsidR="00B03A03" w:rsidRPr="00343FBE">
        <w:rPr>
          <w:rFonts w:ascii="Century Gothic" w:eastAsiaTheme="minorHAnsi" w:hAnsi="Century Gothic" w:cstheme="minorBidi"/>
          <w:sz w:val="28"/>
          <w:szCs w:val="28"/>
          <w:lang w:eastAsia="en-US"/>
        </w:rPr>
        <w:t>parcial o totalmente a los órganos nacionales del Partido</w:t>
      </w:r>
      <w:r w:rsidR="00BD5EFE" w:rsidRPr="00343FBE">
        <w:rPr>
          <w:rFonts w:ascii="Century Gothic" w:eastAsiaTheme="minorHAnsi" w:hAnsi="Century Gothic" w:cstheme="minorBidi"/>
          <w:sz w:val="28"/>
          <w:szCs w:val="28"/>
          <w:lang w:eastAsia="en-US"/>
        </w:rPr>
        <w:t>, lo cual ocurrió el veintidós de febrero del año en curso</w:t>
      </w:r>
      <w:r w:rsidR="00B03A03" w:rsidRPr="00343FBE">
        <w:rPr>
          <w:rFonts w:ascii="Century Gothic" w:eastAsiaTheme="minorHAnsi" w:hAnsi="Century Gothic" w:cstheme="minorBidi"/>
          <w:sz w:val="28"/>
          <w:szCs w:val="28"/>
          <w:lang w:eastAsia="en-US"/>
        </w:rPr>
        <w:t>.</w:t>
      </w:r>
    </w:p>
    <w:p w:rsidR="001B10C2" w:rsidRPr="00343FBE" w:rsidRDefault="001B10C2"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lastRenderedPageBreak/>
        <w:t>Además, es inexacto que en la ejecutoria que dictó este Tribunal, al resolver el juicio ciudadano SUP-JDC-2638/2008, se haya determinado que los ciudadanos a que se refiere el actor, se encuentra impedidos para postularse y ser elegidos.</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En efecto, en dicha sentencia, en los conducente, se estableció que:</w:t>
      </w:r>
    </w:p>
    <w:p w:rsidR="0004616D" w:rsidRPr="00343FBE" w:rsidRDefault="0004616D" w:rsidP="0004616D">
      <w:pPr>
        <w:ind w:left="567" w:right="567"/>
        <w:jc w:val="both"/>
        <w:rPr>
          <w:rFonts w:ascii="Century Gothic" w:eastAsiaTheme="minorHAnsi" w:hAnsi="Century Gothic" w:cstheme="minorBidi"/>
          <w:i/>
          <w:sz w:val="24"/>
          <w:szCs w:val="24"/>
          <w:lang w:eastAsia="en-US"/>
        </w:rPr>
      </w:pP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OCTAVO. Efectos de la sentencia</w:t>
      </w:r>
    </w:p>
    <w:p w:rsidR="0004616D" w:rsidRPr="00343FBE" w:rsidRDefault="0004616D" w:rsidP="0004616D">
      <w:pPr>
        <w:ind w:left="567" w:right="567"/>
        <w:jc w:val="both"/>
        <w:rPr>
          <w:rFonts w:ascii="Century Gothic" w:eastAsiaTheme="minorHAnsi" w:hAnsi="Century Gothic" w:cstheme="minorBidi"/>
          <w:i/>
          <w:sz w:val="24"/>
          <w:szCs w:val="24"/>
          <w:lang w:eastAsia="en-US"/>
        </w:rPr>
      </w:pP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Al resultar sustancialmente fundados los agravios relacionados con la inconstitucionalidad de los Estatutos del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xml:space="preserve"> en los aspectos materia del presente juicio, y toda vez que dichos estatutos dieron sustento normativo tanto al Séptimo Congreso Nacional Ordinario del referido partido político, realizado el veintiséis y veintisiete de julio de dos mil ocho en la Ciudad de México, Distrito Federal, así como a los acuerdos y resolutivos tomados en el mismo, incluidas la elección de dirigentes nacionales y las modificaciones a sus documentos básicos, esta Sala Superior estima procedente decretar su revocación.</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No es óbice a lo anterior que el veintinueve de septiembre de dos mil ocho se hubiese emitido el Acuerdo CG409/2008 relativo a la “RESOLUCION DEL CONSEJO GENERAL DEL INSTITUTO FEDERAL ELECTORAL SOBRE LA PROCEDENCIA CONSTITUCIONAL Y LEGAL DE LAS MODIFICACIONES A LOS DOCUMENTOS BASICOS DEL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xml:space="preserve">” (publicado en el Diario Oficial de la Federación de diecisiete de octubre de ese mismo año), pues tal y como se argumentó al justificar la procedencia del presente medio de impugnación, las cuestiones sobre constitucionalidad de estatutos aquí abordadas no pudieron ser objeto de estudio y resolución por parte de la citada autoridad administrativa electoral, quien únicamente se limitó a analizar los acuerdos y resolutivos adoptados en el multicitado Séptimo Congreso Nacional Ordinario del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Ante ello, si los acuerdos y resolutivos partidarios aprobados por la autoridad administrativa electoral se encontraban viciados por derivar de la aplicación de estatutos inconstitucionales (tal y como se acreditó en el </w:t>
      </w:r>
      <w:r w:rsidRPr="00343FBE">
        <w:rPr>
          <w:rFonts w:ascii="Century Gothic" w:eastAsiaTheme="minorHAnsi" w:hAnsi="Century Gothic" w:cstheme="minorBidi"/>
          <w:i/>
          <w:sz w:val="24"/>
          <w:szCs w:val="24"/>
          <w:lang w:eastAsia="en-US"/>
        </w:rPr>
        <w:lastRenderedPageBreak/>
        <w:t xml:space="preserve">considerando séptimo de esta sentencia), es inconcuso que, como consecuencia de la presente ejecutoria, tanto la resolución emitida por dicha autoridad como los acuerdos y resolutivos del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xml:space="preserve"> que fueron materia de tal proveído queden sin efectos.         </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Al respecto, el Consejo General del Instituto Federal Electoral deberá tomar las medidas que estime pertinentes y realizar los avisos necesarios a que en derecho hubiere lugar.</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Asimismo, en virtud de que durante el año dos mil diez tendrán verificativo más de diez elecciones constitucionales locales en las que se renovarán, según cada caso, gobernador, diputados estatales e integrantes de ayuntamientos, y con el fin de preservar los principios de igualdad en la contienda, certeza y seguridad jurídica, esta Sala Superior determina que los plazos para la realización de los actos que se ordenan a continuación (ajustes normativos y elección de nuevos dirigentes nacionales por parte del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xml:space="preserve">), empezarán a computarse a partir del quince de julio de dos mil diez, fecha en que se habrá celebrado la casi totalidad de las aludidas jornadas electorales estatales.  </w:t>
      </w:r>
    </w:p>
    <w:p w:rsidR="0004616D" w:rsidRPr="00343FBE" w:rsidRDefault="0004616D" w:rsidP="0004616D">
      <w:pPr>
        <w:ind w:left="567" w:right="567"/>
        <w:jc w:val="both"/>
        <w:rPr>
          <w:rFonts w:ascii="Century Gothic" w:eastAsiaTheme="minorHAnsi" w:hAnsi="Century Gothic" w:cstheme="minorBidi"/>
          <w:i/>
          <w:sz w:val="24"/>
          <w:szCs w:val="24"/>
          <w:lang w:eastAsia="en-US"/>
        </w:rPr>
      </w:pP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Como consecuencia de lo anterior, este órgano jurisdiccional federal determina que el citado partido político, dentro del plazo de sesenta días naturales contados a partir del quince de julio de dos mil diez, deberá modificar sus estatutos para que sean acordes con los puntos señalados en esta ejecutoria y, hecho lo anterior, los presente ante el Consejo General del Instituto Federal Electoral para su aprobación.</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Sobre el particular, dicho Consejo General del Instituto Federal Electoral deberá dictar la resolución sobre la procedencia constitucional y legal de tales modificaciones en un plazo que no exceda de treinta días naturales contados a partir de la presentación de la documentación correspondiente, en términos de lo establecido en el artículo 38, inciso l), del Código Federal de Instituciones y Procedimientos Electorales.</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Para la realización de todos los actos tendentes a concretar la modificación estatutaria ordenada, 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xml:space="preserve"> deberá aplicar los estatutos vigentes hasta antes del Séptimo Congreso Nacional Ordinario. </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Asimismo, a efecto de subsanar las insuficiencias normativas objeto de estudio, los aspectos que 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xml:space="preserve"> debe modificar en sus estatutos, en los términos que estime </w:t>
      </w:r>
      <w:r w:rsidRPr="00343FBE">
        <w:rPr>
          <w:rFonts w:ascii="Century Gothic" w:eastAsiaTheme="minorHAnsi" w:hAnsi="Century Gothic" w:cstheme="minorBidi"/>
          <w:i/>
          <w:sz w:val="24"/>
          <w:szCs w:val="24"/>
          <w:lang w:eastAsia="en-US"/>
        </w:rPr>
        <w:lastRenderedPageBreak/>
        <w:t xml:space="preserve">pertinentes conforme a su libertad de decisión política y derecho a la </w:t>
      </w:r>
      <w:proofErr w:type="spellStart"/>
      <w:r w:rsidRPr="00343FBE">
        <w:rPr>
          <w:rFonts w:ascii="Century Gothic" w:eastAsiaTheme="minorHAnsi" w:hAnsi="Century Gothic" w:cstheme="minorBidi"/>
          <w:i/>
          <w:sz w:val="24"/>
          <w:szCs w:val="24"/>
          <w:lang w:eastAsia="en-US"/>
        </w:rPr>
        <w:t>autoorganización</w:t>
      </w:r>
      <w:proofErr w:type="spellEnd"/>
      <w:r w:rsidRPr="00343FBE">
        <w:rPr>
          <w:rFonts w:ascii="Century Gothic" w:eastAsiaTheme="minorHAnsi" w:hAnsi="Century Gothic" w:cstheme="minorBidi"/>
          <w:i/>
          <w:sz w:val="24"/>
          <w:szCs w:val="24"/>
          <w:lang w:eastAsia="en-US"/>
        </w:rPr>
        <w:t xml:space="preserve">, son los siguientes: </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1) Establecer el o los mecanismos y procedimientos que considere pertinentes para llevar a cabo la elección de sus dirigentes en todos sus niveles, cuidando garantizar, tanto en el ejercicio del voto activo como pasivo de los militantes, la igualdad, certeza, imparcialidad y renovación efectiva de los integrantes de dichos órganos de dirección;</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2) Prever un órgano independiente e imparcial, encargado de conducir los indicados procesos internos de elección de dirigentes;</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3) Regular la reelección, evitando incurrir en prácticas de ejercicio indefinido o vitalicio en los cargos de dirección;</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4) Prever casos de incompatibilidad;</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5) Toda vez que se ha considerado inconstitucional, suprimir el voto por aclamación previsto en el artículo 29, inciso f), de los estatutos de mérito, y, en caso de establecer el voto indirecto y abierto, prever las medidas que estime pertinentes a fin de garantizar el valor de la libertad en la emisión del sufragio;</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6) Establecer órganos de impartición de justicia distintos a las instancias de dirección, de índole jurisdiccional y no política y, sobre todo, que garanticen suficientemente su autonomía, independencia e imparcialidad;    </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7) Regular los medios de defensa </w:t>
      </w:r>
      <w:proofErr w:type="spellStart"/>
      <w:r w:rsidRPr="00343FBE">
        <w:rPr>
          <w:rFonts w:ascii="Century Gothic" w:eastAsiaTheme="minorHAnsi" w:hAnsi="Century Gothic" w:cstheme="minorBidi"/>
          <w:i/>
          <w:sz w:val="24"/>
          <w:szCs w:val="24"/>
          <w:lang w:eastAsia="en-US"/>
        </w:rPr>
        <w:t>intrapartidarios</w:t>
      </w:r>
      <w:proofErr w:type="spellEnd"/>
      <w:r w:rsidRPr="00343FBE">
        <w:rPr>
          <w:rFonts w:ascii="Century Gothic" w:eastAsiaTheme="minorHAnsi" w:hAnsi="Century Gothic" w:cstheme="minorBidi"/>
          <w:i/>
          <w:sz w:val="24"/>
          <w:szCs w:val="24"/>
          <w:lang w:eastAsia="en-US"/>
        </w:rPr>
        <w:t xml:space="preserve"> en forma expresa, clara y precisa, estableciendo, respecto de cada uno de ellos, verbigracia: procedencia; requisitos de demanda; condiciones de </w:t>
      </w:r>
      <w:proofErr w:type="spellStart"/>
      <w:r w:rsidRPr="00343FBE">
        <w:rPr>
          <w:rFonts w:ascii="Century Gothic" w:eastAsiaTheme="minorHAnsi" w:hAnsi="Century Gothic" w:cstheme="minorBidi"/>
          <w:i/>
          <w:sz w:val="24"/>
          <w:szCs w:val="24"/>
          <w:lang w:eastAsia="en-US"/>
        </w:rPr>
        <w:t>procedibilidad</w:t>
      </w:r>
      <w:proofErr w:type="spellEnd"/>
      <w:r w:rsidRPr="00343FBE">
        <w:rPr>
          <w:rFonts w:ascii="Century Gothic" w:eastAsiaTheme="minorHAnsi" w:hAnsi="Century Gothic" w:cstheme="minorBidi"/>
          <w:i/>
          <w:sz w:val="24"/>
          <w:szCs w:val="24"/>
          <w:lang w:eastAsia="en-US"/>
        </w:rPr>
        <w:t xml:space="preserve">; órganos competentes; reglas de tramitación; sustanciación; plazos; notificaciones y condiciones de emisión de resoluciones y sus efectos; </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8) Establecer procedimientos claros y breves para la imposición de sanciones en que se respete el derecho de defensa y de aportar pruebas, de los supuestos infractores, y</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9) Establecer causales expresas para la imposición de sanciones.</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Hecho lo anterior, dentro del plazo de noventa días naturales siguientes a que quede firme la resolución del Consejo General del Instituto Federal Electoral en que autorice, en su caso, las modificaciones ordenadas, 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xml:space="preserve"> deberá elegir, con base en los estatutos aprobados, a los integrantes de sus órganos de dirección nacional. </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Sobre el particular, se revoca el registro vigente de los integrantes de los órganos de dirección nacional del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xml:space="preserve">. </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Al efecto, tales órganos quedarán integrados conforme lo estaban (con las mismas personas) antes de la celebración </w:t>
      </w:r>
      <w:r w:rsidRPr="00343FBE">
        <w:rPr>
          <w:rFonts w:ascii="Century Gothic" w:eastAsiaTheme="minorHAnsi" w:hAnsi="Century Gothic" w:cstheme="minorBidi"/>
          <w:i/>
          <w:sz w:val="24"/>
          <w:szCs w:val="24"/>
          <w:lang w:eastAsia="en-US"/>
        </w:rPr>
        <w:lastRenderedPageBreak/>
        <w:t xml:space="preserve">del Séptimo Congreso Nacional Ordinario, hasta que el Instituto Federal Electoral registre a los nuevos dirigentes electos sobre la base de los estatutos modificados y aprobados por el Consejo General de dicho Instituto, lo que deberá ocurrir, a más tardar, al finalizar el indicado plazo de noventa días naturales.  </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Esto es, observando los plazos antes indicados:</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i) Respecto al marco normativo, 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xml:space="preserve"> deberá regir sus actos conforme a los documentos básicos (estatutos) vigentes antes del Séptimo Congreso Nacional Ordinario, hasta en tanto sean aprobadas por el Consejo General del Instituto Federal Electoral, y queden firmes, las modificaciones estatutarias aquí ordenadas, y</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ii) En relación con los órganos de dirección nacional, deben quedar integrados conforme lo estaban antes de la celebración del Séptimo Congreso Nacional Ordinario, permaneciendo así hasta en tanto sean registrados por la mencionada autoridad administrativa electoral federal los nuevos dirigentes electos conforme a las modificaciones estatutarias ordenadas y, en su caso, aprobadas y firmes, por parte del Instituto Electoral Federal. </w:t>
      </w:r>
    </w:p>
    <w:p w:rsidR="0004616D" w:rsidRPr="00343FBE" w:rsidRDefault="0004616D" w:rsidP="0004616D">
      <w:pPr>
        <w:ind w:left="567" w:right="567"/>
        <w:jc w:val="both"/>
        <w:rPr>
          <w:rFonts w:ascii="Century Gothic" w:eastAsiaTheme="minorHAnsi" w:hAnsi="Century Gothic" w:cstheme="minorBidi"/>
          <w:i/>
          <w:sz w:val="24"/>
          <w:szCs w:val="24"/>
          <w:lang w:eastAsia="en-US"/>
        </w:rPr>
      </w:pP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La Comisión Coordinadora Nacional del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xml:space="preserve"> y el Consejo General del Instituto Federal Electoral quedan vinculados a la presente ejecutoria y deberán informar a esta Sala Superior sobre el cumplimiento de la misma, en la medida en que se realicen los actos previstos en los párrafos precedentes.</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Por lo expuesto y fundado se</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R E S U E L V E</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PRIMERO. Se decreta la acumulación del expediente del juicio para la protección de los derechos político-electorales del ciudadano SUP-JDC-2639/2008 al expediente SUP-JDC-2638/2008. Al efecto, glósese copia certificada de los puntos resolutivos de esta sentencia en el expediente del juicio acumulado.</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SEGUNDO. </w:t>
      </w:r>
      <w:proofErr w:type="spellStart"/>
      <w:r w:rsidRPr="00343FBE">
        <w:rPr>
          <w:rFonts w:ascii="Century Gothic" w:eastAsiaTheme="minorHAnsi" w:hAnsi="Century Gothic" w:cstheme="minorBidi"/>
          <w:i/>
          <w:sz w:val="24"/>
          <w:szCs w:val="24"/>
          <w:lang w:eastAsia="en-US"/>
        </w:rPr>
        <w:t>Unica</w:t>
      </w:r>
      <w:proofErr w:type="spellEnd"/>
      <w:r w:rsidRPr="00343FBE">
        <w:rPr>
          <w:rFonts w:ascii="Century Gothic" w:eastAsiaTheme="minorHAnsi" w:hAnsi="Century Gothic" w:cstheme="minorBidi"/>
          <w:i/>
          <w:sz w:val="24"/>
          <w:szCs w:val="24"/>
          <w:lang w:eastAsia="en-US"/>
        </w:rPr>
        <w:t xml:space="preserve"> y exclusivamente por lo que hace a Carolina Araceli Sánchez Esparza, en términos de lo expuesto en el considerando cuarto de la presente sentencia, se sobresee el juicio para la protección de los derechos político-electorales del ciudadano identificado con el número de expediente SUP-JDC-2639/2008.</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TERCERO. Se revocan, tanto el Séptimo Congreso Nacional Ordinario del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xml:space="preserve"> celebrado el veintiséis y veintisiete de julio de dos mil ocho en la Ciudad de México, Distrito Federal, como todos y cada uno de los actos relacionados, </w:t>
      </w:r>
      <w:r w:rsidRPr="00343FBE">
        <w:rPr>
          <w:rFonts w:ascii="Century Gothic" w:eastAsiaTheme="minorHAnsi" w:hAnsi="Century Gothic" w:cstheme="minorBidi"/>
          <w:i/>
          <w:sz w:val="24"/>
          <w:szCs w:val="24"/>
          <w:lang w:eastAsia="en-US"/>
        </w:rPr>
        <w:lastRenderedPageBreak/>
        <w:t>incluidos la convocatoria, los acuerdos y resolutivos adoptados en el mismo.</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CUARTO. En términos de lo señalado en los considerandos séptimo y octavo de esta sentencia, en las partes materia de análisis, se declaran inconstitucionales los Estatutos del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xml:space="preserve">. </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QUINTO. Se ordena al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xml:space="preserve"> que, conforme a los lineamientos expuestos en esta ejecutoria y en plena observancia a su libertad de decisión política y derecho a la </w:t>
      </w:r>
      <w:proofErr w:type="spellStart"/>
      <w:r w:rsidRPr="00343FBE">
        <w:rPr>
          <w:rFonts w:ascii="Century Gothic" w:eastAsiaTheme="minorHAnsi" w:hAnsi="Century Gothic" w:cstheme="minorBidi"/>
          <w:i/>
          <w:sz w:val="24"/>
          <w:szCs w:val="24"/>
          <w:lang w:eastAsia="en-US"/>
        </w:rPr>
        <w:t>autoorganización</w:t>
      </w:r>
      <w:proofErr w:type="spellEnd"/>
      <w:r w:rsidRPr="00343FBE">
        <w:rPr>
          <w:rFonts w:ascii="Century Gothic" w:eastAsiaTheme="minorHAnsi" w:hAnsi="Century Gothic" w:cstheme="minorBidi"/>
          <w:i/>
          <w:sz w:val="24"/>
          <w:szCs w:val="24"/>
          <w:lang w:eastAsia="en-US"/>
        </w:rPr>
        <w:t>, dentro del plazo de sesenta días naturales contados a partir del quince de julio de dos mil diez, modifique sus estatutos, y, hecho lo anterior, los presente ante el Consejo General del Instituto Federal Electoral para su aprobación.</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Dicho Consejo General deberá dictar la resolución sobre la procedencia constitucional y legal de tales modificaciones en un plazo que no exceda de treinta días naturales contados a partir de la presentación de la documentación correspondiente, en términos de lo establecido en el artículo 38, inciso l), del Código Federal de Instituciones y Procedimientos Electorales.</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SEXTO. Una vez que el Consejo General del Instituto Federal Electoral apruebe las modificaciones ordenadas, dentro del plazo de noventa días naturales siguientes a que quede firme dicha resolución y con base en los estatutos aprobados, 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xml:space="preserve"> deberá elegir a los integrantes de sus órganos de dirección nacional.</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SEPTIMO. Se revoca el registro vigente de los integrantes de los órganos de dirección nacional del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al efecto, tales órganos quedarán integrados conforme lo estaban antes de la celebración del Séptimo Congreso Nacional Ordinario, hasta que el Instituto Federal Electoral registre a los nuevos dirigentes electos sobre la base de los estatutos modificados y aprobados por el Consejo General de dicho Instituto, lo que deberá ocurrir, a más tardar, al finalizar el plazo indicado en el resolutivo anterior.</w:t>
      </w:r>
    </w:p>
    <w:p w:rsidR="0004616D" w:rsidRPr="00343FBE" w:rsidRDefault="0004616D" w:rsidP="0004616D">
      <w:pPr>
        <w:ind w:left="567" w:right="567"/>
        <w:jc w:val="both"/>
        <w:rPr>
          <w:rFonts w:ascii="Century Gothic" w:eastAsiaTheme="minorHAnsi" w:hAnsi="Century Gothic" w:cstheme="minorBidi"/>
          <w:i/>
          <w:sz w:val="24"/>
          <w:szCs w:val="24"/>
          <w:lang w:eastAsia="en-US"/>
        </w:rPr>
      </w:pPr>
      <w:r w:rsidRPr="00343FBE">
        <w:rPr>
          <w:rFonts w:ascii="Century Gothic" w:eastAsiaTheme="minorHAnsi" w:hAnsi="Century Gothic" w:cstheme="minorBidi"/>
          <w:i/>
          <w:sz w:val="24"/>
          <w:szCs w:val="24"/>
          <w:lang w:eastAsia="en-US"/>
        </w:rPr>
        <w:t xml:space="preserve">OCTAVO. Tanto el </w:t>
      </w:r>
      <w:r w:rsidR="00A8764A" w:rsidRPr="00343FBE">
        <w:rPr>
          <w:rFonts w:ascii="Century Gothic" w:eastAsiaTheme="minorHAnsi" w:hAnsi="Century Gothic" w:cstheme="minorBidi"/>
          <w:i/>
          <w:sz w:val="24"/>
          <w:szCs w:val="24"/>
          <w:lang w:eastAsia="en-US"/>
        </w:rPr>
        <w:t>PT</w:t>
      </w:r>
      <w:r w:rsidRPr="00343FBE">
        <w:rPr>
          <w:rFonts w:ascii="Century Gothic" w:eastAsiaTheme="minorHAnsi" w:hAnsi="Century Gothic" w:cstheme="minorBidi"/>
          <w:i/>
          <w:sz w:val="24"/>
          <w:szCs w:val="24"/>
          <w:lang w:eastAsia="en-US"/>
        </w:rPr>
        <w:t>, a través de su Comisión Coordinadora Nacional, como el Consejo General del Instituto Federal Electoral, quedan vinculados a la presente ejecutoria y deberán informar a esta Sala Superior sobre el cumplimiento de la misma en la medida en que se realicen los actos previstos en los resolutivos precedentes.</w:t>
      </w:r>
    </w:p>
    <w:p w:rsidR="0004616D" w:rsidRPr="002E49D8" w:rsidRDefault="0004616D" w:rsidP="0004616D">
      <w:pPr>
        <w:spacing w:line="360" w:lineRule="auto"/>
        <w:jc w:val="both"/>
        <w:rPr>
          <w:rFonts w:ascii="Century Gothic" w:eastAsiaTheme="minorHAnsi" w:hAnsi="Century Gothic" w:cstheme="minorBidi"/>
          <w:sz w:val="24"/>
          <w:szCs w:val="24"/>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 xml:space="preserve">De lo reproducido no se advierte que en dicha resolución, se haya determinado que las personas que cita el actor, </w:t>
      </w:r>
      <w:r w:rsidRPr="00343FBE">
        <w:rPr>
          <w:rFonts w:ascii="Century Gothic" w:eastAsiaTheme="minorHAnsi" w:hAnsi="Century Gothic" w:cstheme="minorBidi"/>
          <w:sz w:val="28"/>
          <w:szCs w:val="28"/>
          <w:lang w:eastAsia="en-US"/>
        </w:rPr>
        <w:lastRenderedPageBreak/>
        <w:t>no pueden postularse ni ser elegidas a un cargo directivo del PT, y si bien se hizo alusión a ellas en la sentencia, sólo fue para poner de relieve que entonces la normativa del partido no regulaba la reelección, pero no se determinó que estuvieran impedidas para postularse y ser elegidos para ocupar un cargo partidista, sin que esta resolución prejuzgue si actualmente lo están o no, porque no es posible pronunciarse al respecto, dado que su postulación y, en su caso, elección, es un acto futuro de realización incierta, respecto de los cuales no es posible hacer un juzgamiento.</w:t>
      </w:r>
    </w:p>
    <w:p w:rsidR="0004616D" w:rsidRPr="002E49D8" w:rsidRDefault="0004616D" w:rsidP="0004616D">
      <w:pPr>
        <w:spacing w:line="360" w:lineRule="auto"/>
        <w:jc w:val="both"/>
        <w:rPr>
          <w:rFonts w:ascii="Century Gothic" w:eastAsiaTheme="minorHAnsi" w:hAnsi="Century Gothic" w:cstheme="minorBidi"/>
          <w:sz w:val="24"/>
          <w:szCs w:val="24"/>
          <w:lang w:eastAsia="en-US"/>
        </w:rPr>
      </w:pPr>
    </w:p>
    <w:p w:rsidR="00B85DDA" w:rsidRPr="00343FBE" w:rsidRDefault="00B85DDA" w:rsidP="00B85DDA">
      <w:pPr>
        <w:spacing w:line="360" w:lineRule="auto"/>
        <w:jc w:val="both"/>
        <w:rPr>
          <w:rFonts w:ascii="Century Gothic" w:eastAsiaTheme="minorHAnsi" w:hAnsi="Century Gothic"/>
          <w:sz w:val="28"/>
          <w:szCs w:val="28"/>
        </w:rPr>
      </w:pPr>
      <w:r w:rsidRPr="00343FBE">
        <w:rPr>
          <w:rFonts w:ascii="Century Gothic" w:hAnsi="Century Gothic"/>
          <w:sz w:val="28"/>
          <w:szCs w:val="28"/>
        </w:rPr>
        <w:t xml:space="preserve">No </w:t>
      </w:r>
      <w:proofErr w:type="gramStart"/>
      <w:r w:rsidRPr="00343FBE">
        <w:rPr>
          <w:rFonts w:ascii="Century Gothic" w:hAnsi="Century Gothic"/>
          <w:sz w:val="28"/>
          <w:szCs w:val="28"/>
        </w:rPr>
        <w:t>obstante</w:t>
      </w:r>
      <w:proofErr w:type="gramEnd"/>
      <w:r w:rsidRPr="00343FBE">
        <w:rPr>
          <w:rFonts w:ascii="Century Gothic" w:hAnsi="Century Gothic"/>
          <w:sz w:val="28"/>
          <w:szCs w:val="28"/>
        </w:rPr>
        <w:t xml:space="preserve"> lo anterior, en todo caso, los órganos internos del partido político, deberán tomar en cuenta el contenido de lo dispuesto en los artículos 10, inciso g) de los Estatutos en relación con los límites a la reelección de los integrantes de los órganos internos del partido político.</w:t>
      </w:r>
    </w:p>
    <w:p w:rsidR="00B85DDA" w:rsidRPr="002E49D8" w:rsidRDefault="00B85DDA" w:rsidP="0004616D">
      <w:pPr>
        <w:spacing w:line="360" w:lineRule="auto"/>
        <w:jc w:val="both"/>
        <w:rPr>
          <w:rFonts w:ascii="Century Gothic" w:eastAsiaTheme="minorHAnsi" w:hAnsi="Century Gothic" w:cstheme="minorBidi"/>
          <w:sz w:val="24"/>
          <w:szCs w:val="24"/>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 xml:space="preserve">• Se alega que en el Congreso se discutirán y en su caso aprobarán las propuestas de modificación a los documentos básicos del partido, lo que menoscaba su esfera jurídica y la de todas y todos los militantes del partido, dejándolos en estado de indefensión, porque no conocen el contenido de las posibles propuestas de modificación, razón por la cual, durante el Congreso no podrán estar en aptitud de realizar pronunciamientos y posicionamientos al respecto, lo que vulnera su derecho </w:t>
      </w:r>
      <w:r w:rsidRPr="00343FBE">
        <w:rPr>
          <w:rFonts w:ascii="Century Gothic" w:eastAsiaTheme="minorHAnsi" w:hAnsi="Century Gothic" w:cstheme="minorBidi"/>
          <w:sz w:val="28"/>
          <w:szCs w:val="28"/>
          <w:lang w:eastAsia="en-US"/>
        </w:rPr>
        <w:lastRenderedPageBreak/>
        <w:t xml:space="preserve">de audiencia, pues cualquier modificación a los documentos básicos repercute en los derechos de votar, ser votado, asociación y afiliación de los y las militantes del partido, por lo que la Sala Superior deberá ordenar que se pongan a disposición de toda la militancia, la propuesta de modificación a los documentos básicos del partido.  </w:t>
      </w:r>
    </w:p>
    <w:p w:rsidR="0004616D" w:rsidRPr="002E49D8" w:rsidRDefault="0004616D" w:rsidP="0004616D">
      <w:pPr>
        <w:spacing w:line="360" w:lineRule="auto"/>
        <w:jc w:val="both"/>
        <w:rPr>
          <w:rFonts w:ascii="Century Gothic" w:eastAsiaTheme="minorHAnsi" w:hAnsi="Century Gothic" w:cstheme="minorBidi"/>
          <w:sz w:val="24"/>
          <w:szCs w:val="24"/>
          <w:lang w:eastAsia="en-US"/>
        </w:rPr>
      </w:pPr>
    </w:p>
    <w:p w:rsidR="007509E4"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b/>
          <w:sz w:val="28"/>
          <w:szCs w:val="28"/>
          <w:lang w:eastAsia="en-US"/>
        </w:rPr>
        <w:t>Consideraciones de esta Sala Superior</w:t>
      </w:r>
      <w:r w:rsidRPr="00343FBE">
        <w:rPr>
          <w:rFonts w:ascii="Century Gothic" w:eastAsiaTheme="minorHAnsi" w:hAnsi="Century Gothic" w:cstheme="minorBidi"/>
          <w:sz w:val="28"/>
          <w:szCs w:val="28"/>
          <w:lang w:eastAsia="en-US"/>
        </w:rPr>
        <w:t>.</w:t>
      </w:r>
      <w:r w:rsidR="007509E4" w:rsidRPr="00343FBE">
        <w:rPr>
          <w:rFonts w:ascii="Century Gothic" w:eastAsiaTheme="minorHAnsi" w:hAnsi="Century Gothic" w:cstheme="minorBidi"/>
          <w:sz w:val="28"/>
          <w:szCs w:val="28"/>
          <w:lang w:eastAsia="en-US"/>
        </w:rPr>
        <w:t xml:space="preserve"> </w:t>
      </w:r>
    </w:p>
    <w:p w:rsidR="007509E4" w:rsidRPr="002E49D8" w:rsidRDefault="007509E4" w:rsidP="0004616D">
      <w:pPr>
        <w:spacing w:line="360" w:lineRule="auto"/>
        <w:jc w:val="both"/>
        <w:rPr>
          <w:rFonts w:ascii="Century Gothic" w:eastAsiaTheme="minorHAnsi" w:hAnsi="Century Gothic" w:cstheme="minorBidi"/>
          <w:sz w:val="24"/>
          <w:szCs w:val="24"/>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 xml:space="preserve">Se considera </w:t>
      </w:r>
      <w:r w:rsidRPr="00343FBE">
        <w:rPr>
          <w:rFonts w:ascii="Century Gothic" w:eastAsiaTheme="minorHAnsi" w:hAnsi="Century Gothic" w:cstheme="minorBidi"/>
          <w:b/>
          <w:sz w:val="28"/>
          <w:szCs w:val="28"/>
          <w:lang w:eastAsia="en-US"/>
        </w:rPr>
        <w:t>infundado</w:t>
      </w:r>
      <w:r w:rsidRPr="00343FBE">
        <w:rPr>
          <w:rFonts w:ascii="Century Gothic" w:eastAsiaTheme="minorHAnsi" w:hAnsi="Century Gothic" w:cstheme="minorBidi"/>
          <w:sz w:val="28"/>
          <w:szCs w:val="28"/>
          <w:lang w:eastAsia="en-US"/>
        </w:rPr>
        <w:t xml:space="preserve"> el motivo de disenso, toda vez que Florencio Torres Romero parte de una premisa inexacta, en tanto que sólo tienen acceso a las propuestas de modificación de los documentos básicos quienes tengan el carácter de Integrantes y Delegados del 10° Congreso Nacional Ordinario del P</w:t>
      </w:r>
      <w:r w:rsidR="00DA105A" w:rsidRPr="00343FBE">
        <w:rPr>
          <w:rFonts w:ascii="Century Gothic" w:eastAsiaTheme="minorHAnsi" w:hAnsi="Century Gothic" w:cstheme="minorBidi"/>
          <w:sz w:val="28"/>
          <w:szCs w:val="28"/>
          <w:lang w:eastAsia="en-US"/>
        </w:rPr>
        <w:t xml:space="preserve">T </w:t>
      </w:r>
      <w:r w:rsidRPr="00343FBE">
        <w:rPr>
          <w:rFonts w:ascii="Century Gothic" w:eastAsiaTheme="minorHAnsi" w:hAnsi="Century Gothic" w:cstheme="minorBidi"/>
          <w:sz w:val="28"/>
          <w:szCs w:val="28"/>
          <w:lang w:eastAsia="en-US"/>
        </w:rPr>
        <w:t xml:space="preserve">y, por ende, el derecho a participar en el mismo y, no así los que tengan la calidad de militantes, como sucede en el caso del enjuiciante. </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Al efecto, se debe tener presente que, de conformidad con lo previsto en el artículo 24, de los Estatutos del P</w:t>
      </w:r>
      <w:r w:rsidR="00DA105A" w:rsidRPr="00343FBE">
        <w:rPr>
          <w:rFonts w:ascii="Century Gothic" w:eastAsiaTheme="minorHAnsi" w:hAnsi="Century Gothic" w:cstheme="minorBidi"/>
          <w:sz w:val="28"/>
          <w:szCs w:val="28"/>
          <w:lang w:eastAsia="en-US"/>
        </w:rPr>
        <w:t>T</w:t>
      </w:r>
      <w:r w:rsidRPr="00343FBE">
        <w:rPr>
          <w:rFonts w:ascii="Century Gothic" w:eastAsiaTheme="minorHAnsi" w:hAnsi="Century Gothic" w:cstheme="minorBidi"/>
          <w:sz w:val="28"/>
          <w:szCs w:val="28"/>
          <w:lang w:eastAsia="en-US"/>
        </w:rPr>
        <w:t xml:space="preserve">, el Congreso Nacional es el órgano máximo de dirección y decisión, cuyos acuerdos y resoluciones serán obligatorios para todos sus órganos e instancias de dirección, militantes y afiliados. </w:t>
      </w:r>
    </w:p>
    <w:p w:rsidR="0004616D" w:rsidRPr="002E49D8" w:rsidRDefault="0004616D" w:rsidP="0004616D">
      <w:pPr>
        <w:spacing w:line="360" w:lineRule="auto"/>
        <w:jc w:val="both"/>
        <w:rPr>
          <w:rFonts w:ascii="Century Gothic" w:eastAsiaTheme="minorHAnsi" w:hAnsi="Century Gothic" w:cstheme="minorBidi"/>
          <w:sz w:val="24"/>
          <w:szCs w:val="24"/>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 xml:space="preserve">A su vez, el numeral 25, de los indicados Estatutos, establece que el Congreso Nacional se integra por: a) La </w:t>
      </w:r>
      <w:r w:rsidRPr="00343FBE">
        <w:rPr>
          <w:rFonts w:ascii="Century Gothic" w:eastAsiaTheme="minorHAnsi" w:hAnsi="Century Gothic" w:cstheme="minorBidi"/>
          <w:sz w:val="28"/>
          <w:szCs w:val="28"/>
          <w:lang w:eastAsia="en-US"/>
        </w:rPr>
        <w:lastRenderedPageBreak/>
        <w:t>Comisión Ejecutiva Nacional, la Comisión Coordinadora Nacional y, la Comisión Nacional de Contraloría y Fiscalización; b) Legisladores Federales; c) Legisladores Locales; d) Comisionados Políticos Nacionales; f) Representantes Nacionales ante los Órganos Electorales Federales; g) Delegados en el número y proporción que se establezca en la convocatoria respectiva; y, h) Los delegados nombrados por la Comisión Ejecutiva Nacional.</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En concordancia con lo anterior, la Base Tercera de la Convocatoria al 10° Congreso Nacional del P</w:t>
      </w:r>
      <w:r w:rsidR="00DA105A" w:rsidRPr="00343FBE">
        <w:rPr>
          <w:rFonts w:ascii="Century Gothic" w:eastAsiaTheme="minorHAnsi" w:hAnsi="Century Gothic" w:cstheme="minorBidi"/>
          <w:sz w:val="28"/>
          <w:szCs w:val="28"/>
          <w:lang w:eastAsia="en-US"/>
        </w:rPr>
        <w:t>T</w:t>
      </w:r>
      <w:r w:rsidRPr="00343FBE">
        <w:rPr>
          <w:rFonts w:ascii="Century Gothic" w:eastAsiaTheme="minorHAnsi" w:hAnsi="Century Gothic" w:cstheme="minorBidi"/>
          <w:sz w:val="28"/>
          <w:szCs w:val="28"/>
          <w:lang w:eastAsia="en-US"/>
        </w:rPr>
        <w:t xml:space="preserve">, establece que estará integrado por la Comisión Ejecutiva Nacional, la Comisión Coordinadora Nacional, la Comisión Nacional de Contraloría y Fiscalización, los legisladores federales y locales acreditados conforme a la Convocatoria, los Comisionados Políticos Nacionales, los representantes Nacionales ante los Órganos Electorales Federales y, los Delegados de cada entidad electos en sus respectivos Congresos Estatales. </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 xml:space="preserve">Por su parte, el numeral 29, inciso d), de los indicados Estatutos, dispone que son atribuciones del Congreso Nacional Ordinario y Extraordinario realizar las reformas y los cambios que se consideren convenientes en la Declaración de Principios, el Programa de Acción y los Estatutos del </w:t>
      </w:r>
      <w:r w:rsidR="00A8764A" w:rsidRPr="00343FBE">
        <w:rPr>
          <w:rFonts w:ascii="Century Gothic" w:eastAsiaTheme="minorHAnsi" w:hAnsi="Century Gothic" w:cstheme="minorBidi"/>
          <w:sz w:val="28"/>
          <w:szCs w:val="28"/>
          <w:lang w:eastAsia="en-US"/>
        </w:rPr>
        <w:t>PT</w:t>
      </w:r>
      <w:r w:rsidRPr="00343FBE">
        <w:rPr>
          <w:rFonts w:ascii="Century Gothic" w:eastAsiaTheme="minorHAnsi" w:hAnsi="Century Gothic" w:cstheme="minorBidi"/>
          <w:sz w:val="28"/>
          <w:szCs w:val="28"/>
          <w:lang w:eastAsia="en-US"/>
        </w:rPr>
        <w:t>.</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lastRenderedPageBreak/>
        <w:t>Mientras que, en el punto 8, del Orden del Día de la indicada Convocatoria al 10° Congreso Nacional Ordinario del P</w:t>
      </w:r>
      <w:r w:rsidR="00DA105A" w:rsidRPr="00343FBE">
        <w:rPr>
          <w:rFonts w:ascii="Century Gothic" w:eastAsiaTheme="minorHAnsi" w:hAnsi="Century Gothic" w:cstheme="minorBidi"/>
          <w:sz w:val="28"/>
          <w:szCs w:val="28"/>
          <w:lang w:eastAsia="en-US"/>
        </w:rPr>
        <w:t>T</w:t>
      </w:r>
      <w:r w:rsidRPr="00343FBE">
        <w:rPr>
          <w:rFonts w:ascii="Century Gothic" w:eastAsiaTheme="minorHAnsi" w:hAnsi="Century Gothic" w:cstheme="minorBidi"/>
          <w:sz w:val="28"/>
          <w:szCs w:val="28"/>
          <w:lang w:eastAsia="en-US"/>
        </w:rPr>
        <w:t>, se establece que se analizarán, discutirán y, en su caso, aprobarán las propuestas de modificación de los documentos básicos.</w:t>
      </w:r>
    </w:p>
    <w:p w:rsidR="0004616D" w:rsidRPr="002E49D8" w:rsidRDefault="0004616D" w:rsidP="0004616D">
      <w:pPr>
        <w:spacing w:line="360" w:lineRule="auto"/>
        <w:jc w:val="both"/>
        <w:rPr>
          <w:rFonts w:ascii="Century Gothic" w:eastAsiaTheme="minorHAnsi" w:hAnsi="Century Gothic" w:cstheme="minorBidi"/>
          <w:sz w:val="24"/>
          <w:szCs w:val="24"/>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De conformidad, con lo anterior, no se advierte que las propuestas de modificaciones a los documentos básicos del P</w:t>
      </w:r>
      <w:r w:rsidR="00DA105A" w:rsidRPr="00343FBE">
        <w:rPr>
          <w:rFonts w:ascii="Century Gothic" w:eastAsiaTheme="minorHAnsi" w:hAnsi="Century Gothic" w:cstheme="minorBidi"/>
          <w:sz w:val="28"/>
          <w:szCs w:val="28"/>
          <w:lang w:eastAsia="en-US"/>
        </w:rPr>
        <w:t>T</w:t>
      </w:r>
      <w:r w:rsidRPr="00343FBE">
        <w:rPr>
          <w:rFonts w:ascii="Century Gothic" w:eastAsiaTheme="minorHAnsi" w:hAnsi="Century Gothic" w:cstheme="minorBidi"/>
          <w:sz w:val="28"/>
          <w:szCs w:val="28"/>
          <w:lang w:eastAsia="en-US"/>
        </w:rPr>
        <w:t>, deban hacerse del conocimiento de los militantes, en tanto que las mismas sólo tienen que distribuirse entre aquellos que tengan la calidad de Integrantes y Delegados a participar en el aludido Congreso Nacional Ordinario (previo cumplimiento de los requisitos y procedimientos respectivos), pues son quienes finalmente decidirán la aprobación o no de las citadas modificaciones.</w:t>
      </w:r>
    </w:p>
    <w:p w:rsidR="0004616D" w:rsidRPr="002E49D8" w:rsidRDefault="0004616D" w:rsidP="0004616D">
      <w:pPr>
        <w:spacing w:line="360" w:lineRule="auto"/>
        <w:jc w:val="both"/>
        <w:rPr>
          <w:rFonts w:ascii="Century Gothic" w:eastAsiaTheme="minorHAnsi" w:hAnsi="Century Gothic" w:cstheme="minorBidi"/>
          <w:sz w:val="24"/>
          <w:szCs w:val="24"/>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Además, de que en el artículo 15, de los Estatutos no se establece alguna disposición en los términos referidos por el actor, quien tampoco acredita su derecho de participar en el Congreso de mérito, bien sea como Integrante o Delegado.</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 xml:space="preserve">De ahí que no le asiste la razón al enjuiciante, pues la calidad de militante no le confiere la posibilidad de acceder a las propuestas de modificaciones a los documentos básicos del </w:t>
      </w:r>
      <w:r w:rsidR="00A8764A" w:rsidRPr="00343FBE">
        <w:rPr>
          <w:rFonts w:ascii="Century Gothic" w:eastAsiaTheme="minorHAnsi" w:hAnsi="Century Gothic" w:cstheme="minorBidi"/>
          <w:sz w:val="28"/>
          <w:szCs w:val="28"/>
          <w:lang w:eastAsia="en-US"/>
        </w:rPr>
        <w:t>PT</w:t>
      </w:r>
      <w:r w:rsidRPr="00343FBE">
        <w:rPr>
          <w:rFonts w:ascii="Century Gothic" w:eastAsiaTheme="minorHAnsi" w:hAnsi="Century Gothic" w:cstheme="minorBidi"/>
          <w:sz w:val="28"/>
          <w:szCs w:val="28"/>
          <w:lang w:eastAsia="en-US"/>
        </w:rPr>
        <w:t xml:space="preserve">, en tanto que para ello es </w:t>
      </w:r>
      <w:r w:rsidRPr="00343FBE">
        <w:rPr>
          <w:rFonts w:ascii="Century Gothic" w:eastAsiaTheme="minorHAnsi" w:hAnsi="Century Gothic" w:cstheme="minorBidi"/>
          <w:sz w:val="28"/>
          <w:szCs w:val="28"/>
          <w:lang w:eastAsia="en-US"/>
        </w:rPr>
        <w:lastRenderedPageBreak/>
        <w:t xml:space="preserve">necesario cumplir con los requisitos atinentes y someterse a los procedimientos de designación respectivos, circunstancias que en el caso no se acreditan. </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Aunado a que, el actor tampoco refiere de qué forma las modificaciones a los documentos básicos del P</w:t>
      </w:r>
      <w:r w:rsidR="00DA105A" w:rsidRPr="00343FBE">
        <w:rPr>
          <w:rFonts w:ascii="Century Gothic" w:eastAsiaTheme="minorHAnsi" w:hAnsi="Century Gothic" w:cstheme="minorBidi"/>
          <w:sz w:val="28"/>
          <w:szCs w:val="28"/>
          <w:lang w:eastAsia="en-US"/>
        </w:rPr>
        <w:t xml:space="preserve">T </w:t>
      </w:r>
      <w:proofErr w:type="gramStart"/>
      <w:r w:rsidRPr="00343FBE">
        <w:rPr>
          <w:rFonts w:ascii="Century Gothic" w:eastAsiaTheme="minorHAnsi" w:hAnsi="Century Gothic" w:cstheme="minorBidi"/>
          <w:sz w:val="28"/>
          <w:szCs w:val="28"/>
          <w:lang w:eastAsia="en-US"/>
        </w:rPr>
        <w:t>le</w:t>
      </w:r>
      <w:proofErr w:type="gramEnd"/>
      <w:r w:rsidRPr="00343FBE">
        <w:rPr>
          <w:rFonts w:ascii="Century Gothic" w:eastAsiaTheme="minorHAnsi" w:hAnsi="Century Gothic" w:cstheme="minorBidi"/>
          <w:sz w:val="28"/>
          <w:szCs w:val="28"/>
          <w:lang w:eastAsia="en-US"/>
        </w:rPr>
        <w:t xml:space="preserve"> generan una afectación a sus derechos de votar y ser votado, cuando ni siquiera tiene conocimiento de las posibles reformas.</w:t>
      </w:r>
    </w:p>
    <w:p w:rsidR="0004616D" w:rsidRPr="00343FBE" w:rsidRDefault="0004616D" w:rsidP="0004616D">
      <w:pPr>
        <w:spacing w:line="360" w:lineRule="auto"/>
        <w:jc w:val="both"/>
        <w:rPr>
          <w:rFonts w:ascii="Century Gothic" w:eastAsiaTheme="minorHAnsi" w:hAnsi="Century Gothic" w:cstheme="minorBidi"/>
          <w:sz w:val="28"/>
          <w:szCs w:val="28"/>
          <w:lang w:eastAsia="en-US"/>
        </w:rPr>
      </w:pPr>
    </w:p>
    <w:p w:rsidR="002E69DE" w:rsidRPr="00343FBE" w:rsidRDefault="002C0707" w:rsidP="002E69DE">
      <w:pPr>
        <w:spacing w:line="360" w:lineRule="auto"/>
        <w:jc w:val="both"/>
        <w:rPr>
          <w:rFonts w:ascii="Century Gothic" w:hAnsi="Century Gothic" w:cs="Arial"/>
          <w:b/>
          <w:color w:val="000000" w:themeColor="text1"/>
          <w:sz w:val="28"/>
          <w:szCs w:val="28"/>
        </w:rPr>
      </w:pPr>
      <w:r w:rsidRPr="00343FBE">
        <w:rPr>
          <w:rFonts w:ascii="Century Gothic" w:hAnsi="Century Gothic" w:cs="Arial"/>
          <w:b/>
          <w:color w:val="000000" w:themeColor="text1"/>
          <w:sz w:val="28"/>
          <w:szCs w:val="28"/>
        </w:rPr>
        <w:t xml:space="preserve">• </w:t>
      </w:r>
      <w:r w:rsidR="002E69DE" w:rsidRPr="00343FBE">
        <w:rPr>
          <w:rFonts w:ascii="Century Gothic" w:hAnsi="Century Gothic" w:cs="Arial"/>
          <w:b/>
          <w:color w:val="000000" w:themeColor="text1"/>
          <w:sz w:val="28"/>
          <w:szCs w:val="28"/>
        </w:rPr>
        <w:t xml:space="preserve">Omisión de los Estatutos de prever la paridad de género </w:t>
      </w:r>
      <w:r w:rsidR="00A631BC" w:rsidRPr="00343FBE">
        <w:rPr>
          <w:rFonts w:ascii="Century Gothic" w:hAnsi="Century Gothic" w:cs="Arial"/>
          <w:b/>
          <w:color w:val="000000" w:themeColor="text1"/>
          <w:sz w:val="28"/>
          <w:szCs w:val="28"/>
        </w:rPr>
        <w:t xml:space="preserve">en la integración de </w:t>
      </w:r>
      <w:r w:rsidR="002E69DE" w:rsidRPr="00343FBE">
        <w:rPr>
          <w:rFonts w:ascii="Century Gothic" w:hAnsi="Century Gothic" w:cs="Arial"/>
          <w:b/>
          <w:color w:val="000000" w:themeColor="text1"/>
          <w:sz w:val="28"/>
          <w:szCs w:val="28"/>
        </w:rPr>
        <w:t xml:space="preserve">los órganos </w:t>
      </w:r>
      <w:r w:rsidR="00494A6A" w:rsidRPr="00343FBE">
        <w:rPr>
          <w:rFonts w:ascii="Century Gothic" w:hAnsi="Century Gothic" w:cs="Arial"/>
          <w:b/>
          <w:color w:val="000000" w:themeColor="text1"/>
          <w:sz w:val="28"/>
          <w:szCs w:val="28"/>
        </w:rPr>
        <w:t xml:space="preserve">directivos </w:t>
      </w:r>
      <w:r w:rsidR="002E69DE" w:rsidRPr="00343FBE">
        <w:rPr>
          <w:rFonts w:ascii="Century Gothic" w:hAnsi="Century Gothic" w:cs="Arial"/>
          <w:b/>
          <w:color w:val="000000" w:themeColor="text1"/>
          <w:sz w:val="28"/>
          <w:szCs w:val="28"/>
        </w:rPr>
        <w:t>partidistas</w:t>
      </w:r>
      <w:r w:rsidR="001D77F0" w:rsidRPr="00343FBE">
        <w:rPr>
          <w:rFonts w:ascii="Century Gothic" w:hAnsi="Century Gothic" w:cs="Arial"/>
          <w:b/>
          <w:color w:val="000000" w:themeColor="text1"/>
          <w:sz w:val="28"/>
          <w:szCs w:val="28"/>
        </w:rPr>
        <w:t xml:space="preserve"> (SUP-JDC-399/2017</w:t>
      </w:r>
      <w:r w:rsidR="00EF357A" w:rsidRPr="00343FBE">
        <w:rPr>
          <w:rFonts w:ascii="Century Gothic" w:hAnsi="Century Gothic" w:cs="Arial"/>
          <w:b/>
          <w:color w:val="000000" w:themeColor="text1"/>
          <w:sz w:val="28"/>
          <w:szCs w:val="28"/>
        </w:rPr>
        <w:t xml:space="preserve"> y SUP-JDC-468/2017</w:t>
      </w:r>
      <w:r w:rsidR="001D77F0" w:rsidRPr="00343FBE">
        <w:rPr>
          <w:rFonts w:ascii="Century Gothic" w:hAnsi="Century Gothic" w:cs="Arial"/>
          <w:b/>
          <w:color w:val="000000" w:themeColor="text1"/>
          <w:sz w:val="28"/>
          <w:szCs w:val="28"/>
        </w:rPr>
        <w:t>).</w:t>
      </w:r>
    </w:p>
    <w:p w:rsidR="002E69DE" w:rsidRPr="002E49D8" w:rsidRDefault="002E69DE" w:rsidP="002E69DE">
      <w:pPr>
        <w:spacing w:line="360" w:lineRule="auto"/>
        <w:jc w:val="both"/>
        <w:rPr>
          <w:rFonts w:ascii="Century Gothic" w:hAnsi="Century Gothic" w:cs="Arial"/>
          <w:b/>
          <w:color w:val="000000" w:themeColor="text1"/>
          <w:sz w:val="24"/>
          <w:szCs w:val="24"/>
        </w:rPr>
      </w:pPr>
    </w:p>
    <w:p w:rsidR="00834BAC" w:rsidRPr="00343FBE" w:rsidRDefault="00834BAC" w:rsidP="00834BAC">
      <w:pPr>
        <w:spacing w:line="360" w:lineRule="auto"/>
        <w:jc w:val="both"/>
        <w:rPr>
          <w:rFonts w:ascii="Century Gothic" w:hAnsi="Century Gothic" w:cs="Arial"/>
          <w:b/>
          <w:color w:val="000000" w:themeColor="text1"/>
          <w:sz w:val="28"/>
          <w:szCs w:val="28"/>
        </w:rPr>
      </w:pPr>
      <w:r w:rsidRPr="00343FBE">
        <w:rPr>
          <w:rFonts w:ascii="Century Gothic" w:hAnsi="Century Gothic" w:cs="Arial"/>
          <w:b/>
          <w:color w:val="000000" w:themeColor="text1"/>
          <w:sz w:val="28"/>
          <w:szCs w:val="28"/>
        </w:rPr>
        <w:t>I. Agravios de la parte demandante</w:t>
      </w:r>
    </w:p>
    <w:p w:rsidR="00834BAC" w:rsidRPr="002E49D8" w:rsidRDefault="00834BAC" w:rsidP="00834BAC">
      <w:pPr>
        <w:spacing w:line="360" w:lineRule="auto"/>
        <w:jc w:val="both"/>
        <w:rPr>
          <w:rFonts w:ascii="Century Gothic" w:hAnsi="Century Gothic" w:cs="Arial"/>
          <w:color w:val="000000" w:themeColor="text1"/>
          <w:sz w:val="24"/>
          <w:szCs w:val="24"/>
        </w:rPr>
      </w:pPr>
    </w:p>
    <w:p w:rsidR="00834BAC" w:rsidRPr="00343FBE" w:rsidRDefault="00834BAC" w:rsidP="00834BA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En el agravio “</w:t>
      </w:r>
      <w:r w:rsidRPr="00343FBE">
        <w:rPr>
          <w:rFonts w:ascii="Century Gothic" w:hAnsi="Century Gothic" w:cs="Arial"/>
          <w:i/>
          <w:color w:val="000000" w:themeColor="text1"/>
          <w:sz w:val="28"/>
          <w:szCs w:val="28"/>
        </w:rPr>
        <w:t>CUARTO. Incumplimiento de la paridad de género para la integración de la Comisión Coordinadora Nacional y demás órganos directivos del Partido del Trabajo</w:t>
      </w:r>
      <w:r w:rsidRPr="00343FBE">
        <w:rPr>
          <w:rFonts w:ascii="Century Gothic" w:hAnsi="Century Gothic" w:cs="Arial"/>
          <w:color w:val="000000" w:themeColor="text1"/>
          <w:sz w:val="28"/>
          <w:szCs w:val="28"/>
        </w:rPr>
        <w:t xml:space="preserve">” Florencio Torres Romero plantea, fundamentalmente, que: </w:t>
      </w:r>
    </w:p>
    <w:p w:rsidR="00834BAC" w:rsidRPr="002E49D8" w:rsidRDefault="00834BAC" w:rsidP="00834BAC">
      <w:pPr>
        <w:spacing w:line="360" w:lineRule="auto"/>
        <w:jc w:val="both"/>
        <w:rPr>
          <w:rFonts w:ascii="Century Gothic" w:hAnsi="Century Gothic" w:cs="Arial"/>
          <w:color w:val="000000" w:themeColor="text1"/>
          <w:sz w:val="24"/>
          <w:szCs w:val="24"/>
        </w:rPr>
      </w:pPr>
    </w:p>
    <w:p w:rsidR="00834BAC" w:rsidRPr="00343FBE" w:rsidRDefault="00834BAC" w:rsidP="00834BAC">
      <w:pPr>
        <w:pStyle w:val="Prrafodelista"/>
        <w:numPr>
          <w:ilvl w:val="0"/>
          <w:numId w:val="2"/>
        </w:numPr>
        <w:spacing w:line="360" w:lineRule="auto"/>
        <w:ind w:left="426"/>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De una revisión integral de los estatutos del PT, se desprende la falta evidente de</w:t>
      </w:r>
      <w:r w:rsidR="00080AC1" w:rsidRPr="00343FBE">
        <w:rPr>
          <w:rFonts w:ascii="Century Gothic" w:hAnsi="Century Gothic" w:cs="Arial"/>
          <w:color w:val="000000" w:themeColor="text1"/>
          <w:sz w:val="28"/>
          <w:szCs w:val="28"/>
        </w:rPr>
        <w:t>l</w:t>
      </w:r>
      <w:r w:rsidRPr="00343FBE">
        <w:rPr>
          <w:rFonts w:ascii="Century Gothic" w:hAnsi="Century Gothic" w:cs="Arial"/>
          <w:color w:val="000000" w:themeColor="text1"/>
          <w:sz w:val="28"/>
          <w:szCs w:val="28"/>
        </w:rPr>
        <w:t xml:space="preserve"> principio de paridad de género para que las y los militantes participen con certeza en los procesos de renovación de las instancias de dirección, por lo que tal omisión estatutaria genera </w:t>
      </w:r>
      <w:r w:rsidRPr="00343FBE">
        <w:rPr>
          <w:rFonts w:ascii="Century Gothic" w:hAnsi="Century Gothic" w:cs="Arial"/>
          <w:color w:val="000000" w:themeColor="text1"/>
          <w:sz w:val="28"/>
          <w:szCs w:val="28"/>
        </w:rPr>
        <w:lastRenderedPageBreak/>
        <w:t>dudas e incertidumbre que impiden conocer con anticipación las reglas en materia de paridad, y a las mujeres, la posibilidad de intervenir como candidatas a puestos internos de dirección.</w:t>
      </w:r>
    </w:p>
    <w:p w:rsidR="00834BAC" w:rsidRPr="002E49D8" w:rsidRDefault="00834BAC" w:rsidP="00834BAC">
      <w:pPr>
        <w:pStyle w:val="Prrafodelista"/>
        <w:spacing w:line="360" w:lineRule="auto"/>
        <w:ind w:left="426"/>
        <w:jc w:val="both"/>
        <w:rPr>
          <w:rFonts w:ascii="Century Gothic" w:hAnsi="Century Gothic" w:cs="Arial"/>
          <w:color w:val="000000" w:themeColor="text1"/>
          <w:sz w:val="24"/>
          <w:szCs w:val="24"/>
        </w:rPr>
      </w:pPr>
    </w:p>
    <w:p w:rsidR="00834BAC" w:rsidRPr="00343FBE" w:rsidRDefault="00834BAC" w:rsidP="00834BAC">
      <w:pPr>
        <w:pStyle w:val="Prrafodelista"/>
        <w:numPr>
          <w:ilvl w:val="0"/>
          <w:numId w:val="2"/>
        </w:numPr>
        <w:spacing w:line="360" w:lineRule="auto"/>
        <w:ind w:left="426"/>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La normatividad del PT no prevé requisitos mínimos que garanticen la </w:t>
      </w:r>
      <w:r w:rsidR="004903D7" w:rsidRPr="00343FBE">
        <w:rPr>
          <w:rFonts w:ascii="Century Gothic" w:hAnsi="Century Gothic" w:cs="Arial"/>
          <w:color w:val="000000" w:themeColor="text1"/>
          <w:sz w:val="28"/>
          <w:szCs w:val="28"/>
        </w:rPr>
        <w:t xml:space="preserve">paridad </w:t>
      </w:r>
      <w:r w:rsidRPr="00343FBE">
        <w:rPr>
          <w:rFonts w:ascii="Century Gothic" w:hAnsi="Century Gothic" w:cs="Arial"/>
          <w:color w:val="000000" w:themeColor="text1"/>
          <w:sz w:val="28"/>
          <w:szCs w:val="28"/>
        </w:rPr>
        <w:t>de género, para ser considerados democráticos, por lo que se solicita a este órgano jurisdiccional que se determine y realice declaratoria sobre las normas y omisiones estatutarias que contravienen los principios constitucionales y legales y ordene su modificación y adaptación al nuevo régimen constitucional.</w:t>
      </w:r>
    </w:p>
    <w:p w:rsidR="00834BAC" w:rsidRPr="002E49D8" w:rsidRDefault="00834BAC" w:rsidP="00834BAC">
      <w:pPr>
        <w:pStyle w:val="Prrafodelista"/>
        <w:rPr>
          <w:rFonts w:ascii="Century Gothic" w:hAnsi="Century Gothic" w:cs="Arial"/>
          <w:color w:val="000000" w:themeColor="text1"/>
          <w:sz w:val="24"/>
          <w:szCs w:val="24"/>
        </w:rPr>
      </w:pPr>
    </w:p>
    <w:p w:rsidR="00834BAC" w:rsidRPr="00343FBE" w:rsidRDefault="00834BAC" w:rsidP="00834BAC">
      <w:pPr>
        <w:pStyle w:val="Prrafodelista"/>
        <w:numPr>
          <w:ilvl w:val="0"/>
          <w:numId w:val="2"/>
        </w:numPr>
        <w:spacing w:line="360" w:lineRule="auto"/>
        <w:ind w:left="426"/>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Como miembro del PT, causa agravio a los derechos partidarios, la carencia de normas precisas que garanticen el desarrollo interno de las actividades del partido en un marco de legalidad y seguridad jurídica de tal manera de que </w:t>
      </w:r>
      <w:r w:rsidR="005A3F9A" w:rsidRPr="00343FBE">
        <w:rPr>
          <w:rFonts w:ascii="Century Gothic" w:hAnsi="Century Gothic" w:cs="Arial"/>
          <w:color w:val="000000" w:themeColor="text1"/>
          <w:sz w:val="28"/>
          <w:szCs w:val="28"/>
        </w:rPr>
        <w:t xml:space="preserve">haya paridad </w:t>
      </w:r>
      <w:r w:rsidRPr="00343FBE">
        <w:rPr>
          <w:rFonts w:ascii="Century Gothic" w:hAnsi="Century Gothic" w:cs="Arial"/>
          <w:color w:val="000000" w:themeColor="text1"/>
          <w:sz w:val="28"/>
          <w:szCs w:val="28"/>
        </w:rPr>
        <w:t>de género dentro del proceso de renovación de los órganos de dirección de dicho instituto político.</w:t>
      </w:r>
    </w:p>
    <w:p w:rsidR="001722C2" w:rsidRPr="002E49D8" w:rsidRDefault="001722C2" w:rsidP="001722C2">
      <w:pPr>
        <w:pStyle w:val="Prrafodelista"/>
        <w:spacing w:line="360" w:lineRule="auto"/>
        <w:ind w:left="426"/>
        <w:jc w:val="both"/>
        <w:rPr>
          <w:rFonts w:ascii="Century Gothic" w:hAnsi="Century Gothic" w:cs="Arial"/>
          <w:color w:val="000000" w:themeColor="text1"/>
          <w:sz w:val="24"/>
          <w:szCs w:val="24"/>
        </w:rPr>
      </w:pPr>
    </w:p>
    <w:p w:rsidR="00834BAC" w:rsidRPr="00343FBE" w:rsidRDefault="00834BAC" w:rsidP="00834BAC">
      <w:pPr>
        <w:pStyle w:val="Prrafodelista"/>
        <w:numPr>
          <w:ilvl w:val="0"/>
          <w:numId w:val="2"/>
        </w:numPr>
        <w:spacing w:line="360" w:lineRule="auto"/>
        <w:ind w:left="426"/>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Tal omisión estatutaria genera duda e incertidumbre, al impedir conocer con anticipación las reglas en materia de paridad y en consecuencias, a las mujeres la posibilidad de intervenir como candidatas a puestos internos de dirección.</w:t>
      </w:r>
    </w:p>
    <w:p w:rsidR="00834BAC" w:rsidRPr="002E49D8" w:rsidRDefault="00834BAC" w:rsidP="00834BAC">
      <w:pPr>
        <w:pStyle w:val="Prrafodelista"/>
        <w:rPr>
          <w:rFonts w:ascii="Century Gothic" w:hAnsi="Century Gothic" w:cs="Arial"/>
          <w:color w:val="000000" w:themeColor="text1"/>
          <w:sz w:val="24"/>
          <w:szCs w:val="24"/>
        </w:rPr>
      </w:pPr>
    </w:p>
    <w:p w:rsidR="00834BAC" w:rsidRPr="00343FBE" w:rsidRDefault="00834BAC" w:rsidP="00834BAC">
      <w:pPr>
        <w:pStyle w:val="Prrafodelista"/>
        <w:numPr>
          <w:ilvl w:val="0"/>
          <w:numId w:val="2"/>
        </w:numPr>
        <w:spacing w:line="360" w:lineRule="auto"/>
        <w:ind w:left="426"/>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Dado que en los estatutos del PT no se establece la paridad de género para integrar los órganos de dirección, los mismos son inconstitucionales.</w:t>
      </w:r>
    </w:p>
    <w:p w:rsidR="00834BAC" w:rsidRPr="002E49D8" w:rsidRDefault="00834BAC" w:rsidP="00834BAC">
      <w:pPr>
        <w:spacing w:line="360" w:lineRule="auto"/>
        <w:jc w:val="both"/>
        <w:rPr>
          <w:rFonts w:ascii="Century Gothic" w:hAnsi="Century Gothic" w:cs="Arial"/>
          <w:color w:val="000000" w:themeColor="text1"/>
          <w:sz w:val="24"/>
          <w:szCs w:val="24"/>
        </w:rPr>
      </w:pPr>
    </w:p>
    <w:p w:rsidR="00834BAC" w:rsidRPr="00343FBE" w:rsidRDefault="00834BAC" w:rsidP="00834BAC">
      <w:pPr>
        <w:spacing w:line="360" w:lineRule="auto"/>
        <w:jc w:val="both"/>
        <w:rPr>
          <w:rFonts w:ascii="Century Gothic" w:hAnsi="Century Gothic" w:cs="Arial"/>
          <w:b/>
          <w:color w:val="000000" w:themeColor="text1"/>
          <w:sz w:val="28"/>
          <w:szCs w:val="28"/>
        </w:rPr>
      </w:pPr>
      <w:r w:rsidRPr="00343FBE">
        <w:rPr>
          <w:rFonts w:ascii="Century Gothic" w:hAnsi="Century Gothic" w:cs="Arial"/>
          <w:b/>
          <w:color w:val="000000" w:themeColor="text1"/>
          <w:sz w:val="28"/>
          <w:szCs w:val="28"/>
        </w:rPr>
        <w:t>II. Anotaciones previas</w:t>
      </w:r>
    </w:p>
    <w:p w:rsidR="00834BAC" w:rsidRPr="002E49D8" w:rsidRDefault="00834BAC" w:rsidP="00834BAC">
      <w:pPr>
        <w:spacing w:line="360" w:lineRule="auto"/>
        <w:jc w:val="both"/>
        <w:rPr>
          <w:rFonts w:ascii="Century Gothic" w:hAnsi="Century Gothic" w:cs="Arial"/>
          <w:b/>
          <w:color w:val="000000" w:themeColor="text1"/>
          <w:sz w:val="24"/>
          <w:szCs w:val="24"/>
        </w:rPr>
      </w:pPr>
    </w:p>
    <w:p w:rsidR="00834BAC" w:rsidRPr="00343FBE" w:rsidRDefault="00834BAC" w:rsidP="00834BA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Antes de emitir cualquier pronunciamiento, se considera pertinente realizar las anotaciones siguientes:</w:t>
      </w:r>
    </w:p>
    <w:p w:rsidR="00834BAC" w:rsidRPr="002E49D8" w:rsidRDefault="00834BAC" w:rsidP="00834BAC">
      <w:pPr>
        <w:spacing w:line="360" w:lineRule="auto"/>
        <w:jc w:val="both"/>
        <w:rPr>
          <w:rFonts w:ascii="Century Gothic" w:hAnsi="Century Gothic" w:cs="Arial"/>
          <w:color w:val="000000" w:themeColor="text1"/>
          <w:sz w:val="24"/>
          <w:szCs w:val="24"/>
        </w:rPr>
      </w:pPr>
    </w:p>
    <w:p w:rsidR="00834BAC" w:rsidRPr="00343FBE" w:rsidRDefault="00834BAC" w:rsidP="00834BA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El examen los agravios listados se realizará en el contexto del proceso de elección de los integrantes de los órganos internos del Partido del Trabajo, de conformidad con la Jurisprudencia 4/99, con título: “MEDIOS DE IMPUGNACIÓN EN MATERIA ELECTORAL. EL RESOLUTOR DEBE INTERPRETAR EL OCURSO QUE LOS CONTENGA PARA DETERMINAR LA VERDADERA INTENCIÓN DEL ACTOR.”</w:t>
      </w:r>
      <w:r w:rsidRPr="00343FBE">
        <w:rPr>
          <w:rStyle w:val="Refdenotaalpie"/>
          <w:rFonts w:ascii="Century Gothic" w:hAnsi="Century Gothic" w:cs="Arial"/>
          <w:color w:val="000000" w:themeColor="text1"/>
          <w:sz w:val="28"/>
          <w:szCs w:val="28"/>
        </w:rPr>
        <w:footnoteReference w:id="6"/>
      </w:r>
      <w:r w:rsidRPr="00343FBE">
        <w:rPr>
          <w:rFonts w:ascii="Century Gothic" w:hAnsi="Century Gothic" w:cs="Arial"/>
          <w:color w:val="000000" w:themeColor="text1"/>
          <w:sz w:val="28"/>
          <w:szCs w:val="28"/>
        </w:rPr>
        <w:t>; el contenido y sentido de los demás agravios que se hacen valer en la demanda; y a partir de que en el punto petitorio segundo del escrito de impugnación se solicita que se remueva “</w:t>
      </w:r>
      <w:r w:rsidRPr="00343FBE">
        <w:rPr>
          <w:rFonts w:ascii="Century Gothic" w:hAnsi="Century Gothic" w:cs="Arial"/>
          <w:i/>
          <w:color w:val="000000" w:themeColor="text1"/>
          <w:sz w:val="28"/>
          <w:szCs w:val="28"/>
        </w:rPr>
        <w:t>cualquier obstáculo que haga nugatorio el ejercicio del derecho de votar y ser votado, por los órganos internos del Partido del Trabajo, a efecto de que estos derechos sean eficaces y plenos</w:t>
      </w:r>
      <w:r w:rsidRPr="00343FBE">
        <w:rPr>
          <w:rFonts w:ascii="Century Gothic" w:hAnsi="Century Gothic" w:cs="Arial"/>
          <w:color w:val="000000" w:themeColor="text1"/>
          <w:sz w:val="28"/>
          <w:szCs w:val="28"/>
        </w:rPr>
        <w:t>”.</w:t>
      </w:r>
    </w:p>
    <w:p w:rsidR="00834BAC" w:rsidRPr="002E49D8" w:rsidRDefault="00834BAC" w:rsidP="00834BAC">
      <w:pPr>
        <w:spacing w:line="360" w:lineRule="auto"/>
        <w:jc w:val="both"/>
        <w:rPr>
          <w:rFonts w:ascii="Century Gothic" w:hAnsi="Century Gothic" w:cs="Arial"/>
          <w:color w:val="000000" w:themeColor="text1"/>
          <w:sz w:val="24"/>
          <w:szCs w:val="24"/>
        </w:rPr>
      </w:pPr>
    </w:p>
    <w:p w:rsidR="00834BAC" w:rsidRPr="00343FBE" w:rsidRDefault="00834BAC" w:rsidP="00834BA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lastRenderedPageBreak/>
        <w:t>Por otro lado, cabe señalar que los párrafos primero, segundo y penúltimo de la Base I del artículo 41, de la Constitución Política de los Estados Unidos Mexicanos, establecen que los partidos políticos son entidades de interés público; que la ley determinará las normas y requisitos para su registro legal, las formas específicas de su intervención en el proceso electoral y los derechos, obligaciones y prerrogativas que les corresponden; que tienen como fin promover la participación del pueblo en la vida democrática; y que las autoridades electorales solamente podrán intervenir en los asuntos internos de los partidos políticos en los términos que señalen esta Constitución y la ley.</w:t>
      </w:r>
    </w:p>
    <w:p w:rsidR="00834BAC" w:rsidRPr="002E49D8" w:rsidRDefault="00834BAC" w:rsidP="00834BAC">
      <w:pPr>
        <w:spacing w:line="360" w:lineRule="auto"/>
        <w:jc w:val="both"/>
        <w:rPr>
          <w:rFonts w:ascii="Century Gothic" w:hAnsi="Century Gothic" w:cs="Arial"/>
          <w:color w:val="000000" w:themeColor="text1"/>
          <w:sz w:val="24"/>
          <w:szCs w:val="24"/>
        </w:rPr>
      </w:pPr>
    </w:p>
    <w:p w:rsidR="00834BAC" w:rsidRPr="00343FBE" w:rsidRDefault="00834BAC" w:rsidP="00834BA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Con relación a lo anterior, cabe apuntar que la Ley General de Partidos Políticos, en lo que interesa, establece lo siguiente:</w:t>
      </w:r>
    </w:p>
    <w:p w:rsidR="00834BAC" w:rsidRPr="002E49D8" w:rsidRDefault="00834BAC" w:rsidP="00834BAC">
      <w:pPr>
        <w:spacing w:line="360" w:lineRule="auto"/>
        <w:jc w:val="both"/>
        <w:rPr>
          <w:rFonts w:ascii="Century Gothic" w:hAnsi="Century Gothic" w:cs="Arial"/>
          <w:color w:val="000000" w:themeColor="text1"/>
          <w:sz w:val="24"/>
          <w:szCs w:val="24"/>
        </w:rPr>
      </w:pPr>
      <w:r w:rsidRPr="002E49D8">
        <w:rPr>
          <w:rFonts w:ascii="Century Gothic" w:hAnsi="Century Gothic" w:cs="Arial"/>
          <w:color w:val="000000" w:themeColor="text1"/>
          <w:sz w:val="24"/>
          <w:szCs w:val="24"/>
        </w:rPr>
        <w:t xml:space="preserve"> </w:t>
      </w:r>
    </w:p>
    <w:p w:rsidR="00834BAC" w:rsidRPr="00343FBE" w:rsidRDefault="00834BAC" w:rsidP="00834BAC">
      <w:pPr>
        <w:ind w:left="567"/>
        <w:jc w:val="both"/>
        <w:rPr>
          <w:rFonts w:ascii="Century Gothic" w:hAnsi="Century Gothic" w:cs="Arial"/>
          <w:color w:val="000000" w:themeColor="text1"/>
          <w:sz w:val="24"/>
          <w:szCs w:val="24"/>
        </w:rPr>
      </w:pPr>
      <w:r w:rsidRPr="00343FBE">
        <w:rPr>
          <w:rFonts w:ascii="Century Gothic" w:hAnsi="Century Gothic" w:cs="Arial"/>
          <w:color w:val="000000" w:themeColor="text1"/>
          <w:sz w:val="24"/>
          <w:szCs w:val="24"/>
        </w:rPr>
        <w:t>“</w:t>
      </w:r>
      <w:r w:rsidRPr="00343FBE">
        <w:rPr>
          <w:rFonts w:ascii="Century Gothic" w:hAnsi="Century Gothic" w:cs="Arial"/>
          <w:b/>
          <w:color w:val="000000" w:themeColor="text1"/>
          <w:sz w:val="24"/>
          <w:szCs w:val="24"/>
        </w:rPr>
        <w:t>Artículo 34.</w:t>
      </w:r>
    </w:p>
    <w:p w:rsidR="00834BAC" w:rsidRPr="00343FBE" w:rsidRDefault="00834BAC" w:rsidP="00834BAC">
      <w:pPr>
        <w:ind w:left="567"/>
        <w:jc w:val="both"/>
        <w:rPr>
          <w:rFonts w:ascii="Century Gothic" w:hAnsi="Century Gothic" w:cs="Arial"/>
          <w:color w:val="000000" w:themeColor="text1"/>
          <w:sz w:val="24"/>
          <w:szCs w:val="24"/>
        </w:rPr>
      </w:pPr>
    </w:p>
    <w:p w:rsidR="00834BAC" w:rsidRPr="00343FBE" w:rsidRDefault="00834BAC" w:rsidP="00834BAC">
      <w:pPr>
        <w:ind w:left="567"/>
        <w:jc w:val="both"/>
        <w:rPr>
          <w:rFonts w:ascii="Century Gothic" w:hAnsi="Century Gothic" w:cs="Arial"/>
          <w:color w:val="000000" w:themeColor="text1"/>
          <w:sz w:val="24"/>
          <w:szCs w:val="24"/>
        </w:rPr>
      </w:pPr>
      <w:r w:rsidRPr="00343FBE">
        <w:rPr>
          <w:rFonts w:ascii="Century Gothic" w:hAnsi="Century Gothic" w:cs="Arial"/>
          <w:b/>
          <w:color w:val="000000" w:themeColor="text1"/>
          <w:sz w:val="24"/>
          <w:szCs w:val="24"/>
        </w:rPr>
        <w:t xml:space="preserve">1. </w:t>
      </w:r>
      <w:r w:rsidRPr="00343FBE">
        <w:rPr>
          <w:rFonts w:ascii="Century Gothic" w:hAnsi="Century Gothic" w:cs="Arial"/>
          <w:color w:val="000000" w:themeColor="text1"/>
          <w:sz w:val="24"/>
          <w:szCs w:val="24"/>
        </w:rPr>
        <w:t>Para los efectos de lo dispuesto en el penúltimo párrafo de la Base I del artículo 41 de la Constitución, los asuntos internos de los partidos políticos comprenden el conjunto de actos y procedimientos relativos a su organización y funcionamiento, con base en las disposiciones previstas en la Constitución, en esta Ley, así como en su respectivo Estatuto y reglamentos que aprueben sus órganos de dirección.</w:t>
      </w:r>
    </w:p>
    <w:p w:rsidR="00834BAC" w:rsidRPr="00343FBE" w:rsidRDefault="00834BAC" w:rsidP="00834BAC">
      <w:pPr>
        <w:ind w:left="567"/>
        <w:jc w:val="both"/>
        <w:rPr>
          <w:rFonts w:ascii="Century Gothic" w:hAnsi="Century Gothic" w:cs="Arial"/>
          <w:color w:val="000000" w:themeColor="text1"/>
          <w:sz w:val="24"/>
          <w:szCs w:val="24"/>
        </w:rPr>
      </w:pPr>
    </w:p>
    <w:p w:rsidR="00834BAC" w:rsidRPr="00343FBE" w:rsidRDefault="00834BAC" w:rsidP="00834BAC">
      <w:pPr>
        <w:ind w:left="567"/>
        <w:jc w:val="both"/>
        <w:rPr>
          <w:rFonts w:ascii="Century Gothic" w:hAnsi="Century Gothic" w:cs="Arial"/>
          <w:color w:val="000000" w:themeColor="text1"/>
          <w:sz w:val="24"/>
          <w:szCs w:val="24"/>
        </w:rPr>
      </w:pPr>
      <w:r w:rsidRPr="00343FBE">
        <w:rPr>
          <w:rFonts w:ascii="Century Gothic" w:hAnsi="Century Gothic" w:cs="Arial"/>
          <w:b/>
          <w:color w:val="000000" w:themeColor="text1"/>
          <w:sz w:val="24"/>
          <w:szCs w:val="24"/>
        </w:rPr>
        <w:t xml:space="preserve">2. </w:t>
      </w:r>
      <w:r w:rsidRPr="00343FBE">
        <w:rPr>
          <w:rFonts w:ascii="Century Gothic" w:hAnsi="Century Gothic" w:cs="Arial"/>
          <w:color w:val="000000" w:themeColor="text1"/>
          <w:sz w:val="24"/>
          <w:szCs w:val="24"/>
        </w:rPr>
        <w:t>Son asuntos internos de los partidos políticos:</w:t>
      </w:r>
    </w:p>
    <w:p w:rsidR="00834BAC" w:rsidRPr="00343FBE" w:rsidRDefault="00834BAC" w:rsidP="00834BAC">
      <w:pPr>
        <w:ind w:left="567"/>
        <w:jc w:val="both"/>
        <w:rPr>
          <w:rFonts w:ascii="Century Gothic" w:hAnsi="Century Gothic" w:cs="Arial"/>
          <w:color w:val="000000" w:themeColor="text1"/>
          <w:sz w:val="24"/>
          <w:szCs w:val="24"/>
        </w:rPr>
      </w:pPr>
    </w:p>
    <w:p w:rsidR="00834BAC" w:rsidRPr="00343FBE" w:rsidRDefault="00834BAC" w:rsidP="00834BAC">
      <w:pPr>
        <w:ind w:left="567"/>
        <w:jc w:val="both"/>
        <w:rPr>
          <w:rFonts w:ascii="Century Gothic" w:hAnsi="Century Gothic" w:cs="Arial"/>
          <w:color w:val="000000" w:themeColor="text1"/>
          <w:sz w:val="24"/>
          <w:szCs w:val="24"/>
        </w:rPr>
      </w:pPr>
      <w:r w:rsidRPr="00343FBE">
        <w:rPr>
          <w:rFonts w:ascii="Century Gothic" w:hAnsi="Century Gothic" w:cs="Arial"/>
          <w:color w:val="000000" w:themeColor="text1"/>
          <w:sz w:val="24"/>
          <w:szCs w:val="24"/>
        </w:rPr>
        <w:t>[…]</w:t>
      </w:r>
    </w:p>
    <w:p w:rsidR="00834BAC" w:rsidRPr="00343FBE" w:rsidRDefault="00834BAC" w:rsidP="00834BAC">
      <w:pPr>
        <w:ind w:left="567"/>
        <w:jc w:val="both"/>
        <w:rPr>
          <w:rFonts w:ascii="Century Gothic" w:hAnsi="Century Gothic" w:cs="Arial"/>
          <w:color w:val="000000" w:themeColor="text1"/>
          <w:sz w:val="24"/>
          <w:szCs w:val="24"/>
        </w:rPr>
      </w:pPr>
    </w:p>
    <w:p w:rsidR="00834BAC" w:rsidRPr="00343FBE" w:rsidRDefault="00834BAC" w:rsidP="00834BAC">
      <w:pPr>
        <w:ind w:left="567"/>
        <w:jc w:val="both"/>
        <w:rPr>
          <w:rFonts w:ascii="Century Gothic" w:hAnsi="Century Gothic" w:cs="Arial"/>
          <w:color w:val="000000" w:themeColor="text1"/>
          <w:sz w:val="24"/>
          <w:szCs w:val="24"/>
        </w:rPr>
      </w:pPr>
      <w:r w:rsidRPr="00343FBE">
        <w:rPr>
          <w:rFonts w:ascii="Century Gothic" w:hAnsi="Century Gothic" w:cs="Arial"/>
          <w:b/>
          <w:color w:val="000000" w:themeColor="text1"/>
          <w:sz w:val="24"/>
          <w:szCs w:val="24"/>
        </w:rPr>
        <w:t>c)</w:t>
      </w:r>
      <w:r w:rsidRPr="00343FBE">
        <w:rPr>
          <w:rFonts w:ascii="Century Gothic" w:hAnsi="Century Gothic" w:cs="Arial"/>
          <w:color w:val="000000" w:themeColor="text1"/>
          <w:sz w:val="24"/>
          <w:szCs w:val="24"/>
        </w:rPr>
        <w:t xml:space="preserve"> La elección de los integrantes de sus órganos internos;</w:t>
      </w:r>
    </w:p>
    <w:p w:rsidR="00834BAC" w:rsidRPr="00343FBE" w:rsidRDefault="00834BAC" w:rsidP="00834BAC">
      <w:pPr>
        <w:ind w:left="567"/>
        <w:jc w:val="both"/>
        <w:rPr>
          <w:rFonts w:ascii="Century Gothic" w:hAnsi="Century Gothic" w:cs="Arial"/>
          <w:color w:val="000000" w:themeColor="text1"/>
          <w:sz w:val="24"/>
          <w:szCs w:val="24"/>
        </w:rPr>
      </w:pPr>
    </w:p>
    <w:p w:rsidR="00834BAC" w:rsidRPr="00343FBE" w:rsidRDefault="00834BAC" w:rsidP="00834BAC">
      <w:pPr>
        <w:ind w:left="567"/>
        <w:jc w:val="both"/>
        <w:rPr>
          <w:rFonts w:ascii="Century Gothic" w:hAnsi="Century Gothic" w:cs="Arial"/>
          <w:color w:val="000000" w:themeColor="text1"/>
          <w:sz w:val="24"/>
          <w:szCs w:val="24"/>
        </w:rPr>
      </w:pPr>
      <w:r w:rsidRPr="00343FBE">
        <w:rPr>
          <w:rFonts w:ascii="Century Gothic" w:hAnsi="Century Gothic" w:cs="Arial"/>
          <w:color w:val="000000" w:themeColor="text1"/>
          <w:sz w:val="24"/>
          <w:szCs w:val="24"/>
        </w:rPr>
        <w:t>[…]”</w:t>
      </w:r>
    </w:p>
    <w:p w:rsidR="00834BAC" w:rsidRPr="00343FBE" w:rsidRDefault="00834BAC" w:rsidP="00834BAC">
      <w:pPr>
        <w:spacing w:line="360" w:lineRule="auto"/>
        <w:jc w:val="both"/>
        <w:rPr>
          <w:rFonts w:ascii="Century Gothic" w:hAnsi="Century Gothic" w:cs="Arial"/>
          <w:color w:val="000000" w:themeColor="text1"/>
          <w:sz w:val="24"/>
          <w:szCs w:val="24"/>
        </w:rPr>
      </w:pPr>
    </w:p>
    <w:p w:rsidR="00834BAC" w:rsidRPr="00343FBE" w:rsidRDefault="00834BAC" w:rsidP="00834BA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Ahora bien, la Suprema Corte de Justicia de la Nación, considera que de conformidad con el artículo 41, base I, del Pacto Federal, los partidos políticos tienen libertad de auto-organización, lo que implica que con el fin de promover la participación del pueblo en la vida democrática, en sus estatutos pueden fijar los programas, principios e ideas que los conformen como institutos políticos, de ahí que el legislador les reconozca dicha libertad de organización, con la obligación de que con sus estipulaciones no vulneren el contenido esencial de los derechos políticos y otros derechos fundamentales, como los de igualdad y no discriminación</w:t>
      </w:r>
      <w:r w:rsidRPr="00343FBE">
        <w:rPr>
          <w:rStyle w:val="Refdenotaalpie"/>
          <w:rFonts w:ascii="Century Gothic" w:hAnsi="Century Gothic" w:cs="Arial"/>
          <w:color w:val="000000" w:themeColor="text1"/>
          <w:sz w:val="28"/>
          <w:szCs w:val="28"/>
        </w:rPr>
        <w:footnoteReference w:id="7"/>
      </w:r>
      <w:r w:rsidRPr="00343FBE">
        <w:rPr>
          <w:rFonts w:ascii="Century Gothic" w:hAnsi="Century Gothic" w:cs="Arial"/>
          <w:color w:val="000000" w:themeColor="text1"/>
          <w:sz w:val="28"/>
          <w:szCs w:val="28"/>
        </w:rPr>
        <w:t>.</w:t>
      </w:r>
    </w:p>
    <w:p w:rsidR="00834BAC" w:rsidRPr="00343FBE" w:rsidRDefault="00834BAC" w:rsidP="00834BAC">
      <w:pPr>
        <w:spacing w:line="360" w:lineRule="auto"/>
        <w:jc w:val="both"/>
        <w:rPr>
          <w:rFonts w:ascii="Century Gothic" w:hAnsi="Century Gothic" w:cs="Arial"/>
          <w:color w:val="000000" w:themeColor="text1"/>
          <w:sz w:val="28"/>
          <w:szCs w:val="28"/>
        </w:rPr>
      </w:pPr>
    </w:p>
    <w:p w:rsidR="00834BAC" w:rsidRPr="00343FBE" w:rsidRDefault="00834BAC" w:rsidP="00834BA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Por lo </w:t>
      </w:r>
      <w:r w:rsidR="00F13ABF" w:rsidRPr="00343FBE">
        <w:rPr>
          <w:rFonts w:ascii="Century Gothic" w:hAnsi="Century Gothic" w:cs="Arial"/>
          <w:color w:val="000000" w:themeColor="text1"/>
          <w:sz w:val="28"/>
          <w:szCs w:val="28"/>
        </w:rPr>
        <w:t>que</w:t>
      </w:r>
      <w:r w:rsidRPr="00343FBE">
        <w:rPr>
          <w:rFonts w:ascii="Century Gothic" w:hAnsi="Century Gothic" w:cs="Arial"/>
          <w:color w:val="000000" w:themeColor="text1"/>
          <w:sz w:val="28"/>
          <w:szCs w:val="28"/>
        </w:rPr>
        <w:t xml:space="preserve">, de la interpretación sistemática de lo previsto en los artículos 41, Base I, párrafos primero y penúltimo; y 99 de la Constitución Política de los Estados Unidos Mexicanos; en relación con el diverso 34, párrafos 1 y 2, inciso c), de la Ley General de Partidos Políticos, se colige que el Tribunal Electoral, en su carácter de máxima autoridad jurisdiccional en la materia y órgano especializado del </w:t>
      </w:r>
      <w:r w:rsidRPr="00343FBE">
        <w:rPr>
          <w:rFonts w:ascii="Century Gothic" w:hAnsi="Century Gothic" w:cs="Arial"/>
          <w:color w:val="000000" w:themeColor="text1"/>
          <w:sz w:val="28"/>
          <w:szCs w:val="28"/>
        </w:rPr>
        <w:lastRenderedPageBreak/>
        <w:t>Poder Judicial de la Federación –con excepción de lo dispuesto en la fracción II del artículo 105 del ordenamiento constitucional–, válidamente puede intervenir en los asuntos internos de los partidos políticos, como lo es la elección de los integrantes de sus órganos internos, cuando se alegue, por ejemplo, que se incumple con el principio de paridad, pues en este caso, la afectación iría en detrimento de los principios de igualdad y no discriminación, los cuales rigen para el ejercicio de todos los derechos fundamentales, mismos que, en el caso específico de los político-electorales, resultan esenciales para el fortalecimiento de la vida democrática y el Estado de Derecho.</w:t>
      </w:r>
    </w:p>
    <w:p w:rsidR="00834BAC" w:rsidRPr="00343FBE" w:rsidRDefault="00834BAC" w:rsidP="00834BAC">
      <w:pPr>
        <w:spacing w:line="360" w:lineRule="auto"/>
        <w:jc w:val="both"/>
        <w:rPr>
          <w:rFonts w:ascii="Century Gothic" w:hAnsi="Century Gothic" w:cs="Arial"/>
          <w:color w:val="000000" w:themeColor="text1"/>
          <w:sz w:val="32"/>
          <w:szCs w:val="32"/>
        </w:rPr>
      </w:pPr>
    </w:p>
    <w:p w:rsidR="00834BAC" w:rsidRPr="00343FBE" w:rsidRDefault="00834BAC" w:rsidP="00834BA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Por lo tanto, si en el contexto de la renovación de los órganos internos nacionales de un partido política, la parte demandante alega que las normas estatutarias omiten regular el principio de paridad en la integración de dichos órganos, como sucede en el caso concreto, habría lugar a examinar tal motivo de inconformidad, con el objeto de garantizar la eficacia de los principios constitucionales de igualdad y no discriminación.  </w:t>
      </w:r>
    </w:p>
    <w:p w:rsidR="00834BAC" w:rsidRPr="00343FBE" w:rsidRDefault="00834BAC" w:rsidP="00834BAC">
      <w:pPr>
        <w:spacing w:line="360" w:lineRule="auto"/>
        <w:jc w:val="both"/>
        <w:rPr>
          <w:rFonts w:ascii="Century Gothic" w:hAnsi="Century Gothic" w:cs="Arial"/>
          <w:color w:val="000000" w:themeColor="text1"/>
          <w:sz w:val="32"/>
          <w:szCs w:val="32"/>
        </w:rPr>
      </w:pPr>
    </w:p>
    <w:p w:rsidR="00834BAC" w:rsidRPr="00343FBE" w:rsidRDefault="00834BAC" w:rsidP="00834BAC">
      <w:pPr>
        <w:spacing w:line="360" w:lineRule="auto"/>
        <w:jc w:val="both"/>
        <w:rPr>
          <w:rFonts w:ascii="Century Gothic" w:hAnsi="Century Gothic" w:cs="Arial"/>
          <w:b/>
          <w:color w:val="000000" w:themeColor="text1"/>
          <w:sz w:val="28"/>
          <w:szCs w:val="28"/>
        </w:rPr>
      </w:pPr>
      <w:r w:rsidRPr="00343FBE">
        <w:rPr>
          <w:rFonts w:ascii="Century Gothic" w:hAnsi="Century Gothic" w:cs="Arial"/>
          <w:b/>
          <w:color w:val="000000" w:themeColor="text1"/>
          <w:sz w:val="28"/>
          <w:szCs w:val="28"/>
        </w:rPr>
        <w:t>III. Consideraciones de la Sala Superior</w:t>
      </w:r>
    </w:p>
    <w:p w:rsidR="00834BAC" w:rsidRPr="00343FBE" w:rsidRDefault="00834BAC" w:rsidP="00834BAC">
      <w:pPr>
        <w:spacing w:line="360" w:lineRule="auto"/>
        <w:jc w:val="both"/>
        <w:rPr>
          <w:rFonts w:ascii="Century Gothic" w:hAnsi="Century Gothic" w:cs="Arial"/>
          <w:b/>
          <w:color w:val="000000" w:themeColor="text1"/>
          <w:sz w:val="32"/>
          <w:szCs w:val="32"/>
        </w:rPr>
      </w:pPr>
    </w:p>
    <w:p w:rsidR="00B64475" w:rsidRPr="00343FBE" w:rsidRDefault="00B64475" w:rsidP="00B64475">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lastRenderedPageBreak/>
        <w:t xml:space="preserve">Es </w:t>
      </w:r>
      <w:r w:rsidRPr="00343FBE">
        <w:rPr>
          <w:rFonts w:ascii="Century Gothic" w:hAnsi="Century Gothic" w:cs="Arial"/>
          <w:b/>
          <w:color w:val="000000" w:themeColor="text1"/>
          <w:sz w:val="28"/>
          <w:szCs w:val="28"/>
        </w:rPr>
        <w:t>infundado</w:t>
      </w:r>
      <w:r w:rsidRPr="00343FBE">
        <w:rPr>
          <w:rFonts w:ascii="Century Gothic" w:hAnsi="Century Gothic" w:cs="Arial"/>
          <w:color w:val="000000" w:themeColor="text1"/>
          <w:sz w:val="28"/>
          <w:szCs w:val="28"/>
        </w:rPr>
        <w:t xml:space="preserve"> el agravio de la parte demandante, cuando sostiene que los Estatutos del PT omite establecer </w:t>
      </w:r>
      <w:r w:rsidR="00080AC1" w:rsidRPr="00343FBE">
        <w:rPr>
          <w:rFonts w:ascii="Century Gothic" w:hAnsi="Century Gothic" w:cs="Arial"/>
          <w:color w:val="000000" w:themeColor="text1"/>
          <w:sz w:val="28"/>
          <w:szCs w:val="28"/>
        </w:rPr>
        <w:t xml:space="preserve">el </w:t>
      </w:r>
      <w:r w:rsidRPr="00343FBE">
        <w:rPr>
          <w:rFonts w:ascii="Century Gothic" w:hAnsi="Century Gothic" w:cs="Arial"/>
          <w:color w:val="000000" w:themeColor="text1"/>
          <w:sz w:val="28"/>
          <w:szCs w:val="28"/>
        </w:rPr>
        <w:t>principio de paridad de género, para los procesos de renovación de los órganos internos.</w:t>
      </w:r>
    </w:p>
    <w:p w:rsidR="00B64475" w:rsidRPr="00343FBE" w:rsidRDefault="00B64475" w:rsidP="00B64475">
      <w:pPr>
        <w:spacing w:line="360" w:lineRule="auto"/>
        <w:jc w:val="both"/>
        <w:rPr>
          <w:rFonts w:ascii="Century Gothic" w:hAnsi="Century Gothic" w:cs="Arial"/>
          <w:color w:val="000000" w:themeColor="text1"/>
          <w:sz w:val="32"/>
          <w:szCs w:val="32"/>
        </w:rPr>
      </w:pPr>
    </w:p>
    <w:p w:rsidR="00B64475" w:rsidRPr="00343FBE" w:rsidRDefault="00B64475" w:rsidP="00B64475">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Lo anterior es así, porque Florencio Torres Romero parte de una premisa equivocada, en tanto que</w:t>
      </w:r>
      <w:r w:rsidR="009643E8" w:rsidRPr="00343FBE">
        <w:rPr>
          <w:rFonts w:ascii="Century Gothic" w:hAnsi="Century Gothic" w:cs="Arial"/>
          <w:color w:val="000000" w:themeColor="text1"/>
          <w:sz w:val="28"/>
          <w:szCs w:val="28"/>
        </w:rPr>
        <w:t>, en principio,</w:t>
      </w:r>
      <w:r w:rsidRPr="00343FBE">
        <w:rPr>
          <w:rFonts w:ascii="Century Gothic" w:hAnsi="Century Gothic" w:cs="Arial"/>
          <w:color w:val="000000" w:themeColor="text1"/>
          <w:sz w:val="28"/>
          <w:szCs w:val="28"/>
        </w:rPr>
        <w:t xml:space="preserve"> no existe disposición constitucional y legal que establezca la obligación </w:t>
      </w:r>
      <w:r w:rsidR="009643E8" w:rsidRPr="00343FBE">
        <w:rPr>
          <w:rFonts w:ascii="Century Gothic" w:hAnsi="Century Gothic" w:cs="Arial"/>
          <w:color w:val="000000" w:themeColor="text1"/>
          <w:sz w:val="28"/>
          <w:szCs w:val="28"/>
        </w:rPr>
        <w:t xml:space="preserve">expresa y directa </w:t>
      </w:r>
      <w:r w:rsidRPr="00343FBE">
        <w:rPr>
          <w:rFonts w:ascii="Century Gothic" w:hAnsi="Century Gothic" w:cs="Arial"/>
          <w:color w:val="000000" w:themeColor="text1"/>
          <w:sz w:val="28"/>
          <w:szCs w:val="28"/>
        </w:rPr>
        <w:t>para los partidos políticos de incluir reglas específicas relativas a la paridad de géneros en la integración de sus órganos de dirección nacional, ni tampoco se advierte el deber de incluir tal reglamentación en los referidos términos en los Estatutos de los partidos políticos.</w:t>
      </w:r>
    </w:p>
    <w:p w:rsidR="00B64475" w:rsidRPr="00343FBE" w:rsidRDefault="00B64475" w:rsidP="00B64475">
      <w:pPr>
        <w:spacing w:line="360" w:lineRule="auto"/>
        <w:jc w:val="both"/>
        <w:rPr>
          <w:rFonts w:ascii="Century Gothic" w:hAnsi="Century Gothic" w:cs="Arial"/>
          <w:color w:val="000000" w:themeColor="text1"/>
          <w:sz w:val="32"/>
          <w:szCs w:val="32"/>
        </w:rPr>
      </w:pPr>
    </w:p>
    <w:p w:rsidR="00B64475" w:rsidRPr="00343FBE" w:rsidRDefault="00B64475" w:rsidP="00B64475">
      <w:pPr>
        <w:spacing w:line="360" w:lineRule="auto"/>
        <w:jc w:val="both"/>
        <w:rPr>
          <w:rFonts w:ascii="Century Gothic" w:hAnsi="Century Gothic" w:cs="Arial"/>
          <w:b/>
          <w:color w:val="000000" w:themeColor="text1"/>
          <w:sz w:val="28"/>
          <w:szCs w:val="28"/>
        </w:rPr>
      </w:pPr>
      <w:r w:rsidRPr="00343FBE">
        <w:rPr>
          <w:rFonts w:ascii="Century Gothic" w:hAnsi="Century Gothic" w:cs="Arial"/>
          <w:color w:val="000000" w:themeColor="text1"/>
          <w:sz w:val="28"/>
          <w:szCs w:val="28"/>
        </w:rPr>
        <w:t xml:space="preserve">En efecto, en el Decreto publicado en el Diario Oficial de la Federación el diez de febrero de dos mil catorce, el artículo 41, base I, párrafo segundo, de la Constitución Federal dispone, que los partidos políticos tienen como uno de sus fines, hacer posible el acceso de la ciudadanía al ejercicio del poder público, entre otros factores, </w:t>
      </w:r>
      <w:r w:rsidRPr="00343FBE">
        <w:rPr>
          <w:rFonts w:ascii="Century Gothic" w:hAnsi="Century Gothic" w:cs="Arial"/>
          <w:b/>
          <w:color w:val="000000" w:themeColor="text1"/>
          <w:sz w:val="28"/>
          <w:szCs w:val="28"/>
        </w:rPr>
        <w:t xml:space="preserve">mediante las reglas que garanticen la paridad entre los géneros, en las candidaturas a legisladores federales y locales. </w:t>
      </w:r>
    </w:p>
    <w:p w:rsidR="00B64475" w:rsidRPr="00343FBE" w:rsidRDefault="00B64475" w:rsidP="00B64475">
      <w:pPr>
        <w:spacing w:line="360" w:lineRule="auto"/>
        <w:jc w:val="both"/>
        <w:rPr>
          <w:rFonts w:ascii="Century Gothic" w:hAnsi="Century Gothic" w:cs="Arial"/>
          <w:color w:val="000000" w:themeColor="text1"/>
          <w:sz w:val="32"/>
          <w:szCs w:val="32"/>
        </w:rPr>
      </w:pPr>
    </w:p>
    <w:p w:rsidR="00B64475" w:rsidRPr="00343FBE" w:rsidRDefault="00B64475" w:rsidP="00B64475">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A su vez, en el artículo 25, párrafo 1, inciso r), de la Ley General de Partidos Políticos se establece como </w:t>
      </w:r>
      <w:proofErr w:type="gramStart"/>
      <w:r w:rsidRPr="00343FBE">
        <w:rPr>
          <w:rFonts w:ascii="Century Gothic" w:hAnsi="Century Gothic" w:cs="Arial"/>
          <w:color w:val="000000" w:themeColor="text1"/>
          <w:sz w:val="28"/>
          <w:szCs w:val="28"/>
        </w:rPr>
        <w:t xml:space="preserve">una </w:t>
      </w:r>
      <w:r w:rsidR="00C07A5A">
        <w:rPr>
          <w:rFonts w:ascii="Century Gothic" w:hAnsi="Century Gothic" w:cs="Arial"/>
          <w:color w:val="000000" w:themeColor="text1"/>
          <w:sz w:val="28"/>
          <w:szCs w:val="28"/>
        </w:rPr>
        <w:t xml:space="preserve"> </w:t>
      </w:r>
      <w:r w:rsidRPr="00343FBE">
        <w:rPr>
          <w:rFonts w:ascii="Century Gothic" w:hAnsi="Century Gothic" w:cs="Arial"/>
          <w:color w:val="000000" w:themeColor="text1"/>
          <w:sz w:val="28"/>
          <w:szCs w:val="28"/>
        </w:rPr>
        <w:lastRenderedPageBreak/>
        <w:t>obligación</w:t>
      </w:r>
      <w:proofErr w:type="gramEnd"/>
      <w:r w:rsidRPr="00343FBE">
        <w:rPr>
          <w:rFonts w:ascii="Century Gothic" w:hAnsi="Century Gothic" w:cs="Arial"/>
          <w:color w:val="000000" w:themeColor="text1"/>
          <w:sz w:val="28"/>
          <w:szCs w:val="28"/>
        </w:rPr>
        <w:t xml:space="preserve"> de los institutos políticos, </w:t>
      </w:r>
      <w:r w:rsidRPr="00343FBE">
        <w:rPr>
          <w:rFonts w:ascii="Century Gothic" w:hAnsi="Century Gothic" w:cs="Arial"/>
          <w:b/>
          <w:color w:val="000000" w:themeColor="text1"/>
          <w:sz w:val="28"/>
          <w:szCs w:val="28"/>
        </w:rPr>
        <w:t>la de garantizar la paridad entre los géneros en candidaturas a legisladores federales y locales</w:t>
      </w:r>
      <w:r w:rsidRPr="00343FBE">
        <w:rPr>
          <w:rFonts w:ascii="Century Gothic" w:hAnsi="Century Gothic" w:cs="Arial"/>
          <w:color w:val="000000" w:themeColor="text1"/>
          <w:sz w:val="28"/>
          <w:szCs w:val="28"/>
        </w:rPr>
        <w:t>.</w:t>
      </w:r>
    </w:p>
    <w:p w:rsidR="00B64475" w:rsidRPr="002E49D8" w:rsidRDefault="00B64475" w:rsidP="00B64475">
      <w:pPr>
        <w:spacing w:line="360" w:lineRule="auto"/>
        <w:jc w:val="both"/>
        <w:rPr>
          <w:rFonts w:ascii="Century Gothic" w:hAnsi="Century Gothic" w:cs="Arial"/>
          <w:color w:val="000000" w:themeColor="text1"/>
          <w:sz w:val="24"/>
          <w:szCs w:val="24"/>
        </w:rPr>
      </w:pPr>
    </w:p>
    <w:p w:rsidR="00B64475" w:rsidRPr="00343FBE" w:rsidRDefault="00B64475" w:rsidP="00B64475">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Por su parte, en el numeral 39, párrafo 1, inciso e), de la Ley General de Partidos Políticos, se dispone que los estatutos establecerán las normas y procedimientos democráticos para la integración y renovación de los órganos internos, así como las funciones, facultades u obligaciones de los mismos.</w:t>
      </w:r>
    </w:p>
    <w:p w:rsidR="00B64475" w:rsidRPr="002E49D8" w:rsidRDefault="00B64475" w:rsidP="00B64475">
      <w:pPr>
        <w:spacing w:line="360" w:lineRule="auto"/>
        <w:jc w:val="both"/>
        <w:rPr>
          <w:rFonts w:ascii="Century Gothic" w:hAnsi="Century Gothic" w:cs="Arial"/>
          <w:color w:val="000000" w:themeColor="text1"/>
          <w:sz w:val="24"/>
          <w:szCs w:val="24"/>
        </w:rPr>
      </w:pPr>
    </w:p>
    <w:p w:rsidR="00B64475" w:rsidRPr="00343FBE" w:rsidRDefault="00B64475" w:rsidP="00B64475">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De lo anterior, se advierte que no existe disposición constitucional o legal que establezca la obligación de incluir la paridad de géneros en la integración de los órganos de dirección partidista, en la normativa estatutaria de los partidos políticos.</w:t>
      </w:r>
    </w:p>
    <w:p w:rsidR="001A63DC" w:rsidRPr="002E49D8" w:rsidRDefault="001A63DC" w:rsidP="00B64475">
      <w:pPr>
        <w:spacing w:line="360" w:lineRule="auto"/>
        <w:jc w:val="both"/>
        <w:rPr>
          <w:rFonts w:ascii="Century Gothic" w:hAnsi="Century Gothic" w:cs="Arial"/>
          <w:color w:val="000000" w:themeColor="text1"/>
          <w:sz w:val="24"/>
          <w:szCs w:val="24"/>
        </w:rPr>
      </w:pPr>
    </w:p>
    <w:p w:rsidR="001A63DC" w:rsidRPr="00343FBE" w:rsidRDefault="001A63DC" w:rsidP="001A63D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De ahí que</w:t>
      </w:r>
      <w:r w:rsidR="003E4C63" w:rsidRPr="00343FBE">
        <w:rPr>
          <w:rFonts w:ascii="Century Gothic" w:hAnsi="Century Gothic" w:cs="Arial"/>
          <w:color w:val="000000" w:themeColor="text1"/>
          <w:sz w:val="28"/>
          <w:szCs w:val="28"/>
        </w:rPr>
        <w:t>,</w:t>
      </w:r>
      <w:r w:rsidRPr="00343FBE">
        <w:rPr>
          <w:rFonts w:ascii="Century Gothic" w:hAnsi="Century Gothic" w:cs="Arial"/>
          <w:color w:val="000000" w:themeColor="text1"/>
          <w:sz w:val="28"/>
          <w:szCs w:val="28"/>
        </w:rPr>
        <w:t xml:space="preserve"> no le asiste la razón a Florencio Torres Romero, al aducir que la norma estatutaria del PT deviene inconstitucional, por no incorporar el principio de paridad de género en la integración de sus órganos de dirección, al no existir una obligación en tal sentido.</w:t>
      </w:r>
    </w:p>
    <w:p w:rsidR="001A63DC" w:rsidRPr="002E49D8" w:rsidRDefault="001A63DC" w:rsidP="00B64475">
      <w:pPr>
        <w:spacing w:line="360" w:lineRule="auto"/>
        <w:jc w:val="both"/>
        <w:rPr>
          <w:rFonts w:ascii="Century Gothic" w:hAnsi="Century Gothic" w:cs="Arial"/>
          <w:color w:val="000000" w:themeColor="text1"/>
          <w:sz w:val="24"/>
          <w:szCs w:val="24"/>
        </w:rPr>
      </w:pPr>
    </w:p>
    <w:p w:rsidR="00C82441" w:rsidRPr="00343FBE" w:rsidRDefault="008D6B49" w:rsidP="006A2BF9">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Sin embargo, </w:t>
      </w:r>
      <w:r w:rsidR="00C82441" w:rsidRPr="00343FBE">
        <w:rPr>
          <w:rFonts w:ascii="Century Gothic" w:hAnsi="Century Gothic" w:cs="Arial"/>
          <w:color w:val="000000" w:themeColor="text1"/>
          <w:sz w:val="28"/>
          <w:szCs w:val="28"/>
        </w:rPr>
        <w:t xml:space="preserve">a pesar de lo anterior, </w:t>
      </w:r>
      <w:r w:rsidRPr="00343FBE">
        <w:rPr>
          <w:rFonts w:ascii="Century Gothic" w:hAnsi="Century Gothic" w:cs="Arial"/>
          <w:color w:val="000000" w:themeColor="text1"/>
          <w:sz w:val="28"/>
          <w:szCs w:val="28"/>
        </w:rPr>
        <w:t xml:space="preserve">esta Sala Superior advierte que </w:t>
      </w:r>
      <w:r w:rsidR="00C82441" w:rsidRPr="00343FBE">
        <w:rPr>
          <w:rFonts w:ascii="Century Gothic" w:hAnsi="Century Gothic" w:cs="Arial"/>
          <w:color w:val="000000" w:themeColor="text1"/>
          <w:sz w:val="28"/>
          <w:szCs w:val="28"/>
        </w:rPr>
        <w:t xml:space="preserve">el PT tiene el deber de observar la paridad de género, así como de promover la participación política de la militancia y la igualdad entre hombres y mujeres, a </w:t>
      </w:r>
      <w:r w:rsidR="00C82441" w:rsidRPr="00343FBE">
        <w:rPr>
          <w:rFonts w:ascii="Century Gothic" w:hAnsi="Century Gothic" w:cs="Arial"/>
          <w:color w:val="000000" w:themeColor="text1"/>
          <w:sz w:val="28"/>
          <w:szCs w:val="28"/>
        </w:rPr>
        <w:lastRenderedPageBreak/>
        <w:t xml:space="preserve">efecto de integrar los órganos de dirección partidistas, aunque para ello se tenga que </w:t>
      </w:r>
      <w:r w:rsidR="00846336" w:rsidRPr="00343FBE">
        <w:rPr>
          <w:rFonts w:ascii="Century Gothic" w:hAnsi="Century Gothic" w:cs="Arial"/>
          <w:color w:val="000000" w:themeColor="text1"/>
          <w:sz w:val="28"/>
          <w:szCs w:val="28"/>
        </w:rPr>
        <w:t>supli</w:t>
      </w:r>
      <w:r w:rsidR="00C82441" w:rsidRPr="00343FBE">
        <w:rPr>
          <w:rFonts w:ascii="Century Gothic" w:hAnsi="Century Gothic" w:cs="Arial"/>
          <w:color w:val="000000" w:themeColor="text1"/>
          <w:sz w:val="28"/>
          <w:szCs w:val="28"/>
        </w:rPr>
        <w:t>r</w:t>
      </w:r>
      <w:r w:rsidR="00846336" w:rsidRPr="00343FBE">
        <w:rPr>
          <w:rFonts w:ascii="Century Gothic" w:hAnsi="Century Gothic" w:cs="Arial"/>
          <w:color w:val="000000" w:themeColor="text1"/>
          <w:sz w:val="28"/>
          <w:szCs w:val="28"/>
        </w:rPr>
        <w:t xml:space="preserve"> la deficiencia de la queja</w:t>
      </w:r>
      <w:r w:rsidR="00640E36" w:rsidRPr="00343FBE">
        <w:rPr>
          <w:rFonts w:ascii="Century Gothic" w:hAnsi="Century Gothic" w:cs="Arial"/>
          <w:color w:val="000000" w:themeColor="text1"/>
          <w:sz w:val="28"/>
          <w:szCs w:val="28"/>
        </w:rPr>
        <w:t xml:space="preserve"> en el planteamiento del actor</w:t>
      </w:r>
      <w:r w:rsidR="00C82441" w:rsidRPr="00343FBE">
        <w:rPr>
          <w:rFonts w:ascii="Century Gothic" w:hAnsi="Century Gothic" w:cs="Arial"/>
          <w:color w:val="000000" w:themeColor="text1"/>
          <w:sz w:val="28"/>
          <w:szCs w:val="28"/>
        </w:rPr>
        <w:t>.</w:t>
      </w:r>
    </w:p>
    <w:p w:rsidR="00582756" w:rsidRPr="00343FBE" w:rsidRDefault="00582756" w:rsidP="00582756">
      <w:pPr>
        <w:spacing w:line="360" w:lineRule="auto"/>
        <w:jc w:val="both"/>
        <w:rPr>
          <w:rFonts w:ascii="Century Gothic" w:hAnsi="Century Gothic" w:cs="Arial"/>
          <w:sz w:val="28"/>
          <w:szCs w:val="28"/>
        </w:rPr>
      </w:pPr>
      <w:r w:rsidRPr="00343FBE">
        <w:rPr>
          <w:rFonts w:ascii="Century Gothic" w:hAnsi="Century Gothic" w:cs="Arial"/>
          <w:sz w:val="28"/>
          <w:szCs w:val="28"/>
        </w:rPr>
        <w:t>En efecto, el artículo 17 de la Constitución Política de los Estados Unidos Mexicanos reconoce el derecho de acceso a la justicia en favor de todos los gobernados, el cual se traduce en un derecho público subjetivo, conforme al cual todo gobernado y gobernada puede acudir ante un órgano jurisdiccional, a fin de que estos se pronuncien respecto de una situación o hecho que a juicio de</w:t>
      </w:r>
      <w:r w:rsidR="002A25A1" w:rsidRPr="00343FBE">
        <w:rPr>
          <w:rFonts w:ascii="Century Gothic" w:hAnsi="Century Gothic" w:cs="Arial"/>
          <w:sz w:val="28"/>
          <w:szCs w:val="28"/>
        </w:rPr>
        <w:t xml:space="preserve"> </w:t>
      </w:r>
      <w:r w:rsidRPr="00343FBE">
        <w:rPr>
          <w:rFonts w:ascii="Century Gothic" w:hAnsi="Century Gothic" w:cs="Arial"/>
          <w:sz w:val="28"/>
          <w:szCs w:val="28"/>
        </w:rPr>
        <w:t>l</w:t>
      </w:r>
      <w:r w:rsidR="002A25A1" w:rsidRPr="00343FBE">
        <w:rPr>
          <w:rFonts w:ascii="Century Gothic" w:hAnsi="Century Gothic" w:cs="Arial"/>
          <w:sz w:val="28"/>
          <w:szCs w:val="28"/>
        </w:rPr>
        <w:t>a</w:t>
      </w:r>
      <w:r w:rsidRPr="00343FBE">
        <w:rPr>
          <w:rFonts w:ascii="Century Gothic" w:hAnsi="Century Gothic" w:cs="Arial"/>
          <w:sz w:val="28"/>
          <w:szCs w:val="28"/>
        </w:rPr>
        <w:t xml:space="preserve"> </w:t>
      </w:r>
      <w:r w:rsidR="002A25A1" w:rsidRPr="00343FBE">
        <w:rPr>
          <w:rFonts w:ascii="Century Gothic" w:hAnsi="Century Gothic" w:cs="Arial"/>
          <w:sz w:val="28"/>
          <w:szCs w:val="28"/>
        </w:rPr>
        <w:t xml:space="preserve">parte </w:t>
      </w:r>
      <w:r w:rsidRPr="00343FBE">
        <w:rPr>
          <w:rFonts w:ascii="Century Gothic" w:hAnsi="Century Gothic" w:cs="Arial"/>
          <w:sz w:val="28"/>
          <w:szCs w:val="28"/>
        </w:rPr>
        <w:t>accionante implique un menoscabo o restricción de algún derecho de que afirme ser titular.</w:t>
      </w:r>
    </w:p>
    <w:p w:rsidR="002A25A1" w:rsidRPr="002E49D8" w:rsidRDefault="002A25A1" w:rsidP="00582756">
      <w:pPr>
        <w:spacing w:line="360" w:lineRule="auto"/>
        <w:jc w:val="both"/>
        <w:rPr>
          <w:rFonts w:ascii="Century Gothic" w:hAnsi="Century Gothic" w:cs="Arial"/>
          <w:sz w:val="24"/>
          <w:szCs w:val="24"/>
        </w:rPr>
      </w:pPr>
    </w:p>
    <w:p w:rsidR="00582756" w:rsidRPr="00343FBE" w:rsidRDefault="00582756" w:rsidP="00582756">
      <w:pPr>
        <w:spacing w:line="360" w:lineRule="auto"/>
        <w:jc w:val="both"/>
        <w:rPr>
          <w:rFonts w:ascii="Century Gothic" w:hAnsi="Century Gothic" w:cs="Arial"/>
          <w:sz w:val="28"/>
          <w:szCs w:val="28"/>
        </w:rPr>
      </w:pPr>
      <w:r w:rsidRPr="00343FBE">
        <w:rPr>
          <w:rFonts w:ascii="Century Gothic" w:hAnsi="Century Gothic" w:cs="Arial"/>
          <w:sz w:val="28"/>
          <w:szCs w:val="28"/>
        </w:rPr>
        <w:t>La citada garantía fundamental además de traducirse en un derecho a favor de</w:t>
      </w:r>
      <w:r w:rsidR="002A25A1" w:rsidRPr="00343FBE">
        <w:rPr>
          <w:rFonts w:ascii="Century Gothic" w:hAnsi="Century Gothic" w:cs="Arial"/>
          <w:sz w:val="28"/>
          <w:szCs w:val="28"/>
        </w:rPr>
        <w:t xml:space="preserve"> </w:t>
      </w:r>
      <w:r w:rsidRPr="00343FBE">
        <w:rPr>
          <w:rFonts w:ascii="Century Gothic" w:hAnsi="Century Gothic" w:cs="Arial"/>
          <w:sz w:val="28"/>
          <w:szCs w:val="28"/>
        </w:rPr>
        <w:t>l</w:t>
      </w:r>
      <w:r w:rsidR="002A25A1" w:rsidRPr="00343FBE">
        <w:rPr>
          <w:rFonts w:ascii="Century Gothic" w:hAnsi="Century Gothic" w:cs="Arial"/>
          <w:sz w:val="28"/>
          <w:szCs w:val="28"/>
        </w:rPr>
        <w:t>a</w:t>
      </w:r>
      <w:r w:rsidRPr="00343FBE">
        <w:rPr>
          <w:rFonts w:ascii="Century Gothic" w:hAnsi="Century Gothic" w:cs="Arial"/>
          <w:sz w:val="28"/>
          <w:szCs w:val="28"/>
        </w:rPr>
        <w:t xml:space="preserve"> </w:t>
      </w:r>
      <w:r w:rsidR="002A25A1" w:rsidRPr="00343FBE">
        <w:rPr>
          <w:rFonts w:ascii="Century Gothic" w:hAnsi="Century Gothic" w:cs="Arial"/>
          <w:sz w:val="28"/>
          <w:szCs w:val="28"/>
        </w:rPr>
        <w:t>ciudadanía</w:t>
      </w:r>
      <w:r w:rsidRPr="00343FBE">
        <w:rPr>
          <w:rFonts w:ascii="Century Gothic" w:hAnsi="Century Gothic" w:cs="Arial"/>
          <w:sz w:val="28"/>
          <w:szCs w:val="28"/>
        </w:rPr>
        <w:t>, también implica el cumplimiento, ineludible, de una serie de obligaciones a cargo de los entes públicos responsables del servicio de impartición de justicia.</w:t>
      </w:r>
    </w:p>
    <w:p w:rsidR="00156BD3" w:rsidRPr="002E49D8" w:rsidRDefault="00156BD3" w:rsidP="00582756">
      <w:pPr>
        <w:spacing w:line="360" w:lineRule="auto"/>
        <w:jc w:val="both"/>
        <w:rPr>
          <w:rFonts w:ascii="Century Gothic" w:hAnsi="Century Gothic" w:cs="Arial"/>
          <w:sz w:val="24"/>
          <w:szCs w:val="24"/>
        </w:rPr>
      </w:pPr>
    </w:p>
    <w:p w:rsidR="00582756" w:rsidRPr="00343FBE" w:rsidRDefault="00582756" w:rsidP="00582756">
      <w:pPr>
        <w:spacing w:line="360" w:lineRule="auto"/>
        <w:jc w:val="both"/>
        <w:rPr>
          <w:rFonts w:ascii="Century Gothic" w:hAnsi="Century Gothic" w:cs="Arial"/>
          <w:sz w:val="28"/>
          <w:szCs w:val="28"/>
        </w:rPr>
      </w:pPr>
      <w:r w:rsidRPr="00343FBE">
        <w:rPr>
          <w:rFonts w:ascii="Century Gothic" w:hAnsi="Century Gothic" w:cs="Arial"/>
          <w:sz w:val="28"/>
          <w:szCs w:val="28"/>
        </w:rPr>
        <w:t>Conforme a esto, la norma fundamental establece que la impartición de justicia debe ser pronta, completa y expedita, lo cual implica la existencia normas y reglas mediante las cuales se establezcan procedimiento y plazos razonables para la promoción y resolución de los medios de impugnación, de tal forma, que la reparación del derecho transgredido pueda ser materialmente posible.</w:t>
      </w:r>
    </w:p>
    <w:p w:rsidR="002A25A1" w:rsidRPr="002E49D8" w:rsidRDefault="002A25A1" w:rsidP="00582756">
      <w:pPr>
        <w:spacing w:line="360" w:lineRule="auto"/>
        <w:jc w:val="both"/>
        <w:rPr>
          <w:rFonts w:ascii="Century Gothic" w:hAnsi="Century Gothic" w:cs="Arial"/>
          <w:sz w:val="24"/>
          <w:szCs w:val="24"/>
        </w:rPr>
      </w:pPr>
    </w:p>
    <w:p w:rsidR="00582756" w:rsidRPr="00343FBE" w:rsidRDefault="00582756" w:rsidP="00582756">
      <w:pPr>
        <w:spacing w:line="360" w:lineRule="auto"/>
        <w:jc w:val="both"/>
        <w:rPr>
          <w:rFonts w:ascii="Century Gothic" w:hAnsi="Century Gothic" w:cs="Arial"/>
          <w:sz w:val="28"/>
          <w:szCs w:val="28"/>
        </w:rPr>
      </w:pPr>
      <w:r w:rsidRPr="00343FBE">
        <w:rPr>
          <w:rFonts w:ascii="Century Gothic" w:hAnsi="Century Gothic" w:cs="Arial"/>
          <w:sz w:val="28"/>
          <w:szCs w:val="28"/>
        </w:rPr>
        <w:lastRenderedPageBreak/>
        <w:t>Por otra parte, la completitud en la impartición de justicia implica que la decisión de los órganos judiciales tenga el mayor alcance protector, tomando las medidas necesarias para remover todos aquellos formalismos que sean innecesarios para la resolución del caso. Asimismo, implica la necesidad de que los órganos judiciales tomen las determinaciones idóneas para el cumplimiento de sus resoluciones.</w:t>
      </w:r>
    </w:p>
    <w:p w:rsidR="002A25A1" w:rsidRPr="00580DA8" w:rsidRDefault="002A25A1" w:rsidP="00582756">
      <w:pPr>
        <w:spacing w:line="360" w:lineRule="auto"/>
        <w:jc w:val="both"/>
        <w:rPr>
          <w:rFonts w:ascii="Century Gothic" w:hAnsi="Century Gothic" w:cs="Arial"/>
          <w:sz w:val="16"/>
          <w:szCs w:val="16"/>
        </w:rPr>
      </w:pPr>
    </w:p>
    <w:p w:rsidR="00582756" w:rsidRPr="00343FBE" w:rsidRDefault="00582756" w:rsidP="00582756">
      <w:pPr>
        <w:spacing w:line="360" w:lineRule="auto"/>
        <w:jc w:val="both"/>
        <w:rPr>
          <w:rFonts w:ascii="Century Gothic" w:hAnsi="Century Gothic" w:cs="Arial"/>
          <w:sz w:val="28"/>
          <w:szCs w:val="28"/>
        </w:rPr>
      </w:pPr>
      <w:r w:rsidRPr="00343FBE">
        <w:rPr>
          <w:rFonts w:ascii="Century Gothic" w:hAnsi="Century Gothic" w:cs="Arial"/>
          <w:sz w:val="28"/>
          <w:szCs w:val="28"/>
        </w:rPr>
        <w:t>De lo señalado se concluye que el principio de acceso a la justica garantiza a</w:t>
      </w:r>
      <w:r w:rsidR="00122909" w:rsidRPr="00343FBE">
        <w:rPr>
          <w:rFonts w:ascii="Century Gothic" w:hAnsi="Century Gothic" w:cs="Arial"/>
          <w:sz w:val="28"/>
          <w:szCs w:val="28"/>
        </w:rPr>
        <w:t xml:space="preserve"> la ciudadanía </w:t>
      </w:r>
      <w:r w:rsidRPr="00343FBE">
        <w:rPr>
          <w:rFonts w:ascii="Century Gothic" w:hAnsi="Century Gothic" w:cs="Arial"/>
          <w:sz w:val="28"/>
          <w:szCs w:val="28"/>
        </w:rPr>
        <w:t>el acceso directo e inmediato a los tribunales para la defensa de sus derechos y demás intereses jurídicamente relevantes, derecho que se traduce en la obligación estatal de crear reglas y condiciones en ley tendientes a dar entrada efectivamente a las demandas en las cuales se plantee una controversia, así como a prever los mecanismos para procesar instrumentalmente los planteamientos formulados en tales demandas, hasta el dictado de un fallo en el que se aplique el derecho al caso concreto.</w:t>
      </w:r>
    </w:p>
    <w:p w:rsidR="00582756" w:rsidRPr="00580DA8" w:rsidRDefault="00582756" w:rsidP="00582756">
      <w:pPr>
        <w:spacing w:line="360" w:lineRule="auto"/>
        <w:jc w:val="both"/>
        <w:rPr>
          <w:rFonts w:ascii="Century Gothic" w:hAnsi="Century Gothic" w:cs="Arial"/>
          <w:sz w:val="16"/>
          <w:szCs w:val="16"/>
        </w:rPr>
      </w:pPr>
    </w:p>
    <w:p w:rsidR="00582756" w:rsidRPr="00343FBE" w:rsidRDefault="00582756" w:rsidP="00582756">
      <w:pPr>
        <w:spacing w:line="360" w:lineRule="auto"/>
        <w:jc w:val="both"/>
        <w:rPr>
          <w:rFonts w:ascii="Century Gothic" w:hAnsi="Century Gothic" w:cs="Arial"/>
          <w:sz w:val="28"/>
          <w:szCs w:val="28"/>
        </w:rPr>
      </w:pPr>
      <w:r w:rsidRPr="00343FBE">
        <w:rPr>
          <w:rFonts w:ascii="Century Gothic" w:hAnsi="Century Gothic" w:cs="Arial"/>
          <w:sz w:val="28"/>
          <w:szCs w:val="28"/>
        </w:rPr>
        <w:t xml:space="preserve">Ahora bien, de acuerdo con lo señalado en el artículo 21, párrafo 2 de la Ley General del Sistema de Medios de Impugnación en Materia Electoral, las Salas del Tribunal Electoral del Poder Judicial de la Federación tienen la obligación de suplir la deficiencia en la expresión de los agravios, entre otros, en el juicio para la protección de los </w:t>
      </w:r>
      <w:r w:rsidRPr="00343FBE">
        <w:rPr>
          <w:rFonts w:ascii="Century Gothic" w:hAnsi="Century Gothic" w:cs="Arial"/>
          <w:sz w:val="28"/>
          <w:szCs w:val="28"/>
        </w:rPr>
        <w:lastRenderedPageBreak/>
        <w:t>derechos político-electorales del ciudadano, siempre que los mismos pueda ser deducidos con claridad de los hechos expuestos en la demanda.</w:t>
      </w:r>
    </w:p>
    <w:p w:rsidR="00AC7A38" w:rsidRPr="00580DA8" w:rsidRDefault="00AC7A38" w:rsidP="00582756">
      <w:pPr>
        <w:spacing w:line="360" w:lineRule="auto"/>
        <w:jc w:val="both"/>
        <w:rPr>
          <w:rFonts w:ascii="Century Gothic" w:hAnsi="Century Gothic" w:cs="Arial"/>
          <w:sz w:val="16"/>
          <w:szCs w:val="16"/>
        </w:rPr>
      </w:pPr>
    </w:p>
    <w:p w:rsidR="00582756" w:rsidRPr="00343FBE" w:rsidRDefault="00582756" w:rsidP="00582756">
      <w:pPr>
        <w:spacing w:line="360" w:lineRule="auto"/>
        <w:jc w:val="both"/>
        <w:rPr>
          <w:rFonts w:ascii="Century Gothic" w:hAnsi="Century Gothic" w:cs="Arial"/>
          <w:sz w:val="28"/>
          <w:szCs w:val="28"/>
        </w:rPr>
      </w:pPr>
      <w:r w:rsidRPr="00343FBE">
        <w:rPr>
          <w:rFonts w:ascii="Century Gothic" w:hAnsi="Century Gothic" w:cs="Arial"/>
          <w:sz w:val="28"/>
          <w:szCs w:val="28"/>
        </w:rPr>
        <w:t>Esta regla procesal, que se impone como una obligación de los órganos jurisdiccionales, tiene como finalidad la de remover aquellos obstáculos que puedan incidir en la adecuada tutela de un derecho que se afirma transgredido, sobre todo aquellos casos en los que se está en presencia de violaciones de derechos de grupos vulnerables, tradicionalmente discriminados o categorías sospechosas.</w:t>
      </w:r>
    </w:p>
    <w:p w:rsidR="00673C8D" w:rsidRPr="00580DA8" w:rsidRDefault="00673C8D" w:rsidP="00582756">
      <w:pPr>
        <w:spacing w:line="360" w:lineRule="auto"/>
        <w:jc w:val="both"/>
        <w:rPr>
          <w:rFonts w:ascii="Century Gothic" w:hAnsi="Century Gothic" w:cs="Arial"/>
          <w:sz w:val="16"/>
          <w:szCs w:val="16"/>
        </w:rPr>
      </w:pPr>
    </w:p>
    <w:p w:rsidR="00582756" w:rsidRPr="00343FBE" w:rsidRDefault="00582756" w:rsidP="00582756">
      <w:pPr>
        <w:spacing w:line="360" w:lineRule="auto"/>
        <w:jc w:val="both"/>
        <w:rPr>
          <w:rFonts w:ascii="Century Gothic" w:hAnsi="Century Gothic" w:cs="Arial"/>
          <w:i/>
          <w:sz w:val="28"/>
          <w:szCs w:val="28"/>
        </w:rPr>
      </w:pPr>
      <w:r w:rsidRPr="00343FBE">
        <w:rPr>
          <w:rFonts w:ascii="Century Gothic" w:hAnsi="Century Gothic" w:cs="Arial"/>
          <w:sz w:val="28"/>
          <w:szCs w:val="28"/>
        </w:rPr>
        <w:t xml:space="preserve">Al respecto, se considera como personas o grupos vulnerables a aquella </w:t>
      </w:r>
      <w:r w:rsidRPr="00343FBE">
        <w:rPr>
          <w:rFonts w:ascii="Century Gothic" w:hAnsi="Century Gothic" w:cs="Arial"/>
          <w:i/>
          <w:sz w:val="28"/>
          <w:szCs w:val="28"/>
        </w:rPr>
        <w:t>persona o grupo que por sus características de desventaja por edad, sexo, estado civil; nivel educativo, origen étnico, situación o condición física y/o mental; requieren de un esfuerzo adicional para incorporarse al desarrollo y a la convivencia</w:t>
      </w:r>
      <w:r w:rsidRPr="00343FBE">
        <w:rPr>
          <w:rStyle w:val="Refdenotaalpie"/>
          <w:rFonts w:ascii="Century Gothic" w:hAnsi="Century Gothic" w:cs="Arial"/>
          <w:i/>
          <w:sz w:val="28"/>
          <w:szCs w:val="28"/>
        </w:rPr>
        <w:footnoteReference w:id="8"/>
      </w:r>
      <w:r w:rsidRPr="00343FBE">
        <w:rPr>
          <w:rFonts w:ascii="Century Gothic" w:hAnsi="Century Gothic" w:cs="Arial"/>
          <w:i/>
          <w:sz w:val="28"/>
          <w:szCs w:val="28"/>
        </w:rPr>
        <w:t>.</w:t>
      </w:r>
    </w:p>
    <w:p w:rsidR="0012197B" w:rsidRPr="00580DA8" w:rsidRDefault="0012197B" w:rsidP="00582756">
      <w:pPr>
        <w:spacing w:line="360" w:lineRule="auto"/>
        <w:jc w:val="both"/>
        <w:rPr>
          <w:rFonts w:ascii="Century Gothic" w:hAnsi="Century Gothic" w:cs="Arial"/>
          <w:i/>
          <w:sz w:val="16"/>
          <w:szCs w:val="16"/>
        </w:rPr>
      </w:pPr>
    </w:p>
    <w:p w:rsidR="00582756" w:rsidRPr="00343FBE" w:rsidRDefault="00582756" w:rsidP="00582756">
      <w:pPr>
        <w:spacing w:line="360" w:lineRule="auto"/>
        <w:jc w:val="both"/>
        <w:rPr>
          <w:rFonts w:ascii="Century Gothic" w:hAnsi="Century Gothic" w:cs="Arial"/>
          <w:sz w:val="28"/>
          <w:szCs w:val="28"/>
        </w:rPr>
      </w:pPr>
      <w:r w:rsidRPr="00343FBE">
        <w:rPr>
          <w:rFonts w:ascii="Century Gothic" w:hAnsi="Century Gothic" w:cs="Arial"/>
          <w:sz w:val="28"/>
          <w:szCs w:val="28"/>
        </w:rPr>
        <w:t>La situación de vulnerabilidad se traduce en un impedimento para el pleno desarrollo individual y familiar de estos grupos sociales.</w:t>
      </w:r>
    </w:p>
    <w:p w:rsidR="0012197B" w:rsidRPr="00580DA8" w:rsidRDefault="0012197B" w:rsidP="00582756">
      <w:pPr>
        <w:spacing w:line="360" w:lineRule="auto"/>
        <w:jc w:val="both"/>
        <w:rPr>
          <w:rFonts w:ascii="Century Gothic" w:hAnsi="Century Gothic" w:cs="Arial"/>
          <w:sz w:val="16"/>
          <w:szCs w:val="16"/>
        </w:rPr>
      </w:pPr>
    </w:p>
    <w:p w:rsidR="00582756" w:rsidRPr="00343FBE" w:rsidRDefault="00582756" w:rsidP="00582756">
      <w:pPr>
        <w:spacing w:line="360" w:lineRule="auto"/>
        <w:jc w:val="both"/>
        <w:rPr>
          <w:rFonts w:ascii="Century Gothic" w:hAnsi="Century Gothic" w:cs="Arial"/>
          <w:sz w:val="28"/>
          <w:szCs w:val="28"/>
        </w:rPr>
      </w:pPr>
      <w:r w:rsidRPr="00343FBE">
        <w:rPr>
          <w:rFonts w:ascii="Century Gothic" w:hAnsi="Century Gothic" w:cs="Arial"/>
          <w:sz w:val="28"/>
          <w:szCs w:val="28"/>
        </w:rPr>
        <w:lastRenderedPageBreak/>
        <w:t xml:space="preserve">Por tanto, esta Sala Superior considera </w:t>
      </w:r>
      <w:proofErr w:type="gramStart"/>
      <w:r w:rsidRPr="00343FBE">
        <w:rPr>
          <w:rFonts w:ascii="Century Gothic" w:hAnsi="Century Gothic" w:cs="Arial"/>
          <w:sz w:val="28"/>
          <w:szCs w:val="28"/>
        </w:rPr>
        <w:t>que</w:t>
      </w:r>
      <w:proofErr w:type="gramEnd"/>
      <w:r w:rsidRPr="00343FBE">
        <w:rPr>
          <w:rFonts w:ascii="Century Gothic" w:hAnsi="Century Gothic" w:cs="Arial"/>
          <w:sz w:val="28"/>
          <w:szCs w:val="28"/>
        </w:rPr>
        <w:t xml:space="preserve"> en el caso, a efecto de cumplir con la garantía de acceso a la justicia, sustancialmente en cuanto a la impartición de una justicia completa, se debe suplir la queja, con la finalidad de dar un alcance protector suficiente, relevante e idóneo.</w:t>
      </w:r>
    </w:p>
    <w:p w:rsidR="0012197B" w:rsidRPr="00580DA8" w:rsidRDefault="0012197B" w:rsidP="00582756">
      <w:pPr>
        <w:spacing w:line="360" w:lineRule="auto"/>
        <w:jc w:val="both"/>
        <w:rPr>
          <w:rFonts w:ascii="Century Gothic" w:hAnsi="Century Gothic" w:cs="Arial"/>
          <w:sz w:val="16"/>
          <w:szCs w:val="16"/>
        </w:rPr>
      </w:pPr>
    </w:p>
    <w:p w:rsidR="00582756" w:rsidRPr="00343FBE" w:rsidRDefault="00582756" w:rsidP="00582756">
      <w:pPr>
        <w:spacing w:line="360" w:lineRule="auto"/>
        <w:jc w:val="both"/>
        <w:rPr>
          <w:rFonts w:ascii="Century Gothic" w:hAnsi="Century Gothic" w:cs="Arial"/>
          <w:sz w:val="28"/>
          <w:szCs w:val="28"/>
        </w:rPr>
      </w:pPr>
      <w:r w:rsidRPr="00343FBE">
        <w:rPr>
          <w:rFonts w:ascii="Century Gothic" w:hAnsi="Century Gothic" w:cs="Arial"/>
          <w:sz w:val="28"/>
          <w:szCs w:val="28"/>
        </w:rPr>
        <w:t xml:space="preserve">En el caso, del análisis del escrito de demanda, se aprecia que las manifestaciones formuladas por el actor están encaminadas a tratar </w:t>
      </w:r>
      <w:r w:rsidR="00186698" w:rsidRPr="00343FBE">
        <w:rPr>
          <w:rFonts w:ascii="Century Gothic" w:hAnsi="Century Gothic" w:cs="Arial"/>
          <w:sz w:val="28"/>
          <w:szCs w:val="28"/>
        </w:rPr>
        <w:t xml:space="preserve">de </w:t>
      </w:r>
      <w:r w:rsidRPr="00343FBE">
        <w:rPr>
          <w:rFonts w:ascii="Century Gothic" w:hAnsi="Century Gothic" w:cs="Arial"/>
          <w:sz w:val="28"/>
          <w:szCs w:val="28"/>
        </w:rPr>
        <w:t xml:space="preserve">evidenciar el incumplimiento del partido político de una regulación en </w:t>
      </w:r>
      <w:r w:rsidR="00186698" w:rsidRPr="00343FBE">
        <w:rPr>
          <w:rFonts w:ascii="Century Gothic" w:hAnsi="Century Gothic" w:cs="Arial"/>
          <w:sz w:val="28"/>
          <w:szCs w:val="28"/>
        </w:rPr>
        <w:t xml:space="preserve">la </w:t>
      </w:r>
      <w:r w:rsidRPr="00343FBE">
        <w:rPr>
          <w:rFonts w:ascii="Century Gothic" w:hAnsi="Century Gothic" w:cs="Arial"/>
          <w:sz w:val="28"/>
          <w:szCs w:val="28"/>
        </w:rPr>
        <w:t>normativa interna, de reglas mínimas para que en la integración de los órganos partidistas se cumpla con el principio de paridad de género.</w:t>
      </w:r>
    </w:p>
    <w:p w:rsidR="00186698" w:rsidRPr="00580DA8" w:rsidRDefault="00186698" w:rsidP="00582756">
      <w:pPr>
        <w:spacing w:line="360" w:lineRule="auto"/>
        <w:jc w:val="both"/>
        <w:rPr>
          <w:rFonts w:ascii="Century Gothic" w:hAnsi="Century Gothic" w:cs="Arial"/>
          <w:sz w:val="16"/>
          <w:szCs w:val="16"/>
        </w:rPr>
      </w:pPr>
    </w:p>
    <w:p w:rsidR="00582756" w:rsidRPr="00343FBE" w:rsidRDefault="00582756" w:rsidP="00582756">
      <w:pPr>
        <w:spacing w:line="360" w:lineRule="auto"/>
        <w:jc w:val="both"/>
        <w:rPr>
          <w:rFonts w:ascii="Century Gothic" w:hAnsi="Century Gothic" w:cs="Arial"/>
          <w:sz w:val="28"/>
          <w:szCs w:val="28"/>
        </w:rPr>
      </w:pPr>
      <w:r w:rsidRPr="00343FBE">
        <w:rPr>
          <w:rFonts w:ascii="Century Gothic" w:hAnsi="Century Gothic" w:cs="Arial"/>
          <w:sz w:val="28"/>
          <w:szCs w:val="28"/>
        </w:rPr>
        <w:t xml:space="preserve">En el caso, como ya se señaló se está en presencia de una serie de manifestaciones que tiene por objeto asegurar el cumplimiento de derechos fundamentales como son los de igualdad y paridad de género previstos en los artículos 4º y 41 de la Norma Fundamental, en beneficio de las militantes del Partido del Trabajo, por lo que se debe hacer un análisis reforzado con la finalidad </w:t>
      </w:r>
      <w:r w:rsidR="00AC7A38" w:rsidRPr="00343FBE">
        <w:rPr>
          <w:rFonts w:ascii="Century Gothic" w:hAnsi="Century Gothic" w:cs="Arial"/>
          <w:sz w:val="28"/>
          <w:szCs w:val="28"/>
        </w:rPr>
        <w:t xml:space="preserve">de </w:t>
      </w:r>
      <w:r w:rsidRPr="00343FBE">
        <w:rPr>
          <w:rFonts w:ascii="Century Gothic" w:hAnsi="Century Gothic" w:cs="Arial"/>
          <w:sz w:val="28"/>
          <w:szCs w:val="28"/>
        </w:rPr>
        <w:t>generar un mayor impacto protector en caso de que asista la razón al actor.</w:t>
      </w:r>
    </w:p>
    <w:p w:rsidR="00520883" w:rsidRPr="00580DA8" w:rsidRDefault="00520883" w:rsidP="00582756">
      <w:pPr>
        <w:spacing w:line="360" w:lineRule="auto"/>
        <w:jc w:val="both"/>
        <w:rPr>
          <w:rFonts w:ascii="Century Gothic" w:hAnsi="Century Gothic" w:cs="Arial"/>
          <w:sz w:val="16"/>
          <w:szCs w:val="16"/>
        </w:rPr>
      </w:pPr>
    </w:p>
    <w:p w:rsidR="00520883" w:rsidRPr="00343FBE" w:rsidRDefault="00520883" w:rsidP="00520883">
      <w:pPr>
        <w:spacing w:line="360" w:lineRule="auto"/>
        <w:jc w:val="both"/>
        <w:rPr>
          <w:rFonts w:ascii="Century Gothic" w:hAnsi="Century Gothic" w:cs="Arial"/>
          <w:sz w:val="28"/>
          <w:szCs w:val="28"/>
        </w:rPr>
      </w:pPr>
      <w:r w:rsidRPr="00343FBE">
        <w:rPr>
          <w:rFonts w:ascii="Century Gothic" w:hAnsi="Century Gothic" w:cs="Arial"/>
          <w:sz w:val="28"/>
          <w:szCs w:val="28"/>
        </w:rPr>
        <w:t xml:space="preserve">En efecto, de lo alegado por el actor se observa que, si bien se duele de una omisión en los estatutos, esta autoridad, </w:t>
      </w:r>
      <w:r w:rsidRPr="00343FBE">
        <w:rPr>
          <w:rFonts w:ascii="Century Gothic" w:hAnsi="Century Gothic" w:cs="Arial"/>
          <w:b/>
          <w:sz w:val="28"/>
          <w:szCs w:val="28"/>
        </w:rPr>
        <w:t>en suplencia de la queja</w:t>
      </w:r>
      <w:r w:rsidRPr="00343FBE">
        <w:rPr>
          <w:rFonts w:ascii="Century Gothic" w:hAnsi="Century Gothic" w:cs="Arial"/>
          <w:sz w:val="28"/>
          <w:szCs w:val="28"/>
        </w:rPr>
        <w:t xml:space="preserve"> deficiente, estima que lo que en realidad busca cuestionar es </w:t>
      </w:r>
      <w:r w:rsidRPr="00343FBE">
        <w:rPr>
          <w:rFonts w:ascii="Century Gothic" w:hAnsi="Century Gothic" w:cs="Arial"/>
          <w:b/>
          <w:sz w:val="28"/>
          <w:szCs w:val="28"/>
        </w:rPr>
        <w:t>la situación</w:t>
      </w:r>
      <w:r w:rsidRPr="00343FBE">
        <w:rPr>
          <w:rFonts w:ascii="Century Gothic" w:hAnsi="Century Gothic" w:cs="Arial"/>
          <w:sz w:val="28"/>
          <w:szCs w:val="28"/>
        </w:rPr>
        <w:t xml:space="preserve"> </w:t>
      </w:r>
      <w:r w:rsidRPr="00343FBE">
        <w:rPr>
          <w:rFonts w:ascii="Century Gothic" w:hAnsi="Century Gothic" w:cs="Arial"/>
          <w:sz w:val="28"/>
          <w:szCs w:val="28"/>
        </w:rPr>
        <w:lastRenderedPageBreak/>
        <w:t>consistente en que el PT, a lo largo del procedimiento para la designación de distintos cargos de dirigencia nacional del partido, no ha garantizado el principio de igualdad para la conformación de los órganos de dirigencia interna que habrán de renovarse, ello teniendo en cuenta que ni en los estatutos ni en la convocatoria relativa a dicho proceso electivo interno, se observa la existencia de reglas que delimiten la forma en que debe cumplirse con el aludido principio.</w:t>
      </w:r>
    </w:p>
    <w:p w:rsidR="003F36BF" w:rsidRPr="00580DA8" w:rsidRDefault="003F36BF" w:rsidP="00520883">
      <w:pPr>
        <w:spacing w:line="360" w:lineRule="auto"/>
        <w:jc w:val="both"/>
        <w:rPr>
          <w:rFonts w:ascii="Century Gothic" w:hAnsi="Century Gothic" w:cs="Arial"/>
          <w:sz w:val="16"/>
          <w:szCs w:val="16"/>
        </w:rPr>
      </w:pPr>
    </w:p>
    <w:p w:rsidR="00520883" w:rsidRPr="00343FBE" w:rsidRDefault="00520883" w:rsidP="00520883">
      <w:pPr>
        <w:spacing w:line="360" w:lineRule="auto"/>
        <w:jc w:val="both"/>
        <w:rPr>
          <w:rFonts w:ascii="Century Gothic" w:hAnsi="Century Gothic" w:cs="Arial"/>
          <w:sz w:val="28"/>
          <w:szCs w:val="28"/>
        </w:rPr>
      </w:pPr>
      <w:r w:rsidRPr="00343FBE">
        <w:rPr>
          <w:rFonts w:ascii="Century Gothic" w:hAnsi="Century Gothic" w:cs="Arial"/>
          <w:sz w:val="28"/>
          <w:szCs w:val="28"/>
        </w:rPr>
        <w:t xml:space="preserve">Tal disenso </w:t>
      </w:r>
      <w:r w:rsidRPr="00343FBE">
        <w:rPr>
          <w:rFonts w:ascii="Century Gothic" w:hAnsi="Century Gothic" w:cs="Arial"/>
          <w:b/>
          <w:sz w:val="28"/>
          <w:szCs w:val="28"/>
        </w:rPr>
        <w:t>se estima fundado</w:t>
      </w:r>
      <w:r w:rsidRPr="00343FBE">
        <w:rPr>
          <w:rFonts w:ascii="Century Gothic" w:hAnsi="Century Gothic" w:cs="Arial"/>
          <w:sz w:val="28"/>
          <w:szCs w:val="28"/>
        </w:rPr>
        <w:t>, pues esta Sala Superior considera que el PT está obligado a asegurar el principio de igualdad y, en concreto, la paridad, en la conformación de sus órganos de dirigencia interna; y que si bien las previsiones normativas que delimiten y generen certeza respecto a la forma en que se garantizará el referido principio no tienen que contenerse, de manera necesaria, en los Estatutos del partido, el instituto político sí debe contar con el instrumento que prevea las reglas correspondientes; lo anterior, tal como se expone enseguida.</w:t>
      </w:r>
    </w:p>
    <w:p w:rsidR="003F36BF" w:rsidRPr="00580DA8" w:rsidRDefault="003F36BF" w:rsidP="00520883">
      <w:pPr>
        <w:spacing w:line="360" w:lineRule="auto"/>
        <w:jc w:val="both"/>
        <w:rPr>
          <w:rFonts w:ascii="Century Gothic" w:hAnsi="Century Gothic" w:cs="Arial"/>
          <w:sz w:val="16"/>
          <w:szCs w:val="16"/>
        </w:rPr>
      </w:pPr>
    </w:p>
    <w:p w:rsidR="00520883" w:rsidRPr="00343FBE" w:rsidRDefault="00520883" w:rsidP="00520883">
      <w:pPr>
        <w:spacing w:line="360" w:lineRule="auto"/>
        <w:jc w:val="both"/>
        <w:rPr>
          <w:rFonts w:ascii="Century Gothic" w:hAnsi="Century Gothic" w:cs="Arial"/>
          <w:sz w:val="28"/>
          <w:szCs w:val="28"/>
        </w:rPr>
      </w:pPr>
      <w:r w:rsidRPr="00343FBE">
        <w:rPr>
          <w:rFonts w:ascii="Century Gothic" w:hAnsi="Century Gothic" w:cs="Arial"/>
          <w:sz w:val="28"/>
          <w:szCs w:val="28"/>
        </w:rPr>
        <w:t>En principio, esta Sala Superior observa que la paridad es exigible en la conformación de los órganos de dirigencia partidista por las razones siguientes:</w:t>
      </w:r>
    </w:p>
    <w:p w:rsidR="003F36BF" w:rsidRPr="00580DA8" w:rsidRDefault="003F36BF" w:rsidP="00520883">
      <w:pPr>
        <w:spacing w:line="360" w:lineRule="auto"/>
        <w:jc w:val="both"/>
        <w:rPr>
          <w:rFonts w:ascii="Century Gothic" w:hAnsi="Century Gothic" w:cs="Arial"/>
          <w:sz w:val="16"/>
          <w:szCs w:val="16"/>
        </w:rPr>
      </w:pPr>
    </w:p>
    <w:p w:rsidR="00520883" w:rsidRPr="00343FBE" w:rsidRDefault="00520883" w:rsidP="003F36BF">
      <w:pPr>
        <w:spacing w:line="360" w:lineRule="auto"/>
        <w:jc w:val="both"/>
        <w:rPr>
          <w:rFonts w:ascii="Century Gothic" w:hAnsi="Century Gothic" w:cs="Arial"/>
          <w:sz w:val="28"/>
          <w:szCs w:val="28"/>
        </w:rPr>
      </w:pPr>
      <w:r w:rsidRPr="00343FBE">
        <w:rPr>
          <w:rFonts w:ascii="Century Gothic" w:hAnsi="Century Gothic" w:cs="Arial"/>
          <w:sz w:val="28"/>
          <w:szCs w:val="28"/>
        </w:rPr>
        <w:lastRenderedPageBreak/>
        <w:t>Porque así se deprende de una interpretación sistemática de la normativa aplicable</w:t>
      </w:r>
      <w:r w:rsidR="00137B15" w:rsidRPr="00343FBE">
        <w:rPr>
          <w:rFonts w:ascii="Century Gothic" w:hAnsi="Century Gothic" w:cs="Arial"/>
          <w:sz w:val="28"/>
          <w:szCs w:val="28"/>
        </w:rPr>
        <w:t>, en tanto que, en</w:t>
      </w:r>
      <w:r w:rsidRPr="00343FBE">
        <w:rPr>
          <w:rFonts w:ascii="Century Gothic" w:hAnsi="Century Gothic" w:cs="Arial"/>
          <w:sz w:val="28"/>
          <w:szCs w:val="28"/>
        </w:rPr>
        <w:t xml:space="preserve"> principio debe señalarse que el artículo 41 constitucional establece que los partidos políticos están obligados a garantizar la paridad entre los géneros, en candidaturas a legisladores federales y locales.</w:t>
      </w:r>
    </w:p>
    <w:p w:rsidR="00137B15" w:rsidRPr="00343FBE" w:rsidRDefault="00137B15" w:rsidP="003F36BF">
      <w:pPr>
        <w:spacing w:line="360" w:lineRule="auto"/>
        <w:jc w:val="both"/>
        <w:rPr>
          <w:rFonts w:ascii="Century Gothic" w:hAnsi="Century Gothic" w:cs="Arial"/>
          <w:sz w:val="28"/>
          <w:szCs w:val="28"/>
        </w:rPr>
      </w:pPr>
    </w:p>
    <w:p w:rsidR="00520883" w:rsidRPr="00343FBE" w:rsidRDefault="00520883" w:rsidP="00520883">
      <w:pPr>
        <w:spacing w:line="360" w:lineRule="auto"/>
        <w:jc w:val="both"/>
        <w:rPr>
          <w:rFonts w:ascii="Century Gothic" w:hAnsi="Century Gothic" w:cs="Arial"/>
          <w:sz w:val="28"/>
          <w:szCs w:val="28"/>
        </w:rPr>
      </w:pPr>
      <w:r w:rsidRPr="00343FBE">
        <w:rPr>
          <w:rFonts w:ascii="Century Gothic" w:hAnsi="Century Gothic" w:cs="Arial"/>
          <w:sz w:val="28"/>
          <w:szCs w:val="28"/>
        </w:rPr>
        <w:t xml:space="preserve">El deber de los partidos de integrar  de forma paritaria sus órganos de dirección interna se extrae de los elementos siguientes: </w:t>
      </w:r>
      <w:r w:rsidRPr="00343FBE">
        <w:rPr>
          <w:rFonts w:ascii="Century Gothic" w:hAnsi="Century Gothic" w:cs="Arial"/>
          <w:b/>
          <w:sz w:val="28"/>
          <w:szCs w:val="28"/>
        </w:rPr>
        <w:t>1)</w:t>
      </w:r>
      <w:r w:rsidRPr="00343FBE">
        <w:rPr>
          <w:rFonts w:ascii="Century Gothic" w:hAnsi="Century Gothic" w:cs="Arial"/>
          <w:sz w:val="28"/>
          <w:szCs w:val="28"/>
        </w:rPr>
        <w:t xml:space="preserve"> del hecho de que la legislación sí impone a los institutos políticos la obligación de buscar la participación efectiva de ambos géneros en la integración de sus órganos, así como la asegurar la representación equilibrada entre mujeres y hombres dentro de sus estructuras internas; </w:t>
      </w:r>
      <w:r w:rsidRPr="00343FBE">
        <w:rPr>
          <w:rFonts w:ascii="Century Gothic" w:hAnsi="Century Gothic" w:cs="Arial"/>
          <w:b/>
          <w:sz w:val="28"/>
          <w:szCs w:val="28"/>
        </w:rPr>
        <w:t>2)</w:t>
      </w:r>
      <w:r w:rsidRPr="00343FBE">
        <w:rPr>
          <w:rFonts w:ascii="Century Gothic" w:hAnsi="Century Gothic" w:cs="Arial"/>
          <w:sz w:val="28"/>
          <w:szCs w:val="28"/>
        </w:rPr>
        <w:t xml:space="preserve"> Que si bien esas normas no definen expresamente cómo debe asegurarse una representación equilibrada, puede acudirse al único estándar constitucional vigente en el ordenamiento mexicano, esto es, </w:t>
      </w:r>
      <w:r w:rsidRPr="00343FBE">
        <w:rPr>
          <w:rFonts w:ascii="Century Gothic" w:hAnsi="Century Gothic" w:cs="Arial"/>
          <w:b/>
          <w:sz w:val="28"/>
          <w:szCs w:val="28"/>
        </w:rPr>
        <w:t>la paridad</w:t>
      </w:r>
      <w:r w:rsidRPr="00343FBE">
        <w:rPr>
          <w:rFonts w:ascii="Century Gothic" w:hAnsi="Century Gothic" w:cs="Arial"/>
          <w:sz w:val="28"/>
          <w:szCs w:val="28"/>
        </w:rPr>
        <w:t>.</w:t>
      </w:r>
    </w:p>
    <w:p w:rsidR="00137B15" w:rsidRPr="00343FBE" w:rsidRDefault="00137B15" w:rsidP="00520883">
      <w:pPr>
        <w:spacing w:line="360" w:lineRule="auto"/>
        <w:jc w:val="both"/>
        <w:rPr>
          <w:rFonts w:ascii="Century Gothic" w:hAnsi="Century Gothic" w:cs="Arial"/>
          <w:sz w:val="28"/>
          <w:szCs w:val="28"/>
        </w:rPr>
      </w:pPr>
    </w:p>
    <w:p w:rsidR="00520883" w:rsidRPr="00343FBE" w:rsidRDefault="00520883" w:rsidP="00520883">
      <w:pPr>
        <w:spacing w:line="360" w:lineRule="auto"/>
        <w:jc w:val="both"/>
        <w:rPr>
          <w:rFonts w:ascii="Century Gothic" w:hAnsi="Century Gothic" w:cs="Arial"/>
          <w:sz w:val="28"/>
          <w:szCs w:val="28"/>
        </w:rPr>
      </w:pPr>
      <w:r w:rsidRPr="00343FBE">
        <w:rPr>
          <w:rFonts w:ascii="Century Gothic" w:hAnsi="Century Gothic" w:cs="Arial"/>
          <w:sz w:val="28"/>
          <w:szCs w:val="28"/>
        </w:rPr>
        <w:t>En efecto, de los artículos 3, párrafo 3, y 37, párrafo 1, inciso e), ambos de la Ley de Partidos; y 36, fracción IV, de la Ley General para la Igualdad entre Hombres y Mujeres se obtiene lo siguiente:</w:t>
      </w:r>
    </w:p>
    <w:p w:rsidR="00137B15" w:rsidRPr="00343FBE" w:rsidRDefault="00137B15" w:rsidP="00520883">
      <w:pPr>
        <w:spacing w:line="360" w:lineRule="auto"/>
        <w:jc w:val="both"/>
        <w:rPr>
          <w:rFonts w:ascii="Century Gothic" w:hAnsi="Century Gothic" w:cs="Arial"/>
          <w:sz w:val="28"/>
          <w:szCs w:val="28"/>
        </w:rPr>
      </w:pPr>
    </w:p>
    <w:p w:rsidR="00520883" w:rsidRPr="00343FBE" w:rsidRDefault="00B6624C" w:rsidP="00B6624C">
      <w:pPr>
        <w:spacing w:line="360" w:lineRule="auto"/>
        <w:jc w:val="both"/>
        <w:rPr>
          <w:rFonts w:ascii="Century Gothic" w:hAnsi="Century Gothic" w:cs="Arial"/>
          <w:sz w:val="28"/>
          <w:szCs w:val="28"/>
        </w:rPr>
      </w:pPr>
      <w:r w:rsidRPr="00343FBE">
        <w:rPr>
          <w:rFonts w:ascii="Century Gothic" w:hAnsi="Century Gothic" w:cs="Arial"/>
          <w:sz w:val="28"/>
          <w:szCs w:val="28"/>
        </w:rPr>
        <w:t xml:space="preserve">- </w:t>
      </w:r>
      <w:r w:rsidR="00520883" w:rsidRPr="00343FBE">
        <w:rPr>
          <w:rFonts w:ascii="Century Gothic" w:hAnsi="Century Gothic" w:cs="Arial"/>
          <w:sz w:val="28"/>
          <w:szCs w:val="28"/>
        </w:rPr>
        <w:t xml:space="preserve">El artículo 3, párrafo 3, de la Ley de Partidos que señala los partidos políticos promoverán los valores cívicos y la cultura </w:t>
      </w:r>
      <w:r w:rsidR="00520883" w:rsidRPr="00343FBE">
        <w:rPr>
          <w:rFonts w:ascii="Century Gothic" w:hAnsi="Century Gothic" w:cs="Arial"/>
          <w:sz w:val="28"/>
          <w:szCs w:val="28"/>
        </w:rPr>
        <w:lastRenderedPageBreak/>
        <w:t>democrática entre niñas, niños y adolescentes, y buscarán la participación efectiva de ambos géneros en la integración de sus órganos, así como en la postulación de candidatos.</w:t>
      </w:r>
    </w:p>
    <w:p w:rsidR="00B6624C" w:rsidRPr="00343FBE" w:rsidRDefault="00B6624C" w:rsidP="00B6624C">
      <w:pPr>
        <w:spacing w:line="360" w:lineRule="auto"/>
        <w:jc w:val="both"/>
        <w:rPr>
          <w:rFonts w:ascii="Century Gothic" w:hAnsi="Century Gothic" w:cs="Arial"/>
          <w:sz w:val="28"/>
          <w:szCs w:val="28"/>
        </w:rPr>
      </w:pPr>
    </w:p>
    <w:p w:rsidR="00520883" w:rsidRPr="00343FBE" w:rsidRDefault="00B6624C" w:rsidP="00B6624C">
      <w:pPr>
        <w:spacing w:line="360" w:lineRule="auto"/>
        <w:jc w:val="both"/>
        <w:rPr>
          <w:rFonts w:ascii="Century Gothic" w:hAnsi="Century Gothic" w:cs="Arial"/>
          <w:sz w:val="28"/>
          <w:szCs w:val="28"/>
        </w:rPr>
      </w:pPr>
      <w:r w:rsidRPr="00343FBE">
        <w:rPr>
          <w:rFonts w:ascii="Century Gothic" w:hAnsi="Century Gothic" w:cs="Arial"/>
          <w:sz w:val="28"/>
          <w:szCs w:val="28"/>
        </w:rPr>
        <w:t xml:space="preserve">- </w:t>
      </w:r>
      <w:r w:rsidR="00520883" w:rsidRPr="00343FBE">
        <w:rPr>
          <w:rFonts w:ascii="Century Gothic" w:hAnsi="Century Gothic" w:cs="Arial"/>
          <w:sz w:val="28"/>
          <w:szCs w:val="28"/>
        </w:rPr>
        <w:t>El numeral 37, párrafo 1, inciso e) de la Ley de Partidos que refiere que la declaración de principios de los partidos deberá contener la obligación de promover la participación política en igualdad de oportunidades y equidad entre mujeres y hombres.</w:t>
      </w:r>
    </w:p>
    <w:p w:rsidR="00B6624C" w:rsidRPr="00343FBE" w:rsidRDefault="00B6624C" w:rsidP="00B6624C">
      <w:pPr>
        <w:spacing w:line="360" w:lineRule="auto"/>
        <w:jc w:val="both"/>
        <w:rPr>
          <w:rFonts w:ascii="Century Gothic" w:hAnsi="Century Gothic" w:cs="Arial"/>
          <w:sz w:val="28"/>
          <w:szCs w:val="28"/>
        </w:rPr>
      </w:pPr>
    </w:p>
    <w:p w:rsidR="00520883" w:rsidRPr="00343FBE" w:rsidRDefault="00B6624C" w:rsidP="00B6624C">
      <w:pPr>
        <w:spacing w:line="360" w:lineRule="auto"/>
        <w:jc w:val="both"/>
        <w:rPr>
          <w:rFonts w:ascii="Century Gothic" w:hAnsi="Century Gothic" w:cs="Arial"/>
          <w:sz w:val="28"/>
          <w:szCs w:val="28"/>
        </w:rPr>
      </w:pPr>
      <w:r w:rsidRPr="00343FBE">
        <w:rPr>
          <w:rFonts w:ascii="Century Gothic" w:hAnsi="Century Gothic" w:cs="Arial"/>
          <w:sz w:val="28"/>
          <w:szCs w:val="28"/>
        </w:rPr>
        <w:t xml:space="preserve">- </w:t>
      </w:r>
      <w:r w:rsidR="00520883" w:rsidRPr="00343FBE">
        <w:rPr>
          <w:rFonts w:ascii="Century Gothic" w:hAnsi="Century Gothic" w:cs="Arial"/>
          <w:sz w:val="28"/>
          <w:szCs w:val="28"/>
        </w:rPr>
        <w:t>El artículo 36, fracción IV, de la Ley General para la Igualdad entre Hombres y Mujeres que dispone que las autoridades del estado están obligadas a promover la participación y representación equilibrada entre mujeres y hombres dentro de las estructuras de los partidos políticos.</w:t>
      </w:r>
    </w:p>
    <w:p w:rsidR="005D03E8" w:rsidRPr="00343FBE" w:rsidRDefault="005D03E8" w:rsidP="005D03E8">
      <w:pPr>
        <w:spacing w:before="240" w:after="100" w:afterAutospacing="1"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Además de que, </w:t>
      </w:r>
      <w:r w:rsidR="00856450" w:rsidRPr="00343FBE">
        <w:rPr>
          <w:rFonts w:ascii="Century Gothic" w:hAnsi="Century Gothic" w:cs="Arial"/>
          <w:color w:val="000000" w:themeColor="text1"/>
          <w:sz w:val="28"/>
          <w:szCs w:val="28"/>
        </w:rPr>
        <w:t xml:space="preserve">es exigible la paridad: porque así se extrae del numeral artículo 3, párrafo 3, de la Ley de Partidos en relación con la constitución. </w:t>
      </w:r>
    </w:p>
    <w:p w:rsidR="005D03E8" w:rsidRPr="00343FBE" w:rsidRDefault="00856450" w:rsidP="005D03E8">
      <w:pPr>
        <w:spacing w:before="240" w:after="100" w:afterAutospacing="1"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En efecto el citado numeral refiere que los partidos tienen el deber de buscar la participación efectiva de ambos géneros en la integración de sus órganos, así como en la postulación de candidatos. </w:t>
      </w:r>
    </w:p>
    <w:p w:rsidR="00856450" w:rsidRPr="00343FBE" w:rsidRDefault="00856450" w:rsidP="00563436">
      <w:pPr>
        <w:spacing w:before="240" w:after="100" w:afterAutospacing="1"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Al respecto, la constitución define que en la postulación de candidaturas los partidos están obligados a la paridad.</w:t>
      </w:r>
      <w:r w:rsidR="00563436" w:rsidRPr="00343FBE">
        <w:rPr>
          <w:rFonts w:ascii="Century Gothic" w:hAnsi="Century Gothic" w:cs="Arial"/>
          <w:color w:val="000000" w:themeColor="text1"/>
          <w:sz w:val="28"/>
          <w:szCs w:val="28"/>
        </w:rPr>
        <w:t xml:space="preserve"> Por </w:t>
      </w:r>
      <w:r w:rsidR="00563436" w:rsidRPr="00343FBE">
        <w:rPr>
          <w:rFonts w:ascii="Century Gothic" w:hAnsi="Century Gothic" w:cs="Arial"/>
          <w:color w:val="000000" w:themeColor="text1"/>
          <w:sz w:val="28"/>
          <w:szCs w:val="28"/>
        </w:rPr>
        <w:lastRenderedPageBreak/>
        <w:t>lo que, s</w:t>
      </w:r>
      <w:r w:rsidRPr="00343FBE">
        <w:rPr>
          <w:rFonts w:ascii="Century Gothic" w:hAnsi="Century Gothic" w:cs="Arial"/>
          <w:color w:val="000000" w:themeColor="text1"/>
          <w:sz w:val="28"/>
          <w:szCs w:val="28"/>
        </w:rPr>
        <w:t>i el numeral en cita impone dos obligaciones, y la única consecuencia disponible para la observancia de una es la paridad, se deduce que ante el vacío al segundo supuesto debe dársele la misma consecuencia.</w:t>
      </w:r>
    </w:p>
    <w:p w:rsidR="00856450" w:rsidRPr="00343FBE" w:rsidRDefault="00563436" w:rsidP="00563436">
      <w:pPr>
        <w:spacing w:before="240" w:after="100" w:afterAutospacing="1"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Asimismo, </w:t>
      </w:r>
      <w:r w:rsidR="00856450" w:rsidRPr="00343FBE">
        <w:rPr>
          <w:rFonts w:ascii="Century Gothic" w:hAnsi="Century Gothic" w:cs="Arial"/>
          <w:color w:val="000000" w:themeColor="text1"/>
          <w:sz w:val="28"/>
          <w:szCs w:val="28"/>
        </w:rPr>
        <w:t>el partido debe optimizar las condiciones necesarias para cumplir con su deber constitucional de postulación paritaria de candidaturas en procesos constitucionales</w:t>
      </w:r>
      <w:r w:rsidRPr="00343FBE">
        <w:rPr>
          <w:rFonts w:ascii="Century Gothic" w:hAnsi="Century Gothic" w:cs="Arial"/>
          <w:color w:val="000000" w:themeColor="text1"/>
          <w:sz w:val="28"/>
          <w:szCs w:val="28"/>
        </w:rPr>
        <w:t xml:space="preserve">, esto es, </w:t>
      </w:r>
      <w:r w:rsidR="00856450" w:rsidRPr="00343FBE">
        <w:rPr>
          <w:rFonts w:ascii="Century Gothic" w:hAnsi="Century Gothic" w:cs="Arial"/>
          <w:color w:val="000000" w:themeColor="text1"/>
          <w:sz w:val="28"/>
          <w:szCs w:val="28"/>
        </w:rPr>
        <w:t>si los partidos tienen que postular candidaturas a cargos de elección popular paritaria, deben generar las condiciones necesarias para tener mujeres preparadas, lo cual se optimiza o potencia, por ejemplo, asegurando su participación en condiciones de igualdad en los cargos de dirigencia interna.</w:t>
      </w:r>
    </w:p>
    <w:p w:rsidR="002851D1" w:rsidRPr="00343FBE" w:rsidRDefault="002851D1" w:rsidP="002851D1">
      <w:pPr>
        <w:spacing w:before="240" w:after="100" w:afterAutospacing="1"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Por lo tanto, si bien los partidos tienen el deber de cumplir con la paridad en la conformación de sus dirigencias, ello no significa que las reglas que al respecto emitan deben contenerse, de forma necesaria, en los estatutos del partido.</w:t>
      </w:r>
    </w:p>
    <w:p w:rsidR="00B64475" w:rsidRPr="00343FBE" w:rsidRDefault="008E3EA6" w:rsidP="00B64475">
      <w:pPr>
        <w:spacing w:line="360" w:lineRule="auto"/>
        <w:jc w:val="both"/>
        <w:rPr>
          <w:rFonts w:ascii="Century Gothic" w:hAnsi="Century Gothic"/>
          <w:sz w:val="28"/>
          <w:szCs w:val="28"/>
          <w:lang w:val="es-ES"/>
        </w:rPr>
      </w:pPr>
      <w:r w:rsidRPr="00343FBE">
        <w:rPr>
          <w:rFonts w:ascii="Century Gothic" w:hAnsi="Century Gothic" w:cs="Arial"/>
          <w:color w:val="000000" w:themeColor="text1"/>
          <w:sz w:val="28"/>
          <w:szCs w:val="28"/>
        </w:rPr>
        <w:t xml:space="preserve">Ahora bien, </w:t>
      </w:r>
      <w:r w:rsidR="00B64475" w:rsidRPr="00343FBE">
        <w:rPr>
          <w:rFonts w:ascii="Century Gothic" w:eastAsia="Times New Roman" w:hAnsi="Century Gothic" w:cs="Arial"/>
          <w:sz w:val="28"/>
          <w:szCs w:val="28"/>
          <w:lang w:val="es-ES"/>
        </w:rPr>
        <w:t>l</w:t>
      </w:r>
      <w:r w:rsidR="00B64475" w:rsidRPr="00343FBE">
        <w:rPr>
          <w:rFonts w:ascii="Century Gothic" w:hAnsi="Century Gothic"/>
          <w:sz w:val="28"/>
          <w:szCs w:val="28"/>
          <w:lang w:val="es-ES"/>
        </w:rPr>
        <w:t>os artículos 1º, último párrafo, y 4º, primer párrafo, de la Constitución Política de los Estados Unidos Mexicanos, al reconocer los principios de no discriminación y de igualdad, respectivamente, disponen la prohibición de toda discriminación motivada, entre otras causas, por el género; y que las mujeres y los hombres son iguales ante la ley.</w:t>
      </w:r>
    </w:p>
    <w:p w:rsidR="00B64475" w:rsidRPr="002E49D8" w:rsidRDefault="00B64475" w:rsidP="00B64475">
      <w:pPr>
        <w:rPr>
          <w:rFonts w:ascii="Century Gothic" w:hAnsi="Century Gothic"/>
          <w:sz w:val="24"/>
          <w:szCs w:val="24"/>
        </w:rPr>
      </w:pPr>
    </w:p>
    <w:p w:rsidR="00B64475" w:rsidRPr="00343FBE" w:rsidRDefault="00B64475" w:rsidP="00B64475">
      <w:pPr>
        <w:spacing w:line="360" w:lineRule="auto"/>
        <w:jc w:val="both"/>
        <w:rPr>
          <w:rFonts w:ascii="Century Gothic" w:hAnsi="Century Gothic"/>
          <w:sz w:val="28"/>
          <w:szCs w:val="28"/>
        </w:rPr>
      </w:pPr>
      <w:r w:rsidRPr="00343FBE">
        <w:rPr>
          <w:rFonts w:ascii="Century Gothic" w:hAnsi="Century Gothic"/>
          <w:sz w:val="28"/>
          <w:szCs w:val="28"/>
        </w:rPr>
        <w:t xml:space="preserve">Asimismo, en diversos instrumentos internacionales en los que el Estado Mexicano es parte, se establecen medidas encaminadas a proteger y garantizar la igualdad entre el hombre y la mujer, así como a lograr la participación de ésta en condiciones de igualdad en la vida política del país, a saber: </w:t>
      </w:r>
    </w:p>
    <w:p w:rsidR="00B64475" w:rsidRPr="002E49D8" w:rsidRDefault="00B64475" w:rsidP="00B64475">
      <w:pPr>
        <w:spacing w:line="360" w:lineRule="auto"/>
        <w:jc w:val="both"/>
        <w:rPr>
          <w:rFonts w:ascii="Century Gothic" w:hAnsi="Century Gothic"/>
          <w:sz w:val="24"/>
          <w:szCs w:val="24"/>
        </w:rPr>
      </w:pPr>
    </w:p>
    <w:p w:rsidR="00B64475" w:rsidRPr="00343FBE" w:rsidRDefault="00B64475" w:rsidP="00B64475">
      <w:pPr>
        <w:numPr>
          <w:ilvl w:val="0"/>
          <w:numId w:val="3"/>
        </w:numPr>
        <w:spacing w:after="160" w:line="360" w:lineRule="auto"/>
        <w:ind w:left="360"/>
        <w:jc w:val="both"/>
        <w:rPr>
          <w:rFonts w:ascii="Century Gothic" w:eastAsia="Times New Roman" w:hAnsi="Century Gothic" w:cs="Arial"/>
          <w:sz w:val="28"/>
          <w:szCs w:val="28"/>
          <w:lang w:val="es-ES"/>
        </w:rPr>
      </w:pPr>
      <w:r w:rsidRPr="00343FBE">
        <w:rPr>
          <w:rFonts w:ascii="Century Gothic" w:eastAsia="Times New Roman" w:hAnsi="Century Gothic" w:cs="Arial"/>
          <w:sz w:val="28"/>
          <w:szCs w:val="28"/>
          <w:lang w:val="es-ES"/>
        </w:rPr>
        <w:t>El artículo 3 del Pacto Internacional de Derechos Civiles y Políticos, dispone que los Estados partes se comprometen a garantizar a hombres y mujeres la igualdad en el goce de todos los derechos civiles y políticos reconocidos en el propio pacto.</w:t>
      </w:r>
    </w:p>
    <w:p w:rsidR="00B64475" w:rsidRPr="002E49D8" w:rsidRDefault="00B64475" w:rsidP="00B64475">
      <w:pPr>
        <w:spacing w:line="360" w:lineRule="auto"/>
        <w:ind w:left="360"/>
        <w:jc w:val="both"/>
        <w:rPr>
          <w:rFonts w:ascii="Century Gothic" w:eastAsia="Times New Roman" w:hAnsi="Century Gothic" w:cs="Arial"/>
          <w:sz w:val="24"/>
          <w:szCs w:val="24"/>
          <w:lang w:val="es-ES"/>
        </w:rPr>
      </w:pPr>
    </w:p>
    <w:p w:rsidR="00B64475" w:rsidRPr="00343FBE" w:rsidRDefault="00B64475" w:rsidP="00B64475">
      <w:pPr>
        <w:numPr>
          <w:ilvl w:val="0"/>
          <w:numId w:val="3"/>
        </w:numPr>
        <w:spacing w:after="160" w:line="360" w:lineRule="auto"/>
        <w:ind w:left="360"/>
        <w:jc w:val="both"/>
        <w:rPr>
          <w:rFonts w:ascii="Century Gothic" w:eastAsia="Times New Roman" w:hAnsi="Century Gothic" w:cs="Arial"/>
          <w:sz w:val="28"/>
          <w:szCs w:val="28"/>
          <w:lang w:val="es-ES"/>
        </w:rPr>
      </w:pPr>
      <w:r w:rsidRPr="00343FBE">
        <w:rPr>
          <w:rFonts w:ascii="Century Gothic" w:eastAsia="Times New Roman" w:hAnsi="Century Gothic" w:cs="Arial"/>
          <w:sz w:val="28"/>
          <w:szCs w:val="28"/>
          <w:lang w:val="es-ES"/>
        </w:rPr>
        <w:t>El artículo 24 de la Convención Americana Sobre Derechos Humanos, dispone que todas las personas son iguales ante la ley, por lo que tienen derecho, sin discriminación, a igual protección.</w:t>
      </w:r>
    </w:p>
    <w:p w:rsidR="00B64475" w:rsidRPr="002E49D8" w:rsidRDefault="00B64475" w:rsidP="00B64475">
      <w:pPr>
        <w:ind w:left="720"/>
        <w:contextualSpacing/>
        <w:rPr>
          <w:rFonts w:ascii="Century Gothic" w:hAnsi="Century Gothic"/>
          <w:sz w:val="24"/>
          <w:szCs w:val="24"/>
          <w:lang w:val="es-ES"/>
        </w:rPr>
      </w:pPr>
    </w:p>
    <w:p w:rsidR="00B64475" w:rsidRPr="00343FBE" w:rsidRDefault="00B64475" w:rsidP="00B64475">
      <w:pPr>
        <w:numPr>
          <w:ilvl w:val="0"/>
          <w:numId w:val="3"/>
        </w:numPr>
        <w:spacing w:after="160" w:line="360" w:lineRule="auto"/>
        <w:ind w:left="360"/>
        <w:jc w:val="both"/>
        <w:rPr>
          <w:rFonts w:ascii="Century Gothic" w:eastAsia="Times New Roman" w:hAnsi="Century Gothic" w:cs="Arial"/>
          <w:sz w:val="28"/>
          <w:szCs w:val="28"/>
          <w:lang w:val="es-ES"/>
        </w:rPr>
      </w:pPr>
      <w:r w:rsidRPr="00343FBE">
        <w:rPr>
          <w:rFonts w:ascii="Century Gothic" w:eastAsia="Times New Roman" w:hAnsi="Century Gothic" w:cs="Arial"/>
          <w:sz w:val="28"/>
          <w:szCs w:val="28"/>
          <w:lang w:val="es-ES"/>
        </w:rPr>
        <w:t>El artículo III de la Convención sobre los Derechos Políticos de la Mujer, dispone que las mujeres tendrán derecho a ocupar cargos públicos y a ejercer todas las funciones públicas establecidas por la legislación nacional, en igualdad de condiciones con los hombres, sin discriminación alguna.</w:t>
      </w:r>
    </w:p>
    <w:p w:rsidR="00B64475" w:rsidRPr="002E49D8" w:rsidRDefault="00B64475" w:rsidP="00B64475">
      <w:pPr>
        <w:ind w:left="720"/>
        <w:contextualSpacing/>
        <w:rPr>
          <w:rFonts w:ascii="Century Gothic" w:hAnsi="Century Gothic"/>
          <w:sz w:val="24"/>
          <w:szCs w:val="24"/>
          <w:lang w:val="es-ES"/>
        </w:rPr>
      </w:pPr>
    </w:p>
    <w:p w:rsidR="00B64475" w:rsidRPr="00343FBE" w:rsidRDefault="00B64475" w:rsidP="00B64475">
      <w:pPr>
        <w:numPr>
          <w:ilvl w:val="0"/>
          <w:numId w:val="3"/>
        </w:numPr>
        <w:spacing w:after="160" w:line="360" w:lineRule="auto"/>
        <w:ind w:left="360"/>
        <w:jc w:val="both"/>
        <w:rPr>
          <w:rFonts w:ascii="Century Gothic" w:eastAsia="Times New Roman" w:hAnsi="Century Gothic" w:cs="Arial"/>
          <w:sz w:val="28"/>
          <w:szCs w:val="28"/>
          <w:lang w:val="es-ES"/>
        </w:rPr>
      </w:pPr>
      <w:r w:rsidRPr="00343FBE">
        <w:rPr>
          <w:rFonts w:ascii="Century Gothic" w:eastAsia="Times New Roman" w:hAnsi="Century Gothic" w:cs="Arial"/>
          <w:sz w:val="28"/>
          <w:szCs w:val="28"/>
          <w:lang w:val="es-ES"/>
        </w:rPr>
        <w:lastRenderedPageBreak/>
        <w:t xml:space="preserve">El artículo 4, incisos f) y j), de la Convención Interamericana para Prevenir, Sancionar y Erradicar la Violencia contra la Mujer (“Convención de </w:t>
      </w:r>
      <w:r w:rsidRPr="00343FBE">
        <w:rPr>
          <w:rFonts w:ascii="Century Gothic" w:eastAsia="Times New Roman" w:hAnsi="Century Gothic" w:cs="Arial"/>
          <w:i/>
          <w:sz w:val="28"/>
          <w:szCs w:val="28"/>
          <w:lang w:val="es-ES"/>
        </w:rPr>
        <w:t>Belém Do Pará</w:t>
      </w:r>
      <w:r w:rsidRPr="00343FBE">
        <w:rPr>
          <w:rFonts w:ascii="Century Gothic" w:eastAsia="Times New Roman" w:hAnsi="Century Gothic" w:cs="Arial"/>
          <w:sz w:val="28"/>
          <w:szCs w:val="28"/>
          <w:lang w:val="es-ES"/>
        </w:rPr>
        <w:t>”), dispone que todas las mujeres tienen derecho al reconocimiento, goce, ejercicio y protección de todos los derechos humanos y a las libertades consagradas por los instrumentos regionales e internacionales sobre derechos humanos. Estos derechos comprenden, entre otros: la igual protección ante la ley y de la ley, así como a tener igualdad de acceso a las funciones públicas de su país y a participar en los asuntos públicos.</w:t>
      </w:r>
    </w:p>
    <w:p w:rsidR="00B64475" w:rsidRPr="002E49D8" w:rsidRDefault="00B64475" w:rsidP="00B64475">
      <w:pPr>
        <w:ind w:left="720"/>
        <w:contextualSpacing/>
        <w:rPr>
          <w:rFonts w:ascii="Century Gothic" w:hAnsi="Century Gothic"/>
          <w:sz w:val="24"/>
          <w:szCs w:val="24"/>
          <w:lang w:val="es-ES"/>
        </w:rPr>
      </w:pPr>
    </w:p>
    <w:p w:rsidR="00B64475" w:rsidRPr="00343FBE" w:rsidRDefault="00B64475" w:rsidP="00B64475">
      <w:pPr>
        <w:numPr>
          <w:ilvl w:val="0"/>
          <w:numId w:val="3"/>
        </w:numPr>
        <w:spacing w:after="160" w:line="360" w:lineRule="auto"/>
        <w:ind w:left="360"/>
        <w:jc w:val="both"/>
        <w:rPr>
          <w:rFonts w:ascii="Century Gothic" w:eastAsia="Times New Roman" w:hAnsi="Century Gothic" w:cs="Arial"/>
          <w:sz w:val="28"/>
          <w:szCs w:val="28"/>
          <w:lang w:val="es-ES"/>
        </w:rPr>
      </w:pPr>
      <w:r w:rsidRPr="00343FBE">
        <w:rPr>
          <w:rFonts w:ascii="Century Gothic" w:eastAsia="Times New Roman" w:hAnsi="Century Gothic" w:cs="Arial"/>
          <w:sz w:val="28"/>
          <w:szCs w:val="28"/>
          <w:lang w:val="es-ES"/>
        </w:rPr>
        <w:t>El artículo 3 de la Convención para la Eliminación de Todas las Formas de Discriminación contra la Mujer (</w:t>
      </w:r>
      <w:r w:rsidRPr="00343FBE">
        <w:rPr>
          <w:rFonts w:ascii="Century Gothic" w:eastAsia="Times New Roman" w:hAnsi="Century Gothic" w:cs="Arial"/>
          <w:i/>
          <w:sz w:val="28"/>
          <w:szCs w:val="28"/>
          <w:lang w:val="es-ES"/>
        </w:rPr>
        <w:t>CEDAW, por sus siglas en inglés</w:t>
      </w:r>
      <w:r w:rsidRPr="00343FBE">
        <w:rPr>
          <w:rFonts w:ascii="Century Gothic" w:eastAsia="Times New Roman" w:hAnsi="Century Gothic" w:cs="Arial"/>
          <w:sz w:val="28"/>
          <w:szCs w:val="28"/>
          <w:lang w:val="es-ES"/>
        </w:rPr>
        <w:t xml:space="preserve">), dispone que los Estados parte tomarán, en todas las esferas y, en particular, en la política, social, económica y cultural, todas las medidas apropiadas para asegurar el pleno desarrollo y adelanto de las mujeres, con el objeto de garantizar el ejercicio y el goce de los derechos humanos y la libertades fundamentales en igualdad de condiciones con los hombres. </w:t>
      </w:r>
      <w:r w:rsidRPr="00343FBE">
        <w:rPr>
          <w:rFonts w:ascii="Century Gothic" w:eastAsia="Times New Roman" w:hAnsi="Century Gothic" w:cs="Arial"/>
          <w:sz w:val="28"/>
          <w:szCs w:val="28"/>
        </w:rPr>
        <w:t xml:space="preserve">Asimismo, el artículo 7, inciso b), de la CEDAW, dispone que los Estados parte tomarán todas las medidas apropiadas para eliminar la discriminación contra la mujer en la vida política y pública del país y, en particular, garantizando en igualdad de condiciones con los hombres el derecho a participar en la </w:t>
      </w:r>
      <w:r w:rsidRPr="00343FBE">
        <w:rPr>
          <w:rFonts w:ascii="Century Gothic" w:eastAsia="Times New Roman" w:hAnsi="Century Gothic" w:cs="Arial"/>
          <w:sz w:val="28"/>
          <w:szCs w:val="28"/>
        </w:rPr>
        <w:lastRenderedPageBreak/>
        <w:t>formulación de las políticas gubernamentales y en la ejecución de éstas; ocupar cargos públicos y ejercer todas las funciones públicas en todos los planos gubernamentales.</w:t>
      </w:r>
    </w:p>
    <w:p w:rsidR="00B64475" w:rsidRPr="002E49D8" w:rsidRDefault="00B64475" w:rsidP="00B64475">
      <w:pPr>
        <w:rPr>
          <w:rFonts w:ascii="Century Gothic" w:hAnsi="Century Gothic"/>
          <w:sz w:val="24"/>
          <w:szCs w:val="24"/>
          <w:lang w:val="es-ES"/>
        </w:rPr>
      </w:pPr>
    </w:p>
    <w:p w:rsidR="00B64475" w:rsidRPr="00343FBE" w:rsidRDefault="00B64475" w:rsidP="00B64475">
      <w:pPr>
        <w:numPr>
          <w:ilvl w:val="0"/>
          <w:numId w:val="3"/>
        </w:numPr>
        <w:spacing w:after="160" w:line="360" w:lineRule="auto"/>
        <w:ind w:left="360"/>
        <w:jc w:val="both"/>
        <w:rPr>
          <w:rFonts w:ascii="Century Gothic" w:eastAsia="Times New Roman" w:hAnsi="Century Gothic" w:cs="Arial"/>
          <w:sz w:val="28"/>
          <w:szCs w:val="28"/>
          <w:lang w:val="es-ES"/>
        </w:rPr>
      </w:pPr>
      <w:r w:rsidRPr="00343FBE">
        <w:rPr>
          <w:rFonts w:ascii="Century Gothic" w:eastAsia="Times New Roman" w:hAnsi="Century Gothic" w:cs="Arial"/>
          <w:sz w:val="28"/>
          <w:szCs w:val="28"/>
          <w:lang w:val="es-ES"/>
        </w:rPr>
        <w:t>En el Consenso de Quito, adoptado en la Décima Conferencia Regional sobre la Mujer de América Latina y el Caribe, se acordó, entre otras cuestiones, adoptar todas las medidas de acción positiva y todos los mecanismos necesarios para garantizar la plena participación de las mujeres en cargos públicos y de representación política con el fin de alcanzar la paridad en la institucionalidad (poderes: ejecutivo, legislativo, judicial y regímenes especiales y autónomos) nacional y local.</w:t>
      </w:r>
    </w:p>
    <w:p w:rsidR="00B64475" w:rsidRPr="00343FBE" w:rsidRDefault="00B64475" w:rsidP="00B64475">
      <w:pPr>
        <w:rPr>
          <w:rFonts w:ascii="Century Gothic" w:hAnsi="Century Gothic"/>
          <w:sz w:val="32"/>
          <w:szCs w:val="32"/>
          <w:lang w:val="es-ES"/>
        </w:rPr>
      </w:pPr>
    </w:p>
    <w:p w:rsidR="00B64475" w:rsidRPr="00343FBE" w:rsidRDefault="00B64475" w:rsidP="00B64475">
      <w:pPr>
        <w:numPr>
          <w:ilvl w:val="0"/>
          <w:numId w:val="3"/>
        </w:numPr>
        <w:spacing w:after="160" w:line="360" w:lineRule="auto"/>
        <w:ind w:left="360"/>
        <w:jc w:val="both"/>
        <w:rPr>
          <w:rFonts w:ascii="Century Gothic" w:eastAsia="Times New Roman" w:hAnsi="Century Gothic" w:cs="Arial"/>
          <w:sz w:val="28"/>
          <w:szCs w:val="28"/>
          <w:lang w:val="es-ES"/>
        </w:rPr>
      </w:pPr>
      <w:r w:rsidRPr="00343FBE">
        <w:rPr>
          <w:rFonts w:ascii="Century Gothic" w:eastAsia="Times New Roman" w:hAnsi="Century Gothic" w:cs="Arial"/>
          <w:sz w:val="28"/>
          <w:szCs w:val="28"/>
          <w:lang w:val="es-ES"/>
        </w:rPr>
        <w:t>La Recomendación General 25 formulada por el Comité para la Eliminación de la Discriminación contra la Mujer, precisa que la finalidad de las “</w:t>
      </w:r>
      <w:r w:rsidRPr="00343FBE">
        <w:rPr>
          <w:rFonts w:ascii="Century Gothic" w:eastAsia="Times New Roman" w:hAnsi="Century Gothic" w:cs="Arial"/>
          <w:i/>
          <w:sz w:val="28"/>
          <w:szCs w:val="28"/>
          <w:lang w:val="es-ES"/>
        </w:rPr>
        <w:t>medidas especiales</w:t>
      </w:r>
      <w:r w:rsidRPr="00343FBE">
        <w:rPr>
          <w:rFonts w:ascii="Century Gothic" w:eastAsia="Times New Roman" w:hAnsi="Century Gothic" w:cs="Arial"/>
          <w:sz w:val="28"/>
          <w:szCs w:val="28"/>
          <w:lang w:val="es-ES"/>
        </w:rPr>
        <w:t xml:space="preserve">” es acelerar la mejora de la situación de las mujeres para lograr su igualdad sustantiva o </w:t>
      </w:r>
      <w:r w:rsidRPr="00343FBE">
        <w:rPr>
          <w:rFonts w:ascii="Century Gothic" w:eastAsia="Times New Roman" w:hAnsi="Century Gothic" w:cs="Arial"/>
          <w:i/>
          <w:sz w:val="28"/>
          <w:szCs w:val="28"/>
          <w:lang w:val="es-ES"/>
        </w:rPr>
        <w:t>de facto</w:t>
      </w:r>
      <w:r w:rsidRPr="00343FBE">
        <w:rPr>
          <w:rFonts w:ascii="Century Gothic" w:eastAsia="Times New Roman" w:hAnsi="Century Gothic" w:cs="Arial"/>
          <w:sz w:val="28"/>
          <w:szCs w:val="28"/>
          <w:lang w:val="es-ES"/>
        </w:rPr>
        <w:t xml:space="preserve"> con los hombres y realizar los cambios estructurales, sociales y culturales necesarios para corregir las formas y consecuencias pasadas y presentes de la discriminación contra las mujeres, así como compensarlas. De esa suerte, se precisa la aplicación de estas medidas no como excepción a la regla de no discriminación, sino como </w:t>
      </w:r>
      <w:r w:rsidRPr="00343FBE">
        <w:rPr>
          <w:rFonts w:ascii="Century Gothic" w:eastAsia="Times New Roman" w:hAnsi="Century Gothic" w:cs="Arial"/>
          <w:sz w:val="28"/>
          <w:szCs w:val="28"/>
          <w:lang w:val="es-ES"/>
        </w:rPr>
        <w:lastRenderedPageBreak/>
        <w:t xml:space="preserve">forma de subrayar que las medidas especiales son parte de una estrategia necesaria de los Estados Partes para lograr la igualdad sustantiva o de </w:t>
      </w:r>
      <w:r w:rsidRPr="00343FBE">
        <w:rPr>
          <w:rFonts w:ascii="Century Gothic" w:eastAsia="Times New Roman" w:hAnsi="Century Gothic" w:cs="Arial"/>
          <w:i/>
          <w:sz w:val="28"/>
          <w:szCs w:val="28"/>
          <w:lang w:val="es-ES"/>
        </w:rPr>
        <w:t>facto</w:t>
      </w:r>
      <w:r w:rsidRPr="00343FBE">
        <w:rPr>
          <w:rFonts w:ascii="Century Gothic" w:eastAsia="Times New Roman" w:hAnsi="Century Gothic" w:cs="Arial"/>
          <w:sz w:val="28"/>
          <w:szCs w:val="28"/>
          <w:lang w:val="es-ES"/>
        </w:rPr>
        <w:t xml:space="preserve">. </w:t>
      </w:r>
    </w:p>
    <w:p w:rsidR="00B64475" w:rsidRPr="00343FBE" w:rsidRDefault="00B64475" w:rsidP="00B64475">
      <w:pPr>
        <w:ind w:left="720"/>
        <w:contextualSpacing/>
        <w:rPr>
          <w:rFonts w:ascii="Century Gothic" w:hAnsi="Century Gothic"/>
          <w:sz w:val="28"/>
          <w:szCs w:val="28"/>
          <w:lang w:val="es-ES"/>
        </w:rPr>
      </w:pPr>
    </w:p>
    <w:p w:rsidR="00B64475" w:rsidRPr="00343FBE" w:rsidRDefault="00B64475" w:rsidP="00B64475">
      <w:pPr>
        <w:spacing w:line="360" w:lineRule="auto"/>
        <w:jc w:val="both"/>
        <w:rPr>
          <w:rFonts w:ascii="Century Gothic" w:eastAsia="Times New Roman" w:hAnsi="Century Gothic" w:cs="Arial"/>
          <w:sz w:val="28"/>
          <w:szCs w:val="28"/>
          <w:lang w:val="es-ES"/>
        </w:rPr>
      </w:pPr>
      <w:r w:rsidRPr="00343FBE">
        <w:rPr>
          <w:rFonts w:ascii="Century Gothic" w:eastAsia="Times New Roman" w:hAnsi="Century Gothic" w:cs="Arial"/>
          <w:sz w:val="28"/>
          <w:szCs w:val="28"/>
          <w:lang w:val="es-ES"/>
        </w:rPr>
        <w:t>Por otra parte, en dos mil once, la Comisión Interamericana de Derechos Humanos, al emitir su informe titulado “</w:t>
      </w:r>
      <w:r w:rsidRPr="00343FBE">
        <w:rPr>
          <w:rFonts w:ascii="Century Gothic" w:eastAsia="Times New Roman" w:hAnsi="Century Gothic" w:cs="Arial"/>
          <w:i/>
          <w:sz w:val="28"/>
          <w:szCs w:val="28"/>
          <w:lang w:val="es-ES"/>
        </w:rPr>
        <w:t>El camino hacia una democracia sustantiva: la participación política de las mujeres en las Américas”</w:t>
      </w:r>
      <w:r w:rsidRPr="00343FBE">
        <w:rPr>
          <w:rFonts w:ascii="Century Gothic" w:eastAsia="Times New Roman" w:hAnsi="Century Gothic" w:cs="Arial"/>
          <w:sz w:val="28"/>
          <w:szCs w:val="28"/>
          <w:lang w:val="es-ES"/>
        </w:rPr>
        <w:t>, recomendó específicamente la adopción de medidas tendentes a la paridad en todos los niveles de gobierno, especificando su aplicabilidad al ámbito local (distinguiéndolo del estatal o provincial) y la obligación de los tribunales de exigir el cumplimiento de esas medidas (</w:t>
      </w:r>
      <w:proofErr w:type="spellStart"/>
      <w:r w:rsidRPr="00343FBE">
        <w:rPr>
          <w:rFonts w:ascii="Century Gothic" w:eastAsia="Times New Roman" w:hAnsi="Century Gothic" w:cs="Arial"/>
          <w:sz w:val="28"/>
          <w:szCs w:val="28"/>
          <w:lang w:val="es-ES"/>
        </w:rPr>
        <w:t>párrs</w:t>
      </w:r>
      <w:proofErr w:type="spellEnd"/>
      <w:r w:rsidRPr="00343FBE">
        <w:rPr>
          <w:rFonts w:ascii="Century Gothic" w:eastAsia="Times New Roman" w:hAnsi="Century Gothic" w:cs="Arial"/>
          <w:sz w:val="28"/>
          <w:szCs w:val="28"/>
          <w:lang w:val="es-ES"/>
        </w:rPr>
        <w:t>. 168 y 169)</w:t>
      </w:r>
      <w:r w:rsidR="009D2DC7" w:rsidRPr="00343FBE">
        <w:rPr>
          <w:rFonts w:ascii="Century Gothic" w:eastAsia="Times New Roman" w:hAnsi="Century Gothic" w:cs="Arial"/>
          <w:sz w:val="28"/>
          <w:szCs w:val="28"/>
          <w:lang w:val="es-ES"/>
        </w:rPr>
        <w:t>.</w:t>
      </w:r>
    </w:p>
    <w:p w:rsidR="00B64475" w:rsidRPr="00343FBE" w:rsidRDefault="00B64475" w:rsidP="00B64475">
      <w:pPr>
        <w:spacing w:line="360" w:lineRule="auto"/>
        <w:jc w:val="both"/>
        <w:rPr>
          <w:rFonts w:ascii="Century Gothic" w:eastAsia="Times New Roman" w:hAnsi="Century Gothic" w:cs="Arial"/>
          <w:sz w:val="28"/>
          <w:szCs w:val="28"/>
          <w:lang w:val="es-ES"/>
        </w:rPr>
      </w:pPr>
    </w:p>
    <w:p w:rsidR="00B64475" w:rsidRPr="00343FBE" w:rsidRDefault="00B64475" w:rsidP="00B64475">
      <w:pPr>
        <w:spacing w:line="360" w:lineRule="auto"/>
        <w:jc w:val="both"/>
        <w:rPr>
          <w:rFonts w:ascii="Century Gothic" w:hAnsi="Century Gothic" w:cs="Arial"/>
          <w:color w:val="000000" w:themeColor="text1"/>
          <w:sz w:val="28"/>
          <w:szCs w:val="28"/>
        </w:rPr>
      </w:pPr>
      <w:r w:rsidRPr="00343FBE">
        <w:rPr>
          <w:rFonts w:ascii="Century Gothic" w:hAnsi="Century Gothic"/>
          <w:sz w:val="28"/>
          <w:szCs w:val="28"/>
        </w:rPr>
        <w:t>Derivado de lo anteriormente expuesto, se advierte que</w:t>
      </w:r>
      <w:r w:rsidRPr="00343FBE">
        <w:rPr>
          <w:rFonts w:ascii="Century Gothic" w:hAnsi="Century Gothic" w:cs="Arial"/>
          <w:color w:val="000000" w:themeColor="text1"/>
          <w:sz w:val="28"/>
          <w:szCs w:val="28"/>
        </w:rPr>
        <w:t>, la paridad de género incorporada en la Base I del artículo 41 Constitucional, tiene un sustento constitucional y convencional vinculado al principio de igualdad y a garantizar el acceso de las mujeres a los órganos de representación popular, en un mismo plano de oportunidades que los hombres.</w:t>
      </w:r>
    </w:p>
    <w:p w:rsidR="00B64475" w:rsidRPr="00343FBE" w:rsidRDefault="00B64475" w:rsidP="00B64475">
      <w:pPr>
        <w:spacing w:line="360" w:lineRule="auto"/>
        <w:jc w:val="both"/>
        <w:rPr>
          <w:rFonts w:ascii="Century Gothic" w:hAnsi="Century Gothic" w:cs="Arial"/>
          <w:color w:val="000000" w:themeColor="text1"/>
          <w:sz w:val="28"/>
          <w:szCs w:val="28"/>
        </w:rPr>
      </w:pPr>
    </w:p>
    <w:p w:rsidR="00B64475" w:rsidRPr="00343FBE" w:rsidRDefault="00B64475" w:rsidP="00B64475">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En tal virtud, la paridad de géneros, se encuentra configurad</w:t>
      </w:r>
      <w:r w:rsidR="005A3F9A" w:rsidRPr="00343FBE">
        <w:rPr>
          <w:rFonts w:ascii="Century Gothic" w:hAnsi="Century Gothic" w:cs="Arial"/>
          <w:color w:val="000000" w:themeColor="text1"/>
          <w:sz w:val="28"/>
          <w:szCs w:val="28"/>
        </w:rPr>
        <w:t>a</w:t>
      </w:r>
      <w:r w:rsidRPr="00343FBE">
        <w:rPr>
          <w:rFonts w:ascii="Century Gothic" w:hAnsi="Century Gothic" w:cs="Arial"/>
          <w:color w:val="000000" w:themeColor="text1"/>
          <w:sz w:val="28"/>
          <w:szCs w:val="28"/>
        </w:rPr>
        <w:t>, en principio, como una obligación para el Estado Mexicano, en el sentido de que los partidos políticos deben incorporarl</w:t>
      </w:r>
      <w:r w:rsidR="005A3F9A" w:rsidRPr="00343FBE">
        <w:rPr>
          <w:rFonts w:ascii="Century Gothic" w:hAnsi="Century Gothic" w:cs="Arial"/>
          <w:color w:val="000000" w:themeColor="text1"/>
          <w:sz w:val="28"/>
          <w:szCs w:val="28"/>
        </w:rPr>
        <w:t>a</w:t>
      </w:r>
      <w:r w:rsidRPr="00343FBE">
        <w:rPr>
          <w:rFonts w:ascii="Century Gothic" w:hAnsi="Century Gothic" w:cs="Arial"/>
          <w:color w:val="000000" w:themeColor="text1"/>
          <w:sz w:val="28"/>
          <w:szCs w:val="28"/>
        </w:rPr>
        <w:t xml:space="preserve"> en sus Estatutos y observarl</w:t>
      </w:r>
      <w:r w:rsidR="005A3F9A" w:rsidRPr="00343FBE">
        <w:rPr>
          <w:rFonts w:ascii="Century Gothic" w:hAnsi="Century Gothic" w:cs="Arial"/>
          <w:color w:val="000000" w:themeColor="text1"/>
          <w:sz w:val="28"/>
          <w:szCs w:val="28"/>
        </w:rPr>
        <w:t>a</w:t>
      </w:r>
      <w:r w:rsidRPr="00343FBE">
        <w:rPr>
          <w:rFonts w:ascii="Century Gothic" w:hAnsi="Century Gothic" w:cs="Arial"/>
          <w:color w:val="000000" w:themeColor="text1"/>
          <w:sz w:val="28"/>
          <w:szCs w:val="28"/>
        </w:rPr>
        <w:t xml:space="preserve">, por </w:t>
      </w:r>
      <w:r w:rsidRPr="00343FBE">
        <w:rPr>
          <w:rFonts w:ascii="Century Gothic" w:hAnsi="Century Gothic" w:cs="Arial"/>
          <w:color w:val="000000" w:themeColor="text1"/>
          <w:sz w:val="28"/>
          <w:szCs w:val="28"/>
        </w:rPr>
        <w:lastRenderedPageBreak/>
        <w:t>cuanto hace a la postulación de candidatos a cargos de elección popular (legisladores federales y locales).</w:t>
      </w:r>
    </w:p>
    <w:p w:rsidR="00B64475" w:rsidRPr="00343FBE" w:rsidRDefault="00B64475" w:rsidP="00B64475">
      <w:pPr>
        <w:spacing w:line="360" w:lineRule="auto"/>
        <w:jc w:val="both"/>
        <w:rPr>
          <w:rFonts w:ascii="Century Gothic" w:hAnsi="Century Gothic" w:cs="Arial"/>
          <w:color w:val="000000" w:themeColor="text1"/>
          <w:sz w:val="32"/>
          <w:szCs w:val="32"/>
        </w:rPr>
      </w:pPr>
    </w:p>
    <w:p w:rsidR="001E41A1" w:rsidRPr="00343FBE" w:rsidRDefault="001E41A1" w:rsidP="001E41A1">
      <w:pPr>
        <w:spacing w:line="360" w:lineRule="auto"/>
        <w:jc w:val="both"/>
        <w:rPr>
          <w:rFonts w:ascii="Century Gothic" w:hAnsi="Century Gothic"/>
          <w:sz w:val="28"/>
          <w:szCs w:val="28"/>
        </w:rPr>
      </w:pPr>
      <w:r w:rsidRPr="00343FBE">
        <w:rPr>
          <w:rFonts w:ascii="Century Gothic" w:hAnsi="Century Gothic"/>
          <w:sz w:val="28"/>
          <w:szCs w:val="28"/>
        </w:rPr>
        <w:t xml:space="preserve">A su vez, en el artículo 25, párrafo 1, inciso r), de la Ley General de Partidos Políticos se establece como una obligación de los institutos políticos, </w:t>
      </w:r>
      <w:r w:rsidRPr="00343FBE">
        <w:rPr>
          <w:rFonts w:ascii="Century Gothic" w:hAnsi="Century Gothic"/>
          <w:b/>
          <w:sz w:val="28"/>
          <w:szCs w:val="28"/>
        </w:rPr>
        <w:t>la de garantizar la paridad entre los géneros en candidaturas a legisladores federales y locales</w:t>
      </w:r>
      <w:r w:rsidRPr="00343FBE">
        <w:rPr>
          <w:rFonts w:ascii="Century Gothic" w:hAnsi="Century Gothic"/>
          <w:sz w:val="28"/>
          <w:szCs w:val="28"/>
        </w:rPr>
        <w:t>.</w:t>
      </w:r>
    </w:p>
    <w:p w:rsidR="00C56CA1" w:rsidRPr="00343FBE" w:rsidRDefault="00C56CA1" w:rsidP="001E41A1">
      <w:pPr>
        <w:spacing w:line="360" w:lineRule="auto"/>
        <w:jc w:val="both"/>
        <w:rPr>
          <w:rFonts w:ascii="Century Gothic" w:hAnsi="Century Gothic"/>
          <w:sz w:val="32"/>
          <w:szCs w:val="32"/>
        </w:rPr>
      </w:pPr>
    </w:p>
    <w:p w:rsidR="002440EA" w:rsidRPr="00343FBE" w:rsidRDefault="002440EA" w:rsidP="002440EA">
      <w:pPr>
        <w:spacing w:line="360" w:lineRule="auto"/>
        <w:jc w:val="both"/>
        <w:rPr>
          <w:rFonts w:ascii="Century Gothic" w:hAnsi="Century Gothic"/>
          <w:sz w:val="28"/>
          <w:szCs w:val="28"/>
        </w:rPr>
      </w:pPr>
      <w:r w:rsidRPr="00343FBE">
        <w:rPr>
          <w:rFonts w:ascii="Century Gothic" w:hAnsi="Century Gothic"/>
          <w:sz w:val="28"/>
          <w:szCs w:val="28"/>
        </w:rPr>
        <w:t>Por otra parte, el artículo 2, párrafo 1, inciso c), de la Ley General de Partidos Políticos establece que, son derechos político-electorales de los ciudadanos mexicanos, con relación a los partidos políticos, los de votar y ser votados para todos los cargos de elección popular dentro de los procesos internos de selección de candidatos y elección de dirigentes, teniendo las calidades que establezca la ley y los estatutos de cada partido político.</w:t>
      </w:r>
    </w:p>
    <w:p w:rsidR="002440EA" w:rsidRPr="00343FBE" w:rsidRDefault="002440EA" w:rsidP="002440EA">
      <w:pPr>
        <w:spacing w:line="360" w:lineRule="auto"/>
        <w:jc w:val="both"/>
        <w:rPr>
          <w:rFonts w:ascii="Century Gothic" w:hAnsi="Century Gothic"/>
          <w:sz w:val="28"/>
          <w:szCs w:val="28"/>
        </w:rPr>
      </w:pPr>
    </w:p>
    <w:p w:rsidR="002440EA" w:rsidRPr="00343FBE" w:rsidRDefault="002440EA" w:rsidP="002440EA">
      <w:pPr>
        <w:spacing w:line="360" w:lineRule="auto"/>
        <w:jc w:val="both"/>
        <w:rPr>
          <w:rFonts w:ascii="Century Gothic" w:hAnsi="Century Gothic"/>
          <w:sz w:val="28"/>
          <w:szCs w:val="28"/>
        </w:rPr>
      </w:pPr>
      <w:r w:rsidRPr="00343FBE">
        <w:rPr>
          <w:rFonts w:ascii="Century Gothic" w:hAnsi="Century Gothic"/>
          <w:sz w:val="28"/>
          <w:szCs w:val="28"/>
        </w:rPr>
        <w:t>Mientras que, el numeral 3, párrafo 3, del indicado ordenamiento legal, dispone que los partidos políticos promoverán los valores cívicos y la cultura democrática entre niñas, niños y adolescentes y, buscarán la participación efectiva de ambos géneros en la integración de sus órganos, así como en la postulación de candidatos.</w:t>
      </w:r>
    </w:p>
    <w:p w:rsidR="002440EA" w:rsidRPr="00343FBE" w:rsidRDefault="002440EA" w:rsidP="002440EA">
      <w:pPr>
        <w:spacing w:line="360" w:lineRule="auto"/>
        <w:jc w:val="both"/>
        <w:rPr>
          <w:rFonts w:ascii="Century Gothic" w:hAnsi="Century Gothic"/>
          <w:sz w:val="28"/>
          <w:szCs w:val="28"/>
        </w:rPr>
      </w:pPr>
    </w:p>
    <w:p w:rsidR="002440EA" w:rsidRPr="00343FBE" w:rsidRDefault="00053EE1" w:rsidP="002440EA">
      <w:pPr>
        <w:spacing w:line="360" w:lineRule="auto"/>
        <w:jc w:val="both"/>
        <w:rPr>
          <w:rFonts w:ascii="Century Gothic" w:hAnsi="Century Gothic"/>
          <w:b/>
          <w:sz w:val="28"/>
          <w:szCs w:val="28"/>
        </w:rPr>
      </w:pPr>
      <w:r w:rsidRPr="00343FBE">
        <w:rPr>
          <w:rFonts w:ascii="Century Gothic" w:hAnsi="Century Gothic"/>
          <w:sz w:val="28"/>
          <w:szCs w:val="28"/>
        </w:rPr>
        <w:t>E</w:t>
      </w:r>
      <w:r w:rsidR="002440EA" w:rsidRPr="00343FBE">
        <w:rPr>
          <w:rFonts w:ascii="Century Gothic" w:hAnsi="Century Gothic"/>
          <w:sz w:val="28"/>
          <w:szCs w:val="28"/>
        </w:rPr>
        <w:t xml:space="preserve">l artículo 37, párrafo 1, inciso e), de la Ley General de Partidos Políticos, dispone que la </w:t>
      </w:r>
      <w:r w:rsidR="00274978" w:rsidRPr="00343FBE">
        <w:rPr>
          <w:rFonts w:ascii="Century Gothic" w:hAnsi="Century Gothic"/>
          <w:sz w:val="28"/>
          <w:szCs w:val="28"/>
        </w:rPr>
        <w:t>d</w:t>
      </w:r>
      <w:r w:rsidR="002440EA" w:rsidRPr="00343FBE">
        <w:rPr>
          <w:rFonts w:ascii="Century Gothic" w:hAnsi="Century Gothic"/>
          <w:sz w:val="28"/>
          <w:szCs w:val="28"/>
        </w:rPr>
        <w:t xml:space="preserve">eclaración de principios </w:t>
      </w:r>
      <w:r w:rsidR="002440EA" w:rsidRPr="00343FBE">
        <w:rPr>
          <w:rFonts w:ascii="Century Gothic" w:hAnsi="Century Gothic"/>
          <w:sz w:val="28"/>
          <w:szCs w:val="28"/>
        </w:rPr>
        <w:lastRenderedPageBreak/>
        <w:t xml:space="preserve">contendrá, entre otras cuestiones, </w:t>
      </w:r>
      <w:r w:rsidR="002440EA" w:rsidRPr="00343FBE">
        <w:rPr>
          <w:rFonts w:ascii="Century Gothic" w:hAnsi="Century Gothic"/>
          <w:b/>
          <w:sz w:val="28"/>
          <w:szCs w:val="28"/>
        </w:rPr>
        <w:t>la obligación de promover la participación política en igualdad de oportunidades y equidad entre mujeres y hombres.</w:t>
      </w:r>
    </w:p>
    <w:p w:rsidR="002440EA" w:rsidRPr="00343FBE" w:rsidRDefault="002440EA" w:rsidP="002440EA">
      <w:pPr>
        <w:spacing w:line="360" w:lineRule="auto"/>
        <w:jc w:val="both"/>
        <w:rPr>
          <w:rFonts w:ascii="Century Gothic" w:hAnsi="Century Gothic"/>
          <w:sz w:val="28"/>
          <w:szCs w:val="28"/>
        </w:rPr>
      </w:pPr>
    </w:p>
    <w:p w:rsidR="002440EA" w:rsidRPr="00343FBE" w:rsidRDefault="001C123F" w:rsidP="002440EA">
      <w:pPr>
        <w:spacing w:line="360" w:lineRule="auto"/>
        <w:jc w:val="both"/>
        <w:rPr>
          <w:rFonts w:ascii="Century Gothic" w:hAnsi="Century Gothic"/>
          <w:sz w:val="28"/>
          <w:szCs w:val="28"/>
        </w:rPr>
      </w:pPr>
      <w:r w:rsidRPr="00343FBE">
        <w:rPr>
          <w:rFonts w:ascii="Century Gothic" w:hAnsi="Century Gothic"/>
          <w:sz w:val="28"/>
          <w:szCs w:val="28"/>
        </w:rPr>
        <w:t>E</w:t>
      </w:r>
      <w:r w:rsidR="002440EA" w:rsidRPr="00343FBE">
        <w:rPr>
          <w:rFonts w:ascii="Century Gothic" w:hAnsi="Century Gothic"/>
          <w:sz w:val="28"/>
          <w:szCs w:val="28"/>
        </w:rPr>
        <w:t xml:space="preserve">l numeral 36, fracción IV, de la Ley General para la Igualdad entre Hombres y Mujeres, prevé que </w:t>
      </w:r>
      <w:r w:rsidR="002440EA" w:rsidRPr="00343FBE">
        <w:rPr>
          <w:rFonts w:ascii="Century Gothic" w:hAnsi="Century Gothic"/>
          <w:b/>
          <w:sz w:val="28"/>
          <w:szCs w:val="28"/>
        </w:rPr>
        <w:t>las autoridades correspondientes desarrollarán, entre otras acciones, la de promover la participación y representación equilibrada entre mujeres y hombres dentro de las estructuras de los partidos políticos</w:t>
      </w:r>
      <w:r w:rsidR="002440EA" w:rsidRPr="00343FBE">
        <w:rPr>
          <w:rFonts w:ascii="Century Gothic" w:hAnsi="Century Gothic"/>
          <w:sz w:val="28"/>
          <w:szCs w:val="28"/>
        </w:rPr>
        <w:t>.</w:t>
      </w:r>
    </w:p>
    <w:p w:rsidR="00BB1685" w:rsidRPr="00343FBE" w:rsidRDefault="00BB1685" w:rsidP="00834BAC">
      <w:pPr>
        <w:spacing w:line="360" w:lineRule="auto"/>
        <w:jc w:val="both"/>
        <w:rPr>
          <w:rFonts w:ascii="Century Gothic" w:hAnsi="Century Gothic"/>
          <w:sz w:val="28"/>
          <w:szCs w:val="28"/>
        </w:rPr>
      </w:pPr>
    </w:p>
    <w:p w:rsidR="00834BAC" w:rsidRPr="00343FBE" w:rsidRDefault="00834BAC" w:rsidP="00834BA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Como ha quedado reseñado, la paridad de género incorporada en la Base I del artículo 41 Constitucional, tiene un sustento constitucional y convencional vinculado al principio de igualdad y a garantizar el acceso de las mujeres a los órganos de representación</w:t>
      </w:r>
      <w:r w:rsidR="00274978" w:rsidRPr="00343FBE">
        <w:rPr>
          <w:rFonts w:ascii="Century Gothic" w:hAnsi="Century Gothic" w:cs="Arial"/>
          <w:color w:val="000000" w:themeColor="text1"/>
          <w:sz w:val="28"/>
          <w:szCs w:val="28"/>
        </w:rPr>
        <w:t xml:space="preserve"> popular (Congresos federal y locales)</w:t>
      </w:r>
      <w:r w:rsidRPr="00343FBE">
        <w:rPr>
          <w:rFonts w:ascii="Century Gothic" w:hAnsi="Century Gothic" w:cs="Arial"/>
          <w:color w:val="000000" w:themeColor="text1"/>
          <w:sz w:val="28"/>
          <w:szCs w:val="28"/>
        </w:rPr>
        <w:t>, en un mismo plano de oportunidades que los hombres.</w:t>
      </w:r>
    </w:p>
    <w:p w:rsidR="00834BAC" w:rsidRPr="00343FBE" w:rsidRDefault="00834BAC" w:rsidP="00834BAC">
      <w:pPr>
        <w:spacing w:line="360" w:lineRule="auto"/>
        <w:jc w:val="both"/>
        <w:rPr>
          <w:rFonts w:ascii="Century Gothic" w:hAnsi="Century Gothic" w:cs="Arial"/>
          <w:color w:val="000000" w:themeColor="text1"/>
          <w:sz w:val="28"/>
          <w:szCs w:val="28"/>
        </w:rPr>
      </w:pPr>
    </w:p>
    <w:p w:rsidR="001C123F" w:rsidRPr="00343FBE" w:rsidRDefault="001C123F" w:rsidP="001C123F">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Ahora bien, de las disposiciones legales se advierte, en esencia, que los partidos políticos tienen la obligación de promover la participación política en igualdad de oportunidades y equidad entre hombres y mujeres, así como </w:t>
      </w:r>
      <w:r w:rsidR="00BD05CC" w:rsidRPr="00343FBE">
        <w:rPr>
          <w:rFonts w:ascii="Century Gothic" w:hAnsi="Century Gothic" w:cs="Arial"/>
          <w:color w:val="000000" w:themeColor="text1"/>
          <w:sz w:val="28"/>
          <w:szCs w:val="28"/>
        </w:rPr>
        <w:t xml:space="preserve">de </w:t>
      </w:r>
      <w:r w:rsidRPr="00343FBE">
        <w:rPr>
          <w:rFonts w:ascii="Century Gothic" w:hAnsi="Century Gothic" w:cs="Arial"/>
          <w:color w:val="000000" w:themeColor="text1"/>
          <w:sz w:val="28"/>
          <w:szCs w:val="28"/>
        </w:rPr>
        <w:t>garantizar una representación equilibrada en las estructuras de los órganos de dirección partidistas.</w:t>
      </w:r>
    </w:p>
    <w:p w:rsidR="001C123F" w:rsidRPr="00343FBE" w:rsidRDefault="001C123F" w:rsidP="001C123F">
      <w:pPr>
        <w:spacing w:line="360" w:lineRule="auto"/>
        <w:jc w:val="both"/>
        <w:rPr>
          <w:rFonts w:ascii="Century Gothic" w:hAnsi="Century Gothic" w:cs="Arial"/>
          <w:color w:val="000000" w:themeColor="text1"/>
          <w:sz w:val="28"/>
          <w:szCs w:val="28"/>
        </w:rPr>
      </w:pPr>
    </w:p>
    <w:p w:rsidR="00F55A50" w:rsidRPr="00343FBE" w:rsidRDefault="00F55A50" w:rsidP="003A1C60">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lastRenderedPageBreak/>
        <w:t>En tal orden de ideas, conforme a</w:t>
      </w:r>
      <w:r w:rsidR="00053EE1" w:rsidRPr="00343FBE">
        <w:rPr>
          <w:rFonts w:ascii="Century Gothic" w:hAnsi="Century Gothic" w:cs="Arial"/>
          <w:color w:val="000000" w:themeColor="text1"/>
          <w:sz w:val="28"/>
          <w:szCs w:val="28"/>
        </w:rPr>
        <w:t xml:space="preserve"> </w:t>
      </w:r>
      <w:r w:rsidRPr="00343FBE">
        <w:rPr>
          <w:rFonts w:ascii="Century Gothic" w:hAnsi="Century Gothic" w:cs="Arial"/>
          <w:color w:val="000000" w:themeColor="text1"/>
          <w:sz w:val="28"/>
          <w:szCs w:val="28"/>
        </w:rPr>
        <w:t>l</w:t>
      </w:r>
      <w:r w:rsidR="00053EE1" w:rsidRPr="00343FBE">
        <w:rPr>
          <w:rFonts w:ascii="Century Gothic" w:hAnsi="Century Gothic" w:cs="Arial"/>
          <w:color w:val="000000" w:themeColor="text1"/>
          <w:sz w:val="28"/>
          <w:szCs w:val="28"/>
        </w:rPr>
        <w:t xml:space="preserve">os artículos </w:t>
      </w:r>
      <w:r w:rsidRPr="00343FBE">
        <w:rPr>
          <w:rFonts w:ascii="Century Gothic" w:hAnsi="Century Gothic" w:cs="Arial"/>
          <w:color w:val="000000" w:themeColor="text1"/>
          <w:sz w:val="28"/>
          <w:szCs w:val="28"/>
        </w:rPr>
        <w:t>41, Base I, párrafo segundo constitucional; 37, párrafo 1, inciso e), de la Ley General de Partidos Políticos</w:t>
      </w:r>
      <w:r w:rsidR="003A1C60" w:rsidRPr="00343FBE">
        <w:rPr>
          <w:rFonts w:ascii="Century Gothic" w:hAnsi="Century Gothic" w:cs="Arial"/>
          <w:color w:val="000000" w:themeColor="text1"/>
          <w:sz w:val="28"/>
          <w:szCs w:val="28"/>
        </w:rPr>
        <w:t xml:space="preserve">; </w:t>
      </w:r>
      <w:r w:rsidRPr="00343FBE">
        <w:rPr>
          <w:rFonts w:ascii="Century Gothic" w:hAnsi="Century Gothic" w:cs="Arial"/>
          <w:color w:val="000000" w:themeColor="text1"/>
          <w:sz w:val="28"/>
          <w:szCs w:val="28"/>
        </w:rPr>
        <w:t xml:space="preserve"> y, 36, fracción IV, de la Ley General para la Igualdad entre Hombres y Mujeres, </w:t>
      </w:r>
      <w:r w:rsidR="003A1C60" w:rsidRPr="00343FBE">
        <w:rPr>
          <w:rFonts w:ascii="Century Gothic" w:hAnsi="Century Gothic" w:cs="Arial"/>
          <w:color w:val="000000" w:themeColor="text1"/>
          <w:sz w:val="28"/>
          <w:szCs w:val="28"/>
        </w:rPr>
        <w:t xml:space="preserve">se advierte que los partidos políticos tienen el deber de observar la paridad de géneros en la postulación de candidaturas a cargos de elección popular y, a </w:t>
      </w:r>
      <w:r w:rsidRPr="00343FBE">
        <w:rPr>
          <w:rFonts w:ascii="Century Gothic" w:hAnsi="Century Gothic" w:cs="Arial"/>
          <w:color w:val="000000" w:themeColor="text1"/>
          <w:sz w:val="28"/>
          <w:szCs w:val="28"/>
        </w:rPr>
        <w:t>promover de manera efectiva, tanto la participación política, como la igualdad entre los hombres y mujeres que militen en ellos, a efecto de que puedan acceder a los órganos de dirección partidista sin restricción alguna por cuestión de género.</w:t>
      </w:r>
    </w:p>
    <w:p w:rsidR="00F55A50" w:rsidRPr="002E49D8" w:rsidRDefault="00F55A50" w:rsidP="001C123F">
      <w:pPr>
        <w:spacing w:line="360" w:lineRule="auto"/>
        <w:jc w:val="both"/>
        <w:rPr>
          <w:rFonts w:ascii="Century Gothic" w:hAnsi="Century Gothic" w:cs="Arial"/>
          <w:color w:val="000000" w:themeColor="text1"/>
          <w:sz w:val="24"/>
          <w:szCs w:val="24"/>
        </w:rPr>
      </w:pPr>
    </w:p>
    <w:p w:rsidR="00F55A50" w:rsidRPr="00343FBE" w:rsidRDefault="00F55A50" w:rsidP="00F55A50">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Por tanto, los partidos políticos se encuentran obligados a observar la paridad de géneros en la integración de sus órganos de dirección partidista, a efecto de garantizar una participación efectiva de las mujeres en los mismos. </w:t>
      </w:r>
    </w:p>
    <w:p w:rsidR="00F55A50" w:rsidRPr="002E49D8" w:rsidRDefault="00F55A50" w:rsidP="001C123F">
      <w:pPr>
        <w:spacing w:line="360" w:lineRule="auto"/>
        <w:jc w:val="both"/>
        <w:rPr>
          <w:rFonts w:ascii="Century Gothic" w:hAnsi="Century Gothic" w:cs="Arial"/>
          <w:color w:val="000000" w:themeColor="text1"/>
          <w:sz w:val="24"/>
          <w:szCs w:val="24"/>
        </w:rPr>
      </w:pPr>
    </w:p>
    <w:p w:rsidR="00834BAC" w:rsidRPr="00343FBE" w:rsidRDefault="006F40D5" w:rsidP="00834BA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Esto es, </w:t>
      </w:r>
      <w:r w:rsidR="00834BAC" w:rsidRPr="00343FBE">
        <w:rPr>
          <w:rFonts w:ascii="Century Gothic" w:hAnsi="Century Gothic" w:cs="Arial"/>
          <w:color w:val="000000" w:themeColor="text1"/>
          <w:sz w:val="28"/>
          <w:szCs w:val="28"/>
        </w:rPr>
        <w:t>el principio</w:t>
      </w:r>
      <w:r w:rsidRPr="00343FBE">
        <w:rPr>
          <w:rFonts w:ascii="Century Gothic" w:hAnsi="Century Gothic" w:cs="Arial"/>
          <w:color w:val="000000" w:themeColor="text1"/>
          <w:sz w:val="28"/>
          <w:szCs w:val="28"/>
        </w:rPr>
        <w:t xml:space="preserve"> de paridad de género</w:t>
      </w:r>
      <w:r w:rsidR="00834BAC" w:rsidRPr="00343FBE">
        <w:rPr>
          <w:rFonts w:ascii="Century Gothic" w:hAnsi="Century Gothic" w:cs="Arial"/>
          <w:color w:val="000000" w:themeColor="text1"/>
          <w:sz w:val="28"/>
          <w:szCs w:val="28"/>
        </w:rPr>
        <w:t>, no se agota cuando los partidos políticos postulan sus candidatos a los cargos de elección popular, sino que, además, el mismo trasciende hacia la conformación de sus órganos internos, en concordancia con uno de sus fines constitucionalmente asignados, consistente en promover la participaci</w:t>
      </w:r>
      <w:r w:rsidR="00BB24B0" w:rsidRPr="00343FBE">
        <w:rPr>
          <w:rFonts w:ascii="Century Gothic" w:hAnsi="Century Gothic" w:cs="Arial"/>
          <w:color w:val="000000" w:themeColor="text1"/>
          <w:sz w:val="28"/>
          <w:szCs w:val="28"/>
        </w:rPr>
        <w:t>ón del pueblo en la vida democrática</w:t>
      </w:r>
      <w:r w:rsidR="00834BAC" w:rsidRPr="00343FBE">
        <w:rPr>
          <w:rFonts w:ascii="Century Gothic" w:hAnsi="Century Gothic" w:cs="Arial"/>
          <w:color w:val="000000" w:themeColor="text1"/>
          <w:sz w:val="28"/>
          <w:szCs w:val="28"/>
        </w:rPr>
        <w:t>, dado que la paridad de género en la participación política es una de las piezas fundamentales que enriquece la vida democrática.</w:t>
      </w:r>
    </w:p>
    <w:p w:rsidR="00A6589F" w:rsidRPr="00343FBE" w:rsidRDefault="001712E1" w:rsidP="00834BA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lastRenderedPageBreak/>
        <w:t xml:space="preserve">En efecto, por </w:t>
      </w:r>
      <w:r w:rsidR="00F228D6" w:rsidRPr="00343FBE">
        <w:rPr>
          <w:rFonts w:ascii="Century Gothic" w:hAnsi="Century Gothic" w:cs="Arial"/>
          <w:color w:val="000000" w:themeColor="text1"/>
          <w:sz w:val="28"/>
          <w:szCs w:val="28"/>
        </w:rPr>
        <w:t xml:space="preserve">disposición constitucional </w:t>
      </w:r>
      <w:r w:rsidR="00BB24B0" w:rsidRPr="00343FBE">
        <w:rPr>
          <w:rFonts w:ascii="Century Gothic" w:hAnsi="Century Gothic" w:cs="Arial"/>
          <w:color w:val="000000" w:themeColor="text1"/>
          <w:sz w:val="28"/>
          <w:szCs w:val="28"/>
        </w:rPr>
        <w:t xml:space="preserve">existe la obligación para los partidos políticos de cumplir con la paridad de géneros en la postulación de candidaturas </w:t>
      </w:r>
      <w:r w:rsidR="00860C00" w:rsidRPr="00343FBE">
        <w:rPr>
          <w:rFonts w:ascii="Century Gothic" w:hAnsi="Century Gothic" w:cs="Arial"/>
          <w:color w:val="000000" w:themeColor="text1"/>
          <w:sz w:val="28"/>
          <w:szCs w:val="28"/>
        </w:rPr>
        <w:t>a cargos de elección popular</w:t>
      </w:r>
      <w:r w:rsidR="00AF42A0" w:rsidRPr="00343FBE">
        <w:rPr>
          <w:rFonts w:ascii="Century Gothic" w:hAnsi="Century Gothic" w:cs="Arial"/>
          <w:color w:val="000000" w:themeColor="text1"/>
          <w:sz w:val="28"/>
          <w:szCs w:val="28"/>
        </w:rPr>
        <w:t xml:space="preserve">, </w:t>
      </w:r>
      <w:r w:rsidR="00330EBC">
        <w:rPr>
          <w:rFonts w:ascii="Century Gothic" w:hAnsi="Century Gothic" w:cs="Arial"/>
          <w:color w:val="000000" w:themeColor="text1"/>
          <w:sz w:val="28"/>
          <w:szCs w:val="28"/>
        </w:rPr>
        <w:t>y por disposición legal (artículo 3, párrafo 3, de la Ley General de Partidos Políticos</w:t>
      </w:r>
      <w:r w:rsidR="00865308">
        <w:rPr>
          <w:rStyle w:val="Refdenotaalpie"/>
          <w:rFonts w:ascii="Century Gothic" w:hAnsi="Century Gothic" w:cs="Arial"/>
          <w:color w:val="000000" w:themeColor="text1"/>
          <w:sz w:val="28"/>
          <w:szCs w:val="28"/>
        </w:rPr>
        <w:footnoteReference w:id="9"/>
      </w:r>
      <w:r w:rsidR="00865308">
        <w:rPr>
          <w:rFonts w:ascii="Century Gothic" w:hAnsi="Century Gothic" w:cs="Arial"/>
          <w:color w:val="000000" w:themeColor="text1"/>
          <w:sz w:val="28"/>
          <w:szCs w:val="28"/>
        </w:rPr>
        <w:t>) tienen una obligación común tanto para integrar sus órganos como para postular candidaturas, consistente en buscar la participación efectiva de ambos géneros. E</w:t>
      </w:r>
      <w:r w:rsidR="005B2F20" w:rsidRPr="00343FBE">
        <w:rPr>
          <w:rFonts w:ascii="Century Gothic" w:hAnsi="Century Gothic" w:cs="Arial"/>
          <w:color w:val="000000" w:themeColor="text1"/>
          <w:sz w:val="28"/>
          <w:szCs w:val="28"/>
        </w:rPr>
        <w:t xml:space="preserve">ntonces </w:t>
      </w:r>
      <w:r w:rsidR="00F13045" w:rsidRPr="00343FBE">
        <w:rPr>
          <w:rFonts w:ascii="Century Gothic" w:hAnsi="Century Gothic" w:cs="Arial"/>
          <w:color w:val="000000" w:themeColor="text1"/>
          <w:sz w:val="28"/>
          <w:szCs w:val="28"/>
        </w:rPr>
        <w:t xml:space="preserve">los institutos políticos </w:t>
      </w:r>
      <w:r w:rsidR="006D4A94">
        <w:rPr>
          <w:rFonts w:ascii="Century Gothic" w:hAnsi="Century Gothic" w:cs="Arial"/>
          <w:color w:val="000000" w:themeColor="text1"/>
          <w:sz w:val="28"/>
          <w:szCs w:val="28"/>
        </w:rPr>
        <w:t xml:space="preserve">tienen el deber de </w:t>
      </w:r>
      <w:r w:rsidR="00F13045" w:rsidRPr="00343FBE">
        <w:rPr>
          <w:rFonts w:ascii="Century Gothic" w:hAnsi="Century Gothic" w:cs="Arial"/>
          <w:color w:val="000000" w:themeColor="text1"/>
          <w:sz w:val="28"/>
          <w:szCs w:val="28"/>
        </w:rPr>
        <w:t xml:space="preserve">observar el aludido principio </w:t>
      </w:r>
      <w:r w:rsidR="006D4A94">
        <w:rPr>
          <w:rFonts w:ascii="Century Gothic" w:hAnsi="Century Gothic" w:cs="Arial"/>
          <w:color w:val="000000" w:themeColor="text1"/>
          <w:sz w:val="28"/>
          <w:szCs w:val="28"/>
        </w:rPr>
        <w:t xml:space="preserve">de paridad </w:t>
      </w:r>
      <w:r w:rsidR="00F13045" w:rsidRPr="00343FBE">
        <w:rPr>
          <w:rFonts w:ascii="Century Gothic" w:hAnsi="Century Gothic" w:cs="Arial"/>
          <w:color w:val="000000" w:themeColor="text1"/>
          <w:sz w:val="28"/>
          <w:szCs w:val="28"/>
        </w:rPr>
        <w:t>en los procesos de elecci</w:t>
      </w:r>
      <w:r w:rsidR="004C1429" w:rsidRPr="00343FBE">
        <w:rPr>
          <w:rFonts w:ascii="Century Gothic" w:hAnsi="Century Gothic" w:cs="Arial"/>
          <w:color w:val="000000" w:themeColor="text1"/>
          <w:sz w:val="28"/>
          <w:szCs w:val="28"/>
        </w:rPr>
        <w:t>ón partidistas para integrar a los órganos de dirección</w:t>
      </w:r>
      <w:r w:rsidR="00A6589F" w:rsidRPr="00343FBE">
        <w:rPr>
          <w:rFonts w:ascii="Century Gothic" w:hAnsi="Century Gothic" w:cs="Arial"/>
          <w:color w:val="000000" w:themeColor="text1"/>
          <w:sz w:val="28"/>
          <w:szCs w:val="28"/>
        </w:rPr>
        <w:t xml:space="preserve">, </w:t>
      </w:r>
      <w:r w:rsidR="00B958EC" w:rsidRPr="00343FBE">
        <w:rPr>
          <w:rFonts w:ascii="Century Gothic" w:hAnsi="Century Gothic" w:cs="Arial"/>
          <w:color w:val="000000" w:themeColor="text1"/>
          <w:sz w:val="28"/>
          <w:szCs w:val="28"/>
        </w:rPr>
        <w:t>puesto que los militantes, tanto mujeres como hombres deben tener garantizado en todo momento su derecho de participar en condiciones de igualdad en los procesos de elección interna para designar candidato</w:t>
      </w:r>
      <w:r w:rsidR="000E38DD" w:rsidRPr="00343FBE">
        <w:rPr>
          <w:rFonts w:ascii="Century Gothic" w:hAnsi="Century Gothic" w:cs="Arial"/>
          <w:color w:val="000000" w:themeColor="text1"/>
          <w:sz w:val="28"/>
          <w:szCs w:val="28"/>
        </w:rPr>
        <w:t>s, o bien, para conformar los órganos partidistas.</w:t>
      </w:r>
      <w:r w:rsidR="00B958EC" w:rsidRPr="00343FBE">
        <w:rPr>
          <w:rFonts w:ascii="Century Gothic" w:hAnsi="Century Gothic" w:cs="Arial"/>
          <w:color w:val="000000" w:themeColor="text1"/>
          <w:sz w:val="28"/>
          <w:szCs w:val="28"/>
        </w:rPr>
        <w:t xml:space="preserve"> </w:t>
      </w:r>
    </w:p>
    <w:p w:rsidR="00A6589F" w:rsidRPr="00343FBE" w:rsidRDefault="00A6589F" w:rsidP="00834BAC">
      <w:pPr>
        <w:spacing w:line="360" w:lineRule="auto"/>
        <w:jc w:val="both"/>
        <w:rPr>
          <w:rFonts w:ascii="Century Gothic" w:hAnsi="Century Gothic" w:cs="Arial"/>
          <w:color w:val="000000" w:themeColor="text1"/>
          <w:sz w:val="28"/>
          <w:szCs w:val="28"/>
        </w:rPr>
      </w:pPr>
    </w:p>
    <w:p w:rsidR="00AE5A3C" w:rsidRPr="00343FBE" w:rsidRDefault="000E38DD" w:rsidP="00834BA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Asimismo, </w:t>
      </w:r>
      <w:r w:rsidR="00911A96" w:rsidRPr="00343FBE">
        <w:rPr>
          <w:rFonts w:ascii="Century Gothic" w:hAnsi="Century Gothic" w:cs="Arial"/>
          <w:color w:val="000000" w:themeColor="text1"/>
          <w:sz w:val="28"/>
          <w:szCs w:val="28"/>
        </w:rPr>
        <w:t xml:space="preserve">la regulación constitucional del principio de paridad de género no puede limitarse a ser objeto de aplicación y de observancia </w:t>
      </w:r>
      <w:r w:rsidR="00E146E9" w:rsidRPr="00343FBE">
        <w:rPr>
          <w:rFonts w:ascii="Century Gothic" w:hAnsi="Century Gothic" w:cs="Arial"/>
          <w:color w:val="000000" w:themeColor="text1"/>
          <w:sz w:val="28"/>
          <w:szCs w:val="28"/>
        </w:rPr>
        <w:t>por los partidos políticos únicamente, respecto de las candidaturas a cargos de elección popular, sino que además de</w:t>
      </w:r>
      <w:r w:rsidR="00605560" w:rsidRPr="00343FBE">
        <w:rPr>
          <w:rFonts w:ascii="Century Gothic" w:hAnsi="Century Gothic" w:cs="Arial"/>
          <w:color w:val="000000" w:themeColor="text1"/>
          <w:sz w:val="28"/>
          <w:szCs w:val="28"/>
        </w:rPr>
        <w:t xml:space="preserve">be trascender a la vida interna de aquellos, particularmente, a la integración </w:t>
      </w:r>
      <w:r w:rsidR="00605560" w:rsidRPr="00343FBE">
        <w:rPr>
          <w:rFonts w:ascii="Century Gothic" w:hAnsi="Century Gothic" w:cs="Arial"/>
          <w:color w:val="000000" w:themeColor="text1"/>
          <w:sz w:val="28"/>
          <w:szCs w:val="28"/>
        </w:rPr>
        <w:lastRenderedPageBreak/>
        <w:t xml:space="preserve">de sus órganos directivos, en tanto que es necesario el establecimiento de condiciones que permitan una adecuada y efectiva participación de las mujeres </w:t>
      </w:r>
      <w:r w:rsidR="00111C41" w:rsidRPr="00343FBE">
        <w:rPr>
          <w:rFonts w:ascii="Century Gothic" w:hAnsi="Century Gothic" w:cs="Arial"/>
          <w:color w:val="000000" w:themeColor="text1"/>
          <w:sz w:val="28"/>
          <w:szCs w:val="28"/>
        </w:rPr>
        <w:t>en las actividades políticas de aquellos partidos en los cuales militan.</w:t>
      </w:r>
      <w:r w:rsidR="00E146E9" w:rsidRPr="00343FBE">
        <w:rPr>
          <w:rFonts w:ascii="Century Gothic" w:hAnsi="Century Gothic" w:cs="Arial"/>
          <w:color w:val="000000" w:themeColor="text1"/>
          <w:sz w:val="28"/>
          <w:szCs w:val="28"/>
        </w:rPr>
        <w:t xml:space="preserve"> </w:t>
      </w:r>
    </w:p>
    <w:p w:rsidR="00AE5A3C" w:rsidRPr="00343FBE" w:rsidRDefault="00AE5A3C" w:rsidP="00834BAC">
      <w:pPr>
        <w:spacing w:line="360" w:lineRule="auto"/>
        <w:jc w:val="both"/>
        <w:rPr>
          <w:rFonts w:ascii="Century Gothic" w:hAnsi="Century Gothic" w:cs="Arial"/>
          <w:color w:val="000000" w:themeColor="text1"/>
          <w:sz w:val="28"/>
          <w:szCs w:val="28"/>
        </w:rPr>
      </w:pPr>
    </w:p>
    <w:p w:rsidR="00F13045" w:rsidRPr="00343FBE" w:rsidRDefault="008F0432" w:rsidP="00834BA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En tal orden de ideas, el establecimiento del principio de paridad de género </w:t>
      </w:r>
      <w:r w:rsidR="00FA4155" w:rsidRPr="00343FBE">
        <w:rPr>
          <w:rFonts w:ascii="Century Gothic" w:hAnsi="Century Gothic" w:cs="Arial"/>
          <w:color w:val="000000" w:themeColor="text1"/>
          <w:sz w:val="28"/>
          <w:szCs w:val="28"/>
        </w:rPr>
        <w:t>a observar por los partidos políticos, representa una garantía mínima para las militantes de partici</w:t>
      </w:r>
      <w:r w:rsidR="00CB769E" w:rsidRPr="00343FBE">
        <w:rPr>
          <w:rFonts w:ascii="Century Gothic" w:hAnsi="Century Gothic" w:cs="Arial"/>
          <w:color w:val="000000" w:themeColor="text1"/>
          <w:sz w:val="28"/>
          <w:szCs w:val="28"/>
        </w:rPr>
        <w:t>par en condiciones de igualdad en todos los procesos de selección interno que se celebren al interior de los partidos políticos, puesto que resultaría por demás contradictorio el hecho de que sólo se les permitiera hacerlo para postularse a algún cargo de elección popular y no as</w:t>
      </w:r>
      <w:r w:rsidR="00E720DA" w:rsidRPr="00343FBE">
        <w:rPr>
          <w:rFonts w:ascii="Century Gothic" w:hAnsi="Century Gothic" w:cs="Arial"/>
          <w:color w:val="000000" w:themeColor="text1"/>
          <w:sz w:val="28"/>
          <w:szCs w:val="28"/>
        </w:rPr>
        <w:t xml:space="preserve">í para contender a un cargo </w:t>
      </w:r>
      <w:proofErr w:type="spellStart"/>
      <w:r w:rsidR="00E720DA" w:rsidRPr="00343FBE">
        <w:rPr>
          <w:rFonts w:ascii="Century Gothic" w:hAnsi="Century Gothic" w:cs="Arial"/>
          <w:color w:val="000000" w:themeColor="text1"/>
          <w:sz w:val="28"/>
          <w:szCs w:val="28"/>
        </w:rPr>
        <w:t>intrapartidista</w:t>
      </w:r>
      <w:proofErr w:type="spellEnd"/>
      <w:r w:rsidR="00E720DA" w:rsidRPr="00343FBE">
        <w:rPr>
          <w:rFonts w:ascii="Century Gothic" w:hAnsi="Century Gothic" w:cs="Arial"/>
          <w:color w:val="000000" w:themeColor="text1"/>
          <w:sz w:val="28"/>
          <w:szCs w:val="28"/>
        </w:rPr>
        <w:t>, al no establecerse una limitación de esa naturaleza.</w:t>
      </w:r>
    </w:p>
    <w:p w:rsidR="00F13045" w:rsidRPr="00343FBE" w:rsidRDefault="00F13045" w:rsidP="00834BAC">
      <w:pPr>
        <w:spacing w:line="360" w:lineRule="auto"/>
        <w:jc w:val="both"/>
        <w:rPr>
          <w:rFonts w:ascii="Century Gothic" w:hAnsi="Century Gothic" w:cs="Arial"/>
          <w:color w:val="000000" w:themeColor="text1"/>
          <w:sz w:val="28"/>
          <w:szCs w:val="28"/>
        </w:rPr>
      </w:pPr>
    </w:p>
    <w:p w:rsidR="00834BAC" w:rsidRPr="00343FBE" w:rsidRDefault="00834BAC" w:rsidP="00834BAC">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En este sentido, la Sala Superior llega al convencimiento, que la paridad de los géneros</w:t>
      </w:r>
      <w:r w:rsidR="00983C1C" w:rsidRPr="00343FBE">
        <w:rPr>
          <w:rFonts w:ascii="Century Gothic" w:hAnsi="Century Gothic" w:cs="Arial"/>
          <w:color w:val="000000" w:themeColor="text1"/>
          <w:sz w:val="28"/>
          <w:szCs w:val="28"/>
        </w:rPr>
        <w:t>, así como la participación política y la igualdad entre hombres y mujeres,</w:t>
      </w:r>
      <w:r w:rsidRPr="00343FBE">
        <w:rPr>
          <w:rFonts w:ascii="Century Gothic" w:hAnsi="Century Gothic" w:cs="Arial"/>
          <w:color w:val="000000" w:themeColor="text1"/>
          <w:sz w:val="28"/>
          <w:szCs w:val="28"/>
        </w:rPr>
        <w:t xml:space="preserve"> constituye</w:t>
      </w:r>
      <w:r w:rsidR="00F20A14" w:rsidRPr="00343FBE">
        <w:rPr>
          <w:rFonts w:ascii="Century Gothic" w:hAnsi="Century Gothic" w:cs="Arial"/>
          <w:color w:val="000000" w:themeColor="text1"/>
          <w:sz w:val="28"/>
          <w:szCs w:val="28"/>
        </w:rPr>
        <w:t>n</w:t>
      </w:r>
      <w:r w:rsidRPr="00343FBE">
        <w:rPr>
          <w:rFonts w:ascii="Century Gothic" w:hAnsi="Century Gothic" w:cs="Arial"/>
          <w:color w:val="000000" w:themeColor="text1"/>
          <w:sz w:val="28"/>
          <w:szCs w:val="28"/>
        </w:rPr>
        <w:t xml:space="preserve"> eje</w:t>
      </w:r>
      <w:r w:rsidR="00F20A14" w:rsidRPr="00343FBE">
        <w:rPr>
          <w:rFonts w:ascii="Century Gothic" w:hAnsi="Century Gothic" w:cs="Arial"/>
          <w:color w:val="000000" w:themeColor="text1"/>
          <w:sz w:val="28"/>
          <w:szCs w:val="28"/>
        </w:rPr>
        <w:t>s</w:t>
      </w:r>
      <w:r w:rsidRPr="00343FBE">
        <w:rPr>
          <w:rFonts w:ascii="Century Gothic" w:hAnsi="Century Gothic" w:cs="Arial"/>
          <w:color w:val="000000" w:themeColor="text1"/>
          <w:sz w:val="28"/>
          <w:szCs w:val="28"/>
        </w:rPr>
        <w:t xml:space="preserve"> central</w:t>
      </w:r>
      <w:r w:rsidR="00F20A14" w:rsidRPr="00343FBE">
        <w:rPr>
          <w:rFonts w:ascii="Century Gothic" w:hAnsi="Century Gothic" w:cs="Arial"/>
          <w:color w:val="000000" w:themeColor="text1"/>
          <w:sz w:val="28"/>
          <w:szCs w:val="28"/>
        </w:rPr>
        <w:t>es</w:t>
      </w:r>
      <w:r w:rsidRPr="00343FBE">
        <w:rPr>
          <w:rFonts w:ascii="Century Gothic" w:hAnsi="Century Gothic" w:cs="Arial"/>
          <w:color w:val="000000" w:themeColor="text1"/>
          <w:sz w:val="28"/>
          <w:szCs w:val="28"/>
        </w:rPr>
        <w:t xml:space="preserve"> para materializar los derechos político-electorales, dentro de los cuales se encuentra el derecho de afiliación, mismo que comprende, entre otras cuestiones, la posibilidad de formar parte de los órganos internos de los partidos políticos</w:t>
      </w:r>
      <w:r w:rsidRPr="00343FBE">
        <w:rPr>
          <w:rStyle w:val="Refdenotaalpie"/>
          <w:rFonts w:ascii="Century Gothic" w:hAnsi="Century Gothic" w:cs="Arial"/>
          <w:color w:val="000000" w:themeColor="text1"/>
          <w:sz w:val="28"/>
          <w:szCs w:val="28"/>
        </w:rPr>
        <w:footnoteReference w:id="10"/>
      </w:r>
      <w:r w:rsidRPr="00343FBE">
        <w:rPr>
          <w:rFonts w:ascii="Century Gothic" w:hAnsi="Century Gothic" w:cs="Arial"/>
          <w:color w:val="000000" w:themeColor="text1"/>
          <w:sz w:val="28"/>
          <w:szCs w:val="28"/>
        </w:rPr>
        <w:t>.</w:t>
      </w:r>
    </w:p>
    <w:p w:rsidR="007F2C49" w:rsidRPr="00343FBE" w:rsidRDefault="007F2C49" w:rsidP="00CD7B86">
      <w:pPr>
        <w:spacing w:line="360" w:lineRule="auto"/>
        <w:jc w:val="both"/>
        <w:rPr>
          <w:rFonts w:ascii="Century Gothic" w:hAnsi="Century Gothic" w:cs="Arial"/>
          <w:color w:val="000000" w:themeColor="text1"/>
          <w:sz w:val="28"/>
          <w:szCs w:val="28"/>
        </w:rPr>
      </w:pPr>
    </w:p>
    <w:p w:rsidR="00215227" w:rsidRPr="00343FBE" w:rsidRDefault="00215227" w:rsidP="00CD7B86">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Esta interpretación es acorde a la obligación </w:t>
      </w:r>
      <w:r w:rsidR="00386064" w:rsidRPr="00343FBE">
        <w:rPr>
          <w:rFonts w:ascii="Century Gothic" w:hAnsi="Century Gothic" w:cs="Arial"/>
          <w:color w:val="000000" w:themeColor="text1"/>
          <w:sz w:val="28"/>
          <w:szCs w:val="28"/>
        </w:rPr>
        <w:t xml:space="preserve">convencional </w:t>
      </w:r>
      <w:r w:rsidRPr="00343FBE">
        <w:rPr>
          <w:rFonts w:ascii="Century Gothic" w:hAnsi="Century Gothic" w:cs="Arial"/>
          <w:color w:val="000000" w:themeColor="text1"/>
          <w:sz w:val="28"/>
          <w:szCs w:val="28"/>
        </w:rPr>
        <w:t>de los órganos jurisdiccionales de impartir justicia con perspectiva de género</w:t>
      </w:r>
      <w:r w:rsidR="00386064" w:rsidRPr="00343FBE">
        <w:rPr>
          <w:rFonts w:ascii="Century Gothic" w:hAnsi="Century Gothic" w:cs="Arial"/>
          <w:color w:val="000000" w:themeColor="text1"/>
          <w:sz w:val="28"/>
          <w:szCs w:val="28"/>
        </w:rPr>
        <w:t xml:space="preserve">, a fin de garantizar el pleno goce de los derechos humanos de las mujeres a participar en condiciones de igualdad con los hombres </w:t>
      </w:r>
      <w:r w:rsidR="003F1049" w:rsidRPr="00343FBE">
        <w:rPr>
          <w:rFonts w:ascii="Century Gothic" w:hAnsi="Century Gothic" w:cs="Arial"/>
          <w:color w:val="000000" w:themeColor="text1"/>
          <w:sz w:val="28"/>
          <w:szCs w:val="28"/>
        </w:rPr>
        <w:t>en la vida política del país</w:t>
      </w:r>
      <w:r w:rsidR="00386064" w:rsidRPr="00343FBE">
        <w:rPr>
          <w:rFonts w:ascii="Century Gothic" w:hAnsi="Century Gothic" w:cs="Arial"/>
          <w:color w:val="000000" w:themeColor="text1"/>
          <w:sz w:val="28"/>
          <w:szCs w:val="28"/>
        </w:rPr>
        <w:t>.</w:t>
      </w:r>
    </w:p>
    <w:p w:rsidR="00215227" w:rsidRPr="00343FBE" w:rsidRDefault="00215227" w:rsidP="00CD7B86">
      <w:pPr>
        <w:spacing w:line="360" w:lineRule="auto"/>
        <w:jc w:val="both"/>
        <w:rPr>
          <w:rFonts w:ascii="Century Gothic" w:hAnsi="Century Gothic" w:cs="Arial"/>
          <w:color w:val="000000" w:themeColor="text1"/>
          <w:sz w:val="28"/>
          <w:szCs w:val="28"/>
        </w:rPr>
      </w:pPr>
    </w:p>
    <w:p w:rsidR="00CD7B86" w:rsidRPr="00343FBE" w:rsidRDefault="003F1049" w:rsidP="00CD7B86">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C</w:t>
      </w:r>
      <w:r w:rsidR="00CD7B86" w:rsidRPr="00343FBE">
        <w:rPr>
          <w:rFonts w:ascii="Century Gothic" w:eastAsiaTheme="minorHAnsi" w:hAnsi="Century Gothic" w:cstheme="minorBidi"/>
          <w:sz w:val="28"/>
          <w:szCs w:val="28"/>
          <w:lang w:eastAsia="en-US"/>
        </w:rPr>
        <w:t>onforme al Protocolo para Juzgar con Perspectiva de Género aprobado por la Suprema Corte de Justicia de la Nación en dos mil trece, las condiciones estructurales que constituyen un obstáculo al acceso a los derechos de las personas, a partir de su identidad sexo-genérica, demandan un especial compromiso de las y los jueces, quienes tienen en sus manos la posibilidad, mediante sus resoluciones, de hacer realidad el derecho a la igualdad.</w:t>
      </w:r>
    </w:p>
    <w:p w:rsidR="00CD7B86" w:rsidRPr="00343FBE" w:rsidRDefault="00CD7B86" w:rsidP="00CD7B86">
      <w:pPr>
        <w:spacing w:line="360" w:lineRule="auto"/>
        <w:jc w:val="both"/>
        <w:rPr>
          <w:rFonts w:ascii="Century Gothic" w:eastAsiaTheme="minorHAnsi" w:hAnsi="Century Gothic" w:cstheme="minorBidi"/>
          <w:sz w:val="28"/>
          <w:szCs w:val="28"/>
          <w:lang w:eastAsia="en-US"/>
        </w:rPr>
      </w:pPr>
    </w:p>
    <w:p w:rsidR="00CD7B86" w:rsidRPr="00343FBE" w:rsidRDefault="00CD7B86" w:rsidP="00CD7B86">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 xml:space="preserve">En </w:t>
      </w:r>
      <w:r w:rsidR="003F1049" w:rsidRPr="00343FBE">
        <w:rPr>
          <w:rFonts w:ascii="Century Gothic" w:eastAsiaTheme="minorHAnsi" w:hAnsi="Century Gothic" w:cstheme="minorBidi"/>
          <w:sz w:val="28"/>
          <w:szCs w:val="28"/>
          <w:lang w:eastAsia="en-US"/>
        </w:rPr>
        <w:t xml:space="preserve">tal virtud, </w:t>
      </w:r>
      <w:r w:rsidRPr="00343FBE">
        <w:rPr>
          <w:rFonts w:ascii="Century Gothic" w:eastAsiaTheme="minorHAnsi" w:hAnsi="Century Gothic" w:cstheme="minorBidi"/>
          <w:sz w:val="28"/>
          <w:szCs w:val="28"/>
          <w:lang w:eastAsia="en-US"/>
        </w:rPr>
        <w:t>todo órgano jurisdiccional debe impartir justicia con base en una perspectiva de género, para lo cual, habrá de verificarse si existe alguna situación de violencia o vulnerabilidad que, por cuestiones de género, impida impartir justicia de manera completa e igualitaria.</w:t>
      </w:r>
    </w:p>
    <w:p w:rsidR="00CD7B86" w:rsidRPr="00343FBE" w:rsidRDefault="00CD7B86" w:rsidP="00CD7B86">
      <w:pPr>
        <w:spacing w:line="360" w:lineRule="auto"/>
        <w:jc w:val="both"/>
        <w:rPr>
          <w:rFonts w:ascii="Century Gothic" w:eastAsiaTheme="minorHAnsi" w:hAnsi="Century Gothic" w:cstheme="minorBidi"/>
          <w:sz w:val="28"/>
          <w:szCs w:val="28"/>
          <w:lang w:eastAsia="en-US"/>
        </w:rPr>
      </w:pPr>
    </w:p>
    <w:p w:rsidR="00CD7B86" w:rsidRPr="00343FBE" w:rsidRDefault="00CD7B86" w:rsidP="00CD7B86">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 xml:space="preserve">Además, la perspectiva de género en la administración de justicia obliga a leer e interpretar una norma tomando en </w:t>
      </w:r>
      <w:r w:rsidRPr="00343FBE">
        <w:rPr>
          <w:rFonts w:ascii="Century Gothic" w:eastAsiaTheme="minorHAnsi" w:hAnsi="Century Gothic" w:cstheme="minorBidi"/>
          <w:sz w:val="28"/>
          <w:szCs w:val="28"/>
          <w:lang w:eastAsia="en-US"/>
        </w:rPr>
        <w:lastRenderedPageBreak/>
        <w:t>cuenta los principios ideológicos que la sustentan, así como la forma en que afectan, de manera diferenciada, a quienes acuden a demandar justicia, pues sólo así se puede aspirar a aplicar correctamente los principios de igualdad y equidad, ya que a partir de la explicación de las diferencias específicas entre hombres y mujeres, se reconoce la forma en que unos y otras se enfrentan a una problemática concreta, y los efectos diferenciados que producen las disposiciones legales y las prácticas institucionales.</w:t>
      </w:r>
    </w:p>
    <w:p w:rsidR="00CD7B86" w:rsidRPr="00343FBE" w:rsidRDefault="00CD7B86" w:rsidP="00CD7B86">
      <w:pPr>
        <w:spacing w:line="360" w:lineRule="auto"/>
        <w:jc w:val="both"/>
        <w:rPr>
          <w:rFonts w:ascii="Century Gothic" w:eastAsiaTheme="minorHAnsi" w:hAnsi="Century Gothic" w:cstheme="minorBidi"/>
          <w:sz w:val="28"/>
          <w:szCs w:val="28"/>
          <w:lang w:eastAsia="en-US"/>
        </w:rPr>
      </w:pPr>
    </w:p>
    <w:p w:rsidR="00CD7B86" w:rsidRPr="00343FBE" w:rsidRDefault="00CD7B86" w:rsidP="00CD7B86">
      <w:pPr>
        <w:spacing w:line="360" w:lineRule="auto"/>
        <w:jc w:val="both"/>
        <w:rPr>
          <w:rFonts w:ascii="Century Gothic" w:eastAsiaTheme="minorHAnsi" w:hAnsi="Century Gothic" w:cstheme="minorBidi"/>
          <w:sz w:val="28"/>
          <w:szCs w:val="28"/>
          <w:lang w:eastAsia="en-US"/>
        </w:rPr>
      </w:pPr>
      <w:r w:rsidRPr="00343FBE">
        <w:rPr>
          <w:rFonts w:ascii="Century Gothic" w:eastAsiaTheme="minorHAnsi" w:hAnsi="Century Gothic" w:cstheme="minorBidi"/>
          <w:sz w:val="28"/>
          <w:szCs w:val="28"/>
          <w:lang w:eastAsia="en-US"/>
        </w:rPr>
        <w:t xml:space="preserve">Lo anterior queda de manifiesto, con las tesis de la Primera Sala de la Suprema Corte de Justicia de la Nación, publicadas el siete de marzo de este año, en el Semanario Judicial de la Federación, con los siguientes datos de identificación y rubro siguientes: a) Tesis 1a. XXIII/2014 (10a.) </w:t>
      </w:r>
      <w:r w:rsidRPr="00343FBE">
        <w:rPr>
          <w:rFonts w:ascii="Century Gothic" w:eastAsiaTheme="minorHAnsi" w:hAnsi="Century Gothic" w:cstheme="minorBidi"/>
          <w:b/>
          <w:sz w:val="28"/>
          <w:szCs w:val="28"/>
          <w:lang w:eastAsia="en-US"/>
        </w:rPr>
        <w:t>“PERSPECTIVA DE GÉNERO EN LA ADMINISTRACIÓN DE JUSTICIA. SU SIGNIFICADO Y ALCANCES”</w:t>
      </w:r>
      <w:r w:rsidRPr="00343FBE">
        <w:rPr>
          <w:rFonts w:ascii="Century Gothic" w:eastAsiaTheme="minorHAnsi" w:hAnsi="Century Gothic" w:cstheme="minorBidi"/>
          <w:sz w:val="28"/>
          <w:szCs w:val="28"/>
          <w:lang w:eastAsia="en-US"/>
        </w:rPr>
        <w:t xml:space="preserve">; b) Tesis: 1a. C/2014 (10a.) </w:t>
      </w:r>
      <w:r w:rsidRPr="00343FBE">
        <w:rPr>
          <w:rFonts w:ascii="Century Gothic" w:eastAsiaTheme="minorHAnsi" w:hAnsi="Century Gothic" w:cstheme="minorBidi"/>
          <w:b/>
          <w:sz w:val="28"/>
          <w:szCs w:val="28"/>
          <w:lang w:eastAsia="en-US"/>
        </w:rPr>
        <w:t>“ACCESO A LA JUSTICIA EN CONDICIONES DE IGUALDAD. ELEMENTOS PARA JUZGAR CON PERSPECTIVA DE GÉNERO”,</w:t>
      </w:r>
      <w:r w:rsidRPr="00343FBE">
        <w:rPr>
          <w:rFonts w:ascii="Century Gothic" w:eastAsiaTheme="minorHAnsi" w:hAnsi="Century Gothic" w:cstheme="minorBidi"/>
          <w:sz w:val="28"/>
          <w:szCs w:val="28"/>
          <w:lang w:eastAsia="en-US"/>
        </w:rPr>
        <w:t xml:space="preserve"> y c) Tesis: 1a. XCIX/2014 (10a.) </w:t>
      </w:r>
      <w:r w:rsidRPr="00343FBE">
        <w:rPr>
          <w:rFonts w:ascii="Century Gothic" w:eastAsiaTheme="minorHAnsi" w:hAnsi="Century Gothic" w:cstheme="minorBidi"/>
          <w:b/>
          <w:sz w:val="28"/>
          <w:szCs w:val="28"/>
          <w:lang w:eastAsia="en-US"/>
        </w:rPr>
        <w:t>“ACCESO A LA JUSTICIA EN CONDICIONES DE IGUALDAD. TODOS LOS ÓRGANOS JURISDICCIONALES DEL PAÍS DEBEN IMPARTIR JUSTICIA CON PERSPECTIVA DE GÉNERO.”</w:t>
      </w:r>
    </w:p>
    <w:p w:rsidR="00CD7B86" w:rsidRPr="00343FBE" w:rsidRDefault="00CD7B86" w:rsidP="00CD7B86">
      <w:pPr>
        <w:spacing w:line="360" w:lineRule="auto"/>
        <w:jc w:val="both"/>
        <w:rPr>
          <w:rFonts w:ascii="Century Gothic" w:eastAsiaTheme="minorHAnsi" w:hAnsi="Century Gothic" w:cstheme="minorBidi"/>
          <w:sz w:val="28"/>
          <w:szCs w:val="28"/>
          <w:lang w:eastAsia="en-US"/>
        </w:rPr>
      </w:pPr>
    </w:p>
    <w:p w:rsidR="001103F9" w:rsidRPr="00343FBE" w:rsidRDefault="00E006DA" w:rsidP="001103F9">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Por tanto, la interpretación que </w:t>
      </w:r>
      <w:r w:rsidR="000563AE" w:rsidRPr="00343FBE">
        <w:rPr>
          <w:rFonts w:ascii="Century Gothic" w:hAnsi="Century Gothic" w:cs="Arial"/>
          <w:color w:val="000000" w:themeColor="text1"/>
          <w:sz w:val="28"/>
          <w:szCs w:val="28"/>
        </w:rPr>
        <w:t xml:space="preserve">hace esta </w:t>
      </w:r>
      <w:r w:rsidRPr="00343FBE">
        <w:rPr>
          <w:rFonts w:ascii="Century Gothic" w:hAnsi="Century Gothic" w:cs="Arial"/>
          <w:color w:val="000000" w:themeColor="text1"/>
          <w:sz w:val="28"/>
          <w:szCs w:val="28"/>
        </w:rPr>
        <w:t xml:space="preserve">Sala Superior </w:t>
      </w:r>
      <w:r w:rsidR="00336F09" w:rsidRPr="00343FBE">
        <w:rPr>
          <w:rFonts w:ascii="Century Gothic" w:hAnsi="Century Gothic" w:cs="Arial"/>
          <w:color w:val="000000" w:themeColor="text1"/>
          <w:sz w:val="28"/>
          <w:szCs w:val="28"/>
        </w:rPr>
        <w:t xml:space="preserve">es con base a una perspectiva de género, dada la </w:t>
      </w:r>
      <w:r w:rsidR="001103F9" w:rsidRPr="00343FBE">
        <w:rPr>
          <w:rFonts w:ascii="Century Gothic" w:hAnsi="Century Gothic" w:cs="Arial"/>
          <w:color w:val="000000" w:themeColor="text1"/>
          <w:sz w:val="28"/>
          <w:szCs w:val="28"/>
        </w:rPr>
        <w:t xml:space="preserve">obligación </w:t>
      </w:r>
      <w:r w:rsidR="00FB0176" w:rsidRPr="00343FBE">
        <w:rPr>
          <w:rFonts w:ascii="Century Gothic" w:hAnsi="Century Gothic" w:cs="Arial"/>
          <w:color w:val="000000" w:themeColor="text1"/>
          <w:sz w:val="28"/>
          <w:szCs w:val="28"/>
        </w:rPr>
        <w:lastRenderedPageBreak/>
        <w:t xml:space="preserve">que tiene </w:t>
      </w:r>
      <w:r w:rsidR="001103F9" w:rsidRPr="00343FBE">
        <w:rPr>
          <w:rFonts w:ascii="Century Gothic" w:hAnsi="Century Gothic" w:cs="Arial"/>
          <w:color w:val="000000" w:themeColor="text1"/>
          <w:sz w:val="28"/>
          <w:szCs w:val="28"/>
        </w:rPr>
        <w:t xml:space="preserve">derivada de los artículos 1 y 4 Constitucionales, que imponen el deber de respetar, proteger y garantizar de acuerdo a los principios de universalidad, interdependencia, indivisibilidad y progresividad, el derecho a la igualdad y no discriminación, así como en virtud de lo establecido por la Comisión Interamericana de Derechos Humanos, en cuanto a la obligación de los Tribunales de exigir el cumplimiento de las medidas tendentes a garantizar la paridad en todos los niveles, </w:t>
      </w:r>
      <w:r w:rsidR="00413CEE" w:rsidRPr="00343FBE">
        <w:rPr>
          <w:rFonts w:ascii="Century Gothic" w:hAnsi="Century Gothic" w:cs="Arial"/>
          <w:color w:val="000000" w:themeColor="text1"/>
          <w:sz w:val="28"/>
          <w:szCs w:val="28"/>
        </w:rPr>
        <w:t xml:space="preserve">esta Sala Superior determina </w:t>
      </w:r>
      <w:r w:rsidR="001103F9" w:rsidRPr="00343FBE">
        <w:rPr>
          <w:rFonts w:ascii="Century Gothic" w:hAnsi="Century Gothic" w:cs="Arial"/>
          <w:color w:val="000000" w:themeColor="text1"/>
          <w:sz w:val="28"/>
          <w:szCs w:val="28"/>
        </w:rPr>
        <w:t>eliminar los obstáculos de hecho o de derecho, que impiden la participación igualitaria de mujeres y hombres en la vida interna de los propios partidos políticos y, por ende, deben garantizar la conformación paritaria en sus órganos de dirección.</w:t>
      </w:r>
    </w:p>
    <w:p w:rsidR="00CF1833" w:rsidRPr="00343FBE" w:rsidRDefault="00CF1833" w:rsidP="001103F9">
      <w:pPr>
        <w:spacing w:line="360" w:lineRule="auto"/>
        <w:jc w:val="both"/>
        <w:rPr>
          <w:rFonts w:ascii="Century Gothic" w:hAnsi="Century Gothic" w:cs="Arial"/>
          <w:color w:val="000000" w:themeColor="text1"/>
          <w:sz w:val="28"/>
          <w:szCs w:val="28"/>
        </w:rPr>
      </w:pPr>
    </w:p>
    <w:p w:rsidR="007243B2" w:rsidRPr="00343FBE" w:rsidRDefault="007243B2" w:rsidP="007243B2">
      <w:pPr>
        <w:spacing w:line="360" w:lineRule="auto"/>
        <w:jc w:val="both"/>
        <w:rPr>
          <w:rFonts w:ascii="Century Gothic" w:eastAsiaTheme="minorHAnsi" w:hAnsi="Century Gothic"/>
          <w:sz w:val="28"/>
          <w:szCs w:val="28"/>
        </w:rPr>
      </w:pPr>
      <w:r w:rsidRPr="00343FBE">
        <w:rPr>
          <w:rFonts w:ascii="Century Gothic" w:hAnsi="Century Gothic"/>
          <w:sz w:val="28"/>
          <w:szCs w:val="28"/>
        </w:rPr>
        <w:t xml:space="preserve">Tampoco debe perderse de vista que, en México actualmente las mujeres representan más del 50% de la población de acuerdo al Censo de Población y Vivienda 2010, elaborado por el Instituto Nacional de </w:t>
      </w:r>
      <w:proofErr w:type="spellStart"/>
      <w:r w:rsidRPr="00343FBE">
        <w:rPr>
          <w:rFonts w:ascii="Century Gothic" w:hAnsi="Century Gothic"/>
          <w:sz w:val="28"/>
          <w:szCs w:val="28"/>
        </w:rPr>
        <w:t>Estadisfica</w:t>
      </w:r>
      <w:proofErr w:type="spellEnd"/>
      <w:r w:rsidRPr="00343FBE">
        <w:rPr>
          <w:rFonts w:ascii="Century Gothic" w:hAnsi="Century Gothic"/>
          <w:sz w:val="28"/>
          <w:szCs w:val="28"/>
        </w:rPr>
        <w:t xml:space="preserve"> y Geografía, dado que, del total de habitantes del país, es decir, 112,336,538 </w:t>
      </w:r>
      <w:r w:rsidR="00566EC0" w:rsidRPr="00343FBE">
        <w:rPr>
          <w:rFonts w:ascii="Century Gothic" w:hAnsi="Century Gothic"/>
          <w:sz w:val="28"/>
          <w:szCs w:val="28"/>
        </w:rPr>
        <w:t>(</w:t>
      </w:r>
      <w:r w:rsidRPr="00343FBE">
        <w:rPr>
          <w:rFonts w:ascii="Century Gothic" w:hAnsi="Century Gothic"/>
          <w:sz w:val="28"/>
          <w:szCs w:val="28"/>
        </w:rPr>
        <w:t>ciento doce millones, trecientas treinta y seis mil quinientos treinta y ocho personas</w:t>
      </w:r>
      <w:r w:rsidR="00566EC0" w:rsidRPr="00343FBE">
        <w:rPr>
          <w:rFonts w:ascii="Century Gothic" w:hAnsi="Century Gothic"/>
          <w:sz w:val="28"/>
          <w:szCs w:val="28"/>
        </w:rPr>
        <w:t>)</w:t>
      </w:r>
      <w:r w:rsidRPr="00343FBE">
        <w:rPr>
          <w:rFonts w:ascii="Century Gothic" w:hAnsi="Century Gothic"/>
          <w:sz w:val="28"/>
          <w:szCs w:val="28"/>
        </w:rPr>
        <w:t xml:space="preserve">; 57,481,307, </w:t>
      </w:r>
      <w:r w:rsidR="00566EC0" w:rsidRPr="00343FBE">
        <w:rPr>
          <w:rFonts w:ascii="Century Gothic" w:hAnsi="Century Gothic"/>
          <w:sz w:val="28"/>
          <w:szCs w:val="28"/>
        </w:rPr>
        <w:t>(</w:t>
      </w:r>
      <w:r w:rsidRPr="00343FBE">
        <w:rPr>
          <w:rFonts w:ascii="Century Gothic" w:hAnsi="Century Gothic"/>
          <w:sz w:val="28"/>
          <w:szCs w:val="28"/>
        </w:rPr>
        <w:t>cincuenta y siete millones cuatrocientos ochenta y un mil trecientas siete</w:t>
      </w:r>
      <w:r w:rsidR="00566EC0" w:rsidRPr="00343FBE">
        <w:rPr>
          <w:rFonts w:ascii="Century Gothic" w:hAnsi="Century Gothic"/>
          <w:sz w:val="28"/>
          <w:szCs w:val="28"/>
        </w:rPr>
        <w:t>)</w:t>
      </w:r>
      <w:r w:rsidRPr="00343FBE">
        <w:rPr>
          <w:rFonts w:ascii="Century Gothic" w:hAnsi="Century Gothic"/>
          <w:sz w:val="28"/>
          <w:szCs w:val="28"/>
        </w:rPr>
        <w:t xml:space="preserve"> son del género femenino, lo que exige una participación y reconocimiento de estas capacidades para desarrollarse tanto en el sector público como privado de la sociedad mexicana. </w:t>
      </w:r>
    </w:p>
    <w:p w:rsidR="007243B2" w:rsidRPr="00343FBE" w:rsidRDefault="007243B2" w:rsidP="007243B2">
      <w:pPr>
        <w:jc w:val="both"/>
        <w:rPr>
          <w:rFonts w:ascii="Century Gothic" w:hAnsi="Century Gothic"/>
          <w:sz w:val="28"/>
          <w:szCs w:val="28"/>
        </w:rPr>
      </w:pPr>
    </w:p>
    <w:p w:rsidR="007243B2" w:rsidRPr="00343FBE" w:rsidRDefault="007243B2" w:rsidP="007243B2">
      <w:pPr>
        <w:spacing w:line="360" w:lineRule="auto"/>
        <w:jc w:val="both"/>
        <w:rPr>
          <w:rFonts w:ascii="Century Gothic" w:hAnsi="Century Gothic"/>
          <w:sz w:val="28"/>
          <w:szCs w:val="28"/>
        </w:rPr>
      </w:pPr>
      <w:r w:rsidRPr="00343FBE">
        <w:rPr>
          <w:rFonts w:ascii="Century Gothic" w:hAnsi="Century Gothic"/>
          <w:sz w:val="28"/>
          <w:szCs w:val="28"/>
        </w:rPr>
        <w:t>Además, en México, es un hecho público y notorio que la participación de la mujer en la vida política es mucho menor que los hombres y que su representación en los cargos de gobierno interno de los partidos es inferior a los puestos de elección popular, pues en este caso, existen medidas legales que les obl</w:t>
      </w:r>
      <w:r w:rsidR="00566EC0" w:rsidRPr="00343FBE">
        <w:rPr>
          <w:rFonts w:ascii="Century Gothic" w:hAnsi="Century Gothic"/>
          <w:sz w:val="28"/>
          <w:szCs w:val="28"/>
        </w:rPr>
        <w:t>igan a cumplir con la paridad.</w:t>
      </w:r>
    </w:p>
    <w:p w:rsidR="007243B2" w:rsidRPr="00343FBE" w:rsidRDefault="007243B2" w:rsidP="007243B2">
      <w:pPr>
        <w:jc w:val="both"/>
        <w:rPr>
          <w:rFonts w:ascii="Century Gothic" w:hAnsi="Century Gothic"/>
          <w:sz w:val="28"/>
          <w:szCs w:val="28"/>
        </w:rPr>
      </w:pPr>
    </w:p>
    <w:p w:rsidR="007243B2" w:rsidRPr="00343FBE" w:rsidRDefault="007243B2" w:rsidP="007243B2">
      <w:pPr>
        <w:spacing w:line="360" w:lineRule="auto"/>
        <w:jc w:val="both"/>
        <w:rPr>
          <w:rFonts w:ascii="Century Gothic" w:hAnsi="Century Gothic"/>
          <w:sz w:val="28"/>
          <w:szCs w:val="28"/>
        </w:rPr>
      </w:pPr>
      <w:r w:rsidRPr="00343FBE">
        <w:rPr>
          <w:rFonts w:ascii="Century Gothic" w:hAnsi="Century Gothic"/>
          <w:sz w:val="28"/>
          <w:szCs w:val="28"/>
        </w:rPr>
        <w:t>En ese sentido, los partidos políticos constitucionalmente, al ser catalogados como instituciones de interés público, de participación política, democráticos, plurales, deben ser los primeros interesados en atender la igualdad paritaria hacía el régimen interior, de manera que las mujeres accedan a los cargos directivos e intervengan en su funcionamiento, organización y toma de decisiones.</w:t>
      </w:r>
    </w:p>
    <w:p w:rsidR="007243B2" w:rsidRPr="00343FBE" w:rsidRDefault="007243B2" w:rsidP="007243B2">
      <w:pPr>
        <w:jc w:val="both"/>
        <w:rPr>
          <w:rFonts w:ascii="Century Gothic" w:hAnsi="Century Gothic"/>
          <w:sz w:val="28"/>
          <w:szCs w:val="28"/>
        </w:rPr>
      </w:pPr>
    </w:p>
    <w:p w:rsidR="007243B2" w:rsidRPr="00343FBE" w:rsidRDefault="007243B2" w:rsidP="007243B2">
      <w:pPr>
        <w:spacing w:line="360" w:lineRule="auto"/>
        <w:jc w:val="both"/>
        <w:rPr>
          <w:rFonts w:ascii="Century Gothic" w:hAnsi="Century Gothic"/>
          <w:sz w:val="28"/>
          <w:szCs w:val="28"/>
        </w:rPr>
      </w:pPr>
      <w:r w:rsidRPr="00343FBE">
        <w:rPr>
          <w:rFonts w:ascii="Century Gothic" w:hAnsi="Century Gothic"/>
          <w:sz w:val="28"/>
          <w:szCs w:val="28"/>
        </w:rPr>
        <w:t>Tal cuestión, ha sido abordada por la “Norma Marco para Consolidar la Democracia Paritaria” aprobada por el Parlamento Latinoamericano y del Caribe (</w:t>
      </w:r>
      <w:proofErr w:type="spellStart"/>
      <w:r w:rsidRPr="00343FBE">
        <w:rPr>
          <w:rFonts w:ascii="Century Gothic" w:hAnsi="Century Gothic"/>
          <w:sz w:val="28"/>
          <w:szCs w:val="28"/>
        </w:rPr>
        <w:t>Parlatino</w:t>
      </w:r>
      <w:proofErr w:type="spellEnd"/>
      <w:r w:rsidRPr="00343FBE">
        <w:rPr>
          <w:rFonts w:ascii="Century Gothic" w:hAnsi="Century Gothic"/>
          <w:sz w:val="28"/>
          <w:szCs w:val="28"/>
        </w:rPr>
        <w:t>), con intervención de ONU MUJERES, en que se estableció orientar a los estados miembros –del cual el Estado Mexicano tiene representación- en la adopción de medidas, institucionales y/o políticas, que promuevan y garanticen la consolidación gradual de la Democracia Paritaria como meta en la región, para emprender la igualdad sustantiva y el empoderamiento de las mujeres en el marco del derecho internacional.</w:t>
      </w:r>
    </w:p>
    <w:p w:rsidR="007243B2" w:rsidRPr="00343FBE" w:rsidRDefault="007243B2" w:rsidP="007243B2">
      <w:pPr>
        <w:jc w:val="both"/>
        <w:rPr>
          <w:rFonts w:ascii="Century Gothic" w:hAnsi="Century Gothic"/>
          <w:sz w:val="28"/>
          <w:szCs w:val="28"/>
        </w:rPr>
      </w:pPr>
    </w:p>
    <w:p w:rsidR="007243B2" w:rsidRPr="00343FBE" w:rsidRDefault="007243B2" w:rsidP="007243B2">
      <w:pPr>
        <w:spacing w:line="360" w:lineRule="auto"/>
        <w:jc w:val="both"/>
        <w:rPr>
          <w:rFonts w:ascii="Century Gothic" w:hAnsi="Century Gothic"/>
          <w:sz w:val="28"/>
          <w:szCs w:val="28"/>
        </w:rPr>
      </w:pPr>
      <w:r w:rsidRPr="00343FBE">
        <w:rPr>
          <w:rFonts w:ascii="Century Gothic" w:hAnsi="Century Gothic"/>
          <w:sz w:val="28"/>
          <w:szCs w:val="28"/>
        </w:rPr>
        <w:lastRenderedPageBreak/>
        <w:t>En efecto, en ese instrumento se contempló que los estatutos y reglamentos de las organizaciones políticas deben contemplar la participación de las mujeres en sus estructuras orgánicas con el objeto de promover la igualdad sustantiva y cuya observancia debe ser observada por el Estado Mexicano, a través del Poder Judicial.</w:t>
      </w:r>
    </w:p>
    <w:p w:rsidR="007243B2" w:rsidRPr="00343FBE" w:rsidRDefault="007243B2" w:rsidP="007243B2">
      <w:pPr>
        <w:ind w:left="851" w:right="758"/>
        <w:jc w:val="both"/>
        <w:rPr>
          <w:rFonts w:ascii="Century Gothic" w:hAnsi="Century Gothic"/>
          <w:sz w:val="28"/>
          <w:szCs w:val="28"/>
        </w:rPr>
      </w:pPr>
    </w:p>
    <w:p w:rsidR="007243B2" w:rsidRPr="00343FBE" w:rsidRDefault="007243B2" w:rsidP="007A652B">
      <w:pPr>
        <w:spacing w:line="360" w:lineRule="auto"/>
        <w:ind w:right="51"/>
        <w:jc w:val="both"/>
        <w:rPr>
          <w:rFonts w:ascii="Century Gothic" w:hAnsi="Century Gothic"/>
          <w:sz w:val="28"/>
          <w:szCs w:val="28"/>
        </w:rPr>
      </w:pPr>
      <w:r w:rsidRPr="00343FBE">
        <w:rPr>
          <w:rFonts w:ascii="Century Gothic" w:hAnsi="Century Gothic"/>
          <w:sz w:val="28"/>
          <w:szCs w:val="28"/>
        </w:rPr>
        <w:t>Los artículos 14 y 22 del instrumento en análisis, establecen:</w:t>
      </w:r>
    </w:p>
    <w:p w:rsidR="007243B2" w:rsidRPr="00343FBE" w:rsidRDefault="007243B2" w:rsidP="007243B2">
      <w:pPr>
        <w:ind w:left="851" w:right="758"/>
        <w:jc w:val="both"/>
        <w:rPr>
          <w:rFonts w:ascii="Century Gothic" w:hAnsi="Century Gothic"/>
          <w:sz w:val="28"/>
          <w:szCs w:val="28"/>
        </w:rPr>
      </w:pPr>
    </w:p>
    <w:p w:rsidR="007243B2" w:rsidRPr="00343FBE" w:rsidRDefault="007243B2" w:rsidP="007A652B">
      <w:pPr>
        <w:ind w:left="851" w:right="618"/>
        <w:jc w:val="both"/>
        <w:rPr>
          <w:rFonts w:ascii="Century Gothic" w:hAnsi="Century Gothic"/>
          <w:sz w:val="24"/>
          <w:szCs w:val="24"/>
        </w:rPr>
      </w:pPr>
      <w:r w:rsidRPr="00343FBE">
        <w:rPr>
          <w:rFonts w:ascii="Century Gothic" w:hAnsi="Century Gothic"/>
          <w:sz w:val="24"/>
          <w:szCs w:val="24"/>
        </w:rPr>
        <w:t>“</w:t>
      </w:r>
      <w:r w:rsidRPr="00343FBE">
        <w:rPr>
          <w:rFonts w:ascii="Century Gothic" w:hAnsi="Century Gothic"/>
          <w:b/>
          <w:bCs/>
          <w:sz w:val="24"/>
          <w:szCs w:val="24"/>
        </w:rPr>
        <w:t xml:space="preserve">ARTÍCULO 14. </w:t>
      </w:r>
      <w:r w:rsidRPr="00343FBE">
        <w:rPr>
          <w:rFonts w:ascii="Century Gothic" w:hAnsi="Century Gothic"/>
          <w:sz w:val="24"/>
          <w:szCs w:val="24"/>
        </w:rPr>
        <w:t>El poder judicial debería:</w:t>
      </w:r>
    </w:p>
    <w:p w:rsidR="007243B2" w:rsidRPr="00343FBE" w:rsidRDefault="007243B2" w:rsidP="007A652B">
      <w:pPr>
        <w:ind w:left="851" w:right="618"/>
        <w:jc w:val="both"/>
        <w:rPr>
          <w:rFonts w:ascii="Century Gothic" w:hAnsi="Century Gothic"/>
          <w:sz w:val="24"/>
          <w:szCs w:val="24"/>
        </w:rPr>
      </w:pPr>
      <w:r w:rsidRPr="00343FBE">
        <w:rPr>
          <w:rFonts w:ascii="Century Gothic" w:hAnsi="Century Gothic"/>
          <w:sz w:val="24"/>
          <w:szCs w:val="24"/>
        </w:rPr>
        <w:t>a. Promover el acceso a la Justicia desde el respeto y garantía de la igualdad de género. El fortalecimiento del Estado de Derecho debe expandirse con recursos hacia el logro de la igualdad de género, ya sea a través de reformas legales específicas, asistencia jurídica direccionada, ventanillas únicas para reducir el abandono de casos en la cadena de justicia y la capacitación de jueces y juezas, fiscales y abogados, junto con el seguimiento de sus sentencias.</w:t>
      </w:r>
    </w:p>
    <w:p w:rsidR="007243B2" w:rsidRPr="00343FBE" w:rsidRDefault="007243B2" w:rsidP="007A652B">
      <w:pPr>
        <w:ind w:left="851" w:right="618"/>
        <w:jc w:val="both"/>
        <w:rPr>
          <w:rFonts w:ascii="Century Gothic" w:hAnsi="Century Gothic"/>
          <w:sz w:val="24"/>
          <w:szCs w:val="24"/>
        </w:rPr>
      </w:pPr>
      <w:r w:rsidRPr="00343FBE">
        <w:rPr>
          <w:rFonts w:ascii="Century Gothic" w:hAnsi="Century Gothic"/>
          <w:sz w:val="24"/>
          <w:szCs w:val="24"/>
        </w:rPr>
        <w:t>b. Garantizar y promover una conformación paritaria en todos los niveles</w:t>
      </w:r>
      <w:proofErr w:type="gramStart"/>
      <w:r w:rsidRPr="00343FBE">
        <w:rPr>
          <w:rFonts w:ascii="Century Gothic" w:hAnsi="Century Gothic"/>
          <w:sz w:val="24"/>
          <w:szCs w:val="24"/>
        </w:rPr>
        <w:t>. ”</w:t>
      </w:r>
      <w:proofErr w:type="gramEnd"/>
    </w:p>
    <w:p w:rsidR="007243B2" w:rsidRPr="00343FBE" w:rsidRDefault="007243B2" w:rsidP="007A652B">
      <w:pPr>
        <w:ind w:left="851" w:right="618"/>
        <w:jc w:val="both"/>
        <w:rPr>
          <w:rFonts w:ascii="Century Gothic" w:hAnsi="Century Gothic"/>
          <w:sz w:val="24"/>
          <w:szCs w:val="24"/>
        </w:rPr>
      </w:pPr>
    </w:p>
    <w:p w:rsidR="007243B2" w:rsidRPr="00343FBE" w:rsidRDefault="007243B2" w:rsidP="007A652B">
      <w:pPr>
        <w:ind w:left="851" w:right="618"/>
        <w:jc w:val="both"/>
        <w:rPr>
          <w:rFonts w:ascii="Century Gothic" w:hAnsi="Century Gothic"/>
          <w:sz w:val="24"/>
          <w:szCs w:val="24"/>
        </w:rPr>
      </w:pPr>
      <w:r w:rsidRPr="00343FBE">
        <w:rPr>
          <w:rFonts w:ascii="Century Gothic" w:hAnsi="Century Gothic"/>
          <w:sz w:val="24"/>
          <w:szCs w:val="24"/>
        </w:rPr>
        <w:t>“</w:t>
      </w:r>
      <w:r w:rsidRPr="00343FBE">
        <w:rPr>
          <w:rFonts w:ascii="Century Gothic" w:hAnsi="Century Gothic"/>
          <w:b/>
          <w:bCs/>
          <w:sz w:val="24"/>
          <w:szCs w:val="24"/>
        </w:rPr>
        <w:t>ARTICULO 22.</w:t>
      </w:r>
      <w:r w:rsidRPr="00343FBE">
        <w:rPr>
          <w:rFonts w:ascii="Century Gothic" w:hAnsi="Century Gothic"/>
          <w:sz w:val="24"/>
          <w:szCs w:val="24"/>
        </w:rPr>
        <w:t xml:space="preserve"> Marco estatutario. Los estatutos y reglamentos de las organizaciones políticas jurídicamente habilitadas contemplarán la constitución y composición de estructuras orgánicas que respeten y promuevan la igualdad sustantiva. A ellos les incumbe:</w:t>
      </w:r>
    </w:p>
    <w:p w:rsidR="007243B2" w:rsidRPr="00343FBE" w:rsidRDefault="007243B2" w:rsidP="007A652B">
      <w:pPr>
        <w:pStyle w:val="Prrafodelista"/>
        <w:numPr>
          <w:ilvl w:val="0"/>
          <w:numId w:val="8"/>
        </w:numPr>
        <w:spacing w:after="160" w:line="252" w:lineRule="auto"/>
        <w:ind w:left="851" w:right="618" w:firstLine="0"/>
        <w:jc w:val="both"/>
        <w:rPr>
          <w:rFonts w:ascii="Century Gothic" w:hAnsi="Century Gothic"/>
          <w:sz w:val="24"/>
          <w:szCs w:val="24"/>
        </w:rPr>
      </w:pPr>
      <w:r w:rsidRPr="00343FBE">
        <w:rPr>
          <w:rFonts w:ascii="Century Gothic" w:hAnsi="Century Gothic"/>
          <w:sz w:val="24"/>
          <w:szCs w:val="24"/>
        </w:rPr>
        <w:t>Garantizar la libre e igual participación política de hombres y mujeres, así como la composición paritaria (paridad) en todas las instancias de dirección interna, tanto en la estructura de poder como en la toma de decisiones, incluidos los organismos responsables de velar por el desempeño ético, en todos los niveles jerárquicos, funcionales y territoriales.</w:t>
      </w:r>
    </w:p>
    <w:p w:rsidR="007243B2" w:rsidRPr="00343FBE" w:rsidRDefault="007243B2" w:rsidP="007A652B">
      <w:pPr>
        <w:pStyle w:val="Prrafodelista"/>
        <w:ind w:left="851" w:right="618"/>
        <w:jc w:val="both"/>
        <w:rPr>
          <w:rFonts w:ascii="Century Gothic" w:hAnsi="Century Gothic"/>
          <w:sz w:val="24"/>
          <w:szCs w:val="24"/>
        </w:rPr>
      </w:pPr>
      <w:r w:rsidRPr="00343FBE">
        <w:rPr>
          <w:rFonts w:ascii="Century Gothic" w:hAnsi="Century Gothic"/>
          <w:sz w:val="24"/>
          <w:szCs w:val="24"/>
        </w:rPr>
        <w:t>…”</w:t>
      </w:r>
    </w:p>
    <w:p w:rsidR="007243B2" w:rsidRPr="00343FBE" w:rsidRDefault="007243B2" w:rsidP="007243B2">
      <w:pPr>
        <w:pStyle w:val="Prrafodelista"/>
        <w:ind w:left="0"/>
        <w:jc w:val="both"/>
        <w:rPr>
          <w:rFonts w:ascii="Century Gothic" w:hAnsi="Century Gothic"/>
          <w:sz w:val="28"/>
          <w:szCs w:val="28"/>
        </w:rPr>
      </w:pPr>
    </w:p>
    <w:p w:rsidR="007243B2" w:rsidRPr="00343FBE" w:rsidRDefault="007243B2" w:rsidP="007243B2">
      <w:pPr>
        <w:spacing w:line="360" w:lineRule="auto"/>
        <w:jc w:val="both"/>
        <w:rPr>
          <w:rFonts w:ascii="Century Gothic" w:hAnsi="Century Gothic"/>
          <w:sz w:val="28"/>
          <w:szCs w:val="28"/>
        </w:rPr>
      </w:pPr>
      <w:r w:rsidRPr="00343FBE">
        <w:rPr>
          <w:rFonts w:ascii="Century Gothic" w:hAnsi="Century Gothic"/>
          <w:sz w:val="28"/>
          <w:szCs w:val="28"/>
        </w:rPr>
        <w:t xml:space="preserve">Así, tal documento, tiene como finalidad que las democracias de los estados miembros, apuesten sólida y </w:t>
      </w:r>
      <w:r w:rsidRPr="00343FBE">
        <w:rPr>
          <w:rFonts w:ascii="Century Gothic" w:hAnsi="Century Gothic"/>
          <w:sz w:val="28"/>
          <w:szCs w:val="28"/>
        </w:rPr>
        <w:lastRenderedPageBreak/>
        <w:t xml:space="preserve">decididamente por el logro de la igualdad de género, la paridad y el empoderamiento de las mujeres y las niñas en América Latina y el Caribe, lo que se cumple invariablemente abriendo accesos de participación de las mujeres hacía los órganos interiores de gobierno de los partidos políticos, a través de la igualdad paritaria, efectiva y de decisión. </w:t>
      </w:r>
    </w:p>
    <w:p w:rsidR="007243B2" w:rsidRPr="00343FBE" w:rsidRDefault="007243B2" w:rsidP="007243B2">
      <w:pPr>
        <w:jc w:val="both"/>
        <w:rPr>
          <w:rFonts w:ascii="Century Gothic" w:hAnsi="Century Gothic"/>
          <w:sz w:val="28"/>
          <w:szCs w:val="28"/>
        </w:rPr>
      </w:pPr>
    </w:p>
    <w:p w:rsidR="008F7E06" w:rsidRPr="00343FBE" w:rsidRDefault="008F7E06" w:rsidP="007243B2">
      <w:pPr>
        <w:jc w:val="both"/>
        <w:rPr>
          <w:rFonts w:ascii="Century Gothic" w:hAnsi="Century Gothic"/>
          <w:b/>
          <w:sz w:val="28"/>
          <w:szCs w:val="28"/>
        </w:rPr>
      </w:pPr>
      <w:r w:rsidRPr="00343FBE">
        <w:rPr>
          <w:rFonts w:ascii="Century Gothic" w:hAnsi="Century Gothic"/>
          <w:b/>
          <w:sz w:val="28"/>
          <w:szCs w:val="28"/>
        </w:rPr>
        <w:t>Efectos.</w:t>
      </w:r>
    </w:p>
    <w:p w:rsidR="008F7E06" w:rsidRPr="00343FBE" w:rsidRDefault="008F7E06" w:rsidP="007243B2">
      <w:pPr>
        <w:jc w:val="both"/>
        <w:rPr>
          <w:rFonts w:ascii="Century Gothic" w:hAnsi="Century Gothic"/>
          <w:sz w:val="32"/>
          <w:szCs w:val="32"/>
        </w:rPr>
      </w:pPr>
    </w:p>
    <w:p w:rsidR="00BF4CA3" w:rsidRPr="00343FBE" w:rsidRDefault="00834BAC" w:rsidP="00BF4CA3">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En consecuencia, al considerarse fundados los agravios examinados, </w:t>
      </w:r>
      <w:r w:rsidR="00FB02C8" w:rsidRPr="00343FBE">
        <w:rPr>
          <w:rFonts w:ascii="Century Gothic" w:hAnsi="Century Gothic" w:cs="Arial"/>
          <w:color w:val="000000" w:themeColor="text1"/>
          <w:sz w:val="28"/>
          <w:szCs w:val="28"/>
        </w:rPr>
        <w:t xml:space="preserve">lo procedente es </w:t>
      </w:r>
      <w:r w:rsidRPr="00343FBE">
        <w:rPr>
          <w:rFonts w:ascii="Century Gothic" w:hAnsi="Century Gothic" w:cs="Arial"/>
          <w:color w:val="000000" w:themeColor="text1"/>
          <w:sz w:val="28"/>
          <w:szCs w:val="28"/>
        </w:rPr>
        <w:t>ordenar al PT, por conducto de</w:t>
      </w:r>
      <w:r w:rsidR="00FB02C8" w:rsidRPr="00343FBE">
        <w:rPr>
          <w:rFonts w:ascii="Century Gothic" w:hAnsi="Century Gothic" w:cs="Arial"/>
          <w:color w:val="000000" w:themeColor="text1"/>
          <w:sz w:val="28"/>
          <w:szCs w:val="28"/>
        </w:rPr>
        <w:t xml:space="preserve"> </w:t>
      </w:r>
      <w:r w:rsidRPr="00343FBE">
        <w:rPr>
          <w:rFonts w:ascii="Century Gothic" w:hAnsi="Century Gothic" w:cs="Arial"/>
          <w:color w:val="000000" w:themeColor="text1"/>
          <w:sz w:val="28"/>
          <w:szCs w:val="28"/>
        </w:rPr>
        <w:t>l</w:t>
      </w:r>
      <w:r w:rsidR="00FB02C8" w:rsidRPr="00343FBE">
        <w:rPr>
          <w:rFonts w:ascii="Century Gothic" w:hAnsi="Century Gothic" w:cs="Arial"/>
          <w:color w:val="000000" w:themeColor="text1"/>
          <w:sz w:val="28"/>
          <w:szCs w:val="28"/>
        </w:rPr>
        <w:t xml:space="preserve">os </w:t>
      </w:r>
      <w:r w:rsidRPr="00343FBE">
        <w:rPr>
          <w:rFonts w:ascii="Century Gothic" w:hAnsi="Century Gothic" w:cs="Arial"/>
          <w:color w:val="000000" w:themeColor="text1"/>
          <w:sz w:val="28"/>
          <w:szCs w:val="28"/>
        </w:rPr>
        <w:t>órgano</w:t>
      </w:r>
      <w:r w:rsidR="00FB02C8" w:rsidRPr="00343FBE">
        <w:rPr>
          <w:rFonts w:ascii="Century Gothic" w:hAnsi="Century Gothic" w:cs="Arial"/>
          <w:color w:val="000000" w:themeColor="text1"/>
          <w:sz w:val="28"/>
          <w:szCs w:val="28"/>
        </w:rPr>
        <w:t>s</w:t>
      </w:r>
      <w:r w:rsidRPr="00343FBE">
        <w:rPr>
          <w:rFonts w:ascii="Century Gothic" w:hAnsi="Century Gothic" w:cs="Arial"/>
          <w:color w:val="000000" w:themeColor="text1"/>
          <w:sz w:val="28"/>
          <w:szCs w:val="28"/>
        </w:rPr>
        <w:t xml:space="preserve"> partidario</w:t>
      </w:r>
      <w:r w:rsidR="00FB02C8" w:rsidRPr="00343FBE">
        <w:rPr>
          <w:rFonts w:ascii="Century Gothic" w:hAnsi="Century Gothic" w:cs="Arial"/>
          <w:color w:val="000000" w:themeColor="text1"/>
          <w:sz w:val="28"/>
          <w:szCs w:val="28"/>
        </w:rPr>
        <w:t>s</w:t>
      </w:r>
      <w:r w:rsidRPr="00343FBE">
        <w:rPr>
          <w:rFonts w:ascii="Century Gothic" w:hAnsi="Century Gothic" w:cs="Arial"/>
          <w:color w:val="000000" w:themeColor="text1"/>
          <w:sz w:val="28"/>
          <w:szCs w:val="28"/>
        </w:rPr>
        <w:t xml:space="preserve"> competente</w:t>
      </w:r>
      <w:r w:rsidR="00FB02C8" w:rsidRPr="00343FBE">
        <w:rPr>
          <w:rFonts w:ascii="Century Gothic" w:hAnsi="Century Gothic" w:cs="Arial"/>
          <w:color w:val="000000" w:themeColor="text1"/>
          <w:sz w:val="28"/>
          <w:szCs w:val="28"/>
        </w:rPr>
        <w:t>s</w:t>
      </w:r>
      <w:r w:rsidR="007C74D5" w:rsidRPr="00343FBE">
        <w:rPr>
          <w:rFonts w:ascii="Century Gothic" w:hAnsi="Century Gothic" w:cs="Arial"/>
          <w:color w:val="000000" w:themeColor="text1"/>
          <w:sz w:val="28"/>
          <w:szCs w:val="28"/>
        </w:rPr>
        <w:t>,</w:t>
      </w:r>
      <w:r w:rsidRPr="00343FBE">
        <w:rPr>
          <w:rFonts w:ascii="Century Gothic" w:hAnsi="Century Gothic" w:cs="Arial"/>
          <w:color w:val="000000" w:themeColor="text1"/>
          <w:sz w:val="28"/>
          <w:szCs w:val="28"/>
        </w:rPr>
        <w:t xml:space="preserve"> que</w:t>
      </w:r>
      <w:r w:rsidR="006C022E" w:rsidRPr="00343FBE">
        <w:rPr>
          <w:rFonts w:ascii="Century Gothic" w:hAnsi="Century Gothic" w:cs="Arial"/>
          <w:color w:val="000000" w:themeColor="text1"/>
          <w:sz w:val="28"/>
          <w:szCs w:val="28"/>
        </w:rPr>
        <w:t xml:space="preserve"> lle</w:t>
      </w:r>
      <w:r w:rsidR="00BF4CA3" w:rsidRPr="00343FBE">
        <w:rPr>
          <w:rFonts w:ascii="Century Gothic" w:hAnsi="Century Gothic" w:cs="Arial"/>
          <w:color w:val="000000" w:themeColor="text1"/>
          <w:sz w:val="28"/>
          <w:szCs w:val="28"/>
        </w:rPr>
        <w:t xml:space="preserve">ve a cabo los actos necesarios para que, en la elección de las y los integrantes de los órganos directivos se </w:t>
      </w:r>
      <w:r w:rsidR="00A10D6B" w:rsidRPr="00343FBE">
        <w:rPr>
          <w:rFonts w:ascii="Century Gothic" w:hAnsi="Century Gothic" w:cs="Arial"/>
          <w:color w:val="000000" w:themeColor="text1"/>
          <w:sz w:val="28"/>
          <w:szCs w:val="28"/>
        </w:rPr>
        <w:t>garantice la paridad de géneros en su integración.</w:t>
      </w:r>
    </w:p>
    <w:p w:rsidR="00A10D6B" w:rsidRPr="00343FBE" w:rsidRDefault="00A10D6B" w:rsidP="00BF4CA3">
      <w:pPr>
        <w:spacing w:line="360" w:lineRule="auto"/>
        <w:jc w:val="both"/>
        <w:rPr>
          <w:rFonts w:ascii="Century Gothic" w:hAnsi="Century Gothic" w:cs="Arial"/>
          <w:color w:val="000000" w:themeColor="text1"/>
          <w:sz w:val="28"/>
          <w:szCs w:val="28"/>
        </w:rPr>
      </w:pPr>
    </w:p>
    <w:p w:rsidR="00D07E58" w:rsidRPr="00343FBE" w:rsidRDefault="00A10D6B" w:rsidP="00D07E58">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 xml:space="preserve">Sin embargo, actualmente, está previsto que tal elección tenga lugar durante el desarrollo del Décimo Congreso Nacional Ordinario que se llevará a cabo el veinticuatro de junio de dos mil diecisiete, razón por la cual, dada la proximidad </w:t>
      </w:r>
      <w:r w:rsidR="00C63CBB" w:rsidRPr="00343FBE">
        <w:rPr>
          <w:rFonts w:ascii="Century Gothic" w:hAnsi="Century Gothic" w:cs="Arial"/>
          <w:color w:val="000000" w:themeColor="text1"/>
          <w:sz w:val="28"/>
          <w:szCs w:val="28"/>
        </w:rPr>
        <w:t xml:space="preserve">con la fecha en que se resuelve, </w:t>
      </w:r>
      <w:r w:rsidR="00D07E58" w:rsidRPr="00343FBE">
        <w:rPr>
          <w:rFonts w:ascii="Century Gothic" w:hAnsi="Century Gothic" w:cs="Arial"/>
          <w:color w:val="000000" w:themeColor="text1"/>
          <w:sz w:val="28"/>
          <w:szCs w:val="28"/>
        </w:rPr>
        <w:t xml:space="preserve">que dificultaría garantizar dicha paridad, en virtud de la falta actual de reglas al respecto, lo procedente es diferir </w:t>
      </w:r>
      <w:r w:rsidR="00B84F28" w:rsidRPr="00343FBE">
        <w:rPr>
          <w:rFonts w:ascii="Century Gothic" w:hAnsi="Century Gothic" w:cs="Arial"/>
          <w:color w:val="000000" w:themeColor="text1"/>
          <w:sz w:val="28"/>
          <w:szCs w:val="28"/>
        </w:rPr>
        <w:t xml:space="preserve">todo lo relativo a </w:t>
      </w:r>
      <w:r w:rsidR="003B6ED4" w:rsidRPr="00343FBE">
        <w:rPr>
          <w:rFonts w:ascii="Century Gothic" w:hAnsi="Century Gothic" w:cs="Arial"/>
          <w:color w:val="000000" w:themeColor="text1"/>
          <w:sz w:val="28"/>
          <w:szCs w:val="28"/>
        </w:rPr>
        <w:t>los puntos 9 y 10 del orden del día de la convocatoria respectiva</w:t>
      </w:r>
      <w:r w:rsidR="00D07E58" w:rsidRPr="00343FBE">
        <w:rPr>
          <w:rFonts w:ascii="Century Gothic" w:hAnsi="Century Gothic" w:cs="Arial"/>
          <w:color w:val="000000" w:themeColor="text1"/>
          <w:sz w:val="28"/>
          <w:szCs w:val="28"/>
        </w:rPr>
        <w:t xml:space="preserve">, con el fin de dar al partido el tiempo suficiente para que dentro de su libertad de autodeterminación, emita las reglas atinentes, previo a la </w:t>
      </w:r>
      <w:r w:rsidR="00D07E58" w:rsidRPr="00343FBE">
        <w:rPr>
          <w:rFonts w:ascii="Century Gothic" w:hAnsi="Century Gothic" w:cs="Arial"/>
          <w:color w:val="000000" w:themeColor="text1"/>
          <w:sz w:val="28"/>
          <w:szCs w:val="28"/>
        </w:rPr>
        <w:lastRenderedPageBreak/>
        <w:t>elección correspondiente, pudiendo llevar a cabo los demás actos previstos en el orden del día.</w:t>
      </w:r>
    </w:p>
    <w:p w:rsidR="00D07E58" w:rsidRPr="00343FBE" w:rsidRDefault="00D07E58" w:rsidP="00D07E58">
      <w:pPr>
        <w:spacing w:line="360" w:lineRule="auto"/>
        <w:jc w:val="both"/>
        <w:rPr>
          <w:rFonts w:ascii="Century Gothic" w:hAnsi="Century Gothic" w:cs="Arial"/>
          <w:color w:val="000000" w:themeColor="text1"/>
          <w:sz w:val="32"/>
          <w:szCs w:val="32"/>
        </w:rPr>
      </w:pPr>
    </w:p>
    <w:p w:rsidR="001967A3" w:rsidRPr="00343FBE" w:rsidRDefault="001967A3" w:rsidP="001967A3">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La reanudación del Congreso Nacional deberá llevarse a cabo dentro de los cuarenta y cinco días naturales siguientes al veinticuatro de junio próximo, fecha en que, inicialmente está prevista la realización de dicho congreso.</w:t>
      </w:r>
    </w:p>
    <w:p w:rsidR="001967A3" w:rsidRPr="00343FBE" w:rsidRDefault="001967A3" w:rsidP="001967A3">
      <w:pPr>
        <w:spacing w:line="360" w:lineRule="auto"/>
        <w:jc w:val="both"/>
        <w:rPr>
          <w:rFonts w:ascii="Century Gothic" w:hAnsi="Century Gothic" w:cs="Arial"/>
          <w:color w:val="000000" w:themeColor="text1"/>
          <w:sz w:val="28"/>
          <w:szCs w:val="28"/>
        </w:rPr>
      </w:pPr>
    </w:p>
    <w:p w:rsidR="001967A3" w:rsidRPr="00343FBE" w:rsidRDefault="001967A3" w:rsidP="001967A3">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Además, el Partido del Trabajo, durante la realización del congreso, deberá difundir los efectos de la presente ejecutoria, para que la militancia esté en posibilidad de conocer el contenido del fallo.</w:t>
      </w:r>
    </w:p>
    <w:p w:rsidR="003B6ED4" w:rsidRPr="00343FBE" w:rsidRDefault="003B6ED4" w:rsidP="00D07E58">
      <w:pPr>
        <w:spacing w:line="360" w:lineRule="auto"/>
        <w:jc w:val="both"/>
        <w:rPr>
          <w:rFonts w:ascii="Century Gothic" w:hAnsi="Century Gothic" w:cs="Arial"/>
          <w:color w:val="000000" w:themeColor="text1"/>
          <w:sz w:val="28"/>
          <w:szCs w:val="28"/>
        </w:rPr>
      </w:pPr>
    </w:p>
    <w:p w:rsidR="003B6ED4" w:rsidRPr="00343FBE" w:rsidRDefault="008212B2" w:rsidP="00D07E58">
      <w:pPr>
        <w:spacing w:line="360" w:lineRule="auto"/>
        <w:jc w:val="both"/>
        <w:rPr>
          <w:rFonts w:ascii="Century Gothic" w:hAnsi="Century Gothic" w:cs="Arial"/>
          <w:color w:val="000000" w:themeColor="text1"/>
          <w:sz w:val="28"/>
          <w:szCs w:val="28"/>
        </w:rPr>
      </w:pPr>
      <w:r w:rsidRPr="00343FBE">
        <w:rPr>
          <w:rFonts w:ascii="Century Gothic" w:hAnsi="Century Gothic" w:cs="Arial"/>
          <w:color w:val="000000" w:themeColor="text1"/>
          <w:sz w:val="28"/>
          <w:szCs w:val="28"/>
        </w:rPr>
        <w:t>Asimismo, el Partido del Trabajo en su oportunidad, deberá implementar</w:t>
      </w:r>
      <w:r w:rsidR="00BE5CB7" w:rsidRPr="00343FBE">
        <w:rPr>
          <w:rFonts w:ascii="Century Gothic" w:hAnsi="Century Gothic" w:cs="Arial"/>
          <w:color w:val="000000" w:themeColor="text1"/>
          <w:sz w:val="28"/>
          <w:szCs w:val="28"/>
        </w:rPr>
        <w:t xml:space="preserve">, de forma permanente, </w:t>
      </w:r>
      <w:r w:rsidRPr="00343FBE">
        <w:rPr>
          <w:rFonts w:ascii="Century Gothic" w:hAnsi="Century Gothic" w:cs="Arial"/>
          <w:color w:val="000000" w:themeColor="text1"/>
          <w:sz w:val="28"/>
          <w:szCs w:val="28"/>
        </w:rPr>
        <w:t xml:space="preserve">en </w:t>
      </w:r>
      <w:r w:rsidR="00BE5CB7" w:rsidRPr="00343FBE">
        <w:rPr>
          <w:rFonts w:ascii="Century Gothic" w:hAnsi="Century Gothic" w:cs="Arial"/>
          <w:color w:val="000000" w:themeColor="text1"/>
          <w:sz w:val="28"/>
          <w:szCs w:val="28"/>
        </w:rPr>
        <w:t xml:space="preserve">su normativa interna, </w:t>
      </w:r>
      <w:r w:rsidRPr="00343FBE">
        <w:rPr>
          <w:rFonts w:ascii="Century Gothic" w:hAnsi="Century Gothic" w:cs="Arial"/>
          <w:color w:val="000000" w:themeColor="text1"/>
          <w:sz w:val="28"/>
          <w:szCs w:val="28"/>
        </w:rPr>
        <w:t xml:space="preserve">reglas de paridad de géneros en la integración de </w:t>
      </w:r>
      <w:r w:rsidR="00BE5CB7" w:rsidRPr="00343FBE">
        <w:rPr>
          <w:rFonts w:ascii="Century Gothic" w:hAnsi="Century Gothic" w:cs="Arial"/>
          <w:color w:val="000000" w:themeColor="text1"/>
          <w:sz w:val="28"/>
          <w:szCs w:val="28"/>
        </w:rPr>
        <w:t>sus órganos directivos.</w:t>
      </w:r>
    </w:p>
    <w:p w:rsidR="008212B2" w:rsidRPr="00343FBE" w:rsidRDefault="008212B2" w:rsidP="00D07E58">
      <w:pPr>
        <w:spacing w:line="360" w:lineRule="auto"/>
        <w:jc w:val="both"/>
        <w:rPr>
          <w:rFonts w:ascii="Century Gothic" w:hAnsi="Century Gothic" w:cs="Arial"/>
          <w:color w:val="000000" w:themeColor="text1"/>
          <w:sz w:val="28"/>
          <w:szCs w:val="28"/>
        </w:rPr>
      </w:pPr>
    </w:p>
    <w:p w:rsidR="006C7E5F" w:rsidRPr="00343FBE" w:rsidRDefault="00E45013" w:rsidP="006C7E5F">
      <w:pPr>
        <w:spacing w:line="360" w:lineRule="auto"/>
        <w:jc w:val="both"/>
        <w:rPr>
          <w:rFonts w:ascii="Century Gothic" w:hAnsi="Century Gothic" w:cs="Arial"/>
          <w:bCs/>
          <w:sz w:val="28"/>
          <w:szCs w:val="28"/>
          <w:lang w:eastAsia="en-US"/>
        </w:rPr>
      </w:pPr>
      <w:r w:rsidRPr="00343FBE">
        <w:rPr>
          <w:rFonts w:ascii="Century Gothic" w:hAnsi="Century Gothic" w:cs="Arial"/>
          <w:b/>
          <w:bCs/>
          <w:sz w:val="28"/>
          <w:szCs w:val="28"/>
          <w:lang w:eastAsia="en-US"/>
        </w:rPr>
        <w:t>O</w:t>
      </w:r>
      <w:r w:rsidR="006C7E5F" w:rsidRPr="00343FBE">
        <w:rPr>
          <w:rFonts w:ascii="Century Gothic" w:hAnsi="Century Gothic" w:cs="Arial"/>
          <w:b/>
          <w:bCs/>
          <w:sz w:val="28"/>
          <w:szCs w:val="28"/>
          <w:lang w:eastAsia="en-US"/>
        </w:rPr>
        <w:t>frecimiento de pruebas</w:t>
      </w:r>
      <w:r w:rsidR="006C7E5F" w:rsidRPr="00343FBE">
        <w:rPr>
          <w:rFonts w:ascii="Century Gothic" w:hAnsi="Century Gothic" w:cs="Arial"/>
          <w:bCs/>
          <w:sz w:val="28"/>
          <w:szCs w:val="28"/>
          <w:lang w:eastAsia="en-US"/>
        </w:rPr>
        <w:t>. No pasa desapercibido que los actores ofrecen diversas pruebas, que no resultan necesarias para resolver el presente medio de impugnación, en tanto que, incluso con ellas, el sentido de la presente ejecutoria no podría variar, por lo que no ha lugar a admitirlas.</w:t>
      </w:r>
    </w:p>
    <w:p w:rsidR="006C7E5F" w:rsidRPr="00343FBE" w:rsidRDefault="006C7E5F" w:rsidP="006C7E5F">
      <w:pPr>
        <w:spacing w:line="360" w:lineRule="auto"/>
        <w:jc w:val="both"/>
        <w:rPr>
          <w:rFonts w:ascii="Century Gothic" w:hAnsi="Century Gothic" w:cs="Arial"/>
          <w:bCs/>
          <w:sz w:val="32"/>
          <w:szCs w:val="32"/>
          <w:lang w:eastAsia="en-US"/>
        </w:rPr>
      </w:pPr>
    </w:p>
    <w:p w:rsidR="006C7E5F" w:rsidRPr="00343FBE" w:rsidRDefault="006C7E5F" w:rsidP="006C7E5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En efecto, dichas pruebas son las siguientes:</w:t>
      </w:r>
    </w:p>
    <w:p w:rsidR="006C7E5F" w:rsidRPr="00343FBE" w:rsidRDefault="006C7E5F" w:rsidP="006C7E5F">
      <w:pPr>
        <w:widowControl w:val="0"/>
        <w:shd w:val="clear" w:color="auto" w:fill="FFFFFF"/>
        <w:autoSpaceDE w:val="0"/>
        <w:autoSpaceDN w:val="0"/>
        <w:adjustRightInd w:val="0"/>
        <w:ind w:left="567" w:right="567"/>
        <w:jc w:val="both"/>
        <w:rPr>
          <w:rFonts w:ascii="Century Gothic" w:eastAsiaTheme="minorEastAsia" w:hAnsi="Century Gothic" w:cs="Arial"/>
          <w:color w:val="000000"/>
          <w:spacing w:val="-4"/>
          <w:sz w:val="24"/>
          <w:szCs w:val="24"/>
          <w:lang w:val="es-ES_tradnl"/>
        </w:rPr>
      </w:pPr>
      <w:r w:rsidRPr="00343FBE">
        <w:rPr>
          <w:rFonts w:ascii="Century Gothic" w:eastAsiaTheme="minorEastAsia" w:hAnsi="Century Gothic" w:cs="Arial"/>
          <w:color w:val="000000"/>
          <w:spacing w:val="-4"/>
          <w:sz w:val="28"/>
          <w:szCs w:val="28"/>
          <w:lang w:val="es-ES_tradnl"/>
        </w:rPr>
        <w:t>“</w:t>
      </w:r>
      <w:r w:rsidRPr="00343FBE">
        <w:rPr>
          <w:rFonts w:ascii="Century Gothic" w:eastAsiaTheme="minorEastAsia" w:hAnsi="Century Gothic" w:cs="Arial"/>
          <w:color w:val="000000"/>
          <w:spacing w:val="-4"/>
          <w:sz w:val="24"/>
          <w:szCs w:val="24"/>
          <w:lang w:val="es-ES_tradnl"/>
        </w:rPr>
        <w:t>…</w:t>
      </w:r>
    </w:p>
    <w:p w:rsidR="006C7E5F" w:rsidRPr="00343FBE" w:rsidRDefault="006C7E5F" w:rsidP="006C7E5F">
      <w:pPr>
        <w:widowControl w:val="0"/>
        <w:shd w:val="clear" w:color="auto" w:fill="FFFFFF"/>
        <w:autoSpaceDE w:val="0"/>
        <w:autoSpaceDN w:val="0"/>
        <w:adjustRightInd w:val="0"/>
        <w:ind w:left="567" w:right="567"/>
        <w:jc w:val="both"/>
        <w:rPr>
          <w:rFonts w:ascii="Century Gothic" w:eastAsia="Times New Roman" w:hAnsi="Century Gothic" w:cs="Arial"/>
          <w:color w:val="000000"/>
          <w:spacing w:val="-3"/>
          <w:sz w:val="24"/>
          <w:szCs w:val="24"/>
          <w:lang w:val="es-ES_tradnl"/>
        </w:rPr>
      </w:pPr>
      <w:r w:rsidRPr="00343FBE">
        <w:rPr>
          <w:rFonts w:ascii="Century Gothic" w:eastAsiaTheme="minorEastAsia" w:hAnsi="Century Gothic" w:cs="Arial"/>
          <w:color w:val="000000"/>
          <w:spacing w:val="-4"/>
          <w:sz w:val="24"/>
          <w:szCs w:val="24"/>
          <w:lang w:val="es-ES_tradnl"/>
        </w:rPr>
        <w:lastRenderedPageBreak/>
        <w:t>2.-T</w:t>
      </w:r>
      <w:r w:rsidRPr="00343FBE">
        <w:rPr>
          <w:rFonts w:ascii="Century Gothic" w:eastAsia="Times New Roman" w:hAnsi="Century Gothic"/>
          <w:color w:val="000000"/>
          <w:spacing w:val="-4"/>
          <w:sz w:val="24"/>
          <w:szCs w:val="24"/>
          <w:lang w:val="es-ES_tradnl"/>
        </w:rPr>
        <w:t>É</w:t>
      </w:r>
      <w:r w:rsidRPr="00343FBE">
        <w:rPr>
          <w:rFonts w:ascii="Century Gothic" w:eastAsia="Times New Roman" w:hAnsi="Century Gothic" w:cs="Arial"/>
          <w:color w:val="000000"/>
          <w:spacing w:val="-4"/>
          <w:sz w:val="24"/>
          <w:szCs w:val="24"/>
          <w:lang w:val="es-ES_tradnl"/>
        </w:rPr>
        <w:t>CNICA, as</w:t>
      </w:r>
      <w:r w:rsidRPr="00343FBE">
        <w:rPr>
          <w:rFonts w:ascii="Century Gothic" w:eastAsia="Times New Roman" w:hAnsi="Century Gothic"/>
          <w:color w:val="000000"/>
          <w:spacing w:val="-4"/>
          <w:sz w:val="24"/>
          <w:szCs w:val="24"/>
          <w:lang w:val="es-ES_tradnl"/>
        </w:rPr>
        <w:t>í</w:t>
      </w:r>
      <w:r w:rsidRPr="00343FBE">
        <w:rPr>
          <w:rFonts w:ascii="Century Gothic" w:eastAsia="Times New Roman" w:hAnsi="Century Gothic" w:cs="Arial"/>
          <w:color w:val="000000"/>
          <w:spacing w:val="-4"/>
          <w:sz w:val="24"/>
          <w:szCs w:val="24"/>
          <w:lang w:val="es-ES_tradnl"/>
        </w:rPr>
        <w:t xml:space="preserve"> como la inspecci</w:t>
      </w:r>
      <w:r w:rsidRPr="00343FBE">
        <w:rPr>
          <w:rFonts w:ascii="Century Gothic" w:eastAsia="Times New Roman" w:hAnsi="Century Gothic"/>
          <w:color w:val="000000"/>
          <w:spacing w:val="-4"/>
          <w:sz w:val="24"/>
          <w:szCs w:val="24"/>
          <w:lang w:val="es-ES_tradnl"/>
        </w:rPr>
        <w:t>ó</w:t>
      </w:r>
      <w:r w:rsidRPr="00343FBE">
        <w:rPr>
          <w:rFonts w:ascii="Century Gothic" w:eastAsia="Times New Roman" w:hAnsi="Century Gothic" w:cs="Arial"/>
          <w:color w:val="000000"/>
          <w:spacing w:val="-4"/>
          <w:sz w:val="24"/>
          <w:szCs w:val="24"/>
          <w:lang w:val="es-ES_tradnl"/>
        </w:rPr>
        <w:t xml:space="preserve">n de este </w:t>
      </w:r>
      <w:r w:rsidRPr="00343FBE">
        <w:rPr>
          <w:rFonts w:ascii="Century Gothic" w:eastAsia="Times New Roman" w:hAnsi="Century Gothic"/>
          <w:color w:val="000000"/>
          <w:spacing w:val="-4"/>
          <w:sz w:val="24"/>
          <w:szCs w:val="24"/>
          <w:lang w:val="es-ES_tradnl"/>
        </w:rPr>
        <w:t>ó</w:t>
      </w:r>
      <w:r w:rsidRPr="00343FBE">
        <w:rPr>
          <w:rFonts w:ascii="Century Gothic" w:eastAsia="Times New Roman" w:hAnsi="Century Gothic" w:cs="Arial"/>
          <w:color w:val="000000"/>
          <w:spacing w:val="-4"/>
          <w:sz w:val="24"/>
          <w:szCs w:val="24"/>
          <w:lang w:val="es-ES_tradnl"/>
        </w:rPr>
        <w:t>rgano jurisdiccional de la p</w:t>
      </w:r>
      <w:r w:rsidRPr="00343FBE">
        <w:rPr>
          <w:rFonts w:ascii="Century Gothic" w:eastAsia="Times New Roman" w:hAnsi="Century Gothic"/>
          <w:color w:val="000000"/>
          <w:spacing w:val="-4"/>
          <w:sz w:val="24"/>
          <w:szCs w:val="24"/>
          <w:lang w:val="es-ES_tradnl"/>
        </w:rPr>
        <w:t>á</w:t>
      </w:r>
      <w:r w:rsidRPr="00343FBE">
        <w:rPr>
          <w:rFonts w:ascii="Century Gothic" w:eastAsia="Times New Roman" w:hAnsi="Century Gothic" w:cs="Arial"/>
          <w:color w:val="000000"/>
          <w:spacing w:val="-4"/>
          <w:sz w:val="24"/>
          <w:szCs w:val="24"/>
          <w:lang w:val="es-ES_tradnl"/>
        </w:rPr>
        <w:t xml:space="preserve">gina del </w:t>
      </w:r>
      <w:r w:rsidR="00A8764A" w:rsidRPr="00343FBE">
        <w:rPr>
          <w:rFonts w:ascii="Century Gothic" w:eastAsia="Times New Roman" w:hAnsi="Century Gothic" w:cs="Arial"/>
          <w:color w:val="000000"/>
          <w:spacing w:val="-1"/>
          <w:sz w:val="24"/>
          <w:szCs w:val="24"/>
          <w:lang w:val="es-ES_tradnl"/>
        </w:rPr>
        <w:t>PT</w:t>
      </w:r>
      <w:r w:rsidRPr="00343FBE">
        <w:rPr>
          <w:rFonts w:ascii="Century Gothic" w:eastAsia="Times New Roman" w:hAnsi="Century Gothic" w:cs="Arial"/>
          <w:color w:val="000000"/>
          <w:spacing w:val="-1"/>
          <w:sz w:val="24"/>
          <w:szCs w:val="24"/>
          <w:lang w:val="es-ES_tradnl"/>
        </w:rPr>
        <w:t xml:space="preserve"> en el cual publican sus convocatorias, mediante el enlace </w:t>
      </w:r>
      <w:r w:rsidRPr="00343FBE">
        <w:rPr>
          <w:rFonts w:ascii="Century Gothic" w:eastAsia="Times New Roman" w:hAnsi="Century Gothic" w:cs="Arial"/>
          <w:color w:val="000000"/>
          <w:spacing w:val="4"/>
          <w:sz w:val="24"/>
          <w:szCs w:val="24"/>
          <w:lang w:val="es-ES_tradnl"/>
        </w:rPr>
        <w:t xml:space="preserve">siguiente: </w:t>
      </w:r>
      <w:hyperlink r:id="rId14" w:history="1">
        <w:r w:rsidRPr="00343FBE">
          <w:rPr>
            <w:rFonts w:ascii="Century Gothic" w:eastAsia="Times New Roman" w:hAnsi="Century Gothic" w:cs="Arial"/>
            <w:color w:val="0563C1" w:themeColor="hyperlink"/>
            <w:spacing w:val="4"/>
            <w:sz w:val="24"/>
            <w:szCs w:val="24"/>
          </w:rPr>
          <w:t>http://partidodeltrabaio.orq.mx/2017/convocatorias/</w:t>
        </w:r>
      </w:hyperlink>
      <w:r w:rsidRPr="00343FBE">
        <w:rPr>
          <w:rFonts w:ascii="Century Gothic" w:eastAsia="Times New Roman" w:hAnsi="Century Gothic" w:cs="Arial"/>
          <w:color w:val="000000"/>
          <w:spacing w:val="4"/>
          <w:sz w:val="24"/>
          <w:szCs w:val="24"/>
        </w:rPr>
        <w:t xml:space="preserve">. </w:t>
      </w:r>
      <w:r w:rsidRPr="00343FBE">
        <w:rPr>
          <w:rFonts w:ascii="Century Gothic" w:eastAsia="Times New Roman" w:hAnsi="Century Gothic" w:cs="Arial"/>
          <w:color w:val="000000"/>
          <w:spacing w:val="4"/>
          <w:sz w:val="24"/>
          <w:szCs w:val="24"/>
          <w:lang w:val="es-ES_tradnl"/>
        </w:rPr>
        <w:t xml:space="preserve">Mismo que </w:t>
      </w:r>
      <w:r w:rsidRPr="00343FBE">
        <w:rPr>
          <w:rFonts w:ascii="Century Gothic" w:eastAsia="Times New Roman" w:hAnsi="Century Gothic" w:cs="Arial"/>
          <w:color w:val="000000"/>
          <w:spacing w:val="-3"/>
          <w:sz w:val="24"/>
          <w:szCs w:val="24"/>
          <w:lang w:val="es-ES_tradnl"/>
        </w:rPr>
        <w:t>constituye un hecho notorio.</w:t>
      </w:r>
      <w:r w:rsidRPr="00343FBE">
        <w:rPr>
          <w:rFonts w:ascii="Century Gothic" w:eastAsia="Times New Roman" w:hAnsi="Century Gothic" w:cs="Arial"/>
          <w:color w:val="000000"/>
          <w:spacing w:val="-3"/>
          <w:sz w:val="24"/>
          <w:szCs w:val="24"/>
          <w:vertAlign w:val="superscript"/>
          <w:lang w:val="es-ES_tradnl"/>
        </w:rPr>
        <w:t>11</w:t>
      </w:r>
      <w:r w:rsidRPr="00343FBE">
        <w:rPr>
          <w:rFonts w:ascii="Century Gothic" w:eastAsia="Times New Roman" w:hAnsi="Century Gothic" w:cs="Arial"/>
          <w:color w:val="FFFFFF" w:themeColor="background1"/>
          <w:spacing w:val="-3"/>
          <w:sz w:val="24"/>
          <w:szCs w:val="24"/>
          <w:vertAlign w:val="superscript"/>
          <w:lang w:val="es-ES_tradnl"/>
        </w:rPr>
        <w:footnoteReference w:id="11"/>
      </w:r>
      <w:r w:rsidRPr="00343FBE">
        <w:rPr>
          <w:rFonts w:ascii="Century Gothic" w:eastAsia="Times New Roman" w:hAnsi="Century Gothic" w:cs="Arial"/>
          <w:color w:val="000000"/>
          <w:spacing w:val="-3"/>
          <w:sz w:val="24"/>
          <w:szCs w:val="24"/>
          <w:lang w:val="es-ES_tradnl"/>
        </w:rPr>
        <w:t xml:space="preserve"> La cual se relaciona con los agravios identificados </w:t>
      </w:r>
      <w:r w:rsidRPr="00343FBE">
        <w:rPr>
          <w:rFonts w:ascii="Century Gothic" w:eastAsia="Times New Roman" w:hAnsi="Century Gothic" w:cs="Arial"/>
          <w:color w:val="000000"/>
          <w:spacing w:val="-4"/>
          <w:sz w:val="24"/>
          <w:szCs w:val="24"/>
          <w:lang w:val="es-ES_tradnl"/>
        </w:rPr>
        <w:t>como la omisi</w:t>
      </w:r>
      <w:r w:rsidRPr="00343FBE">
        <w:rPr>
          <w:rFonts w:ascii="Century Gothic" w:eastAsia="Times New Roman" w:hAnsi="Century Gothic"/>
          <w:color w:val="000000"/>
          <w:spacing w:val="-4"/>
          <w:sz w:val="24"/>
          <w:szCs w:val="24"/>
          <w:lang w:val="es-ES_tradnl"/>
        </w:rPr>
        <w:t>ó</w:t>
      </w:r>
      <w:r w:rsidRPr="00343FBE">
        <w:rPr>
          <w:rFonts w:ascii="Century Gothic" w:eastAsia="Times New Roman" w:hAnsi="Century Gothic" w:cs="Arial"/>
          <w:color w:val="000000"/>
          <w:spacing w:val="-4"/>
          <w:sz w:val="24"/>
          <w:szCs w:val="24"/>
          <w:lang w:val="es-ES_tradnl"/>
        </w:rPr>
        <w:t>n de expedir la convocatoria por parte de la Comisi</w:t>
      </w:r>
      <w:r w:rsidRPr="00343FBE">
        <w:rPr>
          <w:rFonts w:ascii="Century Gothic" w:eastAsia="Times New Roman" w:hAnsi="Century Gothic"/>
          <w:color w:val="000000"/>
          <w:spacing w:val="-4"/>
          <w:sz w:val="24"/>
          <w:szCs w:val="24"/>
          <w:lang w:val="es-ES_tradnl"/>
        </w:rPr>
        <w:t>ó</w:t>
      </w:r>
      <w:r w:rsidRPr="00343FBE">
        <w:rPr>
          <w:rFonts w:ascii="Century Gothic" w:eastAsia="Times New Roman" w:hAnsi="Century Gothic" w:cs="Arial"/>
          <w:color w:val="000000"/>
          <w:spacing w:val="-4"/>
          <w:sz w:val="24"/>
          <w:szCs w:val="24"/>
          <w:lang w:val="es-ES_tradnl"/>
        </w:rPr>
        <w:t xml:space="preserve">n Coordinadora </w:t>
      </w:r>
      <w:r w:rsidRPr="00343FBE">
        <w:rPr>
          <w:rFonts w:ascii="Century Gothic" w:eastAsia="Times New Roman" w:hAnsi="Century Gothic" w:cs="Arial"/>
          <w:color w:val="000000"/>
          <w:spacing w:val="-3"/>
          <w:sz w:val="24"/>
          <w:szCs w:val="24"/>
          <w:lang w:val="es-ES_tradnl"/>
        </w:rPr>
        <w:t>para las sesiones de la Comisi</w:t>
      </w:r>
      <w:r w:rsidRPr="00343FBE">
        <w:rPr>
          <w:rFonts w:ascii="Century Gothic" w:eastAsia="Times New Roman" w:hAnsi="Century Gothic"/>
          <w:color w:val="000000"/>
          <w:spacing w:val="-3"/>
          <w:sz w:val="24"/>
          <w:szCs w:val="24"/>
          <w:lang w:val="es-ES_tradnl"/>
        </w:rPr>
        <w:t>ó</w:t>
      </w:r>
      <w:r w:rsidRPr="00343FBE">
        <w:rPr>
          <w:rFonts w:ascii="Century Gothic" w:eastAsia="Times New Roman" w:hAnsi="Century Gothic" w:cs="Arial"/>
          <w:color w:val="000000"/>
          <w:spacing w:val="-3"/>
          <w:sz w:val="24"/>
          <w:szCs w:val="24"/>
          <w:lang w:val="es-ES_tradnl"/>
        </w:rPr>
        <w:t xml:space="preserve">n Ejecutiva Nacional en fechas 14 de diciembre de </w:t>
      </w:r>
      <w:r w:rsidRPr="00343FBE">
        <w:rPr>
          <w:rFonts w:ascii="Century Gothic" w:eastAsia="Times New Roman" w:hAnsi="Century Gothic" w:cs="Arial"/>
          <w:color w:val="000000"/>
          <w:sz w:val="24"/>
          <w:szCs w:val="24"/>
          <w:lang w:val="es-ES_tradnl"/>
        </w:rPr>
        <w:t>2016 y 22 de febrero de 2017, as</w:t>
      </w:r>
      <w:r w:rsidRPr="00343FBE">
        <w:rPr>
          <w:rFonts w:ascii="Century Gothic" w:eastAsia="Times New Roman" w:hAnsi="Century Gothic"/>
          <w:color w:val="000000"/>
          <w:sz w:val="24"/>
          <w:szCs w:val="24"/>
          <w:lang w:val="es-ES_tradnl"/>
        </w:rPr>
        <w:t>í</w:t>
      </w:r>
      <w:r w:rsidRPr="00343FBE">
        <w:rPr>
          <w:rFonts w:ascii="Century Gothic" w:eastAsia="Times New Roman" w:hAnsi="Century Gothic" w:cs="Arial"/>
          <w:color w:val="000000"/>
          <w:sz w:val="24"/>
          <w:szCs w:val="24"/>
          <w:lang w:val="es-ES_tradnl"/>
        </w:rPr>
        <w:t xml:space="preserve"> como de los acuerdos el incumplimiento a los </w:t>
      </w:r>
      <w:r w:rsidRPr="00343FBE">
        <w:rPr>
          <w:rFonts w:ascii="Century Gothic" w:eastAsia="Times New Roman" w:hAnsi="Century Gothic" w:cs="Arial"/>
          <w:color w:val="000000"/>
          <w:spacing w:val="-3"/>
          <w:sz w:val="24"/>
          <w:szCs w:val="24"/>
          <w:lang w:val="es-ES_tradnl"/>
        </w:rPr>
        <w:t>fines de la sentencia SUP-JDC-2638/2008 y sus acumulados, en relaci</w:t>
      </w:r>
      <w:r w:rsidRPr="00343FBE">
        <w:rPr>
          <w:rFonts w:ascii="Century Gothic" w:eastAsia="Times New Roman" w:hAnsi="Century Gothic"/>
          <w:color w:val="000000"/>
          <w:spacing w:val="-3"/>
          <w:sz w:val="24"/>
          <w:szCs w:val="24"/>
          <w:lang w:val="es-ES_tradnl"/>
        </w:rPr>
        <w:t>ó</w:t>
      </w:r>
      <w:r w:rsidRPr="00343FBE">
        <w:rPr>
          <w:rFonts w:ascii="Century Gothic" w:eastAsia="Times New Roman" w:hAnsi="Century Gothic" w:cs="Arial"/>
          <w:color w:val="000000"/>
          <w:spacing w:val="-3"/>
          <w:sz w:val="24"/>
          <w:szCs w:val="24"/>
          <w:lang w:val="es-ES_tradnl"/>
        </w:rPr>
        <w:t>n con las causas de Incompatibilidad.</w:t>
      </w:r>
    </w:p>
    <w:p w:rsidR="006C7E5F" w:rsidRPr="00343FBE" w:rsidRDefault="006C7E5F" w:rsidP="006C7E5F">
      <w:pPr>
        <w:widowControl w:val="0"/>
        <w:shd w:val="clear" w:color="auto" w:fill="FFFFFF"/>
        <w:autoSpaceDE w:val="0"/>
        <w:autoSpaceDN w:val="0"/>
        <w:adjustRightInd w:val="0"/>
        <w:ind w:left="567" w:right="567"/>
        <w:jc w:val="both"/>
        <w:rPr>
          <w:rFonts w:ascii="Century Gothic" w:eastAsia="Times New Roman" w:hAnsi="Century Gothic" w:cs="Arial"/>
          <w:color w:val="000000"/>
          <w:spacing w:val="-3"/>
          <w:sz w:val="24"/>
          <w:szCs w:val="24"/>
          <w:lang w:val="es-ES_tradnl"/>
        </w:rPr>
      </w:pPr>
      <w:r w:rsidRPr="00343FBE">
        <w:rPr>
          <w:rFonts w:ascii="Century Gothic" w:eastAsia="Times New Roman" w:hAnsi="Century Gothic" w:cs="Arial"/>
          <w:color w:val="000000"/>
          <w:spacing w:val="-3"/>
          <w:sz w:val="24"/>
          <w:szCs w:val="24"/>
          <w:lang w:val="es-ES_tradnl"/>
        </w:rPr>
        <w:t>…</w:t>
      </w:r>
    </w:p>
    <w:p w:rsidR="006C7E5F" w:rsidRPr="00343FBE" w:rsidRDefault="006C7E5F" w:rsidP="006C7E5F">
      <w:pPr>
        <w:widowControl w:val="0"/>
        <w:shd w:val="clear" w:color="auto" w:fill="FFFFFF"/>
        <w:tabs>
          <w:tab w:val="left" w:pos="3514"/>
          <w:tab w:val="left" w:pos="5525"/>
          <w:tab w:val="left" w:pos="6782"/>
          <w:tab w:val="left" w:pos="8558"/>
        </w:tabs>
        <w:autoSpaceDE w:val="0"/>
        <w:autoSpaceDN w:val="0"/>
        <w:adjustRightInd w:val="0"/>
        <w:ind w:left="567" w:right="567"/>
        <w:jc w:val="both"/>
        <w:rPr>
          <w:rFonts w:ascii="Century Gothic" w:eastAsiaTheme="minorEastAsia" w:hAnsi="Century Gothic" w:cs="Arial"/>
          <w:sz w:val="24"/>
          <w:szCs w:val="24"/>
        </w:rPr>
      </w:pPr>
      <w:r w:rsidRPr="00343FBE">
        <w:rPr>
          <w:rFonts w:ascii="Century Gothic" w:eastAsiaTheme="minorEastAsia" w:hAnsi="Century Gothic" w:cs="Arial"/>
          <w:color w:val="000000"/>
          <w:spacing w:val="-4"/>
          <w:sz w:val="24"/>
          <w:szCs w:val="24"/>
          <w:lang w:val="es-ES_tradnl"/>
        </w:rPr>
        <w:t>4.- T</w:t>
      </w:r>
      <w:r w:rsidRPr="00343FBE">
        <w:rPr>
          <w:rFonts w:ascii="Century Gothic" w:eastAsia="Times New Roman" w:hAnsi="Century Gothic"/>
          <w:color w:val="000000"/>
          <w:spacing w:val="-4"/>
          <w:sz w:val="24"/>
          <w:szCs w:val="24"/>
          <w:lang w:val="es-ES_tradnl"/>
        </w:rPr>
        <w:t>É</w:t>
      </w:r>
      <w:r w:rsidRPr="00343FBE">
        <w:rPr>
          <w:rFonts w:ascii="Century Gothic" w:eastAsia="Times New Roman" w:hAnsi="Century Gothic" w:cs="Arial"/>
          <w:color w:val="000000"/>
          <w:spacing w:val="-4"/>
          <w:sz w:val="24"/>
          <w:szCs w:val="24"/>
          <w:lang w:val="es-ES_tradnl"/>
        </w:rPr>
        <w:t>CNICA, as</w:t>
      </w:r>
      <w:r w:rsidRPr="00343FBE">
        <w:rPr>
          <w:rFonts w:ascii="Century Gothic" w:eastAsia="Times New Roman" w:hAnsi="Century Gothic"/>
          <w:color w:val="000000"/>
          <w:spacing w:val="-4"/>
          <w:sz w:val="24"/>
          <w:szCs w:val="24"/>
          <w:lang w:val="es-ES_tradnl"/>
        </w:rPr>
        <w:t>í</w:t>
      </w:r>
      <w:r w:rsidRPr="00343FBE">
        <w:rPr>
          <w:rFonts w:ascii="Century Gothic" w:eastAsia="Times New Roman" w:hAnsi="Century Gothic" w:cs="Arial"/>
          <w:color w:val="000000"/>
          <w:spacing w:val="-4"/>
          <w:sz w:val="24"/>
          <w:szCs w:val="24"/>
          <w:lang w:val="es-ES_tradnl"/>
        </w:rPr>
        <w:t xml:space="preserve"> como la inspecci</w:t>
      </w:r>
      <w:r w:rsidRPr="00343FBE">
        <w:rPr>
          <w:rFonts w:ascii="Century Gothic" w:eastAsia="Times New Roman" w:hAnsi="Century Gothic"/>
          <w:color w:val="000000"/>
          <w:spacing w:val="-4"/>
          <w:sz w:val="24"/>
          <w:szCs w:val="24"/>
          <w:lang w:val="es-ES_tradnl"/>
        </w:rPr>
        <w:t>ó</w:t>
      </w:r>
      <w:r w:rsidRPr="00343FBE">
        <w:rPr>
          <w:rFonts w:ascii="Century Gothic" w:eastAsia="Times New Roman" w:hAnsi="Century Gothic" w:cs="Arial"/>
          <w:color w:val="000000"/>
          <w:spacing w:val="-4"/>
          <w:sz w:val="24"/>
          <w:szCs w:val="24"/>
          <w:lang w:val="es-ES_tradnl"/>
        </w:rPr>
        <w:t xml:space="preserve">n de este </w:t>
      </w:r>
      <w:r w:rsidRPr="00343FBE">
        <w:rPr>
          <w:rFonts w:ascii="Century Gothic" w:eastAsia="Times New Roman" w:hAnsi="Century Gothic"/>
          <w:color w:val="000000"/>
          <w:spacing w:val="-4"/>
          <w:sz w:val="24"/>
          <w:szCs w:val="24"/>
          <w:lang w:val="es-ES_tradnl"/>
        </w:rPr>
        <w:t>ó</w:t>
      </w:r>
      <w:r w:rsidRPr="00343FBE">
        <w:rPr>
          <w:rFonts w:ascii="Century Gothic" w:eastAsia="Times New Roman" w:hAnsi="Century Gothic" w:cs="Arial"/>
          <w:color w:val="000000"/>
          <w:spacing w:val="-4"/>
          <w:sz w:val="24"/>
          <w:szCs w:val="24"/>
          <w:lang w:val="es-ES_tradnl"/>
        </w:rPr>
        <w:t>rgano jurisdiccional de la p</w:t>
      </w:r>
      <w:r w:rsidRPr="00343FBE">
        <w:rPr>
          <w:rFonts w:ascii="Century Gothic" w:eastAsia="Times New Roman" w:hAnsi="Century Gothic"/>
          <w:color w:val="000000"/>
          <w:spacing w:val="-4"/>
          <w:sz w:val="24"/>
          <w:szCs w:val="24"/>
          <w:lang w:val="es-ES_tradnl"/>
        </w:rPr>
        <w:t>á</w:t>
      </w:r>
      <w:r w:rsidRPr="00343FBE">
        <w:rPr>
          <w:rFonts w:ascii="Century Gothic" w:eastAsia="Times New Roman" w:hAnsi="Century Gothic" w:cs="Arial"/>
          <w:color w:val="000000"/>
          <w:spacing w:val="-4"/>
          <w:sz w:val="24"/>
          <w:szCs w:val="24"/>
          <w:lang w:val="es-ES_tradnl"/>
        </w:rPr>
        <w:t>gina del</w:t>
      </w:r>
      <w:r w:rsidRPr="00343FBE">
        <w:rPr>
          <w:rFonts w:ascii="Century Gothic" w:eastAsia="Times New Roman" w:hAnsi="Century Gothic" w:cs="Arial"/>
          <w:color w:val="000000"/>
          <w:spacing w:val="-4"/>
          <w:sz w:val="24"/>
          <w:szCs w:val="24"/>
          <w:lang w:val="es-ES_tradnl"/>
        </w:rPr>
        <w:br/>
      </w:r>
      <w:r w:rsidR="00A8764A" w:rsidRPr="00343FBE">
        <w:rPr>
          <w:rFonts w:ascii="Century Gothic" w:eastAsia="Times New Roman" w:hAnsi="Century Gothic" w:cs="Arial"/>
          <w:color w:val="000000"/>
          <w:spacing w:val="8"/>
          <w:sz w:val="24"/>
          <w:szCs w:val="24"/>
          <w:lang w:val="es-ES_tradnl"/>
        </w:rPr>
        <w:t>PT</w:t>
      </w:r>
      <w:r w:rsidRPr="00343FBE">
        <w:rPr>
          <w:rFonts w:ascii="Century Gothic" w:eastAsia="Times New Roman" w:hAnsi="Century Gothic" w:cs="Arial"/>
          <w:color w:val="000000"/>
          <w:spacing w:val="8"/>
          <w:sz w:val="24"/>
          <w:szCs w:val="24"/>
          <w:lang w:val="es-ES_tradnl"/>
        </w:rPr>
        <w:t xml:space="preserve"> en la cual deben cumplir con sus obligaciones de </w:t>
      </w:r>
      <w:r w:rsidRPr="00343FBE">
        <w:rPr>
          <w:rFonts w:ascii="Century Gothic" w:eastAsia="Times New Roman" w:hAnsi="Century Gothic" w:cs="Arial"/>
          <w:color w:val="000000"/>
          <w:spacing w:val="-5"/>
          <w:sz w:val="24"/>
          <w:szCs w:val="24"/>
          <w:lang w:val="es-ES_tradnl"/>
        </w:rPr>
        <w:t>transparencia,</w:t>
      </w:r>
      <w:r w:rsidRPr="00343FBE">
        <w:rPr>
          <w:rFonts w:ascii="Century Gothic" w:eastAsia="Times New Roman" w:hAnsi="Century Gothic" w:cs="Arial"/>
          <w:color w:val="000000"/>
          <w:sz w:val="24"/>
          <w:szCs w:val="24"/>
          <w:lang w:val="es-ES_tradnl"/>
        </w:rPr>
        <w:t xml:space="preserve"> </w:t>
      </w:r>
      <w:r w:rsidRPr="00343FBE">
        <w:rPr>
          <w:rFonts w:ascii="Century Gothic" w:eastAsia="Times New Roman" w:hAnsi="Century Gothic" w:cs="Arial"/>
          <w:color w:val="000000"/>
          <w:spacing w:val="-10"/>
          <w:sz w:val="24"/>
          <w:szCs w:val="24"/>
          <w:lang w:val="es-ES_tradnl"/>
        </w:rPr>
        <w:t>mediante</w:t>
      </w:r>
      <w:r w:rsidRPr="00343FBE">
        <w:rPr>
          <w:rFonts w:ascii="Century Gothic" w:eastAsia="Times New Roman" w:hAnsi="Century Gothic" w:cs="Arial"/>
          <w:color w:val="000000"/>
          <w:sz w:val="24"/>
          <w:szCs w:val="24"/>
          <w:lang w:val="es-ES_tradnl"/>
        </w:rPr>
        <w:t xml:space="preserve"> </w:t>
      </w:r>
      <w:r w:rsidRPr="00343FBE">
        <w:rPr>
          <w:rFonts w:ascii="Century Gothic" w:eastAsia="Times New Roman" w:hAnsi="Century Gothic" w:cs="Arial"/>
          <w:color w:val="000000"/>
          <w:spacing w:val="-10"/>
          <w:sz w:val="24"/>
          <w:szCs w:val="24"/>
          <w:lang w:val="es-ES_tradnl"/>
        </w:rPr>
        <w:t xml:space="preserve">el </w:t>
      </w:r>
      <w:r w:rsidRPr="00343FBE">
        <w:rPr>
          <w:rFonts w:ascii="Century Gothic" w:eastAsia="Times New Roman" w:hAnsi="Century Gothic" w:cs="Arial"/>
          <w:color w:val="000000"/>
          <w:spacing w:val="-6"/>
          <w:sz w:val="24"/>
          <w:szCs w:val="24"/>
          <w:lang w:val="es-ES_tradnl"/>
        </w:rPr>
        <w:t xml:space="preserve">enlace </w:t>
      </w:r>
      <w:r w:rsidRPr="00343FBE">
        <w:rPr>
          <w:rFonts w:ascii="Century Gothic" w:eastAsia="Times New Roman" w:hAnsi="Century Gothic" w:cs="Arial"/>
          <w:color w:val="000000"/>
          <w:spacing w:val="-7"/>
          <w:sz w:val="24"/>
          <w:szCs w:val="24"/>
          <w:lang w:val="es-ES_tradnl"/>
        </w:rPr>
        <w:t>siguiente:</w:t>
      </w:r>
    </w:p>
    <w:p w:rsidR="006C7E5F" w:rsidRPr="00343FBE" w:rsidRDefault="006C7E5F" w:rsidP="006C7E5F">
      <w:pPr>
        <w:widowControl w:val="0"/>
        <w:shd w:val="clear" w:color="auto" w:fill="FFFFFF"/>
        <w:autoSpaceDE w:val="0"/>
        <w:autoSpaceDN w:val="0"/>
        <w:adjustRightInd w:val="0"/>
        <w:ind w:left="567" w:right="567"/>
        <w:jc w:val="both"/>
        <w:rPr>
          <w:rFonts w:ascii="Century Gothic" w:eastAsia="Times New Roman" w:hAnsi="Century Gothic" w:cs="Arial"/>
          <w:color w:val="000000"/>
          <w:spacing w:val="-4"/>
          <w:sz w:val="24"/>
          <w:szCs w:val="24"/>
          <w:lang w:val="es-ES_tradnl"/>
        </w:rPr>
      </w:pPr>
      <w:r w:rsidRPr="00343FBE">
        <w:rPr>
          <w:rFonts w:ascii="Century Gothic" w:eastAsiaTheme="minorEastAsia" w:hAnsi="Century Gothic" w:cs="Arial"/>
          <w:color w:val="000000"/>
          <w:spacing w:val="-4"/>
          <w:sz w:val="24"/>
          <w:szCs w:val="24"/>
        </w:rPr>
        <w:t>http://partidodeltrabaio.org.mx/201</w:t>
      </w:r>
      <w:r w:rsidRPr="00343FBE">
        <w:rPr>
          <w:rFonts w:ascii="Century Gothic" w:eastAsiaTheme="minorEastAsia" w:hAnsi="Century Gothic" w:cs="Arial"/>
          <w:color w:val="000000"/>
          <w:spacing w:val="-4"/>
          <w:sz w:val="24"/>
          <w:szCs w:val="24"/>
          <w:lang w:val="es-ES_tradnl"/>
        </w:rPr>
        <w:t xml:space="preserve">7/transparencia/.Mismo que constituye un hecho </w:t>
      </w:r>
      <w:r w:rsidRPr="00343FBE">
        <w:rPr>
          <w:rFonts w:ascii="Century Gothic" w:eastAsiaTheme="minorEastAsia" w:hAnsi="Century Gothic" w:cs="Arial"/>
          <w:color w:val="000000"/>
          <w:spacing w:val="-3"/>
          <w:sz w:val="24"/>
          <w:szCs w:val="24"/>
          <w:lang w:val="es-ES_tradnl"/>
        </w:rPr>
        <w:t>notorio.</w:t>
      </w:r>
      <w:r w:rsidRPr="00343FBE">
        <w:rPr>
          <w:rFonts w:ascii="Century Gothic" w:eastAsiaTheme="minorEastAsia" w:hAnsi="Century Gothic" w:cs="Arial"/>
          <w:color w:val="000000"/>
          <w:spacing w:val="-3"/>
          <w:sz w:val="24"/>
          <w:szCs w:val="24"/>
          <w:vertAlign w:val="superscript"/>
          <w:lang w:val="es-ES_tradnl"/>
        </w:rPr>
        <w:t>13</w:t>
      </w:r>
      <w:r w:rsidRPr="00343FBE">
        <w:rPr>
          <w:rFonts w:ascii="Century Gothic" w:eastAsiaTheme="minorEastAsia" w:hAnsi="Century Gothic" w:cs="Arial"/>
          <w:color w:val="FFFFFF" w:themeColor="background1"/>
          <w:spacing w:val="-3"/>
          <w:sz w:val="24"/>
          <w:szCs w:val="24"/>
          <w:vertAlign w:val="superscript"/>
          <w:lang w:val="es-ES_tradnl"/>
        </w:rPr>
        <w:footnoteReference w:id="12"/>
      </w:r>
      <w:r w:rsidRPr="00343FBE">
        <w:rPr>
          <w:rFonts w:ascii="Century Gothic" w:eastAsiaTheme="minorEastAsia" w:hAnsi="Century Gothic" w:cs="Arial"/>
          <w:color w:val="000000"/>
          <w:spacing w:val="-3"/>
          <w:sz w:val="24"/>
          <w:szCs w:val="24"/>
          <w:lang w:val="es-ES_tradnl"/>
        </w:rPr>
        <w:t xml:space="preserve"> La cual se relaciona con los agravios identificados como la omisi</w:t>
      </w:r>
      <w:r w:rsidRPr="00343FBE">
        <w:rPr>
          <w:rFonts w:ascii="Century Gothic" w:eastAsia="Times New Roman" w:hAnsi="Century Gothic"/>
          <w:color w:val="000000"/>
          <w:spacing w:val="-3"/>
          <w:sz w:val="24"/>
          <w:szCs w:val="24"/>
          <w:lang w:val="es-ES_tradnl"/>
        </w:rPr>
        <w:t>ó</w:t>
      </w:r>
      <w:r w:rsidRPr="00343FBE">
        <w:rPr>
          <w:rFonts w:ascii="Century Gothic" w:eastAsia="Times New Roman" w:hAnsi="Century Gothic" w:cs="Arial"/>
          <w:color w:val="000000"/>
          <w:spacing w:val="-3"/>
          <w:sz w:val="24"/>
          <w:szCs w:val="24"/>
          <w:lang w:val="es-ES_tradnl"/>
        </w:rPr>
        <w:t xml:space="preserve">n de </w:t>
      </w:r>
      <w:r w:rsidRPr="00343FBE">
        <w:rPr>
          <w:rFonts w:ascii="Century Gothic" w:eastAsia="Times New Roman" w:hAnsi="Century Gothic" w:cs="Arial"/>
          <w:color w:val="000000"/>
          <w:spacing w:val="-2"/>
          <w:sz w:val="24"/>
          <w:szCs w:val="24"/>
          <w:lang w:val="es-ES_tradnl"/>
        </w:rPr>
        <w:t>expedir la convocatoria por parte de la Comisi</w:t>
      </w:r>
      <w:r w:rsidRPr="00343FBE">
        <w:rPr>
          <w:rFonts w:ascii="Century Gothic" w:eastAsia="Times New Roman" w:hAnsi="Century Gothic"/>
          <w:color w:val="000000"/>
          <w:spacing w:val="-2"/>
          <w:sz w:val="24"/>
          <w:szCs w:val="24"/>
          <w:lang w:val="es-ES_tradnl"/>
        </w:rPr>
        <w:t>ó</w:t>
      </w:r>
      <w:r w:rsidRPr="00343FBE">
        <w:rPr>
          <w:rFonts w:ascii="Century Gothic" w:eastAsia="Times New Roman" w:hAnsi="Century Gothic" w:cs="Arial"/>
          <w:color w:val="000000"/>
          <w:spacing w:val="-2"/>
          <w:sz w:val="24"/>
          <w:szCs w:val="24"/>
          <w:lang w:val="es-ES_tradnl"/>
        </w:rPr>
        <w:t xml:space="preserve">n Coordinadora para las sesiones </w:t>
      </w:r>
      <w:r w:rsidRPr="00343FBE">
        <w:rPr>
          <w:rFonts w:ascii="Century Gothic" w:eastAsia="Times New Roman" w:hAnsi="Century Gothic" w:cs="Arial"/>
          <w:color w:val="000000"/>
          <w:spacing w:val="-1"/>
          <w:sz w:val="24"/>
          <w:szCs w:val="24"/>
          <w:lang w:val="es-ES_tradnl"/>
        </w:rPr>
        <w:t>de la Comisi</w:t>
      </w:r>
      <w:r w:rsidRPr="00343FBE">
        <w:rPr>
          <w:rFonts w:ascii="Century Gothic" w:eastAsia="Times New Roman" w:hAnsi="Century Gothic"/>
          <w:color w:val="000000"/>
          <w:spacing w:val="-1"/>
          <w:sz w:val="24"/>
          <w:szCs w:val="24"/>
          <w:lang w:val="es-ES_tradnl"/>
        </w:rPr>
        <w:t>ó</w:t>
      </w:r>
      <w:r w:rsidRPr="00343FBE">
        <w:rPr>
          <w:rFonts w:ascii="Century Gothic" w:eastAsia="Times New Roman" w:hAnsi="Century Gothic" w:cs="Arial"/>
          <w:color w:val="000000"/>
          <w:spacing w:val="-1"/>
          <w:sz w:val="24"/>
          <w:szCs w:val="24"/>
          <w:lang w:val="es-ES_tradnl"/>
        </w:rPr>
        <w:t xml:space="preserve">n Ejecutiva Nacional en fechas 14 de diciembre de 2016 y 22 de </w:t>
      </w:r>
      <w:r w:rsidRPr="00343FBE">
        <w:rPr>
          <w:rFonts w:ascii="Century Gothic" w:eastAsia="Times New Roman" w:hAnsi="Century Gothic" w:cs="Arial"/>
          <w:color w:val="000000"/>
          <w:sz w:val="24"/>
          <w:szCs w:val="24"/>
          <w:lang w:val="es-ES_tradnl"/>
        </w:rPr>
        <w:t>febrero de 2017, as</w:t>
      </w:r>
      <w:r w:rsidRPr="00343FBE">
        <w:rPr>
          <w:rFonts w:ascii="Century Gothic" w:eastAsia="Times New Roman" w:hAnsi="Century Gothic"/>
          <w:color w:val="000000"/>
          <w:sz w:val="24"/>
          <w:szCs w:val="24"/>
          <w:lang w:val="es-ES_tradnl"/>
        </w:rPr>
        <w:t>í</w:t>
      </w:r>
      <w:r w:rsidRPr="00343FBE">
        <w:rPr>
          <w:rFonts w:ascii="Century Gothic" w:eastAsia="Times New Roman" w:hAnsi="Century Gothic" w:cs="Arial"/>
          <w:color w:val="000000"/>
          <w:sz w:val="24"/>
          <w:szCs w:val="24"/>
          <w:lang w:val="es-ES_tradnl"/>
        </w:rPr>
        <w:t xml:space="preserve"> como de los acuerdos el incumplimiento a los fines de la </w:t>
      </w:r>
      <w:r w:rsidRPr="00343FBE">
        <w:rPr>
          <w:rFonts w:ascii="Century Gothic" w:eastAsia="Times New Roman" w:hAnsi="Century Gothic" w:cs="Arial"/>
          <w:color w:val="000000"/>
          <w:spacing w:val="-3"/>
          <w:sz w:val="24"/>
          <w:szCs w:val="24"/>
          <w:lang w:val="es-ES_tradnl"/>
        </w:rPr>
        <w:t>sentencia SUP-JDC-2638/2008 y sus acumulados, en relaci</w:t>
      </w:r>
      <w:r w:rsidRPr="00343FBE">
        <w:rPr>
          <w:rFonts w:ascii="Century Gothic" w:eastAsia="Times New Roman" w:hAnsi="Century Gothic"/>
          <w:color w:val="000000"/>
          <w:spacing w:val="-3"/>
          <w:sz w:val="24"/>
          <w:szCs w:val="24"/>
          <w:lang w:val="es-ES_tradnl"/>
        </w:rPr>
        <w:t>ó</w:t>
      </w:r>
      <w:r w:rsidRPr="00343FBE">
        <w:rPr>
          <w:rFonts w:ascii="Century Gothic" w:eastAsia="Times New Roman" w:hAnsi="Century Gothic" w:cs="Arial"/>
          <w:color w:val="000000"/>
          <w:spacing w:val="-3"/>
          <w:sz w:val="24"/>
          <w:szCs w:val="24"/>
          <w:lang w:val="es-ES_tradnl"/>
        </w:rPr>
        <w:t xml:space="preserve">n con las causas de </w:t>
      </w:r>
      <w:r w:rsidRPr="00343FBE">
        <w:rPr>
          <w:rFonts w:ascii="Century Gothic" w:eastAsia="Times New Roman" w:hAnsi="Century Gothic" w:cs="Arial"/>
          <w:color w:val="000000"/>
          <w:spacing w:val="-4"/>
          <w:sz w:val="24"/>
          <w:szCs w:val="24"/>
          <w:lang w:val="es-ES_tradnl"/>
        </w:rPr>
        <w:t>Incompatibilidad.</w:t>
      </w:r>
    </w:p>
    <w:p w:rsidR="006C7E5F" w:rsidRPr="00343FBE" w:rsidRDefault="006C7E5F" w:rsidP="006C7E5F">
      <w:pPr>
        <w:widowControl w:val="0"/>
        <w:shd w:val="clear" w:color="auto" w:fill="FFFFFF"/>
        <w:autoSpaceDE w:val="0"/>
        <w:autoSpaceDN w:val="0"/>
        <w:adjustRightInd w:val="0"/>
        <w:ind w:left="567" w:right="567"/>
        <w:jc w:val="both"/>
        <w:rPr>
          <w:rFonts w:ascii="Century Gothic" w:eastAsia="Times New Roman" w:hAnsi="Century Gothic" w:cs="Arial"/>
          <w:color w:val="000000"/>
          <w:spacing w:val="-4"/>
          <w:sz w:val="24"/>
          <w:szCs w:val="24"/>
          <w:lang w:val="es-ES_tradnl"/>
        </w:rPr>
      </w:pPr>
      <w:r w:rsidRPr="00343FBE">
        <w:rPr>
          <w:rFonts w:ascii="Century Gothic" w:eastAsia="Times New Roman" w:hAnsi="Century Gothic" w:cs="Arial"/>
          <w:color w:val="000000"/>
          <w:spacing w:val="-4"/>
          <w:sz w:val="24"/>
          <w:szCs w:val="24"/>
          <w:lang w:val="es-ES_tradnl"/>
        </w:rPr>
        <w:t>…</w:t>
      </w:r>
    </w:p>
    <w:p w:rsidR="006C7E5F" w:rsidRPr="00343FBE" w:rsidRDefault="006C7E5F" w:rsidP="006C7E5F">
      <w:pPr>
        <w:widowControl w:val="0"/>
        <w:shd w:val="clear" w:color="auto" w:fill="FFFFFF"/>
        <w:autoSpaceDE w:val="0"/>
        <w:autoSpaceDN w:val="0"/>
        <w:adjustRightInd w:val="0"/>
        <w:ind w:left="567" w:right="567"/>
        <w:jc w:val="both"/>
        <w:rPr>
          <w:rFonts w:ascii="Century Gothic" w:eastAsia="Times New Roman" w:hAnsi="Century Gothic" w:cs="Arial"/>
          <w:color w:val="000000"/>
          <w:spacing w:val="-4"/>
          <w:sz w:val="24"/>
          <w:szCs w:val="24"/>
          <w:lang w:val="es-ES_tradnl"/>
        </w:rPr>
      </w:pPr>
      <w:r w:rsidRPr="00343FBE">
        <w:rPr>
          <w:rFonts w:ascii="Century Gothic" w:eastAsiaTheme="minorEastAsia" w:hAnsi="Century Gothic" w:cs="Arial"/>
          <w:color w:val="000000"/>
          <w:spacing w:val="-3"/>
          <w:sz w:val="24"/>
          <w:szCs w:val="24"/>
          <w:lang w:val="es-ES_tradnl"/>
        </w:rPr>
        <w:t xml:space="preserve">5.- DOCUMENTALES. - Mismas que obran en poder del </w:t>
      </w:r>
      <w:r w:rsidR="00A8764A" w:rsidRPr="00343FBE">
        <w:rPr>
          <w:rFonts w:ascii="Century Gothic" w:eastAsiaTheme="minorEastAsia" w:hAnsi="Century Gothic" w:cs="Arial"/>
          <w:color w:val="000000"/>
          <w:spacing w:val="-3"/>
          <w:sz w:val="24"/>
          <w:szCs w:val="24"/>
          <w:lang w:val="es-ES_tradnl"/>
        </w:rPr>
        <w:t>PT</w:t>
      </w:r>
      <w:r w:rsidRPr="00343FBE">
        <w:rPr>
          <w:rFonts w:ascii="Century Gothic" w:eastAsiaTheme="minorEastAsia" w:hAnsi="Century Gothic" w:cs="Arial"/>
          <w:color w:val="000000"/>
          <w:spacing w:val="-3"/>
          <w:sz w:val="24"/>
          <w:szCs w:val="24"/>
          <w:lang w:val="es-ES_tradnl"/>
        </w:rPr>
        <w:t xml:space="preserve"> y hoy </w:t>
      </w:r>
      <w:r w:rsidRPr="00343FBE">
        <w:rPr>
          <w:rFonts w:ascii="Century Gothic" w:eastAsiaTheme="minorEastAsia" w:hAnsi="Century Gothic" w:cs="Arial"/>
          <w:color w:val="000000"/>
          <w:spacing w:val="6"/>
          <w:sz w:val="24"/>
          <w:szCs w:val="24"/>
          <w:lang w:val="es-ES_tradnl"/>
        </w:rPr>
        <w:t>autoridad responsable la cual deber</w:t>
      </w:r>
      <w:r w:rsidRPr="00343FBE">
        <w:rPr>
          <w:rFonts w:ascii="Century Gothic" w:eastAsia="Times New Roman" w:hAnsi="Century Gothic"/>
          <w:color w:val="000000"/>
          <w:spacing w:val="6"/>
          <w:sz w:val="24"/>
          <w:szCs w:val="24"/>
          <w:lang w:val="es-ES_tradnl"/>
        </w:rPr>
        <w:t>á</w:t>
      </w:r>
      <w:r w:rsidRPr="00343FBE">
        <w:rPr>
          <w:rFonts w:ascii="Century Gothic" w:eastAsia="Times New Roman" w:hAnsi="Century Gothic" w:cs="Arial"/>
          <w:color w:val="000000"/>
          <w:spacing w:val="6"/>
          <w:sz w:val="24"/>
          <w:szCs w:val="24"/>
          <w:lang w:val="es-ES_tradnl"/>
        </w:rPr>
        <w:t xml:space="preserve"> anexarlas al respectivo informe </w:t>
      </w:r>
      <w:r w:rsidRPr="00343FBE">
        <w:rPr>
          <w:rFonts w:ascii="Century Gothic" w:eastAsia="Times New Roman" w:hAnsi="Century Gothic" w:cs="Arial"/>
          <w:color w:val="000000"/>
          <w:spacing w:val="-1"/>
          <w:sz w:val="24"/>
          <w:szCs w:val="24"/>
          <w:lang w:val="es-ES_tradnl"/>
        </w:rPr>
        <w:t>circunstanciado, consistentes en actas atinentes a la elecci</w:t>
      </w:r>
      <w:r w:rsidRPr="00343FBE">
        <w:rPr>
          <w:rFonts w:ascii="Century Gothic" w:eastAsia="Times New Roman" w:hAnsi="Century Gothic"/>
          <w:color w:val="000000"/>
          <w:spacing w:val="-1"/>
          <w:sz w:val="24"/>
          <w:szCs w:val="24"/>
          <w:lang w:val="es-ES_tradnl"/>
        </w:rPr>
        <w:t>ó</w:t>
      </w:r>
      <w:r w:rsidRPr="00343FBE">
        <w:rPr>
          <w:rFonts w:ascii="Century Gothic" w:eastAsia="Times New Roman" w:hAnsi="Century Gothic" w:cs="Arial"/>
          <w:color w:val="000000"/>
          <w:spacing w:val="-1"/>
          <w:sz w:val="24"/>
          <w:szCs w:val="24"/>
          <w:lang w:val="es-ES_tradnl"/>
        </w:rPr>
        <w:t xml:space="preserve">n de los candidatos </w:t>
      </w:r>
      <w:r w:rsidRPr="00343FBE">
        <w:rPr>
          <w:rFonts w:ascii="Century Gothic" w:eastAsia="Times New Roman" w:hAnsi="Century Gothic" w:cs="Arial"/>
          <w:color w:val="000000"/>
          <w:spacing w:val="-2"/>
          <w:sz w:val="24"/>
          <w:szCs w:val="24"/>
          <w:lang w:val="es-ES_tradnl"/>
        </w:rPr>
        <w:t>por el principio de representaci</w:t>
      </w:r>
      <w:r w:rsidRPr="00343FBE">
        <w:rPr>
          <w:rFonts w:ascii="Century Gothic" w:eastAsia="Times New Roman" w:hAnsi="Century Gothic"/>
          <w:color w:val="000000"/>
          <w:spacing w:val="-2"/>
          <w:sz w:val="24"/>
          <w:szCs w:val="24"/>
          <w:lang w:val="es-ES_tradnl"/>
        </w:rPr>
        <w:t>ó</w:t>
      </w:r>
      <w:r w:rsidRPr="00343FBE">
        <w:rPr>
          <w:rFonts w:ascii="Century Gothic" w:eastAsia="Times New Roman" w:hAnsi="Century Gothic" w:cs="Arial"/>
          <w:color w:val="000000"/>
          <w:spacing w:val="-2"/>
          <w:sz w:val="24"/>
          <w:szCs w:val="24"/>
          <w:lang w:val="es-ES_tradnl"/>
        </w:rPr>
        <w:t xml:space="preserve">n proporcional al PT, tanto para el Senado de la </w:t>
      </w:r>
      <w:r w:rsidRPr="00343FBE">
        <w:rPr>
          <w:rFonts w:ascii="Century Gothic" w:eastAsia="Times New Roman" w:hAnsi="Century Gothic" w:cs="Arial"/>
          <w:color w:val="000000"/>
          <w:spacing w:val="3"/>
          <w:sz w:val="24"/>
          <w:szCs w:val="24"/>
          <w:lang w:val="es-ES_tradnl"/>
        </w:rPr>
        <w:t>Rep</w:t>
      </w:r>
      <w:r w:rsidRPr="00343FBE">
        <w:rPr>
          <w:rFonts w:ascii="Century Gothic" w:eastAsia="Times New Roman" w:hAnsi="Century Gothic"/>
          <w:color w:val="000000"/>
          <w:spacing w:val="3"/>
          <w:sz w:val="24"/>
          <w:szCs w:val="24"/>
          <w:lang w:val="es-ES_tradnl"/>
        </w:rPr>
        <w:t>ú</w:t>
      </w:r>
      <w:r w:rsidRPr="00343FBE">
        <w:rPr>
          <w:rFonts w:ascii="Century Gothic" w:eastAsia="Times New Roman" w:hAnsi="Century Gothic" w:cs="Arial"/>
          <w:color w:val="000000"/>
          <w:spacing w:val="3"/>
          <w:sz w:val="24"/>
          <w:szCs w:val="24"/>
          <w:lang w:val="es-ES_tradnl"/>
        </w:rPr>
        <w:t>blica como para la C</w:t>
      </w:r>
      <w:r w:rsidRPr="00343FBE">
        <w:rPr>
          <w:rFonts w:ascii="Century Gothic" w:eastAsia="Times New Roman" w:hAnsi="Century Gothic"/>
          <w:color w:val="000000"/>
          <w:spacing w:val="3"/>
          <w:sz w:val="24"/>
          <w:szCs w:val="24"/>
          <w:lang w:val="es-ES_tradnl"/>
        </w:rPr>
        <w:t>á</w:t>
      </w:r>
      <w:r w:rsidRPr="00343FBE">
        <w:rPr>
          <w:rFonts w:ascii="Century Gothic" w:eastAsia="Times New Roman" w:hAnsi="Century Gothic" w:cs="Arial"/>
          <w:color w:val="000000"/>
          <w:spacing w:val="3"/>
          <w:sz w:val="24"/>
          <w:szCs w:val="24"/>
          <w:lang w:val="es-ES_tradnl"/>
        </w:rPr>
        <w:t xml:space="preserve">mara de Diputados de los procesos electorales </w:t>
      </w:r>
      <w:r w:rsidRPr="00343FBE">
        <w:rPr>
          <w:rFonts w:ascii="Century Gothic" w:eastAsia="Times New Roman" w:hAnsi="Century Gothic" w:cs="Arial"/>
          <w:color w:val="000000"/>
          <w:spacing w:val="-1"/>
          <w:sz w:val="24"/>
          <w:szCs w:val="24"/>
          <w:lang w:val="es-ES_tradnl"/>
        </w:rPr>
        <w:t xml:space="preserve">federales; 2014-2015; 2011-2012; 2008-2009 y 2005-2006. La cual se relaciona </w:t>
      </w:r>
      <w:r w:rsidRPr="00343FBE">
        <w:rPr>
          <w:rFonts w:ascii="Century Gothic" w:eastAsia="Times New Roman" w:hAnsi="Century Gothic" w:cs="Arial"/>
          <w:color w:val="000000"/>
          <w:spacing w:val="-2"/>
          <w:sz w:val="24"/>
          <w:szCs w:val="24"/>
          <w:lang w:val="es-ES_tradnl"/>
        </w:rPr>
        <w:t>con el agravio identificado como Incumplimiento a los fines de la sentencia SUP-</w:t>
      </w:r>
      <w:r w:rsidRPr="00343FBE">
        <w:rPr>
          <w:rFonts w:ascii="Century Gothic" w:eastAsia="Times New Roman" w:hAnsi="Century Gothic" w:cs="Arial"/>
          <w:color w:val="000000"/>
          <w:spacing w:val="-4"/>
          <w:sz w:val="24"/>
          <w:szCs w:val="24"/>
          <w:lang w:val="es-ES_tradnl"/>
        </w:rPr>
        <w:t>JDC-2638/2008 y sus acumulados, en relaci</w:t>
      </w:r>
      <w:r w:rsidRPr="00343FBE">
        <w:rPr>
          <w:rFonts w:ascii="Century Gothic" w:eastAsia="Times New Roman" w:hAnsi="Century Gothic"/>
          <w:color w:val="000000"/>
          <w:spacing w:val="-4"/>
          <w:sz w:val="24"/>
          <w:szCs w:val="24"/>
          <w:lang w:val="es-ES_tradnl"/>
        </w:rPr>
        <w:t>ó</w:t>
      </w:r>
      <w:r w:rsidRPr="00343FBE">
        <w:rPr>
          <w:rFonts w:ascii="Century Gothic" w:eastAsia="Times New Roman" w:hAnsi="Century Gothic" w:cs="Arial"/>
          <w:color w:val="000000"/>
          <w:spacing w:val="-4"/>
          <w:sz w:val="24"/>
          <w:szCs w:val="24"/>
          <w:lang w:val="es-ES_tradnl"/>
        </w:rPr>
        <w:t>n con las causas de Incompatibilidad.</w:t>
      </w:r>
    </w:p>
    <w:p w:rsidR="006C7E5F" w:rsidRPr="00343FBE" w:rsidRDefault="006C7E5F" w:rsidP="006C7E5F">
      <w:pPr>
        <w:widowControl w:val="0"/>
        <w:shd w:val="clear" w:color="auto" w:fill="FFFFFF"/>
        <w:autoSpaceDE w:val="0"/>
        <w:autoSpaceDN w:val="0"/>
        <w:adjustRightInd w:val="0"/>
        <w:ind w:left="567" w:right="567"/>
        <w:jc w:val="both"/>
        <w:rPr>
          <w:rFonts w:ascii="Century Gothic" w:eastAsiaTheme="minorEastAsia" w:hAnsi="Century Gothic" w:cs="Arial"/>
          <w:sz w:val="24"/>
          <w:szCs w:val="24"/>
        </w:rPr>
      </w:pPr>
      <w:r w:rsidRPr="00343FBE">
        <w:rPr>
          <w:rFonts w:ascii="Century Gothic" w:eastAsiaTheme="minorEastAsia" w:hAnsi="Century Gothic" w:cs="Arial"/>
          <w:color w:val="000000"/>
          <w:spacing w:val="-1"/>
          <w:sz w:val="24"/>
          <w:szCs w:val="24"/>
          <w:lang w:val="es-ES_tradnl"/>
        </w:rPr>
        <w:lastRenderedPageBreak/>
        <w:t xml:space="preserve">5.- DOCUMENTAL. Relativa al ACUERDO DEL CONSEJO GENERAL DEL </w:t>
      </w:r>
      <w:r w:rsidRPr="00343FBE">
        <w:rPr>
          <w:rFonts w:ascii="Century Gothic" w:eastAsiaTheme="minorEastAsia" w:hAnsi="Century Gothic" w:cs="Arial"/>
          <w:color w:val="000000"/>
          <w:spacing w:val="-3"/>
          <w:sz w:val="24"/>
          <w:szCs w:val="24"/>
          <w:lang w:val="es-ES_tradnl"/>
        </w:rPr>
        <w:t xml:space="preserve">INSTITUTO NACIONAL ELECTORAL POR EL QUE, EN EJERCICIO DE LA </w:t>
      </w:r>
      <w:r w:rsidRPr="00343FBE">
        <w:rPr>
          <w:rFonts w:ascii="Century Gothic" w:eastAsiaTheme="minorEastAsia" w:hAnsi="Century Gothic" w:cs="Arial"/>
          <w:color w:val="000000"/>
          <w:spacing w:val="-2"/>
          <w:sz w:val="24"/>
          <w:szCs w:val="24"/>
          <w:lang w:val="es-ES_tradnl"/>
        </w:rPr>
        <w:t xml:space="preserve">FACULTAD SUPLETORIA, SE REGISTRAN LAS CANDIDATURAS A </w:t>
      </w:r>
      <w:r w:rsidRPr="00343FBE">
        <w:rPr>
          <w:rFonts w:ascii="Century Gothic" w:eastAsiaTheme="minorEastAsia" w:hAnsi="Century Gothic" w:cs="Arial"/>
          <w:color w:val="000000"/>
          <w:spacing w:val="-4"/>
          <w:sz w:val="24"/>
          <w:szCs w:val="24"/>
          <w:lang w:val="es-ES_tradnl"/>
        </w:rPr>
        <w:t>DIPUTADAS Y DIPUTADOS AL CONGRESO DE LA UNI</w:t>
      </w:r>
      <w:r w:rsidRPr="00343FBE">
        <w:rPr>
          <w:rFonts w:ascii="Century Gothic" w:eastAsia="Times New Roman" w:hAnsi="Century Gothic"/>
          <w:color w:val="000000"/>
          <w:spacing w:val="-4"/>
          <w:sz w:val="24"/>
          <w:szCs w:val="24"/>
          <w:lang w:val="es-ES_tradnl"/>
        </w:rPr>
        <w:t>Ó</w:t>
      </w:r>
      <w:r w:rsidRPr="00343FBE">
        <w:rPr>
          <w:rFonts w:ascii="Century Gothic" w:eastAsia="Times New Roman" w:hAnsi="Century Gothic" w:cs="Arial"/>
          <w:color w:val="000000"/>
          <w:spacing w:val="-4"/>
          <w:sz w:val="24"/>
          <w:szCs w:val="24"/>
          <w:lang w:val="es-ES_tradnl"/>
        </w:rPr>
        <w:t>N POR EL PRINCIPIO</w:t>
      </w:r>
      <w:r w:rsidRPr="00343FBE">
        <w:rPr>
          <w:rFonts w:ascii="Century Gothic" w:eastAsia="Times New Roman" w:hAnsi="Century Gothic" w:cs="Arial"/>
          <w:color w:val="000000"/>
          <w:spacing w:val="1"/>
          <w:sz w:val="24"/>
          <w:szCs w:val="24"/>
          <w:lang w:val="es-ES_tradnl"/>
        </w:rPr>
        <w:t>DE MAYOR</w:t>
      </w:r>
      <w:r w:rsidRPr="00343FBE">
        <w:rPr>
          <w:rFonts w:ascii="Century Gothic" w:eastAsia="Times New Roman" w:hAnsi="Century Gothic"/>
          <w:color w:val="000000"/>
          <w:spacing w:val="1"/>
          <w:sz w:val="24"/>
          <w:szCs w:val="24"/>
          <w:lang w:val="es-ES_tradnl"/>
        </w:rPr>
        <w:t>Í</w:t>
      </w:r>
      <w:r w:rsidRPr="00343FBE">
        <w:rPr>
          <w:rFonts w:ascii="Century Gothic" w:eastAsia="Times New Roman" w:hAnsi="Century Gothic" w:cs="Arial"/>
          <w:color w:val="000000"/>
          <w:spacing w:val="1"/>
          <w:sz w:val="24"/>
          <w:szCs w:val="24"/>
          <w:lang w:val="es-ES_tradnl"/>
        </w:rPr>
        <w:t>A RELATIVA, PRESENTADAS POR LOS PARTIDOS POL</w:t>
      </w:r>
      <w:r w:rsidRPr="00343FBE">
        <w:rPr>
          <w:rFonts w:ascii="Century Gothic" w:eastAsia="Times New Roman" w:hAnsi="Century Gothic"/>
          <w:color w:val="000000"/>
          <w:spacing w:val="1"/>
          <w:sz w:val="24"/>
          <w:szCs w:val="24"/>
          <w:lang w:val="es-ES_tradnl"/>
        </w:rPr>
        <w:t>Í</w:t>
      </w:r>
      <w:r w:rsidRPr="00343FBE">
        <w:rPr>
          <w:rFonts w:ascii="Century Gothic" w:eastAsia="Times New Roman" w:hAnsi="Century Gothic" w:cs="Arial"/>
          <w:color w:val="000000"/>
          <w:spacing w:val="1"/>
          <w:sz w:val="24"/>
          <w:szCs w:val="24"/>
          <w:lang w:val="es-ES_tradnl"/>
        </w:rPr>
        <w:t xml:space="preserve">TICOS </w:t>
      </w:r>
      <w:r w:rsidRPr="00343FBE">
        <w:rPr>
          <w:rFonts w:ascii="Century Gothic" w:eastAsiaTheme="minorEastAsia" w:hAnsi="Century Gothic" w:cs="Arial"/>
          <w:color w:val="000000"/>
          <w:spacing w:val="-2"/>
          <w:sz w:val="24"/>
          <w:szCs w:val="24"/>
          <w:lang w:val="es-ES_tradnl"/>
        </w:rPr>
        <w:t>NACIONALES Y COALICIONES CON REGISTRO VIGENTE, AS</w:t>
      </w:r>
      <w:r w:rsidRPr="00343FBE">
        <w:rPr>
          <w:rFonts w:ascii="Century Gothic" w:eastAsia="Times New Roman" w:hAnsi="Century Gothic"/>
          <w:color w:val="000000"/>
          <w:spacing w:val="-2"/>
          <w:sz w:val="24"/>
          <w:szCs w:val="24"/>
          <w:lang w:val="es-ES_tradnl"/>
        </w:rPr>
        <w:t>Í</w:t>
      </w:r>
      <w:r w:rsidRPr="00343FBE">
        <w:rPr>
          <w:rFonts w:ascii="Century Gothic" w:eastAsia="Times New Roman" w:hAnsi="Century Gothic" w:cs="Arial"/>
          <w:color w:val="000000"/>
          <w:spacing w:val="-2"/>
          <w:sz w:val="24"/>
          <w:szCs w:val="24"/>
          <w:lang w:val="es-ES_tradnl"/>
        </w:rPr>
        <w:t xml:space="preserve"> COMO LAS </w:t>
      </w:r>
      <w:r w:rsidRPr="00343FBE">
        <w:rPr>
          <w:rFonts w:ascii="Century Gothic" w:eastAsia="Times New Roman" w:hAnsi="Century Gothic" w:cs="Arial"/>
          <w:color w:val="000000"/>
          <w:spacing w:val="-3"/>
          <w:sz w:val="24"/>
          <w:szCs w:val="24"/>
          <w:lang w:val="es-ES_tradnl"/>
        </w:rPr>
        <w:t>CANDIDATURAS A DIPUTADAS Y DIPUTADOS POR EL PRINCIPIO DE REPRESENTACI</w:t>
      </w:r>
      <w:r w:rsidRPr="00343FBE">
        <w:rPr>
          <w:rFonts w:ascii="Century Gothic" w:eastAsia="Times New Roman" w:hAnsi="Century Gothic"/>
          <w:color w:val="000000"/>
          <w:spacing w:val="-3"/>
          <w:sz w:val="24"/>
          <w:szCs w:val="24"/>
          <w:lang w:val="es-ES_tradnl"/>
        </w:rPr>
        <w:t>Ó</w:t>
      </w:r>
      <w:r w:rsidRPr="00343FBE">
        <w:rPr>
          <w:rFonts w:ascii="Century Gothic" w:eastAsia="Times New Roman" w:hAnsi="Century Gothic" w:cs="Arial"/>
          <w:color w:val="000000"/>
          <w:spacing w:val="-3"/>
          <w:sz w:val="24"/>
          <w:szCs w:val="24"/>
          <w:lang w:val="es-ES_tradnl"/>
        </w:rPr>
        <w:t xml:space="preserve">N PROPORCIONAL, CON EL FIN DE PARTICIPAR EN EL </w:t>
      </w:r>
      <w:r w:rsidRPr="00343FBE">
        <w:rPr>
          <w:rFonts w:ascii="Century Gothic" w:eastAsia="Times New Roman" w:hAnsi="Century Gothic" w:cs="Arial"/>
          <w:color w:val="000000"/>
          <w:spacing w:val="6"/>
          <w:sz w:val="24"/>
          <w:szCs w:val="24"/>
          <w:lang w:val="es-ES_tradnl"/>
        </w:rPr>
        <w:t xml:space="preserve">PROCESO ELECTORAL FEDERAL 2014-2015, identificado con la clave </w:t>
      </w:r>
      <w:r w:rsidRPr="00343FBE">
        <w:rPr>
          <w:rFonts w:ascii="Century Gothic" w:eastAsia="Times New Roman" w:hAnsi="Century Gothic" w:cs="Arial"/>
          <w:color w:val="000000"/>
          <w:spacing w:val="-2"/>
          <w:sz w:val="24"/>
          <w:szCs w:val="24"/>
          <w:lang w:val="es-ES_tradnl"/>
        </w:rPr>
        <w:t>INE/CG162/2015, el cual fue aprobado en sesi</w:t>
      </w:r>
      <w:r w:rsidRPr="00343FBE">
        <w:rPr>
          <w:rFonts w:ascii="Century Gothic" w:eastAsia="Times New Roman" w:hAnsi="Century Gothic"/>
          <w:color w:val="000000"/>
          <w:spacing w:val="-2"/>
          <w:sz w:val="24"/>
          <w:szCs w:val="24"/>
          <w:lang w:val="es-ES_tradnl"/>
        </w:rPr>
        <w:t>ó</w:t>
      </w:r>
      <w:r w:rsidRPr="00343FBE">
        <w:rPr>
          <w:rFonts w:ascii="Century Gothic" w:eastAsia="Times New Roman" w:hAnsi="Century Gothic" w:cs="Arial"/>
          <w:color w:val="000000"/>
          <w:spacing w:val="-2"/>
          <w:sz w:val="24"/>
          <w:szCs w:val="24"/>
          <w:lang w:val="es-ES_tradnl"/>
        </w:rPr>
        <w:t>n especial del Consejo General, celebrada el 4 de abril de 2015, p</w:t>
      </w:r>
      <w:r w:rsidRPr="00343FBE">
        <w:rPr>
          <w:rFonts w:ascii="Century Gothic" w:eastAsia="Times New Roman" w:hAnsi="Century Gothic"/>
          <w:color w:val="000000"/>
          <w:spacing w:val="-2"/>
          <w:sz w:val="24"/>
          <w:szCs w:val="24"/>
          <w:lang w:val="es-ES_tradnl"/>
        </w:rPr>
        <w:t>á</w:t>
      </w:r>
      <w:r w:rsidRPr="00343FBE">
        <w:rPr>
          <w:rFonts w:ascii="Century Gothic" w:eastAsia="Times New Roman" w:hAnsi="Century Gothic" w:cs="Arial"/>
          <w:color w:val="000000"/>
          <w:spacing w:val="-2"/>
          <w:sz w:val="24"/>
          <w:szCs w:val="24"/>
          <w:lang w:val="es-ES_tradnl"/>
        </w:rPr>
        <w:t xml:space="preserve">ginas 120 a 124, mismo que se ofrece como </w:t>
      </w:r>
      <w:r w:rsidRPr="00343FBE">
        <w:rPr>
          <w:rFonts w:ascii="Century Gothic" w:eastAsia="Times New Roman" w:hAnsi="Century Gothic" w:cs="Arial"/>
          <w:color w:val="000000"/>
          <w:spacing w:val="-9"/>
          <w:sz w:val="24"/>
          <w:szCs w:val="24"/>
          <w:lang w:val="es-ES_tradnl"/>
        </w:rPr>
        <w:t xml:space="preserve">hecho </w:t>
      </w:r>
      <w:r w:rsidRPr="00343FBE">
        <w:rPr>
          <w:rFonts w:ascii="Century Gothic" w:eastAsia="Times New Roman" w:hAnsi="Century Gothic" w:cs="Arial"/>
          <w:color w:val="000000"/>
          <w:spacing w:val="4"/>
          <w:sz w:val="24"/>
          <w:szCs w:val="24"/>
          <w:lang w:val="es-ES_tradnl"/>
        </w:rPr>
        <w:t xml:space="preserve">notorio </w:t>
      </w:r>
      <w:r w:rsidRPr="00343FBE">
        <w:rPr>
          <w:rFonts w:ascii="Century Gothic" w:eastAsia="Times New Roman" w:hAnsi="Century Gothic" w:cs="Arial"/>
          <w:color w:val="000000"/>
          <w:spacing w:val="4"/>
          <w:sz w:val="24"/>
          <w:szCs w:val="24"/>
          <w:vertAlign w:val="superscript"/>
          <w:lang w:val="es-ES_tradnl"/>
        </w:rPr>
        <w:t>14</w:t>
      </w:r>
      <w:r w:rsidRPr="00343FBE">
        <w:rPr>
          <w:rFonts w:ascii="Century Gothic" w:eastAsia="Times New Roman" w:hAnsi="Century Gothic" w:cs="Arial"/>
          <w:color w:val="FFFFFF" w:themeColor="background1"/>
          <w:spacing w:val="4"/>
          <w:sz w:val="24"/>
          <w:szCs w:val="24"/>
          <w:vertAlign w:val="superscript"/>
          <w:lang w:val="es-ES_tradnl"/>
        </w:rPr>
        <w:footnoteReference w:id="13"/>
      </w:r>
      <w:r w:rsidRPr="00343FBE">
        <w:rPr>
          <w:rFonts w:ascii="Century Gothic" w:eastAsia="Times New Roman" w:hAnsi="Century Gothic" w:cs="Arial"/>
          <w:color w:val="000000"/>
          <w:spacing w:val="4"/>
          <w:sz w:val="24"/>
          <w:szCs w:val="24"/>
          <w:lang w:val="es-ES_tradnl"/>
        </w:rPr>
        <w:t>y</w:t>
      </w:r>
      <w:r w:rsidRPr="00343FBE">
        <w:rPr>
          <w:rFonts w:ascii="Century Gothic" w:eastAsia="Times New Roman" w:hAnsi="Century Gothic" w:cs="Arial"/>
          <w:color w:val="000000"/>
          <w:sz w:val="24"/>
          <w:szCs w:val="24"/>
          <w:lang w:val="es-ES_tradnl"/>
        </w:rPr>
        <w:t xml:space="preserve"> </w:t>
      </w:r>
      <w:r w:rsidRPr="00343FBE">
        <w:rPr>
          <w:rFonts w:ascii="Century Gothic" w:eastAsia="Times New Roman" w:hAnsi="Century Gothic" w:cs="Arial"/>
          <w:color w:val="000000"/>
          <w:spacing w:val="-5"/>
          <w:sz w:val="24"/>
          <w:szCs w:val="24"/>
          <w:lang w:val="es-ES_tradnl"/>
        </w:rPr>
        <w:t xml:space="preserve">consultable </w:t>
      </w:r>
      <w:r w:rsidRPr="00343FBE">
        <w:rPr>
          <w:rFonts w:ascii="Century Gothic" w:eastAsia="Times New Roman" w:hAnsi="Century Gothic" w:cs="Arial"/>
          <w:color w:val="000000"/>
          <w:spacing w:val="-11"/>
          <w:sz w:val="24"/>
          <w:szCs w:val="24"/>
          <w:lang w:val="es-ES_tradnl"/>
        </w:rPr>
        <w:t xml:space="preserve">en </w:t>
      </w:r>
      <w:r w:rsidRPr="00343FBE">
        <w:rPr>
          <w:rFonts w:ascii="Century Gothic" w:eastAsia="Times New Roman" w:hAnsi="Century Gothic" w:cs="Arial"/>
          <w:color w:val="000000"/>
          <w:spacing w:val="-8"/>
          <w:sz w:val="24"/>
          <w:szCs w:val="24"/>
          <w:lang w:val="es-ES_tradnl"/>
        </w:rPr>
        <w:t>el</w:t>
      </w:r>
      <w:r w:rsidRPr="00343FBE">
        <w:rPr>
          <w:rFonts w:ascii="Century Gothic" w:eastAsia="Times New Roman" w:hAnsi="Century Gothic" w:cs="Arial"/>
          <w:color w:val="000000"/>
          <w:sz w:val="24"/>
          <w:szCs w:val="24"/>
          <w:lang w:val="es-ES_tradnl"/>
        </w:rPr>
        <w:t xml:space="preserve"> </w:t>
      </w:r>
      <w:r w:rsidRPr="00343FBE">
        <w:rPr>
          <w:rFonts w:ascii="Century Gothic" w:eastAsia="Times New Roman" w:hAnsi="Century Gothic" w:cs="Arial"/>
          <w:color w:val="000000"/>
          <w:spacing w:val="-9"/>
          <w:sz w:val="24"/>
          <w:szCs w:val="24"/>
          <w:lang w:val="es-ES_tradnl"/>
        </w:rPr>
        <w:t>link:</w:t>
      </w:r>
    </w:p>
    <w:p w:rsidR="006C7E5F" w:rsidRPr="00343FBE" w:rsidRDefault="006C7E5F" w:rsidP="006C7E5F">
      <w:pPr>
        <w:framePr w:h="816" w:hRule="exact" w:hSpace="38" w:wrap="auto" w:vAnchor="text" w:hAnchor="text" w:x="-129" w:y="769"/>
        <w:widowControl w:val="0"/>
        <w:shd w:val="clear" w:color="auto" w:fill="FFFFFF"/>
        <w:autoSpaceDE w:val="0"/>
        <w:autoSpaceDN w:val="0"/>
        <w:adjustRightInd w:val="0"/>
        <w:ind w:left="567" w:right="567"/>
        <w:jc w:val="both"/>
        <w:rPr>
          <w:rFonts w:ascii="Century Gothic" w:eastAsiaTheme="minorEastAsia" w:hAnsi="Century Gothic" w:cs="Arial"/>
          <w:sz w:val="24"/>
          <w:szCs w:val="24"/>
        </w:rPr>
      </w:pPr>
    </w:p>
    <w:p w:rsidR="006C7E5F" w:rsidRPr="00343FBE" w:rsidRDefault="006C7E5F" w:rsidP="006C7E5F">
      <w:pPr>
        <w:widowControl w:val="0"/>
        <w:shd w:val="clear" w:color="auto" w:fill="FFFFFF"/>
        <w:autoSpaceDE w:val="0"/>
        <w:autoSpaceDN w:val="0"/>
        <w:adjustRightInd w:val="0"/>
        <w:ind w:left="567" w:right="567"/>
        <w:jc w:val="both"/>
        <w:rPr>
          <w:rFonts w:ascii="Century Gothic" w:eastAsiaTheme="minorEastAsia" w:hAnsi="Century Gothic" w:cs="Arial"/>
          <w:color w:val="000000"/>
          <w:spacing w:val="-3"/>
          <w:sz w:val="24"/>
          <w:szCs w:val="24"/>
          <w:lang w:val="es-ES_tradnl"/>
        </w:rPr>
      </w:pPr>
      <w:r w:rsidRPr="00343FBE">
        <w:rPr>
          <w:rFonts w:ascii="Century Gothic" w:eastAsiaTheme="minorEastAsia" w:hAnsi="Century Gothic" w:cs="Arial"/>
          <w:color w:val="000000"/>
          <w:spacing w:val="-3"/>
          <w:sz w:val="24"/>
          <w:szCs w:val="24"/>
        </w:rPr>
        <w:t>http://portalanterior.ine.mx/archivos3/portal/historico/recusos/IFE-v2/DS/DS-</w:t>
      </w:r>
      <w:r w:rsidRPr="00343FBE">
        <w:rPr>
          <w:rFonts w:ascii="Century Gothic" w:eastAsiaTheme="minorEastAsia" w:hAnsi="Century Gothic" w:cs="Arial"/>
          <w:color w:val="000000"/>
          <w:spacing w:val="-2"/>
          <w:sz w:val="24"/>
          <w:szCs w:val="24"/>
          <w:lang w:val="es-ES_tradnl"/>
        </w:rPr>
        <w:t>CG/DS-</w:t>
      </w:r>
      <w:proofErr w:type="spellStart"/>
      <w:r w:rsidRPr="00343FBE">
        <w:rPr>
          <w:rFonts w:ascii="Century Gothic" w:eastAsiaTheme="minorEastAsia" w:hAnsi="Century Gothic" w:cs="Arial"/>
          <w:color w:val="000000"/>
          <w:spacing w:val="-2"/>
          <w:sz w:val="24"/>
          <w:szCs w:val="24"/>
          <w:lang w:val="es-ES_tradnl"/>
        </w:rPr>
        <w:t>SesionesCG</w:t>
      </w:r>
      <w:proofErr w:type="spellEnd"/>
      <w:r w:rsidRPr="00343FBE">
        <w:rPr>
          <w:rFonts w:ascii="Century Gothic" w:eastAsiaTheme="minorEastAsia" w:hAnsi="Century Gothic" w:cs="Arial"/>
          <w:color w:val="000000"/>
          <w:spacing w:val="-2"/>
          <w:sz w:val="24"/>
          <w:szCs w:val="24"/>
          <w:lang w:val="es-ES_tradnl"/>
        </w:rPr>
        <w:t>/CG-acuerdos/2015/04 Abril/CGesp201504-</w:t>
      </w:r>
      <w:r w:rsidRPr="00343FBE">
        <w:rPr>
          <w:rFonts w:ascii="Century Gothic" w:eastAsiaTheme="minorEastAsia" w:hAnsi="Century Gothic" w:cs="Arial"/>
          <w:color w:val="000000"/>
          <w:spacing w:val="7"/>
          <w:sz w:val="24"/>
          <w:szCs w:val="24"/>
          <w:lang w:val="es-ES_tradnl"/>
        </w:rPr>
        <w:t xml:space="preserve">04/CGesp201504-4 </w:t>
      </w:r>
      <w:proofErr w:type="spellStart"/>
      <w:r w:rsidRPr="00343FBE">
        <w:rPr>
          <w:rFonts w:ascii="Century Gothic" w:eastAsiaTheme="minorEastAsia" w:hAnsi="Century Gothic" w:cs="Arial"/>
          <w:color w:val="000000"/>
          <w:spacing w:val="7"/>
          <w:sz w:val="24"/>
          <w:szCs w:val="24"/>
          <w:lang w:val="es-ES_tradnl"/>
        </w:rPr>
        <w:t>ap</w:t>
      </w:r>
      <w:proofErr w:type="spellEnd"/>
      <w:r w:rsidRPr="00343FBE">
        <w:rPr>
          <w:rFonts w:ascii="Century Gothic" w:eastAsiaTheme="minorEastAsia" w:hAnsi="Century Gothic" w:cs="Arial"/>
          <w:color w:val="000000"/>
          <w:spacing w:val="7"/>
          <w:sz w:val="24"/>
          <w:szCs w:val="24"/>
          <w:lang w:val="es-ES_tradnl"/>
        </w:rPr>
        <w:t xml:space="preserve"> 1pdf La cual se relaciona con el agravio identificado como Incumplimiento a los fines de la sentencia SUP-JDC-2638/2008 y sus </w:t>
      </w:r>
      <w:r w:rsidRPr="00343FBE">
        <w:rPr>
          <w:rFonts w:ascii="Century Gothic" w:eastAsiaTheme="minorEastAsia" w:hAnsi="Century Gothic" w:cs="Arial"/>
          <w:color w:val="000000"/>
          <w:spacing w:val="-3"/>
          <w:sz w:val="24"/>
          <w:szCs w:val="24"/>
          <w:lang w:val="es-ES_tradnl"/>
        </w:rPr>
        <w:t>acumulados, en relaci</w:t>
      </w:r>
      <w:r w:rsidRPr="00343FBE">
        <w:rPr>
          <w:rFonts w:ascii="Century Gothic" w:eastAsia="Times New Roman" w:hAnsi="Century Gothic"/>
          <w:color w:val="000000"/>
          <w:spacing w:val="-3"/>
          <w:sz w:val="24"/>
          <w:szCs w:val="24"/>
          <w:lang w:val="es-ES_tradnl"/>
        </w:rPr>
        <w:t>ó</w:t>
      </w:r>
      <w:r w:rsidRPr="00343FBE">
        <w:rPr>
          <w:rFonts w:ascii="Century Gothic" w:eastAsia="Times New Roman" w:hAnsi="Century Gothic" w:cs="Arial"/>
          <w:color w:val="000000"/>
          <w:spacing w:val="-3"/>
          <w:sz w:val="24"/>
          <w:szCs w:val="24"/>
          <w:lang w:val="es-ES_tradnl"/>
        </w:rPr>
        <w:t>n con las causas de Incompatibilidad.</w:t>
      </w:r>
      <w:r w:rsidRPr="00343FBE">
        <w:rPr>
          <w:rFonts w:ascii="Century Gothic" w:eastAsiaTheme="minorEastAsia" w:hAnsi="Century Gothic" w:cs="Arial"/>
          <w:color w:val="000000"/>
          <w:spacing w:val="-3"/>
          <w:sz w:val="24"/>
          <w:szCs w:val="24"/>
          <w:lang w:val="es-ES_tradnl"/>
        </w:rPr>
        <w:t xml:space="preserve"> </w:t>
      </w:r>
    </w:p>
    <w:p w:rsidR="006C7E5F" w:rsidRPr="00343FBE" w:rsidRDefault="006C7E5F" w:rsidP="006C7E5F">
      <w:pPr>
        <w:widowControl w:val="0"/>
        <w:shd w:val="clear" w:color="auto" w:fill="FFFFFF"/>
        <w:autoSpaceDE w:val="0"/>
        <w:autoSpaceDN w:val="0"/>
        <w:adjustRightInd w:val="0"/>
        <w:ind w:left="567" w:right="567"/>
        <w:jc w:val="both"/>
        <w:rPr>
          <w:rFonts w:ascii="Century Gothic" w:eastAsia="Times New Roman" w:hAnsi="Century Gothic" w:cs="Arial"/>
          <w:color w:val="000000"/>
          <w:spacing w:val="-6"/>
          <w:sz w:val="24"/>
          <w:szCs w:val="24"/>
          <w:lang w:val="es-ES_tradnl"/>
        </w:rPr>
      </w:pPr>
      <w:r w:rsidRPr="00343FBE">
        <w:rPr>
          <w:rFonts w:ascii="Century Gothic" w:eastAsiaTheme="minorEastAsia" w:hAnsi="Century Gothic" w:cs="Arial"/>
          <w:color w:val="000000"/>
          <w:spacing w:val="-3"/>
          <w:sz w:val="24"/>
          <w:szCs w:val="24"/>
          <w:lang w:val="es-ES_tradnl"/>
        </w:rPr>
        <w:t>7.-DOCUMENTAL. Solicito se gire atento oficio a la Direcci</w:t>
      </w:r>
      <w:r w:rsidRPr="00343FBE">
        <w:rPr>
          <w:rFonts w:ascii="Century Gothic" w:eastAsia="Times New Roman" w:hAnsi="Century Gothic"/>
          <w:color w:val="000000"/>
          <w:spacing w:val="-3"/>
          <w:sz w:val="24"/>
          <w:szCs w:val="24"/>
          <w:lang w:val="es-ES_tradnl"/>
        </w:rPr>
        <w:t>ó</w:t>
      </w:r>
      <w:r w:rsidRPr="00343FBE">
        <w:rPr>
          <w:rFonts w:ascii="Century Gothic" w:eastAsia="Times New Roman" w:hAnsi="Century Gothic" w:cs="Arial"/>
          <w:color w:val="000000"/>
          <w:spacing w:val="-3"/>
          <w:sz w:val="24"/>
          <w:szCs w:val="24"/>
          <w:lang w:val="es-ES_tradnl"/>
        </w:rPr>
        <w:t>n de Partidos Pol</w:t>
      </w:r>
      <w:r w:rsidRPr="00343FBE">
        <w:rPr>
          <w:rFonts w:ascii="Century Gothic" w:eastAsia="Times New Roman" w:hAnsi="Century Gothic"/>
          <w:color w:val="000000"/>
          <w:spacing w:val="-3"/>
          <w:sz w:val="24"/>
          <w:szCs w:val="24"/>
          <w:lang w:val="es-ES_tradnl"/>
        </w:rPr>
        <w:t>í</w:t>
      </w:r>
      <w:r w:rsidRPr="00343FBE">
        <w:rPr>
          <w:rFonts w:ascii="Century Gothic" w:eastAsia="Times New Roman" w:hAnsi="Century Gothic" w:cs="Arial"/>
          <w:color w:val="000000"/>
          <w:spacing w:val="-3"/>
          <w:sz w:val="24"/>
          <w:szCs w:val="24"/>
          <w:lang w:val="es-ES_tradnl"/>
        </w:rPr>
        <w:t xml:space="preserve">ticos </w:t>
      </w:r>
      <w:r w:rsidRPr="00343FBE">
        <w:rPr>
          <w:rFonts w:ascii="Century Gothic" w:eastAsia="Times New Roman" w:hAnsi="Century Gothic" w:cs="Arial"/>
          <w:color w:val="000000"/>
          <w:sz w:val="24"/>
          <w:szCs w:val="24"/>
          <w:lang w:val="es-ES_tradnl"/>
        </w:rPr>
        <w:t xml:space="preserve">y Prerrogativas del Instituto Nacional Electoral, a fin de que informe respecto a </w:t>
      </w:r>
      <w:r w:rsidRPr="00343FBE">
        <w:rPr>
          <w:rFonts w:ascii="Century Gothic" w:eastAsia="Times New Roman" w:hAnsi="Century Gothic" w:cs="Arial"/>
          <w:color w:val="000000"/>
          <w:spacing w:val="2"/>
          <w:sz w:val="24"/>
          <w:szCs w:val="24"/>
          <w:lang w:val="es-ES_tradnl"/>
        </w:rPr>
        <w:t>cada una de las personas que se indican a continuaci</w:t>
      </w:r>
      <w:r w:rsidRPr="00343FBE">
        <w:rPr>
          <w:rFonts w:ascii="Century Gothic" w:eastAsia="Times New Roman" w:hAnsi="Century Gothic"/>
          <w:color w:val="000000"/>
          <w:spacing w:val="2"/>
          <w:sz w:val="24"/>
          <w:szCs w:val="24"/>
          <w:lang w:val="es-ES_tradnl"/>
        </w:rPr>
        <w:t>ó</w:t>
      </w:r>
      <w:r w:rsidRPr="00343FBE">
        <w:rPr>
          <w:rFonts w:ascii="Century Gothic" w:eastAsia="Times New Roman" w:hAnsi="Century Gothic" w:cs="Arial"/>
          <w:color w:val="000000"/>
          <w:spacing w:val="2"/>
          <w:sz w:val="24"/>
          <w:szCs w:val="24"/>
          <w:lang w:val="es-ES_tradnl"/>
        </w:rPr>
        <w:t xml:space="preserve">n, con apego a las </w:t>
      </w:r>
      <w:r w:rsidRPr="00343FBE">
        <w:rPr>
          <w:rFonts w:ascii="Century Gothic" w:eastAsia="Times New Roman" w:hAnsi="Century Gothic" w:cs="Arial"/>
          <w:color w:val="000000"/>
          <w:spacing w:val="-2"/>
          <w:sz w:val="24"/>
          <w:szCs w:val="24"/>
          <w:lang w:val="es-ES_tradnl"/>
        </w:rPr>
        <w:t>inscripciones realizadas en el libro a que se refiere el art</w:t>
      </w:r>
      <w:r w:rsidRPr="00343FBE">
        <w:rPr>
          <w:rFonts w:ascii="Century Gothic" w:eastAsia="Times New Roman" w:hAnsi="Century Gothic"/>
          <w:color w:val="000000"/>
          <w:spacing w:val="-2"/>
          <w:sz w:val="24"/>
          <w:szCs w:val="24"/>
          <w:lang w:val="es-ES_tradnl"/>
        </w:rPr>
        <w:t>í</w:t>
      </w:r>
      <w:r w:rsidRPr="00343FBE">
        <w:rPr>
          <w:rFonts w:ascii="Century Gothic" w:eastAsia="Times New Roman" w:hAnsi="Century Gothic" w:cs="Arial"/>
          <w:color w:val="000000"/>
          <w:spacing w:val="-2"/>
          <w:sz w:val="24"/>
          <w:szCs w:val="24"/>
          <w:lang w:val="es-ES_tradnl"/>
        </w:rPr>
        <w:t>culo 55, p</w:t>
      </w:r>
      <w:r w:rsidRPr="00343FBE">
        <w:rPr>
          <w:rFonts w:ascii="Century Gothic" w:eastAsia="Times New Roman" w:hAnsi="Century Gothic"/>
          <w:color w:val="000000"/>
          <w:spacing w:val="-2"/>
          <w:sz w:val="24"/>
          <w:szCs w:val="24"/>
          <w:lang w:val="es-ES_tradnl"/>
        </w:rPr>
        <w:t>á</w:t>
      </w:r>
      <w:r w:rsidRPr="00343FBE">
        <w:rPr>
          <w:rFonts w:ascii="Century Gothic" w:eastAsia="Times New Roman" w:hAnsi="Century Gothic" w:cs="Arial"/>
          <w:color w:val="000000"/>
          <w:spacing w:val="-2"/>
          <w:sz w:val="24"/>
          <w:szCs w:val="24"/>
          <w:lang w:val="es-ES_tradnl"/>
        </w:rPr>
        <w:t>rrafo 1, inciso</w:t>
      </w:r>
      <w:r w:rsidRPr="00343FBE">
        <w:rPr>
          <w:rFonts w:ascii="Century Gothic" w:eastAsiaTheme="minorEastAsia" w:hAnsi="Century Gothic" w:cs="Arial"/>
          <w:color w:val="000000"/>
          <w:spacing w:val="-2"/>
          <w:sz w:val="24"/>
          <w:szCs w:val="24"/>
          <w:lang w:val="es-ES_tradnl"/>
        </w:rPr>
        <w:t xml:space="preserve"> i) de la Ley General de Instituciones y Procedimientos Electorales, la informaci</w:t>
      </w:r>
      <w:r w:rsidRPr="00343FBE">
        <w:rPr>
          <w:rFonts w:ascii="Century Gothic" w:eastAsia="Times New Roman" w:hAnsi="Century Gothic"/>
          <w:color w:val="000000"/>
          <w:spacing w:val="-2"/>
          <w:sz w:val="24"/>
          <w:szCs w:val="24"/>
          <w:lang w:val="es-ES_tradnl"/>
        </w:rPr>
        <w:t>ó</w:t>
      </w:r>
      <w:r w:rsidRPr="00343FBE">
        <w:rPr>
          <w:rFonts w:ascii="Century Gothic" w:eastAsia="Times New Roman" w:hAnsi="Century Gothic" w:cs="Arial"/>
          <w:color w:val="000000"/>
          <w:spacing w:val="-2"/>
          <w:sz w:val="24"/>
          <w:szCs w:val="24"/>
          <w:lang w:val="es-ES_tradnl"/>
        </w:rPr>
        <w:t>n relativa a todos los cargos que ocupan y han ocupado, indicando los periodos de ejercicio, as</w:t>
      </w:r>
      <w:r w:rsidRPr="00343FBE">
        <w:rPr>
          <w:rFonts w:ascii="Century Gothic" w:eastAsia="Times New Roman" w:hAnsi="Century Gothic"/>
          <w:color w:val="000000"/>
          <w:spacing w:val="-2"/>
          <w:sz w:val="24"/>
          <w:szCs w:val="24"/>
          <w:lang w:val="es-ES_tradnl"/>
        </w:rPr>
        <w:t>í</w:t>
      </w:r>
      <w:r w:rsidRPr="00343FBE">
        <w:rPr>
          <w:rFonts w:ascii="Century Gothic" w:eastAsia="Times New Roman" w:hAnsi="Century Gothic" w:cs="Arial"/>
          <w:color w:val="000000"/>
          <w:spacing w:val="-2"/>
          <w:sz w:val="24"/>
          <w:szCs w:val="24"/>
          <w:lang w:val="es-ES_tradnl"/>
        </w:rPr>
        <w:t xml:space="preserve"> como las fechas de cada una de las designaciones o elecciones de </w:t>
      </w:r>
      <w:r w:rsidRPr="00343FBE">
        <w:rPr>
          <w:rFonts w:ascii="Century Gothic" w:eastAsia="Times New Roman" w:hAnsi="Century Gothic" w:cs="Arial"/>
          <w:color w:val="000000"/>
          <w:spacing w:val="-4"/>
          <w:sz w:val="24"/>
          <w:szCs w:val="24"/>
          <w:lang w:val="es-ES_tradnl"/>
        </w:rPr>
        <w:t xml:space="preserve">que han sido objeto tales personas para integrar los </w:t>
      </w:r>
      <w:r w:rsidRPr="00343FBE">
        <w:rPr>
          <w:rFonts w:ascii="Century Gothic" w:eastAsia="Times New Roman" w:hAnsi="Century Gothic"/>
          <w:color w:val="000000"/>
          <w:spacing w:val="-4"/>
          <w:sz w:val="24"/>
          <w:szCs w:val="24"/>
          <w:lang w:val="es-ES_tradnl"/>
        </w:rPr>
        <w:t>ó</w:t>
      </w:r>
      <w:r w:rsidRPr="00343FBE">
        <w:rPr>
          <w:rFonts w:ascii="Century Gothic" w:eastAsia="Times New Roman" w:hAnsi="Century Gothic" w:cs="Arial"/>
          <w:color w:val="000000"/>
          <w:spacing w:val="-4"/>
          <w:sz w:val="24"/>
          <w:szCs w:val="24"/>
          <w:lang w:val="es-ES_tradnl"/>
        </w:rPr>
        <w:t xml:space="preserve">rganos directivos del </w:t>
      </w:r>
      <w:r w:rsidR="00A8764A" w:rsidRPr="00343FBE">
        <w:rPr>
          <w:rFonts w:ascii="Century Gothic" w:eastAsia="Times New Roman" w:hAnsi="Century Gothic" w:cs="Arial"/>
          <w:color w:val="000000"/>
          <w:spacing w:val="-4"/>
          <w:sz w:val="24"/>
          <w:szCs w:val="24"/>
          <w:lang w:val="es-ES_tradnl"/>
        </w:rPr>
        <w:t>PT</w:t>
      </w:r>
      <w:r w:rsidRPr="00343FBE">
        <w:rPr>
          <w:rFonts w:ascii="Century Gothic" w:eastAsia="Times New Roman" w:hAnsi="Century Gothic" w:cs="Arial"/>
          <w:color w:val="000000"/>
          <w:spacing w:val="-1"/>
          <w:sz w:val="24"/>
          <w:szCs w:val="24"/>
          <w:lang w:val="es-ES_tradnl"/>
        </w:rPr>
        <w:t>, desde la fecha de constituci</w:t>
      </w:r>
      <w:r w:rsidRPr="00343FBE">
        <w:rPr>
          <w:rFonts w:ascii="Century Gothic" w:eastAsia="Times New Roman" w:hAnsi="Century Gothic"/>
          <w:color w:val="000000"/>
          <w:spacing w:val="-1"/>
          <w:sz w:val="24"/>
          <w:szCs w:val="24"/>
          <w:lang w:val="es-ES_tradnl"/>
        </w:rPr>
        <w:t>ó</w:t>
      </w:r>
      <w:r w:rsidRPr="00343FBE">
        <w:rPr>
          <w:rFonts w:ascii="Century Gothic" w:eastAsia="Times New Roman" w:hAnsi="Century Gothic" w:cs="Arial"/>
          <w:color w:val="000000"/>
          <w:spacing w:val="-1"/>
          <w:sz w:val="24"/>
          <w:szCs w:val="24"/>
          <w:lang w:val="es-ES_tradnl"/>
        </w:rPr>
        <w:t>n de dicho instituto pol</w:t>
      </w:r>
      <w:r w:rsidRPr="00343FBE">
        <w:rPr>
          <w:rFonts w:ascii="Century Gothic" w:eastAsia="Times New Roman" w:hAnsi="Century Gothic"/>
          <w:color w:val="000000"/>
          <w:spacing w:val="-1"/>
          <w:sz w:val="24"/>
          <w:szCs w:val="24"/>
          <w:lang w:val="es-ES_tradnl"/>
        </w:rPr>
        <w:t>í</w:t>
      </w:r>
      <w:r w:rsidRPr="00343FBE">
        <w:rPr>
          <w:rFonts w:ascii="Century Gothic" w:eastAsia="Times New Roman" w:hAnsi="Century Gothic" w:cs="Arial"/>
          <w:color w:val="000000"/>
          <w:spacing w:val="-1"/>
          <w:sz w:val="24"/>
          <w:szCs w:val="24"/>
          <w:lang w:val="es-ES_tradnl"/>
        </w:rPr>
        <w:t xml:space="preserve">tico hasta el </w:t>
      </w:r>
      <w:r w:rsidRPr="00343FBE">
        <w:rPr>
          <w:rFonts w:ascii="Century Gothic" w:eastAsia="Times New Roman" w:hAnsi="Century Gothic" w:cs="Arial"/>
          <w:color w:val="000000"/>
          <w:spacing w:val="-6"/>
          <w:sz w:val="24"/>
          <w:szCs w:val="24"/>
          <w:lang w:val="es-ES_tradnl"/>
        </w:rPr>
        <w:t>presente:</w:t>
      </w:r>
    </w:p>
    <w:p w:rsidR="00C84C3F" w:rsidRPr="00343FBE" w:rsidRDefault="00C84C3F" w:rsidP="006C7E5F">
      <w:pPr>
        <w:widowControl w:val="0"/>
        <w:shd w:val="clear" w:color="auto" w:fill="FFFFFF"/>
        <w:autoSpaceDE w:val="0"/>
        <w:autoSpaceDN w:val="0"/>
        <w:adjustRightInd w:val="0"/>
        <w:ind w:left="567" w:right="567"/>
        <w:jc w:val="both"/>
        <w:rPr>
          <w:rFonts w:ascii="Century Gothic" w:eastAsia="Times New Roman" w:hAnsi="Century Gothic" w:cs="Arial"/>
          <w:color w:val="000000"/>
          <w:spacing w:val="-6"/>
          <w:sz w:val="24"/>
          <w:szCs w:val="24"/>
          <w:lang w:val="es-ES_tradnl"/>
        </w:rPr>
      </w:pPr>
    </w:p>
    <w:p w:rsidR="006C7E5F" w:rsidRPr="00343FBE" w:rsidRDefault="006C7E5F" w:rsidP="006C7E5F">
      <w:pPr>
        <w:widowControl w:val="0"/>
        <w:shd w:val="clear" w:color="auto" w:fill="FFFFFF"/>
        <w:autoSpaceDE w:val="0"/>
        <w:autoSpaceDN w:val="0"/>
        <w:adjustRightInd w:val="0"/>
        <w:ind w:left="567" w:right="567"/>
        <w:jc w:val="both"/>
        <w:rPr>
          <w:rFonts w:ascii="Century Gothic" w:eastAsia="Times New Roman" w:hAnsi="Century Gothic" w:cs="Arial"/>
          <w:color w:val="000000"/>
          <w:spacing w:val="-6"/>
          <w:sz w:val="32"/>
          <w:szCs w:val="32"/>
          <w:lang w:val="es-ES_tradnl"/>
        </w:rPr>
      </w:pPr>
    </w:p>
    <w:tbl>
      <w:tblPr>
        <w:tblStyle w:val="Tablaconcuadrcula2"/>
        <w:tblW w:w="0" w:type="auto"/>
        <w:jc w:val="center"/>
        <w:tblLook w:val="04A0" w:firstRow="1" w:lastRow="0" w:firstColumn="1" w:lastColumn="0" w:noHBand="0" w:noVBand="1"/>
      </w:tblPr>
      <w:tblGrid>
        <w:gridCol w:w="4583"/>
      </w:tblGrid>
      <w:tr w:rsidR="006C7E5F" w:rsidRPr="00343FBE" w:rsidTr="001B10C2">
        <w:trPr>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5"/>
                <w:sz w:val="16"/>
                <w:szCs w:val="16"/>
                <w:lang w:val="es-ES_tradnl"/>
              </w:rPr>
              <w:t>C. ALBERTO ANAYA GUTI</w:t>
            </w:r>
            <w:r w:rsidRPr="00343FBE">
              <w:rPr>
                <w:rFonts w:ascii="Century Gothic" w:eastAsia="Times New Roman" w:hAnsi="Century Gothic"/>
                <w:color w:val="000000"/>
                <w:spacing w:val="-5"/>
                <w:sz w:val="16"/>
                <w:szCs w:val="16"/>
                <w:lang w:val="es-ES_tradnl"/>
              </w:rPr>
              <w:t>É</w:t>
            </w:r>
            <w:r w:rsidRPr="00343FBE">
              <w:rPr>
                <w:rFonts w:ascii="Century Gothic" w:eastAsia="Times New Roman" w:hAnsi="Century Gothic" w:cs="Arial"/>
                <w:color w:val="000000"/>
                <w:spacing w:val="-5"/>
                <w:sz w:val="16"/>
                <w:szCs w:val="16"/>
                <w:lang w:val="es-ES_tradnl"/>
              </w:rPr>
              <w:t>RREZ</w:t>
            </w:r>
          </w:p>
        </w:tc>
      </w:tr>
      <w:tr w:rsidR="006C7E5F" w:rsidRPr="00343FBE" w:rsidTr="001B10C2">
        <w:trPr>
          <w:trHeight w:val="282"/>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4"/>
                <w:sz w:val="16"/>
                <w:szCs w:val="16"/>
                <w:lang w:val="es-ES_tradnl"/>
              </w:rPr>
              <w:lastRenderedPageBreak/>
              <w:t xml:space="preserve">C. </w:t>
            </w:r>
            <w:proofErr w:type="spellStart"/>
            <w:r w:rsidRPr="00343FBE">
              <w:rPr>
                <w:rFonts w:ascii="Century Gothic" w:eastAsiaTheme="minorEastAsia" w:hAnsi="Century Gothic" w:cs="Arial"/>
                <w:color w:val="000000"/>
                <w:spacing w:val="-4"/>
                <w:sz w:val="16"/>
                <w:szCs w:val="16"/>
                <w:lang w:val="es-ES_tradnl"/>
              </w:rPr>
              <w:t>MARlA</w:t>
            </w:r>
            <w:proofErr w:type="spellEnd"/>
            <w:r w:rsidRPr="00343FBE">
              <w:rPr>
                <w:rFonts w:ascii="Century Gothic" w:eastAsiaTheme="minorEastAsia" w:hAnsi="Century Gothic" w:cs="Arial"/>
                <w:color w:val="000000"/>
                <w:spacing w:val="-4"/>
                <w:sz w:val="16"/>
                <w:szCs w:val="16"/>
                <w:lang w:val="es-ES_tradnl"/>
              </w:rPr>
              <w:t xml:space="preserve"> GUADALUPE RODR</w:t>
            </w:r>
            <w:r w:rsidRPr="00343FBE">
              <w:rPr>
                <w:rFonts w:ascii="Century Gothic" w:eastAsia="Times New Roman" w:hAnsi="Century Gothic"/>
                <w:color w:val="000000"/>
                <w:spacing w:val="-4"/>
                <w:sz w:val="16"/>
                <w:szCs w:val="16"/>
                <w:lang w:val="es-ES_tradnl"/>
              </w:rPr>
              <w:t>Í</w:t>
            </w:r>
            <w:r w:rsidRPr="00343FBE">
              <w:rPr>
                <w:rFonts w:ascii="Century Gothic" w:eastAsia="Times New Roman" w:hAnsi="Century Gothic" w:cs="Arial"/>
                <w:color w:val="000000"/>
                <w:spacing w:val="-4"/>
                <w:sz w:val="16"/>
                <w:szCs w:val="16"/>
                <w:lang w:val="es-ES_tradnl"/>
              </w:rPr>
              <w:t>GUEZ MART</w:t>
            </w:r>
            <w:r w:rsidRPr="00343FBE">
              <w:rPr>
                <w:rFonts w:ascii="Century Gothic" w:eastAsia="Times New Roman" w:hAnsi="Century Gothic"/>
                <w:color w:val="000000"/>
                <w:spacing w:val="-4"/>
                <w:sz w:val="16"/>
                <w:szCs w:val="16"/>
                <w:lang w:val="es-ES_tradnl"/>
              </w:rPr>
              <w:t>Í</w:t>
            </w:r>
            <w:r w:rsidRPr="00343FBE">
              <w:rPr>
                <w:rFonts w:ascii="Century Gothic" w:eastAsia="Times New Roman" w:hAnsi="Century Gothic" w:cs="Arial"/>
                <w:color w:val="000000"/>
                <w:spacing w:val="-4"/>
                <w:sz w:val="16"/>
                <w:szCs w:val="16"/>
                <w:lang w:val="es-ES_tradnl"/>
              </w:rPr>
              <w:t>NEZ</w:t>
            </w:r>
          </w:p>
        </w:tc>
      </w:tr>
      <w:tr w:rsidR="006C7E5F" w:rsidRPr="00343FBE" w:rsidTr="001B10C2">
        <w:trPr>
          <w:trHeight w:val="282"/>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4"/>
                <w:sz w:val="16"/>
                <w:szCs w:val="16"/>
                <w:lang w:val="es-ES_tradnl"/>
              </w:rPr>
              <w:t>C. RICARDO CANT</w:t>
            </w:r>
            <w:r w:rsidRPr="00343FBE">
              <w:rPr>
                <w:rFonts w:ascii="Century Gothic" w:eastAsia="Times New Roman" w:hAnsi="Century Gothic"/>
                <w:color w:val="000000"/>
                <w:spacing w:val="-4"/>
                <w:sz w:val="16"/>
                <w:szCs w:val="16"/>
                <w:lang w:val="es-ES_tradnl"/>
              </w:rPr>
              <w:t>Ú</w:t>
            </w:r>
            <w:r w:rsidRPr="00343FBE">
              <w:rPr>
                <w:rFonts w:ascii="Century Gothic" w:eastAsia="Times New Roman" w:hAnsi="Century Gothic" w:cs="Arial"/>
                <w:color w:val="000000"/>
                <w:spacing w:val="-4"/>
                <w:sz w:val="16"/>
                <w:szCs w:val="16"/>
                <w:lang w:val="es-ES_tradnl"/>
              </w:rPr>
              <w:t xml:space="preserve"> GARZA</w:t>
            </w:r>
          </w:p>
        </w:tc>
      </w:tr>
      <w:tr w:rsidR="006C7E5F" w:rsidRPr="00343FBE" w:rsidTr="001B10C2">
        <w:trPr>
          <w:jc w:val="center"/>
        </w:trPr>
        <w:tc>
          <w:tcPr>
            <w:tcW w:w="4583" w:type="dxa"/>
            <w:vAlign w:val="center"/>
          </w:tcPr>
          <w:p w:rsidR="006C7E5F" w:rsidRPr="00343FBE" w:rsidRDefault="006C7E5F" w:rsidP="001B10C2">
            <w:pPr>
              <w:widowControl w:val="0"/>
              <w:autoSpaceDE w:val="0"/>
              <w:autoSpaceDN w:val="0"/>
              <w:adjustRightInd w:val="0"/>
              <w:jc w:val="center"/>
              <w:rPr>
                <w:rFonts w:ascii="Century Gothic" w:eastAsiaTheme="minorEastAsia" w:hAnsi="Century Gothic" w:cs="Arial"/>
                <w:sz w:val="28"/>
                <w:szCs w:val="28"/>
              </w:rPr>
            </w:pPr>
            <w:r w:rsidRPr="00343FBE">
              <w:rPr>
                <w:rFonts w:ascii="Century Gothic" w:eastAsiaTheme="minorEastAsia" w:hAnsi="Century Gothic" w:cs="Arial"/>
                <w:color w:val="000000"/>
                <w:spacing w:val="-4"/>
                <w:sz w:val="16"/>
                <w:szCs w:val="16"/>
                <w:lang w:val="es-ES_tradnl"/>
              </w:rPr>
              <w:t>C. ALEJANDRO GONZ</w:t>
            </w:r>
            <w:r w:rsidRPr="00343FBE">
              <w:rPr>
                <w:rFonts w:ascii="Century Gothic" w:eastAsia="Times New Roman" w:hAnsi="Century Gothic"/>
                <w:color w:val="000000"/>
                <w:spacing w:val="-4"/>
                <w:sz w:val="16"/>
                <w:szCs w:val="16"/>
                <w:lang w:val="es-ES_tradnl"/>
              </w:rPr>
              <w:t>Á</w:t>
            </w:r>
            <w:r w:rsidRPr="00343FBE">
              <w:rPr>
                <w:rFonts w:ascii="Century Gothic" w:eastAsia="Times New Roman" w:hAnsi="Century Gothic" w:cs="Arial"/>
                <w:color w:val="000000"/>
                <w:spacing w:val="-4"/>
                <w:sz w:val="16"/>
                <w:szCs w:val="16"/>
                <w:lang w:val="es-ES_tradnl"/>
              </w:rPr>
              <w:t>LEZ Y</w:t>
            </w:r>
            <w:r w:rsidRPr="00343FBE">
              <w:rPr>
                <w:rFonts w:ascii="Century Gothic" w:eastAsia="Times New Roman" w:hAnsi="Century Gothic"/>
                <w:color w:val="000000"/>
                <w:spacing w:val="-4"/>
                <w:sz w:val="16"/>
                <w:szCs w:val="16"/>
                <w:lang w:val="es-ES_tradnl"/>
              </w:rPr>
              <w:t>ÁÑ</w:t>
            </w:r>
            <w:r w:rsidRPr="00343FBE">
              <w:rPr>
                <w:rFonts w:ascii="Century Gothic" w:eastAsia="Times New Roman" w:hAnsi="Century Gothic" w:cs="Arial"/>
                <w:color w:val="000000"/>
                <w:spacing w:val="-4"/>
                <w:sz w:val="16"/>
                <w:szCs w:val="16"/>
                <w:lang w:val="es-ES_tradnl"/>
              </w:rPr>
              <w:t>EZ</w:t>
            </w:r>
          </w:p>
        </w:tc>
      </w:tr>
      <w:tr w:rsidR="006C7E5F" w:rsidRPr="00343FBE" w:rsidTr="001B10C2">
        <w:trPr>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4"/>
                <w:sz w:val="16"/>
                <w:szCs w:val="16"/>
                <w:lang w:val="es-ES_tradnl"/>
              </w:rPr>
              <w:t>C. REGINALDO SANDOVAL FLORES</w:t>
            </w:r>
          </w:p>
        </w:tc>
      </w:tr>
      <w:tr w:rsidR="006C7E5F" w:rsidRPr="00343FBE" w:rsidTr="001B10C2">
        <w:trPr>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4"/>
                <w:sz w:val="16"/>
                <w:szCs w:val="16"/>
                <w:lang w:val="es-ES_tradnl"/>
              </w:rPr>
              <w:t>C. PEDRO V</w:t>
            </w:r>
            <w:r w:rsidRPr="00343FBE">
              <w:rPr>
                <w:rFonts w:ascii="Century Gothic" w:eastAsia="Times New Roman" w:hAnsi="Century Gothic"/>
                <w:color w:val="000000"/>
                <w:spacing w:val="-4"/>
                <w:sz w:val="16"/>
                <w:szCs w:val="16"/>
                <w:lang w:val="es-ES_tradnl"/>
              </w:rPr>
              <w:t>Á</w:t>
            </w:r>
            <w:r w:rsidRPr="00343FBE">
              <w:rPr>
                <w:rFonts w:ascii="Century Gothic" w:eastAsia="Times New Roman" w:hAnsi="Century Gothic" w:cs="Arial"/>
                <w:color w:val="000000"/>
                <w:spacing w:val="-4"/>
                <w:sz w:val="16"/>
                <w:szCs w:val="16"/>
                <w:lang w:val="es-ES_tradnl"/>
              </w:rPr>
              <w:t>ZQUEZ GONZ</w:t>
            </w:r>
            <w:r w:rsidRPr="00343FBE">
              <w:rPr>
                <w:rFonts w:ascii="Century Gothic" w:eastAsia="Times New Roman" w:hAnsi="Century Gothic"/>
                <w:color w:val="000000"/>
                <w:spacing w:val="-4"/>
                <w:sz w:val="16"/>
                <w:szCs w:val="16"/>
                <w:lang w:val="es-ES_tradnl"/>
              </w:rPr>
              <w:t>Á</w:t>
            </w:r>
            <w:r w:rsidRPr="00343FBE">
              <w:rPr>
                <w:rFonts w:ascii="Century Gothic" w:eastAsia="Times New Roman" w:hAnsi="Century Gothic" w:cs="Arial"/>
                <w:color w:val="000000"/>
                <w:spacing w:val="-4"/>
                <w:sz w:val="16"/>
                <w:szCs w:val="16"/>
                <w:lang w:val="es-ES_tradnl"/>
              </w:rPr>
              <w:t>LEZ</w:t>
            </w:r>
          </w:p>
        </w:tc>
      </w:tr>
      <w:tr w:rsidR="006C7E5F" w:rsidRPr="00343FBE" w:rsidTr="001B10C2">
        <w:trPr>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5"/>
                <w:sz w:val="16"/>
                <w:szCs w:val="16"/>
                <w:lang w:val="es-ES_tradnl"/>
              </w:rPr>
              <w:t xml:space="preserve">C. </w:t>
            </w:r>
            <w:r w:rsidRPr="00343FBE">
              <w:rPr>
                <w:rFonts w:ascii="Century Gothic" w:eastAsia="Times New Roman" w:hAnsi="Century Gothic"/>
                <w:color w:val="000000"/>
                <w:spacing w:val="-5"/>
                <w:sz w:val="16"/>
                <w:szCs w:val="16"/>
                <w:lang w:val="es-ES_tradnl"/>
              </w:rPr>
              <w:t>Ó</w:t>
            </w:r>
            <w:r w:rsidRPr="00343FBE">
              <w:rPr>
                <w:rFonts w:ascii="Century Gothic" w:eastAsia="Times New Roman" w:hAnsi="Century Gothic" w:cs="Arial"/>
                <w:color w:val="000000"/>
                <w:spacing w:val="-5"/>
                <w:sz w:val="16"/>
                <w:szCs w:val="16"/>
                <w:lang w:val="es-ES_tradnl"/>
              </w:rPr>
              <w:t>SCAR GONZ</w:t>
            </w:r>
            <w:r w:rsidRPr="00343FBE">
              <w:rPr>
                <w:rFonts w:ascii="Century Gothic" w:eastAsia="Times New Roman" w:hAnsi="Century Gothic"/>
                <w:color w:val="000000"/>
                <w:spacing w:val="-5"/>
                <w:sz w:val="16"/>
                <w:szCs w:val="16"/>
                <w:lang w:val="es-ES_tradnl"/>
              </w:rPr>
              <w:t>Á</w:t>
            </w:r>
            <w:r w:rsidRPr="00343FBE">
              <w:rPr>
                <w:rFonts w:ascii="Century Gothic" w:eastAsia="Times New Roman" w:hAnsi="Century Gothic" w:cs="Arial"/>
                <w:color w:val="000000"/>
                <w:spacing w:val="-5"/>
                <w:sz w:val="16"/>
                <w:szCs w:val="16"/>
                <w:lang w:val="es-ES_tradnl"/>
              </w:rPr>
              <w:t>LEZ Y</w:t>
            </w:r>
            <w:r w:rsidRPr="00343FBE">
              <w:rPr>
                <w:rFonts w:ascii="Century Gothic" w:eastAsia="Times New Roman" w:hAnsi="Century Gothic"/>
                <w:color w:val="000000"/>
                <w:spacing w:val="-5"/>
                <w:sz w:val="16"/>
                <w:szCs w:val="16"/>
                <w:lang w:val="es-ES_tradnl"/>
              </w:rPr>
              <w:t>ÁÑ</w:t>
            </w:r>
            <w:r w:rsidRPr="00343FBE">
              <w:rPr>
                <w:rFonts w:ascii="Century Gothic" w:eastAsia="Times New Roman" w:hAnsi="Century Gothic" w:cs="Arial"/>
                <w:color w:val="000000"/>
                <w:spacing w:val="-5"/>
                <w:sz w:val="16"/>
                <w:szCs w:val="16"/>
                <w:lang w:val="es-ES_tradnl"/>
              </w:rPr>
              <w:t>EZ</w:t>
            </w:r>
          </w:p>
        </w:tc>
      </w:tr>
      <w:tr w:rsidR="006C7E5F" w:rsidRPr="00343FBE" w:rsidTr="001B10C2">
        <w:trPr>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4"/>
                <w:sz w:val="16"/>
                <w:szCs w:val="16"/>
                <w:lang w:val="es-ES_tradnl"/>
              </w:rPr>
              <w:t>C. RUB</w:t>
            </w:r>
            <w:r w:rsidRPr="00343FBE">
              <w:rPr>
                <w:rFonts w:ascii="Century Gothic" w:eastAsia="Times New Roman" w:hAnsi="Century Gothic"/>
                <w:color w:val="000000"/>
                <w:spacing w:val="-4"/>
                <w:sz w:val="16"/>
                <w:szCs w:val="16"/>
                <w:lang w:val="es-ES_tradnl"/>
              </w:rPr>
              <w:t>É</w:t>
            </w:r>
            <w:r w:rsidRPr="00343FBE">
              <w:rPr>
                <w:rFonts w:ascii="Century Gothic" w:eastAsia="Times New Roman" w:hAnsi="Century Gothic" w:cs="Arial"/>
                <w:color w:val="000000"/>
                <w:spacing w:val="-4"/>
                <w:sz w:val="16"/>
                <w:szCs w:val="16"/>
                <w:lang w:val="es-ES_tradnl"/>
              </w:rPr>
              <w:t>N AGUILAR JIM</w:t>
            </w:r>
            <w:r w:rsidRPr="00343FBE">
              <w:rPr>
                <w:rFonts w:ascii="Century Gothic" w:eastAsia="Times New Roman" w:hAnsi="Century Gothic"/>
                <w:color w:val="000000"/>
                <w:spacing w:val="-4"/>
                <w:sz w:val="16"/>
                <w:szCs w:val="16"/>
                <w:lang w:val="es-ES_tradnl"/>
              </w:rPr>
              <w:t>É</w:t>
            </w:r>
            <w:r w:rsidRPr="00343FBE">
              <w:rPr>
                <w:rFonts w:ascii="Century Gothic" w:eastAsia="Times New Roman" w:hAnsi="Century Gothic" w:cs="Arial"/>
                <w:color w:val="000000"/>
                <w:spacing w:val="-4"/>
                <w:sz w:val="16"/>
                <w:szCs w:val="16"/>
                <w:lang w:val="es-ES_tradnl"/>
              </w:rPr>
              <w:t>NEZ</w:t>
            </w:r>
          </w:p>
        </w:tc>
      </w:tr>
      <w:tr w:rsidR="006C7E5F" w:rsidRPr="00343FBE" w:rsidTr="001B10C2">
        <w:trPr>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5"/>
                <w:sz w:val="16"/>
                <w:szCs w:val="16"/>
                <w:lang w:val="es-ES_tradnl"/>
              </w:rPr>
              <w:t>C. FRANCISCO AMADEO ESPINOSA RAMOS</w:t>
            </w:r>
          </w:p>
        </w:tc>
      </w:tr>
      <w:tr w:rsidR="006C7E5F" w:rsidRPr="00343FBE" w:rsidTr="001B10C2">
        <w:trPr>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5"/>
                <w:sz w:val="16"/>
                <w:szCs w:val="16"/>
                <w:lang w:val="es-ES_tradnl"/>
              </w:rPr>
              <w:t>C. JOS</w:t>
            </w:r>
            <w:r w:rsidRPr="00343FBE">
              <w:rPr>
                <w:rFonts w:ascii="Century Gothic" w:eastAsia="Times New Roman" w:hAnsi="Century Gothic"/>
                <w:color w:val="000000"/>
                <w:spacing w:val="-5"/>
                <w:sz w:val="16"/>
                <w:szCs w:val="16"/>
                <w:lang w:val="es-ES_tradnl"/>
              </w:rPr>
              <w:t>É</w:t>
            </w:r>
            <w:r w:rsidRPr="00343FBE">
              <w:rPr>
                <w:rFonts w:ascii="Century Gothic" w:eastAsia="Times New Roman" w:hAnsi="Century Gothic" w:cs="Arial"/>
                <w:color w:val="000000"/>
                <w:spacing w:val="-5"/>
                <w:sz w:val="16"/>
                <w:szCs w:val="16"/>
                <w:lang w:val="es-ES_tradnl"/>
              </w:rPr>
              <w:t xml:space="preserve"> NARRO C</w:t>
            </w:r>
            <w:r w:rsidRPr="00343FBE">
              <w:rPr>
                <w:rFonts w:ascii="Century Gothic" w:eastAsia="Times New Roman" w:hAnsi="Century Gothic"/>
                <w:color w:val="000000"/>
                <w:spacing w:val="-5"/>
                <w:sz w:val="16"/>
                <w:szCs w:val="16"/>
                <w:lang w:val="es-ES_tradnl"/>
              </w:rPr>
              <w:t>É</w:t>
            </w:r>
            <w:r w:rsidRPr="00343FBE">
              <w:rPr>
                <w:rFonts w:ascii="Century Gothic" w:eastAsia="Times New Roman" w:hAnsi="Century Gothic" w:cs="Arial"/>
                <w:color w:val="000000"/>
                <w:spacing w:val="-5"/>
                <w:sz w:val="16"/>
                <w:szCs w:val="16"/>
                <w:lang w:val="es-ES_tradnl"/>
              </w:rPr>
              <w:t>SPEDES</w:t>
            </w:r>
          </w:p>
        </w:tc>
      </w:tr>
      <w:tr w:rsidR="006C7E5F" w:rsidRPr="00343FBE" w:rsidTr="001B10C2">
        <w:trPr>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5"/>
                <w:sz w:val="16"/>
                <w:szCs w:val="16"/>
                <w:lang w:val="es-ES_tradnl"/>
              </w:rPr>
              <w:t>C. MARCOS CRUZ MART</w:t>
            </w:r>
            <w:r w:rsidRPr="00343FBE">
              <w:rPr>
                <w:rFonts w:ascii="Century Gothic" w:eastAsia="Times New Roman" w:hAnsi="Century Gothic"/>
                <w:color w:val="000000"/>
                <w:spacing w:val="-5"/>
                <w:sz w:val="16"/>
                <w:szCs w:val="16"/>
                <w:lang w:val="es-ES_tradnl"/>
              </w:rPr>
              <w:t>Í</w:t>
            </w:r>
            <w:r w:rsidRPr="00343FBE">
              <w:rPr>
                <w:rFonts w:ascii="Century Gothic" w:eastAsia="Times New Roman" w:hAnsi="Century Gothic" w:cs="Arial"/>
                <w:color w:val="000000"/>
                <w:spacing w:val="-5"/>
                <w:sz w:val="16"/>
                <w:szCs w:val="16"/>
                <w:lang w:val="es-ES_tradnl"/>
              </w:rPr>
              <w:t>NEZ</w:t>
            </w:r>
          </w:p>
        </w:tc>
      </w:tr>
      <w:tr w:rsidR="006C7E5F" w:rsidRPr="00343FBE" w:rsidTr="001B10C2">
        <w:trPr>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4"/>
                <w:sz w:val="16"/>
                <w:szCs w:val="16"/>
                <w:lang w:val="es-ES_tradnl"/>
              </w:rPr>
              <w:t>C. JOS</w:t>
            </w:r>
            <w:r w:rsidRPr="00343FBE">
              <w:rPr>
                <w:rFonts w:ascii="Century Gothic" w:eastAsia="Times New Roman" w:hAnsi="Century Gothic"/>
                <w:color w:val="000000"/>
                <w:spacing w:val="-4"/>
                <w:sz w:val="16"/>
                <w:szCs w:val="16"/>
                <w:lang w:val="es-ES_tradnl"/>
              </w:rPr>
              <w:t>É</w:t>
            </w:r>
            <w:r w:rsidRPr="00343FBE">
              <w:rPr>
                <w:rFonts w:ascii="Century Gothic" w:eastAsia="Times New Roman" w:hAnsi="Century Gothic" w:cs="Arial"/>
                <w:color w:val="000000"/>
                <w:spacing w:val="-4"/>
                <w:sz w:val="16"/>
                <w:szCs w:val="16"/>
                <w:lang w:val="es-ES_tradnl"/>
              </w:rPr>
              <w:t xml:space="preserve"> ALBERTO BENAVIDES CASTA</w:t>
            </w:r>
            <w:r w:rsidRPr="00343FBE">
              <w:rPr>
                <w:rFonts w:ascii="Century Gothic" w:eastAsia="Times New Roman" w:hAnsi="Century Gothic"/>
                <w:color w:val="000000"/>
                <w:spacing w:val="-4"/>
                <w:sz w:val="16"/>
                <w:szCs w:val="16"/>
                <w:lang w:val="es-ES_tradnl"/>
              </w:rPr>
              <w:t>Ñ</w:t>
            </w:r>
            <w:r w:rsidRPr="00343FBE">
              <w:rPr>
                <w:rFonts w:ascii="Century Gothic" w:eastAsia="Times New Roman" w:hAnsi="Century Gothic" w:cs="Arial"/>
                <w:color w:val="000000"/>
                <w:spacing w:val="-4"/>
                <w:sz w:val="16"/>
                <w:szCs w:val="16"/>
                <w:lang w:val="es-ES_tradnl"/>
              </w:rPr>
              <w:t>EDA</w:t>
            </w:r>
          </w:p>
        </w:tc>
      </w:tr>
      <w:tr w:rsidR="006C7E5F" w:rsidRPr="00343FBE" w:rsidTr="001B10C2">
        <w:trPr>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4"/>
                <w:sz w:val="16"/>
                <w:szCs w:val="16"/>
                <w:lang w:val="es-ES_tradnl"/>
              </w:rPr>
              <w:t>C. NEFTAL</w:t>
            </w:r>
            <w:r w:rsidRPr="00343FBE">
              <w:rPr>
                <w:rFonts w:ascii="Century Gothic" w:eastAsia="Times New Roman" w:hAnsi="Century Gothic"/>
                <w:color w:val="000000"/>
                <w:spacing w:val="-4"/>
                <w:sz w:val="16"/>
                <w:szCs w:val="16"/>
                <w:lang w:val="es-ES_tradnl"/>
              </w:rPr>
              <w:t>Í</w:t>
            </w:r>
            <w:r w:rsidRPr="00343FBE">
              <w:rPr>
                <w:rFonts w:ascii="Century Gothic" w:eastAsia="Times New Roman" w:hAnsi="Century Gothic" w:cs="Arial"/>
                <w:color w:val="000000"/>
                <w:spacing w:val="-4"/>
                <w:sz w:val="16"/>
                <w:szCs w:val="16"/>
                <w:lang w:val="es-ES_tradnl"/>
              </w:rPr>
              <w:t xml:space="preserve"> IGNACIO P</w:t>
            </w:r>
            <w:r w:rsidRPr="00343FBE">
              <w:rPr>
                <w:rFonts w:ascii="Century Gothic" w:eastAsia="Times New Roman" w:hAnsi="Century Gothic"/>
                <w:color w:val="000000"/>
                <w:spacing w:val="-4"/>
                <w:sz w:val="16"/>
                <w:szCs w:val="16"/>
                <w:lang w:val="es-ES_tradnl"/>
              </w:rPr>
              <w:t>É</w:t>
            </w:r>
            <w:r w:rsidRPr="00343FBE">
              <w:rPr>
                <w:rFonts w:ascii="Century Gothic" w:eastAsia="Times New Roman" w:hAnsi="Century Gothic" w:cs="Arial"/>
                <w:color w:val="000000"/>
                <w:spacing w:val="-4"/>
                <w:sz w:val="16"/>
                <w:szCs w:val="16"/>
                <w:lang w:val="es-ES_tradnl"/>
              </w:rPr>
              <w:t>REZ FLORES</w:t>
            </w:r>
          </w:p>
        </w:tc>
      </w:tr>
      <w:tr w:rsidR="006C7E5F" w:rsidRPr="00343FBE" w:rsidTr="001B10C2">
        <w:trPr>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4"/>
                <w:sz w:val="16"/>
                <w:szCs w:val="16"/>
                <w:lang w:val="es-ES_tradnl"/>
              </w:rPr>
              <w:t>C. SILVANO GARAY ULLOA</w:t>
            </w:r>
          </w:p>
        </w:tc>
      </w:tr>
      <w:tr w:rsidR="006C7E5F" w:rsidRPr="00343FBE" w:rsidTr="001B10C2">
        <w:trPr>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4"/>
                <w:sz w:val="16"/>
                <w:szCs w:val="16"/>
                <w:lang w:val="es-ES_tradnl"/>
              </w:rPr>
              <w:t>C. MAGDALENA DEL SOCORRO N</w:t>
            </w:r>
            <w:r w:rsidRPr="00343FBE">
              <w:rPr>
                <w:rFonts w:ascii="Century Gothic" w:eastAsia="Times New Roman" w:hAnsi="Century Gothic"/>
                <w:color w:val="000000"/>
                <w:spacing w:val="-4"/>
                <w:sz w:val="16"/>
                <w:szCs w:val="16"/>
                <w:lang w:val="es-ES_tradnl"/>
              </w:rPr>
              <w:t>ÚÑ</w:t>
            </w:r>
            <w:r w:rsidRPr="00343FBE">
              <w:rPr>
                <w:rFonts w:ascii="Century Gothic" w:eastAsia="Times New Roman" w:hAnsi="Century Gothic" w:cs="Arial"/>
                <w:color w:val="000000"/>
                <w:spacing w:val="-4"/>
                <w:sz w:val="16"/>
                <w:szCs w:val="16"/>
                <w:lang w:val="es-ES_tradnl"/>
              </w:rPr>
              <w:t>EZ MONREAL</w:t>
            </w:r>
          </w:p>
        </w:tc>
      </w:tr>
      <w:tr w:rsidR="006C7E5F" w:rsidRPr="00343FBE" w:rsidTr="001B10C2">
        <w:trPr>
          <w:jc w:val="center"/>
        </w:trPr>
        <w:tc>
          <w:tcPr>
            <w:tcW w:w="4583" w:type="dxa"/>
            <w:vAlign w:val="center"/>
          </w:tcPr>
          <w:p w:rsidR="006C7E5F" w:rsidRPr="00343FBE" w:rsidRDefault="006C7E5F" w:rsidP="001B10C2">
            <w:pPr>
              <w:widowControl w:val="0"/>
              <w:shd w:val="clear" w:color="auto" w:fill="FFFFFF"/>
              <w:autoSpaceDE w:val="0"/>
              <w:autoSpaceDN w:val="0"/>
              <w:adjustRightInd w:val="0"/>
              <w:jc w:val="center"/>
              <w:rPr>
                <w:rFonts w:ascii="Century Gothic" w:eastAsiaTheme="minorEastAsia" w:hAnsi="Century Gothic" w:cs="Arial"/>
              </w:rPr>
            </w:pPr>
            <w:r w:rsidRPr="00343FBE">
              <w:rPr>
                <w:rFonts w:ascii="Century Gothic" w:eastAsiaTheme="minorEastAsia" w:hAnsi="Century Gothic" w:cs="Arial"/>
                <w:color w:val="000000"/>
                <w:spacing w:val="-4"/>
                <w:sz w:val="16"/>
                <w:szCs w:val="16"/>
                <w:lang w:val="es-ES_tradnl"/>
              </w:rPr>
              <w:t>C. MARÍA ISIDRA DE LA LUZ RIVAS</w:t>
            </w:r>
          </w:p>
        </w:tc>
      </w:tr>
    </w:tbl>
    <w:p w:rsidR="006C7E5F" w:rsidRPr="00343FBE" w:rsidRDefault="006C7E5F" w:rsidP="006C7E5F">
      <w:pPr>
        <w:widowControl w:val="0"/>
        <w:shd w:val="clear" w:color="auto" w:fill="FFFFFF"/>
        <w:autoSpaceDE w:val="0"/>
        <w:autoSpaceDN w:val="0"/>
        <w:adjustRightInd w:val="0"/>
        <w:spacing w:line="403" w:lineRule="exact"/>
        <w:ind w:right="5"/>
        <w:jc w:val="both"/>
        <w:rPr>
          <w:rFonts w:ascii="Century Gothic" w:eastAsiaTheme="minorEastAsia" w:hAnsi="Century Gothic" w:cs="Arial"/>
          <w:sz w:val="28"/>
          <w:szCs w:val="28"/>
        </w:rPr>
      </w:pPr>
      <w:r w:rsidRPr="00343FBE">
        <w:rPr>
          <w:rFonts w:ascii="Century Gothic" w:eastAsiaTheme="minorEastAsia" w:hAnsi="Century Gothic" w:cs="Arial"/>
          <w:sz w:val="28"/>
          <w:szCs w:val="28"/>
        </w:rPr>
        <w:t>…”.</w:t>
      </w:r>
    </w:p>
    <w:p w:rsidR="006C7E5F" w:rsidRPr="002E49D8" w:rsidRDefault="006C7E5F" w:rsidP="006C7E5F">
      <w:pPr>
        <w:widowControl w:val="0"/>
        <w:shd w:val="clear" w:color="auto" w:fill="FFFFFF"/>
        <w:autoSpaceDE w:val="0"/>
        <w:autoSpaceDN w:val="0"/>
        <w:adjustRightInd w:val="0"/>
        <w:spacing w:line="403" w:lineRule="exact"/>
        <w:ind w:right="5"/>
        <w:jc w:val="both"/>
        <w:rPr>
          <w:rFonts w:ascii="Century Gothic" w:eastAsiaTheme="minorEastAsia" w:hAnsi="Century Gothic" w:cs="Arial"/>
          <w:sz w:val="24"/>
          <w:szCs w:val="24"/>
        </w:rPr>
      </w:pPr>
    </w:p>
    <w:p w:rsidR="006C7E5F" w:rsidRPr="00343FBE" w:rsidRDefault="006C7E5F" w:rsidP="006C7E5F">
      <w:pPr>
        <w:widowControl w:val="0"/>
        <w:shd w:val="clear" w:color="auto" w:fill="FFFFFF"/>
        <w:autoSpaceDE w:val="0"/>
        <w:autoSpaceDN w:val="0"/>
        <w:adjustRightInd w:val="0"/>
        <w:spacing w:line="360" w:lineRule="auto"/>
        <w:ind w:right="5"/>
        <w:jc w:val="both"/>
        <w:rPr>
          <w:rFonts w:ascii="Century Gothic" w:eastAsiaTheme="minorEastAsia" w:hAnsi="Century Gothic" w:cs="Arial"/>
          <w:sz w:val="28"/>
          <w:szCs w:val="28"/>
        </w:rPr>
      </w:pPr>
      <w:r w:rsidRPr="00343FBE">
        <w:rPr>
          <w:rFonts w:ascii="Century Gothic" w:eastAsiaTheme="minorEastAsia" w:hAnsi="Century Gothic" w:cs="Arial"/>
          <w:sz w:val="28"/>
          <w:szCs w:val="28"/>
        </w:rPr>
        <w:t>Como se dijo, incluso con dichos medios de convicción, el sentido de la presente ejecutoria no podría variar, por lo que no ha lugar a admitirlas.</w:t>
      </w:r>
    </w:p>
    <w:p w:rsidR="006C7E5F" w:rsidRPr="002E49D8" w:rsidRDefault="006C7E5F" w:rsidP="006C7E5F">
      <w:pPr>
        <w:spacing w:line="360" w:lineRule="auto"/>
        <w:jc w:val="both"/>
        <w:rPr>
          <w:rFonts w:ascii="Century Gothic" w:hAnsi="Century Gothic" w:cs="Arial"/>
          <w:bCs/>
          <w:sz w:val="24"/>
          <w:szCs w:val="24"/>
          <w:lang w:eastAsia="en-US"/>
        </w:rPr>
      </w:pPr>
    </w:p>
    <w:p w:rsidR="006C7E5F" w:rsidRPr="00343FBE" w:rsidRDefault="006C7E5F" w:rsidP="006C7E5F">
      <w:pPr>
        <w:spacing w:line="360" w:lineRule="auto"/>
        <w:jc w:val="both"/>
        <w:rPr>
          <w:rFonts w:ascii="Century Gothic" w:hAnsi="Century Gothic" w:cs="Arial"/>
          <w:bCs/>
          <w:sz w:val="28"/>
          <w:szCs w:val="28"/>
          <w:lang w:eastAsia="en-US"/>
        </w:rPr>
      </w:pPr>
      <w:r w:rsidRPr="00343FBE">
        <w:rPr>
          <w:rFonts w:ascii="Century Gothic" w:hAnsi="Century Gothic" w:cs="Arial"/>
          <w:bCs/>
          <w:sz w:val="28"/>
          <w:szCs w:val="28"/>
          <w:lang w:eastAsia="en-US"/>
        </w:rPr>
        <w:t>Por lo expuesto y fundado, se</w:t>
      </w:r>
    </w:p>
    <w:p w:rsidR="006C7E5F" w:rsidRPr="002E49D8" w:rsidRDefault="006C7E5F" w:rsidP="006C7E5F">
      <w:pPr>
        <w:spacing w:line="360" w:lineRule="auto"/>
        <w:jc w:val="both"/>
        <w:rPr>
          <w:rFonts w:ascii="Century Gothic" w:hAnsi="Century Gothic" w:cs="Arial"/>
          <w:bCs/>
          <w:sz w:val="24"/>
          <w:szCs w:val="24"/>
          <w:lang w:eastAsia="en-US"/>
        </w:rPr>
      </w:pPr>
    </w:p>
    <w:p w:rsidR="006C7E5F" w:rsidRPr="00343FBE" w:rsidRDefault="006C7E5F" w:rsidP="006C7E5F">
      <w:pPr>
        <w:spacing w:line="360" w:lineRule="auto"/>
        <w:ind w:firstLine="709"/>
        <w:jc w:val="center"/>
        <w:rPr>
          <w:rFonts w:ascii="Century Gothic" w:hAnsi="Century Gothic" w:cs="Arial"/>
          <w:b/>
          <w:bCs/>
          <w:sz w:val="28"/>
          <w:szCs w:val="28"/>
        </w:rPr>
      </w:pPr>
      <w:r w:rsidRPr="00343FBE">
        <w:rPr>
          <w:rFonts w:ascii="Century Gothic" w:hAnsi="Century Gothic" w:cs="Arial"/>
          <w:b/>
          <w:bCs/>
          <w:sz w:val="28"/>
          <w:szCs w:val="28"/>
        </w:rPr>
        <w:t>R E S U E L V E:</w:t>
      </w:r>
    </w:p>
    <w:p w:rsidR="006C7E5F" w:rsidRPr="002E49D8" w:rsidRDefault="006C7E5F" w:rsidP="006C7E5F">
      <w:pPr>
        <w:spacing w:line="360" w:lineRule="auto"/>
        <w:ind w:firstLine="709"/>
        <w:jc w:val="center"/>
        <w:rPr>
          <w:rFonts w:ascii="Century Gothic" w:hAnsi="Century Gothic" w:cs="Arial"/>
          <w:b/>
          <w:bCs/>
          <w:sz w:val="24"/>
          <w:szCs w:val="24"/>
        </w:rPr>
      </w:pPr>
    </w:p>
    <w:p w:rsidR="006C7E5F" w:rsidRPr="00343FBE" w:rsidRDefault="006C7E5F" w:rsidP="006C7E5F">
      <w:pPr>
        <w:spacing w:line="360" w:lineRule="auto"/>
        <w:jc w:val="both"/>
        <w:rPr>
          <w:rFonts w:ascii="Century Gothic" w:hAnsi="Century Gothic" w:cs="Arial"/>
          <w:bCs/>
          <w:sz w:val="28"/>
          <w:szCs w:val="28"/>
        </w:rPr>
      </w:pPr>
      <w:r w:rsidRPr="00343FBE">
        <w:rPr>
          <w:rFonts w:ascii="Century Gothic" w:hAnsi="Century Gothic" w:cs="Arial"/>
          <w:b/>
          <w:bCs/>
          <w:sz w:val="28"/>
          <w:szCs w:val="28"/>
        </w:rPr>
        <w:t>PRIMERO</w:t>
      </w:r>
      <w:r w:rsidRPr="00343FBE">
        <w:rPr>
          <w:rFonts w:ascii="Century Gothic" w:hAnsi="Century Gothic" w:cs="Arial"/>
          <w:bCs/>
          <w:sz w:val="28"/>
          <w:szCs w:val="28"/>
        </w:rPr>
        <w:t>. Se acumulan los juicios para la protección de los derechos político electorales del ciudadano SUP-JDC-399/2017, SUP-JDC-445/2017 y SUP-JDC-468/2017, al diverso SUP-JDC-369/2017. En consecuencia, glósese copia certificada de los puntos resolutivos de esta resolución, a los autos de los expedientes acumulados.</w:t>
      </w:r>
    </w:p>
    <w:p w:rsidR="006C7E5F" w:rsidRPr="002E49D8" w:rsidRDefault="006C7E5F" w:rsidP="006C7E5F">
      <w:pPr>
        <w:spacing w:line="360" w:lineRule="auto"/>
        <w:jc w:val="both"/>
        <w:rPr>
          <w:rFonts w:ascii="Century Gothic" w:hAnsi="Century Gothic" w:cs="Arial"/>
          <w:bCs/>
          <w:sz w:val="24"/>
          <w:szCs w:val="24"/>
        </w:rPr>
      </w:pPr>
    </w:p>
    <w:p w:rsidR="006C7E5F" w:rsidRPr="00343FBE" w:rsidRDefault="006C7E5F" w:rsidP="006C7E5F">
      <w:pPr>
        <w:spacing w:line="360" w:lineRule="auto"/>
        <w:jc w:val="both"/>
        <w:rPr>
          <w:rFonts w:ascii="Century Gothic" w:hAnsi="Century Gothic" w:cs="Arial"/>
          <w:bCs/>
          <w:sz w:val="28"/>
          <w:szCs w:val="28"/>
        </w:rPr>
      </w:pPr>
      <w:r w:rsidRPr="00343FBE">
        <w:rPr>
          <w:rFonts w:ascii="Century Gothic" w:hAnsi="Century Gothic" w:cs="Arial"/>
          <w:b/>
          <w:bCs/>
          <w:sz w:val="28"/>
          <w:szCs w:val="28"/>
          <w:lang w:val="es-ES"/>
        </w:rPr>
        <w:t>SEGUNDO.</w:t>
      </w:r>
      <w:r w:rsidRPr="00343FBE">
        <w:rPr>
          <w:rFonts w:ascii="Century Gothic" w:hAnsi="Century Gothic" w:cs="Arial"/>
          <w:bCs/>
          <w:sz w:val="28"/>
          <w:szCs w:val="28"/>
          <w:lang w:val="es-ES"/>
        </w:rPr>
        <w:t xml:space="preserve"> </w:t>
      </w:r>
      <w:r w:rsidRPr="00343FBE">
        <w:rPr>
          <w:rFonts w:ascii="Century Gothic" w:hAnsi="Century Gothic" w:cs="Arial"/>
          <w:bCs/>
          <w:sz w:val="28"/>
          <w:szCs w:val="28"/>
        </w:rPr>
        <w:t xml:space="preserve">Se sobresee respecto de las omisiones reclamadas en el juicio para la protección de los derechos político-electorales del ciudadano, identificado con el </w:t>
      </w:r>
      <w:r w:rsidRPr="00343FBE">
        <w:rPr>
          <w:rFonts w:ascii="Century Gothic" w:hAnsi="Century Gothic" w:cs="Arial"/>
          <w:bCs/>
          <w:sz w:val="28"/>
          <w:szCs w:val="28"/>
        </w:rPr>
        <w:lastRenderedPageBreak/>
        <w:t>número de expediente SUP-JDC-445/2017, en términos del considerando QUINTO.</w:t>
      </w:r>
    </w:p>
    <w:p w:rsidR="006C7E5F" w:rsidRPr="002E49D8" w:rsidRDefault="006C7E5F" w:rsidP="006C7E5F">
      <w:pPr>
        <w:spacing w:line="360" w:lineRule="auto"/>
        <w:jc w:val="both"/>
        <w:rPr>
          <w:rFonts w:ascii="Century Gothic" w:hAnsi="Century Gothic" w:cs="Arial"/>
          <w:bCs/>
          <w:sz w:val="24"/>
          <w:szCs w:val="24"/>
        </w:rPr>
      </w:pPr>
    </w:p>
    <w:p w:rsidR="006C7E5F" w:rsidRPr="00343FBE" w:rsidRDefault="006C7E5F" w:rsidP="006C7E5F">
      <w:pPr>
        <w:spacing w:line="360" w:lineRule="auto"/>
        <w:jc w:val="both"/>
        <w:rPr>
          <w:rFonts w:ascii="Century Gothic" w:hAnsi="Century Gothic" w:cs="Arial"/>
          <w:bCs/>
          <w:sz w:val="28"/>
          <w:szCs w:val="28"/>
        </w:rPr>
      </w:pPr>
      <w:r w:rsidRPr="00343FBE">
        <w:rPr>
          <w:rFonts w:ascii="Century Gothic" w:hAnsi="Century Gothic" w:cs="Arial"/>
          <w:b/>
          <w:bCs/>
          <w:sz w:val="28"/>
          <w:szCs w:val="28"/>
        </w:rPr>
        <w:t>TERCERO</w:t>
      </w:r>
      <w:r w:rsidRPr="00343FBE">
        <w:rPr>
          <w:rFonts w:ascii="Century Gothic" w:hAnsi="Century Gothic" w:cs="Arial"/>
          <w:bCs/>
          <w:sz w:val="28"/>
          <w:szCs w:val="28"/>
        </w:rPr>
        <w:t xml:space="preserve">. Se declara la nulidad de la notificación que el tres de mayo pasado se le hizo al actor, de la resolución del recurso de queja </w:t>
      </w:r>
      <w:proofErr w:type="spellStart"/>
      <w:r w:rsidRPr="00343FBE">
        <w:rPr>
          <w:rFonts w:ascii="Century Gothic" w:hAnsi="Century Gothic" w:cs="Arial"/>
          <w:bCs/>
          <w:sz w:val="28"/>
          <w:szCs w:val="28"/>
        </w:rPr>
        <w:t>intrapartidista</w:t>
      </w:r>
      <w:proofErr w:type="spellEnd"/>
      <w:r w:rsidRPr="00343FBE">
        <w:rPr>
          <w:rFonts w:ascii="Century Gothic" w:hAnsi="Century Gothic" w:cs="Arial"/>
          <w:bCs/>
          <w:sz w:val="28"/>
          <w:szCs w:val="28"/>
        </w:rPr>
        <w:t xml:space="preserve"> identificado con la clave CNCGJYC/01/NAL/17, emitida por la Comisión Nacional de Conciliación, Garantías, Justicia y Controversias del </w:t>
      </w:r>
      <w:r w:rsidR="00A8764A" w:rsidRPr="00343FBE">
        <w:rPr>
          <w:rFonts w:ascii="Century Gothic" w:hAnsi="Century Gothic" w:cs="Arial"/>
          <w:bCs/>
          <w:sz w:val="28"/>
          <w:szCs w:val="28"/>
        </w:rPr>
        <w:t>PT</w:t>
      </w:r>
      <w:r w:rsidRPr="00343FBE">
        <w:rPr>
          <w:rFonts w:ascii="Century Gothic" w:hAnsi="Century Gothic" w:cs="Arial"/>
          <w:bCs/>
          <w:sz w:val="28"/>
          <w:szCs w:val="28"/>
        </w:rPr>
        <w:t>, el veintiocho de abril de 2017.</w:t>
      </w:r>
    </w:p>
    <w:p w:rsidR="006C7E5F" w:rsidRPr="002E49D8" w:rsidRDefault="006C7E5F" w:rsidP="006C7E5F">
      <w:pPr>
        <w:spacing w:line="360" w:lineRule="auto"/>
        <w:jc w:val="both"/>
        <w:rPr>
          <w:rFonts w:ascii="Century Gothic" w:hAnsi="Century Gothic" w:cs="Arial"/>
          <w:bCs/>
          <w:sz w:val="24"/>
          <w:szCs w:val="24"/>
        </w:rPr>
      </w:pPr>
    </w:p>
    <w:p w:rsidR="006C7E5F" w:rsidRPr="00343FBE" w:rsidRDefault="006C7E5F" w:rsidP="006C7E5F">
      <w:pPr>
        <w:spacing w:line="360" w:lineRule="auto"/>
        <w:jc w:val="both"/>
        <w:rPr>
          <w:rFonts w:ascii="Century Gothic" w:hAnsi="Century Gothic" w:cs="Arial"/>
          <w:sz w:val="28"/>
          <w:szCs w:val="28"/>
        </w:rPr>
      </w:pPr>
      <w:r w:rsidRPr="00343FBE">
        <w:rPr>
          <w:rFonts w:ascii="Century Gothic" w:hAnsi="Century Gothic" w:cs="Arial"/>
          <w:b/>
          <w:sz w:val="28"/>
          <w:szCs w:val="28"/>
        </w:rPr>
        <w:t>CUARTO</w:t>
      </w:r>
      <w:r w:rsidRPr="00343FBE">
        <w:rPr>
          <w:rFonts w:ascii="Century Gothic" w:hAnsi="Century Gothic" w:cs="Arial"/>
          <w:sz w:val="28"/>
          <w:szCs w:val="28"/>
        </w:rPr>
        <w:t xml:space="preserve">. Se confirma la resolución emitida el veintiocho de abril de dos mil diecisiete, por la Comisión Nacional de Conciliación, Garantías, Justicia y Controversias del </w:t>
      </w:r>
      <w:r w:rsidR="00A8764A" w:rsidRPr="00343FBE">
        <w:rPr>
          <w:rFonts w:ascii="Century Gothic" w:hAnsi="Century Gothic" w:cs="Arial"/>
          <w:sz w:val="28"/>
          <w:szCs w:val="28"/>
        </w:rPr>
        <w:t>PT</w:t>
      </w:r>
      <w:r w:rsidRPr="00343FBE">
        <w:rPr>
          <w:rFonts w:ascii="Century Gothic" w:hAnsi="Century Gothic" w:cs="Arial"/>
          <w:sz w:val="28"/>
          <w:szCs w:val="28"/>
        </w:rPr>
        <w:t xml:space="preserve">, al resolver el recurso de queja </w:t>
      </w:r>
      <w:proofErr w:type="spellStart"/>
      <w:r w:rsidRPr="00343FBE">
        <w:rPr>
          <w:rFonts w:ascii="Century Gothic" w:hAnsi="Century Gothic" w:cs="Arial"/>
          <w:sz w:val="28"/>
          <w:szCs w:val="28"/>
        </w:rPr>
        <w:t>intrapartidista</w:t>
      </w:r>
      <w:proofErr w:type="spellEnd"/>
      <w:r w:rsidRPr="00343FBE">
        <w:rPr>
          <w:rFonts w:ascii="Century Gothic" w:hAnsi="Century Gothic" w:cs="Arial"/>
          <w:sz w:val="28"/>
          <w:szCs w:val="28"/>
        </w:rPr>
        <w:t xml:space="preserve"> identificado con la clave CNCGJYC/01/NAL/17. </w:t>
      </w:r>
    </w:p>
    <w:p w:rsidR="006C7E5F" w:rsidRPr="002E49D8" w:rsidRDefault="006C7E5F" w:rsidP="006C7E5F">
      <w:pPr>
        <w:spacing w:line="360" w:lineRule="auto"/>
        <w:jc w:val="both"/>
        <w:rPr>
          <w:rFonts w:ascii="Century Gothic" w:hAnsi="Century Gothic" w:cs="Arial"/>
          <w:sz w:val="24"/>
          <w:szCs w:val="24"/>
        </w:rPr>
      </w:pPr>
    </w:p>
    <w:p w:rsidR="006C7E5F" w:rsidRPr="00343FBE" w:rsidRDefault="007B0870" w:rsidP="006C7E5F">
      <w:pPr>
        <w:spacing w:line="360" w:lineRule="auto"/>
        <w:jc w:val="both"/>
        <w:rPr>
          <w:rFonts w:ascii="Century Gothic" w:hAnsi="Century Gothic" w:cs="Arial"/>
          <w:sz w:val="28"/>
          <w:szCs w:val="28"/>
        </w:rPr>
      </w:pPr>
      <w:r w:rsidRPr="00343FBE">
        <w:rPr>
          <w:rFonts w:ascii="Century Gothic" w:hAnsi="Century Gothic" w:cs="Arial"/>
          <w:b/>
          <w:sz w:val="28"/>
          <w:szCs w:val="28"/>
        </w:rPr>
        <w:t>QUINTO</w:t>
      </w:r>
      <w:r w:rsidRPr="00343FBE">
        <w:rPr>
          <w:rFonts w:ascii="Century Gothic" w:hAnsi="Century Gothic" w:cs="Arial"/>
          <w:sz w:val="28"/>
          <w:szCs w:val="28"/>
        </w:rPr>
        <w:t xml:space="preserve">. </w:t>
      </w:r>
      <w:r w:rsidR="006C7E5F" w:rsidRPr="00343FBE">
        <w:rPr>
          <w:rFonts w:ascii="Century Gothic" w:hAnsi="Century Gothic" w:cs="Arial"/>
          <w:sz w:val="28"/>
          <w:szCs w:val="28"/>
        </w:rPr>
        <w:t xml:space="preserve">El </w:t>
      </w:r>
      <w:r w:rsidR="00A8764A" w:rsidRPr="00343FBE">
        <w:rPr>
          <w:rFonts w:ascii="Century Gothic" w:hAnsi="Century Gothic" w:cs="Arial"/>
          <w:sz w:val="28"/>
          <w:szCs w:val="28"/>
        </w:rPr>
        <w:t>PT</w:t>
      </w:r>
      <w:r w:rsidR="006C7E5F" w:rsidRPr="00343FBE">
        <w:rPr>
          <w:rFonts w:ascii="Century Gothic" w:hAnsi="Century Gothic" w:cs="Arial"/>
          <w:sz w:val="28"/>
          <w:szCs w:val="28"/>
        </w:rPr>
        <w:t xml:space="preserve"> deberá cumplir con la presente ejecutoria, en los términos precisados en la parte </w:t>
      </w:r>
      <w:r w:rsidR="007F7A04" w:rsidRPr="00343FBE">
        <w:rPr>
          <w:rFonts w:ascii="Century Gothic" w:hAnsi="Century Gothic" w:cs="Arial"/>
          <w:sz w:val="28"/>
          <w:szCs w:val="28"/>
        </w:rPr>
        <w:t>final del último considerando</w:t>
      </w:r>
      <w:r w:rsidR="006C7E5F" w:rsidRPr="00343FBE">
        <w:rPr>
          <w:rFonts w:ascii="Century Gothic" w:hAnsi="Century Gothic" w:cs="Arial"/>
          <w:sz w:val="28"/>
          <w:szCs w:val="28"/>
        </w:rPr>
        <w:t>.</w:t>
      </w:r>
    </w:p>
    <w:p w:rsidR="006C7E5F" w:rsidRPr="002E49D8" w:rsidRDefault="006C7E5F" w:rsidP="006C7E5F">
      <w:pPr>
        <w:spacing w:line="360" w:lineRule="auto"/>
        <w:jc w:val="both"/>
        <w:rPr>
          <w:rFonts w:ascii="Century Gothic" w:hAnsi="Century Gothic" w:cs="Arial"/>
          <w:sz w:val="24"/>
          <w:szCs w:val="24"/>
        </w:rPr>
      </w:pPr>
    </w:p>
    <w:p w:rsidR="000C526D" w:rsidRPr="00343FBE" w:rsidRDefault="000C526D" w:rsidP="003D330B">
      <w:pPr>
        <w:spacing w:line="360" w:lineRule="auto"/>
        <w:jc w:val="both"/>
        <w:rPr>
          <w:rFonts w:ascii="Century Gothic" w:hAnsi="Century Gothic" w:cs="Arial"/>
          <w:bCs/>
          <w:sz w:val="28"/>
          <w:szCs w:val="28"/>
        </w:rPr>
      </w:pPr>
      <w:r w:rsidRPr="00343FBE">
        <w:rPr>
          <w:rFonts w:ascii="Century Gothic" w:hAnsi="Century Gothic" w:cs="Arial"/>
          <w:b/>
          <w:bCs/>
          <w:sz w:val="28"/>
          <w:szCs w:val="28"/>
        </w:rPr>
        <w:t>Notifíquese</w:t>
      </w:r>
      <w:r w:rsidRPr="00343FBE">
        <w:rPr>
          <w:rFonts w:ascii="Century Gothic" w:hAnsi="Century Gothic" w:cs="Arial"/>
          <w:bCs/>
          <w:sz w:val="28"/>
          <w:szCs w:val="28"/>
        </w:rPr>
        <w:t xml:space="preserve"> como en derecho corresponda. </w:t>
      </w:r>
    </w:p>
    <w:p w:rsidR="004B0EBE" w:rsidRPr="002E49D8" w:rsidRDefault="004B0EBE" w:rsidP="003D330B">
      <w:pPr>
        <w:spacing w:line="360" w:lineRule="auto"/>
        <w:jc w:val="both"/>
        <w:rPr>
          <w:rFonts w:ascii="Century Gothic" w:hAnsi="Century Gothic" w:cs="Arial"/>
          <w:bCs/>
          <w:sz w:val="24"/>
          <w:szCs w:val="24"/>
        </w:rPr>
      </w:pPr>
    </w:p>
    <w:p w:rsidR="00091FCE" w:rsidRPr="00343FBE" w:rsidRDefault="00091FCE" w:rsidP="003D330B">
      <w:pPr>
        <w:spacing w:line="360" w:lineRule="auto"/>
        <w:jc w:val="both"/>
        <w:rPr>
          <w:rFonts w:ascii="Century Gothic" w:hAnsi="Century Gothic" w:cs="Arial"/>
          <w:bCs/>
          <w:sz w:val="28"/>
          <w:szCs w:val="28"/>
        </w:rPr>
      </w:pPr>
      <w:r w:rsidRPr="00343FBE">
        <w:rPr>
          <w:rFonts w:ascii="Century Gothic" w:hAnsi="Century Gothic" w:cs="Arial"/>
          <w:bCs/>
          <w:sz w:val="28"/>
          <w:szCs w:val="28"/>
        </w:rPr>
        <w:t xml:space="preserve">Devuélvanse los documentos </w:t>
      </w:r>
      <w:r w:rsidR="00E51CF4" w:rsidRPr="00343FBE">
        <w:rPr>
          <w:rFonts w:ascii="Century Gothic" w:hAnsi="Century Gothic" w:cs="Arial"/>
          <w:bCs/>
          <w:sz w:val="28"/>
          <w:szCs w:val="28"/>
        </w:rPr>
        <w:t xml:space="preserve">atinentes </w:t>
      </w:r>
      <w:r w:rsidRPr="00343FBE">
        <w:rPr>
          <w:rFonts w:ascii="Century Gothic" w:hAnsi="Century Gothic" w:cs="Arial"/>
          <w:bCs/>
          <w:sz w:val="28"/>
          <w:szCs w:val="28"/>
        </w:rPr>
        <w:t>y, en su oportunidad, archívese este expediente como asunto concluido.</w:t>
      </w:r>
    </w:p>
    <w:p w:rsidR="00091FCE" w:rsidRPr="00343FBE" w:rsidRDefault="00091FCE" w:rsidP="00091FCE">
      <w:pPr>
        <w:spacing w:line="360" w:lineRule="auto"/>
        <w:ind w:firstLine="709"/>
        <w:jc w:val="both"/>
        <w:rPr>
          <w:rFonts w:ascii="Century Gothic" w:hAnsi="Century Gothic" w:cs="Arial"/>
          <w:bCs/>
          <w:sz w:val="32"/>
          <w:szCs w:val="32"/>
        </w:rPr>
      </w:pPr>
    </w:p>
    <w:p w:rsidR="00D6663B" w:rsidRPr="00343FBE" w:rsidRDefault="00882481" w:rsidP="003D330B">
      <w:pPr>
        <w:spacing w:line="360" w:lineRule="auto"/>
        <w:jc w:val="both"/>
        <w:rPr>
          <w:rFonts w:ascii="Century Gothic" w:hAnsi="Century Gothic" w:cs="Arial"/>
          <w:bCs/>
          <w:sz w:val="28"/>
          <w:szCs w:val="28"/>
        </w:rPr>
      </w:pPr>
      <w:r w:rsidRPr="00343FBE">
        <w:rPr>
          <w:rFonts w:ascii="Century Gothic" w:eastAsia="Times New Roman" w:hAnsi="Century Gothic" w:cs="Arial"/>
          <w:bCs/>
          <w:sz w:val="28"/>
          <w:szCs w:val="28"/>
          <w:lang w:val="es-ES" w:eastAsia="es-ES"/>
        </w:rPr>
        <w:lastRenderedPageBreak/>
        <w:t xml:space="preserve">Así lo </w:t>
      </w:r>
      <w:r w:rsidR="00091FCE" w:rsidRPr="00343FBE">
        <w:rPr>
          <w:rFonts w:ascii="Century Gothic" w:eastAsia="Times New Roman" w:hAnsi="Century Gothic" w:cs="Arial"/>
          <w:bCs/>
          <w:sz w:val="28"/>
          <w:szCs w:val="28"/>
          <w:lang w:val="es-ES" w:eastAsia="es-ES"/>
        </w:rPr>
        <w:t>resolvieron</w:t>
      </w:r>
      <w:r w:rsidRPr="00343FBE">
        <w:rPr>
          <w:rFonts w:ascii="Century Gothic" w:eastAsia="Times New Roman" w:hAnsi="Century Gothic" w:cs="Arial"/>
          <w:bCs/>
          <w:sz w:val="28"/>
          <w:szCs w:val="28"/>
          <w:lang w:val="es-ES" w:eastAsia="es-ES"/>
        </w:rPr>
        <w:t>, por</w:t>
      </w:r>
      <w:r w:rsidR="00D3247D" w:rsidRPr="00343FBE">
        <w:rPr>
          <w:rFonts w:ascii="Century Gothic" w:eastAsia="Times New Roman" w:hAnsi="Century Gothic" w:cs="Arial"/>
          <w:bCs/>
          <w:sz w:val="28"/>
          <w:szCs w:val="28"/>
          <w:lang w:val="es-ES" w:eastAsia="es-ES"/>
        </w:rPr>
        <w:t xml:space="preserve"> </w:t>
      </w:r>
      <w:r w:rsidR="00080AC1" w:rsidRPr="00343FBE">
        <w:rPr>
          <w:rFonts w:ascii="Century Gothic" w:eastAsia="Times New Roman" w:hAnsi="Century Gothic" w:cs="Arial"/>
          <w:bCs/>
          <w:sz w:val="28"/>
          <w:szCs w:val="28"/>
          <w:lang w:val="es-ES" w:eastAsia="es-ES"/>
        </w:rPr>
        <w:t xml:space="preserve">unanimidad </w:t>
      </w:r>
      <w:r w:rsidRPr="00343FBE">
        <w:rPr>
          <w:rFonts w:ascii="Century Gothic" w:eastAsia="Times New Roman" w:hAnsi="Century Gothic" w:cs="Arial"/>
          <w:bCs/>
          <w:sz w:val="28"/>
          <w:szCs w:val="28"/>
          <w:lang w:val="es-ES" w:eastAsia="es-ES"/>
        </w:rPr>
        <w:t xml:space="preserve">las Magistradas y los Magistrados que integran la Sala Superior del </w:t>
      </w:r>
      <w:r w:rsidRPr="00343FBE">
        <w:rPr>
          <w:rFonts w:ascii="Century Gothic" w:hAnsi="Century Gothic" w:cs="Arial"/>
          <w:bCs/>
          <w:sz w:val="28"/>
          <w:szCs w:val="28"/>
        </w:rPr>
        <w:t>Tribunal Electoral del Poder Judicial de la Federación</w:t>
      </w:r>
      <w:r w:rsidR="00152199" w:rsidRPr="00343FBE">
        <w:rPr>
          <w:rFonts w:ascii="Century Gothic" w:hAnsi="Century Gothic" w:cs="Arial"/>
          <w:bCs/>
          <w:sz w:val="28"/>
          <w:szCs w:val="28"/>
        </w:rPr>
        <w:t>;</w:t>
      </w:r>
      <w:r w:rsidR="00091FCE" w:rsidRPr="00343FBE">
        <w:rPr>
          <w:rFonts w:ascii="Century Gothic" w:hAnsi="Century Gothic" w:cs="Arial"/>
          <w:bCs/>
          <w:sz w:val="28"/>
          <w:szCs w:val="28"/>
        </w:rPr>
        <w:t xml:space="preserve"> la Secretaria General de Acuerdos autoriza y da fe.</w:t>
      </w:r>
    </w:p>
    <w:p w:rsidR="00C84C3F" w:rsidRPr="00343FBE" w:rsidRDefault="00C84C3F" w:rsidP="003D330B">
      <w:pPr>
        <w:spacing w:line="360" w:lineRule="auto"/>
        <w:jc w:val="both"/>
        <w:rPr>
          <w:rFonts w:ascii="Century Gothic" w:hAnsi="Century Gothic" w:cs="Arial"/>
          <w:bCs/>
          <w:sz w:val="28"/>
          <w:szCs w:val="28"/>
        </w:rPr>
      </w:pPr>
    </w:p>
    <w:tbl>
      <w:tblPr>
        <w:tblW w:w="8364" w:type="dxa"/>
        <w:tblLook w:val="04A0" w:firstRow="1" w:lastRow="0" w:firstColumn="1" w:lastColumn="0" w:noHBand="0" w:noVBand="1"/>
      </w:tblPr>
      <w:tblGrid>
        <w:gridCol w:w="4678"/>
        <w:gridCol w:w="3686"/>
      </w:tblGrid>
      <w:tr w:rsidR="00C84C3F" w:rsidRPr="00343FBE" w:rsidTr="009643E8">
        <w:trPr>
          <w:trHeight w:val="2405"/>
        </w:trPr>
        <w:tc>
          <w:tcPr>
            <w:tcW w:w="8364" w:type="dxa"/>
            <w:gridSpan w:val="2"/>
            <w:shd w:val="clear" w:color="auto" w:fill="auto"/>
          </w:tcPr>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MAGISTRADA PRESIDENTA</w:t>
            </w: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JANINE M. OTÁLORA MALASSIS</w:t>
            </w: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tc>
      </w:tr>
      <w:tr w:rsidR="00C84C3F" w:rsidRPr="00343FBE" w:rsidTr="009643E8">
        <w:tc>
          <w:tcPr>
            <w:tcW w:w="4678" w:type="dxa"/>
            <w:shd w:val="clear" w:color="auto" w:fill="auto"/>
          </w:tcPr>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MAGISTRADO</w:t>
            </w: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shd w:val="clear" w:color="auto" w:fill="FFFFFF"/>
              <w:spacing w:line="320" w:lineRule="atLeast"/>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FELIPE DE LA MATA PIZAÑA</w:t>
            </w: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tc>
        <w:tc>
          <w:tcPr>
            <w:tcW w:w="3686" w:type="dxa"/>
            <w:shd w:val="clear" w:color="auto" w:fill="auto"/>
          </w:tcPr>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MAGISTRADO</w:t>
            </w: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 xml:space="preserve">FELIPE ALFREDO </w:t>
            </w:r>
          </w:p>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FUENTES BARRERA</w:t>
            </w: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tc>
      </w:tr>
      <w:tr w:rsidR="00C84C3F" w:rsidRPr="00343FBE" w:rsidTr="009643E8">
        <w:tc>
          <w:tcPr>
            <w:tcW w:w="4678" w:type="dxa"/>
            <w:shd w:val="clear" w:color="auto" w:fill="auto"/>
          </w:tcPr>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MAGISTRADO</w:t>
            </w: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INDALFER INFANTE GONZALES</w:t>
            </w: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tc>
        <w:tc>
          <w:tcPr>
            <w:tcW w:w="3686" w:type="dxa"/>
            <w:shd w:val="clear" w:color="auto" w:fill="auto"/>
          </w:tcPr>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MAGISTRADO</w:t>
            </w: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REYES RODRÍGUEZ MONDRAGÓN</w:t>
            </w: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tc>
        <w:bookmarkStart w:id="0" w:name="_GoBack"/>
        <w:bookmarkEnd w:id="0"/>
      </w:tr>
      <w:tr w:rsidR="00C84C3F" w:rsidRPr="00343FBE" w:rsidTr="009643E8">
        <w:tc>
          <w:tcPr>
            <w:tcW w:w="4678" w:type="dxa"/>
            <w:shd w:val="clear" w:color="auto" w:fill="auto"/>
          </w:tcPr>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MAGISTRADA</w:t>
            </w: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MÓNICA ARALÍ SOTO FREGOSO</w:t>
            </w: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tc>
        <w:tc>
          <w:tcPr>
            <w:tcW w:w="3686" w:type="dxa"/>
            <w:shd w:val="clear" w:color="auto" w:fill="auto"/>
          </w:tcPr>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MAGISTRADO</w:t>
            </w: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 xml:space="preserve">JOSÉ LUIS VARGAS </w:t>
            </w:r>
          </w:p>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VALDEZ</w:t>
            </w:r>
          </w:p>
          <w:p w:rsidR="00C84C3F" w:rsidRPr="00343FBE" w:rsidRDefault="00C84C3F" w:rsidP="00C84C3F">
            <w:pPr>
              <w:jc w:val="center"/>
              <w:rPr>
                <w:rFonts w:ascii="Century Gothic" w:eastAsia="Times New Roman" w:hAnsi="Century Gothic" w:cs="Arial"/>
                <w:b/>
                <w:sz w:val="28"/>
                <w:szCs w:val="28"/>
              </w:rPr>
            </w:pPr>
          </w:p>
        </w:tc>
      </w:tr>
      <w:tr w:rsidR="00C84C3F" w:rsidRPr="00343FBE" w:rsidTr="009643E8">
        <w:tc>
          <w:tcPr>
            <w:tcW w:w="8364" w:type="dxa"/>
            <w:gridSpan w:val="2"/>
            <w:shd w:val="clear" w:color="auto" w:fill="auto"/>
          </w:tcPr>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SECRETARIA GENERAL DE ACUERDOS</w:t>
            </w: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p>
          <w:p w:rsidR="00C84C3F" w:rsidRPr="00343FBE" w:rsidRDefault="00C84C3F" w:rsidP="00C84C3F">
            <w:pPr>
              <w:jc w:val="center"/>
              <w:rPr>
                <w:rFonts w:ascii="Century Gothic" w:eastAsia="Times New Roman" w:hAnsi="Century Gothic" w:cs="Arial"/>
                <w:b/>
                <w:sz w:val="28"/>
                <w:szCs w:val="28"/>
              </w:rPr>
            </w:pPr>
            <w:r w:rsidRPr="00343FBE">
              <w:rPr>
                <w:rFonts w:ascii="Century Gothic" w:eastAsia="Times New Roman" w:hAnsi="Century Gothic" w:cs="Arial"/>
                <w:b/>
                <w:sz w:val="28"/>
                <w:szCs w:val="28"/>
              </w:rPr>
              <w:t>MARÍA CECILIA SÁNCHEZ BARREIRO</w:t>
            </w:r>
          </w:p>
        </w:tc>
      </w:tr>
    </w:tbl>
    <w:p w:rsidR="00C84C3F" w:rsidRPr="00343FBE" w:rsidRDefault="00C84C3F" w:rsidP="00C84C3F">
      <w:pPr>
        <w:rPr>
          <w:rFonts w:ascii="Times New Roman" w:eastAsia="Times New Roman" w:hAnsi="Times New Roman"/>
          <w:sz w:val="24"/>
          <w:szCs w:val="24"/>
        </w:rPr>
      </w:pPr>
    </w:p>
    <w:p w:rsidR="00D6663B" w:rsidRPr="00343FBE" w:rsidRDefault="00D6663B" w:rsidP="00091FCE">
      <w:pPr>
        <w:spacing w:line="360" w:lineRule="auto"/>
        <w:ind w:firstLine="709"/>
        <w:jc w:val="both"/>
        <w:rPr>
          <w:rFonts w:ascii="Century Gothic" w:hAnsi="Century Gothic" w:cs="Arial"/>
          <w:bCs/>
          <w:sz w:val="28"/>
          <w:szCs w:val="28"/>
        </w:rPr>
      </w:pPr>
    </w:p>
    <w:p w:rsidR="00C84C3F" w:rsidRPr="00343FBE" w:rsidRDefault="00C84C3F" w:rsidP="00091FCE">
      <w:pPr>
        <w:spacing w:line="360" w:lineRule="auto"/>
        <w:ind w:firstLine="709"/>
        <w:jc w:val="both"/>
        <w:rPr>
          <w:rFonts w:ascii="Century Gothic" w:hAnsi="Century Gothic" w:cs="Arial"/>
          <w:bCs/>
          <w:sz w:val="28"/>
          <w:szCs w:val="28"/>
        </w:rPr>
      </w:pPr>
    </w:p>
    <w:sectPr w:rsidR="00C84C3F" w:rsidRPr="00343FBE" w:rsidSect="00D93EF7">
      <w:headerReference w:type="even" r:id="rId15"/>
      <w:headerReference w:type="default" r:id="rId16"/>
      <w:footerReference w:type="even" r:id="rId17"/>
      <w:footerReference w:type="default" r:id="rId18"/>
      <w:pgSz w:w="12242" w:h="18722" w:code="14"/>
      <w:pgMar w:top="3119" w:right="1418" w:bottom="1701" w:left="2835" w:header="2268"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9D8" w:rsidRDefault="002E49D8" w:rsidP="000C526D">
      <w:r>
        <w:separator/>
      </w:r>
    </w:p>
  </w:endnote>
  <w:endnote w:type="continuationSeparator" w:id="0">
    <w:p w:rsidR="002E49D8" w:rsidRDefault="002E49D8" w:rsidP="000C5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9D8" w:rsidRPr="00C8174F" w:rsidRDefault="002E49D8" w:rsidP="00EF0B81">
    <w:pPr>
      <w:pStyle w:val="Piedepgina"/>
      <w:framePr w:wrap="around" w:vAnchor="text" w:hAnchor="page" w:x="1671" w:y="-54"/>
      <w:jc w:val="center"/>
      <w:rPr>
        <w:rStyle w:val="Nmerodepgina"/>
        <w:rFonts w:cs="Arial"/>
      </w:rPr>
    </w:pPr>
    <w:r w:rsidRPr="00C8174F">
      <w:rPr>
        <w:rStyle w:val="Nmerodepgina"/>
        <w:rFonts w:cs="Arial"/>
      </w:rPr>
      <w:fldChar w:fldCharType="begin"/>
    </w:r>
    <w:r w:rsidRPr="00C8174F">
      <w:rPr>
        <w:rStyle w:val="Nmerodepgina"/>
        <w:rFonts w:cs="Arial"/>
      </w:rPr>
      <w:instrText xml:space="preserve">PAGE  </w:instrText>
    </w:r>
    <w:r w:rsidRPr="00C8174F">
      <w:rPr>
        <w:rStyle w:val="Nmerodepgina"/>
        <w:rFonts w:cs="Arial"/>
      </w:rPr>
      <w:fldChar w:fldCharType="separate"/>
    </w:r>
    <w:r>
      <w:rPr>
        <w:rStyle w:val="Nmerodepgina"/>
        <w:rFonts w:cs="Arial"/>
        <w:noProof/>
      </w:rPr>
      <w:t>2</w:t>
    </w:r>
    <w:r w:rsidRPr="00C8174F">
      <w:rPr>
        <w:rStyle w:val="Nmerodepgina"/>
        <w:rFonts w:cs="Arial"/>
      </w:rPr>
      <w:fldChar w:fldCharType="end"/>
    </w:r>
  </w:p>
  <w:p w:rsidR="002E49D8" w:rsidRPr="004F7299" w:rsidRDefault="002E49D8" w:rsidP="00EF0B81">
    <w:pPr>
      <w:pStyle w:val="Piedepgina"/>
      <w:ind w:right="360"/>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9D8" w:rsidRPr="000B3A68" w:rsidRDefault="002E49D8" w:rsidP="00EF0B81">
    <w:pPr>
      <w:pStyle w:val="Piedepgina"/>
      <w:framePr w:wrap="around" w:vAnchor="text" w:hAnchor="margin" w:xAlign="right" w:y="1"/>
      <w:rPr>
        <w:rStyle w:val="Nmerodepgina"/>
        <w:rFonts w:cs="Arial"/>
        <w:b/>
      </w:rPr>
    </w:pPr>
    <w:r w:rsidRPr="000B3A68">
      <w:rPr>
        <w:rStyle w:val="Nmerodepgina"/>
        <w:rFonts w:cs="Arial"/>
        <w:b/>
      </w:rPr>
      <w:fldChar w:fldCharType="begin"/>
    </w:r>
    <w:r w:rsidRPr="000B3A68">
      <w:rPr>
        <w:rStyle w:val="Nmerodepgina"/>
        <w:rFonts w:cs="Arial"/>
        <w:b/>
      </w:rPr>
      <w:instrText xml:space="preserve">PAGE  </w:instrText>
    </w:r>
    <w:r w:rsidRPr="000B3A68">
      <w:rPr>
        <w:rStyle w:val="Nmerodepgina"/>
        <w:rFonts w:cs="Arial"/>
        <w:b/>
      </w:rPr>
      <w:fldChar w:fldCharType="separate"/>
    </w:r>
    <w:r w:rsidR="009913E6">
      <w:rPr>
        <w:rStyle w:val="Nmerodepgina"/>
        <w:rFonts w:cs="Arial"/>
        <w:b/>
        <w:noProof/>
      </w:rPr>
      <w:t>108</w:t>
    </w:r>
    <w:r w:rsidRPr="000B3A68">
      <w:rPr>
        <w:rStyle w:val="Nmerodepgina"/>
        <w:rFonts w:cs="Arial"/>
        <w:b/>
      </w:rPr>
      <w:fldChar w:fldCharType="end"/>
    </w:r>
  </w:p>
  <w:p w:rsidR="002E49D8" w:rsidRPr="004F7299" w:rsidRDefault="002E49D8" w:rsidP="00EF0B81">
    <w:pPr>
      <w:pStyle w:val="Piedepgina"/>
      <w:ind w:right="360"/>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9D8" w:rsidRDefault="002E49D8" w:rsidP="000C526D">
      <w:r>
        <w:separator/>
      </w:r>
    </w:p>
  </w:footnote>
  <w:footnote w:type="continuationSeparator" w:id="0">
    <w:p w:rsidR="002E49D8" w:rsidRDefault="002E49D8" w:rsidP="000C526D">
      <w:r>
        <w:continuationSeparator/>
      </w:r>
    </w:p>
  </w:footnote>
  <w:footnote w:id="1">
    <w:p w:rsidR="002E49D8" w:rsidRPr="007F32AD" w:rsidRDefault="002E49D8" w:rsidP="007F32AD">
      <w:pPr>
        <w:pStyle w:val="Textonotapie"/>
        <w:jc w:val="both"/>
        <w:rPr>
          <w:rFonts w:ascii="Century Gothic" w:hAnsi="Century Gothic"/>
        </w:rPr>
      </w:pPr>
      <w:r w:rsidRPr="007F32AD">
        <w:rPr>
          <w:rStyle w:val="Refdenotaalpie"/>
          <w:rFonts w:ascii="Century Gothic" w:hAnsi="Century Gothic"/>
        </w:rPr>
        <w:footnoteRef/>
      </w:r>
      <w:r w:rsidRPr="007F32AD">
        <w:rPr>
          <w:rFonts w:ascii="Century Gothic" w:hAnsi="Century Gothic"/>
        </w:rPr>
        <w:t xml:space="preserve"> </w:t>
      </w:r>
      <w:r>
        <w:rPr>
          <w:rFonts w:ascii="Century Gothic" w:hAnsi="Century Gothic"/>
        </w:rPr>
        <w:t xml:space="preserve">En lo sucesivo el PT. </w:t>
      </w:r>
    </w:p>
  </w:footnote>
  <w:footnote w:id="2">
    <w:p w:rsidR="002E49D8" w:rsidRPr="00412389" w:rsidRDefault="002E49D8" w:rsidP="00694FEB">
      <w:pPr>
        <w:pStyle w:val="Textonotapie"/>
        <w:jc w:val="both"/>
        <w:rPr>
          <w:rFonts w:ascii="Century Gothic" w:hAnsi="Century Gothic"/>
        </w:rPr>
      </w:pPr>
      <w:r w:rsidRPr="00412389">
        <w:rPr>
          <w:rStyle w:val="Refdenotaalpie"/>
          <w:rFonts w:ascii="Century Gothic" w:hAnsi="Century Gothic"/>
        </w:rPr>
        <w:footnoteRef/>
      </w:r>
      <w:r w:rsidRPr="00412389">
        <w:rPr>
          <w:rFonts w:ascii="Century Gothic" w:hAnsi="Century Gothic"/>
        </w:rPr>
        <w:t xml:space="preserve"> </w:t>
      </w:r>
      <w:r>
        <w:rPr>
          <w:rFonts w:ascii="Century Gothic" w:hAnsi="Century Gothic"/>
        </w:rPr>
        <w:t>En lo sucesivo la Comisión.</w:t>
      </w:r>
    </w:p>
  </w:footnote>
  <w:footnote w:id="3">
    <w:p w:rsidR="002E49D8" w:rsidRPr="00C60CF7" w:rsidRDefault="002E49D8" w:rsidP="00B85A16">
      <w:pPr>
        <w:pStyle w:val="Textonotapie"/>
        <w:jc w:val="both"/>
        <w:rPr>
          <w:rFonts w:ascii="Century Gothic" w:hAnsi="Century Gothic"/>
        </w:rPr>
      </w:pPr>
      <w:r w:rsidRPr="00C60CF7">
        <w:rPr>
          <w:rStyle w:val="Refdenotaalpie"/>
          <w:rFonts w:ascii="Century Gothic" w:hAnsi="Century Gothic"/>
        </w:rPr>
        <w:footnoteRef/>
      </w:r>
      <w:r w:rsidRPr="00C60CF7">
        <w:rPr>
          <w:rFonts w:ascii="Century Gothic" w:hAnsi="Century Gothic"/>
        </w:rPr>
        <w:t xml:space="preserve"> Lo que equivale al 67% de sus integrantes, toda vez que tal órgano lo integran 125 personas.</w:t>
      </w:r>
    </w:p>
  </w:footnote>
  <w:footnote w:id="4">
    <w:p w:rsidR="002E49D8" w:rsidRPr="00980B93" w:rsidRDefault="002E49D8" w:rsidP="00980B93">
      <w:pPr>
        <w:pStyle w:val="Textonotapie"/>
        <w:jc w:val="both"/>
        <w:rPr>
          <w:rFonts w:ascii="Century Gothic" w:hAnsi="Century Gothic"/>
        </w:rPr>
      </w:pPr>
      <w:r w:rsidRPr="00980B93">
        <w:rPr>
          <w:rStyle w:val="Refdenotaalpie"/>
          <w:rFonts w:ascii="Century Gothic" w:hAnsi="Century Gothic"/>
        </w:rPr>
        <w:footnoteRef/>
      </w:r>
      <w:r w:rsidRPr="00980B93">
        <w:rPr>
          <w:rFonts w:ascii="Century Gothic" w:hAnsi="Century Gothic"/>
        </w:rPr>
        <w:t xml:space="preserve"> Artículo 37 Bis. Se convocará y notificará a las reuniones a los integrantes de la Comisión Ejecutiva Nacional, por uno o más de los siguientes medios: se dirigirá a la sede Estatal del </w:t>
      </w:r>
      <w:r>
        <w:rPr>
          <w:rFonts w:ascii="Century Gothic" w:hAnsi="Century Gothic"/>
        </w:rPr>
        <w:t>PT</w:t>
      </w:r>
      <w:r w:rsidRPr="00980B93">
        <w:rPr>
          <w:rFonts w:ascii="Century Gothic" w:hAnsi="Century Gothic"/>
        </w:rPr>
        <w:t xml:space="preserve">, en la entidad que corresponda, por vía telefónica, vía fax, telégrafo, correo certificado, página web oficial del </w:t>
      </w:r>
      <w:r>
        <w:rPr>
          <w:rFonts w:ascii="Century Gothic" w:hAnsi="Century Gothic"/>
        </w:rPr>
        <w:t>PT</w:t>
      </w:r>
      <w:r w:rsidRPr="00980B93">
        <w:rPr>
          <w:rFonts w:ascii="Century Gothic" w:hAnsi="Century Gothic"/>
        </w:rPr>
        <w:t>, publicación de la convocatoria en el periódico oficial del Partido: "Unidad Nacional", publicación de la convocatoria en un medio impreso de circulación nacional, por medio de la dirección o correo electrónico que cada integrante de la Comisión Ejecutiva Nacional tenga asignado. Una vez realizada la notificación de la convocatoria de que se trata, por cualquiera de las vías señaladas con antelación, surtirá sus efectos legales.</w:t>
      </w:r>
    </w:p>
    <w:p w:rsidR="002E49D8" w:rsidRPr="00980B93" w:rsidRDefault="002E49D8" w:rsidP="00980B93">
      <w:pPr>
        <w:pStyle w:val="Textonotapie"/>
        <w:jc w:val="both"/>
        <w:rPr>
          <w:rFonts w:ascii="Century Gothic" w:hAnsi="Century Gothic"/>
        </w:rPr>
      </w:pPr>
    </w:p>
    <w:p w:rsidR="002E49D8" w:rsidRPr="00980B93" w:rsidRDefault="002E49D8" w:rsidP="00980B93">
      <w:pPr>
        <w:pStyle w:val="Textonotapie"/>
        <w:jc w:val="both"/>
        <w:rPr>
          <w:rFonts w:ascii="Century Gothic" w:hAnsi="Century Gothic"/>
        </w:rPr>
      </w:pPr>
      <w:r w:rsidRPr="00980B93">
        <w:rPr>
          <w:rFonts w:ascii="Century Gothic" w:hAnsi="Century Gothic"/>
        </w:rPr>
        <w:t>Artículo 37 Bis 1. La Comisión Ejecutiva Nacional designará, un Secretario Técnico que tendrá</w:t>
      </w:r>
    </w:p>
  </w:footnote>
  <w:footnote w:id="5">
    <w:p w:rsidR="002E49D8" w:rsidRPr="004301F5" w:rsidRDefault="002E49D8" w:rsidP="004301F5">
      <w:pPr>
        <w:pStyle w:val="Textonotapie"/>
        <w:jc w:val="both"/>
        <w:rPr>
          <w:rFonts w:ascii="Century Gothic" w:hAnsi="Century Gothic"/>
        </w:rPr>
      </w:pPr>
      <w:r w:rsidRPr="004301F5">
        <w:rPr>
          <w:rStyle w:val="Refdenotaalpie"/>
          <w:rFonts w:ascii="Century Gothic" w:hAnsi="Century Gothic"/>
        </w:rPr>
        <w:footnoteRef/>
      </w:r>
      <w:r w:rsidRPr="004301F5">
        <w:rPr>
          <w:rFonts w:ascii="Century Gothic" w:hAnsi="Century Gothic"/>
        </w:rPr>
        <w:t xml:space="preserve"> </w:t>
      </w:r>
      <w:r>
        <w:rPr>
          <w:rFonts w:ascii="Century Gothic" w:hAnsi="Century Gothic"/>
        </w:rPr>
        <w:t>Motivo de inconformidad hecho valer sólo el SUP-JDC-369/2017.</w:t>
      </w:r>
    </w:p>
  </w:footnote>
  <w:footnote w:id="6">
    <w:p w:rsidR="002E49D8" w:rsidRPr="002F1AC6" w:rsidRDefault="002E49D8" w:rsidP="00834BAC">
      <w:pPr>
        <w:jc w:val="both"/>
        <w:rPr>
          <w:rFonts w:ascii="Century Gothic" w:hAnsi="Century Gothic" w:cs="Arial"/>
          <w:color w:val="000000" w:themeColor="text1"/>
        </w:rPr>
      </w:pPr>
      <w:r w:rsidRPr="002F1AC6">
        <w:rPr>
          <w:rStyle w:val="Refdenotaalpie"/>
          <w:rFonts w:ascii="Century Gothic" w:hAnsi="Century Gothic"/>
        </w:rPr>
        <w:footnoteRef/>
      </w:r>
      <w:r w:rsidRPr="002F1AC6">
        <w:rPr>
          <w:rFonts w:ascii="Century Gothic" w:hAnsi="Century Gothic"/>
        </w:rPr>
        <w:t xml:space="preserve"> </w:t>
      </w:r>
      <w:r w:rsidRPr="002F1AC6">
        <w:rPr>
          <w:rFonts w:ascii="Century Gothic" w:hAnsi="Century Gothic" w:cs="Arial"/>
          <w:i/>
          <w:color w:val="000000" w:themeColor="text1"/>
        </w:rPr>
        <w:t xml:space="preserve">Cfr.: </w:t>
      </w:r>
      <w:r w:rsidRPr="002F1AC6">
        <w:rPr>
          <w:rFonts w:ascii="Century Gothic" w:hAnsi="Century Gothic" w:cs="Arial"/>
          <w:color w:val="000000" w:themeColor="text1"/>
        </w:rPr>
        <w:t>Justicia Electoral. Revista del Tribunal Electoral del Poder Judicial de la Federación, Suplemento 3, Año 2000, p 17.</w:t>
      </w:r>
    </w:p>
  </w:footnote>
  <w:footnote w:id="7">
    <w:p w:rsidR="002E49D8" w:rsidRPr="002F1AC6" w:rsidRDefault="002E49D8" w:rsidP="00834BAC">
      <w:pPr>
        <w:pStyle w:val="Textonotapie"/>
        <w:jc w:val="both"/>
        <w:rPr>
          <w:rFonts w:ascii="Century Gothic" w:hAnsi="Century Gothic" w:cs="Arial"/>
        </w:rPr>
      </w:pPr>
      <w:r w:rsidRPr="002F1AC6">
        <w:rPr>
          <w:rStyle w:val="Refdenotaalpie"/>
          <w:rFonts w:ascii="Century Gothic" w:hAnsi="Century Gothic" w:cs="Arial"/>
        </w:rPr>
        <w:footnoteRef/>
      </w:r>
      <w:r w:rsidRPr="002F1AC6">
        <w:rPr>
          <w:rFonts w:ascii="Century Gothic" w:hAnsi="Century Gothic" w:cs="Arial"/>
        </w:rPr>
        <w:t xml:space="preserve"> </w:t>
      </w:r>
      <w:r w:rsidRPr="002F1AC6">
        <w:rPr>
          <w:rFonts w:ascii="Century Gothic" w:hAnsi="Century Gothic" w:cs="Arial"/>
          <w:i/>
        </w:rPr>
        <w:t>Cfr.:</w:t>
      </w:r>
      <w:r w:rsidRPr="002F1AC6">
        <w:rPr>
          <w:rFonts w:ascii="Century Gothic" w:hAnsi="Century Gothic" w:cs="Arial"/>
        </w:rPr>
        <w:t xml:space="preserve"> Tesis P./J. 14/2013 (9a.), en: Semanario Judicial de la Federación y su Gaceta, Décima Época, Libro XX, </w:t>
      </w:r>
      <w:proofErr w:type="gramStart"/>
      <w:r w:rsidRPr="002F1AC6">
        <w:rPr>
          <w:rFonts w:ascii="Century Gothic" w:hAnsi="Century Gothic" w:cs="Arial"/>
        </w:rPr>
        <w:t>Mayo</w:t>
      </w:r>
      <w:proofErr w:type="gramEnd"/>
      <w:r w:rsidRPr="002F1AC6">
        <w:rPr>
          <w:rFonts w:ascii="Century Gothic" w:hAnsi="Century Gothic" w:cs="Arial"/>
        </w:rPr>
        <w:t xml:space="preserve"> de 2013, Tomo 1, pág. 155, Jurisprudencia(Constitucional), con título: “IGUALDAD Y NO DISCRIMINACIÓN. LOS ARTÍCULOS 16, NUMERAL 3, PÁRRAFO SEGUNDO Y 131, NUMERAL 3, DE LA LEY ELECTORAL DEL ESTADO DE CHIHUAHUA, AL SEÑALAR QUE QUEDAN EXCEPTUADAS DEL PORCENTAJE DE CUOTAS DE GÉNERO AQUELLAS CANDIDATURAS QUE SEAN RESULTADO DE UN PROCESO DE ELECCIÓN DEMOCRÁTICO, CONFORME A LOS ESTATUTOS DE CADA PARTIDO, NO VULNERAN ESOS PRINCIPIOS.”</w:t>
      </w:r>
    </w:p>
  </w:footnote>
  <w:footnote w:id="8">
    <w:p w:rsidR="002E49D8" w:rsidRDefault="002E49D8" w:rsidP="00582756">
      <w:pPr>
        <w:pStyle w:val="Textonotapie"/>
        <w:jc w:val="both"/>
      </w:pPr>
      <w:r>
        <w:rPr>
          <w:rStyle w:val="Refdenotaalpie"/>
        </w:rPr>
        <w:footnoteRef/>
      </w:r>
      <w:r>
        <w:t xml:space="preserve"> Comisión de Atención a Grupos Vulnerables de la LX Legislatura de la Cámara de Diputados. Documento electrónico </w:t>
      </w:r>
      <w:hyperlink r:id="rId1" w:anchor="[Citar_como" w:history="1">
        <w:r w:rsidRPr="006722DB">
          <w:rPr>
            <w:rStyle w:val="Hipervnculo"/>
          </w:rPr>
          <w:t>http://archivos.diputados.gob.mx/Centros_Estudio/Cesop/Eje_tematico_old_14062011/9_gvulnerables_archivos/G_vulnerables/d_gvulnerables.htm#[Citar_como</w:t>
        </w:r>
      </w:hyperlink>
      <w:r w:rsidRPr="00C761B0">
        <w:t>]</w:t>
      </w:r>
      <w:r>
        <w:t xml:space="preserve"> </w:t>
      </w:r>
    </w:p>
  </w:footnote>
  <w:footnote w:id="9">
    <w:p w:rsidR="002E49D8" w:rsidRPr="00716357" w:rsidRDefault="002E49D8">
      <w:pPr>
        <w:pStyle w:val="Textonotapie"/>
        <w:rPr>
          <w:rFonts w:ascii="Century Gothic" w:hAnsi="Century Gothic"/>
        </w:rPr>
      </w:pPr>
      <w:r w:rsidRPr="00716357">
        <w:rPr>
          <w:rStyle w:val="Refdenotaalpie"/>
          <w:rFonts w:ascii="Century Gothic" w:hAnsi="Century Gothic"/>
        </w:rPr>
        <w:footnoteRef/>
      </w:r>
      <w:r w:rsidRPr="00716357">
        <w:rPr>
          <w:rFonts w:ascii="Century Gothic" w:hAnsi="Century Gothic"/>
        </w:rPr>
        <w:t xml:space="preserve"> “Artículo 3.</w:t>
      </w:r>
    </w:p>
    <w:p w:rsidR="002E49D8" w:rsidRPr="00716357" w:rsidRDefault="002E49D8">
      <w:pPr>
        <w:pStyle w:val="Textonotapie"/>
        <w:rPr>
          <w:rFonts w:ascii="Century Gothic" w:hAnsi="Century Gothic"/>
        </w:rPr>
      </w:pPr>
      <w:r w:rsidRPr="00716357">
        <w:rPr>
          <w:rFonts w:ascii="Century Gothic" w:hAnsi="Century Gothic"/>
        </w:rPr>
        <w:t>…</w:t>
      </w:r>
    </w:p>
    <w:p w:rsidR="002E49D8" w:rsidRPr="00716357" w:rsidRDefault="002E49D8" w:rsidP="00716357">
      <w:pPr>
        <w:pStyle w:val="Textonotapie"/>
        <w:jc w:val="both"/>
        <w:rPr>
          <w:rFonts w:ascii="Century Gothic" w:hAnsi="Century Gothic"/>
        </w:rPr>
      </w:pPr>
      <w:r w:rsidRPr="00716357">
        <w:rPr>
          <w:rFonts w:ascii="Century Gothic" w:hAnsi="Century Gothic"/>
        </w:rPr>
        <w:t xml:space="preserve">3. Los institutos políticos promoverán los valores cívicos y la cultura democrática entre niñas, niños y adolescentes, </w:t>
      </w:r>
      <w:r w:rsidRPr="00716357">
        <w:rPr>
          <w:rFonts w:ascii="Century Gothic" w:hAnsi="Century Gothic"/>
          <w:b/>
        </w:rPr>
        <w:t>y buscarán la participación efectiva de ambos géneros en la integración de sus órganos, así como en la postulación de candidatos</w:t>
      </w:r>
      <w:r w:rsidRPr="00716357">
        <w:rPr>
          <w:rFonts w:ascii="Century Gothic" w:hAnsi="Century Gothic"/>
        </w:rPr>
        <w:t>.”</w:t>
      </w:r>
    </w:p>
  </w:footnote>
  <w:footnote w:id="10">
    <w:p w:rsidR="002E49D8" w:rsidRPr="002F1AC6" w:rsidRDefault="002E49D8" w:rsidP="00834BAC">
      <w:pPr>
        <w:jc w:val="both"/>
        <w:rPr>
          <w:rFonts w:ascii="Century Gothic" w:hAnsi="Century Gothic" w:cs="Arial"/>
          <w:color w:val="000000" w:themeColor="text1"/>
        </w:rPr>
      </w:pPr>
      <w:r w:rsidRPr="002F1AC6">
        <w:rPr>
          <w:rStyle w:val="Refdenotaalpie"/>
          <w:rFonts w:ascii="Century Gothic" w:hAnsi="Century Gothic"/>
        </w:rPr>
        <w:footnoteRef/>
      </w:r>
      <w:r w:rsidRPr="002F1AC6">
        <w:rPr>
          <w:rFonts w:ascii="Century Gothic" w:hAnsi="Century Gothic"/>
        </w:rPr>
        <w:t xml:space="preserve"> </w:t>
      </w:r>
      <w:r w:rsidRPr="002F1AC6">
        <w:rPr>
          <w:rFonts w:ascii="Century Gothic" w:hAnsi="Century Gothic" w:cs="Arial"/>
          <w:i/>
          <w:color w:val="000000" w:themeColor="text1"/>
        </w:rPr>
        <w:t xml:space="preserve">Cfr.: </w:t>
      </w:r>
      <w:r w:rsidRPr="002F1AC6">
        <w:rPr>
          <w:rFonts w:ascii="Century Gothic" w:hAnsi="Century Gothic" w:cs="Arial"/>
          <w:color w:val="000000" w:themeColor="text1"/>
        </w:rPr>
        <w:t>Jurisprudencia 24/2002, consultable en: Justicia Electoral. Revista del Tribunal Electoral del Poder Judicial de la Federación, Suplemento 6, Año 2003, pp. 19 y 20, bajo el rubro: “DERECHO DE AFILIACIÓN EN MATERIA POLÍTICO-ELECTORAL. CONTENIDO Y ALCANCES.”</w:t>
      </w:r>
    </w:p>
  </w:footnote>
  <w:footnote w:id="11">
    <w:p w:rsidR="002E49D8" w:rsidRPr="0018250A" w:rsidRDefault="002E49D8" w:rsidP="006C7E5F">
      <w:pPr>
        <w:shd w:val="clear" w:color="auto" w:fill="FFFFFF"/>
        <w:spacing w:before="562"/>
        <w:jc w:val="both"/>
        <w:rPr>
          <w:rFonts w:ascii="Century Gothic" w:hAnsi="Century Gothic"/>
          <w:sz w:val="16"/>
          <w:szCs w:val="16"/>
        </w:rPr>
      </w:pPr>
      <w:r>
        <w:rPr>
          <w:rStyle w:val="Refdenotaalpie"/>
        </w:rPr>
        <w:t>11</w:t>
      </w:r>
      <w:r w:rsidRPr="0018250A">
        <w:rPr>
          <w:rFonts w:eastAsia="Times New Roman"/>
          <w:color w:val="000000"/>
          <w:spacing w:val="2"/>
          <w:lang w:val="es-ES_tradnl"/>
        </w:rPr>
        <w:t xml:space="preserve"> </w:t>
      </w:r>
      <w:r w:rsidRPr="0018250A">
        <w:rPr>
          <w:rFonts w:ascii="Century Gothic" w:eastAsia="Times New Roman" w:hAnsi="Century Gothic"/>
          <w:color w:val="000000"/>
          <w:spacing w:val="2"/>
          <w:sz w:val="16"/>
          <w:szCs w:val="16"/>
          <w:lang w:val="es-ES_tradnl"/>
        </w:rPr>
        <w:t xml:space="preserve">Lo anterior de conformidad con la Jurisprudencia en materia común, de rubro: </w:t>
      </w:r>
      <w:r w:rsidRPr="0018250A">
        <w:rPr>
          <w:rFonts w:ascii="Century Gothic" w:eastAsia="Times New Roman" w:hAnsi="Century Gothic"/>
          <w:b/>
          <w:bCs/>
          <w:color w:val="000000"/>
          <w:spacing w:val="2"/>
          <w:sz w:val="16"/>
          <w:szCs w:val="16"/>
          <w:lang w:val="es-ES_tradnl"/>
        </w:rPr>
        <w:t xml:space="preserve">HECHO </w:t>
      </w:r>
      <w:r w:rsidRPr="0018250A">
        <w:rPr>
          <w:rFonts w:ascii="Century Gothic" w:eastAsia="Times New Roman" w:hAnsi="Century Gothic"/>
          <w:b/>
          <w:bCs/>
          <w:color w:val="000000"/>
          <w:spacing w:val="6"/>
          <w:sz w:val="16"/>
          <w:szCs w:val="16"/>
          <w:lang w:val="es-ES_tradnl"/>
        </w:rPr>
        <w:t xml:space="preserve">NOTORIO. LO CONSTITUYEN LOS DATOS QUE APARECEN EN LAS PÁGINAS </w:t>
      </w:r>
      <w:r w:rsidRPr="0018250A">
        <w:rPr>
          <w:rFonts w:ascii="Century Gothic" w:eastAsia="Times New Roman" w:hAnsi="Century Gothic"/>
          <w:b/>
          <w:bCs/>
          <w:color w:val="000000"/>
          <w:spacing w:val="-3"/>
          <w:sz w:val="16"/>
          <w:szCs w:val="16"/>
          <w:lang w:val="es-ES_tradnl"/>
        </w:rPr>
        <w:t xml:space="preserve">ELECTRÓNICAS OFICIALES QUE LOS ÓRGANOS DE GOBIERNO UTLIZAN PARA PONER A DISPOSICIÓNDEL PÚBLICO, ENTRE OTROS SERVICIOS, LA DESCRIPCIÓN DE SUS PLAZAS, EL DIRECTORIO DE SUS EMPLEADOS O EL ESTADO QUE GUARDAN SUS EXPEDIENTES Y, POR ELLO, ES VÁLIDO QUE SE INVOQUEN DE OFICIO PARA RESOLVER UN ASUNTO EN PARTICULAR. </w:t>
      </w:r>
      <w:r w:rsidRPr="0018250A">
        <w:rPr>
          <w:rFonts w:ascii="Century Gothic" w:eastAsia="Times New Roman" w:hAnsi="Century Gothic"/>
          <w:bCs/>
          <w:color w:val="000000"/>
          <w:spacing w:val="-3"/>
          <w:sz w:val="16"/>
          <w:szCs w:val="16"/>
          <w:lang w:val="es-ES_tradnl"/>
        </w:rPr>
        <w:t>Consultable en Semanario Judicial de la Federación y su Gaceta, Tomo XXIX, Enero de 2009, Página 2470.</w:t>
      </w:r>
    </w:p>
  </w:footnote>
  <w:footnote w:id="12">
    <w:p w:rsidR="002E49D8" w:rsidRDefault="002E49D8" w:rsidP="006C7E5F">
      <w:pPr>
        <w:pStyle w:val="Textonotapie"/>
      </w:pPr>
      <w:r>
        <w:rPr>
          <w:rStyle w:val="Refdenotaalpie"/>
        </w:rPr>
        <w:t>13</w:t>
      </w:r>
      <w:r>
        <w:t xml:space="preserve"> </w:t>
      </w:r>
      <w:r>
        <w:rPr>
          <w:rStyle w:val="Refdenotaalpie"/>
        </w:rPr>
        <w:t>Ídem</w:t>
      </w:r>
    </w:p>
  </w:footnote>
  <w:footnote w:id="13">
    <w:p w:rsidR="002E49D8" w:rsidRDefault="002E49D8" w:rsidP="006C7E5F">
      <w:pPr>
        <w:shd w:val="clear" w:color="auto" w:fill="FFFFFF"/>
        <w:spacing w:before="245" w:line="221" w:lineRule="exact"/>
        <w:jc w:val="both"/>
      </w:pPr>
      <w:r>
        <w:rPr>
          <w:rStyle w:val="Refdenotaalpie"/>
        </w:rPr>
        <w:t>14</w:t>
      </w:r>
      <w:r w:rsidRPr="00C1335D">
        <w:rPr>
          <w:b/>
          <w:bCs/>
          <w:color w:val="000000"/>
          <w:spacing w:val="-5"/>
          <w:lang w:val="es-ES_tradnl"/>
        </w:rPr>
        <w:t xml:space="preserve"> </w:t>
      </w:r>
      <w:r w:rsidRPr="008A5AE9">
        <w:rPr>
          <w:rFonts w:ascii="Century Gothic" w:hAnsi="Century Gothic"/>
          <w:sz w:val="16"/>
          <w:szCs w:val="16"/>
        </w:rPr>
        <w:t xml:space="preserve">Lo anterior de conformidad con la Jurisprudencia en materia común, de rubro: </w:t>
      </w:r>
      <w:r w:rsidRPr="008A5AE9">
        <w:rPr>
          <w:rFonts w:ascii="Century Gothic" w:hAnsi="Century Gothic"/>
          <w:b/>
          <w:sz w:val="16"/>
          <w:szCs w:val="16"/>
        </w:rPr>
        <w:t xml:space="preserve">HECHO NOTORIO. LO CONSTITUYEN LOS DATOS QUE APARECEN EN LAS PÁGINAS ELECTRÓNICAS OFICIALES QUE LOS ÓRGANOS DE GOBIERNO UTLIZAN PARA PONER A DISPOSICIÓN DEL PÚBLICO, ENTRE OTROS SERVICIOS, LA DESCRIPCIÓN DE SUS PLAZAS, EL DIRECTORIO DE SUS EMPLEADOS O EL ESTADO QUE GUARDAN SUS EXPEDIENTES Y, POR ELLO, ES VÁLIDO QUE SE EQUIVOQUEN DE OFICIO PARA RESOLVER UN ASUNTO EN PARTICULAR. </w:t>
      </w:r>
      <w:r w:rsidRPr="008A5AE9">
        <w:rPr>
          <w:rFonts w:ascii="Century Gothic" w:hAnsi="Century Gothic"/>
          <w:sz w:val="16"/>
          <w:szCs w:val="16"/>
        </w:rPr>
        <w:t xml:space="preserve">Consultable en Semanario Judicial de la Federación y su Gaceta, Tomo XXIX, </w:t>
      </w:r>
      <w:proofErr w:type="gramStart"/>
      <w:r w:rsidRPr="008A5AE9">
        <w:rPr>
          <w:rFonts w:ascii="Century Gothic" w:hAnsi="Century Gothic"/>
          <w:sz w:val="16"/>
          <w:szCs w:val="16"/>
        </w:rPr>
        <w:t>Enero</w:t>
      </w:r>
      <w:proofErr w:type="gramEnd"/>
      <w:r w:rsidRPr="008A5AE9">
        <w:rPr>
          <w:rFonts w:ascii="Century Gothic" w:hAnsi="Century Gothic"/>
          <w:sz w:val="16"/>
          <w:szCs w:val="16"/>
        </w:rPr>
        <w:t xml:space="preserve"> de 2009, Página 2470.</w:t>
      </w:r>
    </w:p>
    <w:p w:rsidR="002E49D8" w:rsidRDefault="002E49D8" w:rsidP="006C7E5F">
      <w:pPr>
        <w:shd w:val="clear" w:color="auto" w:fill="FFFFFF"/>
        <w:spacing w:before="245" w:line="221" w:lineRule="exact"/>
        <w:jc w:val="both"/>
      </w:pPr>
    </w:p>
    <w:p w:rsidR="002E49D8" w:rsidRDefault="002E49D8" w:rsidP="006C7E5F">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9D8" w:rsidRDefault="002E49D8" w:rsidP="00EF0B81">
    <w:pPr>
      <w:pStyle w:val="Encabezado"/>
      <w:rPr>
        <w:rFonts w:cs="Arial"/>
        <w:b/>
        <w:sz w:val="28"/>
        <w:szCs w:val="28"/>
      </w:rPr>
    </w:pPr>
    <w:r>
      <w:rPr>
        <w:rFonts w:cs="Arial"/>
        <w:b/>
        <w:sz w:val="28"/>
        <w:szCs w:val="28"/>
      </w:rPr>
      <w:t>SUP-JRC-680/2015 Y ACUMULADOS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9D8" w:rsidRDefault="002E49D8" w:rsidP="00EF0B81">
    <w:pPr>
      <w:pStyle w:val="Encabezado"/>
      <w:jc w:val="right"/>
      <w:rPr>
        <w:rFonts w:cs="Arial"/>
        <w:b/>
        <w:sz w:val="28"/>
        <w:szCs w:val="28"/>
      </w:rPr>
    </w:pPr>
    <w:r>
      <w:rPr>
        <w:rFonts w:cs="Arial"/>
        <w:b/>
        <w:sz w:val="28"/>
        <w:szCs w:val="28"/>
      </w:rPr>
      <w:t>SUP-JDC-369/2017 y ACUMULADOS</w:t>
    </w:r>
  </w:p>
  <w:p w:rsidR="002E49D8" w:rsidRDefault="002E49D8" w:rsidP="003B2931">
    <w:pPr>
      <w:pStyle w:val="Encabezado"/>
      <w:rPr>
        <w:rFonts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33357"/>
    <w:multiLevelType w:val="hybridMultilevel"/>
    <w:tmpl w:val="88E08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E013B5"/>
    <w:multiLevelType w:val="hybridMultilevel"/>
    <w:tmpl w:val="1582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3774B1"/>
    <w:multiLevelType w:val="hybridMultilevel"/>
    <w:tmpl w:val="559461C0"/>
    <w:lvl w:ilvl="0" w:tplc="080A0001">
      <w:start w:val="1"/>
      <w:numFmt w:val="bullet"/>
      <w:lvlText w:val=""/>
      <w:lvlJc w:val="left"/>
      <w:pPr>
        <w:ind w:left="787" w:hanging="360"/>
      </w:pPr>
      <w:rPr>
        <w:rFonts w:ascii="Symbol" w:hAnsi="Symbol" w:hint="default"/>
        <w:b/>
      </w:rPr>
    </w:lvl>
    <w:lvl w:ilvl="1" w:tplc="080A0019" w:tentative="1">
      <w:start w:val="1"/>
      <w:numFmt w:val="lowerLetter"/>
      <w:lvlText w:val="%2."/>
      <w:lvlJc w:val="left"/>
      <w:pPr>
        <w:ind w:left="1507" w:hanging="360"/>
      </w:pPr>
    </w:lvl>
    <w:lvl w:ilvl="2" w:tplc="080A001B" w:tentative="1">
      <w:start w:val="1"/>
      <w:numFmt w:val="lowerRoman"/>
      <w:lvlText w:val="%3."/>
      <w:lvlJc w:val="right"/>
      <w:pPr>
        <w:ind w:left="2227" w:hanging="180"/>
      </w:pPr>
    </w:lvl>
    <w:lvl w:ilvl="3" w:tplc="080A000F" w:tentative="1">
      <w:start w:val="1"/>
      <w:numFmt w:val="decimal"/>
      <w:lvlText w:val="%4."/>
      <w:lvlJc w:val="left"/>
      <w:pPr>
        <w:ind w:left="2947" w:hanging="360"/>
      </w:pPr>
    </w:lvl>
    <w:lvl w:ilvl="4" w:tplc="080A0019" w:tentative="1">
      <w:start w:val="1"/>
      <w:numFmt w:val="lowerLetter"/>
      <w:lvlText w:val="%5."/>
      <w:lvlJc w:val="left"/>
      <w:pPr>
        <w:ind w:left="3667" w:hanging="360"/>
      </w:pPr>
    </w:lvl>
    <w:lvl w:ilvl="5" w:tplc="080A001B" w:tentative="1">
      <w:start w:val="1"/>
      <w:numFmt w:val="lowerRoman"/>
      <w:lvlText w:val="%6."/>
      <w:lvlJc w:val="right"/>
      <w:pPr>
        <w:ind w:left="4387" w:hanging="180"/>
      </w:pPr>
    </w:lvl>
    <w:lvl w:ilvl="6" w:tplc="080A000F" w:tentative="1">
      <w:start w:val="1"/>
      <w:numFmt w:val="decimal"/>
      <w:lvlText w:val="%7."/>
      <w:lvlJc w:val="left"/>
      <w:pPr>
        <w:ind w:left="5107" w:hanging="360"/>
      </w:pPr>
    </w:lvl>
    <w:lvl w:ilvl="7" w:tplc="080A0019" w:tentative="1">
      <w:start w:val="1"/>
      <w:numFmt w:val="lowerLetter"/>
      <w:lvlText w:val="%8."/>
      <w:lvlJc w:val="left"/>
      <w:pPr>
        <w:ind w:left="5827" w:hanging="360"/>
      </w:pPr>
    </w:lvl>
    <w:lvl w:ilvl="8" w:tplc="080A001B" w:tentative="1">
      <w:start w:val="1"/>
      <w:numFmt w:val="lowerRoman"/>
      <w:lvlText w:val="%9."/>
      <w:lvlJc w:val="right"/>
      <w:pPr>
        <w:ind w:left="6547" w:hanging="180"/>
      </w:pPr>
    </w:lvl>
  </w:abstractNum>
  <w:abstractNum w:abstractNumId="3" w15:restartNumberingAfterBreak="0">
    <w:nsid w:val="31900B73"/>
    <w:multiLevelType w:val="hybridMultilevel"/>
    <w:tmpl w:val="FF087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187DC4"/>
    <w:multiLevelType w:val="hybridMultilevel"/>
    <w:tmpl w:val="1550E4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9C252DC"/>
    <w:multiLevelType w:val="hybridMultilevel"/>
    <w:tmpl w:val="354E7EA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F2737C6"/>
    <w:multiLevelType w:val="hybridMultilevel"/>
    <w:tmpl w:val="D1068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BAF5693"/>
    <w:multiLevelType w:val="hybridMultilevel"/>
    <w:tmpl w:val="8976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050B28"/>
    <w:multiLevelType w:val="hybridMultilevel"/>
    <w:tmpl w:val="4C4EBAB8"/>
    <w:lvl w:ilvl="0" w:tplc="3F74D664">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8C2F6C"/>
    <w:multiLevelType w:val="hybridMultilevel"/>
    <w:tmpl w:val="DAE29388"/>
    <w:lvl w:ilvl="0" w:tplc="080A000B">
      <w:start w:val="1"/>
      <w:numFmt w:val="bullet"/>
      <w:lvlText w:val=""/>
      <w:lvlJc w:val="left"/>
      <w:pPr>
        <w:ind w:left="1508" w:hanging="360"/>
      </w:pPr>
      <w:rPr>
        <w:rFonts w:ascii="Wingdings" w:hAnsi="Wingdings" w:hint="default"/>
      </w:rPr>
    </w:lvl>
    <w:lvl w:ilvl="1" w:tplc="080A0003" w:tentative="1">
      <w:start w:val="1"/>
      <w:numFmt w:val="bullet"/>
      <w:lvlText w:val="o"/>
      <w:lvlJc w:val="left"/>
      <w:pPr>
        <w:ind w:left="2228" w:hanging="360"/>
      </w:pPr>
      <w:rPr>
        <w:rFonts w:ascii="Courier New" w:hAnsi="Courier New" w:cs="Courier New" w:hint="default"/>
      </w:rPr>
    </w:lvl>
    <w:lvl w:ilvl="2" w:tplc="080A0005" w:tentative="1">
      <w:start w:val="1"/>
      <w:numFmt w:val="bullet"/>
      <w:lvlText w:val=""/>
      <w:lvlJc w:val="left"/>
      <w:pPr>
        <w:ind w:left="2948" w:hanging="360"/>
      </w:pPr>
      <w:rPr>
        <w:rFonts w:ascii="Wingdings" w:hAnsi="Wingdings" w:hint="default"/>
      </w:rPr>
    </w:lvl>
    <w:lvl w:ilvl="3" w:tplc="080A0001" w:tentative="1">
      <w:start w:val="1"/>
      <w:numFmt w:val="bullet"/>
      <w:lvlText w:val=""/>
      <w:lvlJc w:val="left"/>
      <w:pPr>
        <w:ind w:left="3668" w:hanging="360"/>
      </w:pPr>
      <w:rPr>
        <w:rFonts w:ascii="Symbol" w:hAnsi="Symbol" w:hint="default"/>
      </w:rPr>
    </w:lvl>
    <w:lvl w:ilvl="4" w:tplc="080A0003" w:tentative="1">
      <w:start w:val="1"/>
      <w:numFmt w:val="bullet"/>
      <w:lvlText w:val="o"/>
      <w:lvlJc w:val="left"/>
      <w:pPr>
        <w:ind w:left="4388" w:hanging="360"/>
      </w:pPr>
      <w:rPr>
        <w:rFonts w:ascii="Courier New" w:hAnsi="Courier New" w:cs="Courier New" w:hint="default"/>
      </w:rPr>
    </w:lvl>
    <w:lvl w:ilvl="5" w:tplc="080A0005" w:tentative="1">
      <w:start w:val="1"/>
      <w:numFmt w:val="bullet"/>
      <w:lvlText w:val=""/>
      <w:lvlJc w:val="left"/>
      <w:pPr>
        <w:ind w:left="5108" w:hanging="360"/>
      </w:pPr>
      <w:rPr>
        <w:rFonts w:ascii="Wingdings" w:hAnsi="Wingdings" w:hint="default"/>
      </w:rPr>
    </w:lvl>
    <w:lvl w:ilvl="6" w:tplc="080A0001" w:tentative="1">
      <w:start w:val="1"/>
      <w:numFmt w:val="bullet"/>
      <w:lvlText w:val=""/>
      <w:lvlJc w:val="left"/>
      <w:pPr>
        <w:ind w:left="5828" w:hanging="360"/>
      </w:pPr>
      <w:rPr>
        <w:rFonts w:ascii="Symbol" w:hAnsi="Symbol" w:hint="default"/>
      </w:rPr>
    </w:lvl>
    <w:lvl w:ilvl="7" w:tplc="080A0003" w:tentative="1">
      <w:start w:val="1"/>
      <w:numFmt w:val="bullet"/>
      <w:lvlText w:val="o"/>
      <w:lvlJc w:val="left"/>
      <w:pPr>
        <w:ind w:left="6548" w:hanging="360"/>
      </w:pPr>
      <w:rPr>
        <w:rFonts w:ascii="Courier New" w:hAnsi="Courier New" w:cs="Courier New" w:hint="default"/>
      </w:rPr>
    </w:lvl>
    <w:lvl w:ilvl="8" w:tplc="080A0005" w:tentative="1">
      <w:start w:val="1"/>
      <w:numFmt w:val="bullet"/>
      <w:lvlText w:val=""/>
      <w:lvlJc w:val="left"/>
      <w:pPr>
        <w:ind w:left="7268" w:hanging="360"/>
      </w:pPr>
      <w:rPr>
        <w:rFonts w:ascii="Wingdings" w:hAnsi="Wingdings" w:hint="default"/>
      </w:rPr>
    </w:lvl>
  </w:abstractNum>
  <w:num w:numId="1">
    <w:abstractNumId w:val="7"/>
  </w:num>
  <w:num w:numId="2">
    <w:abstractNumId w:val="3"/>
  </w:num>
  <w:num w:numId="3">
    <w:abstractNumId w:val="0"/>
  </w:num>
  <w:num w:numId="4">
    <w:abstractNumId w:val="4"/>
  </w:num>
  <w:num w:numId="5">
    <w:abstractNumId w:val="1"/>
  </w:num>
  <w:num w:numId="6">
    <w:abstractNumId w:val="8"/>
  </w:num>
  <w:num w:numId="7">
    <w:abstractNumId w:val="6"/>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26D"/>
    <w:rsid w:val="00002817"/>
    <w:rsid w:val="00003BF3"/>
    <w:rsid w:val="00004FD4"/>
    <w:rsid w:val="000105F1"/>
    <w:rsid w:val="00011C2F"/>
    <w:rsid w:val="00012708"/>
    <w:rsid w:val="00014B73"/>
    <w:rsid w:val="00015885"/>
    <w:rsid w:val="00015F4A"/>
    <w:rsid w:val="0002034F"/>
    <w:rsid w:val="000218AB"/>
    <w:rsid w:val="00022017"/>
    <w:rsid w:val="00023C49"/>
    <w:rsid w:val="000300D9"/>
    <w:rsid w:val="00031224"/>
    <w:rsid w:val="00032DEC"/>
    <w:rsid w:val="000424F3"/>
    <w:rsid w:val="000427FF"/>
    <w:rsid w:val="00044B34"/>
    <w:rsid w:val="0004616D"/>
    <w:rsid w:val="00050401"/>
    <w:rsid w:val="00050EAD"/>
    <w:rsid w:val="00051F4A"/>
    <w:rsid w:val="00053EE1"/>
    <w:rsid w:val="00055DFA"/>
    <w:rsid w:val="000563AE"/>
    <w:rsid w:val="00056DE8"/>
    <w:rsid w:val="000608C3"/>
    <w:rsid w:val="00065116"/>
    <w:rsid w:val="00065939"/>
    <w:rsid w:val="00065BDB"/>
    <w:rsid w:val="000664C0"/>
    <w:rsid w:val="00066CFA"/>
    <w:rsid w:val="00067ECC"/>
    <w:rsid w:val="000705D6"/>
    <w:rsid w:val="00072F90"/>
    <w:rsid w:val="00080221"/>
    <w:rsid w:val="000809E8"/>
    <w:rsid w:val="00080AC1"/>
    <w:rsid w:val="000827BD"/>
    <w:rsid w:val="00082850"/>
    <w:rsid w:val="00083F4B"/>
    <w:rsid w:val="00085A29"/>
    <w:rsid w:val="00086FFF"/>
    <w:rsid w:val="0008780D"/>
    <w:rsid w:val="000878B5"/>
    <w:rsid w:val="00087CDE"/>
    <w:rsid w:val="00091FCE"/>
    <w:rsid w:val="00094A1D"/>
    <w:rsid w:val="00094E2C"/>
    <w:rsid w:val="00094F12"/>
    <w:rsid w:val="00097B2B"/>
    <w:rsid w:val="000A0C3B"/>
    <w:rsid w:val="000A149A"/>
    <w:rsid w:val="000A2CC0"/>
    <w:rsid w:val="000A2DFE"/>
    <w:rsid w:val="000A5D25"/>
    <w:rsid w:val="000B183F"/>
    <w:rsid w:val="000B2CCD"/>
    <w:rsid w:val="000B2ED2"/>
    <w:rsid w:val="000B783A"/>
    <w:rsid w:val="000B7877"/>
    <w:rsid w:val="000C3608"/>
    <w:rsid w:val="000C4D3E"/>
    <w:rsid w:val="000C526D"/>
    <w:rsid w:val="000C5BF1"/>
    <w:rsid w:val="000C7336"/>
    <w:rsid w:val="000D1F93"/>
    <w:rsid w:val="000D2665"/>
    <w:rsid w:val="000D38E6"/>
    <w:rsid w:val="000D3A95"/>
    <w:rsid w:val="000D3C74"/>
    <w:rsid w:val="000D42D8"/>
    <w:rsid w:val="000E1314"/>
    <w:rsid w:val="000E38DD"/>
    <w:rsid w:val="000E637D"/>
    <w:rsid w:val="000E6DDB"/>
    <w:rsid w:val="000F0872"/>
    <w:rsid w:val="000F11DE"/>
    <w:rsid w:val="000F186E"/>
    <w:rsid w:val="000F18F3"/>
    <w:rsid w:val="000F1E13"/>
    <w:rsid w:val="000F2F44"/>
    <w:rsid w:val="000F3D8B"/>
    <w:rsid w:val="000F3E04"/>
    <w:rsid w:val="000F3E83"/>
    <w:rsid w:val="000F5986"/>
    <w:rsid w:val="000F6D23"/>
    <w:rsid w:val="0010005A"/>
    <w:rsid w:val="00101685"/>
    <w:rsid w:val="00102282"/>
    <w:rsid w:val="00106686"/>
    <w:rsid w:val="001103F9"/>
    <w:rsid w:val="001118D7"/>
    <w:rsid w:val="00111C41"/>
    <w:rsid w:val="00111F34"/>
    <w:rsid w:val="00117726"/>
    <w:rsid w:val="0012197B"/>
    <w:rsid w:val="00122909"/>
    <w:rsid w:val="00123AAE"/>
    <w:rsid w:val="00123D8F"/>
    <w:rsid w:val="00123DC0"/>
    <w:rsid w:val="00124A30"/>
    <w:rsid w:val="00125320"/>
    <w:rsid w:val="00126514"/>
    <w:rsid w:val="00126B89"/>
    <w:rsid w:val="00126EFD"/>
    <w:rsid w:val="00130401"/>
    <w:rsid w:val="001337D4"/>
    <w:rsid w:val="0013453B"/>
    <w:rsid w:val="00137B15"/>
    <w:rsid w:val="00141147"/>
    <w:rsid w:val="00145FAA"/>
    <w:rsid w:val="00146364"/>
    <w:rsid w:val="001520AC"/>
    <w:rsid w:val="00152199"/>
    <w:rsid w:val="00152531"/>
    <w:rsid w:val="00154263"/>
    <w:rsid w:val="00155F9D"/>
    <w:rsid w:val="00156BD3"/>
    <w:rsid w:val="001631E0"/>
    <w:rsid w:val="001648BE"/>
    <w:rsid w:val="00164D3A"/>
    <w:rsid w:val="00166121"/>
    <w:rsid w:val="00166B5D"/>
    <w:rsid w:val="00166F2C"/>
    <w:rsid w:val="00167678"/>
    <w:rsid w:val="001712E1"/>
    <w:rsid w:val="001715F7"/>
    <w:rsid w:val="001716E2"/>
    <w:rsid w:val="001722C2"/>
    <w:rsid w:val="001735DC"/>
    <w:rsid w:val="00173F25"/>
    <w:rsid w:val="00176257"/>
    <w:rsid w:val="001767EE"/>
    <w:rsid w:val="00176CD5"/>
    <w:rsid w:val="00177C04"/>
    <w:rsid w:val="00177D4F"/>
    <w:rsid w:val="00177F40"/>
    <w:rsid w:val="001807B4"/>
    <w:rsid w:val="00180F97"/>
    <w:rsid w:val="00181656"/>
    <w:rsid w:val="0018181C"/>
    <w:rsid w:val="00181853"/>
    <w:rsid w:val="0018209D"/>
    <w:rsid w:val="00186698"/>
    <w:rsid w:val="001876CF"/>
    <w:rsid w:val="001905E9"/>
    <w:rsid w:val="0019113D"/>
    <w:rsid w:val="00192A81"/>
    <w:rsid w:val="00193947"/>
    <w:rsid w:val="00195C17"/>
    <w:rsid w:val="00196367"/>
    <w:rsid w:val="001967A3"/>
    <w:rsid w:val="00196B3A"/>
    <w:rsid w:val="001A318F"/>
    <w:rsid w:val="001A31F3"/>
    <w:rsid w:val="001A4A74"/>
    <w:rsid w:val="001A5C77"/>
    <w:rsid w:val="001A63DC"/>
    <w:rsid w:val="001A65F2"/>
    <w:rsid w:val="001B0B88"/>
    <w:rsid w:val="001B0D4A"/>
    <w:rsid w:val="001B0F40"/>
    <w:rsid w:val="001B10C2"/>
    <w:rsid w:val="001B3B36"/>
    <w:rsid w:val="001B3CBF"/>
    <w:rsid w:val="001B7BD0"/>
    <w:rsid w:val="001C0595"/>
    <w:rsid w:val="001C123F"/>
    <w:rsid w:val="001C316A"/>
    <w:rsid w:val="001C39C4"/>
    <w:rsid w:val="001C53E2"/>
    <w:rsid w:val="001C5F5A"/>
    <w:rsid w:val="001D26B0"/>
    <w:rsid w:val="001D453C"/>
    <w:rsid w:val="001D4699"/>
    <w:rsid w:val="001D77F0"/>
    <w:rsid w:val="001E1801"/>
    <w:rsid w:val="001E39C8"/>
    <w:rsid w:val="001E41A1"/>
    <w:rsid w:val="001E4F4B"/>
    <w:rsid w:val="001E50A3"/>
    <w:rsid w:val="001E522E"/>
    <w:rsid w:val="001F2AE8"/>
    <w:rsid w:val="001F2B48"/>
    <w:rsid w:val="001F44FC"/>
    <w:rsid w:val="001F52C2"/>
    <w:rsid w:val="001F63DA"/>
    <w:rsid w:val="001F72F4"/>
    <w:rsid w:val="001F7A0E"/>
    <w:rsid w:val="00200871"/>
    <w:rsid w:val="002008F8"/>
    <w:rsid w:val="00202F99"/>
    <w:rsid w:val="00204BAE"/>
    <w:rsid w:val="002061BE"/>
    <w:rsid w:val="00207985"/>
    <w:rsid w:val="00207BBD"/>
    <w:rsid w:val="00210653"/>
    <w:rsid w:val="00215227"/>
    <w:rsid w:val="002167E0"/>
    <w:rsid w:val="00217F1F"/>
    <w:rsid w:val="0022322C"/>
    <w:rsid w:val="00223460"/>
    <w:rsid w:val="002264F2"/>
    <w:rsid w:val="00226886"/>
    <w:rsid w:val="00226B65"/>
    <w:rsid w:val="00227F29"/>
    <w:rsid w:val="00230E54"/>
    <w:rsid w:val="00231419"/>
    <w:rsid w:val="0023260F"/>
    <w:rsid w:val="002334DF"/>
    <w:rsid w:val="00235176"/>
    <w:rsid w:val="00235C14"/>
    <w:rsid w:val="00236666"/>
    <w:rsid w:val="0023682E"/>
    <w:rsid w:val="00236F22"/>
    <w:rsid w:val="002374AD"/>
    <w:rsid w:val="00237631"/>
    <w:rsid w:val="0023796D"/>
    <w:rsid w:val="00237A23"/>
    <w:rsid w:val="00240E99"/>
    <w:rsid w:val="00243579"/>
    <w:rsid w:val="0024384E"/>
    <w:rsid w:val="00243C24"/>
    <w:rsid w:val="002440EA"/>
    <w:rsid w:val="00244259"/>
    <w:rsid w:val="00244F01"/>
    <w:rsid w:val="00250061"/>
    <w:rsid w:val="002519E1"/>
    <w:rsid w:val="00253369"/>
    <w:rsid w:val="00255500"/>
    <w:rsid w:val="00256E5B"/>
    <w:rsid w:val="00260AA3"/>
    <w:rsid w:val="00261313"/>
    <w:rsid w:val="00261B58"/>
    <w:rsid w:val="00262E80"/>
    <w:rsid w:val="00264117"/>
    <w:rsid w:val="00264E33"/>
    <w:rsid w:val="00266466"/>
    <w:rsid w:val="00266696"/>
    <w:rsid w:val="002674CF"/>
    <w:rsid w:val="002709C9"/>
    <w:rsid w:val="002715D7"/>
    <w:rsid w:val="00272A26"/>
    <w:rsid w:val="00272AFA"/>
    <w:rsid w:val="00273C8B"/>
    <w:rsid w:val="00274954"/>
    <w:rsid w:val="00274978"/>
    <w:rsid w:val="0027611B"/>
    <w:rsid w:val="00276367"/>
    <w:rsid w:val="00276FAE"/>
    <w:rsid w:val="0028130F"/>
    <w:rsid w:val="00283442"/>
    <w:rsid w:val="00283864"/>
    <w:rsid w:val="0028452F"/>
    <w:rsid w:val="002851D1"/>
    <w:rsid w:val="00285EEA"/>
    <w:rsid w:val="00286865"/>
    <w:rsid w:val="0028701B"/>
    <w:rsid w:val="00290DCF"/>
    <w:rsid w:val="002925D6"/>
    <w:rsid w:val="00292CBA"/>
    <w:rsid w:val="00295094"/>
    <w:rsid w:val="002954CD"/>
    <w:rsid w:val="00296A66"/>
    <w:rsid w:val="002A1AAC"/>
    <w:rsid w:val="002A25A1"/>
    <w:rsid w:val="002A32E7"/>
    <w:rsid w:val="002A43EB"/>
    <w:rsid w:val="002A72BE"/>
    <w:rsid w:val="002A760A"/>
    <w:rsid w:val="002A764C"/>
    <w:rsid w:val="002B2F7B"/>
    <w:rsid w:val="002B49BA"/>
    <w:rsid w:val="002B5814"/>
    <w:rsid w:val="002B65C8"/>
    <w:rsid w:val="002B7DFB"/>
    <w:rsid w:val="002C0707"/>
    <w:rsid w:val="002C141A"/>
    <w:rsid w:val="002C31C7"/>
    <w:rsid w:val="002C4A96"/>
    <w:rsid w:val="002C4FDE"/>
    <w:rsid w:val="002C74A5"/>
    <w:rsid w:val="002D0EE2"/>
    <w:rsid w:val="002D1AEC"/>
    <w:rsid w:val="002D2710"/>
    <w:rsid w:val="002D2FED"/>
    <w:rsid w:val="002D3396"/>
    <w:rsid w:val="002D35A5"/>
    <w:rsid w:val="002D6619"/>
    <w:rsid w:val="002D66CA"/>
    <w:rsid w:val="002D7534"/>
    <w:rsid w:val="002E30DB"/>
    <w:rsid w:val="002E3150"/>
    <w:rsid w:val="002E49D8"/>
    <w:rsid w:val="002E4FA3"/>
    <w:rsid w:val="002E6642"/>
    <w:rsid w:val="002E66E4"/>
    <w:rsid w:val="002E69DE"/>
    <w:rsid w:val="002E7342"/>
    <w:rsid w:val="002E770B"/>
    <w:rsid w:val="002F04AC"/>
    <w:rsid w:val="002F04B7"/>
    <w:rsid w:val="002F62F3"/>
    <w:rsid w:val="002F670B"/>
    <w:rsid w:val="002F772A"/>
    <w:rsid w:val="0030038A"/>
    <w:rsid w:val="0030165D"/>
    <w:rsid w:val="00301A5A"/>
    <w:rsid w:val="003027E1"/>
    <w:rsid w:val="00303F7C"/>
    <w:rsid w:val="003061E3"/>
    <w:rsid w:val="00312128"/>
    <w:rsid w:val="00313505"/>
    <w:rsid w:val="00313735"/>
    <w:rsid w:val="003157FC"/>
    <w:rsid w:val="0032063F"/>
    <w:rsid w:val="003219BE"/>
    <w:rsid w:val="00324407"/>
    <w:rsid w:val="00325356"/>
    <w:rsid w:val="0032684C"/>
    <w:rsid w:val="00327007"/>
    <w:rsid w:val="003303A0"/>
    <w:rsid w:val="003309EA"/>
    <w:rsid w:val="00330EBC"/>
    <w:rsid w:val="00331FB3"/>
    <w:rsid w:val="0033467F"/>
    <w:rsid w:val="00334FC3"/>
    <w:rsid w:val="00335B88"/>
    <w:rsid w:val="00335F10"/>
    <w:rsid w:val="003365A7"/>
    <w:rsid w:val="003365D0"/>
    <w:rsid w:val="00336E73"/>
    <w:rsid w:val="00336F09"/>
    <w:rsid w:val="00340B45"/>
    <w:rsid w:val="003416BB"/>
    <w:rsid w:val="00343082"/>
    <w:rsid w:val="00343FBE"/>
    <w:rsid w:val="00343FE8"/>
    <w:rsid w:val="00347D2C"/>
    <w:rsid w:val="00351BE5"/>
    <w:rsid w:val="00351D9B"/>
    <w:rsid w:val="00354099"/>
    <w:rsid w:val="00354270"/>
    <w:rsid w:val="00355472"/>
    <w:rsid w:val="00356227"/>
    <w:rsid w:val="003566FF"/>
    <w:rsid w:val="00356EBE"/>
    <w:rsid w:val="00360106"/>
    <w:rsid w:val="00360224"/>
    <w:rsid w:val="00362276"/>
    <w:rsid w:val="00362644"/>
    <w:rsid w:val="00363040"/>
    <w:rsid w:val="00363259"/>
    <w:rsid w:val="003649EE"/>
    <w:rsid w:val="00366447"/>
    <w:rsid w:val="00367D85"/>
    <w:rsid w:val="00372A52"/>
    <w:rsid w:val="00372CFA"/>
    <w:rsid w:val="00375029"/>
    <w:rsid w:val="00375B4C"/>
    <w:rsid w:val="003769A3"/>
    <w:rsid w:val="003809CF"/>
    <w:rsid w:val="00381615"/>
    <w:rsid w:val="00386064"/>
    <w:rsid w:val="00387E70"/>
    <w:rsid w:val="0039271C"/>
    <w:rsid w:val="00392906"/>
    <w:rsid w:val="003950BA"/>
    <w:rsid w:val="00395D9F"/>
    <w:rsid w:val="00396D33"/>
    <w:rsid w:val="003A0065"/>
    <w:rsid w:val="003A11E0"/>
    <w:rsid w:val="003A1C60"/>
    <w:rsid w:val="003A2CB8"/>
    <w:rsid w:val="003A3788"/>
    <w:rsid w:val="003A64A9"/>
    <w:rsid w:val="003B082E"/>
    <w:rsid w:val="003B28BB"/>
    <w:rsid w:val="003B2931"/>
    <w:rsid w:val="003B3666"/>
    <w:rsid w:val="003B3EE2"/>
    <w:rsid w:val="003B4049"/>
    <w:rsid w:val="003B43D9"/>
    <w:rsid w:val="003B47C3"/>
    <w:rsid w:val="003B5714"/>
    <w:rsid w:val="003B5AC8"/>
    <w:rsid w:val="003B6ED4"/>
    <w:rsid w:val="003B7383"/>
    <w:rsid w:val="003B7B63"/>
    <w:rsid w:val="003C75D4"/>
    <w:rsid w:val="003C7F58"/>
    <w:rsid w:val="003D330B"/>
    <w:rsid w:val="003D4F49"/>
    <w:rsid w:val="003D528A"/>
    <w:rsid w:val="003D55B1"/>
    <w:rsid w:val="003D6DBE"/>
    <w:rsid w:val="003D7F80"/>
    <w:rsid w:val="003E035B"/>
    <w:rsid w:val="003E1592"/>
    <w:rsid w:val="003E24EC"/>
    <w:rsid w:val="003E2C99"/>
    <w:rsid w:val="003E34BA"/>
    <w:rsid w:val="003E34C8"/>
    <w:rsid w:val="003E410F"/>
    <w:rsid w:val="003E4C63"/>
    <w:rsid w:val="003E64FC"/>
    <w:rsid w:val="003E6D3D"/>
    <w:rsid w:val="003E7433"/>
    <w:rsid w:val="003E7604"/>
    <w:rsid w:val="003E7769"/>
    <w:rsid w:val="003F038A"/>
    <w:rsid w:val="003F1049"/>
    <w:rsid w:val="003F12E4"/>
    <w:rsid w:val="003F21A5"/>
    <w:rsid w:val="003F272B"/>
    <w:rsid w:val="003F2AB6"/>
    <w:rsid w:val="003F354F"/>
    <w:rsid w:val="003F36BF"/>
    <w:rsid w:val="003F440C"/>
    <w:rsid w:val="003F4B69"/>
    <w:rsid w:val="003F70D7"/>
    <w:rsid w:val="003F76B0"/>
    <w:rsid w:val="004008D3"/>
    <w:rsid w:val="00401070"/>
    <w:rsid w:val="00402582"/>
    <w:rsid w:val="00402A7C"/>
    <w:rsid w:val="004045F8"/>
    <w:rsid w:val="00404B7F"/>
    <w:rsid w:val="004076AF"/>
    <w:rsid w:val="00410022"/>
    <w:rsid w:val="00410B87"/>
    <w:rsid w:val="00412389"/>
    <w:rsid w:val="004129A7"/>
    <w:rsid w:val="004132D8"/>
    <w:rsid w:val="0041369B"/>
    <w:rsid w:val="00413CEE"/>
    <w:rsid w:val="00415323"/>
    <w:rsid w:val="004201D6"/>
    <w:rsid w:val="00421422"/>
    <w:rsid w:val="004226DF"/>
    <w:rsid w:val="00423BFC"/>
    <w:rsid w:val="004265B8"/>
    <w:rsid w:val="004301F5"/>
    <w:rsid w:val="00430DB2"/>
    <w:rsid w:val="00433CDE"/>
    <w:rsid w:val="004353C9"/>
    <w:rsid w:val="00435BE3"/>
    <w:rsid w:val="00436DA3"/>
    <w:rsid w:val="00440851"/>
    <w:rsid w:val="00441E23"/>
    <w:rsid w:val="00442568"/>
    <w:rsid w:val="00442F4E"/>
    <w:rsid w:val="004432EF"/>
    <w:rsid w:val="0044466F"/>
    <w:rsid w:val="00444B8F"/>
    <w:rsid w:val="00445882"/>
    <w:rsid w:val="00445D99"/>
    <w:rsid w:val="004511FF"/>
    <w:rsid w:val="00452880"/>
    <w:rsid w:val="00453756"/>
    <w:rsid w:val="00453ABD"/>
    <w:rsid w:val="00455E4E"/>
    <w:rsid w:val="00457397"/>
    <w:rsid w:val="004600D2"/>
    <w:rsid w:val="00460A81"/>
    <w:rsid w:val="00461BD7"/>
    <w:rsid w:val="0046207D"/>
    <w:rsid w:val="0046407C"/>
    <w:rsid w:val="00464318"/>
    <w:rsid w:val="00465127"/>
    <w:rsid w:val="004670B2"/>
    <w:rsid w:val="00467E1B"/>
    <w:rsid w:val="00474EAC"/>
    <w:rsid w:val="00475061"/>
    <w:rsid w:val="00476015"/>
    <w:rsid w:val="004809A7"/>
    <w:rsid w:val="004848F0"/>
    <w:rsid w:val="0048594D"/>
    <w:rsid w:val="00487CC0"/>
    <w:rsid w:val="004903D7"/>
    <w:rsid w:val="0049265B"/>
    <w:rsid w:val="00493F84"/>
    <w:rsid w:val="00494A6A"/>
    <w:rsid w:val="004958E9"/>
    <w:rsid w:val="004975C4"/>
    <w:rsid w:val="004A0478"/>
    <w:rsid w:val="004A0D82"/>
    <w:rsid w:val="004A1BF7"/>
    <w:rsid w:val="004B0982"/>
    <w:rsid w:val="004B0EBE"/>
    <w:rsid w:val="004B191D"/>
    <w:rsid w:val="004B2BA1"/>
    <w:rsid w:val="004B5817"/>
    <w:rsid w:val="004B7299"/>
    <w:rsid w:val="004B7EA5"/>
    <w:rsid w:val="004C1429"/>
    <w:rsid w:val="004C332B"/>
    <w:rsid w:val="004C45C7"/>
    <w:rsid w:val="004C47CD"/>
    <w:rsid w:val="004C5358"/>
    <w:rsid w:val="004C5D0F"/>
    <w:rsid w:val="004D0069"/>
    <w:rsid w:val="004D00DE"/>
    <w:rsid w:val="004D07D2"/>
    <w:rsid w:val="004D2099"/>
    <w:rsid w:val="004D3DAD"/>
    <w:rsid w:val="004D40F8"/>
    <w:rsid w:val="004D51C9"/>
    <w:rsid w:val="004D5AD7"/>
    <w:rsid w:val="004E11B1"/>
    <w:rsid w:val="004E2FFA"/>
    <w:rsid w:val="004F0D22"/>
    <w:rsid w:val="004F26D4"/>
    <w:rsid w:val="004F6811"/>
    <w:rsid w:val="005032D3"/>
    <w:rsid w:val="005041F7"/>
    <w:rsid w:val="00504DB7"/>
    <w:rsid w:val="005055FD"/>
    <w:rsid w:val="00506489"/>
    <w:rsid w:val="005070F7"/>
    <w:rsid w:val="00512586"/>
    <w:rsid w:val="00512940"/>
    <w:rsid w:val="0051543B"/>
    <w:rsid w:val="00517D9D"/>
    <w:rsid w:val="005201F9"/>
    <w:rsid w:val="00520883"/>
    <w:rsid w:val="0052393C"/>
    <w:rsid w:val="00524891"/>
    <w:rsid w:val="00527F84"/>
    <w:rsid w:val="0053103D"/>
    <w:rsid w:val="005314CB"/>
    <w:rsid w:val="00532C80"/>
    <w:rsid w:val="00533BCC"/>
    <w:rsid w:val="005401E6"/>
    <w:rsid w:val="00540B66"/>
    <w:rsid w:val="00540DD4"/>
    <w:rsid w:val="0054173F"/>
    <w:rsid w:val="00542A9A"/>
    <w:rsid w:val="0054381F"/>
    <w:rsid w:val="00544CC7"/>
    <w:rsid w:val="005451A4"/>
    <w:rsid w:val="00545E79"/>
    <w:rsid w:val="00545F19"/>
    <w:rsid w:val="005469C4"/>
    <w:rsid w:val="0055315C"/>
    <w:rsid w:val="00553BD9"/>
    <w:rsid w:val="0055612D"/>
    <w:rsid w:val="00557911"/>
    <w:rsid w:val="005619B4"/>
    <w:rsid w:val="00561F02"/>
    <w:rsid w:val="00563436"/>
    <w:rsid w:val="005639A1"/>
    <w:rsid w:val="00565099"/>
    <w:rsid w:val="005654E0"/>
    <w:rsid w:val="00566347"/>
    <w:rsid w:val="00566EC0"/>
    <w:rsid w:val="00570622"/>
    <w:rsid w:val="0057078E"/>
    <w:rsid w:val="0057110C"/>
    <w:rsid w:val="00571E01"/>
    <w:rsid w:val="00572FD9"/>
    <w:rsid w:val="00573FED"/>
    <w:rsid w:val="00575408"/>
    <w:rsid w:val="005758BB"/>
    <w:rsid w:val="00577151"/>
    <w:rsid w:val="00580DA8"/>
    <w:rsid w:val="00581AA6"/>
    <w:rsid w:val="00582700"/>
    <w:rsid w:val="00582756"/>
    <w:rsid w:val="005832A9"/>
    <w:rsid w:val="005838E9"/>
    <w:rsid w:val="00584A00"/>
    <w:rsid w:val="00584BD2"/>
    <w:rsid w:val="00590640"/>
    <w:rsid w:val="005934F4"/>
    <w:rsid w:val="0059431B"/>
    <w:rsid w:val="00594D12"/>
    <w:rsid w:val="005967BB"/>
    <w:rsid w:val="00597A02"/>
    <w:rsid w:val="00597A16"/>
    <w:rsid w:val="00597E16"/>
    <w:rsid w:val="005A1D7C"/>
    <w:rsid w:val="005A2364"/>
    <w:rsid w:val="005A2AC3"/>
    <w:rsid w:val="005A3987"/>
    <w:rsid w:val="005A3E10"/>
    <w:rsid w:val="005A3F9A"/>
    <w:rsid w:val="005A6B24"/>
    <w:rsid w:val="005B0C80"/>
    <w:rsid w:val="005B2752"/>
    <w:rsid w:val="005B2F20"/>
    <w:rsid w:val="005B548C"/>
    <w:rsid w:val="005B61B1"/>
    <w:rsid w:val="005B66A4"/>
    <w:rsid w:val="005C1FDA"/>
    <w:rsid w:val="005C3201"/>
    <w:rsid w:val="005C5197"/>
    <w:rsid w:val="005C744A"/>
    <w:rsid w:val="005C7BC7"/>
    <w:rsid w:val="005D03E8"/>
    <w:rsid w:val="005D090D"/>
    <w:rsid w:val="005D1446"/>
    <w:rsid w:val="005D1AE5"/>
    <w:rsid w:val="005D2D73"/>
    <w:rsid w:val="005D4482"/>
    <w:rsid w:val="005D5810"/>
    <w:rsid w:val="005D60ED"/>
    <w:rsid w:val="005D7954"/>
    <w:rsid w:val="005E07B1"/>
    <w:rsid w:val="005E0DAD"/>
    <w:rsid w:val="005E1853"/>
    <w:rsid w:val="005E2785"/>
    <w:rsid w:val="005E316A"/>
    <w:rsid w:val="005E3ED2"/>
    <w:rsid w:val="005E6A2C"/>
    <w:rsid w:val="005E752A"/>
    <w:rsid w:val="005F14BD"/>
    <w:rsid w:val="005F1BAD"/>
    <w:rsid w:val="005F29DF"/>
    <w:rsid w:val="005F3B95"/>
    <w:rsid w:val="005F5254"/>
    <w:rsid w:val="005F61CE"/>
    <w:rsid w:val="005F6AA7"/>
    <w:rsid w:val="005F73EA"/>
    <w:rsid w:val="006033D8"/>
    <w:rsid w:val="00603C8D"/>
    <w:rsid w:val="00605560"/>
    <w:rsid w:val="00607B4A"/>
    <w:rsid w:val="006111CC"/>
    <w:rsid w:val="006113CB"/>
    <w:rsid w:val="006127CE"/>
    <w:rsid w:val="006147A0"/>
    <w:rsid w:val="006149A7"/>
    <w:rsid w:val="00614B5E"/>
    <w:rsid w:val="00625A0A"/>
    <w:rsid w:val="00626E9A"/>
    <w:rsid w:val="00627A5F"/>
    <w:rsid w:val="006315CC"/>
    <w:rsid w:val="00631A4B"/>
    <w:rsid w:val="00634FA7"/>
    <w:rsid w:val="00636C78"/>
    <w:rsid w:val="006406E6"/>
    <w:rsid w:val="00640E36"/>
    <w:rsid w:val="00641C97"/>
    <w:rsid w:val="0064233F"/>
    <w:rsid w:val="006434D6"/>
    <w:rsid w:val="00644145"/>
    <w:rsid w:val="00645425"/>
    <w:rsid w:val="006462E3"/>
    <w:rsid w:val="0064663E"/>
    <w:rsid w:val="00646CF7"/>
    <w:rsid w:val="00647850"/>
    <w:rsid w:val="00650BD9"/>
    <w:rsid w:val="00651AFA"/>
    <w:rsid w:val="00651EA7"/>
    <w:rsid w:val="006527EF"/>
    <w:rsid w:val="00653BFE"/>
    <w:rsid w:val="00653D5F"/>
    <w:rsid w:val="006546CD"/>
    <w:rsid w:val="00663A5A"/>
    <w:rsid w:val="00664037"/>
    <w:rsid w:val="00671E3C"/>
    <w:rsid w:val="00672BFD"/>
    <w:rsid w:val="00672EED"/>
    <w:rsid w:val="00672FE8"/>
    <w:rsid w:val="0067350A"/>
    <w:rsid w:val="0067385F"/>
    <w:rsid w:val="00673C8D"/>
    <w:rsid w:val="006752E9"/>
    <w:rsid w:val="00675C1E"/>
    <w:rsid w:val="006763E4"/>
    <w:rsid w:val="006769E7"/>
    <w:rsid w:val="00677B96"/>
    <w:rsid w:val="006829C0"/>
    <w:rsid w:val="00684659"/>
    <w:rsid w:val="00684C53"/>
    <w:rsid w:val="00685132"/>
    <w:rsid w:val="00685EC6"/>
    <w:rsid w:val="00687227"/>
    <w:rsid w:val="00690CB3"/>
    <w:rsid w:val="006939D8"/>
    <w:rsid w:val="006945BD"/>
    <w:rsid w:val="006949F4"/>
    <w:rsid w:val="00694FEB"/>
    <w:rsid w:val="00695582"/>
    <w:rsid w:val="00695C74"/>
    <w:rsid w:val="00696730"/>
    <w:rsid w:val="00696C44"/>
    <w:rsid w:val="00697015"/>
    <w:rsid w:val="006A2BF9"/>
    <w:rsid w:val="006A346B"/>
    <w:rsid w:val="006A3718"/>
    <w:rsid w:val="006A4BDD"/>
    <w:rsid w:val="006A5AC0"/>
    <w:rsid w:val="006A769B"/>
    <w:rsid w:val="006A7F52"/>
    <w:rsid w:val="006B329B"/>
    <w:rsid w:val="006B6A46"/>
    <w:rsid w:val="006C022E"/>
    <w:rsid w:val="006C10B5"/>
    <w:rsid w:val="006C42B5"/>
    <w:rsid w:val="006C62FB"/>
    <w:rsid w:val="006C7DB2"/>
    <w:rsid w:val="006C7E5F"/>
    <w:rsid w:val="006D069B"/>
    <w:rsid w:val="006D4008"/>
    <w:rsid w:val="006D43A3"/>
    <w:rsid w:val="006D4A94"/>
    <w:rsid w:val="006D4DA5"/>
    <w:rsid w:val="006D55CA"/>
    <w:rsid w:val="006D5E61"/>
    <w:rsid w:val="006E289A"/>
    <w:rsid w:val="006E3AB4"/>
    <w:rsid w:val="006E7FFC"/>
    <w:rsid w:val="006F40D5"/>
    <w:rsid w:val="006F4CCF"/>
    <w:rsid w:val="006F594C"/>
    <w:rsid w:val="006F663F"/>
    <w:rsid w:val="006F7B32"/>
    <w:rsid w:val="006F7BBD"/>
    <w:rsid w:val="00701DB2"/>
    <w:rsid w:val="007026D2"/>
    <w:rsid w:val="00710C01"/>
    <w:rsid w:val="00712F92"/>
    <w:rsid w:val="00714F96"/>
    <w:rsid w:val="00716357"/>
    <w:rsid w:val="00716B1A"/>
    <w:rsid w:val="00720CC5"/>
    <w:rsid w:val="00721D77"/>
    <w:rsid w:val="007223C5"/>
    <w:rsid w:val="00722B3F"/>
    <w:rsid w:val="007243B2"/>
    <w:rsid w:val="00725029"/>
    <w:rsid w:val="0072617E"/>
    <w:rsid w:val="007272CC"/>
    <w:rsid w:val="00727622"/>
    <w:rsid w:val="00732734"/>
    <w:rsid w:val="00733C35"/>
    <w:rsid w:val="007341B5"/>
    <w:rsid w:val="00735D9C"/>
    <w:rsid w:val="00736CCA"/>
    <w:rsid w:val="007405F9"/>
    <w:rsid w:val="007436EA"/>
    <w:rsid w:val="00743E8F"/>
    <w:rsid w:val="0074518E"/>
    <w:rsid w:val="00746096"/>
    <w:rsid w:val="00746E37"/>
    <w:rsid w:val="00747258"/>
    <w:rsid w:val="007509E4"/>
    <w:rsid w:val="00754F96"/>
    <w:rsid w:val="007554B8"/>
    <w:rsid w:val="00755A53"/>
    <w:rsid w:val="00757E17"/>
    <w:rsid w:val="00762B20"/>
    <w:rsid w:val="00763364"/>
    <w:rsid w:val="00764AD0"/>
    <w:rsid w:val="007671B0"/>
    <w:rsid w:val="0076782C"/>
    <w:rsid w:val="00770026"/>
    <w:rsid w:val="00772A9B"/>
    <w:rsid w:val="00776975"/>
    <w:rsid w:val="007804A1"/>
    <w:rsid w:val="00780A5B"/>
    <w:rsid w:val="00781E2E"/>
    <w:rsid w:val="00782055"/>
    <w:rsid w:val="007823ED"/>
    <w:rsid w:val="007847DD"/>
    <w:rsid w:val="00786128"/>
    <w:rsid w:val="00786B85"/>
    <w:rsid w:val="00786E7E"/>
    <w:rsid w:val="00791728"/>
    <w:rsid w:val="00791B49"/>
    <w:rsid w:val="00793BA1"/>
    <w:rsid w:val="0079476F"/>
    <w:rsid w:val="007A1DAA"/>
    <w:rsid w:val="007A2E08"/>
    <w:rsid w:val="007A3172"/>
    <w:rsid w:val="007A327C"/>
    <w:rsid w:val="007A3C8D"/>
    <w:rsid w:val="007A652B"/>
    <w:rsid w:val="007B0870"/>
    <w:rsid w:val="007B12FE"/>
    <w:rsid w:val="007B1EC7"/>
    <w:rsid w:val="007B2648"/>
    <w:rsid w:val="007B30D0"/>
    <w:rsid w:val="007B394D"/>
    <w:rsid w:val="007B4EC1"/>
    <w:rsid w:val="007B502E"/>
    <w:rsid w:val="007B50C0"/>
    <w:rsid w:val="007B7E8C"/>
    <w:rsid w:val="007C0CBD"/>
    <w:rsid w:val="007C1F90"/>
    <w:rsid w:val="007C257B"/>
    <w:rsid w:val="007C36BD"/>
    <w:rsid w:val="007C4397"/>
    <w:rsid w:val="007C4969"/>
    <w:rsid w:val="007C74D5"/>
    <w:rsid w:val="007D10A8"/>
    <w:rsid w:val="007D1607"/>
    <w:rsid w:val="007D1EEB"/>
    <w:rsid w:val="007D26F1"/>
    <w:rsid w:val="007D5138"/>
    <w:rsid w:val="007D77C0"/>
    <w:rsid w:val="007E1082"/>
    <w:rsid w:val="007E11AD"/>
    <w:rsid w:val="007E1585"/>
    <w:rsid w:val="007E6367"/>
    <w:rsid w:val="007E6405"/>
    <w:rsid w:val="007F0AE4"/>
    <w:rsid w:val="007F21F5"/>
    <w:rsid w:val="007F2386"/>
    <w:rsid w:val="007F2C49"/>
    <w:rsid w:val="007F32AD"/>
    <w:rsid w:val="007F39BA"/>
    <w:rsid w:val="007F475A"/>
    <w:rsid w:val="007F49C3"/>
    <w:rsid w:val="007F5066"/>
    <w:rsid w:val="007F577F"/>
    <w:rsid w:val="007F68B7"/>
    <w:rsid w:val="007F7A04"/>
    <w:rsid w:val="007F7F64"/>
    <w:rsid w:val="00801DBF"/>
    <w:rsid w:val="00802229"/>
    <w:rsid w:val="0080737E"/>
    <w:rsid w:val="00810F83"/>
    <w:rsid w:val="00811CB5"/>
    <w:rsid w:val="0081548E"/>
    <w:rsid w:val="00815807"/>
    <w:rsid w:val="008159EE"/>
    <w:rsid w:val="00817106"/>
    <w:rsid w:val="008177F2"/>
    <w:rsid w:val="00817D13"/>
    <w:rsid w:val="008212B2"/>
    <w:rsid w:val="00824514"/>
    <w:rsid w:val="00824ED8"/>
    <w:rsid w:val="00826AAD"/>
    <w:rsid w:val="00827EC8"/>
    <w:rsid w:val="00830862"/>
    <w:rsid w:val="0083253B"/>
    <w:rsid w:val="00834BAC"/>
    <w:rsid w:val="008354F9"/>
    <w:rsid w:val="00835C46"/>
    <w:rsid w:val="00836B4F"/>
    <w:rsid w:val="00840316"/>
    <w:rsid w:val="008416FC"/>
    <w:rsid w:val="00841839"/>
    <w:rsid w:val="0084204A"/>
    <w:rsid w:val="00843314"/>
    <w:rsid w:val="008436D8"/>
    <w:rsid w:val="00845083"/>
    <w:rsid w:val="00846336"/>
    <w:rsid w:val="008518DE"/>
    <w:rsid w:val="00855D53"/>
    <w:rsid w:val="00855EC4"/>
    <w:rsid w:val="00856450"/>
    <w:rsid w:val="00856A5C"/>
    <w:rsid w:val="00860C00"/>
    <w:rsid w:val="00861966"/>
    <w:rsid w:val="008647BC"/>
    <w:rsid w:val="00864C95"/>
    <w:rsid w:val="00864DEA"/>
    <w:rsid w:val="00865308"/>
    <w:rsid w:val="00867130"/>
    <w:rsid w:val="0087087E"/>
    <w:rsid w:val="00871830"/>
    <w:rsid w:val="008723A8"/>
    <w:rsid w:val="008726AB"/>
    <w:rsid w:val="008732B6"/>
    <w:rsid w:val="00874643"/>
    <w:rsid w:val="00874854"/>
    <w:rsid w:val="0087655C"/>
    <w:rsid w:val="008768AF"/>
    <w:rsid w:val="00876B95"/>
    <w:rsid w:val="00880D47"/>
    <w:rsid w:val="00880E22"/>
    <w:rsid w:val="008816CA"/>
    <w:rsid w:val="00881EFE"/>
    <w:rsid w:val="00881F32"/>
    <w:rsid w:val="00882481"/>
    <w:rsid w:val="008825F3"/>
    <w:rsid w:val="00883F77"/>
    <w:rsid w:val="00885E7A"/>
    <w:rsid w:val="00886683"/>
    <w:rsid w:val="008866C3"/>
    <w:rsid w:val="00891E2C"/>
    <w:rsid w:val="00892799"/>
    <w:rsid w:val="0089279F"/>
    <w:rsid w:val="008952E8"/>
    <w:rsid w:val="008956BC"/>
    <w:rsid w:val="00897DFE"/>
    <w:rsid w:val="008A01A6"/>
    <w:rsid w:val="008A12B9"/>
    <w:rsid w:val="008A14EA"/>
    <w:rsid w:val="008A74B9"/>
    <w:rsid w:val="008A7A4D"/>
    <w:rsid w:val="008A7C1F"/>
    <w:rsid w:val="008A7E20"/>
    <w:rsid w:val="008B0205"/>
    <w:rsid w:val="008B2AA5"/>
    <w:rsid w:val="008B587A"/>
    <w:rsid w:val="008C3AA2"/>
    <w:rsid w:val="008C3F61"/>
    <w:rsid w:val="008C66B8"/>
    <w:rsid w:val="008C6799"/>
    <w:rsid w:val="008C6BCA"/>
    <w:rsid w:val="008C7A38"/>
    <w:rsid w:val="008D06E2"/>
    <w:rsid w:val="008D2403"/>
    <w:rsid w:val="008D6B49"/>
    <w:rsid w:val="008D6BB2"/>
    <w:rsid w:val="008E0B6B"/>
    <w:rsid w:val="008E3EA6"/>
    <w:rsid w:val="008E4B70"/>
    <w:rsid w:val="008E566B"/>
    <w:rsid w:val="008E5C36"/>
    <w:rsid w:val="008E6B3D"/>
    <w:rsid w:val="008F00EC"/>
    <w:rsid w:val="008F0432"/>
    <w:rsid w:val="008F3FF1"/>
    <w:rsid w:val="008F4B79"/>
    <w:rsid w:val="008F4E51"/>
    <w:rsid w:val="008F68DE"/>
    <w:rsid w:val="008F7988"/>
    <w:rsid w:val="008F7E06"/>
    <w:rsid w:val="00901DC8"/>
    <w:rsid w:val="009021F9"/>
    <w:rsid w:val="00902EE7"/>
    <w:rsid w:val="009040B0"/>
    <w:rsid w:val="0090465E"/>
    <w:rsid w:val="00905186"/>
    <w:rsid w:val="009107EF"/>
    <w:rsid w:val="00911A96"/>
    <w:rsid w:val="00911F1F"/>
    <w:rsid w:val="0091272D"/>
    <w:rsid w:val="009128BA"/>
    <w:rsid w:val="0091376C"/>
    <w:rsid w:val="00914F91"/>
    <w:rsid w:val="00915A60"/>
    <w:rsid w:val="00916555"/>
    <w:rsid w:val="00916FFB"/>
    <w:rsid w:val="00917FD0"/>
    <w:rsid w:val="0092307B"/>
    <w:rsid w:val="00925B88"/>
    <w:rsid w:val="00926E1E"/>
    <w:rsid w:val="0092702E"/>
    <w:rsid w:val="00927C24"/>
    <w:rsid w:val="00927E5C"/>
    <w:rsid w:val="00930B22"/>
    <w:rsid w:val="009322D2"/>
    <w:rsid w:val="0093436A"/>
    <w:rsid w:val="009348AB"/>
    <w:rsid w:val="00940BA0"/>
    <w:rsid w:val="00940F19"/>
    <w:rsid w:val="0094171C"/>
    <w:rsid w:val="00941BF8"/>
    <w:rsid w:val="00941CB0"/>
    <w:rsid w:val="009427D1"/>
    <w:rsid w:val="0094395F"/>
    <w:rsid w:val="00943A06"/>
    <w:rsid w:val="00944B12"/>
    <w:rsid w:val="0094566F"/>
    <w:rsid w:val="009458F6"/>
    <w:rsid w:val="0095225D"/>
    <w:rsid w:val="00952D87"/>
    <w:rsid w:val="00957A64"/>
    <w:rsid w:val="0096023E"/>
    <w:rsid w:val="009605CB"/>
    <w:rsid w:val="00961A43"/>
    <w:rsid w:val="00963FE8"/>
    <w:rsid w:val="009643E8"/>
    <w:rsid w:val="00977B98"/>
    <w:rsid w:val="00980B93"/>
    <w:rsid w:val="00980E59"/>
    <w:rsid w:val="00982609"/>
    <w:rsid w:val="00982DD2"/>
    <w:rsid w:val="0098373B"/>
    <w:rsid w:val="00983C1C"/>
    <w:rsid w:val="00983FB7"/>
    <w:rsid w:val="00984DFC"/>
    <w:rsid w:val="00986728"/>
    <w:rsid w:val="009907E7"/>
    <w:rsid w:val="009913E6"/>
    <w:rsid w:val="00992E86"/>
    <w:rsid w:val="00995763"/>
    <w:rsid w:val="00995CA9"/>
    <w:rsid w:val="00995DE4"/>
    <w:rsid w:val="00995F87"/>
    <w:rsid w:val="009A14B3"/>
    <w:rsid w:val="009A3312"/>
    <w:rsid w:val="009A4886"/>
    <w:rsid w:val="009A4A4F"/>
    <w:rsid w:val="009A7138"/>
    <w:rsid w:val="009B028C"/>
    <w:rsid w:val="009B3A99"/>
    <w:rsid w:val="009B3BA3"/>
    <w:rsid w:val="009B5D7E"/>
    <w:rsid w:val="009B7A5D"/>
    <w:rsid w:val="009C05EA"/>
    <w:rsid w:val="009C10C1"/>
    <w:rsid w:val="009C6033"/>
    <w:rsid w:val="009C737B"/>
    <w:rsid w:val="009C747C"/>
    <w:rsid w:val="009C774D"/>
    <w:rsid w:val="009C7A54"/>
    <w:rsid w:val="009D1BAC"/>
    <w:rsid w:val="009D29B3"/>
    <w:rsid w:val="009D2C4C"/>
    <w:rsid w:val="009D2DC7"/>
    <w:rsid w:val="009D3378"/>
    <w:rsid w:val="009D3F6F"/>
    <w:rsid w:val="009D494F"/>
    <w:rsid w:val="009E14E6"/>
    <w:rsid w:val="009E3E05"/>
    <w:rsid w:val="009E514F"/>
    <w:rsid w:val="009E58D3"/>
    <w:rsid w:val="009E5A71"/>
    <w:rsid w:val="009E67A1"/>
    <w:rsid w:val="009E6966"/>
    <w:rsid w:val="009E6D00"/>
    <w:rsid w:val="009F13AA"/>
    <w:rsid w:val="009F2178"/>
    <w:rsid w:val="009F2DDE"/>
    <w:rsid w:val="009F39F8"/>
    <w:rsid w:val="009F49B9"/>
    <w:rsid w:val="009F516E"/>
    <w:rsid w:val="009F59E3"/>
    <w:rsid w:val="00A0154A"/>
    <w:rsid w:val="00A028E6"/>
    <w:rsid w:val="00A02CEB"/>
    <w:rsid w:val="00A02DA4"/>
    <w:rsid w:val="00A030F5"/>
    <w:rsid w:val="00A04074"/>
    <w:rsid w:val="00A05CD1"/>
    <w:rsid w:val="00A10D6B"/>
    <w:rsid w:val="00A121A3"/>
    <w:rsid w:val="00A12B9A"/>
    <w:rsid w:val="00A14403"/>
    <w:rsid w:val="00A16261"/>
    <w:rsid w:val="00A20A0B"/>
    <w:rsid w:val="00A20C4B"/>
    <w:rsid w:val="00A21564"/>
    <w:rsid w:val="00A22368"/>
    <w:rsid w:val="00A22FA7"/>
    <w:rsid w:val="00A254DD"/>
    <w:rsid w:val="00A26B7C"/>
    <w:rsid w:val="00A30885"/>
    <w:rsid w:val="00A31287"/>
    <w:rsid w:val="00A32994"/>
    <w:rsid w:val="00A36EF0"/>
    <w:rsid w:val="00A37FB9"/>
    <w:rsid w:val="00A40CFD"/>
    <w:rsid w:val="00A41A6D"/>
    <w:rsid w:val="00A4225E"/>
    <w:rsid w:val="00A44406"/>
    <w:rsid w:val="00A447D1"/>
    <w:rsid w:val="00A447FC"/>
    <w:rsid w:val="00A46EE2"/>
    <w:rsid w:val="00A5060C"/>
    <w:rsid w:val="00A53427"/>
    <w:rsid w:val="00A546BE"/>
    <w:rsid w:val="00A556E0"/>
    <w:rsid w:val="00A56994"/>
    <w:rsid w:val="00A61070"/>
    <w:rsid w:val="00A62481"/>
    <w:rsid w:val="00A62D1A"/>
    <w:rsid w:val="00A631BC"/>
    <w:rsid w:val="00A640CB"/>
    <w:rsid w:val="00A6536C"/>
    <w:rsid w:val="00A6589F"/>
    <w:rsid w:val="00A76DAC"/>
    <w:rsid w:val="00A76E73"/>
    <w:rsid w:val="00A80C9C"/>
    <w:rsid w:val="00A81304"/>
    <w:rsid w:val="00A82B09"/>
    <w:rsid w:val="00A8764A"/>
    <w:rsid w:val="00A879D2"/>
    <w:rsid w:val="00A9126C"/>
    <w:rsid w:val="00A91FC8"/>
    <w:rsid w:val="00A924B7"/>
    <w:rsid w:val="00A93662"/>
    <w:rsid w:val="00A93D59"/>
    <w:rsid w:val="00A9472F"/>
    <w:rsid w:val="00A97444"/>
    <w:rsid w:val="00A97E48"/>
    <w:rsid w:val="00AA073F"/>
    <w:rsid w:val="00AA2214"/>
    <w:rsid w:val="00AA4512"/>
    <w:rsid w:val="00AA508A"/>
    <w:rsid w:val="00AA70E9"/>
    <w:rsid w:val="00AB1696"/>
    <w:rsid w:val="00AB39FB"/>
    <w:rsid w:val="00AB3F08"/>
    <w:rsid w:val="00AB601A"/>
    <w:rsid w:val="00AC0354"/>
    <w:rsid w:val="00AC32A1"/>
    <w:rsid w:val="00AC476F"/>
    <w:rsid w:val="00AC4A63"/>
    <w:rsid w:val="00AC506C"/>
    <w:rsid w:val="00AC628E"/>
    <w:rsid w:val="00AC7A38"/>
    <w:rsid w:val="00AC7D1E"/>
    <w:rsid w:val="00AD22C7"/>
    <w:rsid w:val="00AD6954"/>
    <w:rsid w:val="00AD701C"/>
    <w:rsid w:val="00AD7523"/>
    <w:rsid w:val="00AD79E4"/>
    <w:rsid w:val="00AE18CA"/>
    <w:rsid w:val="00AE5A3C"/>
    <w:rsid w:val="00AF0AE0"/>
    <w:rsid w:val="00AF3068"/>
    <w:rsid w:val="00AF334C"/>
    <w:rsid w:val="00AF42A0"/>
    <w:rsid w:val="00AF4A77"/>
    <w:rsid w:val="00AF55F3"/>
    <w:rsid w:val="00AF7CB2"/>
    <w:rsid w:val="00B011FE"/>
    <w:rsid w:val="00B03149"/>
    <w:rsid w:val="00B03A03"/>
    <w:rsid w:val="00B04C85"/>
    <w:rsid w:val="00B0590D"/>
    <w:rsid w:val="00B05C92"/>
    <w:rsid w:val="00B067ED"/>
    <w:rsid w:val="00B06823"/>
    <w:rsid w:val="00B07DF8"/>
    <w:rsid w:val="00B10D4B"/>
    <w:rsid w:val="00B10EBC"/>
    <w:rsid w:val="00B115F4"/>
    <w:rsid w:val="00B12072"/>
    <w:rsid w:val="00B1381B"/>
    <w:rsid w:val="00B13B83"/>
    <w:rsid w:val="00B142A3"/>
    <w:rsid w:val="00B150FF"/>
    <w:rsid w:val="00B1583D"/>
    <w:rsid w:val="00B173BF"/>
    <w:rsid w:val="00B176BB"/>
    <w:rsid w:val="00B20760"/>
    <w:rsid w:val="00B223E1"/>
    <w:rsid w:val="00B227C7"/>
    <w:rsid w:val="00B22FE1"/>
    <w:rsid w:val="00B240BE"/>
    <w:rsid w:val="00B32F49"/>
    <w:rsid w:val="00B3418D"/>
    <w:rsid w:val="00B34380"/>
    <w:rsid w:val="00B34B97"/>
    <w:rsid w:val="00B36575"/>
    <w:rsid w:val="00B37C58"/>
    <w:rsid w:val="00B40EE0"/>
    <w:rsid w:val="00B41FF9"/>
    <w:rsid w:val="00B432D1"/>
    <w:rsid w:val="00B43502"/>
    <w:rsid w:val="00B43588"/>
    <w:rsid w:val="00B447A8"/>
    <w:rsid w:val="00B449A5"/>
    <w:rsid w:val="00B47E34"/>
    <w:rsid w:val="00B50443"/>
    <w:rsid w:val="00B53866"/>
    <w:rsid w:val="00B54124"/>
    <w:rsid w:val="00B54645"/>
    <w:rsid w:val="00B54D81"/>
    <w:rsid w:val="00B55A32"/>
    <w:rsid w:val="00B57242"/>
    <w:rsid w:val="00B57472"/>
    <w:rsid w:val="00B57692"/>
    <w:rsid w:val="00B603EF"/>
    <w:rsid w:val="00B612B7"/>
    <w:rsid w:val="00B63146"/>
    <w:rsid w:val="00B63BF2"/>
    <w:rsid w:val="00B64362"/>
    <w:rsid w:val="00B64475"/>
    <w:rsid w:val="00B6624C"/>
    <w:rsid w:val="00B666D0"/>
    <w:rsid w:val="00B700A6"/>
    <w:rsid w:val="00B72B78"/>
    <w:rsid w:val="00B734DA"/>
    <w:rsid w:val="00B739A6"/>
    <w:rsid w:val="00B7566C"/>
    <w:rsid w:val="00B75869"/>
    <w:rsid w:val="00B7788F"/>
    <w:rsid w:val="00B83DF5"/>
    <w:rsid w:val="00B84776"/>
    <w:rsid w:val="00B84F28"/>
    <w:rsid w:val="00B850D9"/>
    <w:rsid w:val="00B8515F"/>
    <w:rsid w:val="00B85A16"/>
    <w:rsid w:val="00B85DDA"/>
    <w:rsid w:val="00B87EC3"/>
    <w:rsid w:val="00B90061"/>
    <w:rsid w:val="00B91011"/>
    <w:rsid w:val="00B92953"/>
    <w:rsid w:val="00B9348C"/>
    <w:rsid w:val="00B958EC"/>
    <w:rsid w:val="00B95FB4"/>
    <w:rsid w:val="00BA22C5"/>
    <w:rsid w:val="00BA491F"/>
    <w:rsid w:val="00BA6123"/>
    <w:rsid w:val="00BA6785"/>
    <w:rsid w:val="00BB1685"/>
    <w:rsid w:val="00BB24B0"/>
    <w:rsid w:val="00BB59AD"/>
    <w:rsid w:val="00BB6AD3"/>
    <w:rsid w:val="00BB7512"/>
    <w:rsid w:val="00BB777A"/>
    <w:rsid w:val="00BC37A2"/>
    <w:rsid w:val="00BC4D5E"/>
    <w:rsid w:val="00BC62D6"/>
    <w:rsid w:val="00BC70A7"/>
    <w:rsid w:val="00BD056F"/>
    <w:rsid w:val="00BD05CC"/>
    <w:rsid w:val="00BD1206"/>
    <w:rsid w:val="00BD1708"/>
    <w:rsid w:val="00BD1C63"/>
    <w:rsid w:val="00BD230B"/>
    <w:rsid w:val="00BD25A0"/>
    <w:rsid w:val="00BD5EFE"/>
    <w:rsid w:val="00BD6FF9"/>
    <w:rsid w:val="00BD784D"/>
    <w:rsid w:val="00BE1ED6"/>
    <w:rsid w:val="00BE2283"/>
    <w:rsid w:val="00BE48BA"/>
    <w:rsid w:val="00BE48F3"/>
    <w:rsid w:val="00BE4CB6"/>
    <w:rsid w:val="00BE4E42"/>
    <w:rsid w:val="00BE5CB7"/>
    <w:rsid w:val="00BE62BC"/>
    <w:rsid w:val="00BF189B"/>
    <w:rsid w:val="00BF4A8C"/>
    <w:rsid w:val="00BF4CA3"/>
    <w:rsid w:val="00BF5F6E"/>
    <w:rsid w:val="00BF7E9F"/>
    <w:rsid w:val="00C008D4"/>
    <w:rsid w:val="00C01742"/>
    <w:rsid w:val="00C03A3F"/>
    <w:rsid w:val="00C03B9C"/>
    <w:rsid w:val="00C047A3"/>
    <w:rsid w:val="00C052AC"/>
    <w:rsid w:val="00C05FBF"/>
    <w:rsid w:val="00C06635"/>
    <w:rsid w:val="00C06B9C"/>
    <w:rsid w:val="00C07A5A"/>
    <w:rsid w:val="00C07E1D"/>
    <w:rsid w:val="00C14C27"/>
    <w:rsid w:val="00C16F3F"/>
    <w:rsid w:val="00C2017D"/>
    <w:rsid w:val="00C210BB"/>
    <w:rsid w:val="00C230F0"/>
    <w:rsid w:val="00C2432E"/>
    <w:rsid w:val="00C2466D"/>
    <w:rsid w:val="00C24CB7"/>
    <w:rsid w:val="00C263E8"/>
    <w:rsid w:val="00C27F3E"/>
    <w:rsid w:val="00C27F75"/>
    <w:rsid w:val="00C31D3B"/>
    <w:rsid w:val="00C33430"/>
    <w:rsid w:val="00C33533"/>
    <w:rsid w:val="00C33DEE"/>
    <w:rsid w:val="00C346A9"/>
    <w:rsid w:val="00C35254"/>
    <w:rsid w:val="00C36992"/>
    <w:rsid w:val="00C37A69"/>
    <w:rsid w:val="00C41DA5"/>
    <w:rsid w:val="00C426AA"/>
    <w:rsid w:val="00C437D8"/>
    <w:rsid w:val="00C439BB"/>
    <w:rsid w:val="00C43DDA"/>
    <w:rsid w:val="00C44691"/>
    <w:rsid w:val="00C455A8"/>
    <w:rsid w:val="00C4622E"/>
    <w:rsid w:val="00C543FE"/>
    <w:rsid w:val="00C547D6"/>
    <w:rsid w:val="00C55016"/>
    <w:rsid w:val="00C56CA1"/>
    <w:rsid w:val="00C57B89"/>
    <w:rsid w:val="00C60CF7"/>
    <w:rsid w:val="00C61268"/>
    <w:rsid w:val="00C6177D"/>
    <w:rsid w:val="00C6321B"/>
    <w:rsid w:val="00C63CBB"/>
    <w:rsid w:val="00C64F8D"/>
    <w:rsid w:val="00C66E95"/>
    <w:rsid w:val="00C673B6"/>
    <w:rsid w:val="00C67A0B"/>
    <w:rsid w:val="00C70E46"/>
    <w:rsid w:val="00C72410"/>
    <w:rsid w:val="00C73CEC"/>
    <w:rsid w:val="00C75426"/>
    <w:rsid w:val="00C75BE3"/>
    <w:rsid w:val="00C77B38"/>
    <w:rsid w:val="00C82441"/>
    <w:rsid w:val="00C82A6F"/>
    <w:rsid w:val="00C83A14"/>
    <w:rsid w:val="00C83EC8"/>
    <w:rsid w:val="00C83F6C"/>
    <w:rsid w:val="00C849C9"/>
    <w:rsid w:val="00C849E6"/>
    <w:rsid w:val="00C84A94"/>
    <w:rsid w:val="00C84C3F"/>
    <w:rsid w:val="00C84DE3"/>
    <w:rsid w:val="00C90369"/>
    <w:rsid w:val="00C903C9"/>
    <w:rsid w:val="00C9274C"/>
    <w:rsid w:val="00C9654A"/>
    <w:rsid w:val="00C965D0"/>
    <w:rsid w:val="00C97D2E"/>
    <w:rsid w:val="00CA4251"/>
    <w:rsid w:val="00CA503E"/>
    <w:rsid w:val="00CA7D04"/>
    <w:rsid w:val="00CB2A67"/>
    <w:rsid w:val="00CB2E42"/>
    <w:rsid w:val="00CB46A4"/>
    <w:rsid w:val="00CB5817"/>
    <w:rsid w:val="00CB6D03"/>
    <w:rsid w:val="00CB74FC"/>
    <w:rsid w:val="00CB769E"/>
    <w:rsid w:val="00CC1831"/>
    <w:rsid w:val="00CC1B70"/>
    <w:rsid w:val="00CC1C95"/>
    <w:rsid w:val="00CC3FD3"/>
    <w:rsid w:val="00CC43D4"/>
    <w:rsid w:val="00CC68CB"/>
    <w:rsid w:val="00CC6A35"/>
    <w:rsid w:val="00CD0F05"/>
    <w:rsid w:val="00CD109C"/>
    <w:rsid w:val="00CD3A9C"/>
    <w:rsid w:val="00CD5629"/>
    <w:rsid w:val="00CD5816"/>
    <w:rsid w:val="00CD7B86"/>
    <w:rsid w:val="00CE0DD1"/>
    <w:rsid w:val="00CE222C"/>
    <w:rsid w:val="00CE2312"/>
    <w:rsid w:val="00CE5144"/>
    <w:rsid w:val="00CE7237"/>
    <w:rsid w:val="00CE7266"/>
    <w:rsid w:val="00CF10A0"/>
    <w:rsid w:val="00CF1833"/>
    <w:rsid w:val="00CF29CC"/>
    <w:rsid w:val="00CF3B71"/>
    <w:rsid w:val="00CF48B6"/>
    <w:rsid w:val="00CF6C8C"/>
    <w:rsid w:val="00D0068B"/>
    <w:rsid w:val="00D00AEA"/>
    <w:rsid w:val="00D00C37"/>
    <w:rsid w:val="00D07093"/>
    <w:rsid w:val="00D07E58"/>
    <w:rsid w:val="00D10916"/>
    <w:rsid w:val="00D10D5F"/>
    <w:rsid w:val="00D1287D"/>
    <w:rsid w:val="00D13003"/>
    <w:rsid w:val="00D13468"/>
    <w:rsid w:val="00D13AAE"/>
    <w:rsid w:val="00D147D0"/>
    <w:rsid w:val="00D172E0"/>
    <w:rsid w:val="00D207A2"/>
    <w:rsid w:val="00D20C60"/>
    <w:rsid w:val="00D22982"/>
    <w:rsid w:val="00D230FC"/>
    <w:rsid w:val="00D25F78"/>
    <w:rsid w:val="00D260B8"/>
    <w:rsid w:val="00D263EE"/>
    <w:rsid w:val="00D26B23"/>
    <w:rsid w:val="00D3247D"/>
    <w:rsid w:val="00D33724"/>
    <w:rsid w:val="00D36116"/>
    <w:rsid w:val="00D432B9"/>
    <w:rsid w:val="00D44670"/>
    <w:rsid w:val="00D46EC7"/>
    <w:rsid w:val="00D50139"/>
    <w:rsid w:val="00D505C1"/>
    <w:rsid w:val="00D50E3C"/>
    <w:rsid w:val="00D523B0"/>
    <w:rsid w:val="00D6060A"/>
    <w:rsid w:val="00D61412"/>
    <w:rsid w:val="00D648AE"/>
    <w:rsid w:val="00D64D94"/>
    <w:rsid w:val="00D654A8"/>
    <w:rsid w:val="00D66417"/>
    <w:rsid w:val="00D665A1"/>
    <w:rsid w:val="00D6663B"/>
    <w:rsid w:val="00D7230D"/>
    <w:rsid w:val="00D72F4B"/>
    <w:rsid w:val="00D73068"/>
    <w:rsid w:val="00D74BE5"/>
    <w:rsid w:val="00D761B9"/>
    <w:rsid w:val="00D76C36"/>
    <w:rsid w:val="00D82727"/>
    <w:rsid w:val="00D84649"/>
    <w:rsid w:val="00D87144"/>
    <w:rsid w:val="00D905DF"/>
    <w:rsid w:val="00D91615"/>
    <w:rsid w:val="00D9399A"/>
    <w:rsid w:val="00D93EF7"/>
    <w:rsid w:val="00D94707"/>
    <w:rsid w:val="00D958B0"/>
    <w:rsid w:val="00D95E4F"/>
    <w:rsid w:val="00DA092F"/>
    <w:rsid w:val="00DA105A"/>
    <w:rsid w:val="00DA2368"/>
    <w:rsid w:val="00DA487B"/>
    <w:rsid w:val="00DA5B25"/>
    <w:rsid w:val="00DA65D4"/>
    <w:rsid w:val="00DA7AD3"/>
    <w:rsid w:val="00DB203B"/>
    <w:rsid w:val="00DB3136"/>
    <w:rsid w:val="00DB3FE8"/>
    <w:rsid w:val="00DB4BC7"/>
    <w:rsid w:val="00DB51D5"/>
    <w:rsid w:val="00DB69A8"/>
    <w:rsid w:val="00DB7A11"/>
    <w:rsid w:val="00DC13AE"/>
    <w:rsid w:val="00DC28E9"/>
    <w:rsid w:val="00DC2C6A"/>
    <w:rsid w:val="00DC502F"/>
    <w:rsid w:val="00DC59B8"/>
    <w:rsid w:val="00DC6047"/>
    <w:rsid w:val="00DC7B4F"/>
    <w:rsid w:val="00DD057B"/>
    <w:rsid w:val="00DD493D"/>
    <w:rsid w:val="00DD7459"/>
    <w:rsid w:val="00DD755F"/>
    <w:rsid w:val="00DE4DA3"/>
    <w:rsid w:val="00DE5EE9"/>
    <w:rsid w:val="00DE6E02"/>
    <w:rsid w:val="00DF0817"/>
    <w:rsid w:val="00DF11BB"/>
    <w:rsid w:val="00DF217D"/>
    <w:rsid w:val="00DF3244"/>
    <w:rsid w:val="00DF4002"/>
    <w:rsid w:val="00DF48E1"/>
    <w:rsid w:val="00DF63A5"/>
    <w:rsid w:val="00DF728D"/>
    <w:rsid w:val="00DF799E"/>
    <w:rsid w:val="00E006DA"/>
    <w:rsid w:val="00E01871"/>
    <w:rsid w:val="00E02A47"/>
    <w:rsid w:val="00E04688"/>
    <w:rsid w:val="00E047E8"/>
    <w:rsid w:val="00E1007C"/>
    <w:rsid w:val="00E10504"/>
    <w:rsid w:val="00E10BE6"/>
    <w:rsid w:val="00E12799"/>
    <w:rsid w:val="00E146E9"/>
    <w:rsid w:val="00E17A1D"/>
    <w:rsid w:val="00E21B44"/>
    <w:rsid w:val="00E235F8"/>
    <w:rsid w:val="00E2393F"/>
    <w:rsid w:val="00E254BD"/>
    <w:rsid w:val="00E31BE5"/>
    <w:rsid w:val="00E344CD"/>
    <w:rsid w:val="00E3473E"/>
    <w:rsid w:val="00E353A8"/>
    <w:rsid w:val="00E427AF"/>
    <w:rsid w:val="00E4284D"/>
    <w:rsid w:val="00E435F8"/>
    <w:rsid w:val="00E43832"/>
    <w:rsid w:val="00E44C16"/>
    <w:rsid w:val="00E45013"/>
    <w:rsid w:val="00E474F1"/>
    <w:rsid w:val="00E47782"/>
    <w:rsid w:val="00E5085E"/>
    <w:rsid w:val="00E50B7B"/>
    <w:rsid w:val="00E51CF4"/>
    <w:rsid w:val="00E51E23"/>
    <w:rsid w:val="00E527F2"/>
    <w:rsid w:val="00E532CE"/>
    <w:rsid w:val="00E53704"/>
    <w:rsid w:val="00E539CF"/>
    <w:rsid w:val="00E569B5"/>
    <w:rsid w:val="00E56FEF"/>
    <w:rsid w:val="00E60C44"/>
    <w:rsid w:val="00E61581"/>
    <w:rsid w:val="00E70853"/>
    <w:rsid w:val="00E720DA"/>
    <w:rsid w:val="00E7381F"/>
    <w:rsid w:val="00E74712"/>
    <w:rsid w:val="00E768FA"/>
    <w:rsid w:val="00E76CD2"/>
    <w:rsid w:val="00E80EEA"/>
    <w:rsid w:val="00E82161"/>
    <w:rsid w:val="00E828F6"/>
    <w:rsid w:val="00E86B03"/>
    <w:rsid w:val="00E872D7"/>
    <w:rsid w:val="00E90570"/>
    <w:rsid w:val="00E90764"/>
    <w:rsid w:val="00E92210"/>
    <w:rsid w:val="00E9366E"/>
    <w:rsid w:val="00E94C9F"/>
    <w:rsid w:val="00E9680E"/>
    <w:rsid w:val="00E9790F"/>
    <w:rsid w:val="00EA12E4"/>
    <w:rsid w:val="00EA28C7"/>
    <w:rsid w:val="00EA2CB7"/>
    <w:rsid w:val="00EA34EE"/>
    <w:rsid w:val="00EA6D16"/>
    <w:rsid w:val="00EB0998"/>
    <w:rsid w:val="00EB1E33"/>
    <w:rsid w:val="00EB2771"/>
    <w:rsid w:val="00EB4D2B"/>
    <w:rsid w:val="00EB51AD"/>
    <w:rsid w:val="00EB57C4"/>
    <w:rsid w:val="00EC1593"/>
    <w:rsid w:val="00EC29C6"/>
    <w:rsid w:val="00EC35A6"/>
    <w:rsid w:val="00ED1CB3"/>
    <w:rsid w:val="00ED2B3F"/>
    <w:rsid w:val="00ED4628"/>
    <w:rsid w:val="00ED4777"/>
    <w:rsid w:val="00ED7F87"/>
    <w:rsid w:val="00EE08E7"/>
    <w:rsid w:val="00EE1035"/>
    <w:rsid w:val="00EE16F8"/>
    <w:rsid w:val="00EE3AD0"/>
    <w:rsid w:val="00EE45A6"/>
    <w:rsid w:val="00EE5597"/>
    <w:rsid w:val="00EE5788"/>
    <w:rsid w:val="00EF0B81"/>
    <w:rsid w:val="00EF2618"/>
    <w:rsid w:val="00EF357A"/>
    <w:rsid w:val="00EF3EA4"/>
    <w:rsid w:val="00EF5071"/>
    <w:rsid w:val="00EF5F4E"/>
    <w:rsid w:val="00EF605F"/>
    <w:rsid w:val="00EF68D0"/>
    <w:rsid w:val="00EF73B3"/>
    <w:rsid w:val="00F01C77"/>
    <w:rsid w:val="00F034E1"/>
    <w:rsid w:val="00F03632"/>
    <w:rsid w:val="00F04A8D"/>
    <w:rsid w:val="00F054E8"/>
    <w:rsid w:val="00F076FC"/>
    <w:rsid w:val="00F07D72"/>
    <w:rsid w:val="00F12304"/>
    <w:rsid w:val="00F123D1"/>
    <w:rsid w:val="00F13045"/>
    <w:rsid w:val="00F13ABF"/>
    <w:rsid w:val="00F14151"/>
    <w:rsid w:val="00F14B22"/>
    <w:rsid w:val="00F16F23"/>
    <w:rsid w:val="00F17422"/>
    <w:rsid w:val="00F20593"/>
    <w:rsid w:val="00F20A14"/>
    <w:rsid w:val="00F228D6"/>
    <w:rsid w:val="00F30221"/>
    <w:rsid w:val="00F31519"/>
    <w:rsid w:val="00F319F5"/>
    <w:rsid w:val="00F33F7D"/>
    <w:rsid w:val="00F350CE"/>
    <w:rsid w:val="00F35550"/>
    <w:rsid w:val="00F35B53"/>
    <w:rsid w:val="00F35F0F"/>
    <w:rsid w:val="00F40ED5"/>
    <w:rsid w:val="00F422E6"/>
    <w:rsid w:val="00F4506D"/>
    <w:rsid w:val="00F460C0"/>
    <w:rsid w:val="00F46192"/>
    <w:rsid w:val="00F502E9"/>
    <w:rsid w:val="00F5068F"/>
    <w:rsid w:val="00F508D4"/>
    <w:rsid w:val="00F51195"/>
    <w:rsid w:val="00F51C01"/>
    <w:rsid w:val="00F533F1"/>
    <w:rsid w:val="00F53460"/>
    <w:rsid w:val="00F5511A"/>
    <w:rsid w:val="00F55A50"/>
    <w:rsid w:val="00F55F7A"/>
    <w:rsid w:val="00F61EB1"/>
    <w:rsid w:val="00F633DA"/>
    <w:rsid w:val="00F66B6B"/>
    <w:rsid w:val="00F66F67"/>
    <w:rsid w:val="00F67401"/>
    <w:rsid w:val="00F72F8A"/>
    <w:rsid w:val="00F7312C"/>
    <w:rsid w:val="00F74A58"/>
    <w:rsid w:val="00F75CB6"/>
    <w:rsid w:val="00F766C2"/>
    <w:rsid w:val="00F766DE"/>
    <w:rsid w:val="00F76EBC"/>
    <w:rsid w:val="00F771B7"/>
    <w:rsid w:val="00F77C50"/>
    <w:rsid w:val="00F8138E"/>
    <w:rsid w:val="00F82C9D"/>
    <w:rsid w:val="00F849B8"/>
    <w:rsid w:val="00F86734"/>
    <w:rsid w:val="00F86E5B"/>
    <w:rsid w:val="00F908ED"/>
    <w:rsid w:val="00F91907"/>
    <w:rsid w:val="00F94163"/>
    <w:rsid w:val="00F9552B"/>
    <w:rsid w:val="00F95760"/>
    <w:rsid w:val="00F9697A"/>
    <w:rsid w:val="00F97C71"/>
    <w:rsid w:val="00F97F6D"/>
    <w:rsid w:val="00FA0FFC"/>
    <w:rsid w:val="00FA2BB2"/>
    <w:rsid w:val="00FA3F14"/>
    <w:rsid w:val="00FA4155"/>
    <w:rsid w:val="00FA4E1F"/>
    <w:rsid w:val="00FA672C"/>
    <w:rsid w:val="00FB0176"/>
    <w:rsid w:val="00FB02C8"/>
    <w:rsid w:val="00FB508B"/>
    <w:rsid w:val="00FB637B"/>
    <w:rsid w:val="00FB7C04"/>
    <w:rsid w:val="00FB7CF2"/>
    <w:rsid w:val="00FC06C0"/>
    <w:rsid w:val="00FC339A"/>
    <w:rsid w:val="00FC3F40"/>
    <w:rsid w:val="00FC6A1B"/>
    <w:rsid w:val="00FC7EE3"/>
    <w:rsid w:val="00FD0A53"/>
    <w:rsid w:val="00FD2A55"/>
    <w:rsid w:val="00FD4CA4"/>
    <w:rsid w:val="00FD570E"/>
    <w:rsid w:val="00FD5A16"/>
    <w:rsid w:val="00FD5DF7"/>
    <w:rsid w:val="00FD6DA8"/>
    <w:rsid w:val="00FD7131"/>
    <w:rsid w:val="00FE1B72"/>
    <w:rsid w:val="00FE3414"/>
    <w:rsid w:val="00FE463F"/>
    <w:rsid w:val="00FE4AA6"/>
    <w:rsid w:val="00FE4FB5"/>
    <w:rsid w:val="00FE671D"/>
    <w:rsid w:val="00FE762A"/>
    <w:rsid w:val="00FF0FD2"/>
    <w:rsid w:val="00FF179A"/>
    <w:rsid w:val="00FF6DBC"/>
    <w:rsid w:val="00FF72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6EA21"/>
  <w15:chartTrackingRefBased/>
  <w15:docId w15:val="{F3F3630A-4510-4411-B944-22CAB4DF0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26D"/>
    <w:pPr>
      <w:spacing w:after="0" w:line="240" w:lineRule="auto"/>
    </w:pPr>
    <w:rPr>
      <w:rFonts w:eastAsia="Calibri"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Ca1,FA Fu?notente"/>
    <w:basedOn w:val="Normal"/>
    <w:link w:val="TextonotapieCar"/>
    <w:uiPriority w:val="99"/>
    <w:qFormat/>
    <w:rsid w:val="000C526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C526D"/>
    <w:rPr>
      <w:rFonts w:eastAsia="Calibri" w:cs="Times New Roman"/>
      <w:sz w:val="20"/>
      <w:szCs w:val="20"/>
      <w:lang w:eastAsia="es-MX"/>
    </w:rPr>
  </w:style>
  <w:style w:type="paragraph" w:styleId="Piedepgina">
    <w:name w:val="footer"/>
    <w:basedOn w:val="Normal"/>
    <w:link w:val="PiedepginaCar"/>
    <w:uiPriority w:val="99"/>
    <w:rsid w:val="000C526D"/>
    <w:pPr>
      <w:tabs>
        <w:tab w:val="center" w:pos="4419"/>
        <w:tab w:val="right" w:pos="8838"/>
      </w:tabs>
    </w:pPr>
    <w:rPr>
      <w:sz w:val="28"/>
      <w:szCs w:val="28"/>
    </w:rPr>
  </w:style>
  <w:style w:type="character" w:customStyle="1" w:styleId="PiedepginaCar">
    <w:name w:val="Pie de página Car"/>
    <w:basedOn w:val="Fuentedeprrafopredeter"/>
    <w:link w:val="Piedepgina"/>
    <w:uiPriority w:val="99"/>
    <w:rsid w:val="000C526D"/>
    <w:rPr>
      <w:rFonts w:eastAsia="Calibri" w:cs="Times New Roman"/>
      <w:sz w:val="28"/>
      <w:szCs w:val="28"/>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f,Ref"/>
    <w:uiPriority w:val="99"/>
    <w:qFormat/>
    <w:rsid w:val="000C526D"/>
    <w:rPr>
      <w:vertAlign w:val="superscript"/>
    </w:rPr>
  </w:style>
  <w:style w:type="paragraph" w:styleId="Encabezado">
    <w:name w:val="header"/>
    <w:basedOn w:val="Normal"/>
    <w:link w:val="EncabezadoCar"/>
    <w:uiPriority w:val="99"/>
    <w:rsid w:val="000C526D"/>
    <w:pPr>
      <w:tabs>
        <w:tab w:val="center" w:pos="4252"/>
        <w:tab w:val="right" w:pos="8504"/>
      </w:tabs>
    </w:pPr>
  </w:style>
  <w:style w:type="character" w:customStyle="1" w:styleId="EncabezadoCar">
    <w:name w:val="Encabezado Car"/>
    <w:basedOn w:val="Fuentedeprrafopredeter"/>
    <w:link w:val="Encabezado"/>
    <w:uiPriority w:val="99"/>
    <w:rsid w:val="000C526D"/>
    <w:rPr>
      <w:rFonts w:eastAsia="Calibri" w:cs="Times New Roman"/>
      <w:sz w:val="20"/>
      <w:szCs w:val="20"/>
      <w:lang w:eastAsia="es-MX"/>
    </w:rPr>
  </w:style>
  <w:style w:type="character" w:styleId="Nmerodepgina">
    <w:name w:val="page number"/>
    <w:basedOn w:val="Fuentedeprrafopredeter"/>
    <w:rsid w:val="000C526D"/>
  </w:style>
  <w:style w:type="table" w:styleId="Tablaconcuadrcula">
    <w:name w:val="Table Grid"/>
    <w:basedOn w:val="Tablanormal"/>
    <w:uiPriority w:val="39"/>
    <w:rsid w:val="000C526D"/>
    <w:pPr>
      <w:spacing w:after="0" w:line="240" w:lineRule="auto"/>
    </w:pPr>
    <w:rPr>
      <w:rFonts w:eastAsia="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NBV Parrafo1,Párrafo de lista1"/>
    <w:basedOn w:val="Normal"/>
    <w:link w:val="PrrafodelistaCar"/>
    <w:uiPriority w:val="34"/>
    <w:qFormat/>
    <w:rsid w:val="00CC43D4"/>
    <w:pPr>
      <w:ind w:left="720"/>
      <w:contextualSpacing/>
    </w:pPr>
  </w:style>
  <w:style w:type="paragraph" w:styleId="Textodeglobo">
    <w:name w:val="Balloon Text"/>
    <w:basedOn w:val="Normal"/>
    <w:link w:val="TextodegloboCar"/>
    <w:uiPriority w:val="99"/>
    <w:semiHidden/>
    <w:unhideWhenUsed/>
    <w:rsid w:val="00E569B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69B5"/>
    <w:rPr>
      <w:rFonts w:ascii="Segoe UI" w:eastAsia="Calibri" w:hAnsi="Segoe UI" w:cs="Segoe UI"/>
      <w:sz w:val="18"/>
      <w:szCs w:val="18"/>
      <w:lang w:eastAsia="es-MX"/>
    </w:rPr>
  </w:style>
  <w:style w:type="paragraph" w:styleId="NormalWeb">
    <w:name w:val="Normal (Web)"/>
    <w:aliases w:val="Normal (Web) Car1,Normal (Web) Car Car,Normal (Web) Car1 Car Car,Normal (Web) Car Car Car Car, Car Car Car Car, Car Car Car,Normal (Web) Car Car Car Car Car Car Car Car Car Car, Car Car Ca, Car Car,C,Normal (Web) Car1 Car Car Car Car,Car, C"/>
    <w:basedOn w:val="Normal"/>
    <w:link w:val="NormalWebCar"/>
    <w:uiPriority w:val="99"/>
    <w:unhideWhenUsed/>
    <w:qFormat/>
    <w:rsid w:val="00977B98"/>
    <w:rPr>
      <w:rFonts w:ascii="Times New Roman" w:eastAsia="Times New Roman" w:hAnsi="Times New Roman"/>
      <w:sz w:val="24"/>
      <w:szCs w:val="24"/>
      <w:lang w:val="es-ES" w:eastAsia="es-ES"/>
    </w:rPr>
  </w:style>
  <w:style w:type="table" w:customStyle="1" w:styleId="Tablaconcuadrcula1">
    <w:name w:val="Tabla con cuadrícula1"/>
    <w:basedOn w:val="Tablanormal"/>
    <w:next w:val="Tablaconcuadrcula"/>
    <w:uiPriority w:val="39"/>
    <w:rsid w:val="0088248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aliases w:val="Normal (Web) Car1 Car,Normal (Web) Car Car Car,Normal (Web) Car1 Car Car Car,Normal (Web) Car Car Car Car Car, Car Car Car Car Car, Car Car Car Car1,Normal (Web) Car Car Car Car Car Car Car Car Car Car Car, Car Car Ca Car, Car Car Car1"/>
    <w:link w:val="NormalWeb"/>
    <w:uiPriority w:val="99"/>
    <w:rsid w:val="003B2931"/>
    <w:rPr>
      <w:rFonts w:ascii="Times New Roman" w:eastAsia="Times New Roman" w:hAnsi="Times New Roman" w:cs="Times New Roman"/>
      <w:szCs w:val="24"/>
      <w:lang w:val="es-ES" w:eastAsia="es-ES"/>
    </w:rPr>
  </w:style>
  <w:style w:type="table" w:customStyle="1" w:styleId="Tablaconcuadrcula2">
    <w:name w:val="Tabla con cuadrícula2"/>
    <w:basedOn w:val="Tablanormal"/>
    <w:next w:val="Tablaconcuadrcula"/>
    <w:uiPriority w:val="39"/>
    <w:rsid w:val="00AC7D1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NBV Parrafo1 Car,Párrafo de lista1 Car"/>
    <w:link w:val="Prrafodelista"/>
    <w:uiPriority w:val="34"/>
    <w:locked/>
    <w:rsid w:val="002E69DE"/>
    <w:rPr>
      <w:rFonts w:eastAsia="Calibri" w:cs="Times New Roman"/>
      <w:sz w:val="20"/>
      <w:szCs w:val="20"/>
      <w:lang w:eastAsia="es-MX"/>
    </w:rPr>
  </w:style>
  <w:style w:type="character" w:styleId="Hipervnculo">
    <w:name w:val="Hyperlink"/>
    <w:basedOn w:val="Fuentedeprrafopredeter"/>
    <w:uiPriority w:val="99"/>
    <w:unhideWhenUsed/>
    <w:rsid w:val="0087655C"/>
    <w:rPr>
      <w:strike w:val="0"/>
      <w:dstrike w:val="0"/>
      <w:color w:val="444444"/>
      <w:u w:val="none"/>
      <w:effect w:val="none"/>
    </w:rPr>
  </w:style>
  <w:style w:type="paragraph" w:customStyle="1" w:styleId="corte4fondo">
    <w:name w:val="corte4 fondo"/>
    <w:basedOn w:val="Normal"/>
    <w:link w:val="corte4fondoCar2"/>
    <w:qFormat/>
    <w:rsid w:val="0087655C"/>
    <w:pPr>
      <w:spacing w:line="360" w:lineRule="auto"/>
      <w:ind w:firstLine="709"/>
      <w:jc w:val="both"/>
    </w:pPr>
    <w:rPr>
      <w:rFonts w:eastAsia="Times New Roman" w:cs="Arial"/>
      <w:sz w:val="30"/>
      <w:szCs w:val="30"/>
      <w:lang w:val="es-ES_tradnl"/>
    </w:rPr>
  </w:style>
  <w:style w:type="character" w:customStyle="1" w:styleId="corte4fondoCar2">
    <w:name w:val="corte4 fondo Car2"/>
    <w:basedOn w:val="Fuentedeprrafopredeter"/>
    <w:link w:val="corte4fondo"/>
    <w:locked/>
    <w:rsid w:val="0087655C"/>
    <w:rPr>
      <w:rFonts w:eastAsia="Times New Roman" w:cs="Arial"/>
      <w:sz w:val="30"/>
      <w:szCs w:val="3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343816">
      <w:bodyDiv w:val="1"/>
      <w:marLeft w:val="0"/>
      <w:marRight w:val="0"/>
      <w:marTop w:val="0"/>
      <w:marBottom w:val="0"/>
      <w:divBdr>
        <w:top w:val="none" w:sz="0" w:space="0" w:color="auto"/>
        <w:left w:val="none" w:sz="0" w:space="0" w:color="auto"/>
        <w:bottom w:val="none" w:sz="0" w:space="0" w:color="auto"/>
        <w:right w:val="none" w:sz="0" w:space="0" w:color="auto"/>
      </w:divBdr>
    </w:div>
    <w:div w:id="427970800">
      <w:bodyDiv w:val="1"/>
      <w:marLeft w:val="0"/>
      <w:marRight w:val="0"/>
      <w:marTop w:val="0"/>
      <w:marBottom w:val="0"/>
      <w:divBdr>
        <w:top w:val="none" w:sz="0" w:space="0" w:color="auto"/>
        <w:left w:val="none" w:sz="0" w:space="0" w:color="auto"/>
        <w:bottom w:val="none" w:sz="0" w:space="0" w:color="auto"/>
        <w:right w:val="none" w:sz="0" w:space="0" w:color="auto"/>
      </w:divBdr>
    </w:div>
    <w:div w:id="788865596">
      <w:bodyDiv w:val="1"/>
      <w:marLeft w:val="0"/>
      <w:marRight w:val="0"/>
      <w:marTop w:val="0"/>
      <w:marBottom w:val="0"/>
      <w:divBdr>
        <w:top w:val="none" w:sz="0" w:space="0" w:color="auto"/>
        <w:left w:val="none" w:sz="0" w:space="0" w:color="auto"/>
        <w:bottom w:val="none" w:sz="0" w:space="0" w:color="auto"/>
        <w:right w:val="none" w:sz="0" w:space="0" w:color="auto"/>
      </w:divBdr>
    </w:div>
    <w:div w:id="819813434">
      <w:bodyDiv w:val="1"/>
      <w:marLeft w:val="0"/>
      <w:marRight w:val="0"/>
      <w:marTop w:val="0"/>
      <w:marBottom w:val="0"/>
      <w:divBdr>
        <w:top w:val="none" w:sz="0" w:space="0" w:color="auto"/>
        <w:left w:val="none" w:sz="0" w:space="0" w:color="auto"/>
        <w:bottom w:val="none" w:sz="0" w:space="0" w:color="auto"/>
        <w:right w:val="none" w:sz="0" w:space="0" w:color="auto"/>
      </w:divBdr>
    </w:div>
    <w:div w:id="984628200">
      <w:bodyDiv w:val="1"/>
      <w:marLeft w:val="0"/>
      <w:marRight w:val="0"/>
      <w:marTop w:val="0"/>
      <w:marBottom w:val="0"/>
      <w:divBdr>
        <w:top w:val="none" w:sz="0" w:space="0" w:color="auto"/>
        <w:left w:val="none" w:sz="0" w:space="0" w:color="auto"/>
        <w:bottom w:val="none" w:sz="0" w:space="0" w:color="auto"/>
        <w:right w:val="none" w:sz="0" w:space="0" w:color="auto"/>
      </w:divBdr>
    </w:div>
    <w:div w:id="1034816197">
      <w:bodyDiv w:val="1"/>
      <w:marLeft w:val="0"/>
      <w:marRight w:val="0"/>
      <w:marTop w:val="0"/>
      <w:marBottom w:val="0"/>
      <w:divBdr>
        <w:top w:val="none" w:sz="0" w:space="0" w:color="auto"/>
        <w:left w:val="none" w:sz="0" w:space="0" w:color="auto"/>
        <w:bottom w:val="none" w:sz="0" w:space="0" w:color="auto"/>
        <w:right w:val="none" w:sz="0" w:space="0" w:color="auto"/>
      </w:divBdr>
    </w:div>
    <w:div w:id="1107233393">
      <w:bodyDiv w:val="1"/>
      <w:marLeft w:val="0"/>
      <w:marRight w:val="0"/>
      <w:marTop w:val="0"/>
      <w:marBottom w:val="0"/>
      <w:divBdr>
        <w:top w:val="none" w:sz="0" w:space="0" w:color="auto"/>
        <w:left w:val="none" w:sz="0" w:space="0" w:color="auto"/>
        <w:bottom w:val="none" w:sz="0" w:space="0" w:color="auto"/>
        <w:right w:val="none" w:sz="0" w:space="0" w:color="auto"/>
      </w:divBdr>
    </w:div>
    <w:div w:id="1226599926">
      <w:bodyDiv w:val="1"/>
      <w:marLeft w:val="0"/>
      <w:marRight w:val="0"/>
      <w:marTop w:val="0"/>
      <w:marBottom w:val="0"/>
      <w:divBdr>
        <w:top w:val="none" w:sz="0" w:space="0" w:color="auto"/>
        <w:left w:val="none" w:sz="0" w:space="0" w:color="auto"/>
        <w:bottom w:val="none" w:sz="0" w:space="0" w:color="auto"/>
        <w:right w:val="none" w:sz="0" w:space="0" w:color="auto"/>
      </w:divBdr>
    </w:div>
    <w:div w:id="1370303064">
      <w:bodyDiv w:val="1"/>
      <w:marLeft w:val="0"/>
      <w:marRight w:val="0"/>
      <w:marTop w:val="0"/>
      <w:marBottom w:val="0"/>
      <w:divBdr>
        <w:top w:val="none" w:sz="0" w:space="0" w:color="auto"/>
        <w:left w:val="none" w:sz="0" w:space="0" w:color="auto"/>
        <w:bottom w:val="none" w:sz="0" w:space="0" w:color="auto"/>
        <w:right w:val="none" w:sz="0" w:space="0" w:color="auto"/>
      </w:divBdr>
    </w:div>
    <w:div w:id="1899392282">
      <w:bodyDiv w:val="1"/>
      <w:marLeft w:val="0"/>
      <w:marRight w:val="0"/>
      <w:marTop w:val="0"/>
      <w:marBottom w:val="0"/>
      <w:divBdr>
        <w:top w:val="none" w:sz="0" w:space="0" w:color="auto"/>
        <w:left w:val="none" w:sz="0" w:space="0" w:color="auto"/>
        <w:bottom w:val="none" w:sz="0" w:space="0" w:color="auto"/>
        <w:right w:val="none" w:sz="0" w:space="0" w:color="auto"/>
      </w:divBdr>
    </w:div>
    <w:div w:id="2098593938">
      <w:bodyDiv w:val="1"/>
      <w:marLeft w:val="0"/>
      <w:marRight w:val="0"/>
      <w:marTop w:val="0"/>
      <w:marBottom w:val="0"/>
      <w:divBdr>
        <w:top w:val="none" w:sz="0" w:space="0" w:color="auto"/>
        <w:left w:val="none" w:sz="0" w:space="0" w:color="auto"/>
        <w:bottom w:val="none" w:sz="0" w:space="0" w:color="auto"/>
        <w:right w:val="none" w:sz="0" w:space="0" w:color="auto"/>
      </w:divBdr>
    </w:div>
    <w:div w:id="214677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artidodeltrabaio.orq.mx/2017/convocatoria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rchivos.diputados.gob.mx/Centros_Estudio/Cesop/Eje_tematico_old_14062011/9_gvulnerables_archivos/G_vulnerables/d_gvulnerables.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69300-8C06-440C-99E4-C59873268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109</Pages>
  <Words>20082</Words>
  <Characters>110451</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Ernesto Camacho Ochoa</dc:creator>
  <cp:keywords/>
  <dc:description/>
  <cp:lastModifiedBy>Denny Martínez Ramírez</cp:lastModifiedBy>
  <cp:revision>7</cp:revision>
  <cp:lastPrinted>2017-06-23T22:37:00Z</cp:lastPrinted>
  <dcterms:created xsi:type="dcterms:W3CDTF">2017-06-23T21:53:00Z</dcterms:created>
  <dcterms:modified xsi:type="dcterms:W3CDTF">2017-06-23T22:39:00Z</dcterms:modified>
</cp:coreProperties>
</file>